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1DFF8A" w14:textId="4D909AC6" w:rsidR="00C7549D" w:rsidRPr="00023C48" w:rsidRDefault="00925326" w:rsidP="00BE686E">
      <w:pPr>
        <w:spacing w:line="360" w:lineRule="auto"/>
        <w:jc w:val="both"/>
        <w:rPr>
          <w:rFonts w:ascii="Times" w:hAnsi="Times"/>
          <w:i/>
        </w:rPr>
      </w:pPr>
      <w:r>
        <w:rPr>
          <w:rFonts w:ascii="Times" w:hAnsi="Times"/>
          <w:i/>
        </w:rPr>
        <w:t xml:space="preserve">Research Report </w:t>
      </w:r>
    </w:p>
    <w:p w14:paraId="73BC40D6" w14:textId="77777777" w:rsidR="00C7549D" w:rsidRPr="00023C48" w:rsidRDefault="00C7549D" w:rsidP="00BE686E">
      <w:pPr>
        <w:spacing w:line="360" w:lineRule="auto"/>
        <w:jc w:val="both"/>
        <w:rPr>
          <w:rFonts w:ascii="Times" w:hAnsi="Times"/>
          <w:b/>
        </w:rPr>
      </w:pPr>
    </w:p>
    <w:p w14:paraId="0352C7BB" w14:textId="17216932" w:rsidR="00C94F2B" w:rsidRDefault="007F4A9C" w:rsidP="00BE686E">
      <w:pPr>
        <w:spacing w:line="360" w:lineRule="auto"/>
        <w:jc w:val="both"/>
        <w:rPr>
          <w:rFonts w:ascii="Times" w:hAnsi="Times"/>
          <w:b/>
        </w:rPr>
      </w:pPr>
      <w:r w:rsidRPr="00023C48">
        <w:rPr>
          <w:rFonts w:ascii="Times" w:hAnsi="Times"/>
          <w:b/>
        </w:rPr>
        <w:t xml:space="preserve">The </w:t>
      </w:r>
      <w:r w:rsidR="000601D1" w:rsidRPr="00023C48">
        <w:rPr>
          <w:rFonts w:ascii="Times" w:hAnsi="Times"/>
          <w:b/>
        </w:rPr>
        <w:t xml:space="preserve">effect of oppositional parietal transcranial direct current stimulation </w:t>
      </w:r>
      <w:r w:rsidRPr="00023C48">
        <w:rPr>
          <w:rFonts w:ascii="Times" w:hAnsi="Times"/>
          <w:b/>
        </w:rPr>
        <w:t xml:space="preserve">on </w:t>
      </w:r>
      <w:r w:rsidR="00B91E09" w:rsidRPr="00023C48">
        <w:rPr>
          <w:rFonts w:ascii="Times" w:hAnsi="Times"/>
          <w:b/>
        </w:rPr>
        <w:t>lateralised brain functions</w:t>
      </w:r>
    </w:p>
    <w:p w14:paraId="61651BA1" w14:textId="531916DF" w:rsidR="00304C8F" w:rsidRPr="00304C8F" w:rsidRDefault="00304C8F" w:rsidP="00BE686E">
      <w:pPr>
        <w:spacing w:line="360" w:lineRule="auto"/>
        <w:jc w:val="both"/>
        <w:rPr>
          <w:rFonts w:ascii="Times" w:hAnsi="Times"/>
        </w:rPr>
      </w:pPr>
      <w:r>
        <w:rPr>
          <w:rFonts w:ascii="Times" w:hAnsi="Times"/>
          <w:i/>
        </w:rPr>
        <w:t>Running title:</w:t>
      </w:r>
      <w:r>
        <w:rPr>
          <w:rFonts w:ascii="Times" w:hAnsi="Times"/>
        </w:rPr>
        <w:t xml:space="preserve"> parietal brain stimulation in lateralised functions</w:t>
      </w:r>
    </w:p>
    <w:p w14:paraId="19C4FE91" w14:textId="77777777" w:rsidR="00C15CB2" w:rsidRPr="00023C48" w:rsidRDefault="00C15CB2" w:rsidP="00BE686E">
      <w:pPr>
        <w:spacing w:line="360" w:lineRule="auto"/>
        <w:jc w:val="both"/>
        <w:rPr>
          <w:rFonts w:ascii="Times" w:hAnsi="Times"/>
        </w:rPr>
      </w:pPr>
    </w:p>
    <w:p w14:paraId="3566CBE8" w14:textId="2C00D8C0" w:rsidR="00C15CB2" w:rsidRPr="00023C48" w:rsidRDefault="00C15CB2" w:rsidP="00BE686E">
      <w:pPr>
        <w:spacing w:line="360" w:lineRule="auto"/>
        <w:jc w:val="both"/>
        <w:rPr>
          <w:rFonts w:ascii="Times" w:hAnsi="Times"/>
        </w:rPr>
      </w:pPr>
      <w:r w:rsidRPr="00023C48">
        <w:rPr>
          <w:rFonts w:ascii="Times" w:hAnsi="Times"/>
        </w:rPr>
        <w:t>L</w:t>
      </w:r>
      <w:r w:rsidR="00C7549D" w:rsidRPr="00023C48">
        <w:rPr>
          <w:rFonts w:ascii="Times" w:hAnsi="Times"/>
        </w:rPr>
        <w:t xml:space="preserve">ucia </w:t>
      </w:r>
      <w:r w:rsidRPr="00023C48">
        <w:rPr>
          <w:rFonts w:ascii="Times" w:hAnsi="Times"/>
        </w:rPr>
        <w:t>M</w:t>
      </w:r>
      <w:r w:rsidR="00C7549D" w:rsidRPr="00023C48">
        <w:rPr>
          <w:rFonts w:ascii="Times" w:hAnsi="Times"/>
        </w:rPr>
        <w:t xml:space="preserve"> </w:t>
      </w:r>
      <w:r w:rsidRPr="00023C48">
        <w:rPr>
          <w:rFonts w:ascii="Times" w:hAnsi="Times"/>
        </w:rPr>
        <w:t>L</w:t>
      </w:r>
      <w:r w:rsidR="00C7549D" w:rsidRPr="00023C48">
        <w:rPr>
          <w:rFonts w:ascii="Times" w:hAnsi="Times"/>
        </w:rPr>
        <w:t>i</w:t>
      </w:r>
      <w:r w:rsidR="002E3235" w:rsidRPr="00023C48">
        <w:rPr>
          <w:rFonts w:ascii="Times" w:hAnsi="Times"/>
          <w:vertAlign w:val="superscript"/>
        </w:rPr>
        <w:t>1</w:t>
      </w:r>
      <w:r w:rsidRPr="00023C48">
        <w:rPr>
          <w:rFonts w:ascii="Times" w:hAnsi="Times"/>
        </w:rPr>
        <w:t>, R</w:t>
      </w:r>
      <w:r w:rsidR="00C7549D" w:rsidRPr="00023C48">
        <w:rPr>
          <w:rFonts w:ascii="Times" w:hAnsi="Times"/>
        </w:rPr>
        <w:t xml:space="preserve">ob </w:t>
      </w:r>
      <w:r w:rsidRPr="00023C48">
        <w:rPr>
          <w:rFonts w:ascii="Times" w:hAnsi="Times"/>
        </w:rPr>
        <w:t>L</w:t>
      </w:r>
      <w:r w:rsidR="00C7549D" w:rsidRPr="00023C48">
        <w:rPr>
          <w:rFonts w:ascii="Times" w:hAnsi="Times"/>
        </w:rPr>
        <w:t>eech</w:t>
      </w:r>
      <w:r w:rsidR="002E3235" w:rsidRPr="00023C48">
        <w:rPr>
          <w:rFonts w:ascii="Times" w:hAnsi="Times"/>
          <w:vertAlign w:val="superscript"/>
        </w:rPr>
        <w:t>1</w:t>
      </w:r>
      <w:r w:rsidRPr="00023C48">
        <w:rPr>
          <w:rFonts w:ascii="Times" w:hAnsi="Times"/>
        </w:rPr>
        <w:t>, G</w:t>
      </w:r>
      <w:r w:rsidR="00C7549D" w:rsidRPr="00023C48">
        <w:rPr>
          <w:rFonts w:ascii="Times" w:hAnsi="Times"/>
        </w:rPr>
        <w:t>reg</w:t>
      </w:r>
      <w:r w:rsidR="00C45B04" w:rsidRPr="00023C48">
        <w:rPr>
          <w:rFonts w:ascii="Times" w:hAnsi="Times"/>
        </w:rPr>
        <w:t>ory</w:t>
      </w:r>
      <w:r w:rsidR="00C7549D" w:rsidRPr="00023C48">
        <w:rPr>
          <w:rFonts w:ascii="Times" w:hAnsi="Times"/>
        </w:rPr>
        <w:t xml:space="preserve"> </w:t>
      </w:r>
      <w:r w:rsidRPr="00023C48">
        <w:rPr>
          <w:rFonts w:ascii="Times" w:hAnsi="Times"/>
        </w:rPr>
        <w:t>S</w:t>
      </w:r>
      <w:r w:rsidR="00C7549D" w:rsidRPr="00023C48">
        <w:rPr>
          <w:rFonts w:ascii="Times" w:hAnsi="Times"/>
        </w:rPr>
        <w:t>cott</w:t>
      </w:r>
      <w:r w:rsidR="002E3235" w:rsidRPr="00023C48">
        <w:rPr>
          <w:rFonts w:ascii="Times" w:hAnsi="Times"/>
          <w:vertAlign w:val="superscript"/>
        </w:rPr>
        <w:t>1</w:t>
      </w:r>
      <w:r w:rsidRPr="00023C48">
        <w:rPr>
          <w:rFonts w:ascii="Times" w:hAnsi="Times"/>
        </w:rPr>
        <w:t>, P</w:t>
      </w:r>
      <w:r w:rsidR="00C7549D" w:rsidRPr="00023C48">
        <w:rPr>
          <w:rFonts w:ascii="Times" w:hAnsi="Times"/>
        </w:rPr>
        <w:t xml:space="preserve">aresh </w:t>
      </w:r>
      <w:r w:rsidRPr="00023C48">
        <w:rPr>
          <w:rFonts w:ascii="Times" w:hAnsi="Times"/>
        </w:rPr>
        <w:t>M</w:t>
      </w:r>
      <w:r w:rsidR="00C7549D" w:rsidRPr="00023C48">
        <w:rPr>
          <w:rFonts w:ascii="Times" w:hAnsi="Times"/>
        </w:rPr>
        <w:t>alhotra</w:t>
      </w:r>
      <w:r w:rsidR="002E3235" w:rsidRPr="00023C48">
        <w:rPr>
          <w:rFonts w:ascii="Times" w:hAnsi="Times"/>
          <w:vertAlign w:val="superscript"/>
        </w:rPr>
        <w:t>2</w:t>
      </w:r>
      <w:r w:rsidRPr="00023C48">
        <w:rPr>
          <w:rFonts w:ascii="Times" w:hAnsi="Times"/>
        </w:rPr>
        <w:t>, B</w:t>
      </w:r>
      <w:r w:rsidR="00C7549D" w:rsidRPr="00023C48">
        <w:rPr>
          <w:rFonts w:ascii="Times" w:hAnsi="Times"/>
        </w:rPr>
        <w:t xml:space="preserve">arry </w:t>
      </w:r>
      <w:r w:rsidRPr="00023C48">
        <w:rPr>
          <w:rFonts w:ascii="Times" w:hAnsi="Times"/>
        </w:rPr>
        <w:t>S</w:t>
      </w:r>
      <w:r w:rsidR="00C7549D" w:rsidRPr="00023C48">
        <w:rPr>
          <w:rFonts w:ascii="Times" w:hAnsi="Times"/>
        </w:rPr>
        <w:t>eemungal</w:t>
      </w:r>
      <w:r w:rsidR="002E3235" w:rsidRPr="00023C48">
        <w:rPr>
          <w:rFonts w:ascii="Times" w:hAnsi="Times"/>
          <w:vertAlign w:val="superscript"/>
        </w:rPr>
        <w:t>3</w:t>
      </w:r>
      <w:r w:rsidRPr="00023C48">
        <w:rPr>
          <w:rFonts w:ascii="Times" w:hAnsi="Times"/>
        </w:rPr>
        <w:t xml:space="preserve">, </w:t>
      </w:r>
      <w:r w:rsidR="00E9569C" w:rsidRPr="00023C48">
        <w:rPr>
          <w:rFonts w:ascii="Times" w:hAnsi="Times"/>
        </w:rPr>
        <w:t>*</w:t>
      </w:r>
      <w:r w:rsidRPr="00023C48">
        <w:rPr>
          <w:rFonts w:ascii="Times" w:hAnsi="Times"/>
        </w:rPr>
        <w:t>D</w:t>
      </w:r>
      <w:r w:rsidR="00C7549D" w:rsidRPr="00023C48">
        <w:rPr>
          <w:rFonts w:ascii="Times" w:hAnsi="Times"/>
        </w:rPr>
        <w:t xml:space="preserve">avid </w:t>
      </w:r>
      <w:r w:rsidRPr="00023C48">
        <w:rPr>
          <w:rFonts w:ascii="Times" w:hAnsi="Times"/>
        </w:rPr>
        <w:t>J</w:t>
      </w:r>
      <w:r w:rsidR="00C7549D" w:rsidRPr="00023C48">
        <w:rPr>
          <w:rFonts w:ascii="Times" w:hAnsi="Times"/>
        </w:rPr>
        <w:t xml:space="preserve"> </w:t>
      </w:r>
      <w:r w:rsidRPr="00023C48">
        <w:rPr>
          <w:rFonts w:ascii="Times" w:hAnsi="Times"/>
        </w:rPr>
        <w:t>S</w:t>
      </w:r>
      <w:r w:rsidR="00C7549D" w:rsidRPr="00023C48">
        <w:rPr>
          <w:rFonts w:ascii="Times" w:hAnsi="Times"/>
        </w:rPr>
        <w:t>harp</w:t>
      </w:r>
      <w:r w:rsidR="002E3235" w:rsidRPr="00023C48">
        <w:rPr>
          <w:rFonts w:ascii="Times" w:hAnsi="Times"/>
          <w:vertAlign w:val="superscript"/>
        </w:rPr>
        <w:t>1</w:t>
      </w:r>
    </w:p>
    <w:p w14:paraId="5387D6B8" w14:textId="77777777" w:rsidR="00547A9B" w:rsidRPr="00023C48" w:rsidRDefault="00547A9B" w:rsidP="00BE686E">
      <w:pPr>
        <w:spacing w:line="360" w:lineRule="auto"/>
        <w:jc w:val="both"/>
        <w:rPr>
          <w:rFonts w:ascii="Times" w:hAnsi="Times"/>
        </w:rPr>
      </w:pPr>
    </w:p>
    <w:p w14:paraId="7C9F9DAD" w14:textId="60796968" w:rsidR="00547A9B" w:rsidRPr="00023C48" w:rsidRDefault="00547A9B" w:rsidP="00BE686E">
      <w:pPr>
        <w:spacing w:line="360" w:lineRule="auto"/>
        <w:jc w:val="both"/>
        <w:rPr>
          <w:rFonts w:ascii="Times" w:hAnsi="Times"/>
        </w:rPr>
      </w:pPr>
      <w:r w:rsidRPr="00023C48">
        <w:rPr>
          <w:rFonts w:ascii="Times" w:hAnsi="Times"/>
          <w:vertAlign w:val="superscript"/>
        </w:rPr>
        <w:t>1</w:t>
      </w:r>
      <w:r w:rsidRPr="00023C48">
        <w:rPr>
          <w:rFonts w:ascii="Times" w:hAnsi="Times"/>
        </w:rPr>
        <w:t xml:space="preserve"> Computation</w:t>
      </w:r>
      <w:r w:rsidR="00C45B04" w:rsidRPr="00023C48">
        <w:rPr>
          <w:rFonts w:ascii="Times" w:hAnsi="Times"/>
        </w:rPr>
        <w:t>al</w:t>
      </w:r>
      <w:r w:rsidRPr="00023C48">
        <w:rPr>
          <w:rFonts w:ascii="Times" w:hAnsi="Times"/>
        </w:rPr>
        <w:t xml:space="preserve">, Cognitive and Clinical Neuroimaging Laboratory (C3NL), </w:t>
      </w:r>
      <w:r w:rsidR="009415C3" w:rsidRPr="00023C48">
        <w:rPr>
          <w:rFonts w:ascii="Times" w:hAnsi="Times"/>
        </w:rPr>
        <w:t xml:space="preserve">Division of </w:t>
      </w:r>
      <w:r w:rsidR="00536D99" w:rsidRPr="00023C48">
        <w:rPr>
          <w:rFonts w:ascii="Times" w:hAnsi="Times"/>
        </w:rPr>
        <w:t>Brain Sciences, Department of</w:t>
      </w:r>
      <w:r w:rsidR="009415C3" w:rsidRPr="00023C48">
        <w:rPr>
          <w:rFonts w:ascii="Times" w:hAnsi="Times"/>
        </w:rPr>
        <w:t xml:space="preserve"> Medicine, Imperial College London, </w:t>
      </w:r>
      <w:r w:rsidRPr="00023C48">
        <w:rPr>
          <w:rFonts w:ascii="Times" w:hAnsi="Times"/>
        </w:rPr>
        <w:t>London W12 0NN, UK</w:t>
      </w:r>
    </w:p>
    <w:p w14:paraId="64DAD8F7" w14:textId="2697186E" w:rsidR="006C6529" w:rsidRPr="00023C48" w:rsidRDefault="00547A9B" w:rsidP="006C6529">
      <w:pPr>
        <w:rPr>
          <w:rFonts w:ascii="Times" w:hAnsi="Times"/>
        </w:rPr>
      </w:pPr>
      <w:r w:rsidRPr="00023C48">
        <w:rPr>
          <w:rFonts w:ascii="Times" w:hAnsi="Times"/>
          <w:vertAlign w:val="superscript"/>
        </w:rPr>
        <w:t>2</w:t>
      </w:r>
      <w:r w:rsidR="006C6529" w:rsidRPr="00023C48">
        <w:rPr>
          <w:rFonts w:ascii="Times" w:hAnsi="Times"/>
        </w:rPr>
        <w:t xml:space="preserve"> Centre for Restorative Neuroscience, Imperial College London, London W6 8RP, UK</w:t>
      </w:r>
    </w:p>
    <w:p w14:paraId="5564153D" w14:textId="0D910004" w:rsidR="00547A9B" w:rsidRPr="00023C48" w:rsidRDefault="006C6529" w:rsidP="00644FBF">
      <w:pPr>
        <w:rPr>
          <w:rFonts w:ascii="Times" w:hAnsi="Times"/>
        </w:rPr>
      </w:pPr>
      <w:r w:rsidRPr="00023C48">
        <w:rPr>
          <w:rFonts w:ascii="Times" w:hAnsi="Times"/>
          <w:vertAlign w:val="superscript"/>
        </w:rPr>
        <w:t>3</w:t>
      </w:r>
      <w:r w:rsidRPr="00023C48">
        <w:rPr>
          <w:rFonts w:ascii="Times" w:hAnsi="Times"/>
        </w:rPr>
        <w:t xml:space="preserve"> </w:t>
      </w:r>
      <w:r w:rsidR="00644FBF" w:rsidRPr="00023C48">
        <w:rPr>
          <w:rFonts w:ascii="Times" w:hAnsi="Times"/>
        </w:rPr>
        <w:t>Neuro-Otology Unit, Division of Brain Sciences, Imperial College London, London W6 8RP</w:t>
      </w:r>
    </w:p>
    <w:p w14:paraId="58ABCACD" w14:textId="77777777" w:rsidR="00547A9B" w:rsidRPr="00023C48" w:rsidRDefault="00547A9B" w:rsidP="00BE686E">
      <w:pPr>
        <w:spacing w:line="360" w:lineRule="auto"/>
        <w:jc w:val="both"/>
        <w:rPr>
          <w:rFonts w:ascii="Times" w:hAnsi="Times"/>
        </w:rPr>
      </w:pPr>
    </w:p>
    <w:p w14:paraId="5A836E03" w14:textId="77777777" w:rsidR="009415C3" w:rsidRPr="00023C48" w:rsidRDefault="009415C3" w:rsidP="00BE686E">
      <w:pPr>
        <w:spacing w:line="360" w:lineRule="auto"/>
        <w:jc w:val="both"/>
        <w:rPr>
          <w:rFonts w:ascii="Times" w:hAnsi="Times"/>
          <w:i/>
          <w:sz w:val="20"/>
        </w:rPr>
      </w:pPr>
      <w:r w:rsidRPr="00023C48">
        <w:rPr>
          <w:rFonts w:ascii="Times" w:hAnsi="Times"/>
          <w:i/>
          <w:sz w:val="20"/>
        </w:rPr>
        <w:t>* Corresponding author</w:t>
      </w:r>
    </w:p>
    <w:p w14:paraId="4A0820DF" w14:textId="6AF193BE" w:rsidR="009415C3" w:rsidRPr="00023C48" w:rsidRDefault="009415C3" w:rsidP="00BE686E">
      <w:pPr>
        <w:spacing w:line="360" w:lineRule="auto"/>
        <w:jc w:val="both"/>
        <w:rPr>
          <w:rFonts w:ascii="Times" w:hAnsi="Times"/>
        </w:rPr>
      </w:pPr>
      <w:r w:rsidRPr="00023C48">
        <w:rPr>
          <w:rFonts w:ascii="Times" w:hAnsi="Times"/>
        </w:rPr>
        <w:t>Postal address: C3NL 3</w:t>
      </w:r>
      <w:r w:rsidRPr="00023C48">
        <w:rPr>
          <w:rFonts w:ascii="Times" w:hAnsi="Times"/>
          <w:vertAlign w:val="superscript"/>
        </w:rPr>
        <w:t>rd</w:t>
      </w:r>
      <w:r w:rsidRPr="00023C48">
        <w:rPr>
          <w:rFonts w:ascii="Times" w:hAnsi="Times"/>
        </w:rPr>
        <w:t xml:space="preserve"> Floor Burlington Danes Building</w:t>
      </w:r>
      <w:r w:rsidR="00F33509" w:rsidRPr="00023C48">
        <w:rPr>
          <w:rFonts w:ascii="Times" w:hAnsi="Times"/>
        </w:rPr>
        <w:t>, Du Cane Road, Fulham, London W12 0NN, UK</w:t>
      </w:r>
    </w:p>
    <w:p w14:paraId="6857ADCD" w14:textId="1F6BC45B" w:rsidR="00F33509" w:rsidRPr="00023C48" w:rsidRDefault="00F33509" w:rsidP="00BE686E">
      <w:pPr>
        <w:spacing w:line="360" w:lineRule="auto"/>
        <w:jc w:val="both"/>
        <w:rPr>
          <w:rFonts w:ascii="Times" w:hAnsi="Times"/>
        </w:rPr>
      </w:pPr>
      <w:r w:rsidRPr="00023C48">
        <w:rPr>
          <w:rFonts w:ascii="Times" w:hAnsi="Times"/>
        </w:rPr>
        <w:t xml:space="preserve">Email address: </w:t>
      </w:r>
      <w:hyperlink r:id="rId9" w:history="1">
        <w:r w:rsidR="00841197" w:rsidRPr="00023C48">
          <w:rPr>
            <w:rStyle w:val="Hyperlink"/>
            <w:rFonts w:ascii="Times" w:hAnsi="Times"/>
            <w:color w:val="auto"/>
          </w:rPr>
          <w:t>david.sharp@imperial.ac.uk</w:t>
        </w:r>
      </w:hyperlink>
      <w:r w:rsidRPr="00023C48">
        <w:rPr>
          <w:rFonts w:ascii="Times" w:hAnsi="Times"/>
        </w:rPr>
        <w:t xml:space="preserve"> </w:t>
      </w:r>
    </w:p>
    <w:p w14:paraId="34E1EE84" w14:textId="77777777" w:rsidR="009415C3" w:rsidRDefault="009415C3" w:rsidP="00BE686E">
      <w:pPr>
        <w:spacing w:line="360" w:lineRule="auto"/>
        <w:jc w:val="both"/>
        <w:rPr>
          <w:rFonts w:ascii="Times" w:hAnsi="Times"/>
        </w:rPr>
      </w:pPr>
    </w:p>
    <w:p w14:paraId="37CBDEF7" w14:textId="77777777" w:rsidR="004C2B16" w:rsidRDefault="004C2B16" w:rsidP="00BE686E">
      <w:pPr>
        <w:spacing w:line="360" w:lineRule="auto"/>
        <w:jc w:val="both"/>
        <w:rPr>
          <w:rFonts w:ascii="Times" w:hAnsi="Times"/>
        </w:rPr>
      </w:pPr>
    </w:p>
    <w:p w14:paraId="1B41D8D2" w14:textId="627FB28A" w:rsidR="006B6ECE" w:rsidRDefault="004C2B16" w:rsidP="00CC7AB6">
      <w:pPr>
        <w:tabs>
          <w:tab w:val="left" w:pos="3828"/>
        </w:tabs>
        <w:spacing w:line="360" w:lineRule="auto"/>
        <w:jc w:val="both"/>
        <w:rPr>
          <w:rFonts w:ascii="Times" w:hAnsi="Times"/>
        </w:rPr>
      </w:pPr>
      <w:r>
        <w:rPr>
          <w:rFonts w:ascii="Times" w:hAnsi="Times"/>
          <w:i/>
        </w:rPr>
        <w:t>Counts:</w:t>
      </w:r>
      <w:r w:rsidR="00CC7AB6">
        <w:rPr>
          <w:rFonts w:ascii="Times" w:hAnsi="Times"/>
        </w:rPr>
        <w:t xml:space="preserve"> </w:t>
      </w:r>
      <w:r w:rsidR="00A64E00">
        <w:rPr>
          <w:rFonts w:ascii="Times" w:hAnsi="Times"/>
        </w:rPr>
        <w:t>33</w:t>
      </w:r>
      <w:r w:rsidR="00681401">
        <w:rPr>
          <w:rFonts w:ascii="Times" w:hAnsi="Times"/>
        </w:rPr>
        <w:t xml:space="preserve"> pages, 6</w:t>
      </w:r>
      <w:r>
        <w:rPr>
          <w:rFonts w:ascii="Times" w:hAnsi="Times"/>
        </w:rPr>
        <w:t xml:space="preserve"> f</w:t>
      </w:r>
      <w:r w:rsidR="006B6ECE">
        <w:rPr>
          <w:rFonts w:ascii="Times" w:hAnsi="Times"/>
        </w:rPr>
        <w:t xml:space="preserve">igures. No tables, no equations. </w:t>
      </w:r>
      <w:r w:rsidR="007057AD">
        <w:rPr>
          <w:rFonts w:ascii="Times" w:hAnsi="Times"/>
        </w:rPr>
        <w:t>9229</w:t>
      </w:r>
      <w:r w:rsidR="001558CB">
        <w:rPr>
          <w:rFonts w:ascii="Times" w:hAnsi="Times"/>
        </w:rPr>
        <w:t xml:space="preserve"> </w:t>
      </w:r>
      <w:r w:rsidR="00BE6BC2">
        <w:rPr>
          <w:rFonts w:ascii="Times" w:hAnsi="Times"/>
        </w:rPr>
        <w:t>words (including references and figure legends); 24</w:t>
      </w:r>
      <w:r w:rsidR="00E76782">
        <w:rPr>
          <w:rFonts w:ascii="Times" w:hAnsi="Times"/>
        </w:rPr>
        <w:t>4</w:t>
      </w:r>
      <w:r w:rsidR="00BE6BC2">
        <w:rPr>
          <w:rFonts w:ascii="Times" w:hAnsi="Times"/>
        </w:rPr>
        <w:t xml:space="preserve"> words in abstract; </w:t>
      </w:r>
      <w:r w:rsidR="001F1CD7">
        <w:rPr>
          <w:rFonts w:ascii="Times" w:hAnsi="Times"/>
        </w:rPr>
        <w:t>996</w:t>
      </w:r>
      <w:r w:rsidR="001558CB">
        <w:rPr>
          <w:rFonts w:ascii="Times" w:hAnsi="Times"/>
        </w:rPr>
        <w:t xml:space="preserve"> </w:t>
      </w:r>
      <w:r w:rsidR="005A6ECB">
        <w:rPr>
          <w:rFonts w:ascii="Times" w:hAnsi="Times"/>
        </w:rPr>
        <w:t>words in introduction.</w:t>
      </w:r>
    </w:p>
    <w:p w14:paraId="214A481A" w14:textId="77777777" w:rsidR="005A6ECB" w:rsidRPr="004C2B16" w:rsidRDefault="005A6ECB" w:rsidP="00BE686E">
      <w:pPr>
        <w:spacing w:line="360" w:lineRule="auto"/>
        <w:jc w:val="both"/>
        <w:rPr>
          <w:rFonts w:ascii="Times" w:hAnsi="Times"/>
        </w:rPr>
      </w:pPr>
    </w:p>
    <w:p w14:paraId="51900AF0" w14:textId="1E008BAE" w:rsidR="00547A9B" w:rsidRPr="00023C48" w:rsidRDefault="00547A9B" w:rsidP="00BE686E">
      <w:pPr>
        <w:spacing w:line="360" w:lineRule="auto"/>
        <w:jc w:val="both"/>
        <w:rPr>
          <w:rFonts w:ascii="Times" w:hAnsi="Times"/>
        </w:rPr>
      </w:pPr>
      <w:r w:rsidRPr="00023C48">
        <w:rPr>
          <w:rFonts w:ascii="Times" w:hAnsi="Times"/>
          <w:i/>
        </w:rPr>
        <w:t>Keywords</w:t>
      </w:r>
    </w:p>
    <w:p w14:paraId="3E4E485B" w14:textId="13832290" w:rsidR="00BE686E" w:rsidRPr="00C46FC0" w:rsidRDefault="00A96C6E" w:rsidP="00E60511">
      <w:pPr>
        <w:spacing w:line="360" w:lineRule="auto"/>
        <w:jc w:val="both"/>
        <w:rPr>
          <w:rFonts w:ascii="Times" w:hAnsi="Times"/>
        </w:rPr>
      </w:pPr>
      <w:r>
        <w:rPr>
          <w:rFonts w:ascii="Times" w:hAnsi="Times"/>
        </w:rPr>
        <w:t xml:space="preserve">Non-invasive brain </w:t>
      </w:r>
      <w:r w:rsidR="00841197" w:rsidRPr="00023C48">
        <w:rPr>
          <w:rFonts w:ascii="Times" w:hAnsi="Times"/>
        </w:rPr>
        <w:t>stimulation</w:t>
      </w:r>
      <w:r w:rsidR="00835C3C">
        <w:rPr>
          <w:rFonts w:ascii="Times" w:hAnsi="Times"/>
        </w:rPr>
        <w:t>;</w:t>
      </w:r>
      <w:r w:rsidR="00D125E4" w:rsidRPr="00023C48">
        <w:rPr>
          <w:rFonts w:ascii="Times" w:hAnsi="Times"/>
        </w:rPr>
        <w:t xml:space="preserve"> </w:t>
      </w:r>
      <w:r w:rsidR="0069269E" w:rsidRPr="00023C48">
        <w:rPr>
          <w:rFonts w:ascii="Times" w:hAnsi="Times"/>
        </w:rPr>
        <w:t>numerical processing</w:t>
      </w:r>
      <w:r w:rsidR="00835C3C">
        <w:rPr>
          <w:rFonts w:ascii="Times" w:hAnsi="Times"/>
        </w:rPr>
        <w:t>; sustained attention;</w:t>
      </w:r>
      <w:r w:rsidR="00D125E4" w:rsidRPr="00023C48">
        <w:rPr>
          <w:rFonts w:ascii="Times" w:hAnsi="Times"/>
        </w:rPr>
        <w:t xml:space="preserve"> </w:t>
      </w:r>
      <w:r w:rsidR="0069269E" w:rsidRPr="00023C48">
        <w:rPr>
          <w:rFonts w:ascii="Times" w:hAnsi="Times"/>
        </w:rPr>
        <w:t>spatial attention</w:t>
      </w:r>
      <w:r w:rsidR="00835C3C">
        <w:rPr>
          <w:rFonts w:ascii="Times" w:hAnsi="Times"/>
        </w:rPr>
        <w:t>;</w:t>
      </w:r>
      <w:r w:rsidR="00056685" w:rsidRPr="00023C48">
        <w:rPr>
          <w:rFonts w:ascii="Times" w:hAnsi="Times"/>
        </w:rPr>
        <w:t xml:space="preserve"> parietal</w:t>
      </w:r>
      <w:r w:rsidR="00C45B04" w:rsidRPr="00023C48">
        <w:rPr>
          <w:rFonts w:ascii="Times" w:hAnsi="Times"/>
        </w:rPr>
        <w:t xml:space="preserve"> </w:t>
      </w:r>
      <w:r>
        <w:rPr>
          <w:rFonts w:ascii="Times" w:hAnsi="Times"/>
        </w:rPr>
        <w:t>cortex</w:t>
      </w:r>
    </w:p>
    <w:p w14:paraId="3CD17D72" w14:textId="77777777" w:rsidR="005F18C2" w:rsidRPr="00023C48" w:rsidRDefault="005F18C2" w:rsidP="00E724D2">
      <w:pPr>
        <w:pageBreakBefore/>
        <w:spacing w:line="360" w:lineRule="auto"/>
        <w:jc w:val="both"/>
        <w:rPr>
          <w:rFonts w:ascii="Times" w:hAnsi="Times"/>
        </w:rPr>
      </w:pPr>
      <w:r w:rsidRPr="00023C48">
        <w:rPr>
          <w:rFonts w:ascii="Times" w:hAnsi="Times"/>
          <w:b/>
        </w:rPr>
        <w:lastRenderedPageBreak/>
        <w:t>ABSTRACT</w:t>
      </w:r>
    </w:p>
    <w:p w14:paraId="7716AD24" w14:textId="3C837616" w:rsidR="00751503" w:rsidRPr="00F562FD" w:rsidRDefault="000901B9" w:rsidP="00F3489E">
      <w:pPr>
        <w:spacing w:line="480" w:lineRule="auto"/>
        <w:jc w:val="both"/>
        <w:rPr>
          <w:rFonts w:ascii="Times" w:hAnsi="Times"/>
        </w:rPr>
      </w:pPr>
      <w:r w:rsidRPr="00023C48">
        <w:rPr>
          <w:rFonts w:ascii="Times" w:hAnsi="Times"/>
        </w:rPr>
        <w:t>Cognitive functions</w:t>
      </w:r>
      <w:r w:rsidR="00132505" w:rsidRPr="00023C48">
        <w:rPr>
          <w:rFonts w:ascii="Times" w:hAnsi="Times"/>
        </w:rPr>
        <w:t xml:space="preserve"> such as </w:t>
      </w:r>
      <w:r w:rsidR="00BC07C4" w:rsidRPr="00023C48">
        <w:rPr>
          <w:rFonts w:ascii="Times" w:hAnsi="Times"/>
        </w:rPr>
        <w:t>numerical</w:t>
      </w:r>
      <w:r w:rsidR="00132505" w:rsidRPr="00023C48">
        <w:rPr>
          <w:rFonts w:ascii="Times" w:hAnsi="Times"/>
        </w:rPr>
        <w:t xml:space="preserve"> processing and </w:t>
      </w:r>
      <w:r w:rsidR="00051234" w:rsidRPr="00023C48">
        <w:rPr>
          <w:rFonts w:ascii="Times" w:hAnsi="Times"/>
        </w:rPr>
        <w:t xml:space="preserve">spatial </w:t>
      </w:r>
      <w:r w:rsidRPr="00023C48">
        <w:rPr>
          <w:rFonts w:ascii="Times" w:hAnsi="Times"/>
        </w:rPr>
        <w:t>attention</w:t>
      </w:r>
      <w:r w:rsidR="00132505" w:rsidRPr="00023C48">
        <w:rPr>
          <w:rFonts w:ascii="Times" w:hAnsi="Times"/>
        </w:rPr>
        <w:t xml:space="preserve"> </w:t>
      </w:r>
      <w:r w:rsidRPr="00023C48">
        <w:rPr>
          <w:rFonts w:ascii="Times" w:hAnsi="Times"/>
        </w:rPr>
        <w:t>show</w:t>
      </w:r>
      <w:r w:rsidR="000C6019" w:rsidRPr="00023C48">
        <w:rPr>
          <w:rFonts w:ascii="Times" w:hAnsi="Times"/>
        </w:rPr>
        <w:t xml:space="preserve"> varying degrees of lateralisation</w:t>
      </w:r>
      <w:r w:rsidR="00512442" w:rsidRPr="00023C48">
        <w:rPr>
          <w:rFonts w:ascii="Times" w:hAnsi="Times"/>
        </w:rPr>
        <w:t>.</w:t>
      </w:r>
      <w:r w:rsidR="006309FC" w:rsidRPr="00023C48">
        <w:rPr>
          <w:rFonts w:ascii="Times" w:hAnsi="Times"/>
        </w:rPr>
        <w:t xml:space="preserve"> </w:t>
      </w:r>
      <w:r w:rsidR="009F2AFD" w:rsidRPr="00023C48">
        <w:rPr>
          <w:rFonts w:ascii="Times" w:hAnsi="Times"/>
        </w:rPr>
        <w:t>Transcranial direct current</w:t>
      </w:r>
      <w:r w:rsidR="006309FC" w:rsidRPr="00023C48">
        <w:rPr>
          <w:rFonts w:ascii="Times" w:hAnsi="Times"/>
        </w:rPr>
        <w:t xml:space="preserve"> stimulation </w:t>
      </w:r>
      <w:r w:rsidR="009F2AFD" w:rsidRPr="00023C48">
        <w:rPr>
          <w:rFonts w:ascii="Times" w:hAnsi="Times"/>
        </w:rPr>
        <w:t>(tDCS)</w:t>
      </w:r>
      <w:r w:rsidR="006309FC" w:rsidRPr="00023C48">
        <w:rPr>
          <w:rFonts w:ascii="Times" w:hAnsi="Times"/>
        </w:rPr>
        <w:t xml:space="preserve"> </w:t>
      </w:r>
      <w:r w:rsidR="00903F5E" w:rsidRPr="00023C48">
        <w:rPr>
          <w:rFonts w:ascii="Times" w:hAnsi="Times"/>
        </w:rPr>
        <w:t xml:space="preserve">can be used to </w:t>
      </w:r>
      <w:r w:rsidR="007579F0" w:rsidRPr="00023C48">
        <w:rPr>
          <w:rFonts w:ascii="Times" w:hAnsi="Times"/>
        </w:rPr>
        <w:t>investigate</w:t>
      </w:r>
      <w:r w:rsidR="001B0AE2" w:rsidRPr="00023C48">
        <w:rPr>
          <w:rFonts w:ascii="Times" w:hAnsi="Times"/>
        </w:rPr>
        <w:t xml:space="preserve"> </w:t>
      </w:r>
      <w:r w:rsidR="004D2CF4" w:rsidRPr="00023C48">
        <w:rPr>
          <w:rFonts w:ascii="Times" w:hAnsi="Times"/>
        </w:rPr>
        <w:t xml:space="preserve">how </w:t>
      </w:r>
      <w:r w:rsidR="001B0AE2" w:rsidRPr="00023C48">
        <w:rPr>
          <w:rFonts w:ascii="Times" w:hAnsi="Times"/>
        </w:rPr>
        <w:t xml:space="preserve">modulating </w:t>
      </w:r>
      <w:r w:rsidR="00E93730" w:rsidRPr="00023C48">
        <w:rPr>
          <w:rFonts w:ascii="Times" w:hAnsi="Times"/>
        </w:rPr>
        <w:t xml:space="preserve">cortical excitability </w:t>
      </w:r>
      <w:r w:rsidR="004D2CF4" w:rsidRPr="00023C48">
        <w:rPr>
          <w:rFonts w:ascii="Times" w:hAnsi="Times"/>
        </w:rPr>
        <w:t xml:space="preserve">affects </w:t>
      </w:r>
      <w:r w:rsidR="006154D1" w:rsidRPr="00023C48">
        <w:rPr>
          <w:rFonts w:ascii="Times" w:hAnsi="Times"/>
        </w:rPr>
        <w:t xml:space="preserve">performance of </w:t>
      </w:r>
      <w:r w:rsidR="00051234" w:rsidRPr="00023C48">
        <w:rPr>
          <w:rFonts w:ascii="Times" w:hAnsi="Times"/>
        </w:rPr>
        <w:t>these tasks</w:t>
      </w:r>
      <w:r w:rsidR="00F81B17" w:rsidRPr="00023C48">
        <w:rPr>
          <w:rFonts w:ascii="Times" w:hAnsi="Times"/>
        </w:rPr>
        <w:t>.</w:t>
      </w:r>
      <w:r w:rsidR="0033519D">
        <w:rPr>
          <w:rFonts w:ascii="Times" w:hAnsi="Times" w:cs="Arial"/>
        </w:rPr>
        <w:t xml:space="preserve"> </w:t>
      </w:r>
      <w:r w:rsidR="00B41011" w:rsidRPr="00023C48">
        <w:rPr>
          <w:rFonts w:ascii="Times" w:hAnsi="Times" w:cs="Arial"/>
        </w:rPr>
        <w:t xml:space="preserve">We investigated the effect of bi-parietal tDCS on </w:t>
      </w:r>
      <w:r w:rsidR="00DC1935" w:rsidRPr="00023C48">
        <w:rPr>
          <w:rFonts w:ascii="Times" w:hAnsi="Times" w:cs="Arial"/>
        </w:rPr>
        <w:t>numerical processing</w:t>
      </w:r>
      <w:r w:rsidR="00521C05" w:rsidRPr="00023C48">
        <w:rPr>
          <w:rFonts w:ascii="Times" w:hAnsi="Times" w:cs="Arial"/>
        </w:rPr>
        <w:t xml:space="preserve">, spatial and </w:t>
      </w:r>
      <w:r w:rsidR="00D00350" w:rsidRPr="00023C48">
        <w:rPr>
          <w:rFonts w:ascii="Times" w:hAnsi="Times" w:cs="Arial"/>
        </w:rPr>
        <w:t>sustained attention</w:t>
      </w:r>
      <w:r w:rsidR="00535DA5" w:rsidRPr="00023C48">
        <w:rPr>
          <w:rFonts w:ascii="Times" w:hAnsi="Times" w:cs="Arial"/>
        </w:rPr>
        <w:t>.</w:t>
      </w:r>
      <w:r w:rsidR="00B41011" w:rsidRPr="00023C48">
        <w:rPr>
          <w:rFonts w:ascii="Times" w:hAnsi="Times" w:cs="Arial"/>
        </w:rPr>
        <w:t xml:space="preserve"> We hypothesised that tDCS would have distinct effects</w:t>
      </w:r>
      <w:r w:rsidR="00051234" w:rsidRPr="00023C48">
        <w:rPr>
          <w:rFonts w:ascii="Times" w:hAnsi="Times" w:cs="Arial"/>
        </w:rPr>
        <w:t xml:space="preserve"> on these tasks</w:t>
      </w:r>
      <w:r w:rsidR="00B41011" w:rsidRPr="00023C48">
        <w:rPr>
          <w:rFonts w:ascii="Times" w:hAnsi="Times" w:cs="Arial"/>
        </w:rPr>
        <w:t xml:space="preserve"> because of varying lateralisation (</w:t>
      </w:r>
      <w:r w:rsidR="007664CA" w:rsidRPr="00023C48">
        <w:rPr>
          <w:rFonts w:ascii="Times" w:hAnsi="Times" w:cs="Arial"/>
        </w:rPr>
        <w:t xml:space="preserve">numerical processing </w:t>
      </w:r>
      <w:r w:rsidR="00B41011" w:rsidRPr="00023C48">
        <w:rPr>
          <w:rFonts w:ascii="Times" w:hAnsi="Times" w:cs="Arial"/>
        </w:rPr>
        <w:t>left, spatial attention right</w:t>
      </w:r>
      <w:r w:rsidR="007664CA" w:rsidRPr="00023C48">
        <w:rPr>
          <w:rFonts w:ascii="Times" w:hAnsi="Times" w:cs="Arial"/>
        </w:rPr>
        <w:t xml:space="preserve">) and that these effects </w:t>
      </w:r>
      <w:r w:rsidR="00841197" w:rsidRPr="00023C48">
        <w:rPr>
          <w:rFonts w:ascii="Times" w:hAnsi="Times" w:cs="Arial"/>
        </w:rPr>
        <w:t xml:space="preserve">are </w:t>
      </w:r>
      <w:r w:rsidR="007664CA" w:rsidRPr="00023C48">
        <w:rPr>
          <w:rFonts w:ascii="Times" w:hAnsi="Times" w:cs="Arial"/>
        </w:rPr>
        <w:t>partly</w:t>
      </w:r>
      <w:r w:rsidR="004E18A0" w:rsidRPr="00023C48">
        <w:rPr>
          <w:rFonts w:ascii="Times" w:hAnsi="Times" w:cs="Arial"/>
        </w:rPr>
        <w:t xml:space="preserve"> </w:t>
      </w:r>
      <w:r w:rsidR="007664CA" w:rsidRPr="00023C48">
        <w:rPr>
          <w:rFonts w:ascii="Times" w:hAnsi="Times" w:cs="Arial"/>
        </w:rPr>
        <w:t xml:space="preserve">mediated by </w:t>
      </w:r>
      <w:r w:rsidR="00737FD2" w:rsidRPr="00023C48">
        <w:rPr>
          <w:rFonts w:ascii="Times" w:hAnsi="Times" w:cs="Arial"/>
        </w:rPr>
        <w:t>modulation of sustained attention</w:t>
      </w:r>
      <w:r w:rsidR="007664CA" w:rsidRPr="00023C48">
        <w:rPr>
          <w:rFonts w:ascii="Times" w:hAnsi="Times" w:cs="Arial"/>
        </w:rPr>
        <w:t>.</w:t>
      </w:r>
      <w:r w:rsidR="0033519D">
        <w:rPr>
          <w:rFonts w:ascii="Times" w:hAnsi="Times" w:cs="Arial"/>
        </w:rPr>
        <w:t xml:space="preserve"> </w:t>
      </w:r>
      <w:r w:rsidR="00EC0B52" w:rsidRPr="00023C48">
        <w:rPr>
          <w:rFonts w:ascii="Times" w:hAnsi="Times" w:cs="Arial"/>
        </w:rPr>
        <w:t xml:space="preserve">We performed a single-blinded, cross-over, sham-controlled study. Eighteen healthy right-handed </w:t>
      </w:r>
      <w:r w:rsidR="00AD1C20" w:rsidRPr="00023C48">
        <w:rPr>
          <w:rFonts w:ascii="Times" w:hAnsi="Times" w:cs="Arial"/>
        </w:rPr>
        <w:t>participants</w:t>
      </w:r>
      <w:r w:rsidR="00EC0B52" w:rsidRPr="00023C48">
        <w:rPr>
          <w:rFonts w:ascii="Times" w:hAnsi="Times" w:cs="Arial"/>
        </w:rPr>
        <w:t xml:space="preserve"> performed cognitive tasks during </w:t>
      </w:r>
      <w:r w:rsidR="00AE1CFB" w:rsidRPr="00023C48">
        <w:rPr>
          <w:rFonts w:ascii="Times" w:hAnsi="Times" w:cs="Arial"/>
        </w:rPr>
        <w:t>three</w:t>
      </w:r>
      <w:r w:rsidR="00EC0B52" w:rsidRPr="00023C48">
        <w:rPr>
          <w:rFonts w:ascii="Times" w:hAnsi="Times" w:cs="Arial"/>
        </w:rPr>
        <w:t xml:space="preserve"> sessions of oppositional parietal tDCS stimulation: sham, right </w:t>
      </w:r>
      <w:r w:rsidR="002876A0" w:rsidRPr="00023C48">
        <w:rPr>
          <w:rFonts w:ascii="Times" w:hAnsi="Times" w:cs="Arial"/>
        </w:rPr>
        <w:t>anodal with left cathodal (RA/LC) and right cathodal with left anodal (</w:t>
      </w:r>
      <w:r w:rsidR="00317A31" w:rsidRPr="00023C48">
        <w:rPr>
          <w:rFonts w:ascii="Times" w:hAnsi="Times" w:cs="Arial"/>
        </w:rPr>
        <w:t>RC/LA</w:t>
      </w:r>
      <w:r w:rsidR="002876A0" w:rsidRPr="00023C48">
        <w:rPr>
          <w:rFonts w:ascii="Times" w:hAnsi="Times" w:cs="Arial"/>
        </w:rPr>
        <w:t>)</w:t>
      </w:r>
      <w:r w:rsidR="00EC0B52" w:rsidRPr="00023C48">
        <w:rPr>
          <w:rFonts w:ascii="Times" w:hAnsi="Times" w:cs="Arial"/>
        </w:rPr>
        <w:t>.</w:t>
      </w:r>
      <w:r w:rsidR="003E78BC" w:rsidRPr="00023C48">
        <w:rPr>
          <w:rFonts w:ascii="Times" w:hAnsi="Times" w:cs="Arial"/>
        </w:rPr>
        <w:t xml:space="preserve"> Participants performed a</w:t>
      </w:r>
      <w:r w:rsidR="00317A31" w:rsidRPr="00023C48">
        <w:rPr>
          <w:rFonts w:ascii="Times" w:hAnsi="Times" w:cs="Arial"/>
        </w:rPr>
        <w:t xml:space="preserve"> </w:t>
      </w:r>
      <w:r w:rsidR="00BC07C4" w:rsidRPr="00023C48">
        <w:rPr>
          <w:rFonts w:ascii="Times" w:hAnsi="Times" w:cs="Arial"/>
        </w:rPr>
        <w:t>number comparison</w:t>
      </w:r>
      <w:r w:rsidR="00317A31" w:rsidRPr="00023C48">
        <w:rPr>
          <w:rFonts w:ascii="Times" w:hAnsi="Times" w:cs="Arial"/>
        </w:rPr>
        <w:t xml:space="preserve"> task, a modified Posner task, a choice reaction task</w:t>
      </w:r>
      <w:r w:rsidR="00AB19E2" w:rsidRPr="00023C48">
        <w:rPr>
          <w:rFonts w:ascii="Times" w:hAnsi="Times" w:cs="Arial"/>
        </w:rPr>
        <w:t xml:space="preserve"> (CRT)</w:t>
      </w:r>
      <w:r w:rsidR="00317A31" w:rsidRPr="00023C48">
        <w:rPr>
          <w:rFonts w:ascii="Times" w:hAnsi="Times" w:cs="Arial"/>
        </w:rPr>
        <w:t xml:space="preserve"> and the Rapid Visual Processing task</w:t>
      </w:r>
      <w:r w:rsidR="00AB19E2" w:rsidRPr="00023C48">
        <w:rPr>
          <w:rFonts w:ascii="Times" w:hAnsi="Times" w:cs="Arial"/>
        </w:rPr>
        <w:t xml:space="preserve"> (RVP)</w:t>
      </w:r>
      <w:r w:rsidR="00317A31" w:rsidRPr="00023C48">
        <w:rPr>
          <w:rFonts w:ascii="Times" w:hAnsi="Times" w:cs="Arial"/>
        </w:rPr>
        <w:t xml:space="preserve">. </w:t>
      </w:r>
      <w:r w:rsidR="002C37A5" w:rsidRPr="00023C48">
        <w:rPr>
          <w:rFonts w:ascii="Times" w:hAnsi="Times"/>
        </w:rPr>
        <w:t>RA/LC tDCS impaired</w:t>
      </w:r>
      <w:r w:rsidR="007A5BF5" w:rsidRPr="00023C48">
        <w:rPr>
          <w:rFonts w:ascii="Times" w:hAnsi="Times"/>
        </w:rPr>
        <w:t xml:space="preserve"> </w:t>
      </w:r>
      <w:r w:rsidR="00BC07C4" w:rsidRPr="00023C48">
        <w:rPr>
          <w:rFonts w:ascii="Times" w:hAnsi="Times"/>
        </w:rPr>
        <w:t>number comparison</w:t>
      </w:r>
      <w:r w:rsidR="00AE1CFB" w:rsidRPr="00023C48">
        <w:rPr>
          <w:rFonts w:ascii="Times" w:hAnsi="Times"/>
        </w:rPr>
        <w:t xml:space="preserve"> </w:t>
      </w:r>
      <w:r w:rsidR="00AE1CFB" w:rsidRPr="00F562FD">
        <w:rPr>
          <w:rFonts w:ascii="Times" w:hAnsi="Times"/>
        </w:rPr>
        <w:t>performance</w:t>
      </w:r>
      <w:r w:rsidR="000A6F66" w:rsidRPr="00F562FD">
        <w:rPr>
          <w:rFonts w:ascii="Times" w:hAnsi="Times"/>
        </w:rPr>
        <w:t xml:space="preserve"> compared with sham</w:t>
      </w:r>
      <w:r w:rsidR="001619BD" w:rsidRPr="00F562FD">
        <w:rPr>
          <w:rFonts w:ascii="Times" w:hAnsi="Times"/>
        </w:rPr>
        <w:t xml:space="preserve">, </w:t>
      </w:r>
      <w:r w:rsidR="007A5BF5" w:rsidRPr="00F562FD">
        <w:rPr>
          <w:rFonts w:ascii="Times" w:hAnsi="Times"/>
        </w:rPr>
        <w:t>with slower responses</w:t>
      </w:r>
      <w:r w:rsidR="001619BD" w:rsidRPr="00F562FD">
        <w:rPr>
          <w:rFonts w:ascii="Times" w:hAnsi="Times"/>
        </w:rPr>
        <w:t xml:space="preserve"> to </w:t>
      </w:r>
      <w:r w:rsidR="000A6F66" w:rsidRPr="00F562FD">
        <w:rPr>
          <w:rFonts w:ascii="Times" w:hAnsi="Times"/>
        </w:rPr>
        <w:t>numerically close numbers pairs</w:t>
      </w:r>
      <w:r w:rsidR="001619BD" w:rsidRPr="00F562FD">
        <w:rPr>
          <w:rFonts w:ascii="Times" w:hAnsi="Times"/>
        </w:rPr>
        <w:t>.</w:t>
      </w:r>
      <w:r w:rsidR="004A6B80" w:rsidRPr="00F562FD">
        <w:rPr>
          <w:rFonts w:ascii="Times" w:hAnsi="Times"/>
        </w:rPr>
        <w:t xml:space="preserve"> </w:t>
      </w:r>
      <w:r w:rsidR="00841197" w:rsidRPr="009C1444">
        <w:rPr>
          <w:rFonts w:ascii="Times" w:hAnsi="Times"/>
          <w:b/>
          <w:u w:val="single"/>
        </w:rPr>
        <w:t xml:space="preserve">RA/LC </w:t>
      </w:r>
      <w:r w:rsidR="00D453E7" w:rsidRPr="009C1444">
        <w:rPr>
          <w:rFonts w:ascii="Times" w:hAnsi="Times"/>
          <w:b/>
          <w:u w:val="single"/>
        </w:rPr>
        <w:t xml:space="preserve">and RC/LA </w:t>
      </w:r>
      <w:r w:rsidR="00841197" w:rsidRPr="009C1444">
        <w:rPr>
          <w:rFonts w:ascii="Times" w:hAnsi="Times"/>
          <w:b/>
          <w:u w:val="single"/>
        </w:rPr>
        <w:t>tDCS</w:t>
      </w:r>
      <w:r w:rsidR="00BE32E8" w:rsidRPr="009C1444">
        <w:rPr>
          <w:rFonts w:ascii="Times" w:hAnsi="Times"/>
          <w:b/>
          <w:u w:val="single"/>
        </w:rPr>
        <w:t xml:space="preserve"> </w:t>
      </w:r>
      <w:r w:rsidR="00D453E7" w:rsidRPr="009C1444">
        <w:rPr>
          <w:rFonts w:ascii="Times" w:hAnsi="Times"/>
          <w:b/>
          <w:u w:val="single"/>
        </w:rPr>
        <w:t xml:space="preserve">had distinct effects on </w:t>
      </w:r>
      <w:r w:rsidR="00AB19E2" w:rsidRPr="009C1444">
        <w:rPr>
          <w:rFonts w:ascii="Times" w:hAnsi="Times"/>
          <w:b/>
          <w:u w:val="single"/>
        </w:rPr>
        <w:t>CRT</w:t>
      </w:r>
      <w:r w:rsidR="000A6F66" w:rsidRPr="009C1444">
        <w:rPr>
          <w:rFonts w:ascii="Times" w:hAnsi="Times"/>
          <w:b/>
          <w:u w:val="single"/>
        </w:rPr>
        <w:t xml:space="preserve"> </w:t>
      </w:r>
      <w:r w:rsidR="00D453E7" w:rsidRPr="009C1444">
        <w:rPr>
          <w:rFonts w:ascii="Times" w:hAnsi="Times"/>
          <w:b/>
          <w:u w:val="single"/>
        </w:rPr>
        <w:t>performance</w:t>
      </w:r>
      <w:r w:rsidR="00D313E0" w:rsidRPr="009C1444">
        <w:rPr>
          <w:rFonts w:ascii="Times" w:hAnsi="Times"/>
          <w:b/>
          <w:u w:val="single"/>
        </w:rPr>
        <w:t>,</w:t>
      </w:r>
      <w:r w:rsidR="00D313E0" w:rsidRPr="00F562FD">
        <w:rPr>
          <w:rFonts w:ascii="Times" w:hAnsi="Times"/>
        </w:rPr>
        <w:t xml:space="preserve"> specifically </w:t>
      </w:r>
      <w:r w:rsidR="006C44B2" w:rsidRPr="00F562FD">
        <w:rPr>
          <w:rFonts w:ascii="Times" w:hAnsi="Times"/>
        </w:rPr>
        <w:t xml:space="preserve">affecting </w:t>
      </w:r>
      <w:r w:rsidR="00D77A88" w:rsidRPr="00F562FD">
        <w:rPr>
          <w:rFonts w:ascii="Times" w:hAnsi="Times"/>
        </w:rPr>
        <w:t>vigilance level</w:t>
      </w:r>
      <w:r w:rsidR="00B8656F" w:rsidRPr="00F562FD">
        <w:rPr>
          <w:rFonts w:ascii="Times" w:hAnsi="Times"/>
        </w:rPr>
        <w:t xml:space="preserve"> during the </w:t>
      </w:r>
      <w:r w:rsidR="0036714E" w:rsidRPr="00F562FD">
        <w:rPr>
          <w:rFonts w:ascii="Times" w:hAnsi="Times"/>
        </w:rPr>
        <w:t>final block of the task.</w:t>
      </w:r>
      <w:r w:rsidR="000E31BB" w:rsidRPr="00F562FD">
        <w:rPr>
          <w:rFonts w:ascii="Times" w:hAnsi="Times"/>
        </w:rPr>
        <w:t xml:space="preserve"> </w:t>
      </w:r>
      <w:r w:rsidR="007A5BF5" w:rsidRPr="00594CCC">
        <w:rPr>
          <w:rFonts w:ascii="Times" w:hAnsi="Times"/>
        </w:rPr>
        <w:t>We found</w:t>
      </w:r>
      <w:r w:rsidR="000E31BB" w:rsidRPr="00594CCC">
        <w:rPr>
          <w:rFonts w:ascii="Times" w:hAnsi="Times"/>
        </w:rPr>
        <w:t xml:space="preserve"> no effect of stimulation on the Posner or RVP tasks.</w:t>
      </w:r>
      <w:r w:rsidR="0033519D" w:rsidRPr="00594CCC">
        <w:rPr>
          <w:rFonts w:ascii="Times" w:hAnsi="Times"/>
        </w:rPr>
        <w:t xml:space="preserve"> </w:t>
      </w:r>
      <w:r w:rsidR="005E246B" w:rsidRPr="00594CCC">
        <w:rPr>
          <w:rFonts w:ascii="Times" w:hAnsi="Times"/>
        </w:rPr>
        <w:t xml:space="preserve">We </w:t>
      </w:r>
      <w:r w:rsidR="00B8656F" w:rsidRPr="00594CCC">
        <w:rPr>
          <w:rFonts w:ascii="Times" w:hAnsi="Times"/>
        </w:rPr>
        <w:t>demonstrate</w:t>
      </w:r>
      <w:r w:rsidR="00093F40" w:rsidRPr="00594CCC">
        <w:rPr>
          <w:rFonts w:ascii="Times" w:hAnsi="Times"/>
        </w:rPr>
        <w:t xml:space="preserve"> that </w:t>
      </w:r>
      <w:r w:rsidR="000A6F66" w:rsidRPr="00F562FD">
        <w:rPr>
          <w:rFonts w:ascii="Times" w:hAnsi="Times"/>
        </w:rPr>
        <w:t xml:space="preserve">oppositional parietal tDCS affected </w:t>
      </w:r>
      <w:r w:rsidR="00DD7817" w:rsidRPr="00F562FD">
        <w:rPr>
          <w:rFonts w:ascii="Times" w:hAnsi="Times"/>
        </w:rPr>
        <w:t xml:space="preserve">both </w:t>
      </w:r>
      <w:r w:rsidR="00BC07C4" w:rsidRPr="00F562FD">
        <w:rPr>
          <w:rFonts w:ascii="Times" w:hAnsi="Times"/>
        </w:rPr>
        <w:t>numerical</w:t>
      </w:r>
      <w:r w:rsidR="00AC52EA" w:rsidRPr="00F562FD">
        <w:rPr>
          <w:rFonts w:ascii="Times" w:hAnsi="Times"/>
        </w:rPr>
        <w:t xml:space="preserve"> </w:t>
      </w:r>
      <w:r w:rsidR="00DD7817" w:rsidRPr="00F562FD">
        <w:rPr>
          <w:rFonts w:ascii="Times" w:hAnsi="Times"/>
        </w:rPr>
        <w:t>performance</w:t>
      </w:r>
      <w:r w:rsidR="00AC52EA" w:rsidRPr="00F562FD">
        <w:rPr>
          <w:rFonts w:ascii="Times" w:hAnsi="Times"/>
        </w:rPr>
        <w:t xml:space="preserve"> and</w:t>
      </w:r>
      <w:r w:rsidR="00A06151" w:rsidRPr="00F562FD">
        <w:rPr>
          <w:rFonts w:ascii="Times" w:hAnsi="Times"/>
        </w:rPr>
        <w:t xml:space="preserve"> </w:t>
      </w:r>
      <w:r w:rsidR="00AC52EA" w:rsidRPr="00F562FD">
        <w:rPr>
          <w:rFonts w:ascii="Times" w:hAnsi="Times"/>
        </w:rPr>
        <w:t>vigilance level</w:t>
      </w:r>
      <w:r w:rsidR="00CF3135" w:rsidRPr="00F562FD">
        <w:rPr>
          <w:rFonts w:ascii="Times" w:hAnsi="Times"/>
        </w:rPr>
        <w:t xml:space="preserve"> in a polarity dependent manner. T</w:t>
      </w:r>
      <w:r w:rsidR="00A06151" w:rsidRPr="00F562FD">
        <w:rPr>
          <w:rFonts w:ascii="Times" w:hAnsi="Times"/>
        </w:rPr>
        <w:t xml:space="preserve">he effect of tDCS on </w:t>
      </w:r>
      <w:r w:rsidR="00BC07C4" w:rsidRPr="00F562FD">
        <w:rPr>
          <w:rFonts w:ascii="Times" w:hAnsi="Times"/>
        </w:rPr>
        <w:t>numerical</w:t>
      </w:r>
      <w:r w:rsidR="00A06151" w:rsidRPr="00F562FD">
        <w:rPr>
          <w:rFonts w:ascii="Times" w:hAnsi="Times"/>
        </w:rPr>
        <w:t xml:space="preserve"> processing may partly be due to attentional effects. The behavioural </w:t>
      </w:r>
      <w:r w:rsidR="00D641DC" w:rsidRPr="00F562FD">
        <w:rPr>
          <w:rFonts w:ascii="Times" w:hAnsi="Times"/>
        </w:rPr>
        <w:t>effect</w:t>
      </w:r>
      <w:r w:rsidR="00587A09" w:rsidRPr="00F562FD">
        <w:rPr>
          <w:rFonts w:ascii="Times" w:hAnsi="Times"/>
        </w:rPr>
        <w:t>s of tDCS</w:t>
      </w:r>
      <w:r w:rsidR="00D641DC" w:rsidRPr="00F562FD">
        <w:rPr>
          <w:rFonts w:ascii="Times" w:hAnsi="Times"/>
        </w:rPr>
        <w:t xml:space="preserve"> </w:t>
      </w:r>
      <w:r w:rsidR="00587A09" w:rsidRPr="00F562FD">
        <w:rPr>
          <w:rFonts w:ascii="Times" w:hAnsi="Times"/>
        </w:rPr>
        <w:t xml:space="preserve">were </w:t>
      </w:r>
      <w:r w:rsidR="00A06151" w:rsidRPr="00F562FD">
        <w:rPr>
          <w:rFonts w:ascii="Times" w:hAnsi="Times"/>
        </w:rPr>
        <w:t xml:space="preserve">specifically observed </w:t>
      </w:r>
      <w:r w:rsidR="008D0879" w:rsidRPr="00F562FD">
        <w:rPr>
          <w:rFonts w:ascii="Times" w:hAnsi="Times"/>
        </w:rPr>
        <w:t xml:space="preserve">under high </w:t>
      </w:r>
      <w:r w:rsidR="00A06151" w:rsidRPr="00594CCC">
        <w:rPr>
          <w:rFonts w:ascii="Times" w:hAnsi="Times"/>
        </w:rPr>
        <w:t>task demands</w:t>
      </w:r>
      <w:r w:rsidR="007032A6" w:rsidRPr="00594CCC">
        <w:rPr>
          <w:rFonts w:ascii="Times" w:hAnsi="Times"/>
        </w:rPr>
        <w:t xml:space="preserve">, demonstrating the </w:t>
      </w:r>
      <w:r w:rsidR="00DA5417" w:rsidRPr="00594CCC">
        <w:rPr>
          <w:rFonts w:ascii="Times" w:hAnsi="Times"/>
        </w:rPr>
        <w:t xml:space="preserve">consequences </w:t>
      </w:r>
      <w:r w:rsidR="007032A6" w:rsidRPr="00594CCC">
        <w:rPr>
          <w:rFonts w:ascii="Times" w:hAnsi="Times"/>
        </w:rPr>
        <w:t xml:space="preserve">of an interaction between </w:t>
      </w:r>
      <w:r w:rsidR="00A06151" w:rsidRPr="00594CCC">
        <w:rPr>
          <w:rFonts w:ascii="Times" w:hAnsi="Times"/>
        </w:rPr>
        <w:t xml:space="preserve">stimulation type and </w:t>
      </w:r>
      <w:r w:rsidR="005E05C6" w:rsidRPr="00F562FD">
        <w:rPr>
          <w:rFonts w:ascii="Times" w:hAnsi="Times"/>
        </w:rPr>
        <w:t xml:space="preserve">cognitive </w:t>
      </w:r>
      <w:r w:rsidR="007663CE" w:rsidRPr="00F562FD">
        <w:rPr>
          <w:rFonts w:ascii="Times" w:hAnsi="Times"/>
        </w:rPr>
        <w:t>load</w:t>
      </w:r>
      <w:r w:rsidR="00A06151" w:rsidRPr="00F562FD">
        <w:rPr>
          <w:rFonts w:ascii="Times" w:hAnsi="Times"/>
        </w:rPr>
        <w:t>.</w:t>
      </w:r>
    </w:p>
    <w:p w14:paraId="2C33B8DD" w14:textId="3B243D97" w:rsidR="004C4213" w:rsidRPr="00BE6BC2" w:rsidRDefault="00E30791" w:rsidP="00BE6BC2">
      <w:pPr>
        <w:pageBreakBefore/>
        <w:spacing w:line="480" w:lineRule="auto"/>
        <w:jc w:val="both"/>
        <w:rPr>
          <w:rFonts w:ascii="Times" w:hAnsi="Times"/>
          <w:b/>
        </w:rPr>
      </w:pPr>
      <w:r w:rsidRPr="00023C48">
        <w:rPr>
          <w:rFonts w:ascii="Times" w:hAnsi="Times"/>
          <w:b/>
        </w:rPr>
        <w:t>INTRODUCTION</w:t>
      </w:r>
    </w:p>
    <w:p w14:paraId="2B102EF9" w14:textId="04FDFED2" w:rsidR="00EF48F2" w:rsidRPr="00023C48" w:rsidRDefault="002C406F" w:rsidP="005374CB">
      <w:pPr>
        <w:spacing w:line="480" w:lineRule="auto"/>
        <w:jc w:val="both"/>
        <w:rPr>
          <w:rFonts w:ascii="Times" w:hAnsi="Times" w:cs="Arial"/>
        </w:rPr>
      </w:pPr>
      <w:r w:rsidRPr="00023C48">
        <w:rPr>
          <w:rFonts w:ascii="Times" w:hAnsi="Times"/>
        </w:rPr>
        <w:t>Cognitive functions demonstrate varying degree</w:t>
      </w:r>
      <w:r w:rsidR="009E2DF3" w:rsidRPr="00023C48">
        <w:rPr>
          <w:rFonts w:ascii="Times" w:hAnsi="Times"/>
        </w:rPr>
        <w:t>s of hemispheric lateralisation</w:t>
      </w:r>
      <w:r w:rsidRPr="00023C48">
        <w:rPr>
          <w:rFonts w:ascii="Times" w:hAnsi="Times"/>
        </w:rPr>
        <w:t xml:space="preserve"> </w:t>
      </w:r>
      <w:r w:rsidR="004C4213" w:rsidRPr="00023C48">
        <w:rPr>
          <w:rFonts w:ascii="Times" w:hAnsi="Times"/>
        </w:rPr>
        <w:fldChar w:fldCharType="begin" w:fldLock="1"/>
      </w:r>
      <w:r w:rsidR="00B260BF">
        <w:rPr>
          <w:rFonts w:ascii="Times" w:hAnsi="Times"/>
        </w:rPr>
        <w:instrText>ADDIN CSL_CITATION { "citationItems" : [ { "id" : "ITEM-1", "itemData" : { "DOI" : "10.1093/brain/118.6.1411", "ISBN" : "0006-8950 (Print)\\n0006-8950 (Linking)", "ISSN" : "0006-8950", "PMID" : "8595473", "abstract" : "In this study the use of functional MRI (fMRI) for measuring language lateralization non-invasively was examined. The subjects were seven patients with histories of temporal lobe epilepsy who had undergone Wada testing for pre-surgical evaluation. Four patients were left-hemisphere-dominant and three were right-hemisphere-dominant for language. They received fMRI scans while they made semantic or perceptual judgments about visually presented words. Regions of the inferior frontal gyrus (pars triangularis and pars orbitalis) and neighbouring orbital cortex, corresponding to portions of Brodmann areas 45, 46 and 47, exhibited significant increases in activation during semantic relative to perceptual judgments. Lateralization of the increases in activation were consistent with the Wada test assessments of hemispheric language dominance in each of the seven patients. These results suggest that, in addition to providing a tool for investigating human cognitive processes, fMRI has significant clinical potential as a non-invasive measure of language lateralization.", "author" : [ { "dropping-particle" : "", "family" : "Desmond", "given" : "J E", "non-dropping-particle" : "", "parse-names" : false, "suffix" : "" }, { "dropping-particle" : "", "family" : "Sum", "given" : "J M", "non-dropping-particle" : "", "parse-names" : false, "suffix" : "" }, { "dropping-particle" : "", "family" : "Wagner", "given" : "a D", "non-dropping-particle" : "", "parse-names" : false, "suffix" : "" }, { "dropping-particle" : "", "family" : "Demb", "given" : "J B", "non-dropping-particle" : "", "parse-names" : false, "suffix" : "" }, { "dropping-particle" : "", "family" : "Shear", "given" : "P K", "non-dropping-particle" : "", "parse-names" : false, "suffix" : "" }, { "dropping-particle" : "", "family" : "Glover", "given" : "G H", "non-dropping-particle" : "", "parse-names" : false, "suffix" : "" }, { "dropping-particle" : "", "family" : "Gabrieli", "given" : "J D", "non-dropping-particle" : "", "parse-names" : false, "suffix" : "" }, { "dropping-particle" : "", "family" : "Morrell", "given" : "M J", "non-dropping-particle" : "", "parse-names" : false, "suffix" : "" } ], "container-title" : "Brain : a journal of neurology", "id" : "ITEM-1", "issued" : { "date-parts" : [ [ "1995" ] ] }, "page" : "1411-1419", "title" : "Functional MRI measurement of language lateralization in Wada-tested patients.", "type" : "article-journal", "volume" : "118 ( Pt 6" }, "uris" : [ "http://www.mendeley.com/documents/?uuid=5b888f0f-1cde-4114-9a6a-149ed2e75f70" ] }, { "id" : "ITEM-2", "itemData" : { "DOI" : "10.1093/brain/123.7.1293", "ISBN" : "0006-8950 (Print)\\r0006-8950 (Linking)", "ISSN" : "0006-8950", "PMID" : "10869045", "abstract" : "The surgical disconnection of the cerebral hemispheres creates an extraordinary opportunity to study basic neurological mechanisms: the organization of the sensory and motors systems, the cortical representation of the perceptual and cognitive processes, the lateralization of function, and, perhaps most importantly, how the divided brain yields clues to the nature of conscious experience. Studies of split-brain patients over the last 40 years have resulted in numerous insights into the processes of perception, attention, memory, language and reasoning abilities. When the constellation of findings is considered as a whole, one sees the cortical arena as a patchwork of specialized processes. When this is considered in the light of new studies on the lateralization of functions, it becomes reasonable to suppose that the corpus callosum has enabled the development of the many specialized systems by allowing the reworking of existing cortical areas while preserving existing functions. Thus, while language emerged in the left hemisphere at the cost of pre-existing perceptual systems, the critical features of the bilaterally present perceptual system were spared in the opposite half-brain. By having the callosum serve as the great communication link between redundant systems, a pre-existing system could be jettisoned as new functions developed in one hemisphere, while the other hemisphere could continue to perform the previous functions for both half-brains. Split-brain studies have also revealed the complex mosaic of mental processes that participate in human cognition. And yet, even though each cerebral hemisphere has its own set of capacities, with the left hemisphere specialized for language and speech and major problem-solving capacities and the right hemisphere specialized for tasks such as facial recognition and attentional monitoring, we all have the subjective experience of feeling totally integrated. Indeed, even though many of these functions have an automatic quality to them and are carried out by the brain prior to our conscious awareness of them, our subjective belief and feeling is that we are in charge of our actions. These phenomena appear to be related to our left hemisphere's interpreter, a device that allows us to construct theories about the relationship between perceived events, actions and feelings.", "author" : [ { "dropping-particle" : "", "family" : "Gazzaniga", "given" : "M S", "non-dropping-particle" : "", "parse-names" : false, "suffix" : "" } ], "container-title" : "Brain : a journal of neurology", "id" : "ITEM-2", "issued" : { "date-parts" : [ [ "2000" ] ] }, "page" : "1293-1326", "title" : "Cerebral specialization and interhemispheric communication: does the corpus callosum enable the human condition?", "type" : "article-journal", "volume" : "123 ( Pt 7" }, "uris" : [ "http://www.mendeley.com/documents/?uuid=3eb9a98d-9fa5-4766-8354-8da9760a60ff" ] }, { "id" : "ITEM-3", "itemData" : { "ISBN" : "0007-1420 (Print)\\n0007-1420 (Linking)", "ISSN" : "0007-1420", "PMID" : "4937273", "abstract" : "Briefly reviews findings with normal Ss and Ss with surgical interruption of the corpus callosum and other interhemispheric commissures on the processing of information. The differential effects of focal cortical excisions in the right and left hemispheres are considered in detail. Results indicate that, despite the dominance of the left hemisphere for speech and skilled movements and the dominance of the right hemisphere for nonverbal specializations and spatial processes, the left parietal lobe has important spatial functions and the right hemisphere limited verbal comprehension functions. Data indicate that homologous areas in the 2 hemispheres have similar behavioral roles and that not only the side but also the locus of lesions determine the deficits. (68 ref.)", "author" : [ { "dropping-particle" : "", "family" : "Milner", "given" : "B", "non-dropping-particle" : "", "parse-names" : false, "suffix" : "" } ], "container-title" : "British medical bulletin", "id" : "ITEM-3", "issued" : { "date-parts" : [ [ "1971" ] ] }, "page" : "272-277", "title" : "Interhemispheric differences in the localization of psychological processes in man.", "type" : "article-journal", "volume" : "27" }, "uris" : [ "http://www.mendeley.com/documents/?uuid=a391bc6a-54d2-4e48-8a41-2b5cfedbcb8e" ] }, { "id" : "ITEM-4", "itemData" : { "author" : [ { "dropping-particle" : "", "family" : "Wada", "given" : "Juhn", "non-dropping-particle" : "", "parse-names" : false, "suffix" : "" }, { "dropping-particle" : "", "family" : "Rasmussen", "given" : "Theodore", "non-dropping-particle" : "", "parse-names" : false, "suffix" : "" } ], "container-title" : "Journal of Neurosurgery", "id" : "ITEM-4", "issued" : { "date-parts" : [ [ "1960" ] ] }, "page" : "266-282", "title" : "Intracarotid injectin of sodium amytal for the lateralization of cerebral speech dominance", "type" : "article-journal", "volume" : "17" }, "uris" : [ "http://www.mendeley.com/documents/?uuid=eaf7c60e-f2d3-4139-b8c1-8736be602b48" ] }, { "id" : "ITEM-5", "itemData" : { "author" : [ { "dropping-particle" : "", "family" : "Penfield", "given" : "W", "non-dropping-particle" : "", "parse-names" : false, "suffix" : "" }, { "dropping-particle" : "", "family" : "Jasper", "given" : "H", "non-dropping-particle" : "", "parse-names" : false, "suffix" : "" } ], "container-title" : "Epilepsy and the functional anatomy of the human brain", "id" : "ITEM-5", "issued" : { "date-parts" : [ [ "1954" ] ] }, "title" : "Epilepsy and the Functional Anatomy of the Human Brain", "type" : "chapter" }, "uris" : [ "http://www.mendeley.com/documents/?uuid=5399c81f-97a1-4af0-b5de-b225cabf41b0" ] }, { "id" : "ITEM-6", "itemData" : { "DOI" : "10.1523/JNEUROSCI.0787-14.2014", "author" : [ { "dropping-particle" : "", "family" : "Wang", "given" : "Danhong", "non-dropping-particle" : "", "parse-names" : false, "suffix" : "" }, { "dropping-particle" : "", "family" : "Buckner", "given" : "Randy L", "non-dropping-particle" : "", "parse-names" : false, "suffix" : "" }, { "dropping-particle" : "", "family" : "Liu", "given" : "X Hesheng", "non-dropping-particle" : "", "parse-names" : false, "suffix" : "" } ], "id" : "ITEM-6", "issue" : "37", "issued" : { "date-parts" : [ [ "2014" ] ] }, "page" : "12341-12352", "title" : "Functional Specialization in the Human Brain Estimated By Intrinsic Hemispheric Interaction", "type" : "article-journal", "volume" : "34" }, "uris" : [ "http://www.mendeley.com/documents/?uuid=fa99633c-2383-4a55-ac60-45ea29a9dc5b" ] } ], "mendeley" : { "formattedCitation" : "(Desmond et al. 1995; Gazzaniga 2000; Milner 1971; Wada &amp; Rasmussen 1960; Penfield &amp; Jasper 1954; Wang et al. 2014)", "plainTextFormattedCitation" : "(Desmond et al. 1995; Gazzaniga 2000; Milner 1971; Wada &amp; Rasmussen 1960; Penfield &amp; Jasper 1954; Wang et al. 2014)", "previouslyFormattedCitation" : "(Desmond et al. 1995; Gazzaniga 2000; Milner 1971; Wada &amp; Rasmussen 1960; Penfield &amp; Jasper 1954; Wang et al. 2014)" }, "properties" : { "noteIndex" : 0 }, "schema" : "https://github.com/citation-style-language/schema/raw/master/csl-citation.json" }</w:instrText>
      </w:r>
      <w:r w:rsidR="004C4213" w:rsidRPr="00023C48">
        <w:rPr>
          <w:rFonts w:ascii="Times" w:hAnsi="Times"/>
        </w:rPr>
        <w:fldChar w:fldCharType="separate"/>
      </w:r>
      <w:r w:rsidR="00255F1F" w:rsidRPr="00255F1F">
        <w:rPr>
          <w:rFonts w:ascii="Times" w:hAnsi="Times"/>
          <w:noProof/>
        </w:rPr>
        <w:t>(Desmond et al. 1995; Gazzaniga 2000; Milner 1971; Wada &amp; Rasmussen 1960; Penfield &amp; Jasper 1954; Wang et al. 2014)</w:t>
      </w:r>
      <w:r w:rsidR="004C4213" w:rsidRPr="00023C48">
        <w:rPr>
          <w:rFonts w:ascii="Times" w:hAnsi="Times"/>
        </w:rPr>
        <w:fldChar w:fldCharType="end"/>
      </w:r>
      <w:r w:rsidR="009E2DF3" w:rsidRPr="00023C48">
        <w:rPr>
          <w:rFonts w:ascii="Times" w:hAnsi="Times"/>
        </w:rPr>
        <w:t>.</w:t>
      </w:r>
      <w:r w:rsidR="007A6BF1" w:rsidRPr="00023C48">
        <w:rPr>
          <w:rFonts w:ascii="Times" w:hAnsi="Times"/>
        </w:rPr>
        <w:t xml:space="preserve"> </w:t>
      </w:r>
      <w:r w:rsidRPr="00023C48">
        <w:rPr>
          <w:rFonts w:ascii="Times" w:hAnsi="Times"/>
        </w:rPr>
        <w:t>Lateralised pathology</w:t>
      </w:r>
      <w:r w:rsidR="00E73ECC" w:rsidRPr="00023C48">
        <w:rPr>
          <w:rFonts w:ascii="Times" w:hAnsi="Times"/>
        </w:rPr>
        <w:t xml:space="preserve"> </w:t>
      </w:r>
      <w:r w:rsidR="00D623C7" w:rsidRPr="00023C48">
        <w:rPr>
          <w:rFonts w:ascii="Times" w:hAnsi="Times"/>
        </w:rPr>
        <w:t>within the parietal lobes</w:t>
      </w:r>
      <w:r w:rsidR="00D947F3" w:rsidRPr="00023C48">
        <w:rPr>
          <w:rFonts w:ascii="Times" w:hAnsi="Times"/>
        </w:rPr>
        <w:t xml:space="preserve"> </w:t>
      </w:r>
      <w:r w:rsidR="00D623C7" w:rsidRPr="00023C48">
        <w:rPr>
          <w:rFonts w:ascii="Times" w:hAnsi="Times"/>
        </w:rPr>
        <w:t>produce</w:t>
      </w:r>
      <w:r w:rsidR="00D947F3" w:rsidRPr="00023C48">
        <w:rPr>
          <w:rFonts w:ascii="Times" w:hAnsi="Times"/>
        </w:rPr>
        <w:t>s</w:t>
      </w:r>
      <w:r w:rsidRPr="00023C48">
        <w:rPr>
          <w:rFonts w:ascii="Times" w:hAnsi="Times"/>
        </w:rPr>
        <w:t xml:space="preserve"> </w:t>
      </w:r>
      <w:r w:rsidR="00D623C7" w:rsidRPr="00023C48">
        <w:rPr>
          <w:rFonts w:ascii="Times" w:hAnsi="Times"/>
        </w:rPr>
        <w:t>distinct cognitive problems depending on the</w:t>
      </w:r>
      <w:r w:rsidR="004074CC" w:rsidRPr="00023C48">
        <w:rPr>
          <w:rFonts w:ascii="Times" w:hAnsi="Times"/>
        </w:rPr>
        <w:t xml:space="preserve"> side</w:t>
      </w:r>
      <w:r w:rsidR="00D623C7" w:rsidRPr="00023C48">
        <w:rPr>
          <w:rFonts w:ascii="Times" w:hAnsi="Times"/>
        </w:rPr>
        <w:t xml:space="preserve"> affected</w:t>
      </w:r>
      <w:r w:rsidR="00E73ECC" w:rsidRPr="00023C48">
        <w:rPr>
          <w:rFonts w:ascii="Times" w:hAnsi="Times"/>
        </w:rPr>
        <w:t xml:space="preserve">. </w:t>
      </w:r>
      <w:r w:rsidR="00E73B9F" w:rsidRPr="00023C48">
        <w:rPr>
          <w:rFonts w:ascii="Times" w:hAnsi="Times"/>
        </w:rPr>
        <w:t xml:space="preserve">Impairments of numerical processing and </w:t>
      </w:r>
      <w:r w:rsidR="00230AB8" w:rsidRPr="00023C48">
        <w:rPr>
          <w:rFonts w:ascii="Times" w:hAnsi="Times"/>
        </w:rPr>
        <w:t>d</w:t>
      </w:r>
      <w:r w:rsidRPr="00023C48">
        <w:rPr>
          <w:rFonts w:ascii="Times" w:hAnsi="Times"/>
        </w:rPr>
        <w:t xml:space="preserve">yscalculia </w:t>
      </w:r>
      <w:r w:rsidR="00E73B9F" w:rsidRPr="00023C48">
        <w:rPr>
          <w:rFonts w:ascii="Times" w:hAnsi="Times"/>
        </w:rPr>
        <w:t>are</w:t>
      </w:r>
      <w:r w:rsidR="00E73ECC" w:rsidRPr="00023C48">
        <w:rPr>
          <w:rFonts w:ascii="Times" w:hAnsi="Times"/>
        </w:rPr>
        <w:t xml:space="preserve"> often </w:t>
      </w:r>
      <w:r w:rsidRPr="00023C48">
        <w:rPr>
          <w:rFonts w:ascii="Times" w:hAnsi="Times"/>
        </w:rPr>
        <w:t>produced by parietal lesions</w:t>
      </w:r>
      <w:r w:rsidR="00E73ECC" w:rsidRPr="00023C48">
        <w:rPr>
          <w:rFonts w:ascii="Times" w:hAnsi="Times"/>
        </w:rPr>
        <w:t xml:space="preserve"> in the dominant </w:t>
      </w:r>
      <w:r w:rsidR="00D43826" w:rsidRPr="00023C48">
        <w:rPr>
          <w:rFonts w:ascii="Times" w:hAnsi="Times"/>
        </w:rPr>
        <w:t xml:space="preserve">hemisphere </w:t>
      </w:r>
      <w:r w:rsidR="00261733" w:rsidRPr="00023C48">
        <w:rPr>
          <w:rFonts w:ascii="Times" w:hAnsi="Times"/>
        </w:rPr>
        <w:fldChar w:fldCharType="begin" w:fldLock="1"/>
      </w:r>
      <w:r w:rsidR="00B260BF">
        <w:rPr>
          <w:rFonts w:ascii="Times" w:hAnsi="Times"/>
        </w:rPr>
        <w:instrText>ADDIN CSL_CITATION { "citationItems" : [ { "id" : "ITEM-1", "itemData" : { "DOI" : "10.1016/j.neuropsychologia.2004.05.005", "ISSN" : "0028-3932", "abstract" : "Number processing is known to involve several sites within the posterior regions of parietal cortex. Here, we investigated whether neural activity in the inferior parietal lobule (IPL) is essential for number processing, by observing the effects of interfering with its activity during the execution of a standard number comparison task. Subjects performance on the task was significantly slowed down when we delivered trains of repetitive transcranial magnetic stimuli (rTMS) to the posterior parietal scalp site overlying the left IPL, while rTMS did not affect the number comparison task if delivered to homologous, contralateral (right) IPL. In conclusion, the present findings add support to a growing body of evidence from neuropsychology and neuroimaging studies that the left inferior parietal lobule is an important component of the networks subserving the representation of quantity.", "author" : [ { "dropping-particle" : "", "family" : "Sandrini", "given" : "M", "non-dropping-particle" : "", "parse-names" : false, "suffix" : "" }, { "dropping-particle" : "", "family" : "Rossini", "given" : "P M", "non-dropping-particle" : "", "parse-names" : false, "suffix" : "" }, { "dropping-particle" : "", "family" : "Miniussi", "given" : "C", "non-dropping-particle" : "", "parse-names" : false, "suffix" : "" } ], "container-title" : "Neuropsychologia", "id" : "ITEM-1", "issued" : { "date-parts" : [ [ "2004" ] ] }, "language" : "eng", "page" : "1902-1909", "title" : "The differential involvement of inferior parietal lobule in number comparison: a rTMS study", "type" : "article-journal", "volume" : "42" }, "uris" : [ "http://www.mendeley.com/documents/?uuid=2c427811-2d91-41fd-84cf-818f51ae95f1" ] }, { "id" : "ITEM-2", "itemData" : { "DOI" : "10.1006/nimg.2001.0927", "ISBN" : "1053-8119 (Print)\\r1053-8119 (Linking)", "ISSN" : "1053-8119", "PMID" : "11707084", "abstract" : "To investigate the hemispheric organization of a language-independent spatial representation of number magnitude in the human brain we applied focal repetitive transcranial magnetic stimulation (rTMS) to the right or left angular gyrus while subjects performed a number comparison task with numbers between 31 and 99. Repetitive TMS over the angular gyrus disrupted performance of a visuospatial search task, and rTMS at the same site disrupted organization of the putative \"number line.\" In some cases the pattern of disruption caused by angular gyrus rTMS suggested that this area normally mediates a spatial representation of number. The effect of angular gyrus rTMS on the number line task was specific. rTMS had no disruptive effect when delivered over another parietal region, the supramarginal gyrus, in either the left or the right hemisphere.", "author" : [ { "dropping-particle" : "", "family" : "G\u00f6bel", "given" : "S", "non-dropping-particle" : "", "parse-names" : false, "suffix" : "" }, { "dropping-particle" : "", "family" : "Walsh", "given" : "V", "non-dropping-particle" : "", "parse-names" : false, "suffix" : "" }, { "dropping-particle" : "", "family" : "Rushworth", "given" : "M F", "non-dropping-particle" : "", "parse-names" : false, "suffix" : "" } ], "container-title" : "NeuroImage", "id" : "ITEM-2", "issued" : { "date-parts" : [ [ "2001" ] ] }, "page" : "1278-1289", "title" : "The mental number line and the human angular gyrus.", "type" : "article-journal", "volume" : "14" }, "uris" : [ "http://www.mendeley.com/documents/?uuid=296fe727-0f55-4e92-bd28-061ea2034a9d" ] }, { "id" : "ITEM-3", "itemData" : { "DOI" : "10.1093/cercor/11.4.350", "ISBN" : "1047-3211", "ISSN" : "1047-3211", "PMID" : "11278198", "abstract" : "Mental calculation is a complex cognitive operation that is composed of a set of distinct functional processes. Using functional magnetic resonance imaging (fMRI), we mapped brain activity in healthy subjects performing arithmetical tasks and control tasks evoking a comparable load on visuo-constructive, linguistic, attentional and mnemonic functions. During calculation, as well as non-mathematical tasks, similar cortical networks consisting of bilateral prefrontal, premotor and parietal regions were activated, suggesting that most of these cortical areas do not exclusively represent modules for calculation but support more general cognitive operations that are instrumental but not specific to mental arithmetic. Significant differences between calculation and the non-mathematical tasks were found in parietal sub-regions, where non-arithmetic number or letter substitution tasks preferentially activated the superior parietal lobules whereas calculation predominantly elicited activation of the left dorsal angular gyrus and the medial parietal cortices. We interpret the latter activations to reflect sub-processes of mental calculation that are related to the processing of numerical representations during exact calculation and to arithmetical fact retrieval. Finally, we found that more complex calculation tasks involving the application of calculation rules increased activity in left inferior frontal areas that are known to subserve linguistic and working memory functions. Taken together, these findings help to embed the specific cognitive operation of calculation into a neural framework that provides the required set of instrumental components. This result may further inform the cognitive modeling of calculation and adds to the understanding of neuropsychological deficit patterns in patients.", "author" : [ { "dropping-particle" : "", "family" : "Gruber", "given" : "O", "non-dropping-particle" : "", "parse-names" : false, "suffix" : "" }, { "dropping-particle" : "", "family" : "Indefrey", "given" : "P", "non-dropping-particle" : "", "parse-names" : false, "suffix" : "" }, { "dropping-particle" : "", "family" : "Steinmetz", "given" : "H", "non-dropping-particle" : "", "parse-names" : false, "suffix" : "" }, { "dropping-particle" : "", "family" : "Kleinschmidt", "given" : "a", "non-dropping-particle" : "", "parse-names" : false, "suffix" : "" } ], "container-title" : "Cerebral cortex (New York, N.Y. : 1991)", "id" : "ITEM-3", "issued" : { "date-parts" : [ [ "2001" ] ] }, "page" : "350-359", "title" : "Dissociating neural correlates of cognitive components in mental calculation.", "type" : "article-journal", "volume" : "11" }, "uris" : [ "http://www.mendeley.com/documents/?uuid=b714eea1-2562-40dc-9077-7e208d551928" ] }, { "id" : "ITEM-4", "itemData" : { "DOI" : "10.1371/journal.pbio.0040125", "ISBN" : "1545-7885 (Electronic)\\r1544-9173 (Linking)", "ISSN" : "15457885", "PMID" : "16594732", "abstract" : "Adult humans, infants, pre-school children, and non-human animals appear to share a system of approximate numerical processing for non-symbolic stimuli such as arrays of dots or sequences of tones. Behavioral studies of adult humans implicate a link between these non-symbolic numerical abilities and symbolic numerical processing (e.g., similar distance effects in accuracy and reaction-time for arrays of dots and Arabic numerals). However, neuroimaging studies have remained inconclusive on the neural basis of this link. The intraparietal sulcus (IPS) is known to respond selectively to symbolic numerical stimuli such as Arabic numerals. Recent studies, however, have arrived at conflicting conclusions regarding the role of the IPS in processing non-symbolic, numerosity arrays in adulthood, and very little is known about the brain basis of numerical processing early in development. Addressing the question of whether there is an early-developing neural basis for abstract numerical processing is essential for understanding the cognitive origins of our uniquely human capacity for math and science. Using functional magnetic resonance imaging (fMRI) at 4-Tesla and an event-related fMRI adaptation paradigm, we found that adults showed a greater IPS response to visual arrays that deviated from standard stimuli in their number of elements, than to stimuli that deviated in local element shape. These results support previous claims that there is a neurophysiological link between non-symbolic and symbolic numerical processing in adulthood. In parallel, we tested 4-y-old children with the same fMRI adaptation paradigm as adults to determine whether the neural locus of non-symbolic numerical activity in adults shows continuity in function over development. We found that the IPS responded to numerical deviants similarly in 4-y-old children and adults. To our knowledge, this is the first evidence that the neural locus of adult numerical cognition takes form early in development, prior to sophisticated symbolic numerical experience. More broadly, this is also, to our knowledge, the first cognitive fMRI study to test healthy children as young as 4 y, providing new insights into the neurophysiology of human cognitive development.", "author" : [ { "dropping-particle" : "", "family" : "Cantlon", "given" : "Jessica F.", "non-dropping-particle" : "", "parse-names" : false, "suffix" : "" }, { "dropping-particle" : "", "family" : "Brannon", "given" : "Elizabeth M.", "non-dropping-particle" : "", "parse-names" : false, "suffix" : "" }, { "dropping-particle" : "", "family" : "Carter", "given" : "Elizabeth J.", "non-dropping-particle" : "", "parse-names" : false, "suffix" : "" }, { "dropping-particle" : "", "family" : "Pelphrey", "given" : "Kevin a.", "non-dropping-particle" : "", "parse-names" : false, "suffix" : "" } ], "container-title" : "PLoS Biology", "id" : "ITEM-4", "issue" : "5", "issued" : { "date-parts" : [ [ "2006" ] ] }, "page" : "844-854", "title" : "Functional imaging of numerical processing in adults and 4-y-old children", "type" : "article-journal", "volume" : "4" }, "uris" : [ "http://www.mendeley.com/documents/?uuid=eb2bdd43-4762-4ac1-b6e3-2a09c6a71ad1" ] }, { "id" : "ITEM-5", "itemData" : { "DOI" : "10.1016/j.neuroimage.2007.07.041", "ISBN" : "1053-8119", "ISSN" : "10538119", "PMID" : "17851092", "abstract" : "Functional neuroimaging studies have revealed that parietal brain circuits subserve arithmetic problem solving and that their recruitment dynamically changes as a function of training and development. The present study investigated whether the brain activation during mental calculation is also modulated by individual differences in mathematical competence. Twenty-five adult students were selected from a larger pool based on their performance on standardized tests of intelligence and arithmetic and divided into groups of individuals with relatively lower and higher mathematical competence. These groups did not differ in their non-numerical intelligence or age. In an fMRI block-design, participants had to verify the correctness of single-digit and multi-digit multiplication problems. Analyses revealed that the individuals with higher mathematical competence displayed stronger activation of the left angular gyrus while solving both types of arithmetic problems. Additional correlational analyses corroborated the association between individual differences in mathematical competence and angular gyrus activation, even when variability in task performance was controlled for. These findings demonstrate that the recruitment of the left angular gyrus during arithmetic problem solving underlies individual differences in mathematical ability and suggests a stronger reliance on automatic, language-mediated processes in more competent individuals. ?? 2007 Elsevier Inc. All rights reserved.", "author" : [ { "dropping-particle" : "", "family" : "Grabner", "given" : "Roland H.", "non-dropping-particle" : "", "parse-names" : false, "suffix" : "" }, { "dropping-particle" : "", "family" : "Ansari", "given" : "Daniel", "non-dropping-particle" : "", "parse-names" : false, "suffix" : "" }, { "dropping-particle" : "", "family" : "Reishofer", "given" : "Gernot", "non-dropping-particle" : "", "parse-names" : false, "suffix" : "" }, { "dropping-particle" : "", "family" : "Stern", "given" : "Elsbeth", "non-dropping-particle" : "", "parse-names" : false, "suffix" : "" }, { "dropping-particle" : "", "family" : "Ebner", "given" : "Franz", "non-dropping-particle" : "", "parse-names" : false, "suffix" : "" }, { "dropping-particle" : "", "family" : "Neuper", "given" : "Christa", "non-dropping-particle" : "", "parse-names" : false, "suffix" : "" } ], "container-title" : "NeuroImage", "id" : "ITEM-5", "issued" : { "date-parts" : [ [ "2007" ] ] }, "page" : "346-356", "title" : "Individual differences in mathematical competence predict parietal brain activation during mental calculation", "type" : "article-journal", "volume" : "38" }, "uris" : [ "http://www.mendeley.com/documents/?uuid=ced8d632-fa06-4625-956c-0b2f4dcbd488" ] }, { "id" : "ITEM-6", "itemData" : { "DOI" : "10.1016/j.neuroimage.2011.05.035", "ISBN" : "1095-9572 (Electronic)\\r1053-8119 (Linking)", "ISSN" : "10538119", "PMID" : "21620978", "abstract" : "Arabic digits are one of the most ubiquitous symbol sets in the world. While there have been many investigations into the neural processing of the semantic information digits represent (e.g. through numerical comparison tasks), little is known about the neural mechanisms which support the processing of digits as visual symbols. To characterise the component neurocognitive mechanisms which underlie numerical cognition, it is essential to understand the processing of digits as a visual category, independent of numerical magnitude processing. The 'Triple Code Model' (Dehaene, 1992; Dehaene and Cohen, 1995) posits an asemantic visual code for processing Arabic digits in the ventral visual stream, yet there is currently little empirical evidence in support of this code. This outstanding question was addressed in the current functional Magnetic Resonance (fMRI) study by contrasting brain responses during the passive viewing of digits versus letters and novel symbols at short (50. ms) and long (500. ms) presentation times. The results of this study reveal increased activation for familiar symbols (digits and letters) relative to unfamiliar symbols (scrambled digits and letters) at long presentation durations in the left dorsal Angular gyrus (dAG). Furthermore, increased activation for Arabic digits was observed in the left ventral Angular gyrus (vAG) in comparison to letters, scrambled digits and scrambled letters at long presentation durations, but no digit specific activation in any region at short presentation durations. These results suggest an absence of a digit specific 'Visual Number Form Area' (VNFA) in the ventral visual cortex, and provide evidence for the role of the left ventral AG during the processing of digits in the absence of any explicit processing demands. We conclude that Arabic digit processing depends specifically on the left AG rather than a ventral visual stream VNFA. ?? 2011 Elsevier Inc.", "author" : [ { "dropping-particle" : "", "family" : "Price", "given" : "Gavin R.", "non-dropping-particle" : "", "parse-names" : false, "suffix" : "" }, { "dropping-particle" : "", "family" : "Ansari", "given" : "Daniel", "non-dropping-particle" : "", "parse-names" : false, "suffix" : "" } ], "container-title" : "NeuroImage", "id" : "ITEM-6", "issue" : "3", "issued" : { "date-parts" : [ [ "2011" ] ] }, "page" : "1205-1211", "publisher" : "Elsevier Inc.", "title" : "Symbol processing in the left angular gyrus: Evidence from passive perception of digits", "type" : "article-journal", "volume" : "57" }, "uris" : [ "http://www.mendeley.com/documents/?uuid=e77eb106-2ca8-4947-903c-e646b9b4ee8f" ] }, { "id" : "ITEM-7", "itemData" : { "DOI" : "10.1093/cercor/bhi055", "ISBN" : "1047-3211 (Print)\\r1047-3211 (Linking)", "ISSN" : "10473211", "PMID" : "15716474", "abstract" : "Arithmetic reasoning is arguably one of the most important cognitive skills a child must master. Here we examine neurodevelopmental changes in mental arithmetic. Subjects (ages 8-19 years) viewed arithmetic equations and were asked to judge whether the results were correct or incorrect. During two-operand addition or subtraction trials, for which accuracy was comparable across age, older subjects showed greater activation in the left parietal cortex, along the supramarginal gyrus and adjoining anterior intra-parietal sulcus as well as the left lateral occipital temporal cortex. These age-related changes were not associated with alterations in gray matter density, and provide novel evidence for increased functional maturation with age. By contrast, younger subjects showed greater activation in the prefrontal cortex, including the dorsolateral and ventrolateral prefrontal cortex and the anterior cingulate cortex, suggesting that they require comparatively more working memory and attentional resources to achieve similar levels of mental arithmetic performance. Younger subjects also showed greater activation of the hippocampus and dorsal basal ganglia, reflecting the greater demands placed on both declarative and procedural memory systems. Our findings provide evidence for a process of increased functional specialization of the left inferior parietal cortex in mental arithmetic, a process that is accompanied by decreased dependence on memory and attentional resources with development.", "author" : [ { "dropping-particle" : "", "family" : "Rivera", "given" : "S. M.", "non-dropping-particle" : "", "parse-names" : false, "suffix" : "" }, { "dropping-particle" : "", "family" : "Reiss", "given" : "a. L.", "non-dropping-particle" : "", "parse-names" : false, "suffix" : "" }, { "dropping-particle" : "", "family" : "Eckert", "given" : "M. a.", "non-dropping-particle" : "", "parse-names" : false, "suffix" : "" }, { "dropping-particle" : "", "family" : "Menon", "given" : "V.", "non-dropping-particle" : "", "parse-names" : false, "suffix" : "" } ], "container-title" : "Cerebral Cortex", "id" : "ITEM-7", "issue" : "November", "issued" : { "date-parts" : [ [ "2005" ] ] }, "page" : "1779-1790", "title" : "Developmental changes in mental arithmetic: Evidence for increased functional specialization in the left inferior parietal cortex", "type" : "article-journal", "volume" : "15" }, "uris" : [ "http://www.mendeley.com/documents/?uuid=69e176c1-3ad1-44dd-baf4-0862ff260d8a" ] }, { "id" : "ITEM-8", "itemData" : { "DOI" : "10.5455/aim.2012.20.242-243", "ISSN" : "0353-8109", "author" : [ { "dropping-particle" : "", "family" : "Zukic", "given" : "Sanela", "non-dropping-particle" : "", "parse-names" : false, "suffix" : "" }, { "dropping-particle" : "", "family" : "Mrkonjic", "given" : "Zamir", "non-dropping-particle" : "", "parse-names" : false, "suffix" : "" }, { "dropping-particle" : "", "family" : "Sinanovic", "given" : "Osman", "non-dropping-particle" : "", "parse-names" : false, "suffix" : "" }, { "dropping-particle" : "", "family" : "Vidovic", "given" : "Mirjana", "non-dropping-particle" : "", "parse-names" : false, "suffix" : "" }, { "dropping-particle" : "", "family" : "Kojic", "given" : "Biljana", "non-dropping-particle" : "", "parse-names" : false, "suffix" : "" } ], "container-title" : "Acta Informatica Medica", "id" : "ITEM-8", "issue" : "September", "issued" : { "date-parts" : [ [ "2012" ] ] }, "page" : "242", "title" : "Gerstmann&amp;#146;s Syndrome in Acute Stroke Patients", "type" : "article-journal", "volume" : "20" }, "uris" : [ "http://www.mendeley.com/documents/?uuid=008ae47b-2523-40df-82a2-8f31ea3f29be" ] } ], "mendeley" : { "formattedCitation" : "(Sandrini et al. 2004; G\u00f6bel et al. 2001; Gruber et al. 2001; Cantlon et al. 2006; Grabner et al. 2007; Price &amp; Ansari 2011; Rivera et al. 2005; Zukic et al. 2012)", "plainTextFormattedCitation" : "(Sandrini et al. 2004; G\u00f6bel et al. 2001; Gruber et al. 2001; Cantlon et al. 2006; Grabner et al. 2007; Price &amp; Ansari 2011; Rivera et al. 2005; Zukic et al. 2012)", "previouslyFormattedCitation" : "(Sandrini et al. 2004; G\u00f6bel et al. 2001; Gruber et al. 2001; Cantlon et al. 2006; Grabner et al. 2007; Price &amp; Ansari 2011; Rivera et al. 2005; Zukic et al. 2012)" }, "properties" : { "noteIndex" : 0 }, "schema" : "https://github.com/citation-style-language/schema/raw/master/csl-citation.json" }</w:instrText>
      </w:r>
      <w:r w:rsidR="00261733" w:rsidRPr="00023C48">
        <w:rPr>
          <w:rFonts w:ascii="Times" w:hAnsi="Times"/>
        </w:rPr>
        <w:fldChar w:fldCharType="separate"/>
      </w:r>
      <w:r w:rsidR="00255F1F" w:rsidRPr="00255F1F">
        <w:rPr>
          <w:rFonts w:ascii="Times" w:hAnsi="Times"/>
          <w:noProof/>
        </w:rPr>
        <w:t>(Sandrini et al. 2004; Göbel et al. 2001; Gruber et al. 2001; Cantlon et al. 2006; Grabner et al. 2007; Price &amp; Ansari 2011; Rivera et al. 2005; Zukic et al. 2012)</w:t>
      </w:r>
      <w:r w:rsidR="00261733" w:rsidRPr="00023C48">
        <w:rPr>
          <w:rFonts w:ascii="Times" w:hAnsi="Times"/>
        </w:rPr>
        <w:fldChar w:fldCharType="end"/>
      </w:r>
      <w:r w:rsidR="00261733" w:rsidRPr="00023C48">
        <w:rPr>
          <w:rFonts w:ascii="Times" w:hAnsi="Times"/>
        </w:rPr>
        <w:t>.</w:t>
      </w:r>
      <w:r w:rsidR="00261733" w:rsidRPr="00023C48">
        <w:rPr>
          <w:rFonts w:ascii="Times" w:hAnsi="Times" w:cs="Arial"/>
        </w:rPr>
        <w:t xml:space="preserve"> </w:t>
      </w:r>
      <w:r w:rsidR="00C013E6" w:rsidRPr="00023C48">
        <w:rPr>
          <w:rFonts w:ascii="Times" w:hAnsi="Times" w:cs="Arial"/>
        </w:rPr>
        <w:t xml:space="preserve">In contrast, </w:t>
      </w:r>
      <w:r w:rsidR="00E73B9F" w:rsidRPr="00023C48">
        <w:rPr>
          <w:rFonts w:ascii="Times" w:hAnsi="Times" w:cs="Arial"/>
        </w:rPr>
        <w:t xml:space="preserve">impairments of spatial attention </w:t>
      </w:r>
      <w:r w:rsidR="00FE72A9" w:rsidRPr="00023C48">
        <w:rPr>
          <w:rFonts w:ascii="Times" w:hAnsi="Times" w:cs="Arial"/>
        </w:rPr>
        <w:t>and</w:t>
      </w:r>
      <w:r w:rsidR="00C56F03" w:rsidRPr="00023C48">
        <w:rPr>
          <w:rFonts w:ascii="Times" w:hAnsi="Times" w:cs="Arial"/>
        </w:rPr>
        <w:t xml:space="preserve"> </w:t>
      </w:r>
      <w:r w:rsidR="00E73B9F" w:rsidRPr="00023C48">
        <w:rPr>
          <w:rFonts w:ascii="Times" w:hAnsi="Times" w:cs="Arial"/>
        </w:rPr>
        <w:t>spatial neglect</w:t>
      </w:r>
      <w:r w:rsidR="00C56F03" w:rsidRPr="00023C48">
        <w:rPr>
          <w:rFonts w:ascii="Times" w:hAnsi="Times" w:cs="Arial"/>
        </w:rPr>
        <w:t xml:space="preserve"> </w:t>
      </w:r>
      <w:r w:rsidR="00E73B9F" w:rsidRPr="00023C48">
        <w:rPr>
          <w:rFonts w:ascii="Times" w:hAnsi="Times" w:cs="Arial"/>
        </w:rPr>
        <w:t xml:space="preserve">are most commonly </w:t>
      </w:r>
      <w:r w:rsidR="00FE72A9" w:rsidRPr="00023C48">
        <w:rPr>
          <w:rFonts w:ascii="Times" w:hAnsi="Times" w:cs="Arial"/>
        </w:rPr>
        <w:t>observed following</w:t>
      </w:r>
      <w:r w:rsidR="00E73ECC" w:rsidRPr="00023C48">
        <w:rPr>
          <w:rFonts w:ascii="Times" w:hAnsi="Times" w:cs="Arial"/>
        </w:rPr>
        <w:t xml:space="preserve"> </w:t>
      </w:r>
      <w:r w:rsidR="00B31D79" w:rsidRPr="00023C48">
        <w:rPr>
          <w:rFonts w:ascii="Times" w:hAnsi="Times" w:cs="Arial"/>
        </w:rPr>
        <w:t xml:space="preserve">right </w:t>
      </w:r>
      <w:r w:rsidR="00E73B9F" w:rsidRPr="00023C48">
        <w:rPr>
          <w:rFonts w:ascii="Times" w:hAnsi="Times" w:cs="Arial"/>
        </w:rPr>
        <w:t>parietal lesion</w:t>
      </w:r>
      <w:r w:rsidR="00C56F03" w:rsidRPr="00023C48">
        <w:rPr>
          <w:rFonts w:ascii="Times" w:hAnsi="Times" w:cs="Arial"/>
        </w:rPr>
        <w:t>s</w:t>
      </w:r>
      <w:r w:rsidR="00E73B9F" w:rsidRPr="00023C48">
        <w:rPr>
          <w:rFonts w:ascii="Times" w:hAnsi="Times" w:cs="Arial"/>
        </w:rPr>
        <w:t xml:space="preserve"> </w:t>
      </w:r>
      <w:r w:rsidR="002B4049" w:rsidRPr="00023C48">
        <w:rPr>
          <w:rFonts w:ascii="Times" w:hAnsi="Times" w:cs="Arial"/>
        </w:rPr>
        <w:fldChar w:fldCharType="begin" w:fldLock="1"/>
      </w:r>
      <w:r w:rsidR="00B260BF">
        <w:rPr>
          <w:rFonts w:ascii="Times" w:hAnsi="Times" w:cs="Arial"/>
        </w:rPr>
        <w:instrText>ADDIN CSL_CITATION { "citationItems" : [ { "id" : "ITEM-1", "itemData" : { "DOI" : "10.1146/annurev-neuro-061010-113731", "ISBN" : "0610101137", "ISSN" : "1545-4126", "PMID" : "21692662", "abstract" : "Unilateral spatial neglect is a common neurological syndrome following predominantly right hemisphere injuries and is characterized by both spatial and non-spatial deficits. Core spatial deficits involve mechanisms for saliency coding, spatial attention, and short-term memory and occur in conjunction with nonspatial deficits that involve reorienting, target detection, and arousal/vigilance. We argue that neglect is better explained by the dysfunction of distributed cortical networks for the control of attention than by structural damage of specific brain regions. Ventral lesions in right parietal, temporal, and frontal cortex that cause neglect directly impair nonspatial functions partly mediated by a ventral frontoparietal attention network. Structural damage in ventral cortex also induces physiological abnormalities of task-evoked activity and functional connectivity in a dorsal frontoparietal network that controls spatial attention. The anatomy and right hemisphere dominance of neglect follow from the anatomy and laterality of the ventral regions that interact with the dorsal attention network.", "author" : [ { "dropping-particle" : "", "family" : "Corbetta", "given" : "Maurizio", "non-dropping-particle" : "", "parse-names" : false, "suffix" : "" }, { "dropping-particle" : "", "family" : "Shulman", "given" : "Gordon L", "non-dropping-particle" : "", "parse-names" : false, "suffix" : "" } ], "container-title" : "Annual review of neuroscience", "id" : "ITEM-1", "issued" : { "date-parts" : [ [ "2011", "1" ] ] }, "number-of-pages" : "569-599", "title" : "Spatial neglect and attention networks.", "type" : "book", "volume" : "34" }, "uris" : [ "http://www.mendeley.com/documents/?uuid=fc0aac46-da15-420b-bd97-b8a8867d89a4" ] }, { "id" : "ITEM-2", "itemData" : { "DOI" : "10.1093/brain/awn350", "ISBN" : "1460-2156 (Electronic)\\n1460-2156 (Linking)", "ISSN" : "00068950", "PMID" : "19158107", "abstract" : "Recent models of human posterior parietal cortex (PPC) have variously emphasized its role in spatial perception, visuomotor control or directing attention. However, neuroimaging and lesion studies also suggest that the right PPC might play a special role in maintaining an alert state. Previously, assessments of right-hemisphere patients with hemispatial neglect have revealed significant overall deficits on vigilance tasks, but to date there has been no demonstration of a deterioration of performance over time--a vigilance decrement--considered by some to be a key index of a deficit in maintaining attention. Moreover, sustained attention deficits in neglect have not specifically been related to PPC lesions, and it remains unclear whether they interact with spatial impairments in this syndrome. Here we examined the ability of right-hemisphere patients with neglect to maintain attention, comparing them to stroke controls and healthy individuals. We found evidence of an overall deficit in sustaining attention associated with PPC lesions, even for a simple detection task with stimuli presented centrally. In a second experiment, we demonstrated a vigilance decrement in neglect patients specifically only when they were required to maintain attention to spatial locations, but not verbal material. Lesioned voxels in the right PPC spanning a region between the intraparietal sulcus and inferior parietal lobe were significantly associated with this deficit. Finally, we compared performance on a task that required attention to be maintained either to visual patterns or spatial locations, matched for task difficulty. Again, we found a vigilance decrement but only when attention had to be maintained on spatial information. We conclude that sustaining attention to spatial locations is a critical function of the human right PPC which needs to be incorporated into models of normal parietal function as well as those of the clinical syndrome of hemispatial neglect.", "author" : [ { "dropping-particle" : "", "family" : "Malhotra", "given" : "Paresh", "non-dropping-particle" : "", "parse-names" : false, "suffix" : "" }, { "dropping-particle" : "", "family" : "Coulthard", "given" : "Elizabeth J.", "non-dropping-particle" : "", "parse-names" : false, "suffix" : "" }, { "dropping-particle" : "", "family" : "Husain", "given" : "Masud", "non-dropping-particle" : "", "parse-names" : false, "suffix" : "" } ], "container-title" : "Brain", "id" : "ITEM-2", "issued" : { "date-parts" : [ [ "2009" ] ] }, "page" : "645-660", "title" : "Role of right posterior parietal cortex in maintaining attention to spatial locations over time", "type" : "article-journal", "volume" : "132" }, "uris" : [ "http://www.mendeley.com/documents/?uuid=908d3f58-0239-465a-8ae8-a6ce5e959e60" ] }, { "id" : "ITEM-3", "itemData" : { "DOI" : "10.1093/brain/awg200", "ISBN" : "0006-8950 (Print)", "ISSN" : "00068950", "PMID" : "12821519", "abstract" : "The brain regions that are critically associated with visual neglect have become intensely disputed. In particular, one study of middle cerebral artery (MCA) stroke patients has claimed that the key brain region associated with neglect is the mid portion of the superior temporal gyrus (STG), on the lateral surface of the right hemisphere, rather than the posterior parietal lobe. Such a result has wide-ranging implications for both our understanding of the normal function these cortical areas and the potential mechanisms underlying neglect. Here, we use novel high resolution MRI protocols to map the lesions of 35 right-hemisphere patients who had suffered either MCA or posterior cerebral artery (PCA) territory stroke. For patients with MCA territory strokes, the critical area involved in all neglect patients was the angular gyrus of the inferior parietal lobe (IPL). Although the STG was damaged in half of our MCA neglect patients, it was spared in the rest. For PCA territory strokes, all patients with neglect had lesions involving the parahippocampal region, on the medial surface of the temporal lobe. PCA patients without neglect did not have damage to this area. We conclude that damage to two posterior regions, one in the IPL and the other in the medial temporal lobe, is associated with neglect. Although some neglect patients do have damage to the STG, our findings challenge the recent influential proposal that lesions of this area are critically associated with neglect. Instead, our results implicate the angular gyrus and parahippocampal region in this role.", "author" : [ { "dropping-particle" : "", "family" : "Mort", "given" : "Dominic J.", "non-dropping-particle" : "", "parse-names" : false, "suffix" : "" }, { "dropping-particle" : "", "family" : "Malhotra", "given" : "Paresh", "non-dropping-particle" : "", "parse-names" : false, "suffix" : "" }, { "dropping-particle" : "", "family" : "Mannan", "given" : "Sabira K.", "non-dropping-particle" : "", "parse-names" : false, "suffix" : "" }, { "dropping-particle" : "", "family" : "Rorden", "given" : "Chris", "non-dropping-particle" : "", "parse-names" : false, "suffix" : "" }, { "dropping-particle" : "", "family" : "Pambakian", "given" : "Alidz", "non-dropping-particle" : "", "parse-names" : false, "suffix" : "" }, { "dropping-particle" : "", "family" : "Kennard", "given" : "Chris", "non-dropping-particle" : "", "parse-names" : false, "suffix" : "" }, { "dropping-particle" : "", "family" : "Husain", "given" : "Masud", "non-dropping-particle" : "", "parse-names" : false, "suffix" : "" } ], "container-title" : "Brain", "id" : "ITEM-3", "issue" : "9", "issued" : { "date-parts" : [ [ "2003" ] ] }, "page" : "1986-1997", "title" : "The anatomy of visual neglect", "type" : "article-journal", "volume" : "126" }, "uris" : [ "http://www.mendeley.com/documents/?uuid=027f4f3d-9912-43a2-9c70-a1efba838e91" ] } ], "mendeley" : { "formattedCitation" : "(Corbetta &amp; Shulman 2011; Malhotra et al. 2009; Mort et al. 2003)", "plainTextFormattedCitation" : "(Corbetta &amp; Shulman 2011; Malhotra et al. 2009; Mort et al. 2003)", "previouslyFormattedCitation" : "(Corbetta &amp; Shulman 2011; Malhotra et al. 2009; Mort et al. 2003)" }, "properties" : { "noteIndex" : 0 }, "schema" : "https://github.com/citation-style-language/schema/raw/master/csl-citation.json" }</w:instrText>
      </w:r>
      <w:r w:rsidR="002B4049" w:rsidRPr="00023C48">
        <w:rPr>
          <w:rFonts w:ascii="Times" w:hAnsi="Times" w:cs="Arial"/>
        </w:rPr>
        <w:fldChar w:fldCharType="separate"/>
      </w:r>
      <w:r w:rsidR="00255F1F" w:rsidRPr="00255F1F">
        <w:rPr>
          <w:rFonts w:ascii="Times" w:hAnsi="Times" w:cs="Arial"/>
          <w:noProof/>
        </w:rPr>
        <w:t>(Corbetta &amp; Shulman 2011; Malhotra et al. 2009; Mort et al. 2003)</w:t>
      </w:r>
      <w:r w:rsidR="002B4049" w:rsidRPr="00023C48">
        <w:rPr>
          <w:rFonts w:ascii="Times" w:hAnsi="Times" w:cs="Arial"/>
        </w:rPr>
        <w:fldChar w:fldCharType="end"/>
      </w:r>
      <w:r w:rsidR="00E73ECC" w:rsidRPr="00023C48">
        <w:rPr>
          <w:rFonts w:ascii="Times" w:hAnsi="Times" w:cs="Arial"/>
        </w:rPr>
        <w:t>.</w:t>
      </w:r>
      <w:r w:rsidR="00261733" w:rsidRPr="00023C48">
        <w:rPr>
          <w:rFonts w:ascii="Times" w:hAnsi="Times" w:cs="Arial"/>
        </w:rPr>
        <w:t xml:space="preserve"> </w:t>
      </w:r>
      <w:r w:rsidR="006E75AE" w:rsidRPr="00023C48">
        <w:rPr>
          <w:rFonts w:ascii="Times" w:hAnsi="Times" w:cs="Arial"/>
        </w:rPr>
        <w:t>These impairments</w:t>
      </w:r>
      <w:r w:rsidR="002211E9" w:rsidRPr="00023C48">
        <w:rPr>
          <w:rFonts w:ascii="Times" w:hAnsi="Times" w:cs="Arial"/>
        </w:rPr>
        <w:t xml:space="preserve"> </w:t>
      </w:r>
      <w:r w:rsidR="006E75AE" w:rsidRPr="00023C48">
        <w:rPr>
          <w:rFonts w:ascii="Times" w:hAnsi="Times" w:cs="Arial"/>
        </w:rPr>
        <w:t>have</w:t>
      </w:r>
      <w:r w:rsidR="002211E9" w:rsidRPr="00023C48">
        <w:rPr>
          <w:rFonts w:ascii="Times" w:hAnsi="Times" w:cs="Arial"/>
        </w:rPr>
        <w:t xml:space="preserve"> </w:t>
      </w:r>
      <w:r w:rsidR="00EA18DD" w:rsidRPr="00023C48">
        <w:rPr>
          <w:rFonts w:ascii="Times" w:hAnsi="Times" w:cs="Arial"/>
        </w:rPr>
        <w:t xml:space="preserve">primarily </w:t>
      </w:r>
      <w:r w:rsidR="002211E9" w:rsidRPr="00023C48">
        <w:rPr>
          <w:rFonts w:ascii="Times" w:hAnsi="Times" w:cs="Arial"/>
        </w:rPr>
        <w:t xml:space="preserve">been explained in terms of disruption of </w:t>
      </w:r>
      <w:r w:rsidR="005B0651" w:rsidRPr="00023C48">
        <w:rPr>
          <w:rFonts w:ascii="Times" w:hAnsi="Times" w:cs="Arial"/>
        </w:rPr>
        <w:t xml:space="preserve">a </w:t>
      </w:r>
      <w:r w:rsidR="002211E9" w:rsidRPr="00023C48">
        <w:rPr>
          <w:rFonts w:ascii="Times" w:hAnsi="Times" w:cs="Arial"/>
        </w:rPr>
        <w:t>specific cognitive process</w:t>
      </w:r>
      <w:r w:rsidR="007F6914" w:rsidRPr="00023C48">
        <w:rPr>
          <w:rFonts w:ascii="Times" w:hAnsi="Times" w:cs="Arial"/>
        </w:rPr>
        <w:t xml:space="preserve"> </w:t>
      </w:r>
      <w:r w:rsidR="00101A27" w:rsidRPr="00023C48">
        <w:rPr>
          <w:rFonts w:ascii="Times" w:hAnsi="Times" w:cs="Arial"/>
        </w:rPr>
        <w:fldChar w:fldCharType="begin" w:fldLock="1"/>
      </w:r>
      <w:r w:rsidR="00B260BF">
        <w:rPr>
          <w:rFonts w:ascii="Times" w:hAnsi="Times" w:cs="Arial"/>
        </w:rPr>
        <w:instrText>ADDIN CSL_CITATION { "citationItems" : [ { "id" : "ITEM-1", "itemData" : { "DOI" : "10.5455/aim.2012.20.242-243", "ISSN" : "0353-8109", "author" : [ { "dropping-particle" : "", "family" : "Zukic", "given" : "Sanela", "non-dropping-particle" : "", "parse-names" : false, "suffix" : "" }, { "dropping-particle" : "", "family" : "Mrkonjic", "given" : "Zamir", "non-dropping-particle" : "", "parse-names" : false, "suffix" : "" }, { "dropping-particle" : "", "family" : "Sinanovic", "given" : "Osman", "non-dropping-particle" : "", "parse-names" : false, "suffix" : "" }, { "dropping-particle" : "", "family" : "Vidovic", "given" : "Mirjana", "non-dropping-particle" : "", "parse-names" : false, "suffix" : "" }, { "dropping-particle" : "", "family" : "Kojic", "given" : "Biljana", "non-dropping-particle" : "", "parse-names" : false, "suffix" : "" } ], "container-title" : "Acta Informatica Medica", "id" : "ITEM-1", "issue" : "September", "issued" : { "date-parts" : [ [ "2012" ] ] }, "page" : "242", "title" : "Gerstmann&amp;#146;s Syndrome in Acute Stroke Patients", "type" : "article-journal", "volume" : "20" }, "uris" : [ "http://www.mendeley.com/documents/?uuid=008ae47b-2523-40df-82a2-8f31ea3f29be" ] }, { "id" : "ITEM-2", "itemData" : { "DOI" : "10.1016/j.neuropsychologia.2004.05.005", "ISSN" : "0028-3932", "abstract" : "Number processing is known to involve several sites within the posterior regions of parietal cortex. Here, we investigated whether neural activity in the inferior parietal lobule (IPL) is essential for number processing, by observing the effects of interfering with its activity during the execution of a standard number comparison task. Subjects performance on the task was significantly slowed down when we delivered trains of repetitive transcranial magnetic stimuli (rTMS) to the posterior parietal scalp site overlying the left IPL, while rTMS did not affect the number comparison task if delivered to homologous, contralateral (right) IPL. In conclusion, the present findings add support to a growing body of evidence from neuropsychology and neuroimaging studies that the left inferior parietal lobule is an important component of the networks subserving the representation of quantity.", "author" : [ { "dropping-particle" : "", "family" : "Sandrini", "given" : "M", "non-dropping-particle" : "", "parse-names" : false, "suffix" : "" }, { "dropping-particle" : "", "family" : "Rossini", "given" : "P M", "non-dropping-particle" : "", "parse-names" : false, "suffix" : "" }, { "dropping-particle" : "", "family" : "Miniussi", "given" : "C", "non-dropping-particle" : "", "parse-names" : false, "suffix" : "" } ], "container-title" : "Neuropsychologia", "id" : "ITEM-2", "issued" : { "date-parts" : [ [ "2004" ] ] }, "language" : "eng", "page" : "1902-1909", "title" : "The differential involvement of inferior parietal lobule in number comparison: a rTMS study", "type" : "article-journal", "volume" : "42" }, "uris" : [ "http://www.mendeley.com/documents/?uuid=2c427811-2d91-41fd-84cf-818f51ae95f1" ] }, { "id" : "ITEM-3", "itemData" : { "DOI" : "10.1146/annurev-neuro-061010-113731", "ISBN" : "0610101137", "ISSN" : "1545-4126", "PMID" : "21692662", "abstract" : "Unilateral spatial neglect is a common neurological syndrome following predominantly right hemisphere injuries and is characterized by both spatial and non-spatial deficits. Core spatial deficits involve mechanisms for saliency coding, spatial attention, and short-term memory and occur in conjunction with nonspatial deficits that involve reorienting, target detection, and arousal/vigilance. We argue that neglect is better explained by the dysfunction of distributed cortical networks for the control of attention than by structural damage of specific brain regions. Ventral lesions in right parietal, temporal, and frontal cortex that cause neglect directly impair nonspatial functions partly mediated by a ventral frontoparietal attention network. Structural damage in ventral cortex also induces physiological abnormalities of task-evoked activity and functional connectivity in a dorsal frontoparietal network that controls spatial attention. The anatomy and right hemisphere dominance of neglect follow from the anatomy and laterality of the ventral regions that interact with the dorsal attention network.", "author" : [ { "dropping-particle" : "", "family" : "Corbetta", "given" : "Maurizio", "non-dropping-particle" : "", "parse-names" : false, "suffix" : "" }, { "dropping-particle" : "", "family" : "Shulman", "given" : "Gordon L", "non-dropping-particle" : "", "parse-names" : false, "suffix" : "" } ], "container-title" : "Annual review of neuroscience", "id" : "ITEM-3", "issued" : { "date-parts" : [ [ "2011", "1" ] ] }, "number-of-pages" : "569-599", "title" : "Spatial neglect and attention networks.", "type" : "book", "volume" : "34" }, "uris" : [ "http://www.mendeley.com/documents/?uuid=fc0aac46-da15-420b-bd97-b8a8867d89a4" ] }, { "id" : "ITEM-4", "itemData" : { "DOI" : "10.1136/jnnp.2006.094417", "ISBN" : "0022-3050", "ISSN" : "1468-330X", "PMID" : "16772354", "abstract" : "OBJECTIVES: To investigate the characteristics and neuroanatomical correlates of visual neglect after right-sided posterior cerebral artery (PCA) infarction. METHODS: 15 patients with acute PCA strokes were screened for the presence of neglect on a comprehensive battery of cognitive tests. Extra tests of visual perception were also carried out on six patients. To establish which areas were critically associated with neglect, the lesions of patients with and without neglect were compared. RESULTS: Neglect of varying severity was documented in 8 patients. In addition, higher-order visual perception was impaired in 5 of the 6 patients. Neglect was critically associated with damage to an area of white matter in the occipital lobe corresponding to a white matter tract connecting the parahippocampal gyrus with the angular gyrus of the parietal lobe. Lesions of the thalamus or splenium of the corpus callosum did not appear necessary or sufficient to cause neglect, but may mediate its severity in these patients. CONCLUSIONS: PCA stroke can result in visual neglect. Interruption of the white matter fibres connecting the parahippocampal gyrus to the angular gyrus may be important in determining whether a patient will manifest neglect.", "author" : [ { "dropping-particle" : "", "family" : "Bird", "given" : "C M", "non-dropping-particle" : "", "parse-names" : false, "suffix" : "" }, { "dropping-particle" : "", "family" : "Malhotra", "given" : "P", "non-dropping-particle" : "", "parse-names" : false, "suffix" : "" }, { "dropping-particle" : "", "family" : "Parton", "given" : "a", "non-dropping-particle" : "", "parse-names" : false, "suffix" : "" }, { "dropping-particle" : "", "family" : "Coulthard", "given" : "E", "non-dropping-particle" : "", "parse-names" : false, "suffix" : "" }, { "dropping-particle" : "", "family" : "Rushworth", "given" : "M F S", "non-dropping-particle" : "", "parse-names" : false, "suffix" : "" }, { "dropping-particle" : "", "family" : "Husain", "given" : "M", "non-dropping-particle" : "", "parse-names" : false, "suffix" : "" } ], "container-title" : "Journal of neurology, neurosurgery, and psychiatry", "id" : "ITEM-4", "issued" : { "date-parts" : [ [ "2006" ] ] }, "page" : "1008-1012", "title" : "Visual neglect after right posterior cerebral artery infarction.", "type" : "article-journal", "volume" : "77" }, "uris" : [ "http://www.mendeley.com/documents/?uuid=dd62edc1-5cb9-4138-ae31-7db16fc7f838" ] } ], "mendeley" : { "formattedCitation" : "(Zukic et al. 2012; Sandrini et al. 2004; Corbetta &amp; Shulman 2011; Bird et al. 2006)", "plainTextFormattedCitation" : "(Zukic et al. 2012; Sandrini et al. 2004; Corbetta &amp; Shulman 2011; Bird et al. 2006)", "previouslyFormattedCitation" : "(Zukic et al. 2012; Sandrini et al. 2004; Corbetta &amp; Shulman 2011; Bird et al. 2006)" }, "properties" : { "noteIndex" : 0 }, "schema" : "https://github.com/citation-style-language/schema/raw/master/csl-citation.json" }</w:instrText>
      </w:r>
      <w:r w:rsidR="00101A27" w:rsidRPr="00023C48">
        <w:rPr>
          <w:rFonts w:ascii="Times" w:hAnsi="Times" w:cs="Arial"/>
        </w:rPr>
        <w:fldChar w:fldCharType="separate"/>
      </w:r>
      <w:r w:rsidR="00255F1F" w:rsidRPr="00255F1F">
        <w:rPr>
          <w:rFonts w:ascii="Times" w:hAnsi="Times" w:cs="Arial"/>
          <w:noProof/>
        </w:rPr>
        <w:t>(Zukic et al. 2012; Sandrini et al. 2004; Corbetta &amp; Shulman 2011; Bird et al. 2006)</w:t>
      </w:r>
      <w:r w:rsidR="00101A27" w:rsidRPr="00023C48">
        <w:rPr>
          <w:rFonts w:ascii="Times" w:hAnsi="Times" w:cs="Arial"/>
        </w:rPr>
        <w:fldChar w:fldCharType="end"/>
      </w:r>
      <w:r w:rsidR="002211E9" w:rsidRPr="00023C48">
        <w:rPr>
          <w:rFonts w:ascii="Times" w:hAnsi="Times" w:cs="Arial"/>
        </w:rPr>
        <w:t xml:space="preserve">. </w:t>
      </w:r>
      <w:r w:rsidR="00305D6B" w:rsidRPr="00023C48">
        <w:rPr>
          <w:rFonts w:ascii="Times" w:hAnsi="Times" w:cs="Arial"/>
        </w:rPr>
        <w:t>However, attention</w:t>
      </w:r>
      <w:r w:rsidR="006E75AE" w:rsidRPr="00023C48">
        <w:rPr>
          <w:rFonts w:ascii="Times" w:hAnsi="Times" w:cs="Arial"/>
        </w:rPr>
        <w:t xml:space="preserve"> also</w:t>
      </w:r>
      <w:r w:rsidR="005B0651" w:rsidRPr="00023C48">
        <w:rPr>
          <w:rFonts w:ascii="Times" w:hAnsi="Times" w:cs="Arial"/>
        </w:rPr>
        <w:t xml:space="preserve"> non-specifically</w:t>
      </w:r>
      <w:r w:rsidR="00305D6B" w:rsidRPr="00023C48">
        <w:rPr>
          <w:rFonts w:ascii="Times" w:hAnsi="Times" w:cs="Arial"/>
        </w:rPr>
        <w:t xml:space="preserve"> </w:t>
      </w:r>
      <w:r w:rsidR="006E75AE" w:rsidRPr="00023C48">
        <w:rPr>
          <w:rFonts w:ascii="Times" w:hAnsi="Times" w:cs="Arial"/>
        </w:rPr>
        <w:t>affects performance</w:t>
      </w:r>
      <w:r w:rsidR="00E5485B" w:rsidRPr="00023C48">
        <w:rPr>
          <w:rFonts w:ascii="Times" w:hAnsi="Times" w:cs="Arial"/>
        </w:rPr>
        <w:t xml:space="preserve"> on a </w:t>
      </w:r>
      <w:r w:rsidR="00E371A5" w:rsidRPr="00023C48">
        <w:rPr>
          <w:rFonts w:ascii="Times" w:hAnsi="Times" w:cs="Arial"/>
        </w:rPr>
        <w:t xml:space="preserve">broad </w:t>
      </w:r>
      <w:r w:rsidR="00E5485B" w:rsidRPr="00023C48">
        <w:rPr>
          <w:rFonts w:ascii="Times" w:hAnsi="Times" w:cs="Arial"/>
        </w:rPr>
        <w:t>range</w:t>
      </w:r>
      <w:r w:rsidR="005B0651" w:rsidRPr="00023C48">
        <w:rPr>
          <w:rFonts w:ascii="Times" w:hAnsi="Times" w:cs="Arial"/>
        </w:rPr>
        <w:t xml:space="preserve"> of tasks</w:t>
      </w:r>
      <w:r w:rsidR="00E371A5" w:rsidRPr="00023C48">
        <w:rPr>
          <w:rFonts w:ascii="Times" w:hAnsi="Times" w:cs="Arial"/>
        </w:rPr>
        <w:t>,</w:t>
      </w:r>
      <w:r w:rsidR="00EF48F2" w:rsidRPr="00023C48">
        <w:rPr>
          <w:rFonts w:ascii="Times" w:hAnsi="Times" w:cs="Arial"/>
        </w:rPr>
        <w:t xml:space="preserve"> </w:t>
      </w:r>
      <w:r w:rsidR="00E371A5" w:rsidRPr="00023C48">
        <w:rPr>
          <w:rFonts w:ascii="Times" w:hAnsi="Times" w:cs="Arial"/>
        </w:rPr>
        <w:t>since</w:t>
      </w:r>
      <w:r w:rsidR="005B0651" w:rsidRPr="00023C48">
        <w:rPr>
          <w:rFonts w:ascii="Times" w:hAnsi="Times" w:cs="Arial"/>
        </w:rPr>
        <w:t xml:space="preserve"> </w:t>
      </w:r>
      <w:r w:rsidR="00EF48F2" w:rsidRPr="00023C48">
        <w:rPr>
          <w:rFonts w:ascii="Times" w:hAnsi="Times" w:cs="Arial"/>
        </w:rPr>
        <w:t>an adequate</w:t>
      </w:r>
      <w:r w:rsidR="003B57E9" w:rsidRPr="00023C48">
        <w:rPr>
          <w:rFonts w:ascii="Times" w:hAnsi="Times" w:cs="Arial"/>
        </w:rPr>
        <w:t xml:space="preserve"> ‘intensity’ of attention </w:t>
      </w:r>
      <w:r w:rsidR="00EF48F2" w:rsidRPr="00023C48">
        <w:rPr>
          <w:rFonts w:ascii="Times" w:hAnsi="Times" w:cs="Arial"/>
        </w:rPr>
        <w:t>is</w:t>
      </w:r>
      <w:r w:rsidR="005B0651" w:rsidRPr="00023C48">
        <w:rPr>
          <w:rFonts w:ascii="Times" w:hAnsi="Times" w:cs="Arial"/>
        </w:rPr>
        <w:t xml:space="preserve"> often</w:t>
      </w:r>
      <w:r w:rsidR="00EF48F2" w:rsidRPr="00023C48">
        <w:rPr>
          <w:rFonts w:ascii="Times" w:hAnsi="Times" w:cs="Arial"/>
        </w:rPr>
        <w:t xml:space="preserve"> </w:t>
      </w:r>
      <w:r w:rsidR="005B0651" w:rsidRPr="00023C48">
        <w:rPr>
          <w:rFonts w:ascii="Times" w:hAnsi="Times" w:cs="Arial"/>
        </w:rPr>
        <w:t>required for efficient goal-directed behaviour</w:t>
      </w:r>
      <w:r w:rsidR="003B57E9" w:rsidRPr="00023C48">
        <w:rPr>
          <w:rFonts w:ascii="Times" w:hAnsi="Times" w:cs="Arial"/>
        </w:rPr>
        <w:t xml:space="preserve"> </w:t>
      </w:r>
      <w:r w:rsidR="003B57E9" w:rsidRPr="00023C48">
        <w:rPr>
          <w:rFonts w:ascii="Times" w:hAnsi="Times" w:cs="Arial"/>
        </w:rPr>
        <w:fldChar w:fldCharType="begin" w:fldLock="1"/>
      </w:r>
      <w:r w:rsidR="00B260BF">
        <w:rPr>
          <w:rFonts w:ascii="Times" w:hAnsi="Times" w:cs="Arial"/>
        </w:rPr>
        <w:instrText>ADDIN CSL_CITATION { "citationItems" : [ { "id" : "ITEM-1", "itemData" : { "author" : [ { "dropping-particle" : "", "family" : "Parasuraman", "given" : "R", "non-dropping-particle" : "", "parse-names" : false, "suffix" : "" } ], "container-title" : "The attentive brain", "id" : "ITEM-1", "issued" : { "date-parts" : [ [ "1998" ] ] }, "page" : "3-15", "publisher" : "MIT Press", "publisher-place" : "Cambridge, MA", "title" : "The attentive brain: issues and prospects", "type" : "chapter" }, "uris" : [ "http://www.mendeley.com/documents/?uuid=ff98b238-5d51-42ab-b721-d8d082a11689" ] } ], "mendeley" : { "formattedCitation" : "(Parasuraman 1998)", "plainTextFormattedCitation" : "(Parasuraman 1998)", "previouslyFormattedCitation" : "(Parasuraman 1998)" }, "properties" : { "noteIndex" : 0 }, "schema" : "https://github.com/citation-style-language/schema/raw/master/csl-citation.json" }</w:instrText>
      </w:r>
      <w:r w:rsidR="003B57E9" w:rsidRPr="00023C48">
        <w:rPr>
          <w:rFonts w:ascii="Times" w:hAnsi="Times" w:cs="Arial"/>
        </w:rPr>
        <w:fldChar w:fldCharType="separate"/>
      </w:r>
      <w:r w:rsidR="00255F1F" w:rsidRPr="00255F1F">
        <w:rPr>
          <w:rFonts w:ascii="Times" w:hAnsi="Times" w:cs="Arial"/>
          <w:noProof/>
        </w:rPr>
        <w:t>(Parasuraman 1998)</w:t>
      </w:r>
      <w:r w:rsidR="003B57E9" w:rsidRPr="00023C48">
        <w:rPr>
          <w:rFonts w:ascii="Times" w:hAnsi="Times" w:cs="Arial"/>
        </w:rPr>
        <w:fldChar w:fldCharType="end"/>
      </w:r>
      <w:r w:rsidR="003B57E9" w:rsidRPr="00023C48">
        <w:rPr>
          <w:rFonts w:ascii="Times" w:hAnsi="Times" w:cs="Arial"/>
        </w:rPr>
        <w:t xml:space="preserve">. </w:t>
      </w:r>
    </w:p>
    <w:p w14:paraId="021DB673" w14:textId="77777777" w:rsidR="00EF48F2" w:rsidRPr="00023C48" w:rsidRDefault="00EF48F2" w:rsidP="005374CB">
      <w:pPr>
        <w:spacing w:line="480" w:lineRule="auto"/>
        <w:jc w:val="both"/>
        <w:rPr>
          <w:rFonts w:ascii="Times" w:hAnsi="Times" w:cs="Arial"/>
        </w:rPr>
      </w:pPr>
    </w:p>
    <w:p w14:paraId="2881B530" w14:textId="1141D7C8" w:rsidR="002F48DA" w:rsidRPr="00023C48" w:rsidRDefault="003B57E9" w:rsidP="005374CB">
      <w:pPr>
        <w:spacing w:line="480" w:lineRule="auto"/>
        <w:jc w:val="both"/>
        <w:rPr>
          <w:rFonts w:ascii="Times" w:hAnsi="Times" w:cs="Arial"/>
        </w:rPr>
      </w:pPr>
      <w:r w:rsidRPr="00023C48">
        <w:rPr>
          <w:rFonts w:ascii="Times" w:hAnsi="Times" w:cs="Arial"/>
        </w:rPr>
        <w:t>S</w:t>
      </w:r>
      <w:r w:rsidR="006E75AE" w:rsidRPr="00023C48">
        <w:rPr>
          <w:rFonts w:ascii="Times" w:hAnsi="Times" w:cs="Arial"/>
        </w:rPr>
        <w:t xml:space="preserve">ome cognitive </w:t>
      </w:r>
      <w:r w:rsidR="00E10C0D" w:rsidRPr="00023C48">
        <w:rPr>
          <w:rFonts w:ascii="Times" w:hAnsi="Times" w:cs="Arial"/>
        </w:rPr>
        <w:t>problems</w:t>
      </w:r>
      <w:r w:rsidR="006E75AE" w:rsidRPr="00023C48">
        <w:rPr>
          <w:rFonts w:ascii="Times" w:hAnsi="Times" w:cs="Arial"/>
        </w:rPr>
        <w:t xml:space="preserve"> </w:t>
      </w:r>
      <w:r w:rsidR="00E371A5" w:rsidRPr="00023C48">
        <w:rPr>
          <w:rFonts w:ascii="Times" w:hAnsi="Times" w:cs="Arial"/>
        </w:rPr>
        <w:t xml:space="preserve">may </w:t>
      </w:r>
      <w:r w:rsidR="006E75AE" w:rsidRPr="00023C48">
        <w:rPr>
          <w:rFonts w:ascii="Times" w:hAnsi="Times" w:cs="Arial"/>
        </w:rPr>
        <w:t xml:space="preserve">result from a combination of a specific impairment </w:t>
      </w:r>
      <w:r w:rsidR="00613917" w:rsidRPr="00023C48">
        <w:rPr>
          <w:rFonts w:ascii="Times" w:hAnsi="Times" w:cs="Arial"/>
        </w:rPr>
        <w:t>and</w:t>
      </w:r>
      <w:r w:rsidR="006E75AE" w:rsidRPr="00023C48">
        <w:rPr>
          <w:rFonts w:ascii="Times" w:hAnsi="Times" w:cs="Arial"/>
        </w:rPr>
        <w:t xml:space="preserve"> a change in</w:t>
      </w:r>
      <w:r w:rsidR="007F5B01" w:rsidRPr="00023C48">
        <w:rPr>
          <w:rFonts w:ascii="Times" w:hAnsi="Times" w:cs="Arial"/>
        </w:rPr>
        <w:t xml:space="preserve"> </w:t>
      </w:r>
      <w:r w:rsidR="006E75AE" w:rsidRPr="00023C48">
        <w:rPr>
          <w:rFonts w:ascii="Times" w:hAnsi="Times" w:cs="Arial"/>
        </w:rPr>
        <w:t>attentional processing</w:t>
      </w:r>
      <w:r w:rsidR="00305D6B" w:rsidRPr="00023C48">
        <w:rPr>
          <w:rFonts w:ascii="Times" w:hAnsi="Times" w:cs="Arial"/>
        </w:rPr>
        <w:t>.</w:t>
      </w:r>
      <w:r w:rsidR="006E75AE" w:rsidRPr="00023C48">
        <w:rPr>
          <w:rFonts w:ascii="Times" w:hAnsi="Times" w:cs="Arial"/>
        </w:rPr>
        <w:t xml:space="preserve"> For example, </w:t>
      </w:r>
      <w:r w:rsidR="00DB574A" w:rsidRPr="00023C48">
        <w:rPr>
          <w:rFonts w:ascii="Times" w:hAnsi="Times" w:cs="Arial"/>
        </w:rPr>
        <w:t>spatial neglect after right parietal stroke</w:t>
      </w:r>
      <w:r w:rsidR="000F41EA" w:rsidRPr="00023C48">
        <w:rPr>
          <w:rFonts w:ascii="Times" w:hAnsi="Times" w:cs="Arial"/>
        </w:rPr>
        <w:t xml:space="preserve"> appears to</w:t>
      </w:r>
      <w:r w:rsidR="00DB574A" w:rsidRPr="00023C48">
        <w:rPr>
          <w:rFonts w:ascii="Times" w:hAnsi="Times" w:cs="Arial"/>
        </w:rPr>
        <w:t xml:space="preserve"> result from a combination of specific impairment</w:t>
      </w:r>
      <w:r w:rsidR="00FE72A9" w:rsidRPr="00023C48">
        <w:rPr>
          <w:rFonts w:ascii="Times" w:hAnsi="Times" w:cs="Arial"/>
        </w:rPr>
        <w:t>s</w:t>
      </w:r>
      <w:r w:rsidR="00DB574A" w:rsidRPr="00023C48">
        <w:rPr>
          <w:rFonts w:ascii="Times" w:hAnsi="Times" w:cs="Arial"/>
        </w:rPr>
        <w:t xml:space="preserve"> </w:t>
      </w:r>
      <w:r w:rsidR="000F41EA" w:rsidRPr="00023C48">
        <w:rPr>
          <w:rFonts w:ascii="Times" w:hAnsi="Times" w:cs="Arial"/>
        </w:rPr>
        <w:t xml:space="preserve">in </w:t>
      </w:r>
      <w:r w:rsidR="00DB574A" w:rsidRPr="00023C48">
        <w:rPr>
          <w:rFonts w:ascii="Times" w:hAnsi="Times" w:cs="Arial"/>
        </w:rPr>
        <w:t xml:space="preserve">spatial processing in </w:t>
      </w:r>
      <w:r w:rsidR="00FE72A9" w:rsidRPr="00023C48">
        <w:rPr>
          <w:rFonts w:ascii="Times" w:hAnsi="Times" w:cs="Arial"/>
        </w:rPr>
        <w:t>addition to</w:t>
      </w:r>
      <w:r w:rsidR="00DB574A" w:rsidRPr="00023C48">
        <w:rPr>
          <w:rFonts w:ascii="Times" w:hAnsi="Times" w:cs="Arial"/>
        </w:rPr>
        <w:t xml:space="preserve"> </w:t>
      </w:r>
      <w:r w:rsidR="00E371A5" w:rsidRPr="00023C48">
        <w:rPr>
          <w:rFonts w:ascii="Times" w:hAnsi="Times" w:cs="Arial"/>
        </w:rPr>
        <w:t xml:space="preserve">impaired </w:t>
      </w:r>
      <w:r w:rsidR="00DB574A" w:rsidRPr="00023C48">
        <w:rPr>
          <w:rFonts w:ascii="Times" w:hAnsi="Times" w:cs="Arial"/>
        </w:rPr>
        <w:t xml:space="preserve">sustained attention </w:t>
      </w:r>
      <w:r w:rsidR="00DB574A" w:rsidRPr="00023C48">
        <w:rPr>
          <w:rFonts w:ascii="Times" w:hAnsi="Times" w:cs="Arial"/>
        </w:rPr>
        <w:fldChar w:fldCharType="begin" w:fldLock="1"/>
      </w:r>
      <w:r w:rsidR="00B260BF">
        <w:rPr>
          <w:rFonts w:ascii="Times" w:hAnsi="Times" w:cs="Arial"/>
        </w:rPr>
        <w:instrText>ADDIN CSL_CITATION { "citationItems" : [ { "id" : "ITEM-1", "itemData" : { "DOI" : "10.1093/brain/awn350", "ISBN" : "1460-2156 (Electronic)\\n1460-2156 (Linking)", "ISSN" : "00068950", "PMID" : "19158107", "abstract" : "Recent models of human posterior parietal cortex (PPC) have variously emphasized its role in spatial perception, visuomotor control or directing attention. However, neuroimaging and lesion studies also suggest that the right PPC might play a special role in maintaining an alert state. Previously, assessments of right-hemisphere patients with hemispatial neglect have revealed significant overall deficits on vigilance tasks, but to date there has been no demonstration of a deterioration of performance over time--a vigilance decrement--considered by some to be a key index of a deficit in maintaining attention. Moreover, sustained attention deficits in neglect have not specifically been related to PPC lesions, and it remains unclear whether they interact with spatial impairments in this syndrome. Here we examined the ability of right-hemisphere patients with neglect to maintain attention, comparing them to stroke controls and healthy individuals. We found evidence of an overall deficit in sustaining attention associated with PPC lesions, even for a simple detection task with stimuli presented centrally. In a second experiment, we demonstrated a vigilance decrement in neglect patients specifically only when they were required to maintain attention to spatial locations, but not verbal material. Lesioned voxels in the right PPC spanning a region between the intraparietal sulcus and inferior parietal lobe were significantly associated with this deficit. Finally, we compared performance on a task that required attention to be maintained either to visual patterns or spatial locations, matched for task difficulty. Again, we found a vigilance decrement but only when attention had to be maintained on spatial information. We conclude that sustaining attention to spatial locations is a critical function of the human right PPC which needs to be incorporated into models of normal parietal function as well as those of the clinical syndrome of hemispatial neglect.", "author" : [ { "dropping-particle" : "", "family" : "Malhotra", "given" : "Paresh", "non-dropping-particle" : "", "parse-names" : false, "suffix" : "" }, { "dropping-particle" : "", "family" : "Coulthard", "given" : "Elizabeth J.", "non-dropping-particle" : "", "parse-names" : false, "suffix" : "" }, { "dropping-particle" : "", "family" : "Husain", "given" : "Masud", "non-dropping-particle" : "", "parse-names" : false, "suffix" : "" } ], "container-title" : "Brain", "id" : "ITEM-1", "issued" : { "date-parts" : [ [ "2009" ] ] }, "page" : "645-660", "title" : "Role of right posterior parietal cortex in maintaining attention to spatial locations over time", "type" : "article-journal", "volume" : "132" }, "uris" : [ "http://www.mendeley.com/documents/?uuid=908d3f58-0239-465a-8ae8-a6ce5e959e60" ] }, { "id" : "ITEM-2", "itemData" : { "DOI" : "10.1037/a0030694", "ISBN" : "1939-1455 (Electronic)\\n0033-2909 (Linking)", "ISSN" : "1939-1455", "PMID" : "23163491", "abstract" : "Maintaining attention for more than a few seconds is essential for mastering everyday life. Yet, our ability to stay focused on a particular task is limited, resulting in well-known performance decrements with increasing time on task. Intriguingly, such decrements are even more likely if the task is cognitively simple and repetitive. The attentional function that enables our prolonged engagement in intellectually unchallenging, uninteresting activities has been termed vigilant attention. Here we synthesized what we have learned from functional neuroimaging about the mechanisms of this essential mental faculty. To this end, a quantitative meta-analysis of pertinent neuroimaging studies was performed, including supplementary analyses of moderating factors. Furthermore, we reviewed the available evidence on neural time-on-task effects, additionally considering information obtained from patients with focal brain damage. Integrating the results of both meta-analysis and review, we identified a set of mainly right-lateralized brain regions that may form the core network subserving vigilant attention in humans, including dorsomedial, mid- and ventrolateral prefrontal cortex, anterior insula, parietal areas (intraparietal sulcus, temporoparietal junction), and subcortical structures (cerebellar vermis, thalamus, putamen, midbrain). We discuss the potential functional roles of different nodes of this network as well as implications of our findings for a theoretical account of vigilant attention. It is conjectured that sustaining attention is a multicomponent, nonunitary mental faculty, involving a mixture of (a) sustained/recurrent processes subserving task-set/arousal maintenance and (b) transient processes subserving the target-driven reorienting of attention. Finally, limitations of previous studies are considered and suggestions for future research are provided.", "author" : [ { "dropping-particle" : "", "family" : "Langner", "given" : "Robert", "non-dropping-particle" : "", "parse-names" : false, "suffix" : "" }, { "dropping-particle" : "", "family" : "Eickhoff", "given" : "Simon B", "non-dropping-particle" : "", "parse-names" : false, "suffix" : "" } ], "container-title" : "Psychological bulletin", "id" : "ITEM-2", "issue" : "4", "issued" : { "date-parts" : [ [ "2013" ] ] }, "page" : "870-900", "title" : "Sustaining attention to simple tasks: a meta-analytic review of the neural mechanisms of vigilant attention.", "type" : "article-journal", "volume" : "139" }, "uris" : [ "http://www.mendeley.com/documents/?uuid=f2486656-9b90-42f9-9bf4-ef2d472ac2b1" ] }, { "id" : "ITEM-3", "itemData" : { "DOI" : "10.1038/385154a0", "ISBN" : "0028-0836", "ISSN" : "0028-0836", "PMID" : "8990117", "abstract" : "When we identify a visual object such as a word or letter, our ability to detect a second object is impaired if it appears within 400ms of the first. This phenomenon has been termed the attentional blink or dwell time and is a measure of our ability to allocate attention over time (temporal attention). Patients with unilateral visual neglect are unaware of people or objects contralateral to their lesion. They are considered to have a disorder of attending to a particular location in space (spatial attention). Here we examined the non-spatial temporal dynamics of attention in patients, using a protocol for assessing the attentional blink. Neglect patients with right parietal, frontal or basal ganglia strokes had an abnormally severe and protracted attentional blink When they identified a letter, their awareness of a subsequent letter was significantly diminished for a length of time that was three times as long as for individuals without neglect. Our results demonstrate for the first time that visual neglect is a disorder of directing attention in time, as well as space.", "author" : [ { "dropping-particle" : "", "family" : "Husain", "given" : "M", "non-dropping-particle" : "", "parse-names" : false, "suffix" : "" }, { "dropping-particle" : "", "family" : "Shapiro", "given" : "K", "non-dropping-particle" : "", "parse-names" : false, "suffix" : "" }, { "dropping-particle" : "", "family" : "Martin", "given" : "J", "non-dropping-particle" : "", "parse-names" : false, "suffix" : "" }, { "dropping-particle" : "", "family" : "Kennard", "given" : "C", "non-dropping-particle" : "", "parse-names" : false, "suffix" : "" } ], "container-title" : "Nature", "id" : "ITEM-3", "issued" : { "date-parts" : [ [ "1997" ] ] }, "page" : "154-156", "title" : "Abnormal temporal dynamics of visual attention in spatial neglect patients", "type" : "article", "volume" : "385" }, "uris" : [ "http://www.mendeley.com/documents/?uuid=31030fc1-24ea-4e0a-8816-6488784e1a2d" ] }, { "id" : "ITEM-4", "itemData" : { "DOI" : "10.1016/B978-012375731-9/50061-6", "ISBN" : "9780123757319", "ISSN" : "1471003X", "PMID" : "12511859", "abstract" : "Hemispatial neglect is a common disabling disorder following right-hemisphere stroke. Although much work has focused on the lateralized components of neglect, recent investigations have also revealed deficits that are not spatially lateralized and are present in both the good (ipsilesional) side and the neglected (contralesional) side of space. These findings are consistent with new observations from functional imaging, human neuropsychological and monkey electrophysiological studies that also suggest non-spatially lateralized functions for the regions damaged in neglect. Understanding the interaction between spatially lateralized and non-lateralized mechanisms may provide important insights into the neglect syndrome, the normal functions of brain structures commonly damaged in neglect patients, and the development of treatments for the condition. ?? 2005 Elsevier Inc. All rights reserved.", "author" : [ { "dropping-particle" : "", "family" : "Husain", "given" : "Masud", "non-dropping-particle" : "", "parse-names" : false, "suffix" : "" }, { "dropping-particle" : "", "family" : "Rorden", "given" : "Chris", "non-dropping-particle" : "", "parse-names" : false, "suffix" : "" } ], "container-title" : "Nature reviews. Neuroscience", "id" : "ITEM-4", "issue" : "January", "issued" : { "date-parts" : [ [ "2003" ] ] }, "page" : "25-36", "title" : "Nonspatially lateralized mechanisms in hemispatial neglect", "type" : "article-journal", "volume" : "4" }, "uris" : [ "http://www.mendeley.com/documents/?uuid=c60ae877-ceae-475d-87d5-bc1c7a714dd8" ] }, { "id" : "ITEM-5", "itemData" : { "DOI" : "10.1146/annurev-neuro-061010-113731", "ISBN" : "0610101137", "ISSN" : "1545-4126", "PMID" : "21692662", "abstract" : "Unilateral spatial neglect is a common neurological syndrome following predominantly right hemisphere injuries and is characterized by both spatial and non-spatial deficits. Core spatial deficits involve mechanisms for saliency coding, spatial attention, and short-term memory and occur in conjunction with nonspatial deficits that involve reorienting, target detection, and arousal/vigilance. We argue that neglect is better explained by the dysfunction of distributed cortical networks for the control of attention than by structural damage of specific brain regions. Ventral lesions in right parietal, temporal, and frontal cortex that cause neglect directly impair nonspatial functions partly mediated by a ventral frontoparietal attention network. Structural damage in ventral cortex also induces physiological abnormalities of task-evoked activity and functional connectivity in a dorsal frontoparietal network that controls spatial attention. The anatomy and right hemisphere dominance of neglect follow from the anatomy and laterality of the ventral regions that interact with the dorsal attention network.", "author" : [ { "dropping-particle" : "", "family" : "Corbetta", "given" : "Maurizio", "non-dropping-particle" : "", "parse-names" : false, "suffix" : "" }, { "dropping-particle" : "", "family" : "Shulman", "given" : "Gordon L", "non-dropping-particle" : "", "parse-names" : false, "suffix" : "" } ], "container-title" : "Annual review of neuroscience", "id" : "ITEM-5", "issued" : { "date-parts" : [ [ "2011", "1" ] ] }, "number-of-pages" : "569-599", "title" : "Spatial neglect and attention networks.", "type" : "book", "volume" : "34" }, "uris" : [ "http://www.mendeley.com/documents/?uuid=fc0aac46-da15-420b-bd97-b8a8867d89a4" ] } ], "mendeley" : { "formattedCitation" : "(Malhotra et al. 2009; Langner &amp; Eickhoff 2013; Husain et al. 1997; Husain &amp; Rorden 2003; Corbetta &amp; Shulman 2011)", "plainTextFormattedCitation" : "(Malhotra et al. 2009; Langner &amp; Eickhoff 2013; Husain et al. 1997; Husain &amp; Rorden 2003; Corbetta &amp; Shulman 2011)", "previouslyFormattedCitation" : "(Malhotra et al. 2009; Langner &amp; Eickhoff 2013; Husain et al. 1997; Husain &amp; Rorden 2003; Corbetta &amp; Shulman 2011)" }, "properties" : { "noteIndex" : 0 }, "schema" : "https://github.com/citation-style-language/schema/raw/master/csl-citation.json" }</w:instrText>
      </w:r>
      <w:r w:rsidR="00DB574A" w:rsidRPr="00023C48">
        <w:rPr>
          <w:rFonts w:ascii="Times" w:hAnsi="Times" w:cs="Arial"/>
        </w:rPr>
        <w:fldChar w:fldCharType="separate"/>
      </w:r>
      <w:r w:rsidR="00255F1F" w:rsidRPr="00255F1F">
        <w:rPr>
          <w:rFonts w:ascii="Times" w:hAnsi="Times" w:cs="Arial"/>
          <w:noProof/>
        </w:rPr>
        <w:t>(Malhotra et al. 2009; Langner &amp; Eickhoff 2013; Husain et al. 1997; Husain &amp; Rorden 2003; Corbetta &amp; Shulman 2011)</w:t>
      </w:r>
      <w:r w:rsidR="00DB574A" w:rsidRPr="00023C48">
        <w:rPr>
          <w:rFonts w:ascii="Times" w:hAnsi="Times" w:cs="Arial"/>
        </w:rPr>
        <w:fldChar w:fldCharType="end"/>
      </w:r>
      <w:r w:rsidR="00DB574A" w:rsidRPr="00023C48">
        <w:rPr>
          <w:rFonts w:ascii="Times" w:hAnsi="Times" w:cs="Arial"/>
        </w:rPr>
        <w:t xml:space="preserve">. </w:t>
      </w:r>
      <w:r w:rsidR="002831E0" w:rsidRPr="00023C48">
        <w:rPr>
          <w:rFonts w:ascii="Times" w:hAnsi="Times" w:cs="Arial"/>
        </w:rPr>
        <w:t xml:space="preserve">In addition, attentional </w:t>
      </w:r>
      <w:r w:rsidR="00AA225B" w:rsidRPr="00023C48">
        <w:rPr>
          <w:rFonts w:ascii="Times" w:hAnsi="Times" w:cs="Arial"/>
        </w:rPr>
        <w:t xml:space="preserve">measures </w:t>
      </w:r>
      <w:r w:rsidR="002831E0" w:rsidRPr="00023C48">
        <w:rPr>
          <w:rFonts w:ascii="Times" w:hAnsi="Times" w:cs="Arial"/>
        </w:rPr>
        <w:t xml:space="preserve">correlate with arithmetic </w:t>
      </w:r>
      <w:r w:rsidR="00AA225B" w:rsidRPr="00023C48">
        <w:rPr>
          <w:rFonts w:ascii="Times" w:hAnsi="Times" w:cs="Arial"/>
        </w:rPr>
        <w:t>performance</w:t>
      </w:r>
      <w:r w:rsidR="002831E0" w:rsidRPr="00023C48">
        <w:rPr>
          <w:rFonts w:ascii="Times" w:hAnsi="Times" w:cs="Arial"/>
        </w:rPr>
        <w:t xml:space="preserve"> in </w:t>
      </w:r>
      <w:r w:rsidR="00AA225B" w:rsidRPr="00023C48">
        <w:rPr>
          <w:rFonts w:ascii="Times" w:hAnsi="Times" w:cs="Arial"/>
        </w:rPr>
        <w:t>healthy</w:t>
      </w:r>
      <w:r w:rsidR="002831E0" w:rsidRPr="00023C48">
        <w:rPr>
          <w:rFonts w:ascii="Times" w:hAnsi="Times" w:cs="Arial"/>
        </w:rPr>
        <w:t xml:space="preserve"> children</w:t>
      </w:r>
      <w:r w:rsidR="00AA225B" w:rsidRPr="00023C48">
        <w:rPr>
          <w:rFonts w:ascii="Times" w:hAnsi="Times" w:cs="Arial"/>
        </w:rPr>
        <w:t>,</w:t>
      </w:r>
      <w:r w:rsidR="002831E0" w:rsidRPr="00023C48">
        <w:rPr>
          <w:rFonts w:ascii="Times" w:hAnsi="Times" w:cs="Arial"/>
        </w:rPr>
        <w:t xml:space="preserve"> and a</w:t>
      </w:r>
      <w:r w:rsidR="007E1F25" w:rsidRPr="00023C48">
        <w:rPr>
          <w:rFonts w:ascii="Times" w:hAnsi="Times" w:cs="Arial"/>
        </w:rPr>
        <w:t>ttentional deficits have</w:t>
      </w:r>
      <w:r w:rsidR="002831E0" w:rsidRPr="00023C48">
        <w:rPr>
          <w:rFonts w:ascii="Times" w:hAnsi="Times" w:cs="Arial"/>
        </w:rPr>
        <w:t xml:space="preserve"> </w:t>
      </w:r>
      <w:r w:rsidR="007E1F25" w:rsidRPr="00023C48">
        <w:rPr>
          <w:rFonts w:ascii="Times" w:hAnsi="Times" w:cs="Arial"/>
        </w:rPr>
        <w:t xml:space="preserve">been </w:t>
      </w:r>
      <w:r w:rsidR="005275AE" w:rsidRPr="00023C48">
        <w:rPr>
          <w:rFonts w:ascii="Times" w:hAnsi="Times" w:cs="Arial"/>
        </w:rPr>
        <w:t xml:space="preserve">demonstrated </w:t>
      </w:r>
      <w:r w:rsidR="007E1F25" w:rsidRPr="00023C48">
        <w:rPr>
          <w:rFonts w:ascii="Times" w:hAnsi="Times" w:cs="Arial"/>
        </w:rPr>
        <w:t xml:space="preserve">in patients with developmental dyscalculia, previously </w:t>
      </w:r>
      <w:r w:rsidR="00153C4B" w:rsidRPr="00023C48">
        <w:rPr>
          <w:rFonts w:ascii="Times" w:hAnsi="Times" w:cs="Arial"/>
        </w:rPr>
        <w:t>considered</w:t>
      </w:r>
      <w:r w:rsidR="007E1F25" w:rsidRPr="00023C48">
        <w:rPr>
          <w:rFonts w:ascii="Times" w:hAnsi="Times" w:cs="Arial"/>
        </w:rPr>
        <w:t xml:space="preserve"> a </w:t>
      </w:r>
      <w:r w:rsidR="00D86495" w:rsidRPr="00023C48">
        <w:rPr>
          <w:rFonts w:ascii="Times" w:hAnsi="Times" w:cs="Arial"/>
        </w:rPr>
        <w:t xml:space="preserve">syndrome of </w:t>
      </w:r>
      <w:r w:rsidR="007E1F25" w:rsidRPr="00023C48">
        <w:rPr>
          <w:rFonts w:ascii="Times" w:hAnsi="Times" w:cs="Arial"/>
        </w:rPr>
        <w:t>pure dysca</w:t>
      </w:r>
      <w:r w:rsidR="00D86495" w:rsidRPr="00023C48">
        <w:rPr>
          <w:rFonts w:ascii="Times" w:hAnsi="Times" w:cs="Arial"/>
        </w:rPr>
        <w:t>lc</w:t>
      </w:r>
      <w:r w:rsidR="002831E0" w:rsidRPr="00023C48">
        <w:rPr>
          <w:rFonts w:ascii="Times" w:hAnsi="Times" w:cs="Arial"/>
        </w:rPr>
        <w:t>ulia</w:t>
      </w:r>
      <w:r w:rsidR="007E1F25" w:rsidRPr="00023C48">
        <w:rPr>
          <w:rFonts w:ascii="Times" w:hAnsi="Times" w:cs="Arial"/>
        </w:rPr>
        <w:t xml:space="preserve"> </w:t>
      </w:r>
      <w:r w:rsidR="00D86495" w:rsidRPr="00023C48">
        <w:rPr>
          <w:rFonts w:ascii="Times" w:hAnsi="Times" w:cs="Arial"/>
        </w:rPr>
        <w:fldChar w:fldCharType="begin" w:fldLock="1"/>
      </w:r>
      <w:r w:rsidR="00B260BF">
        <w:rPr>
          <w:rFonts w:ascii="Times" w:hAnsi="Times" w:cs="Arial"/>
        </w:rPr>
        <w:instrText>ADDIN CSL_CITATION { "citationItems" : [ { "id" : "ITEM-1", "itemData" : { "DOI" : "10.1186/1744-9081-6-2", "ISBN" : "1744-9081 (Electronic)\\r1744-9081 (Linking)", "ISSN" : "1744-9081", "PMID" : "20157427", "abstract" : "Very little is known about attention deficits in developmental dyscalculia, hence, this study was designed to provide the missing information. We examined attention abilities of participants suffering from developmental dyscalculia using the attention networks test - interactions. This test was designed to examine three different attention networks--executive function, orienting and alerting--and the interactions between them.", "author" : [ { "dropping-particle" : "", "family" : "Askenazi", "given" : "Sarit", "non-dropping-particle" : "", "parse-names" : false, "suffix" : "" }, { "dropping-particle" : "", "family" : "Henik", "given" : "Avishai", "non-dropping-particle" : "", "parse-names" : false, "suffix" : "" } ], "container-title" : "Behavioral and brain functions : BBF", "id" : "ITEM-1", "issued" : { "date-parts" : [ [ "2010" ] ] }, "page" : "2", "title" : "Attentional networks in developmental dyscalculia.", "type" : "article-journal", "volume" : "6" }, "uris" : [ "http://www.mendeley.com/documents/?uuid=a8397b45-e33a-4b87-aaa6-378a1a32775b" ] }, { "id" : "ITEM-2", "itemData" : { "DOI" : "DOI 10.1002/pbc.24909", "ISBN" : "0732-183X (Print)\\n0732-183X (Linking)", "ISSN" : "0732183X", "PMID" : "8622067", "abstract" : "Several neurocognitive abilities, including visual\u2013spatial and language-based processes, attention, and fine motor/finger skills, are thought to play important roles in mathematical development and disability. Evidence for relations of specific neurocognitive skills and mathematical development and disability is presented, with a particular emphasis on findings from longitudinal studies. Why these particular neurocognitive skills are related to math is also discussed. We suggest that mathematics learning in children with congenital and acquired neurodevelopmental disorders, including children treated for cancer, is particularly vulnerable to disruption because these disorders often affect one or more of the neurocognitive systems that support math learning and performance. Implications for assessment of and interventions for math difficulties are discussed. The article ends with implications for mathematical functioning in children treated for acute lymphoblastic leukemia and brain tumors.", "author" : [ { "dropping-particle" : "", "family" : "Barnes", "given" : "M.A.", "non-dropping-particle" : "", "parse-names" : false, "suffix" : "" }, { "dropping-particle" : "", "family" : "Raghubar", "given" : "K.P.", "non-dropping-particle" : "", "parse-names" : false, "suffix" : "" } ], "container-title" : "Pediatric Blood Cancer", "id" : "ITEM-2", "issued" : { "date-parts" : [ [ "2014" ] ] }, "page" : "1729-1733", "title" : "Mathematics Development and Difficulties: the role of visual-spatial perception and other cognitive skills", "type" : "article-journal", "volume" : "61" }, "uris" : [ "http://www.mendeley.com/documents/?uuid=e4d7b3f7-b6b5-44d1-aa48-9a3358b049f2" ] }, { "id" : "ITEM-3", "itemData" : { "DOI" : "10.1016/j.jecp.2013.06.006", "ISBN" : "00220965", "ISSN" : "00220965", "PMID" : "23933254", "abstract" : "In this study, we investigated in school-age children the relationship among mathematical performance, the perception of numerosity (discrimination and mapping to number line), and sustained visual attention. The results (on 68 children between 8 and 11. years of age) show that attention and numerosity perception predict math scores but not reading performance. Even after controlling for several variables, including age, gender, nonverbal IQ, and reading accuracy, attention remained correlated with math skills and numerosity discrimination. These findings support previous reports showing the interrelationship between visual attention and both numerosity perception and math performance. It also suggests that attentional deficits may be implicated in disturbances such as developmental dyscalculia. ?? 2013 Elsevier Inc.", "author" : [ { "dropping-particle" : "", "family" : "Anobile", "given" : "Giovanni", "non-dropping-particle" : "", "parse-names" : false, "suffix" : "" }, { "dropping-particle" : "", "family" : "Stievano", "given" : "Paolo", "non-dropping-particle" : "", "parse-names" : false, "suffix" : "" }, { "dropping-particle" : "", "family" : "Burr", "given" : "David C.", "non-dropping-particle" : "", "parse-names" : false, "suffix" : "" } ], "container-title" : "Journal of Experimental Child Psychology", "id" : "ITEM-3", "issue" : "2", "issued" : { "date-parts" : [ [ "2013" ] ] }, "page" : "380-391", "title" : "Visual sustained attention and numerosity sensitivity correlate with math achievement in children", "type" : "article-journal", "volume" : "116" }, "uris" : [ "http://www.mendeley.com/documents/?uuid=432c6ba7-ffa7-4018-b83c-f78240660870" ] } ], "mendeley" : { "formattedCitation" : "(Askenazi &amp; Henik 2010; Barnes &amp; Raghubar 2014; Anobile et al. 2013)", "plainTextFormattedCitation" : "(Askenazi &amp; Henik 2010; Barnes &amp; Raghubar 2014; Anobile et al. 2013)", "previouslyFormattedCitation" : "(Askenazi &amp; Henik 2010; Barnes &amp; Raghubar 2014; Anobile et al. 2013)" }, "properties" : { "noteIndex" : 0 }, "schema" : "https://github.com/citation-style-language/schema/raw/master/csl-citation.json" }</w:instrText>
      </w:r>
      <w:r w:rsidR="00D86495" w:rsidRPr="00023C48">
        <w:rPr>
          <w:rFonts w:ascii="Times" w:hAnsi="Times" w:cs="Arial"/>
        </w:rPr>
        <w:fldChar w:fldCharType="separate"/>
      </w:r>
      <w:r w:rsidR="00255F1F" w:rsidRPr="00255F1F">
        <w:rPr>
          <w:rFonts w:ascii="Times" w:hAnsi="Times" w:cs="Arial"/>
          <w:noProof/>
        </w:rPr>
        <w:t>(Askenazi &amp; Henik 2010; Barnes &amp; Raghubar 2014; Anobile et al. 2013)</w:t>
      </w:r>
      <w:r w:rsidR="00D86495" w:rsidRPr="00023C48">
        <w:rPr>
          <w:rFonts w:ascii="Times" w:hAnsi="Times" w:cs="Arial"/>
        </w:rPr>
        <w:fldChar w:fldCharType="end"/>
      </w:r>
      <w:r w:rsidR="007E1F25" w:rsidRPr="00023C48">
        <w:rPr>
          <w:rFonts w:ascii="Times" w:hAnsi="Times" w:cs="Arial"/>
        </w:rPr>
        <w:t>.</w:t>
      </w:r>
      <w:r w:rsidR="00094EF3" w:rsidRPr="00023C48">
        <w:rPr>
          <w:rFonts w:ascii="Times" w:hAnsi="Times" w:cs="Arial"/>
        </w:rPr>
        <w:t xml:space="preserve"> </w:t>
      </w:r>
      <w:r w:rsidR="00D5649D" w:rsidRPr="00023C48">
        <w:rPr>
          <w:rFonts w:ascii="Times" w:hAnsi="Times" w:cs="Arial"/>
        </w:rPr>
        <w:t>Sustained attention can be measured by assessing</w:t>
      </w:r>
      <w:r w:rsidR="002E36D0" w:rsidRPr="00023C48">
        <w:rPr>
          <w:rFonts w:ascii="Times" w:hAnsi="Times" w:cs="Arial"/>
        </w:rPr>
        <w:t xml:space="preserve"> </w:t>
      </w:r>
      <w:r w:rsidR="00CB57DB" w:rsidRPr="00023C48">
        <w:rPr>
          <w:rFonts w:ascii="Times" w:hAnsi="Times" w:cs="Arial"/>
        </w:rPr>
        <w:t>vigilance level</w:t>
      </w:r>
      <w:r w:rsidR="00D5649D" w:rsidRPr="00023C48">
        <w:rPr>
          <w:rFonts w:ascii="Times" w:hAnsi="Times" w:cs="Arial"/>
        </w:rPr>
        <w:t xml:space="preserve"> i.e. the ‘intensity’ of attention at a particular time</w:t>
      </w:r>
      <w:r w:rsidR="00CB57DB" w:rsidRPr="00023C48">
        <w:rPr>
          <w:rFonts w:ascii="Times" w:hAnsi="Times" w:cs="Arial"/>
        </w:rPr>
        <w:t xml:space="preserve"> </w:t>
      </w:r>
      <w:r w:rsidR="00732E54" w:rsidRPr="00023C48">
        <w:rPr>
          <w:rFonts w:ascii="Times" w:hAnsi="Times" w:cs="Arial"/>
        </w:rPr>
        <w:fldChar w:fldCharType="begin" w:fldLock="1"/>
      </w:r>
      <w:r w:rsidR="00B260BF">
        <w:rPr>
          <w:rFonts w:ascii="Times" w:hAnsi="Times" w:cs="Arial"/>
        </w:rPr>
        <w:instrText>ADDIN CSL_CITATION { "citationItems" : [ { "id" : "ITEM-1", "itemData" : { "DOI" : "10.1212/01.wnl.0000172912.07640.92", "ISBN" : "1526-632X (Electronic)\\r0028-3878 (Linking)", "ISSN" : "00283878", "PMID" : "16116118", "abstract" : "BACKGROUND: Investigations of cognitive deficits after frontal lobe damage have commonly relied on multidimensional tests and relatively coarse specification of lesion anatomy. Some form of impairment in attention is often asserted to cause the revealed deficits. OBJECTIVE: To describe a disorder of attention in patients with frontal damage using a theoretical model of the fundamental cognitive processes that underlie attention. METHODS: The ability to perform a task of concentrated responding was studied in 43 patients with well-defined chronic frontal lesions and 38 control subjects using a continuous reaction time (RT) test. Performance measures were mean RT, RT across blocks of the test, and errors. Lesion measures were coarse localization and a hot-spot analysis to detect finer grained lesion effects. RESULTS: Only patients with lesions in the right superomedial (SM) frontal regions had significantly prolonged RT consistently across the entire test. The critical lesion was in Brodmann's areas 24, 32, 9, and 46 days and in the adjacent corpus callosum. Patients with lesions in left lateral frontal (LL) regions made significantly more errors on the 20% of trials in the first block. The critical lesion was in areas 44, 45, and 47/12. CONCLUSION: Concentrating attention to respond is affected by lesions in two different frontal regions for reasons that reflect impairments in different cognitive processes. Right superomedial lesions cause an insufficient energizing of attention to respond. Left lateral lesions cause defective setting of specific stimulus-response contingencies. Constrained tests of attention can demonstrate impairments in specific cognitive operations following lesions to different regions of the frontal lobes.", "author" : [ { "dropping-particle" : "", "family" : "Alexander", "given" : "Michael P.", "non-dropping-particle" : "", "parse-names" : false, "suffix" : "" }, { "dropping-particle" : "", "family" : "Stuss", "given" : "D. T.", "non-dropping-particle" : "", "parse-names" : false, "suffix" : "" }, { "dropping-particle" : "", "family" : "Shallice", "given" : "T.", "non-dropping-particle" : "", "parse-names" : false, "suffix" : "" }, { "dropping-particle" : "", "family" : "Picton", "given" : "T. W.", "non-dropping-particle" : "", "parse-names" : false, "suffix" : "" }, { "dropping-particle" : "", "family" : "Gillingham", "given" : "S.", "non-dropping-particle" : "", "parse-names" : false, "suffix" : "" } ], "container-title" : "Neurology", "id" : "ITEM-1", "issued" : { "date-parts" : [ [ "2005" ] ] }, "page" : "572-579", "title" : "Impaired concentration due to frontal lobe damage from two distinct lesion sites", "type" : "article-journal", "volume" : "65" }, "uris" : [ "http://www.mendeley.com/documents/?uuid=1271d4e3-8a3a-4408-b746-1005e8dc662e" ] }, { "id" : "ITEM-2", "itemData" : { "DOI" : "10.1016/S0165-0173(01)00044-3", "ISBN" : "1614292175", "ISSN" : "01650173", "PMID" : "11336780", "abstract" : "The psychological construct 'sustained attention' describes a fundamental component of attention characterized by the subject's readiness to detect rarely and unpredictably occurring signals over prolonged periods of time. Human imaging studies have demonstrated that activation of frontal and parietal cortical areas, mostly in the right hemisphere, are associated with sustained attention performance. Animal neuroscientific research has focused on cortical afferent systems, particularly on the cholinergic inputs originating in the basal forebrain, as crucial components of the neuronal network mediating sustained attentional performance. Sustained attention performance-associated activation of the basal forebrain corticopetal cholinergic system is conceptualized as a component of the 'top-down' processes initiated by activation of the 'anterior attention system' and designed to mediate knowledge-driven detection and selection of target stimuli. Activated cortical cholinergic inputs facilitate these processes, particularly under taxing attentional conditions, by enhancing cortical sensory and sensory-associational information processing, including the filtering of noise and distractors. Collectively, the findings from human and animal studies provide the basis for a relatively precise description of the neuronal circuits mediating sustained attention, and the dissociation between these circuits and those mediating the 'arousal' components of attention. \u00a9 2001 Elsevier Science B.V.", "author" : [ { "dropping-particle" : "", "family" : "Sarter", "given" : "Martin", "non-dropping-particle" : "", "parse-names" : false, "suffix" : "" }, { "dropping-particle" : "", "family" : "Givens", "given" : "Ben", "non-dropping-particle" : "", "parse-names" : false, "suffix" : "" }, { "dropping-particle" : "", "family" : "Bruno", "given" : "John P.", "non-dropping-particle" : "", "parse-names" : false, "suffix" : "" } ], "container-title" : "Brain Research Reviews", "id" : "ITEM-2", "issued" : { "date-parts" : [ [ "2001" ] ] }, "page" : "146-160", "title" : "The cognitive neuroscience of sustained attention: Where top-down meets bottom-up", "type" : "article-journal", "volume" : "35" }, "uris" : [ "http://www.mendeley.com/documents/?uuid=f4ab5c34-8918-4c2f-8a9a-cd1d18327086" ] }, { "id" : "ITEM-3", "itemData" : { "DOI" : "10.1523/JNEUROSCI.1163-11.2011", "ISSN" : "1529-2401", "abstract" : "Traumatic brain injury (TBI) frequently produces impairments of attention in humans. These can result in a failure to maintain consistent goal-directed behavior. A predominantly right-lateralized frontoparietal network is often engaged during attentionally demanding tasks. However, lapses of attention have also been associated with increases in activation within the default mode network (DMN). Here, we study TBI patients with sustained attention impairment, defined on the basis of the consistency of their behavioral performance over time. We show that sustained attention impairments in patients are associated with an increase in DMN activation, particularly within the precuneus and posterior cingulate cortex. Furthermore, the interaction of the precuneus with the rest of the DMN at the start of the task, i.e., its functional connectivity, predicts which patients go on to show impairments of attention. Importantly, this predictive information is present before any behavioral evidence of sustained attention impairment, and the relationship is also found in a subgroup of patients without focal brain damage. TBI often results in diffuse axonal injury, which produces cognitive impairment by disconnecting nodes in distributed brain networks. Using diffusion tensor imaging, we demonstrate that structural disconnection within the DMN also correlates with the level of sustained attention. These results show that abnormalities in DMN function are a sensitive marker of impairments of attention and suggest that changes in connectivity within the DMN are central to the development of attentional impairment after TBI.", "author" : [ { "dropping-particle" : "", "family" : "Bonnelle", "given" : "V", "non-dropping-particle" : "", "parse-names" : false, "suffix" : "" }, { "dropping-particle" : "", "family" : "Leech", "given" : "R", "non-dropping-particle" : "", "parse-names" : false, "suffix" : "" }, { "dropping-particle" : "", "family" : "Kinnunen", "given" : "K M", "non-dropping-particle" : "", "parse-names" : false, "suffix" : "" }, { "dropping-particle" : "", "family" : "Ham", "given" : "T E", "non-dropping-particle" : "", "parse-names" : false, "suffix" : "" }, { "dropping-particle" : "", "family" : "Beckmann", "given" : "C F", "non-dropping-particle" : "", "parse-names" : false, "suffix" : "" }, { "dropping-particle" : "", "family" : "Boissezon", "given" : "X", "non-dropping-particle" : "De", "parse-names" : false, "suffix" : "" }, { "dropping-particle" : "", "family" : "Greenwood", "given" : "R J", "non-dropping-particle" : "", "parse-names" : false, "suffix" : "" }, { "dropping-particle" : "", "family" : "Sharp", "given" : "D J", "non-dropping-particle" : "", "parse-names" : false, "suffix" : "" } ], "container-title" : "J Neurosci", "id" : "ITEM-3", "issued" : { "date-parts" : [ [ "2011" ] ] }, "language" : "eng", "page" : "13442-13451", "title" : "Default mode network connectivity predicts sustained attention deficits after traumatic brain injury", "type" : "article-journal", "volume" : "31" }, "uris" : [ "http://www.mendeley.com/documents/?uuid=87b0e185-be14-4c58-bdee-f165265bc0d5" ] }, { "id" : "ITEM-4", "itemData" : { "DOI" : "10.1016/S0028-3932(97)00015-8", "ISBN" : "0028-3932 (Print)\\n0028-3932 (Linking)", "ISSN" : "00283932", "PMID" : "9204482", "abstract" : "Insufficient attention to tasks can result in slips of action as automatic, unintended action sequences are triggered inappropriately. Such slips arise in part from deficits in sustained attention, which are particularly likely to happen following frontal lobe and white matter damage in traumatic brain injury (TBI). We present a reliable laboratory paradigm that elicits such slips of action and demonstrates high correlations between the severity of brain damage and relative-reported everyday attention failures in a group of 34 TBI patients. We also demonstrate significant correlations between self- and informant-reported everyday attentional failures and performance on this paradigm in a group of 75 normal controls. The paradigm (the Sustained Attention to Response Task-SART) involves the withholding of key presses to rare (one in nine) targets. Performance on the SART correlates significantly with performance on tests of sustained attention, but not other types of attention, supporting the view that this is indeed a measure of sustained attention. We also show that errors (false presses) on the SART can be predicted by a significant shortening of reaction times in the immediately preceding responses, supporting the view that these errors are a result of 'drift' of controlled processing into automatic responding consequent on impaired sustained attention to task. We also report a highly significant correlation of -0.58 between SART performance and Glasgow Coma Scale Scores in the TBI group.", "author" : [ { "dropping-particle" : "", "family" : "Robertson", "given" : "Ian H.", "non-dropping-particle" : "", "parse-names" : false, "suffix" : "" }, { "dropping-particle" : "", "family" : "Manly", "given" : "Tom", "non-dropping-particle" : "", "parse-names" : false, "suffix" : "" }, { "dropping-particle" : "", "family" : "Andrade", "given" : "Jackie", "non-dropping-particle" : "", "parse-names" : false, "suffix" : "" }, { "dropping-particle" : "", "family" : "Baddeley", "given" : "Bart T.", "non-dropping-particle" : "", "parse-names" : false, "suffix" : "" }, { "dropping-particle" : "", "family" : "Yiend", "given" : "Jenny", "non-dropping-particle" : "", "parse-names" : false, "suffix" : "" } ], "container-title" : "Neuropsychologia", "id" : "ITEM-4", "issue" : "6", "issued" : { "date-parts" : [ [ "1997" ] ] }, "page" : "747-758", "title" : "'Oops!': Performance correlates of everyday attentional failures in traumatic brain injured and normal subjects", "type" : "article-journal", "volume" : "35" }, "uris" : [ "http://www.mendeley.com/documents/?uuid=79c37a70-5367-43b0-8d5b-b2dfa0fefae1" ] } ], "mendeley" : { "formattedCitation" : "(Alexander et al. 2005; Sarter et al. 2001; Bonnelle et al. 2011; Robertson et al. 1997)", "plainTextFormattedCitation" : "(Alexander et al. 2005; Sarter et al. 2001; Bonnelle et al. 2011; Robertson et al. 1997)", "previouslyFormattedCitation" : "(Alexander et al. 2005; Sarter et al. 2001; Bonnelle et al. 2011; Robertson et al. 1997)" }, "properties" : { "noteIndex" : 0 }, "schema" : "https://github.com/citation-style-language/schema/raw/master/csl-citation.json" }</w:instrText>
      </w:r>
      <w:r w:rsidR="00732E54" w:rsidRPr="00023C48">
        <w:rPr>
          <w:rFonts w:ascii="Times" w:hAnsi="Times" w:cs="Arial"/>
        </w:rPr>
        <w:fldChar w:fldCharType="separate"/>
      </w:r>
      <w:r w:rsidR="00255F1F" w:rsidRPr="00255F1F">
        <w:rPr>
          <w:rFonts w:ascii="Times" w:hAnsi="Times" w:cs="Arial"/>
          <w:noProof/>
        </w:rPr>
        <w:t>(Alexander et al. 2005; Sarter et al. 2001; Bonnelle et al. 2011; Robertson et al. 1997)</w:t>
      </w:r>
      <w:r w:rsidR="00732E54" w:rsidRPr="00023C48">
        <w:rPr>
          <w:rFonts w:ascii="Times" w:hAnsi="Times" w:cs="Arial"/>
        </w:rPr>
        <w:fldChar w:fldCharType="end"/>
      </w:r>
      <w:r w:rsidR="003460CE" w:rsidRPr="00023C48">
        <w:rPr>
          <w:rFonts w:ascii="Times" w:hAnsi="Times" w:cs="Arial"/>
        </w:rPr>
        <w:t xml:space="preserve">. This can fluctuate from moment to moment, for example, if one’s mind wanders away from the task. </w:t>
      </w:r>
      <w:r w:rsidR="00DB11B3" w:rsidRPr="00023C48">
        <w:rPr>
          <w:rFonts w:ascii="Times" w:hAnsi="Times" w:cs="Arial"/>
        </w:rPr>
        <w:t>Sustained attention can also be measured by testing for a vigilance decrement, which is a</w:t>
      </w:r>
      <w:r w:rsidR="003460CE" w:rsidRPr="00023C48">
        <w:rPr>
          <w:rFonts w:ascii="Times" w:hAnsi="Times" w:cs="Arial"/>
        </w:rPr>
        <w:t xml:space="preserve"> progressive drop in the ‘intensity’ of attention </w:t>
      </w:r>
      <w:r w:rsidR="00732E54" w:rsidRPr="00023C48">
        <w:rPr>
          <w:rFonts w:ascii="Times" w:hAnsi="Times" w:cs="Arial"/>
        </w:rPr>
        <w:fldChar w:fldCharType="begin" w:fldLock="1"/>
      </w:r>
      <w:r w:rsidR="00B260BF">
        <w:rPr>
          <w:rFonts w:ascii="Times" w:hAnsi="Times" w:cs="Arial"/>
        </w:rPr>
        <w:instrText>ADDIN CSL_CITATION { "citationItems" : [ { "id" : "ITEM-1", "itemData" : { "DOI" : "10.1523/JNEUROSCI.1163-11.2011", "ISSN" : "1529-2401", "abstract" : "Traumatic brain injury (TBI) frequently produces impairments of attention in humans. These can result in a failure to maintain consistent goal-directed behavior. A predominantly right-lateralized frontoparietal network is often engaged during attentionally demanding tasks. However, lapses of attention have also been associated with increases in activation within the default mode network (DMN). Here, we study TBI patients with sustained attention impairment, defined on the basis of the consistency of their behavioral performance over time. We show that sustained attention impairments in patients are associated with an increase in DMN activation, particularly within the precuneus and posterior cingulate cortex. Furthermore, the interaction of the precuneus with the rest of the DMN at the start of the task, i.e., its functional connectivity, predicts which patients go on to show impairments of attention. Importantly, this predictive information is present before any behavioral evidence of sustained attention impairment, and the relationship is also found in a subgroup of patients without focal brain damage. TBI often results in diffuse axonal injury, which produces cognitive impairment by disconnecting nodes in distributed brain networks. Using diffusion tensor imaging, we demonstrate that structural disconnection within the DMN also correlates with the level of sustained attention. These results show that abnormalities in DMN function are a sensitive marker of impairments of attention and suggest that changes in connectivity within the DMN are central to the development of attentional impairment after TBI.", "author" : [ { "dropping-particle" : "", "family" : "Bonnelle", "given" : "V", "non-dropping-particle" : "", "parse-names" : false, "suffix" : "" }, { "dropping-particle" : "", "family" : "Leech", "given" : "R", "non-dropping-particle" : "", "parse-names" : false, "suffix" : "" }, { "dropping-particle" : "", "family" : "Kinnunen", "given" : "K M", "non-dropping-particle" : "", "parse-names" : false, "suffix" : "" }, { "dropping-particle" : "", "family" : "Ham", "given" : "T E", "non-dropping-particle" : "", "parse-names" : false, "suffix" : "" }, { "dropping-particle" : "", "family" : "Beckmann", "given" : "C F", "non-dropping-particle" : "", "parse-names" : false, "suffix" : "" }, { "dropping-particle" : "", "family" : "Boissezon", "given" : "X", "non-dropping-particle" : "De", "parse-names" : false, "suffix" : "" }, { "dropping-particle" : "", "family" : "Greenwood", "given" : "R J", "non-dropping-particle" : "", "parse-names" : false, "suffix" : "" }, { "dropping-particle" : "", "family" : "Sharp", "given" : "D J", "non-dropping-particle" : "", "parse-names" : false, "suffix" : "" } ], "container-title" : "J Neurosci", "id" : "ITEM-1", "issued" : { "date-parts" : [ [ "2011" ] ] }, "language" : "eng", "page" : "13442-13451", "title" : "Default mode network connectivity predicts sustained attention deficits after traumatic brain injury", "type" : "article-journal", "volume" : "31" }, "uris" : [ "http://www.mendeley.com/documents/?uuid=87b0e185-be14-4c58-bdee-f165265bc0d5" ] }, { "id" : "ITEM-2", "itemData" : { "DOI" : "10.2478/V10053-008-0070-8", "ISSN" : "18951171", "PMID" : "20689668", "abstract" : "Time-related changes in the speeded performance of complex cognitive tasks are considered to arise from the combined effects of practice and mental fatigue. Here we explored the differential contributions of practice and fatigue to performance changes in a self-paced speeded mental addition and comparison task of about 50 min duration, administered twice within one week's time. Performance measures included average response speed, accuracy, and response speed variability. The results revealed differential effects of prolonged work on different performance indices: Practice effects, being more pronounced in the first session, were reflected in an improvement of average response speed, whereas mental fatigue, occurring in both sessions, was reflected in an increase of response speed variability. This demonstrates that effects of mental fatigue on average speed of performance may be masked by practice effects but still be detectable in the variability of performance. Therefore, besides experimental factors such as the length and complexity of tasks, indices of response speed variability should be taken into consideration when interpreting different aspects of performance in self-paced speed tests.", "author" : [ { "dropping-particle" : "", "family" : "Steinborn", "given" : "Michael B.", "non-dropping-particle" : "", "parse-names" : false, "suffix" : "" }, { "dropping-particle" : "", "family" : "Flehmig", "given" : "Hagen C.", "non-dropping-particle" : "", "parse-names" : false, "suffix" : "" }, { "dropping-particle" : "", "family" : "Westhoff", "given" : "Karl", "non-dropping-particle" : "", "parse-names" : false, "suffix" : "" }, { "dropping-particle" : "", "family" : "Langner", "given" : "Robert", "non-dropping-particle" : "", "parse-names" : false, "suffix" : "" } ], "container-title" : "Advances in Cognitive Psychology", "id" : "ITEM-2", "issued" : { "date-parts" : [ [ "2009" ] ] }, "page" : "105-113", "title" : "Differential effects of prolonged work on performance measures in self-paced speed tests", "type" : "article-journal", "volume" : "5" }, "uris" : [ "http://www.mendeley.com/documents/?uuid=a9552e52-6254-4027-a337-9b696270e12a" ] }, { "id" : "ITEM-3", "itemData" : { "DOI" : "10.1093/brain/awn350", "ISBN" : "1460-2156 (Electronic)\\n1460-2156 (Linking)", "ISSN" : "00068950", "PMID" : "19158107", "abstract" : "Recent models of human posterior parietal cortex (PPC) have variously emphasized its role in spatial perception, visuomotor control or directing attention. However, neuroimaging and lesion studies also suggest that the right PPC might play a special role in maintaining an alert state. Previously, assessments of right-hemisphere patients with hemispatial neglect have revealed significant overall deficits on vigilance tasks, but to date there has been no demonstration of a deterioration of performance over time--a vigilance decrement--considered by some to be a key index of a deficit in maintaining attention. Moreover, sustained attention deficits in neglect have not specifically been related to PPC lesions, and it remains unclear whether they interact with spatial impairments in this syndrome. Here we examined the ability of right-hemisphere patients with neglect to maintain attention, comparing them to stroke controls and healthy individuals. We found evidence of an overall deficit in sustaining attention associated with PPC lesions, even for a simple detection task with stimuli presented centrally. In a second experiment, we demonstrated a vigilance decrement in neglect patients specifically only when they were required to maintain attention to spatial locations, but not verbal material. Lesioned voxels in the right PPC spanning a region between the intraparietal sulcus and inferior parietal lobe were significantly associated with this deficit. Finally, we compared performance on a task that required attention to be maintained either to visual patterns or spatial locations, matched for task difficulty. Again, we found a vigilance decrement but only when attention had to be maintained on spatial information. We conclude that sustaining attention to spatial locations is a critical function of the human right PPC which needs to be incorporated into models of normal parietal function as well as those of the clinical syndrome of hemispatial neglect.", "author" : [ { "dropping-particle" : "", "family" : "Malhotra", "given" : "Paresh", "non-dropping-particle" : "", "parse-names" : false, "suffix" : "" }, { "dropping-particle" : "", "family" : "Coulthard", "given" : "Elizabeth J.", "non-dropping-particle" : "", "parse-names" : false, "suffix" : "" }, { "dropping-particle" : "", "family" : "Husain", "given" : "Masud", "non-dropping-particle" : "", "parse-names" : false, "suffix" : "" } ], "container-title" : "Brain", "id" : "ITEM-3", "issued" : { "date-parts" : [ [ "2009" ] ] }, "page" : "645-660", "title" : "Role of right posterior parietal cortex in maintaining attention to spatial locations over time", "type" : "article-journal", "volume" : "132" }, "uris" : [ "http://www.mendeley.com/documents/?uuid=908d3f58-0239-465a-8ae8-a6ce5e959e60" ] } ], "mendeley" : { "formattedCitation" : "(Bonnelle et al. 2011; Steinborn et al. 2009; Malhotra et al. 2009)", "plainTextFormattedCitation" : "(Bonnelle et al. 2011; Steinborn et al. 2009; Malhotra et al. 2009)", "previouslyFormattedCitation" : "(Bonnelle et al. 2011; Steinborn et al. 2009; Malhotra et al. 2009)" }, "properties" : { "noteIndex" : 0 }, "schema" : "https://github.com/citation-style-language/schema/raw/master/csl-citation.json" }</w:instrText>
      </w:r>
      <w:r w:rsidR="00732E54" w:rsidRPr="00023C48">
        <w:rPr>
          <w:rFonts w:ascii="Times" w:hAnsi="Times" w:cs="Arial"/>
        </w:rPr>
        <w:fldChar w:fldCharType="separate"/>
      </w:r>
      <w:r w:rsidR="00255F1F" w:rsidRPr="00255F1F">
        <w:rPr>
          <w:rFonts w:ascii="Times" w:hAnsi="Times" w:cs="Arial"/>
          <w:noProof/>
        </w:rPr>
        <w:t>(Bonnelle et al. 2011; Steinborn et al. 2009; Malhotra et al. 2009)</w:t>
      </w:r>
      <w:r w:rsidR="00732E54" w:rsidRPr="00023C48">
        <w:rPr>
          <w:rFonts w:ascii="Times" w:hAnsi="Times" w:cs="Arial"/>
        </w:rPr>
        <w:fldChar w:fldCharType="end"/>
      </w:r>
      <w:r w:rsidR="00DB11B3" w:rsidRPr="00023C48">
        <w:rPr>
          <w:rFonts w:ascii="Times" w:hAnsi="Times" w:cs="Arial"/>
        </w:rPr>
        <w:t>.</w:t>
      </w:r>
      <w:r w:rsidR="003460CE" w:rsidRPr="00023C48">
        <w:rPr>
          <w:rFonts w:ascii="Times" w:hAnsi="Times" w:cs="Arial"/>
        </w:rPr>
        <w:t xml:space="preserve"> </w:t>
      </w:r>
      <w:r w:rsidR="00DB11B3" w:rsidRPr="00023C48">
        <w:rPr>
          <w:rFonts w:ascii="Times" w:hAnsi="Times" w:cs="Arial"/>
        </w:rPr>
        <w:t>T</w:t>
      </w:r>
      <w:r w:rsidR="000D59FD" w:rsidRPr="00023C48">
        <w:rPr>
          <w:rFonts w:ascii="Times" w:hAnsi="Times" w:cs="Arial"/>
        </w:rPr>
        <w:t>his</w:t>
      </w:r>
      <w:r w:rsidR="00E5485B" w:rsidRPr="00023C48">
        <w:rPr>
          <w:rFonts w:ascii="Times" w:hAnsi="Times" w:cs="Arial"/>
        </w:rPr>
        <w:t xml:space="preserve"> often occurs i</w:t>
      </w:r>
      <w:r w:rsidR="003460CE" w:rsidRPr="00023C48">
        <w:rPr>
          <w:rFonts w:ascii="Times" w:hAnsi="Times" w:cs="Arial"/>
        </w:rPr>
        <w:t xml:space="preserve">f one </w:t>
      </w:r>
      <w:r w:rsidR="00314CF1" w:rsidRPr="00023C48">
        <w:rPr>
          <w:rFonts w:ascii="Times" w:hAnsi="Times" w:cs="Arial"/>
        </w:rPr>
        <w:t>becomes</w:t>
      </w:r>
      <w:r w:rsidR="00A16E61" w:rsidRPr="00023C48">
        <w:rPr>
          <w:rFonts w:ascii="Times" w:hAnsi="Times" w:cs="Arial"/>
        </w:rPr>
        <w:t xml:space="preserve"> tired </w:t>
      </w:r>
      <w:r w:rsidR="00314CF1" w:rsidRPr="00023C48">
        <w:rPr>
          <w:rFonts w:ascii="Times" w:hAnsi="Times" w:cs="Arial"/>
        </w:rPr>
        <w:t>or</w:t>
      </w:r>
      <w:r w:rsidR="00A16E61" w:rsidRPr="00023C48">
        <w:rPr>
          <w:rFonts w:ascii="Times" w:hAnsi="Times" w:cs="Arial"/>
        </w:rPr>
        <w:t xml:space="preserve"> bored</w:t>
      </w:r>
      <w:r w:rsidR="00314CF1" w:rsidRPr="00023C48">
        <w:rPr>
          <w:rFonts w:ascii="Times" w:hAnsi="Times" w:cs="Arial"/>
        </w:rPr>
        <w:t xml:space="preserve"> with a monotonous</w:t>
      </w:r>
      <w:r w:rsidR="003460CE" w:rsidRPr="00023C48">
        <w:rPr>
          <w:rFonts w:ascii="Times" w:hAnsi="Times" w:cs="Arial"/>
        </w:rPr>
        <w:t xml:space="preserve"> task</w:t>
      </w:r>
      <w:r w:rsidR="00A16E61" w:rsidRPr="00023C48">
        <w:rPr>
          <w:rFonts w:ascii="Times" w:hAnsi="Times" w:cs="Arial"/>
        </w:rPr>
        <w:t>.</w:t>
      </w:r>
      <w:r w:rsidR="00DB0792" w:rsidRPr="00023C48">
        <w:rPr>
          <w:rFonts w:ascii="Times" w:hAnsi="Times" w:cs="Arial"/>
        </w:rPr>
        <w:t xml:space="preserve"> </w:t>
      </w:r>
      <w:r w:rsidR="009A2947" w:rsidRPr="00023C48">
        <w:rPr>
          <w:rFonts w:ascii="Times" w:hAnsi="Times" w:cs="Arial"/>
        </w:rPr>
        <w:t xml:space="preserve">We have previously </w:t>
      </w:r>
      <w:r w:rsidR="00F15631" w:rsidRPr="00023C48">
        <w:rPr>
          <w:rFonts w:ascii="Times" w:hAnsi="Times" w:cs="Arial"/>
        </w:rPr>
        <w:t>studied vigilance using</w:t>
      </w:r>
      <w:r w:rsidR="002A5DBC" w:rsidRPr="00023C48">
        <w:rPr>
          <w:rFonts w:ascii="Times" w:hAnsi="Times" w:cs="Arial"/>
        </w:rPr>
        <w:t xml:space="preserve"> the choice reaction time task (CRT),</w:t>
      </w:r>
      <w:r w:rsidR="00F15631" w:rsidRPr="00023C48">
        <w:rPr>
          <w:rFonts w:ascii="Times" w:hAnsi="Times" w:cs="Arial"/>
        </w:rPr>
        <w:t xml:space="preserve"> a</w:t>
      </w:r>
      <w:r w:rsidR="002A5DBC" w:rsidRPr="00023C48">
        <w:rPr>
          <w:rFonts w:ascii="Times" w:hAnsi="Times" w:cs="Arial"/>
        </w:rPr>
        <w:t xml:space="preserve"> simple speeded response task</w:t>
      </w:r>
      <w:r w:rsidR="009A2947" w:rsidRPr="00023C48">
        <w:rPr>
          <w:rFonts w:ascii="Times" w:hAnsi="Times" w:cs="Arial"/>
        </w:rPr>
        <w:t>.</w:t>
      </w:r>
      <w:r w:rsidR="00E03603" w:rsidRPr="00023C48">
        <w:rPr>
          <w:rFonts w:ascii="Times" w:hAnsi="Times" w:cs="Arial"/>
        </w:rPr>
        <w:t xml:space="preserve"> </w:t>
      </w:r>
      <w:r w:rsidR="007226B1" w:rsidRPr="00023C48">
        <w:rPr>
          <w:rFonts w:ascii="Times" w:hAnsi="Times" w:cs="Arial"/>
        </w:rPr>
        <w:t>Participant</w:t>
      </w:r>
      <w:r w:rsidR="00E03603" w:rsidRPr="00023C48">
        <w:rPr>
          <w:rFonts w:ascii="Times" w:hAnsi="Times" w:cs="Arial"/>
        </w:rPr>
        <w:t>s</w:t>
      </w:r>
      <w:r w:rsidR="004C6807" w:rsidRPr="00023C48">
        <w:rPr>
          <w:rFonts w:ascii="Times" w:hAnsi="Times" w:cs="Arial"/>
        </w:rPr>
        <w:t xml:space="preserve"> </w:t>
      </w:r>
      <w:r w:rsidR="00F15631" w:rsidRPr="00023C48">
        <w:rPr>
          <w:rFonts w:ascii="Times" w:hAnsi="Times" w:cs="Arial"/>
        </w:rPr>
        <w:t>often</w:t>
      </w:r>
      <w:r w:rsidR="004C6807" w:rsidRPr="00023C48">
        <w:rPr>
          <w:rFonts w:ascii="Times" w:hAnsi="Times" w:cs="Arial"/>
        </w:rPr>
        <w:t xml:space="preserve"> perform the task with low error rat</w:t>
      </w:r>
      <w:r w:rsidR="00E76844" w:rsidRPr="00023C48">
        <w:rPr>
          <w:rFonts w:ascii="Times" w:hAnsi="Times" w:cs="Arial"/>
        </w:rPr>
        <w:t>es and reaction times initially</w:t>
      </w:r>
      <w:r w:rsidR="00460AB7" w:rsidRPr="00023C48">
        <w:rPr>
          <w:rFonts w:ascii="Times" w:hAnsi="Times" w:cs="Arial"/>
        </w:rPr>
        <w:t>,</w:t>
      </w:r>
      <w:r w:rsidR="004C6807" w:rsidRPr="00023C48">
        <w:rPr>
          <w:rFonts w:ascii="Times" w:hAnsi="Times" w:cs="Arial"/>
        </w:rPr>
        <w:t xml:space="preserve"> but </w:t>
      </w:r>
      <w:r w:rsidR="00F15631" w:rsidRPr="00023C48">
        <w:rPr>
          <w:rFonts w:ascii="Times" w:hAnsi="Times" w:cs="Arial"/>
        </w:rPr>
        <w:t>may</w:t>
      </w:r>
      <w:r w:rsidR="00FA14EF" w:rsidRPr="00023C48">
        <w:rPr>
          <w:rFonts w:ascii="Times" w:hAnsi="Times" w:cs="Arial"/>
        </w:rPr>
        <w:t xml:space="preserve"> </w:t>
      </w:r>
      <w:r w:rsidR="00F15631" w:rsidRPr="00023C48">
        <w:rPr>
          <w:rFonts w:ascii="Times" w:hAnsi="Times" w:cs="Arial"/>
        </w:rPr>
        <w:t xml:space="preserve">show reduced vigilance level and </w:t>
      </w:r>
      <w:r w:rsidR="00FE72A9" w:rsidRPr="00023C48">
        <w:rPr>
          <w:rFonts w:ascii="Times" w:hAnsi="Times" w:cs="Arial"/>
        </w:rPr>
        <w:t>therefore a</w:t>
      </w:r>
      <w:r w:rsidR="00F15631" w:rsidRPr="00023C48">
        <w:rPr>
          <w:rFonts w:ascii="Times" w:hAnsi="Times" w:cs="Arial"/>
        </w:rPr>
        <w:t xml:space="preserve"> vigilance decrement by</w:t>
      </w:r>
      <w:r w:rsidR="00FA14EF" w:rsidRPr="00023C48">
        <w:rPr>
          <w:rFonts w:ascii="Times" w:hAnsi="Times" w:cs="Arial"/>
        </w:rPr>
        <w:t xml:space="preserve"> </w:t>
      </w:r>
      <w:r w:rsidR="00E5485B" w:rsidRPr="00023C48">
        <w:rPr>
          <w:rFonts w:ascii="Times" w:hAnsi="Times" w:cs="Arial"/>
        </w:rPr>
        <w:t xml:space="preserve">the </w:t>
      </w:r>
      <w:r w:rsidR="00FA14EF" w:rsidRPr="00023C48">
        <w:rPr>
          <w:rFonts w:ascii="Times" w:hAnsi="Times" w:cs="Arial"/>
        </w:rPr>
        <w:t xml:space="preserve">end of the task, </w:t>
      </w:r>
      <w:r w:rsidR="00F15631" w:rsidRPr="00023C48">
        <w:rPr>
          <w:rFonts w:ascii="Times" w:hAnsi="Times" w:cs="Arial"/>
        </w:rPr>
        <w:t xml:space="preserve">particularly following brain injury </w:t>
      </w:r>
      <w:r w:rsidR="00936FF4" w:rsidRPr="00023C48">
        <w:rPr>
          <w:rFonts w:ascii="Times" w:hAnsi="Times" w:cs="Arial"/>
        </w:rPr>
        <w:fldChar w:fldCharType="begin" w:fldLock="1"/>
      </w:r>
      <w:r w:rsidR="00B260BF">
        <w:rPr>
          <w:rFonts w:ascii="Times" w:hAnsi="Times" w:cs="Arial"/>
        </w:rPr>
        <w:instrText>ADDIN CSL_CITATION { "citationItems" : [ { "id" : "ITEM-1", "itemData" : { "DOI" : "10.1523/JNEUROSCI.1163-11.2011", "ISSN" : "1529-2401", "abstract" : "Traumatic brain injury (TBI) frequently produces impairments of attention in humans. These can result in a failure to maintain consistent goal-directed behavior. A predominantly right-lateralized frontoparietal network is often engaged during attentionally demanding tasks. However, lapses of attention have also been associated with increases in activation within the default mode network (DMN). Here, we study TBI patients with sustained attention impairment, defined on the basis of the consistency of their behavioral performance over time. We show that sustained attention impairments in patients are associated with an increase in DMN activation, particularly within the precuneus and posterior cingulate cortex. Furthermore, the interaction of the precuneus with the rest of the DMN at the start of the task, i.e., its functional connectivity, predicts which patients go on to show impairments of attention. Importantly, this predictive information is present before any behavioral evidence of sustained attention impairment, and the relationship is also found in a subgroup of patients without focal brain damage. TBI often results in diffuse axonal injury, which produces cognitive impairment by disconnecting nodes in distributed brain networks. Using diffusion tensor imaging, we demonstrate that structural disconnection within the DMN also correlates with the level of sustained attention. These results show that abnormalities in DMN function are a sensitive marker of impairments of attention and suggest that changes in connectivity within the DMN are central to the development of attentional impairment after TBI.", "author" : [ { "dropping-particle" : "", "family" : "Bonnelle", "given" : "V", "non-dropping-particle" : "", "parse-names" : false, "suffix" : "" }, { "dropping-particle" : "", "family" : "Leech", "given" : "R", "non-dropping-particle" : "", "parse-names" : false, "suffix" : "" }, { "dropping-particle" : "", "family" : "Kinnunen", "given" : "K M", "non-dropping-particle" : "", "parse-names" : false, "suffix" : "" }, { "dropping-particle" : "", "family" : "Ham", "given" : "T E", "non-dropping-particle" : "", "parse-names" : false, "suffix" : "" }, { "dropping-particle" : "", "family" : "Beckmann", "given" : "C F", "non-dropping-particle" : "", "parse-names" : false, "suffix" : "" }, { "dropping-particle" : "", "family" : "Boissezon", "given" : "X", "non-dropping-particle" : "De", "parse-names" : false, "suffix" : "" }, { "dropping-particle" : "", "family" : "Greenwood", "given" : "R J", "non-dropping-particle" : "", "parse-names" : false, "suffix" : "" }, { "dropping-particle" : "", "family" : "Sharp", "given" : "D J", "non-dropping-particle" : "", "parse-names" : false, "suffix" : "" } ], "container-title" : "J Neurosci", "id" : "ITEM-1", "issued" : { "date-parts" : [ [ "2011" ] ] }, "language" : "eng", "page" : "13442-13451", "title" : "Default mode network connectivity predicts sustained attention deficits after traumatic brain injury", "type" : "article-journal", "volume" : "31" }, "uris" : [ "http://www.mendeley.com/documents/?uuid=87b0e185-be14-4c58-bdee-f165265bc0d5" ] } ], "mendeley" : { "formattedCitation" : "(Bonnelle et al. 2011)", "plainTextFormattedCitation" : "(Bonnelle et al. 2011)", "previouslyFormattedCitation" : "(Bonnelle et al. 2011)" }, "properties" : { "noteIndex" : 0 }, "schema" : "https://github.com/citation-style-language/schema/raw/master/csl-citation.json" }</w:instrText>
      </w:r>
      <w:r w:rsidR="00936FF4" w:rsidRPr="00023C48">
        <w:rPr>
          <w:rFonts w:ascii="Times" w:hAnsi="Times" w:cs="Arial"/>
        </w:rPr>
        <w:fldChar w:fldCharType="separate"/>
      </w:r>
      <w:r w:rsidR="00255F1F" w:rsidRPr="00255F1F">
        <w:rPr>
          <w:rFonts w:ascii="Times" w:hAnsi="Times" w:cs="Arial"/>
          <w:noProof/>
        </w:rPr>
        <w:t>(Bonnelle et al. 2011)</w:t>
      </w:r>
      <w:r w:rsidR="00936FF4" w:rsidRPr="00023C48">
        <w:rPr>
          <w:rFonts w:ascii="Times" w:hAnsi="Times" w:cs="Arial"/>
        </w:rPr>
        <w:fldChar w:fldCharType="end"/>
      </w:r>
      <w:r w:rsidR="00A12E43" w:rsidRPr="00023C48">
        <w:rPr>
          <w:rFonts w:ascii="Times" w:hAnsi="Times" w:cs="Arial"/>
        </w:rPr>
        <w:t>.</w:t>
      </w:r>
    </w:p>
    <w:p w14:paraId="1189708F" w14:textId="77777777" w:rsidR="00834A0F" w:rsidRPr="00023C48" w:rsidRDefault="00834A0F" w:rsidP="005374CB">
      <w:pPr>
        <w:spacing w:line="480" w:lineRule="auto"/>
        <w:jc w:val="both"/>
        <w:rPr>
          <w:rFonts w:ascii="Times" w:hAnsi="Times"/>
        </w:rPr>
      </w:pPr>
    </w:p>
    <w:p w14:paraId="4CBCE40D" w14:textId="06655D08" w:rsidR="00F81546" w:rsidRPr="00023C48" w:rsidRDefault="00B2113D" w:rsidP="005374CB">
      <w:pPr>
        <w:spacing w:line="480" w:lineRule="auto"/>
        <w:jc w:val="both"/>
        <w:rPr>
          <w:rFonts w:ascii="Times" w:hAnsi="Times" w:cs="Arial"/>
        </w:rPr>
      </w:pPr>
      <w:r w:rsidRPr="00023C48">
        <w:rPr>
          <w:rFonts w:ascii="Times" w:hAnsi="Times"/>
        </w:rPr>
        <w:t>T</w:t>
      </w:r>
      <w:r w:rsidR="003751E9" w:rsidRPr="00023C48">
        <w:rPr>
          <w:rFonts w:ascii="Times" w:hAnsi="Times" w:cs="Arial"/>
        </w:rPr>
        <w:t xml:space="preserve">ranscranial direct current stimulation (tDCS) has been increasingly </w:t>
      </w:r>
      <w:r w:rsidR="00595562" w:rsidRPr="00023C48">
        <w:rPr>
          <w:rFonts w:ascii="Times" w:hAnsi="Times" w:cs="Arial"/>
        </w:rPr>
        <w:t xml:space="preserve">used </w:t>
      </w:r>
      <w:r w:rsidR="006C56B9" w:rsidRPr="00023C48">
        <w:rPr>
          <w:rFonts w:ascii="Times" w:hAnsi="Times" w:cs="Arial"/>
        </w:rPr>
        <w:t>as a non-invasive and</w:t>
      </w:r>
      <w:r w:rsidR="003751E9" w:rsidRPr="00023C48">
        <w:rPr>
          <w:rFonts w:ascii="Times" w:hAnsi="Times" w:cs="Arial"/>
        </w:rPr>
        <w:t xml:space="preserve"> safe </w:t>
      </w:r>
      <w:r w:rsidRPr="00023C48">
        <w:rPr>
          <w:rFonts w:ascii="Times" w:hAnsi="Times" w:cs="Arial"/>
        </w:rPr>
        <w:t xml:space="preserve">technique for </w:t>
      </w:r>
      <w:r w:rsidR="002D5398" w:rsidRPr="00023C48">
        <w:rPr>
          <w:rFonts w:ascii="Times" w:hAnsi="Times" w:cs="Arial"/>
        </w:rPr>
        <w:t xml:space="preserve">studying </w:t>
      </w:r>
      <w:r w:rsidR="001B451D" w:rsidRPr="00023C48">
        <w:rPr>
          <w:rFonts w:ascii="Times" w:hAnsi="Times" w:cs="Arial"/>
        </w:rPr>
        <w:t xml:space="preserve">and modulating </w:t>
      </w:r>
      <w:r w:rsidR="00F418D8" w:rsidRPr="00023C48">
        <w:rPr>
          <w:rFonts w:ascii="Times" w:hAnsi="Times" w:cs="Arial"/>
        </w:rPr>
        <w:t>many</w:t>
      </w:r>
      <w:r w:rsidR="003751E9" w:rsidRPr="00023C48">
        <w:rPr>
          <w:rFonts w:ascii="Times" w:hAnsi="Times" w:cs="Arial"/>
        </w:rPr>
        <w:t xml:space="preserve"> cognitive function</w:t>
      </w:r>
      <w:r w:rsidR="00F418D8" w:rsidRPr="00023C48">
        <w:rPr>
          <w:rFonts w:ascii="Times" w:hAnsi="Times" w:cs="Arial"/>
        </w:rPr>
        <w:t>s</w:t>
      </w:r>
      <w:r w:rsidR="003751E9" w:rsidRPr="00023C48">
        <w:rPr>
          <w:rFonts w:ascii="Times" w:hAnsi="Times" w:cs="Arial"/>
        </w:rPr>
        <w:t xml:space="preserve"> </w:t>
      </w:r>
      <w:r w:rsidR="003751E9" w:rsidRPr="00023C48">
        <w:rPr>
          <w:rFonts w:ascii="Times" w:hAnsi="Times" w:cs="Arial"/>
        </w:rPr>
        <w:fldChar w:fldCharType="begin" w:fldLock="1"/>
      </w:r>
      <w:r w:rsidR="00BC7BDB">
        <w:rPr>
          <w:rFonts w:ascii="Times" w:hAnsi="Times" w:cs="Arial"/>
        </w:rPr>
        <w:instrText>ADDIN CSL_CITATION { "citationItems" : [ { "id" : "ITEM-1", "itemData" : { "DOI" : "10.1017/S1461145710001690", "ISSN" : "1469-5111", "PMID" : "21320389", "abstract" : "Transcranial direct current stimulation (tDCS) is a non-invasive method of brain stimulation that has been intensively investigated in clinical and cognitive neuroscience. Although the general impression is that tDCS is a safe technique with mild and transient adverse effects (AEs), human data on safety and tolerability are largely provided from single-session studies in healthy volunteers. In addition the frequency of AEs and its relationship with clinical variables is unknown. With the aim of assessing tDCS safety in different conditions and study designs, we performed a systematic review and meta-analysis of tDCS clinical trials. We assessed Medline and other databases and reference lists from retrieved articles, searching for articles from 1998 (first trial with contemporary tDCS parameters) to August 2010. Animal studies, review articles and studies assessing other neuromodulatory techniques were excluded. According to our eligibility criteria, 209 studies (from 172 articles) were identified. One hundred and seventeen studies (56%) mentioned AEs in the report. Of these studies, 74 (63%) reported at least one AE and only eight studies quantified AEs systematically. In the subsample reporting AEs, the most common were, for active vs. sham tDCS group, itching (39.3% vs. 32.9%, p&gt;0.05), tingling (22.2% vs. 18.3%, p&gt;0.05), headache (14.8% vs. 16.2%, p&gt;0.05), burning sensation (8.7% vs. 10%, p&gt;0.05) and discomfort (10.4% vs. 13.4%, p&gt;0.05). Meta-analytical techniques could be applied in only eight studies for itching, but no definite results could be obtained due to between-study heterogeneity and low number of studies. Our results suggested that some AEs such as itching and tingling were more frequent in the tDCS active group, although this was not statistically significant. Although results suggest that tDCS is associated with mild AEs only, we identified a selective reporting bias for reporting, assessing and publishing AEs of tDCS that hinders further conclusions. Based on our findings, we propose a revised adverse effects questionnaire to be applied in tDCS studies in order to improve systematic reporting of tDCS-related AEs.", "author" : [ { "dropping-particle" : "", "family" : "Brunoni", "given" : "Andre Russowsky", "non-dropping-particle" : "", "parse-names" : false, "suffix" : "" }, { "dropping-particle" : "", "family" : "Amadera", "given" : "Joao", "non-dropping-particle" : "", "parse-names" : false, "suffix" : "" }, { "dropping-particle" : "", "family" : "Berbel", "given" : "Bruna", "non-dropping-particle" : "", "parse-names" : false, "suffix" : "" }, { "dropping-particle" : "", "family" : "Volz", "given" : "Magdalena Sarah", "non-dropping-particle" : "", "parse-names" : false, "suffix" : "" }, { "dropping-particle" : "", "family" : "Rizzerio", "given" : "Brenno Gomes", "non-dropping-particle" : "", "parse-names" : false, "suffix" : "" }, { "dropping-particle" : "", "family" : "Fregni", "given" : "Felipe", "non-dropping-particle" : "", "parse-names" : false, "suffix" : "" } ], "container-title" : "The international journal of neuropsychopharmacology / official scientific journal of the Collegium Internationale Neuropsychopharmacologicum (CINP)", "id" : "ITEM-1", "issue" : "8", "issued" : { "date-parts" : [ [ "2011", "9" ] ] }, "page" : "1133-45", "title" : "A systematic review on reporting and assessment of adverse effects associated with transcranial direct current stimulation.", "type" : "article-journal", "volume" : "14" }, "uris" : [ "http://www.mendeley.com/documents/?uuid=6a2d060b-a0c2-4d0a-a065-a4c257b1a229" ] }, { "id" : "ITEM-2", "itemData" : { "DOI" : "10.1007/s00221-005-2334-6", "ISBN" : "1617975532", "ISSN" : "0014-4819", "PMID" : "15999258", "abstract" : "Previous studies have claimed that weak transcranial direct current stimulation (tDCS) induces persisting excitability changes in the human motor cortex that can be more pronounced than cortical modulation induced by transcranial magnetic stimulation, but there are no studies that have evaluated the effects of tDCS on working memory. Our aim was to determine whether anodal transcranial direct current stimulation, which enhances brain cortical excitability and activity, would modify performance in a sequential-letter working memory task when administered to the dorsolateral prefrontal cortex (DLPFC). Fifteen subjects underwent a three-back working memory task based on letters. This task was performed during sham and anodal stimulation applied over the left DLPFC. Moreover seven of these subjects performed the same task, but with inverse polarity (cathodal stimulation of the left DLPFC) and anodal stimulation of the primary motor cortex (M1). Our results indicate that only anodal stimulation of the left prefrontal cortex, but not cathodal stimulation of left DLPFC or anodal stimulation of M1, increases the accuracy of the task performance when compared to sham stimulation of the same area. This accuracy enhancement during active stimulation cannot be accounted for by slowed responses, as response times were not changed by stimulation. Our results indicate that left prefrontal anodal stimulation leads to an enhancement of working memory performance. Furthermore, this effect depends on the stimulation polarity and is specific to the site of stimulation. This result may be helpful to develop future interventions aiming at clinical benefits.", "author" : [ { "dropping-particle" : "", "family" : "Fregni", "given" : "F.", "non-dropping-particle" : "", "parse-names" : false, "suffix" : "" }, { "dropping-particle" : "", "family" : "Boggio", "given" : "P.S.", "non-dropping-particle" : "", "parse-names" : false, "suffix" : "" }, { "dropping-particle" : "", "family" : "Nitsche", "given" : "M.", "non-dropping-particle" : "", "parse-names" : false, "suffix" : "" }, { "dropping-particle" : "", "family" : "Bermpohl", "given" : "F.", "non-dropping-particle" : "", "parse-names" : false, "suffix" : "" }, { "dropping-particle" : "", "family" : "Antal", "given" : "a.", "non-dropping-particle" : "", "parse-names" : false, "suffix" : "" }, { "dropping-particle" : "", "family" : "Feredoes", "given" : "E.", "non-dropping-particle" : "", "parse-names" : false, "suffix" : "" }, { "dropping-particle" : "", "family" : "Marcolin", "given" : "M.a.", "non-dropping-particle" : "", "parse-names" : false, "suffix" : "" }, { "dropping-particle" : "", "family" : "Rigonatti", "given" : "S.P.", "non-dropping-particle" : "", "parse-names" : false, "suffix" : "" }, { "dropping-particle" : "", "family" : "Silva", "given" : "M.T.a.", "non-dropping-particle" : "", "parse-names" : false, "suffix" : "" }, { "dropping-particle" : "", "family" : "Paulus", "given" : "W.", "non-dropping-particle" : "", "parse-names" : false, "suffix" : "" }, { "dropping-particle" : "", "family" : "Pascual-Leone", "given" : "a.", "non-dropping-particle" : "", "parse-names" : false, "suffix" : "" } ], "container-title" : "Experimental Brain Research.", "id" : "ITEM-2", "issue" : "1", "issued" : { "date-parts" : [ [ "2005", "9" ] ] }, "page" : "23-30", "title" : "Anodal transcranial direct current stimulation of prefrontal cortex enhances working memory.", "type" : "article-journal", "volume" : "166" }, "uris" : [ "http://www.mendeley.com/documents/?uuid=9ca25082-126e-4ac8-a464-54b673618033" ] }, { "id" : "ITEM-3", "itemData" : { "DOI" : "10.1093/brain/awh369", "ISSN" : "1460-2156", "PMID" : "15634731", "abstract" : "Stroke is a leading cause of adult motor disability. Despite recent progress, recovery of motor function after stroke is usually incomplete. This double blind, Sham-controlled, crossover study was designed to test the hypothesis that non-invasive stimulation of the motor cortex could improve motor function in the paretic hand of patients with chronic stroke. Hand function was measured using the Jebsen-Taylor Hand Function Test (JTT), a widely used, well validated test for functional motor assessment that reflects activities of daily living. JTT measured in the paretic hand improved significantly with non-invasive transcranial direct current stimulation (tDCS), but not with Sham, an effect that outlasted the stimulation period, was present in every single patient tested and that correlated with an increment in motor cortical excitability within the affected hemisphere, expressed as increased recruitment curves (RC) and reduced short-interval intracortical inhibition. These results document a beneficial effect of non-invasive cortical stimulation on a set of hand functions that mimic activities of daily living in the paretic hand of patients with chronic stroke, and suggest that this interventional strategy in combination with customary rehabilitative treatments may play an adjuvant role in neurorehabilitation.", "author" : [ { "dropping-particle" : "", "family" : "Hummel", "given" : "Friedhelm", "non-dropping-particle" : "", "parse-names" : false, "suffix" : "" }, { "dropping-particle" : "", "family" : "Celnik", "given" : "Pablo", "non-dropping-particle" : "", "parse-names" : false, "suffix" : "" }, { "dropping-particle" : "", "family" : "Giraux", "given" : "Pascal", "non-dropping-particle" : "", "parse-names" : false, "suffix" : "" }, { "dropping-particle" : "", "family" : "Floel", "given" : "Agnes", "non-dropping-particle" : "", "parse-names" : false, "suffix" : "" }, { "dropping-particle" : "", "family" : "Wu", "given" : "Wan Hsun", "non-dropping-particle" : "", "parse-names" : false, "suffix" : "" }, { "dropping-particle" : "", "family" : "Gerloff", "given" : "Christian", "non-dropping-particle" : "", "parse-names" : false, "suffix" : "" }, { "dropping-particle" : "", "family" : "Cohen", "given" : "Leonardo G.", "non-dropping-particle" : "", "parse-names" : false, "suffix" : "" } ], "container-title" : "Brain", "id" : "ITEM-3", "issue" : "3", "issued" : { "date-parts" : [ [ "2005", "3" ] ] }, "page" : "490-499", "title" : "Effects of non-invasive cortical stimulation on skilled motor function in chronic stroke", "type" : "article-journal", "volume" : "128" }, "uris" : [ "http://www.mendeley.com/documents/?uuid=d93a4485-b232-4c00-bac1-1e6e5e0fda37" ] }, { "id" : "ITEM-4", "itemData" : { "DOI" : "10.1093/brain/awr313", "ISSN" : "1460-2156", "PMID" : "22155982", "abstract" : "Transcranial direct current stimulation, a form of non-invasive brain stimulation, is showing increasing promise as an adjunct therapy in rehabilitation following stroke. However, although significant behavioural improvements have been reported in proof-of-principle studies, the underlying mechanisms are poorly understood. The rationale for transcranial direct current stimulation as therapy for stroke is that therapeutic stimulation paradigms increase activity in ipsilesional motor cortical areas, but this has not previously been directly tested for conventional electrode placements. This study was performed to test directly whether increases in ipsilesional cortical activation with transcranial direct current stimulation are associated with behavioural improvements in chronic stroke patients. Patients at least 6\u2009months post-first stroke participated in a behavioural experiment (n\u2009=\u200913) or a functional magnetic resonance imaging experiment (n\u2009=\u200911), each investigating the effects of three stimulation conditions in separate sessions: anodal stimulation to the ipsilesional hemisphere; cathodal stimulation to the contralesional hemisphere; and sham stimulation. Anodal (facilitatory) stimulation to the ipsilesional hemisphere led to significant improvements (5-10%) in response times with the affected hand in both experiments. This improvement was associated with an increase in movement-related cortical activity in the stimulated primary motor cortex and functionally interconnected regions. Cathodal (inhibitory) stimulation to the contralesional hemisphere led to a functional improvement only when compared with sham stimulation. We show for the first time that the significant behavioural improvements produced by anodal stimulation to the ipsilesional hemisphere are associated with a functionally relevant increase in activity within the ipsilesional primary motor cortex in patients with a wide range of disabilities following stroke.", "author" : [ { "dropping-particle" : "", "family" : "Stagg", "given" : "Charlotte Jane", "non-dropping-particle" : "", "parse-names" : false, "suffix" : "" }, { "dropping-particle" : "", "family" : "Bachtiar", "given" : "Velicia", "non-dropping-particle" : "", "parse-names" : false, "suffix" : "" }, { "dropping-particle" : "", "family" : "O'Shea", "given" : "Jacinta", "non-dropping-particle" : "", "parse-names" : false, "suffix" : "" }, { "dropping-particle" : "", "family" : "Allman", "given" : "Claire", "non-dropping-particle" : "", "parse-names" : false, "suffix" : "" }, { "dropping-particle" : "", "family" : "Bosnell", "given" : "Rosemary Ann", "non-dropping-particle" : "", "parse-names" : false, "suffix" : "" }, { "dropping-particle" : "", "family" : "Kischka", "given" : "Udo", "non-dropping-particle" : "", "parse-names" : false, "suffix" : "" }, { "dropping-particle" : "", "family" : "Matthews", "given" : "Paul McMahan", "non-dropping-particle" : "", "parse-names" : false, "suffix" : "" }, { "dropping-particle" : "", "family" : "Johansen-Berg", "given" : "Heidi", "non-dropping-particle" : "", "parse-names" : false, "suffix" : "" } ], "container-title" : "Brain : a journal of neurology", "id" : "ITEM-4", "issue" : "Pt 1", "issued" : { "date-parts" : [ [ "2012", "1" ] ] }, "page" : "276-84", "title" : "Cortical activation changes underlying stimulation-induced behavioural gains in chronic stroke.", "type" : "article-journal", "volume" : "135" }, "uris" : [ "http://www.mendeley.com/documents/?uuid=8d7454b4-ed5c-4bef-a872-f1b4c50e848f" ] } ], "mendeley" : { "formattedCitation" : "(Brunoni et al. 2011; F. Fregni et al. 2005; Hummel et al. 2005; Charlotte Jane Stagg et al. 2012)", "manualFormatting" : "(Brunoni et al. 2011; Fregni et al. 2005; Hummel et al. 2005; Stagg et al. 2012)", "plainTextFormattedCitation" : "(Brunoni et al. 2011; F. Fregni et al. 2005; Hummel et al. 2005; Charlotte Jane Stagg et al. 2012)", "previouslyFormattedCitation" : "(Brunoni et al. 2011; F. Fregni et al. 2005; Hummel et al. 2005; Charlotte Jane Stagg et al. 2012)" }, "properties" : { "noteIndex" : 0 }, "schema" : "https://github.com/citation-style-language/schema/raw/master/csl-citation.json" }</w:instrText>
      </w:r>
      <w:r w:rsidR="003751E9" w:rsidRPr="00023C48">
        <w:rPr>
          <w:rFonts w:ascii="Times" w:hAnsi="Times" w:cs="Arial"/>
        </w:rPr>
        <w:fldChar w:fldCharType="separate"/>
      </w:r>
      <w:r w:rsidR="00255F1F" w:rsidRPr="00255F1F">
        <w:rPr>
          <w:rFonts w:ascii="Times" w:hAnsi="Times" w:cs="Arial"/>
          <w:noProof/>
        </w:rPr>
        <w:t>(Brunoni et al. 2011; Fregni et al. 2005; Hummel et al. 2005; Stagg et al. 2012)</w:t>
      </w:r>
      <w:r w:rsidR="003751E9" w:rsidRPr="00023C48">
        <w:rPr>
          <w:rFonts w:ascii="Times" w:hAnsi="Times" w:cs="Arial"/>
        </w:rPr>
        <w:fldChar w:fldCharType="end"/>
      </w:r>
      <w:r w:rsidR="003751E9" w:rsidRPr="00023C48">
        <w:rPr>
          <w:rFonts w:ascii="Times" w:hAnsi="Times" w:cs="Arial"/>
        </w:rPr>
        <w:t xml:space="preserve">, including attention </w:t>
      </w:r>
      <w:r w:rsidR="003751E9" w:rsidRPr="00023C48">
        <w:rPr>
          <w:rFonts w:ascii="Times" w:hAnsi="Times" w:cs="Arial"/>
        </w:rPr>
        <w:fldChar w:fldCharType="begin" w:fldLock="1"/>
      </w:r>
      <w:r w:rsidR="00B260BF">
        <w:rPr>
          <w:rFonts w:ascii="Times" w:hAnsi="Times" w:cs="Arial"/>
        </w:rPr>
        <w:instrText>ADDIN CSL_CITATION { "citationItems" : [ { "id" : "ITEM-1", "itemData" : { "DOI" : "10.1016/j.jad.2006.10.026", "ISSN" : "0165-0327", "PMID" : "17166593", "abstract" : "Background: We recently showed that repetitive transcranial magnetic stimulation (rTMS) of the dorsolateral prefrontal cortex (DLPFC) can affect the performance in an affective go-no-go (AGN) task. We aimed to extend this previous investigation testing whether one session of anodal transcranial direct current stimulation (tDCS) of the left DLPFC, as compared with anodal occipital and sham tDCS, affects this AGN task performance. Methods: Twenty-six patients with major depression were randomized to receive anodal tDCS of the left DLPFC, occipital cortex or sham tDCS (the cathode electrode was placed over the frontopolar area for the three conditions). An AGN task was performed immediately before and after treatment. Performance changes (pre and post-treatment) were compared across groups of treatment and correlated with Hamilton Depression Rating Scale (HDRS) score changes. Results: The results show that anodal stimulation of the left DLPFC was the only condition that induced a significant improvement in task performance as shown by the increase in the number of correct responses. In addition, this effect was specific for figures with positive emotional content. This performance enhancement was not correlated with mood changes after 10??days of tDCS treatment. Limitations: Although the effects of tDCS are less focal than rTMS, it can induce a longer and stronger modulation of cortical excitability. Conclusions: Our findings suggest that left DLPFC activity is associated with positive emotional processing, confirming and extending results of previous studies that associated right DLPFC and orbito-frontal cortex activity with emotional processing. Furthermore the effects of tDCS on mood and cognition seem to be independent in major depression. These lines of evidence together shed light on the neural circuitry involved with emotional processing in major depression. ?? 2006 Elsevier B.V. All rights reserved.", "author" : [ { "dropping-particle" : "", "family" : "Boggio", "given" : "Paulo S.", "non-dropping-particle" : "", "parse-names" : false, "suffix" : "" }, { "dropping-particle" : "", "family" : "Bermpohl", "given" : "Felix", "non-dropping-particle" : "", "parse-names" : false, "suffix" : "" }, { "dropping-particle" : "", "family" : "Vergara", "given" : "Adriana O.", "non-dropping-particle" : "", "parse-names" : false, "suffix" : "" }, { "dropping-particle" : "", "family" : "Muniz", "given" : "Ana L C R", "non-dropping-particle" : "", "parse-names" : false, "suffix" : "" }, { "dropping-particle" : "", "family" : "Nahas", "given" : "Fernanda H.", "non-dropping-particle" : "", "parse-names" : false, "suffix" : "" }, { "dropping-particle" : "", "family" : "Leme", "given" : "Priscila B.", "non-dropping-particle" : "", "parse-names" : false, "suffix" : "" }, { "dropping-particle" : "", "family" : "Rigonatti", "given" : "Sergio P.", "non-dropping-particle" : "", "parse-names" : false, "suffix" : "" }, { "dropping-particle" : "", "family" : "Fregni", "given" : "Felipe", "non-dropping-particle" : "", "parse-names" : false, "suffix" : "" } ], "container-title" : "Journal of Affective Disorders", "id" : "ITEM-1", "issue" : "1-3", "issued" : { "date-parts" : [ [ "2007", "8" ] ] }, "page" : "91-98", "title" : "Go-no-go task performance improvement after anodal transcranial DC stimulation of the left dorsolateral prefrontal cortex in major depression", "type" : "article-journal", "volume" : "101" }, "uris" : [ "http://www.mendeley.com/documents/?uuid=5d79d286-fd0b-4a1b-9c00-03290320a037" ] }, { "id" : "ITEM-2", "itemData" : { "DOI" : "10.1016/j.neuroimage.2012.11.061", "ISSN" : "1053-8119", "author" : [ { "dropping-particle" : "", "family" : "Nelson", "given" : "Jeremy T", "non-dropping-particle" : "", "parse-names" : false, "suffix" : "" }, { "dropping-particle" : "", "family" : "Mckinley", "given" : "R Andy", "non-dropping-particle" : "", "parse-names" : false, "suffix" : "" }, { "dropping-particle" : "", "family" : "Golob", "given" : "Edward J", "non-dropping-particle" : "", "parse-names" : false, "suffix" : "" }, { "dropping-particle" : "", "family" : "Warm", "given" : "Joel S", "non-dropping-particle" : "", "parse-names" : false, "suffix" : "" }, { "dropping-particle" : "", "family" : "Parasuraman", "given" : "Raja", "non-dropping-particle" : "", "parse-names" : false, "suffix" : "" } ], "container-title" : "NeuroImage", "id" : "ITEM-2", "issued" : { "date-parts" : [ [ "2013" ] ] }, "publisher" : "Elsevier B.V.", "title" : "Enhancing vigilance in operators with prefrontal cortex transcranial direct current stimulation ( tDCS )", "type" : "article-journal" }, "uris" : [ "http://www.mendeley.com/documents/?uuid=ad6bd73b-a0fb-435b-a7a3-d707dc8a3ea0" ] }, { "id" : "ITEM-3", "itemData" : { "author" : [ { "dropping-particle" : "", "family" : "Coffman", "given" : "Brian A", "non-dropping-particle" : "", "parse-names" : false, "suffix" : "" }, { "dropping-particle" : "", "family" : "Trumbo", "given" : "Michael C", "non-dropping-particle" : "", "parse-names" : false, "suffix" : "" }, { "dropping-particle" : "", "family" : "Clark", "given" : "Vincent P", "non-dropping-particle" : "", "parse-names" : false, "suffix" : "" } ], "id" : "ITEM-3", "issued" : { "date-parts" : [ [ "2012" ] ] }, "title" : "Enhancement of object detection with transcranial direct current stimulation is associated with increased attention", "type" : "article-journal" }, "uris" : [ "http://www.mendeley.com/documents/?uuid=a7134ff8-d5b8-449e-97dc-96b3acc36ac3" ] }, { "id" : "ITEM-4", "itemData" : { "author" : [ { "dropping-particle" : "", "family" : "Weiss", "given" : "Michal", "non-dropping-particle" : "", "parse-names" : false, "suffix" : "" }, { "dropping-particle" : "", "family" : "Lavidor", "given" : "Michal", "non-dropping-particle" : "", "parse-names" : false, "suffix" : "" } ], "id" : "ITEM-4", "issued" : { "date-parts" : [ [ "2012" ] ] }, "page" : "1826-1833", "title" : "When Less Is More : Evidence for a Facilitative Cathodal tDCS Effect in Attentional Abilities", "type" : "article-journal" }, "uris" : [ "http://www.mendeley.com/documents/?uuid=b9973655-748c-4f8c-bb01-63fdcf2c1a6f" ] }, { "id" : "ITEM-5", "itemData" : { "DOI" : "10.1523/JNEUROSCI.0362-12.2012", "author" : [ { "dropping-particle" : "", "family" : "Tseng", "given" : "Philip", "non-dropping-particle" : "", "parse-names" : false, "suffix" : "" }, { "dropping-particle" : "", "family" : "Hsu", "given" : "Tzu-yu", "non-dropping-particle" : "", "parse-names" : false, "suffix" : "" }, { "dropping-particle" : "", "family" : "Chang", "given" : "Chi-fu", "non-dropping-particle" : "", "parse-names" : false, "suffix" : "" }, { "dropping-particle" : "", "family" : "Tzeng", "given" : "Ovid J L", "non-dropping-particle" : "", "parse-names" : false, "suffix" : "" }, { "dropping-particle" : "", "family" : "Hung", "given" : "Daisy L", "non-dropping-particle" : "", "parse-names" : false, "suffix" : "" }, { "dropping-particle" : "", "family" : "Muggleton", "given" : "Neil G", "non-dropping-particle" : "", "parse-names" : false, "suffix" : "" }, { "dropping-particle" : "", "family" : "Walsh", "given" : "Vincent", "non-dropping-particle" : "", "parse-names" : false, "suffix" : "" }, { "dropping-particle" : "", "family" : "Liang", "given" : "Wei-kuang", "non-dropping-particle" : "", "parse-names" : false, "suffix" : "" }, { "dropping-particle" : "", "family" : "Cheng", "given" : "Shih-kuen", "non-dropping-particle" : "", "parse-names" : false, "suffix" : "" }, { "dropping-particle" : "", "family" : "Juan", "given" : "Chi-hung", "non-dropping-particle" : "", "parse-names" : false, "suffix" : "" } ], "id" : "ITEM-5", "issue" : "31", "issued" : { "date-parts" : [ [ "2012" ] ] }, "page" : "10554-10561", "title" : "Unleashing Potential : Transcranial Direct Current Stimulation over the Right Posterior Parietal Cortex Improves Change Detection in Low-Performing Individuals", "type" : "article-journal", "volume" : "32" }, "uris" : [ "http://www.mendeley.com/documents/?uuid=fd50537d-5bdc-4b25-aa73-4ac9f8057d4f" ] }, { "id" : "ITEM-6", "itemData" : { "DOI" : "10.2340/16501977-0947", "ISSN" : "1651-2081", "PMID" : "22434324", "abstract" : "OBJECTIVE: To determine whether a single session of anodal transcranial direct current stimulation to the left dorsolateral prefrontal cortex improves attention in patients with traumatic brain injury.\n\nDESIGN: Double-blinded, cross-over design.\n\nPATIENTS: Nine patients with attention deficit after traumatic brain injury.\n\nMETHODS: Patients underwent a computerized contrast reaction time task before and after the administration of real transcranial direct current stimulation (2 mA for 20 min) or sham transcranial direct current stimulation (2 mA for 1 min) to the left dorsolateral prefrontal cortex in a double-blind, crossover manner.\n\nRESULTS: Immediately post-stimulation, the transcranial direct current stimulation group showed a tendency of shortened reaction time relative to baseline (87.3\u2009\u00b1\u20097.8%), whereas the sham stimulation group (122.4\u2009\u00b1\u2009715.5%) did not (p\u2009=\u20090.056). However, this difference was not significant 3 or 24 h after stimulation (p\u2009&gt;\u20090.05). The numbers of correct responses were not changed at any time after stimulation.\n\nCONCLUSION: Anodal transcranial direct current stimulation applied to the left dorsolateral prefrontal cortex improves attention compared with sham stimulation in patients with traumatic brain injury, which suggests a potential role for this intervention in improving attention during cognitive training after traumatic brain injury. A further prospective randomized trial is required to confirm the benefits conferred by transcranial direct current stimulation in this patient population.", "author" : [ { "dropping-particle" : "", "family" : "Kang", "given" : "Eun-Kyoung", "non-dropping-particle" : "", "parse-names" : false, "suffix" : "" }, { "dropping-particle" : "", "family" : "Kim", "given" : "Dae-Yul", "non-dropping-particle" : "", "parse-names" : false, "suffix" : "" }, { "dropping-particle" : "", "family" : "Paik", "given" : "Nam-Jong", "non-dropping-particle" : "", "parse-names" : false, "suffix" : "" } ], "container-title" : "Journal of rehabilitation medicine", "id" : "ITEM-6", "issue" : "4", "issued" : { "date-parts" : [ [ "2012", "4" ] ] }, "page" : "346-50", "title" : "Transcranial direct current stimulation of the left prefrontal cortex improves attention in patients with traumatic brain injury: a pilot study.", "type" : "article-journal", "volume" : "44" }, "uris" : [ "http://www.mendeley.com/documents/?uuid=1153de38-8aa6-41d8-8411-c35434308502" ] } ], "mendeley" : { "formattedCitation" : "(Paulo S. Boggio et al. 2007; Nelson et al. 2013; Coffman et al. 2012; Weiss &amp; Lavidor 2012; Tseng et al. 2012; Kang et al. 2012)", "manualFormatting" : "(Boggio et al. 2007; Nelson et al. 2013; Coffman et al. 2012; Weiss &amp; Lavidor 2012; Tseng et al. 2012; Kang et al. 2012)", "plainTextFormattedCitation" : "(Paulo S. Boggio et al. 2007; Nelson et al. 2013; Coffman et al. 2012; Weiss &amp; Lavidor 2012; Tseng et al. 2012; Kang et al. 2012)", "previouslyFormattedCitation" : "(Paulo S. Boggio et al. 2007; Nelson et al. 2013; Coffman et al. 2012; Weiss &amp; Lavidor 2012; Tseng et al. 2012; Kang et al. 2012)" }, "properties" : { "noteIndex" : 0 }, "schema" : "https://github.com/citation-style-language/schema/raw/master/csl-citation.json" }</w:instrText>
      </w:r>
      <w:r w:rsidR="003751E9" w:rsidRPr="00023C48">
        <w:rPr>
          <w:rFonts w:ascii="Times" w:hAnsi="Times" w:cs="Arial"/>
        </w:rPr>
        <w:fldChar w:fldCharType="separate"/>
      </w:r>
      <w:r w:rsidR="00255F1F" w:rsidRPr="00255F1F">
        <w:rPr>
          <w:rFonts w:ascii="Times" w:hAnsi="Times" w:cs="Arial"/>
          <w:noProof/>
        </w:rPr>
        <w:t>(Boggio et al. 2007; Nelson et al. 2013; Coffman et al. 2012; Weiss &amp; Lavidor 2012; Tseng et al. 2012; Kang et al. 2012)</w:t>
      </w:r>
      <w:r w:rsidR="003751E9" w:rsidRPr="00023C48">
        <w:rPr>
          <w:rFonts w:ascii="Times" w:hAnsi="Times" w:cs="Arial"/>
        </w:rPr>
        <w:fldChar w:fldCharType="end"/>
      </w:r>
      <w:r w:rsidR="003751E9" w:rsidRPr="00023C48">
        <w:rPr>
          <w:rFonts w:ascii="Times" w:hAnsi="Times" w:cs="Arial"/>
        </w:rPr>
        <w:t xml:space="preserve">, working memory </w:t>
      </w:r>
      <w:r w:rsidR="003751E9" w:rsidRPr="00023C48">
        <w:rPr>
          <w:rFonts w:ascii="Times" w:hAnsi="Times" w:cs="Arial"/>
        </w:rPr>
        <w:fldChar w:fldCharType="begin" w:fldLock="1"/>
      </w:r>
      <w:r w:rsidR="00B260BF">
        <w:rPr>
          <w:rFonts w:ascii="Times" w:hAnsi="Times" w:cs="Arial"/>
        </w:rPr>
        <w:instrText>ADDIN CSL_CITATION { "citationItems" : [ { "id" : "ITEM-1", "itemData" : { "DOI" : "10.1016/j.brainres.2011.12.036", "ISSN" : "1872-6240", "PMID" : "22265704", "abstract" : "Effective learning requires that attentional resources be focused on target information and withheld from irrelevant events in the learner's surroundings. This requires engagement of the brain substrates of selective attention and the concurrent disengagement of brain substrates of orienting toward changes in the environment. In the present study, we attempted to modulate activation of cortical substrates of attention during learning by physiological intervention, using transcranial direct current stimulation (tDCS). To effect adversarial modulation, we applied anodal stimulation directed toward left intraparietal sulcus/superior parietal cortex (IPS/SPL; a substrate of selective attention) and cathodal stimulation directed toward right inferior parietal cortex (IPL; a substrate of orienting). Such stimulation during study of verbal materials led to superior subsequent recognition memory relative to the opposite polarity of stimulation. To our knowledge, this is the first application of direct current stimulation to parietal regions implicated in different forms of attention in an oppositional manner in order to modulate learning in a verbal recognition memory task. Additionally, these results may have practical implications for the development of interventions to benefit persons with various types of attentional deficits.", "author" : [ { "dropping-particle" : "", "family" : "Jacobson", "given" : "Liron", "non-dropping-particle" : "", "parse-names" : false, "suffix" : "" }, { "dropping-particle" : "", "family" : "Goren", "given" : "Nir", "non-dropping-particle" : "", "parse-names" : false, "suffix" : "" }, { "dropping-particle" : "", "family" : "Lavidor", "given" : "Michal", "non-dropping-particle" : "", "parse-names" : false, "suffix" : "" }, { "dropping-particle" : "", "family" : "Levy", "given" : "Daniel a", "non-dropping-particle" : "", "parse-names" : false, "suffix" : "" } ], "container-title" : "Brain research", "id" : "ITEM-1", "issued" : { "date-parts" : [ [ "2012", "2", "23" ] ] }, "page" : "66-72", "publisher" : "Elsevier B.V.", "title" : "Oppositional transcranial direct current stimulation (tDCS) of parietal substrates of attention during encoding modulates episodic memory.", "type" : "article-journal", "volume" : "1439" }, "uris" : [ "http://www.mendeley.com/documents/?uuid=a3853b2d-b426-463e-8561-14bfc7973451" ] }, { "id" : "ITEM-2", "itemData" : { "DOI" : "10.1016/j.neulet.2010.05.087", "ISBN" : "1872-7972 (Electronic)\\n0304-3940 (Linking)", "ISSN" : "03043940", "PMID" : "20570713", "abstract" : "The role of the posterior parietal cortex in working memory (WM) is poorly understood. We previously found that patients with parietal lobe damage exhibited a selective WM impairment on recognition but not recall tasks. We hypothesized that this dissociation reflected strategic differences in the utilization of attention. One concern was that these findings, and our subsequent interpretation, would not generalize to normal populations because of the patients' older age, progressive disease processes, and/or possible brain reorganization following injury. To test whether our findings extended to a normal population we applied transcranial direct current stimulation (tDCS) to right inferior parietal cortex. tDCS is a technique by which low electric current applied to the scalp modulates the resting potentials of underlying neural populations and can be used to test structure-function relationships. Eleven normal young adults received cathodal, anodal, or sham stimulation over right inferior posterior parietal cortex and then performed separate blocks of an object WM task probed by recall or recognition. The results showed that cathodal stimulation selectively impaired WM on recognition trials. These data replicate and extend our previous findings of preserved WM recall and impaired WM recognition in patients with parietal lobe lesions. ?? 2010 Elsevier Ireland Ltd.", "author" : [ { "dropping-particle" : "", "family" : "Berryhill", "given" : "Marian E.", "non-dropping-particle" : "", "parse-names" : false, "suffix" : "" }, { "dropping-particle" : "", "family" : "Wencil", "given" : "Elaine B.", "non-dropping-particle" : "", "parse-names" : false, "suffix" : "" }, { "dropping-particle" : "", "family" : "Branch Coslett", "given" : "H.", "non-dropping-particle" : "", "parse-names" : false, "suffix" : "" }, { "dropping-particle" : "", "family" : "Olson", "given" : "Ingrid R.", "non-dropping-particle" : "", "parse-names" : false, "suffix" : "" } ], "container-title" : "Neuroscience Letters", "id" : "ITEM-2", "issued" : { "date-parts" : [ [ "2010" ] ] }, "page" : "312-316", "title" : "A selective working memory impairment after transcranial direct current stimulation to the right parietal lobe", "type" : "article-journal", "volume" : "479" }, "uris" : [ "http://www.mendeley.com/documents/?uuid=2818d87c-37d8-4bca-a2d9-6f163472f78b" ] }, { "id" : "ITEM-3", "itemData" : { "DOI" : "10.1186/1471-2202-6-23", "author" : [ { "dropping-particle" : "", "family" : "Marshall", "given" : "Lisa", "non-dropping-particle" : "", "parse-names" : false, "suffix" : "" }, { "dropping-particle" : "", "family" : "M\u00f6lle", "given" : "Matthias", "non-dropping-particle" : "", "parse-names" : false, "suffix" : "" }, { "dropping-particle" : "", "family" : "Siebner", "given" : "Hartwig R", "non-dropping-particle" : "", "parse-names" : false, "suffix" : "" }, { "dropping-particle" : "", "family" : "Born", "given" : "Jan", "non-dropping-particle" : "", "parse-names" : false, "suffix" : "" } ], "id" : "ITEM-3", "issued" : { "date-parts" : [ [ "2005" ] ] }, "page" : "1-7", "title" : "Bifrontal transcranial direct current stimulation slows reaction time in a working memory task", "type" : "article-journal", "volume" : "7" }, "uris" : [ "http://www.mendeley.com/documents/?uuid=bf420f45-38c8-442d-8405-6cd76ae58dc9" ] }, { "id" : "ITEM-4", "itemData" : { "DOI" : "10.1007/s00221-005-2334-6", "ISBN" : "1617975532", "ISSN" : "0014-4819", "PMID" : "15999258", "abstract" : "Previous studies have claimed that weak transcranial direct current stimulation (tDCS) induces persisting excitability changes in the human motor cortex that can be more pronounced than cortical modulation induced by transcranial magnetic stimulation, but there are no studies that have evaluated the effects of tDCS on working memory. Our aim was to determine whether anodal transcranial direct current stimulation, which enhances brain cortical excitability and activity, would modify performance in a sequential-letter working memory task when administered to the dorsolateral prefrontal cortex (DLPFC). Fifteen subjects underwent a three-back working memory task based on letters. This task was performed during sham and anodal stimulation applied over the left DLPFC. Moreover seven of these subjects performed the same task, but with inverse polarity (cathodal stimulation of the left DLPFC) and anodal stimulation of the primary motor cortex (M1). Our results indicate that only anodal stimulation of the left prefrontal cortex, but not cathodal stimulation of left DLPFC or anodal stimulation of M1, increases the accuracy of the task performance when compared to sham stimulation of the same area. This accuracy enhancement during active stimulation cannot be accounted for by slowed responses, as response times were not changed by stimulation. Our results indicate that left prefrontal anodal stimulation leads to an enhancement of working memory performance. Furthermore, this effect depends on the stimulation polarity and is specific to the site of stimulation. This result may be helpful to develop future interventions aiming at clinical benefits.", "author" : [ { "dropping-particle" : "", "family" : "Fregni", "given" : "F.", "non-dropping-particle" : "", "parse-names" : false, "suffix" : "" }, { "dropping-particle" : "", "family" : "Boggio", "given" : "P.S.", "non-dropping-particle" : "", "parse-names" : false, "suffix" : "" }, { "dropping-particle" : "", "family" : "Nitsche", "given" : "M.", "non-dropping-particle" : "", "parse-names" : false, "suffix" : "" }, { "dropping-particle" : "", "family" : "Bermpohl", "given" : "F.", "non-dropping-particle" : "", "parse-names" : false, "suffix" : "" }, { "dropping-particle" : "", "family" : "Antal", "given" : "a.", "non-dropping-particle" : "", "parse-names" : false, "suffix" : "" }, { "dropping-particle" : "", "family" : "Feredoes", "given" : "E.", "non-dropping-particle" : "", "parse-names" : false, "suffix" : "" }, { "dropping-particle" : "", "family" : "Marcolin", "given" : "M.a.", "non-dropping-particle" : "", "parse-names" : false, "suffix" : "" }, { "dropping-particle" : "", "family" : "Rigonatti", "given" : "S.P.", "non-dropping-particle" : "", "parse-names" : false, "suffix" : "" }, { "dropping-particle" : "", "family" : "Silva", "given" : "M.T.a.", "non-dropping-particle" : "", "parse-names" : false, "suffix" : "" }, { "dropping-particle" : "", "family" : "Paulus", "given" : "W.", "non-dropping-particle" : "", "parse-names" : false, "suffix" : "" }, { "dropping-particle" : "", "family" : "Pascual-Leone", "given" : "a.", "non-dropping-particle" : "", "parse-names" : false, "suffix" : "" } ], "container-title" : "Experimental Brain Research.", "id" : "ITEM-4", "issue" : "1", "issued" : { "date-parts" : [ [ "2005", "9" ] ] }, "page" : "23-30", "title" : "Anodal transcranial direct current stimulation of prefrontal cortex enhances working memory.", "type" : "article-journal", "volume" : "166" }, "uris" : [ "http://www.mendeley.com/documents/?uuid=9ca25082-126e-4ac8-a464-54b673618033" ] }, { "id" : "ITEM-5", "itemData" : { "DOI" : "10.1016/j.jns.2006.05.062", "ISSN" : "0022-510X", "PMID" : "16843494", "abstract" : "OBJECTIVES: Cognitive impairment is a common feature in Parkinson's disease (PD) and is an important predictor of quality of life. Past studies showed that some aspects of cognition, such as working memory, can be enhanced following dopaminergic therapy and transcranial magnetic stimulation. The aim of our study was to investigate whether another form of noninvasive brain stimulation, anodal transcranial direct current stimulation (tDCS), which increases cortical excitability, is associated with a change in a working memory task performance in PD patients. METHODS: We studied 18 patients (12 men and 6 women) with idiopathic PD. The patients performed a three-back working memory task during active anodal tDCS of the left dorsolateral prefrontal cortex (LDLPFC), anodal tDCS of the primary motor cortex (M1) or sham tDCS. In addition, patients underwent two different types of stimulation with different intensities: 1 and 2 mA. RESULTS: The results of this study show a significant improvement in working memory as indexed by task accuracy, after active anodal tDCS of the LDLPFC with 2 mA. The other conditions of stimulation: sham tDCS, anodal tDCS of LDLPFC with 1 mA or anodal tDCS of M1 did not result in a significant task performance change. CONCLUSION: tDCS may exert a beneficial effect on working memory in PD patients that depends on the intensity and site of stimulation. This effect might be explained by the local increase in the excitability of the dorsolateral prefrontal cortex", "author" : [ { "dropping-particle" : "", "family" : "Boggio", "given" : "P S", "non-dropping-particle" : "", "parse-names" : false, "suffix" : "" }, { "dropping-particle" : "", "family" : "Ferrucci", "given" : "R", "non-dropping-particle" : "", "parse-names" : false, "suffix" : "" }, { "dropping-particle" : "", "family" : "Rigonatti", "given" : "S P", "non-dropping-particle" : "", "parse-names" : false, "suffix" : "" }, { "dropping-particle" : "", "family" : "Covre", "given" : "P", "non-dropping-particle" : "", "parse-names" : false, "suffix" : "" }, { "dropping-particle" : "", "family" : "Nitsche", "given" : "M", "non-dropping-particle" : "", "parse-names" : false, "suffix" : "" }, { "dropping-particle" : "", "family" : "Pascual-Leone", "given" : "a", "non-dropping-particle" : "", "parse-names" : false, "suffix" : "" }, { "dropping-particle" : "", "family" : "Fregni", "given" : "F", "non-dropping-particle" : "", "parse-names" : false, "suffix" : "" } ], "container-title" : "Journal of the Neurological Sciences", "id" : "ITEM-5", "issue" : "1", "issued" : { "date-parts" : [ [ "2006", "11", "1" ] ] }, "page" : "31-38", "title" : "Effects of transcranial direct current stimulation on working memory in patients with Parkinson's disease", "type" : "article-journal", "volume" : "249" }, "uris" : [ "http://www.mendeley.com/documents/?uuid=c37bd5d0-f70e-4aeb-afa4-5b0286728203" ] } ], "mendeley" : { "formattedCitation" : "(Jacobson, Goren, et al. 2012; Berryhill et al. 2010; Marshall et al. 2005; F. Fregni et al. 2005; Boggio et al. 2006)", "plainTextFormattedCitation" : "(Jacobson, Goren, et al. 2012; Berryhill et al. 2010; Marshall et al. 2005; F. Fregni et al. 2005; Boggio et al. 2006)", "previouslyFormattedCitation" : "(Jacobson, Goren, et al. 2012; Berryhill et al. 2010; Marshall et al. 2005; F. Fregni et al. 2005; Boggio et al. 2006)" }, "properties" : { "noteIndex" : 0 }, "schema" : "https://github.com/citation-style-language/schema/raw/master/csl-citation.json" }</w:instrText>
      </w:r>
      <w:r w:rsidR="003751E9" w:rsidRPr="00023C48">
        <w:rPr>
          <w:rFonts w:ascii="Times" w:hAnsi="Times" w:cs="Arial"/>
        </w:rPr>
        <w:fldChar w:fldCharType="separate"/>
      </w:r>
      <w:r w:rsidR="00255F1F" w:rsidRPr="00255F1F">
        <w:rPr>
          <w:rFonts w:ascii="Times" w:hAnsi="Times" w:cs="Arial"/>
          <w:noProof/>
        </w:rPr>
        <w:t>(Jacobson, Goren, et al. 2012; Berryhill et al. 2010; Marshall et al. 2005; F. Fregni et al. 2005; Boggio et al. 2006)</w:t>
      </w:r>
      <w:r w:rsidR="003751E9" w:rsidRPr="00023C48">
        <w:rPr>
          <w:rFonts w:ascii="Times" w:hAnsi="Times" w:cs="Arial"/>
        </w:rPr>
        <w:fldChar w:fldCharType="end"/>
      </w:r>
      <w:r w:rsidR="003751E9" w:rsidRPr="00023C48">
        <w:rPr>
          <w:rFonts w:ascii="Times" w:hAnsi="Times" w:cs="Arial"/>
        </w:rPr>
        <w:t xml:space="preserve"> and executive function </w:t>
      </w:r>
      <w:r w:rsidR="003751E9" w:rsidRPr="00023C48">
        <w:rPr>
          <w:rFonts w:ascii="Times" w:hAnsi="Times" w:cs="Arial"/>
        </w:rPr>
        <w:fldChar w:fldCharType="begin" w:fldLock="1"/>
      </w:r>
      <w:r w:rsidR="00B260BF">
        <w:rPr>
          <w:rFonts w:ascii="Times" w:hAnsi="Times" w:cs="Arial"/>
        </w:rPr>
        <w:instrText>ADDIN CSL_CITATION { "citationItems" : [ { "id" : "ITEM-1", "itemData" : { "DOI" : "10.1523/JNEUROSCI.0065-09.2009", "ISSN" : "1529-2401", "PMID" : "19494149", "abstract" : "The functional neuroanatomy of executive function critically involves the dorsolateral prefrontal cortex. Transcranial direct current stimulation (tDCS) has been established as a noninvasive tool for transient modulation of cortical function. Here, we examined the effects of tDCS of the left dorsolateral prefrontal cortex on planning function by using the Tower of London task to evaluate performance during and after anodal, cathodal (1 mA, 15 min), and sham tDCS in 24 healthy volunteers. The key finding was a double dissociation of polarity and training phase: improved performance was found with cathodal tDCS applied during acquisition and early consolidation, when preceding anodal tDCS, but not in the later training session. In contrast, anodal tDCS enhanced performance when applied in the later sessions following cathodal tDCS. Our results indicate that both anodal and cathodal tDCS can improve planning performance as quantified by the Tower of London test. Most importantly, these data demonstrate training-phase-specific effects of tDCS. We propose that excitability decreasing cathodal tDCS mediates its early beneficial effect through noise reduction of neuronal activity, whereas a further adaptive configuration of specific neuronal connections is supported by excitability enhancing anodal tDCS in the later training phase by enhanced efficacy of active connections. This gain of function was sustained in a follow-up 6 and 12 months after training. In conclusion, the specific coupling of stimulation and training phase interventions may support the treatment of cognitive disorders involving frontal lobe functions.", "author" : [ { "dropping-particle" : "", "family" : "Dockery", "given" : "Colleen a", "non-dropping-particle" : "", "parse-names" : false, "suffix" : "" }, { "dropping-particle" : "", "family" : "Hueckel-Weng", "given" : "Ruth", "non-dropping-particle" : "", "parse-names" : false, "suffix" : "" }, { "dropping-particle" : "", "family" : "Birbaumer", "given" : "Niels", "non-dropping-particle" : "", "parse-names" : false, "suffix" : "" }, { "dropping-particle" : "", "family" : "Plewnia", "given" : "Christian", "non-dropping-particle" : "", "parse-names" : false, "suffix" : "" } ], "container-title" : "The Journal of neuroscience : the official journal of the Society for Neuroscience", "id" : "ITEM-1", "issue" : "22", "issued" : { "date-parts" : [ [ "2009", "6", "3" ] ] }, "page" : "7271-7277", "title" : "Enhancement of planning ability by transcranial direct current stimulation.", "type" : "article-journal", "volume" : "29" }, "uris" : [ "http://www.mendeley.com/documents/?uuid=9e5012bd-48b4-4e10-a07a-2794b5e625f0" ] }, { "id" : "ITEM-2", "itemData" : { "DOI" : "10.1111/j.1460-9568.2010.07080.x", "ISSN" : "1460-9568", "PMID" : "20105234", "abstract" : "Cognitive performance usually declines in older adults as a result of neurodegenerative processes. One of the cognitive domains usually affected is decision-making. Based on our recent findings suggesting that non-invasive brain stimulation can improve decision-making in young participants, we studied whether bifrontal transcranial direct current stimulation (tDCS) applied over the right and left prefrontal cortex of older adult subjects can change balance of risky and safe responses as it can in younger individuals. Twenty-eight subjects (age range from 50 to 85 years) performed a gambling risk task while receiving either anodal tDCS over the right and cathodal tDCS over the left dorsolateral prefrontal cortex (DLPFC), anodal tDCS over the left with cathodal tDCS over the right DLPFC, or sham stimulation. Our main finding was a significant group effect showing that participants receiving left anodal/right cathodal stimulation chose more often high-risk prospects as compared with participants receiving sham or those receiving right anodal/left cathodal stimulation. This result is contrary to previous findings in young subjects, suggesting that modulation of cortical activity in young and elderly results in opposite behavioral effects; thus supporting fundamental changes in cognitive processing in the elderly.", "author" : [ { "dropping-particle" : "", "family" : "Boggio", "given" : "P S", "non-dropping-particle" : "", "parse-names" : false, "suffix" : "" }, { "dropping-particle" : "", "family" : "Campanha", "given" : "C", "non-dropping-particle" : "", "parse-names" : false, "suffix" : "" }, { "dropping-particle" : "", "family" : "Valasek", "given" : "C a", "non-dropping-particle" : "", "parse-names" : false, "suffix" : "" }, { "dropping-particle" : "", "family" : "Fecteau", "given" : "S", "non-dropping-particle" : "", "parse-names" : false, "suffix" : "" }, { "dropping-particle" : "", "family" : "Pascual-Leone", "given" : "a", "non-dropping-particle" : "", "parse-names" : false, "suffix" : "" }, { "dropping-particle" : "", "family" : "Fregni", "given" : "F", "non-dropping-particle" : "", "parse-names" : false, "suffix" : "" } ], "container-title" : "The European journal of neuroscience", "id" : "ITEM-2", "issue" : "3", "issued" : { "date-parts" : [ [ "2010", "3" ] ] }, "page" : "593-597", "title" : "Modulation of decision-making in a gambling task in older adults with transcranial direct current stimulation", "type" : "article-journal", "volume" : "31" }, "uris" : [ "http://www.mendeley.com/documents/?uuid=dd279e5d-e6d1-4d5c-8b48-2c0662087428" ] }, { "id" : "ITEM-3", "itemData" : { "author" : [ { "dropping-particle" : "", "family" : "Weiss", "given" : "Michal", "non-dropping-particle" : "", "parse-names" : false, "suffix" : "" }, { "dropping-particle" : "", "family" : "Lavidor", "given" : "Michal", "non-dropping-particle" : "", "parse-names" : false, "suffix" : "" } ], "id" : "ITEM-3", "issued" : { "date-parts" : [ [ "2012" ] ] }, "page" : "1826-1833", "title" : "When Less Is More : Evidence for a Facilitative Cathodal tDCS Effect in Attentional Abilities", "type" : "article-journal" }, "uris" : [ "http://www.mendeley.com/documents/?uuid=b9973655-748c-4f8c-bb01-63fdcf2c1a6f" ] }, { "id" : "ITEM-4", "itemData" : { "DOI" : "10.1523/JNEUROSCI.3283-07.2007", "ISSN" : "1529-2401", "PMID" : "18003828", "abstract" : "Studies have shown increased risk taking in healthy individuals after low-frequency repetitive transcranial magnetic stimulation, known to transiently suppress cortical excitability, over the right dorsolateral prefrontal cortex (DLPFC). It appears, therefore, plausible that differential modulation of DLPFC activity, increasing the right while decreasing the left, might lead to decreased risk taking, which could hold clinical relevance as excessively risky decision making is observed in clinical populations leading to deleterious consequences. The goal of the present study was to investigate whether risk-taking behaviors could be decreased using concurrent anodal transcranial direct current stimulation (tDCS) of the right DLPFC, which allows upregulation of brain activity, with cathodal tDCS of the left DLPCF, which downregulates activity. Thirty-six healthy volunteers performed the risk task while they received either anodal over the right with cathodal over the left DLPFC, anodal over the left with cathodal over the right DLPFC, or sham stimulation. We hypothesized that right anodal/left cathodal would decrease risk-taking behavior compared with left anodal/right cathodal or sham stimulation. As predicted, during right anodal/left cathodal stimulation over the DLPFC, participants chose more often the safe prospect compared with the other groups. Moreover, these participants appeared to be insensitive to the reward associated with the prospects. These findings support the notion that the interhemispheric balance of activity across the DLPFCs is critical in decision-making behaviors. Most importantly, the observed suppression of risky behaviors suggests that populations with boundless risk-taking behaviors leading to negative real-life consequences, such as individuals with addiction, might benefit from such neuromodulation-based approaches.", "author" : [ { "dropping-particle" : "", "family" : "Fecteau", "given" : "Shirley", "non-dropping-particle" : "", "parse-names" : false, "suffix" : "" }, { "dropping-particle" : "", "family" : "Knoch", "given" : "Daria", "non-dropping-particle" : "", "parse-names" : false, "suffix" : "" }, { "dropping-particle" : "", "family" : "Fregni", "given" : "Felipe", "non-dropping-particle" : "", "parse-names" : false, "suffix" : "" }, { "dropping-particle" : "", "family" : "Sultani", "given" : "Natasha", "non-dropping-particle" : "", "parse-names" : false, "suffix" : "" }, { "dropping-particle" : "", "family" : "Boggio", "given" : "Paulo", "non-dropping-particle" : "", "parse-names" : false, "suffix" : "" }, { "dropping-particle" : "", "family" : "Pascual-Leone", "given" : "Alvaro", "non-dropping-particle" : "", "parse-names" : false, "suffix" : "" } ], "container-title" : "The Journal of neuroscience : the official journal of the Society for Neuroscience", "id" : "ITEM-4", "issue" : "46", "issued" : { "date-parts" : [ [ "2007", "11", "14" ] ] }, "page" : "12500-5", "title" : "Diminishing risk-taking behavior by modulating activity in the prefrontal cortex: a direct current stimulation study.", "type" : "article-journal", "volume" : "27" }, "uris" : [ "http://www.mendeley.com/documents/?uuid=4918091f-b2a4-425c-97b7-ac268c63606e" ] } ], "mendeley" : { "formattedCitation" : "(Dockery et al. 2009; Boggio et al. 2010; Weiss &amp; Lavidor 2012; Fecteau et al. 2007)", "plainTextFormattedCitation" : "(Dockery et al. 2009; Boggio et al. 2010; Weiss &amp; Lavidor 2012; Fecteau et al. 2007)", "previouslyFormattedCitation" : "(Dockery et al. 2009; Boggio et al. 2010; Weiss &amp; Lavidor 2012; Fecteau et al. 2007)" }, "properties" : { "noteIndex" : 0 }, "schema" : "https://github.com/citation-style-language/schema/raw/master/csl-citation.json" }</w:instrText>
      </w:r>
      <w:r w:rsidR="003751E9" w:rsidRPr="00023C48">
        <w:rPr>
          <w:rFonts w:ascii="Times" w:hAnsi="Times" w:cs="Arial"/>
        </w:rPr>
        <w:fldChar w:fldCharType="separate"/>
      </w:r>
      <w:r w:rsidR="00255F1F" w:rsidRPr="00255F1F">
        <w:rPr>
          <w:rFonts w:ascii="Times" w:hAnsi="Times" w:cs="Arial"/>
          <w:noProof/>
        </w:rPr>
        <w:t>(Dockery et al. 2009; Boggio et al. 2010; Weiss &amp; Lavidor 2012; Fecteau et al. 2007)</w:t>
      </w:r>
      <w:r w:rsidR="003751E9" w:rsidRPr="00023C48">
        <w:rPr>
          <w:rFonts w:ascii="Times" w:hAnsi="Times" w:cs="Arial"/>
        </w:rPr>
        <w:fldChar w:fldCharType="end"/>
      </w:r>
      <w:r w:rsidR="003751E9" w:rsidRPr="00023C48">
        <w:rPr>
          <w:rFonts w:ascii="Times" w:hAnsi="Times" w:cs="Arial"/>
        </w:rPr>
        <w:t>. Scalp electrodes are used to apply weak electrical currents to the brain</w:t>
      </w:r>
      <w:r w:rsidR="009E6C15" w:rsidRPr="00023C48">
        <w:rPr>
          <w:rFonts w:ascii="Times" w:hAnsi="Times" w:cs="Arial"/>
        </w:rPr>
        <w:t xml:space="preserve"> and transiently </w:t>
      </w:r>
      <w:r w:rsidR="00215132" w:rsidRPr="00023C48">
        <w:rPr>
          <w:rFonts w:ascii="Times" w:hAnsi="Times" w:cs="Arial"/>
        </w:rPr>
        <w:t xml:space="preserve">alter </w:t>
      </w:r>
      <w:r w:rsidR="009E6C15" w:rsidRPr="00023C48">
        <w:rPr>
          <w:rFonts w:ascii="Times" w:hAnsi="Times" w:cs="Arial"/>
        </w:rPr>
        <w:t>cortical excitability</w:t>
      </w:r>
      <w:r w:rsidR="003751E9" w:rsidRPr="00023C48">
        <w:rPr>
          <w:rFonts w:ascii="Times" w:hAnsi="Times" w:cs="Arial"/>
        </w:rPr>
        <w:t>. Anodal stimulation</w:t>
      </w:r>
      <w:r w:rsidR="00F35DE8" w:rsidRPr="00023C48">
        <w:rPr>
          <w:rFonts w:ascii="Times" w:hAnsi="Times" w:cs="Arial"/>
        </w:rPr>
        <w:t xml:space="preserve"> is thought to</w:t>
      </w:r>
      <w:r w:rsidR="003751E9" w:rsidRPr="00023C48">
        <w:rPr>
          <w:rFonts w:ascii="Times" w:hAnsi="Times" w:cs="Arial"/>
        </w:rPr>
        <w:t xml:space="preserve"> increases cortical excitability under the electrode, while cathodal stimulation decreases cortical excitability </w:t>
      </w:r>
      <w:r w:rsidR="003751E9" w:rsidRPr="00023C48">
        <w:rPr>
          <w:rFonts w:ascii="Times" w:hAnsi="Times" w:cs="Arial"/>
        </w:rPr>
        <w:fldChar w:fldCharType="begin" w:fldLock="1"/>
      </w:r>
      <w:r w:rsidR="00B260BF">
        <w:rPr>
          <w:rFonts w:ascii="Times" w:hAnsi="Times" w:cs="Arial"/>
        </w:rPr>
        <w:instrText>ADDIN CSL_CITATION { "citationItems" : [ { "id" : "ITEM-1", "itemData" : { "DOI" : "10.3389/fnhum.2013.00857", "author" : [ { "dropping-particle" : "", "family" : "Stagg", "given" : "Charlotte J", "non-dropping-particle" : "", "parse-names" : false, "suffix" : "" }, { "dropping-particle" : "", "family" : "Johansen-berg", "given" : "Heidi", "non-dropping-particle" : "", "parse-names" : false, "suffix" : "" } ], "id" : "ITEM-1", "issue" : "December", "issued" : { "date-parts" : [ [ "2013" ] ] }, "page" : "1-8", "title" : "Studying the effects of transcranial direct-current stimulation in stroke recovery using magnetic resonance imaging", "type" : "article-journal", "volume" : "7" }, "uris" : [ "http://www.mendeley.com/documents/?uuid=6f1e1d54-88d8-42ac-83c3-89258b8cb391" ] }, { "id" : "ITEM-2", "itemData" : { "author" : [ { "dropping-particle" : "", "family" : "Nitsche", "given" : "Michael A", "non-dropping-particle" : "", "parse-names" : false, "suffix" : "" }, { "dropping-particle" : "", "family" : "Paulus", "given" : "Walter", "non-dropping-particle" : "", "parse-names" : false, "suffix" : "" } ], "container-title" : "Journal of Physiology", "id" : "ITEM-2", "issue" : "3", "issued" : { "date-parts" : [ [ "2000" ] ] }, "page" : "633-639", "title" : "Excitability changes induced in the human motor cortex by weak transcranial direct current stimulation", "type" : "article-journal", "volume" : "527" }, "uris" : [ "http://www.mendeley.com/documents/?uuid=43e9c7ee-a5fc-43ad-bd2d-e53e4506f41c" ] }, { "id" : "ITEM-3", "itemData" : { "DOI" : "10.1016/j.neulet.2009.05.037", "ISSN" : "1872-7972", "abstract" : "We attempted to evaluate whether cortical activation resulting from hand movements is changed by transcranial direct current stimulation (tDCS) applied on the primary motor cortex for the hand in the human brain, using functional MRI (fMRI).|Fourteen normal subjects were recruited; subjects were randomly assigned to either the tDCS group (n=7) or the sham group (n=7). fMRI was performed with hand grasp-release movements at 1Hz before and after 20 min of intervention (the tDCS group: anodal tDCS, the sham group: sham stimulation).|The activation of the tDCS underlying primary sensorimotor cortex (SM1) was significantly increased in the tDCS group (p&lt;0.05). By contrast, the SM1 was significantly decreased in the sham group in terms of the voxel count and intensity (p&lt;0.05). No subjects complained of any adverse symptoms or signs.|We demonstrated that anodal tDCS increased the cortical excitability of the underlying motor cortex in the human brain. It seems that tDCS is an effective modality to modulate brain function.", "author" : [ { "dropping-particle" : "", "family" : "Jang", "given" : "S H", "non-dropping-particle" : "", "parse-names" : false, "suffix" : "" }, { "dropping-particle" : "", "family" : "Ahn", "given" : "S H", "non-dropping-particle" : "", "parse-names" : false, "suffix" : "" }, { "dropping-particle" : "", "family" : "Byun", "given" : "W M", "non-dropping-particle" : "", "parse-names" : false, "suffix" : "" }, { "dropping-particle" : "", "family" : "Kim", "given" : "C S", "non-dropping-particle" : "", "parse-names" : false, "suffix" : "" }, { "dropping-particle" : "", "family" : "Lee", "given" : "M Y", "non-dropping-particle" : "", "parse-names" : false, "suffix" : "" }, { "dropping-particle" : "", "family" : "Kwon", "given" : "Y H", "non-dropping-particle" : "", "parse-names" : false, "suffix" : "" } ], "container-title" : "Neurosci Lett", "id" : "ITEM-3", "issued" : { "date-parts" : [ [ "2009" ] ] }, "language" : "eng", "page" : "117-120", "title" : "The effect of transcranial direct current stimulation on the cortical activation by motor task in the human brain: an fMRI study", "type" : "article-journal", "volume" : "460" }, "uris" : [ "http://www.mendeley.com/documents/?uuid=b28bd975-e200-4315-88d9-14fb383959f9" ] } ], "mendeley" : { "formattedCitation" : "(Stagg &amp; Johansen-berg 2013; Michael A Nitsche &amp; Paulus 2000; Jang et al. 2009)", "manualFormatting" : "(Stagg &amp; Johansen-berg 2013; Nitsche &amp; Paulus 2000; Jang et al. 2009)", "plainTextFormattedCitation" : "(Stagg &amp; Johansen-berg 2013; Michael A Nitsche &amp; Paulus 2000; Jang et al. 2009)", "previouslyFormattedCitation" : "(Stagg &amp; Johansen-berg 2013; Michael A Nitsche &amp; Paulus 2000; Jang et al. 2009)" }, "properties" : { "noteIndex" : 0 }, "schema" : "https://github.com/citation-style-language/schema/raw/master/csl-citation.json" }</w:instrText>
      </w:r>
      <w:r w:rsidR="003751E9" w:rsidRPr="00023C48">
        <w:rPr>
          <w:rFonts w:ascii="Times" w:hAnsi="Times" w:cs="Arial"/>
        </w:rPr>
        <w:fldChar w:fldCharType="separate"/>
      </w:r>
      <w:r w:rsidR="00255F1F" w:rsidRPr="00255F1F">
        <w:rPr>
          <w:rFonts w:ascii="Times" w:hAnsi="Times" w:cs="Arial"/>
          <w:noProof/>
        </w:rPr>
        <w:t>(Stagg &amp; Johansen-berg 2013; Nitsche &amp; Paulus 2000; Jang et al. 2009)</w:t>
      </w:r>
      <w:r w:rsidR="003751E9" w:rsidRPr="00023C48">
        <w:rPr>
          <w:rFonts w:ascii="Times" w:hAnsi="Times" w:cs="Arial"/>
        </w:rPr>
        <w:fldChar w:fldCharType="end"/>
      </w:r>
      <w:r w:rsidR="003751E9" w:rsidRPr="00023C48">
        <w:rPr>
          <w:rFonts w:ascii="Times" w:hAnsi="Times" w:cs="Arial"/>
        </w:rPr>
        <w:t xml:space="preserve">. </w:t>
      </w:r>
    </w:p>
    <w:p w14:paraId="73171E5A" w14:textId="77777777" w:rsidR="00F81546" w:rsidRPr="00023C48" w:rsidRDefault="00F81546" w:rsidP="005374CB">
      <w:pPr>
        <w:spacing w:line="480" w:lineRule="auto"/>
        <w:jc w:val="both"/>
        <w:rPr>
          <w:rFonts w:ascii="Times" w:hAnsi="Times" w:cs="Arial"/>
        </w:rPr>
      </w:pPr>
    </w:p>
    <w:p w14:paraId="05040361" w14:textId="178C5F58" w:rsidR="00D44B72" w:rsidRPr="00023C48" w:rsidRDefault="004B6198" w:rsidP="005374CB">
      <w:pPr>
        <w:spacing w:line="480" w:lineRule="auto"/>
        <w:jc w:val="both"/>
        <w:rPr>
          <w:rFonts w:ascii="Times" w:hAnsi="Times" w:cs="Arial"/>
        </w:rPr>
      </w:pPr>
      <w:r w:rsidRPr="00023C48">
        <w:rPr>
          <w:rFonts w:ascii="Times" w:hAnsi="Times" w:cs="Arial"/>
        </w:rPr>
        <w:t>An oppositional</w:t>
      </w:r>
      <w:r w:rsidR="00177D6B" w:rsidRPr="00023C48">
        <w:rPr>
          <w:rFonts w:ascii="Times" w:hAnsi="Times" w:cs="Arial"/>
        </w:rPr>
        <w:t xml:space="preserve"> brain stimulation</w:t>
      </w:r>
      <w:r w:rsidRPr="00023C48">
        <w:rPr>
          <w:rFonts w:ascii="Times" w:hAnsi="Times" w:cs="Arial"/>
        </w:rPr>
        <w:t xml:space="preserve"> montage deliver</w:t>
      </w:r>
      <w:r w:rsidR="00AD1DE4" w:rsidRPr="00023C48">
        <w:rPr>
          <w:rFonts w:ascii="Times" w:hAnsi="Times" w:cs="Arial"/>
        </w:rPr>
        <w:t>s</w:t>
      </w:r>
      <w:r w:rsidRPr="00023C48">
        <w:rPr>
          <w:rFonts w:ascii="Times" w:hAnsi="Times" w:cs="Arial"/>
        </w:rPr>
        <w:t xml:space="preserve"> </w:t>
      </w:r>
      <w:r w:rsidR="007D385A" w:rsidRPr="00023C48">
        <w:rPr>
          <w:rFonts w:ascii="Times" w:hAnsi="Times" w:cs="Arial"/>
        </w:rPr>
        <w:t xml:space="preserve">anodal </w:t>
      </w:r>
      <w:r w:rsidRPr="00023C48">
        <w:rPr>
          <w:rFonts w:ascii="Times" w:hAnsi="Times" w:cs="Arial"/>
        </w:rPr>
        <w:t xml:space="preserve">stimulation over </w:t>
      </w:r>
      <w:r w:rsidR="007D385A" w:rsidRPr="00023C48">
        <w:rPr>
          <w:rFonts w:ascii="Times" w:hAnsi="Times" w:cs="Arial"/>
        </w:rPr>
        <w:t xml:space="preserve">one region </w:t>
      </w:r>
      <w:r w:rsidR="00981C29" w:rsidRPr="00594CCC">
        <w:rPr>
          <w:rFonts w:ascii="Times" w:hAnsi="Times" w:cs="Arial"/>
        </w:rPr>
        <w:t>and</w:t>
      </w:r>
      <w:r w:rsidR="007D385A" w:rsidRPr="00594CCC">
        <w:rPr>
          <w:rFonts w:ascii="Times" w:hAnsi="Times" w:cs="Arial"/>
        </w:rPr>
        <w:t xml:space="preserve"> </w:t>
      </w:r>
      <w:r w:rsidR="007D385A" w:rsidRPr="00023C48">
        <w:rPr>
          <w:rFonts w:ascii="Times" w:hAnsi="Times" w:cs="Arial"/>
        </w:rPr>
        <w:t xml:space="preserve">cathodal stimulation over the </w:t>
      </w:r>
      <w:r w:rsidR="00FE1CDE" w:rsidRPr="00023C48">
        <w:rPr>
          <w:rFonts w:ascii="Times" w:hAnsi="Times" w:cs="Arial"/>
        </w:rPr>
        <w:t>homologous region of</w:t>
      </w:r>
      <w:r w:rsidRPr="00023C48">
        <w:rPr>
          <w:rFonts w:ascii="Times" w:hAnsi="Times" w:cs="Arial"/>
        </w:rPr>
        <w:t xml:space="preserve"> the other hemisphere. </w:t>
      </w:r>
      <w:r w:rsidR="002C71EE" w:rsidRPr="00023C48">
        <w:rPr>
          <w:rFonts w:ascii="Times" w:hAnsi="Times" w:cs="Arial"/>
        </w:rPr>
        <w:t>The expected effect of this montage is to</w:t>
      </w:r>
      <w:r w:rsidR="00800ED4" w:rsidRPr="00023C48">
        <w:rPr>
          <w:rFonts w:ascii="Times" w:hAnsi="Times" w:cs="Arial"/>
        </w:rPr>
        <w:t xml:space="preserve"> </w:t>
      </w:r>
      <w:r w:rsidR="00BD0862" w:rsidRPr="00023C48">
        <w:rPr>
          <w:rFonts w:ascii="Times" w:hAnsi="Times" w:cs="Arial"/>
        </w:rPr>
        <w:t>shift the b</w:t>
      </w:r>
      <w:r w:rsidR="00C3102C" w:rsidRPr="00023C48">
        <w:rPr>
          <w:rFonts w:ascii="Times" w:hAnsi="Times" w:cs="Arial"/>
        </w:rPr>
        <w:t xml:space="preserve">alance of hemispheric activity. Anodal stimulation facilitates </w:t>
      </w:r>
      <w:r w:rsidR="002C71EE" w:rsidRPr="00023C48">
        <w:rPr>
          <w:rFonts w:ascii="Times" w:hAnsi="Times" w:cs="Arial"/>
        </w:rPr>
        <w:t xml:space="preserve">one hemisphere </w:t>
      </w:r>
      <w:r w:rsidR="000043AD" w:rsidRPr="00023C48">
        <w:rPr>
          <w:rFonts w:ascii="Times" w:hAnsi="Times" w:cs="Arial"/>
        </w:rPr>
        <w:t>whilst</w:t>
      </w:r>
      <w:r w:rsidR="00080E4D" w:rsidRPr="00023C48">
        <w:rPr>
          <w:rFonts w:ascii="Times" w:hAnsi="Times" w:cs="Arial"/>
        </w:rPr>
        <w:t xml:space="preserve"> cathodal stimulation</w:t>
      </w:r>
      <w:r w:rsidR="002C71EE" w:rsidRPr="00023C48">
        <w:rPr>
          <w:rFonts w:ascii="Times" w:hAnsi="Times" w:cs="Arial"/>
        </w:rPr>
        <w:t xml:space="preserve"> </w:t>
      </w:r>
      <w:r w:rsidR="00080E4D" w:rsidRPr="00023C48">
        <w:rPr>
          <w:rFonts w:ascii="Times" w:hAnsi="Times" w:cs="Arial"/>
        </w:rPr>
        <w:t>suppress</w:t>
      </w:r>
      <w:r w:rsidR="008A462F" w:rsidRPr="00023C48">
        <w:rPr>
          <w:rFonts w:ascii="Times" w:hAnsi="Times" w:cs="Arial"/>
        </w:rPr>
        <w:t>es</w:t>
      </w:r>
      <w:r w:rsidR="00080E4D" w:rsidRPr="00023C48">
        <w:rPr>
          <w:rFonts w:ascii="Times" w:hAnsi="Times" w:cs="Arial"/>
        </w:rPr>
        <w:t xml:space="preserve"> </w:t>
      </w:r>
      <w:r w:rsidR="00C3102C" w:rsidRPr="00023C48">
        <w:rPr>
          <w:rFonts w:ascii="Times" w:hAnsi="Times" w:cs="Arial"/>
        </w:rPr>
        <w:t>the other</w:t>
      </w:r>
      <w:r w:rsidR="00080E4D" w:rsidRPr="00023C48">
        <w:rPr>
          <w:rFonts w:ascii="Times" w:hAnsi="Times" w:cs="Arial"/>
        </w:rPr>
        <w:t xml:space="preserve"> </w:t>
      </w:r>
      <w:r w:rsidR="00800EFD" w:rsidRPr="00023C48">
        <w:rPr>
          <w:rFonts w:ascii="Times" w:hAnsi="Times" w:cs="Arial"/>
        </w:rPr>
        <w:fldChar w:fldCharType="begin" w:fldLock="1"/>
      </w:r>
      <w:r w:rsidR="00244D32">
        <w:rPr>
          <w:rFonts w:ascii="Times" w:hAnsi="Times" w:cs="Arial"/>
        </w:rPr>
        <w:instrText>ADDIN CSL_CITATION { "citationItems" : [ { "id" : "ITEM-1", "itemData" : { "DOI" : "10.1007/s00221-011-2891-9", "ISBN" : "0022101128919", "ISSN" : "1432-1106", "PMID" : "21989847", "abstract" : "In vivo effects of transcranial direct current stimulation (tDCS) have attracted much attention nowadays as this area of research spreads to both the motor and cognitive domains. The common assumption is that the anode electrode causes an enhancement of cortical excitability during stimulation, which then lasts for a few minutes thereafter, while the cathode electrode generates the opposite effect, i.e., anodal-excitation and cathodal-inhibition effects (AeCi). Yet, this dual-polarity effect has not been observed in all tDCS studies. Here, we conducted a meta-analytical review aimed to investigate the homogeneity/heterogeneity of the effect sizes of the AeCi dichotomy in both motor and cognitive functions. The AeCi effect was found to occur quite commonly with motor investigations and rarely in cognitive studies. When the anode electrode is applied over a non-motor area, in most cases, it will cause an excitation as measured by a relevant cognitive or perceptual task; however, the cathode electrode rarely causes an inhibition. We found homogeneity in motor studies and heterogeneity in cognitive studies with the electrode's polarity serving as a moderator that can explain the source of heterogeneity in cognitive studies. The lack of inhibitory cathodal effects might reflect compensation processes as cognitive functions are typically supported by rich brain networks. Further insights as to the polarity and domain interaction are offered, including subdivision to different classes of cognitive functions according to their likelihood of being affected by stimulation.", "author" : [ { "dropping-particle" : "", "family" : "Jacobson", "given" : "Liron", "non-dropping-particle" : "", "parse-names" : false, "suffix" : "" }, { "dropping-particle" : "", "family" : "Koslowsky", "given" : "Meni", "non-dropping-particle" : "", "parse-names" : false, "suffix" : "" }, { "dropping-particle" : "", "family" : "Lavidor", "given" : "Michal", "non-dropping-particle" : "", "parse-names" : false, "suffix" : "" } ], "container-title" : "Experimental Brain Research", "id" : "ITEM-1", "issue" : "1", "issued" : { "date-parts" : [ [ "2012", "1" ] ] }, "page" : "1-10", "title" : "TDCS polarity effects in motor and cognitive domains: A meta-analytical review", "type" : "article-journal", "volume" : "216" }, "uris" : [ "http://www.mendeley.com/documents/?uuid=329506d5-77a6-4160-8d07-fa00a4500e38" ] } ], "mendeley" : { "formattedCitation" : "(Jacobson, Koslowsky, et al. 2012)", "manualFormatting" : "(Jacobson et al. 2012)", "plainTextFormattedCitation" : "(Jacobson, Koslowsky, et al. 2012)", "previouslyFormattedCitation" : "(Jacobson, Koslowsky, et al. 2012)" }, "properties" : { "noteIndex" : 0 }, "schema" : "https://github.com/citation-style-language/schema/raw/master/csl-citation.json" }</w:instrText>
      </w:r>
      <w:r w:rsidR="00800EFD" w:rsidRPr="00023C48">
        <w:rPr>
          <w:rFonts w:ascii="Times" w:hAnsi="Times" w:cs="Arial"/>
        </w:rPr>
        <w:fldChar w:fldCharType="separate"/>
      </w:r>
      <w:r w:rsidR="00255F1F" w:rsidRPr="00255F1F">
        <w:rPr>
          <w:rFonts w:ascii="Times" w:hAnsi="Times" w:cs="Arial"/>
          <w:noProof/>
        </w:rPr>
        <w:t>(Jacobson</w:t>
      </w:r>
      <w:r w:rsidR="00CA1001">
        <w:rPr>
          <w:rFonts w:ascii="Times" w:hAnsi="Times" w:cs="Arial"/>
          <w:noProof/>
        </w:rPr>
        <w:t xml:space="preserve"> </w:t>
      </w:r>
      <w:r w:rsidR="00255F1F" w:rsidRPr="00255F1F">
        <w:rPr>
          <w:rFonts w:ascii="Times" w:hAnsi="Times" w:cs="Arial"/>
          <w:noProof/>
        </w:rPr>
        <w:t>et al. 2012</w:t>
      </w:r>
      <w:r w:rsidR="00244D32">
        <w:rPr>
          <w:rFonts w:ascii="Times" w:hAnsi="Times" w:cs="Arial"/>
          <w:noProof/>
        </w:rPr>
        <w:t>a</w:t>
      </w:r>
      <w:r w:rsidR="00255F1F" w:rsidRPr="00255F1F">
        <w:rPr>
          <w:rFonts w:ascii="Times" w:hAnsi="Times" w:cs="Arial"/>
          <w:noProof/>
        </w:rPr>
        <w:t>)</w:t>
      </w:r>
      <w:r w:rsidR="00800EFD" w:rsidRPr="00023C48">
        <w:rPr>
          <w:rFonts w:ascii="Times" w:hAnsi="Times" w:cs="Arial"/>
        </w:rPr>
        <w:fldChar w:fldCharType="end"/>
      </w:r>
      <w:r w:rsidR="00687D6D" w:rsidRPr="00023C48">
        <w:rPr>
          <w:rFonts w:ascii="Times" w:hAnsi="Times" w:cs="Arial"/>
        </w:rPr>
        <w:t>.</w:t>
      </w:r>
      <w:r w:rsidR="008D688F" w:rsidRPr="00023C48">
        <w:rPr>
          <w:rFonts w:ascii="Times" w:hAnsi="Times" w:cs="Arial"/>
        </w:rPr>
        <w:t xml:space="preserve"> </w:t>
      </w:r>
      <w:r w:rsidR="001A5C93" w:rsidRPr="00023C48">
        <w:rPr>
          <w:rFonts w:ascii="Times" w:hAnsi="Times" w:cs="Arial"/>
        </w:rPr>
        <w:t xml:space="preserve">This can </w:t>
      </w:r>
      <w:r w:rsidR="002D6035">
        <w:rPr>
          <w:rFonts w:ascii="Times" w:hAnsi="Times" w:cs="Arial"/>
        </w:rPr>
        <w:t xml:space="preserve">alter </w:t>
      </w:r>
      <w:r w:rsidR="001A5C93" w:rsidRPr="00023C48">
        <w:rPr>
          <w:rFonts w:ascii="Times" w:hAnsi="Times" w:cs="Arial"/>
        </w:rPr>
        <w:t>the interaction between hemispheres. Following motor</w:t>
      </w:r>
      <w:r w:rsidR="003B7485" w:rsidRPr="00023C48">
        <w:rPr>
          <w:rFonts w:ascii="Times" w:hAnsi="Times" w:cs="Arial"/>
        </w:rPr>
        <w:t xml:space="preserve"> stroke</w:t>
      </w:r>
      <w:r w:rsidR="0084298A" w:rsidRPr="00023C48">
        <w:rPr>
          <w:rFonts w:ascii="Times" w:hAnsi="Times" w:cs="Arial"/>
        </w:rPr>
        <w:t>,</w:t>
      </w:r>
      <w:r w:rsidR="001A5C93" w:rsidRPr="00023C48">
        <w:rPr>
          <w:rFonts w:ascii="Times" w:hAnsi="Times" w:cs="Arial"/>
        </w:rPr>
        <w:t xml:space="preserve"> </w:t>
      </w:r>
      <w:r w:rsidR="004E7A76" w:rsidRPr="00023C48">
        <w:rPr>
          <w:rFonts w:ascii="Times" w:hAnsi="Times" w:cs="Arial"/>
        </w:rPr>
        <w:t>the contralesional motor cortex is thought to impair recovery by inhibitin</w:t>
      </w:r>
      <w:r w:rsidR="001A5C93" w:rsidRPr="00023C48">
        <w:rPr>
          <w:rFonts w:ascii="Times" w:hAnsi="Times" w:cs="Arial"/>
        </w:rPr>
        <w:t xml:space="preserve">g the ipsilesional motor cortex. </w:t>
      </w:r>
      <w:r w:rsidR="00795D22" w:rsidRPr="00023C48">
        <w:rPr>
          <w:rFonts w:ascii="Times" w:hAnsi="Times" w:cs="Arial"/>
        </w:rPr>
        <w:t xml:space="preserve">Studies </w:t>
      </w:r>
      <w:r w:rsidR="00972C4E" w:rsidRPr="00023C48">
        <w:rPr>
          <w:rFonts w:ascii="Times" w:hAnsi="Times" w:cs="Arial"/>
        </w:rPr>
        <w:t xml:space="preserve">manipulating hemispheric interactions by </w:t>
      </w:r>
      <w:r w:rsidR="00795D22" w:rsidRPr="00023C48">
        <w:rPr>
          <w:rFonts w:ascii="Times" w:hAnsi="Times" w:cs="Arial"/>
        </w:rPr>
        <w:t>targeting cathodal stimulation to the contralesional hemisphere</w:t>
      </w:r>
      <w:r w:rsidR="008E7FFD" w:rsidRPr="00023C48">
        <w:rPr>
          <w:rFonts w:ascii="Times" w:hAnsi="Times" w:cs="Arial"/>
        </w:rPr>
        <w:t xml:space="preserve"> have </w:t>
      </w:r>
      <w:r w:rsidR="00D4766C" w:rsidRPr="00023C48">
        <w:rPr>
          <w:rFonts w:ascii="Times" w:hAnsi="Times" w:cs="Arial"/>
        </w:rPr>
        <w:t>shown</w:t>
      </w:r>
      <w:r w:rsidR="008E7FFD" w:rsidRPr="00023C48">
        <w:rPr>
          <w:rFonts w:ascii="Times" w:hAnsi="Times" w:cs="Arial"/>
        </w:rPr>
        <w:t xml:space="preserve"> functional improvements</w:t>
      </w:r>
      <w:r w:rsidR="00795D22" w:rsidRPr="00023C48">
        <w:rPr>
          <w:rFonts w:ascii="Times" w:hAnsi="Times" w:cs="Arial"/>
        </w:rPr>
        <w:t xml:space="preserve"> </w:t>
      </w:r>
      <w:r w:rsidR="00723326" w:rsidRPr="00023C48">
        <w:rPr>
          <w:rFonts w:ascii="Times" w:hAnsi="Times" w:cs="Arial"/>
        </w:rPr>
        <w:fldChar w:fldCharType="begin" w:fldLock="1"/>
      </w:r>
      <w:r w:rsidR="00BC7BDB">
        <w:rPr>
          <w:rFonts w:ascii="Times" w:hAnsi="Times" w:cs="Arial"/>
        </w:rPr>
        <w:instrText>ADDIN CSL_CITATION { "citationItems" : [ { "id" : "ITEM-1", "itemData" : { "DOI" : "10.1093/brain/awg245", "ISSN" : "0006-8950", "PMID" : "12937084", "abstract" : "Recovery of motor function after stroke may occur over weeks or months and is often attributed to cerebral reorganization. We have investigated the longitudinal relationship between recovery after stroke and task-related brain activation during a motor task as measured using functional MRI (fMRI). Eight first-ever stroke patients presenting with hemiparesis resulting from cerebral infarction sparing the primary motor cortex, and four control subjects were recruited. Subjects were scanned on a number of occasions whilst performing an isometric dynamic visually paced hand grip task. Recovery in the patient group was assessed using a battery of outcome measures at each time point. Task-related brain activations decreased over sessions as a function of recovery in a number of primary and non-primary motor regions in all patients, but no session effects were seen in the controls. Furthermore, consistent decreases across sessions correlating with recovery were seen across the whole patient group independent of rate of recovery or initial severity, in primary motor cortex, premotor and prefrontal cortex, supplementary motor areas, cingulate sulcus, temporal lobe, striate cortex, cerebellum, thalamus and basal ganglia. Although recovery-related increases were seen in different brain regions in four patients, there were no consistent effects across the group. These results further our understanding of the recovery process by demonstrating for the first time a clear temporal relationship between recovery and task-related activation of the motor system after stroke.", "author" : [ { "dropping-particle" : "", "family" : "Ward", "given" : "N S", "non-dropping-particle" : "", "parse-names" : false, "suffix" : "" }, { "dropping-particle" : "", "family" : "Brown", "given" : "M M", "non-dropping-particle" : "", "parse-names" : false, "suffix" : "" }, { "dropping-particle" : "", "family" : "Thompson", "given" : "a J", "non-dropping-particle" : "", "parse-names" : false, "suffix" : "" }, { "dropping-particle" : "", "family" : "Frackowiak", "given" : "R S J", "non-dropping-particle" : "", "parse-names" : false, "suffix" : "" } ], "container-title" : "Brain : a journal of neurology", "id" : "ITEM-1", "issue" : "Pt 11", "issued" : { "date-parts" : [ [ "2003", "11" ] ] }, "page" : "2476-96", "title" : "Neural correlates of motor recovery after stroke: a longitudinal fMRI study.", "type" : "article-journal", "volume" : "126" }, "uris" : [ "http://www.mendeley.com/documents/?uuid=53d265e4-c85b-48dd-967b-854377bb8642" ] }, { "id" : "ITEM-2", "itemData" : { "ISSN" : "0959-4965", "abstract" : "Recovery of function after a stroke is determined by a balance of activity in the neural network involving both the affected and the unaffected brain hemispheres. Increased activity in the affected hemisphere can promote recovery, while excessive activity in the unaffected hemisphere may represent a maladaptive strategy. We therefore investigated whether reduction of the excitability in the unaffected hemisphere by cathodal transcranial direct current stimulation could result in motor performance improvement in stroke patients. We compared these results with excitability-enhancing anodal transcranial direct current stimulation of the affected hemisphere and sham transcranial direct current stimulation. Both cathodal stimulation of the unaffected hemisphere and anodal stimulation of the affected hemisphere (but not sham transcranial direct current stimulation) improved motor performance significantly. These results suggest that the appropriate modulation of bihemispheric brain structures can promote motor function recovery.", "author" : [ { "dropping-particle" : "", "family" : "Fregni", "given" : "F", "non-dropping-particle" : "", "parse-names" : false, "suffix" : "" }, { "dropping-particle" : "", "family" : "Boggio", "given" : "P S", "non-dropping-particle" : "", "parse-names" : false, "suffix" : "" }, { "dropping-particle" : "", "family" : "Mansur", "given" : "C G", "non-dropping-particle" : "", "parse-names" : false, "suffix" : "" }, { "dropping-particle" : "", "family" : "Wagner", "given" : "T", "non-dropping-particle" : "", "parse-names" : false, "suffix" : "" }, { "dropping-particle" : "", "family" : "Ferreira", "given" : "M J", "non-dropping-particle" : "", "parse-names" : false, "suffix" : "" }, { "dropping-particle" : "", "family" : "Lima", "given" : "M C", "non-dropping-particle" : "", "parse-names" : false, "suffix" : "" }, { "dropping-particle" : "", "family" : "Rigonatti", "given" : "S P", "non-dropping-particle" : "", "parse-names" : false, "suffix" : "" }, { "dropping-particle" : "", "family" : "Marcolin", "given" : "M A", "non-dropping-particle" : "", "parse-names" : false, "suffix" : "" }, { "dropping-particle" : "", "family" : "Freedman", "given" : "S D", "non-dropping-particle" : "", "parse-names" : false, "suffix" : "" }, { "dropping-particle" : "", "family" : "Nitsche", "given" : "M A", "non-dropping-particle" : "", "parse-names" : false, "suffix" : "" }, { "dropping-particle" : "", "family" : "Pascual-Leone", "given" : "A", "non-dropping-particle" : "", "parse-names" : false, "suffix" : "" } ], "container-title" : "Neuroreport", "id" : "ITEM-2", "issued" : { "date-parts" : [ [ "2005" ] ] }, "language" : "eng", "page" : "1551-1555", "title" : "Transcranial direct current stimulation of the unaffected hemisphere in stroke patients", "type" : "article-journal", "volume" : "16" }, "uris" : [ "http://www.mendeley.com/documents/?uuid=3087cbdb-d219-45b5-8e1c-9641f9402841" ] }, { "id" : "ITEM-3", "itemData" : { "ISSN" : "0922-6028", "abstract" : "Recent evidence has suggested that a simple technique of noninvasive brain stimulation - transcranial direct current stimulation (tDCS) - is associated with a significant motor function improvement in stroke patients.|We tested the motor performance improvement in stroke patients following 4 weekly sessions of sham, anodal- and cathodal tDCS (experiment 1) and the effects of 5 consecutive daily sessions of cathodal tDCS (experiment 2). A blinded rater evaluated motor function using the Jebsen-Taylor Hand Function Test.|There was a significant main effect of stimulation condition (p=0.009) in experiment 1. Furthermore there was a significant motor function improvement after either cathodal tDCS of the unaffected hemisphere (p=0.016) or anodal tDCS of the affected hemisphere (p=0.046) when compared to sham tDCS. There was no cumulative effect associated with weekly sessions of tDCS, however consecutive daily sessions of tDCS (experiment 2) were associated with a significant effect on time (p&lt; 0.0001) that lasted for 2 weeks after treatment.|The findings of our study support previous research showing that tDCS is significantly associated with motor function improvement in stroke patients; and support that consecutive daily sessions of tDCS might increase its behavioral effects. Because the technique of tDCS is simple, safe and non-expensive; our findings support further research on the use of this technique for the rehabilitation of patients with stroke.", "author" : [ { "dropping-particle" : "", "family" : "Boggio", "given" : "P S", "non-dropping-particle" : "", "parse-names" : false, "suffix" : "" }, { "dropping-particle" : "", "family" : "Nunes", "given" : "A", "non-dropping-particle" : "", "parse-names" : false, "suffix" : "" }, { "dropping-particle" : "", "family" : "Rigonatti", "given" : "S P", "non-dropping-particle" : "", "parse-names" : false, "suffix" : "" }, { "dropping-particle" : "", "family" : "Nitsche", "given" : "M A", "non-dropping-particle" : "", "parse-names" : false, "suffix" : "" }, { "dropping-particle" : "", "family" : "Pascual-Leone", "given" : "A", "non-dropping-particle" : "", "parse-names" : false, "suffix" : "" }, { "dropping-particle" : "", "family" : "Fregni", "given" : "F", "non-dropping-particle" : "", "parse-names" : false, "suffix" : "" } ], "container-title" : "Restor Neurol Neurosci", "id" : "ITEM-3", "issued" : { "date-parts" : [ [ "2007" ] ] }, "language" : "eng", "page" : "123-129", "title" : "Repeated sessions of noninvasive brain DC stimulation is associated with motor function improvement in stroke patients", "type" : "article-journal", "volume" : "25" }, "uris" : [ "http://www.mendeley.com/documents/?uuid=b019eac0-e63c-4b3b-857a-cdc2f73edc52" ] }, { "id" : "ITEM-4", "itemData" : { "DOI" : "10.1093/brain/awr313", "ISSN" : "1460-2156", "abstract" : "Transcranial direct current stimulation, a form of non-invasive brain stimulation, is showing increasing promise as an adjunct therapy in rehabilitation following stroke. However, although significant behavioural improvements have been reported in proof-of-principle studies, the underlying mechanisms are poorly understood. The rationale for transcranial direct current stimulation as therapy for stroke is that therapeutic stimulation paradigms increase activity in ipsilesional motor cortical areas, but this has not previously been directly tested for conventional electrode placements. This study was performed to test directly whether increases in ipsilesional cortical activation with transcranial direct current stimulation are associated with behavioural improvements in chronic stroke patients. Patients at least 6\u2009months post-first stroke participated in a behavioural experiment (n\u2009=\u200913) or a functional magnetic resonance imaging experiment (n\u2009=\u200911), each investigating the effects of three stimulation conditions in separate sessions: anodal stimulation to the ipsilesional hemisphere; cathodal stimulation to the contralesional hemisphere; and sham stimulation. Anodal (facilitatory) stimulation to the ipsilesional hemisphere led to significant improvements (5-10%) in response times with the affected hand in both experiments. This improvement was associated with an increase in movement-related cortical activity in the stimulated primary motor cortex and functionally interconnected regions. Cathodal (inhibitory) stimulation to the contralesional hemisphere led to a functional improvement only when compared with sham stimulation. We show for the first time that the significant behavioural improvements produced by anodal stimulation to the ipsilesional hemisphere are associated with a functionally relevant increase in activity within the ipsilesional primary motor cortex in patients with a wide range of disabilities following stroke.", "author" : [ { "dropping-particle" : "", "family" : "Stagg", "given" : "C J", "non-dropping-particle" : "", "parse-names" : false, "suffix" : "" }, { "dropping-particle" : "", "family" : "Bachtiar", "given" : "V", "non-dropping-particle" : "", "parse-names" : false, "suffix" : "" }, { "dropping-particle" : "", "family" : "O'Shea", "given" : "J", "non-dropping-particle" : "", "parse-names" : false, "suffix" : "" }, { "dropping-particle" : "", "family" : "Allman", "given" : "C", "non-dropping-particle" : "", "parse-names" : false, "suffix" : "" }, { "dropping-particle" : "", "family" : "Bosnell", "given" : "R A", "non-dropping-particle" : "", "parse-names" : false, "suffix" : "" }, { "dropping-particle" : "", "family" : "Kischka", "given" : "U", "non-dropping-particle" : "", "parse-names" : false, "suffix" : "" }, { "dropping-particle" : "", "family" : "Matthews", "given" : "P M", "non-dropping-particle" : "", "parse-names" : false, "suffix" : "" }, { "dropping-particle" : "", "family" : "Johansen-Berg", "given" : "H", "non-dropping-particle" : "", "parse-names" : false, "suffix" : "" } ], "container-title" : "Brain", "id" : "ITEM-4", "issued" : { "date-parts" : [ [ "2012" ] ] }, "language" : "eng", "page" : "276-284", "title" : "Cortical activation changes underlying stimulation-induced behavioural gains in chronic stroke", "type" : "article-journal", "volume" : "135" }, "uris" : [ "http://www.mendeley.com/documents/?uuid=e738dcc2-6a17-4706-bdce-f573542f22c1" ] }, { "id" : "ITEM-5", "itemData" : { "DOI" : "10.1093/brain/awp154", "author" : [ { "dropping-particle" : "", "family" : "Sparing", "given" : "R", "non-dropping-particle" : "", "parse-names" : false, "suffix" : "" }, { "dropping-particle" : "", "family" : "Thimm", "given" : "M", "non-dropping-particle" : "", "parse-names" : false, "suffix" : "" }, { "dropping-particle" : "", "family" : "Hesse", "given" : "M D", "non-dropping-particle" : "", "parse-names" : false, "suffix" : "" }, { "dropping-particle" : "", "family" : "Kust", "given" : "J", "non-dropping-particle" : "", "parse-names" : false, "suffix" : "" }, { "dropping-particle" : "", "family" : "Karbe", "given" : "H", "non-dropping-particle" : "", "parse-names" : false, "suffix" : "" }, { "dropping-particle" : "", "family" : "Fink", "given" : "G R", "non-dropping-particle" : "", "parse-names" : false, "suffix" : "" } ], "container-title" : "Brain", "id" : "ITEM-5", "issued" : { "date-parts" : [ [ "2009" ] ] }, "title" : "Bidirectional alterations of interhemispheric parietal balance by non-invasive cortical", "type" : "article-journal" }, "uris" : [ "http://www.mendeley.com/documents/?uuid=d21b1762-3043-4708-ac62-97bf21be1e24" ] } ], "mendeley" : { "formattedCitation" : "(Ward et al. 2003; F Fregni et al. 2005; P S Boggio et al. 2007; C J Stagg et al. 2012; Sparing et al. 2009)", "manualFormatting" : "(Ward et al. 2003; Fregni et al. 2005; Boggio et al. 2007; Stagg et al. 2012; Sparing et al. 2009)", "plainTextFormattedCitation" : "(Ward et al. 2003; F Fregni et al. 2005; P S Boggio et al. 2007; C J Stagg et al. 2012; Sparing et al. 2009)", "previouslyFormattedCitation" : "(Ward et al. 2003; F Fregni et al. 2005; P S Boggio et al. 2007; C J Stagg et al. 2012; Sparing et al. 2009)" }, "properties" : { "noteIndex" : 0 }, "schema" : "https://github.com/citation-style-language/schema/raw/master/csl-citation.json" }</w:instrText>
      </w:r>
      <w:r w:rsidR="00723326" w:rsidRPr="00023C48">
        <w:rPr>
          <w:rFonts w:ascii="Times" w:hAnsi="Times" w:cs="Arial"/>
        </w:rPr>
        <w:fldChar w:fldCharType="separate"/>
      </w:r>
      <w:r w:rsidR="00255F1F" w:rsidRPr="00255F1F">
        <w:rPr>
          <w:rFonts w:ascii="Times" w:hAnsi="Times" w:cs="Arial"/>
          <w:noProof/>
        </w:rPr>
        <w:t>(Ward et al. 2003; Fregni et al. 2005; Boggio et al. 2007; Stagg et al. 2012; Sparing et al. 2009)</w:t>
      </w:r>
      <w:r w:rsidR="00723326" w:rsidRPr="00023C48">
        <w:rPr>
          <w:rFonts w:ascii="Times" w:hAnsi="Times" w:cs="Arial"/>
        </w:rPr>
        <w:fldChar w:fldCharType="end"/>
      </w:r>
      <w:r w:rsidR="00723326" w:rsidRPr="00023C48">
        <w:rPr>
          <w:rFonts w:ascii="Times" w:hAnsi="Times" w:cs="Arial"/>
        </w:rPr>
        <w:t>.</w:t>
      </w:r>
      <w:r w:rsidR="000C5D2B" w:rsidRPr="00023C48">
        <w:rPr>
          <w:rFonts w:ascii="Times" w:hAnsi="Times" w:cs="Arial"/>
        </w:rPr>
        <w:t xml:space="preserve"> </w:t>
      </w:r>
      <w:r w:rsidR="00FF4927" w:rsidRPr="00023C48">
        <w:rPr>
          <w:rFonts w:ascii="Times" w:hAnsi="Times" w:cs="Arial"/>
        </w:rPr>
        <w:t>T</w:t>
      </w:r>
      <w:r w:rsidR="00DB154B" w:rsidRPr="00023C48">
        <w:rPr>
          <w:rFonts w:ascii="Times" w:hAnsi="Times" w:cs="Arial"/>
        </w:rPr>
        <w:t>here are limitations to using oppositional montages</w:t>
      </w:r>
      <w:r w:rsidR="0084298A" w:rsidRPr="00023C48">
        <w:rPr>
          <w:rFonts w:ascii="Times" w:hAnsi="Times" w:cs="Arial"/>
        </w:rPr>
        <w:t>,</w:t>
      </w:r>
      <w:r w:rsidR="005B52CB" w:rsidRPr="00023C48">
        <w:rPr>
          <w:rFonts w:ascii="Times" w:hAnsi="Times" w:cs="Arial"/>
        </w:rPr>
        <w:t xml:space="preserve"> as </w:t>
      </w:r>
      <w:r w:rsidR="00156AF1" w:rsidRPr="00023C48">
        <w:rPr>
          <w:rFonts w:ascii="Times" w:hAnsi="Times" w:cs="Arial"/>
        </w:rPr>
        <w:t xml:space="preserve">it </w:t>
      </w:r>
      <w:r w:rsidR="002770C2" w:rsidRPr="00023C48">
        <w:rPr>
          <w:rFonts w:ascii="Times" w:hAnsi="Times" w:cs="Arial"/>
        </w:rPr>
        <w:t xml:space="preserve">is </w:t>
      </w:r>
      <w:r w:rsidR="00DB154B" w:rsidRPr="00023C48">
        <w:rPr>
          <w:rFonts w:ascii="Times" w:hAnsi="Times" w:cs="Arial"/>
        </w:rPr>
        <w:t xml:space="preserve">difficult to </w:t>
      </w:r>
      <w:r w:rsidR="000466F4" w:rsidRPr="00023C48">
        <w:rPr>
          <w:rFonts w:ascii="Times" w:hAnsi="Times" w:cs="Arial"/>
        </w:rPr>
        <w:t>disting</w:t>
      </w:r>
      <w:r w:rsidR="005B52CB" w:rsidRPr="00023C48">
        <w:rPr>
          <w:rFonts w:ascii="Times" w:hAnsi="Times" w:cs="Arial"/>
        </w:rPr>
        <w:t>uish the effects of facilitation and inhibition</w:t>
      </w:r>
      <w:r w:rsidR="00DB154B" w:rsidRPr="00023C48">
        <w:rPr>
          <w:rFonts w:ascii="Times" w:hAnsi="Times" w:cs="Arial"/>
        </w:rPr>
        <w:t xml:space="preserve">. </w:t>
      </w:r>
      <w:r w:rsidR="00FB5ECA" w:rsidRPr="00023C48">
        <w:rPr>
          <w:rFonts w:ascii="Times" w:hAnsi="Times" w:cs="Arial"/>
        </w:rPr>
        <w:t xml:space="preserve">However, </w:t>
      </w:r>
      <w:r w:rsidR="005A2AA5" w:rsidRPr="00023C48">
        <w:rPr>
          <w:rFonts w:ascii="Times" w:hAnsi="Times" w:cs="Arial"/>
        </w:rPr>
        <w:t xml:space="preserve">the approach </w:t>
      </w:r>
      <w:r w:rsidR="003B7485" w:rsidRPr="00023C48">
        <w:rPr>
          <w:rFonts w:ascii="Times" w:hAnsi="Times" w:cs="Arial"/>
        </w:rPr>
        <w:t xml:space="preserve">has </w:t>
      </w:r>
      <w:r w:rsidR="005A2AA5" w:rsidRPr="00023C48">
        <w:rPr>
          <w:rFonts w:ascii="Times" w:hAnsi="Times" w:cs="Arial"/>
        </w:rPr>
        <w:t>proved</w:t>
      </w:r>
      <w:r w:rsidR="008B7154" w:rsidRPr="00023C48">
        <w:rPr>
          <w:rFonts w:ascii="Times" w:hAnsi="Times" w:cs="Arial"/>
        </w:rPr>
        <w:t xml:space="preserve"> </w:t>
      </w:r>
      <w:r w:rsidR="003B7485" w:rsidRPr="00023C48">
        <w:rPr>
          <w:rFonts w:ascii="Times" w:hAnsi="Times" w:cs="Arial"/>
        </w:rPr>
        <w:t>useful where</w:t>
      </w:r>
      <w:r w:rsidR="005A2AA5" w:rsidRPr="00023C48">
        <w:rPr>
          <w:rFonts w:ascii="Times" w:hAnsi="Times" w:cs="Arial"/>
        </w:rPr>
        <w:t xml:space="preserve"> the aim is to change</w:t>
      </w:r>
      <w:r w:rsidR="0076599E" w:rsidRPr="00023C48">
        <w:rPr>
          <w:rFonts w:ascii="Times" w:hAnsi="Times" w:cs="Arial"/>
        </w:rPr>
        <w:t xml:space="preserve"> the balance of</w:t>
      </w:r>
      <w:r w:rsidR="003B7485" w:rsidRPr="00023C48">
        <w:rPr>
          <w:rFonts w:ascii="Times" w:hAnsi="Times" w:cs="Arial"/>
        </w:rPr>
        <w:t xml:space="preserve"> hemispheric activity</w:t>
      </w:r>
      <w:r w:rsidR="00947C74" w:rsidRPr="00023C48">
        <w:rPr>
          <w:rFonts w:ascii="Times" w:hAnsi="Times" w:cs="Arial"/>
        </w:rPr>
        <w:t xml:space="preserve"> </w:t>
      </w:r>
      <w:r w:rsidR="00B96E45" w:rsidRPr="00023C48">
        <w:rPr>
          <w:rFonts w:ascii="Times" w:hAnsi="Times" w:cs="Arial"/>
        </w:rPr>
        <w:fldChar w:fldCharType="begin" w:fldLock="1"/>
      </w:r>
      <w:r w:rsidR="00B260BF">
        <w:rPr>
          <w:rFonts w:ascii="Times" w:hAnsi="Times" w:cs="Arial"/>
        </w:rPr>
        <w:instrText>ADDIN CSL_CITATION { "citationItems" : [ { "id" : "ITEM-1", "itemData" : { "DOI" : "10.1016/j.cortex.2012.04.016", "ISSN" : "1973-8102", "PMID" : "22699023", "abstract" : "Data from neuropsychology and neuroimaging studies indicate hemispheric asymmetries in processing object's global form versus local parts. However the attentional mechanisms subtending visual selection of different levels of information are poorly understood. The classical left hemisphere/local-right hemisphere/global dichotomy has been recently challenged by studies linking the asymmetry of activation in the posterior parietal cortex (PPC) with the relative salience of the stimulus rather than with the local/global level. The present study aimed to assess hemispheric asymmetry in local-global and salience-based selection in hierarchical stimuli by using transcranial direct current stimulation (tDCS). To this end, tDCS has been applied to the PPC of both the hemispheres. Our data revealed that tDCS did affect the selection of the target on the basis of its relative salience in a manner that depended on the tDCS polarity applied to the two hemispheres. This result is in line with previous findings that the left PPC is critically involved in attention for low-salience stimuli in the presence of high-salience distractor information, while right PPC is involved in attending to more salient stimuli. Hemispheric asymmetries were also found in local/global selection. Overall the results suggest that neural activation in the PPC is related to both the salience and the level of stimulus representations mediating responses to hierarchical stimuli. The comparison of the results from Experiments 1 and 2 in local/global-based selection suggests that the effect of stimulation could be completely opposite depending on subtle differences in demands of attentional control (sustained attention vs task switching). ?? 2012 Elsevier Ltd.", "author" : [ { "dropping-particle" : "", "family" : "Bardi", "given" : "Lara", "non-dropping-particle" : "", "parse-names" : false, "suffix" : "" }, { "dropping-particle" : "", "family" : "Kanai", "given" : "Ryota", "non-dropping-particle" : "", "parse-names" : false, "suffix" : "" }, { "dropping-particle" : "", "family" : "Mapelli", "given" : "Daniela", "non-dropping-particle" : "", "parse-names" : false, "suffix" : "" }, { "dropping-particle" : "", "family" : "Walsh", "given" : "Vincent", "non-dropping-particle" : "", "parse-names" : false, "suffix" : "" } ], "container-title" : "Cortex", "id" : "ITEM-1", "issue" : "3", "issued" : { "date-parts" : [ [ "2013", "3" ] ] }, "page" : "850-860", "title" : "Direct current stimulation (tDCS) reveals parietal asymmetry in local/global and salience-based selection", "type" : "article-journal", "volume" : "49" }, "uris" : [ "http://www.mendeley.com/documents/?uuid=8b303fe3-22ca-4967-ac72-c82651286c34" ] } ], "mendeley" : { "formattedCitation" : "(Bardi et al. 2013)", "plainTextFormattedCitation" : "(Bardi et al. 2013)", "previouslyFormattedCitation" : "(Bardi et al. 2013)" }, "properties" : { "noteIndex" : 0 }, "schema" : "https://github.com/citation-style-language/schema/raw/master/csl-citation.json" }</w:instrText>
      </w:r>
      <w:r w:rsidR="00B96E45" w:rsidRPr="00023C48">
        <w:rPr>
          <w:rFonts w:ascii="Times" w:hAnsi="Times" w:cs="Arial"/>
        </w:rPr>
        <w:fldChar w:fldCharType="separate"/>
      </w:r>
      <w:r w:rsidR="00255F1F" w:rsidRPr="00255F1F">
        <w:rPr>
          <w:rFonts w:ascii="Times" w:hAnsi="Times" w:cs="Arial"/>
          <w:noProof/>
        </w:rPr>
        <w:t>(Bardi et al. 2013)</w:t>
      </w:r>
      <w:r w:rsidR="00B96E45" w:rsidRPr="00023C48">
        <w:rPr>
          <w:rFonts w:ascii="Times" w:hAnsi="Times" w:cs="Arial"/>
        </w:rPr>
        <w:fldChar w:fldCharType="end"/>
      </w:r>
      <w:r w:rsidR="00796186" w:rsidRPr="00023C48">
        <w:rPr>
          <w:rFonts w:ascii="Times" w:hAnsi="Times" w:cs="Arial"/>
        </w:rPr>
        <w:t>, and o</w:t>
      </w:r>
      <w:r w:rsidR="00281382" w:rsidRPr="00023C48">
        <w:rPr>
          <w:rFonts w:ascii="Times" w:hAnsi="Times" w:cs="Arial"/>
        </w:rPr>
        <w:t>ppositional stimulation provides its own internal control</w:t>
      </w:r>
      <w:r w:rsidR="00C3685A" w:rsidRPr="00023C48">
        <w:rPr>
          <w:rFonts w:ascii="Times" w:hAnsi="Times" w:cs="Arial"/>
        </w:rPr>
        <w:t xml:space="preserve"> as behavioural effects </w:t>
      </w:r>
      <w:r w:rsidR="00CB65E8" w:rsidRPr="00023C48">
        <w:rPr>
          <w:rFonts w:ascii="Times" w:hAnsi="Times" w:cs="Arial"/>
        </w:rPr>
        <w:t>that interact with the polarity</w:t>
      </w:r>
      <w:r w:rsidR="00C3685A" w:rsidRPr="00023C48">
        <w:rPr>
          <w:rFonts w:ascii="Times" w:hAnsi="Times" w:cs="Arial"/>
        </w:rPr>
        <w:t xml:space="preserve"> of stimulation</w:t>
      </w:r>
      <w:r w:rsidR="00CB65E8" w:rsidRPr="00023C48">
        <w:rPr>
          <w:rFonts w:ascii="Times" w:hAnsi="Times" w:cs="Arial"/>
        </w:rPr>
        <w:t xml:space="preserve"> are potentially more easy to separate from non-specific effects of stimulation</w:t>
      </w:r>
      <w:r w:rsidR="004C031F">
        <w:rPr>
          <w:rFonts w:ascii="Times" w:hAnsi="Times" w:cs="Arial"/>
        </w:rPr>
        <w:t xml:space="preserve"> </w:t>
      </w:r>
      <w:r w:rsidR="004C031F">
        <w:rPr>
          <w:rFonts w:ascii="Times" w:hAnsi="Times" w:cs="Arial"/>
        </w:rPr>
        <w:fldChar w:fldCharType="begin" w:fldLock="1"/>
      </w:r>
      <w:r w:rsidR="00972EDA">
        <w:rPr>
          <w:rFonts w:ascii="Times" w:hAnsi="Times" w:cs="Arial"/>
        </w:rPr>
        <w:instrText>ADDIN CSL_CITATION { "citationItems" : [ { "id" : "ITEM-1", "itemData" : { "DOI" : "10.1523/JNEUROSCI.2924-09.2010", "ISSN" : "1529-2401", "PMID" : "20335459", "abstract" : "In a random sequence of binary events where one alternative occurs more often than the other, humans tend to guess which of the two alternatives will occur next by trying to match the frequencies of previous occurrences. Based on split-brain and unilaterally damaged patients' performances, it has been proposed that the left hemisphere (LH) tends to match the frequencies, while the right hemisphere (RH) tends toward maximizing and always choosing the most frequent alternative. The current study used transcranial direct current stimulation (tDCS) to test this hemispheric asymmetry hypothesis by stimulating the dorsolateral prefrontal cortex of each hemisphere and simultaneously inhibiting the corresponding region in the homotopic hemisphere, while participants were engaged in a probabilistic guessing task. Results showed no difference in strategy between the three groups (RH anodal/LH cathodal, LH anodal/RH cathodal, no stimulation) as participants predominantly matched the frequencies of the two alternatives. However, when anodal tDCS was applied to the LH and cathodal tDCS applied to the RH, participants became quicker to select the most frequent alternative. This finding is in line with previous evidence on the involvement of the LH in probabilistic learning and reasoning and adds to a number of demonstrations of anodal tDCS leading to some behavioral enhancement or change in bias.", "author" : [ { "dropping-particle" : "", "family" : "Hecht", "given" : "David", "non-dropping-particle" : "", "parse-names" : false, "suffix" : "" }, { "dropping-particle" : "", "family" : "Walsh", "given" : "Vincent", "non-dropping-particle" : "", "parse-names" : false, "suffix" : "" }, { "dropping-particle" : "", "family" : "Lavidor", "given" : "Michal", "non-dropping-particle" : "", "parse-names" : false, "suffix" : "" } ], "container-title" : "The Journal of neuroscience : the official journal of the Society for Neuroscience", "id" : "ITEM-1", "issue" : "12", "issued" : { "date-parts" : [ [ "2010", "3", "24" ] ] }, "page" : "4241-4245", "title" : "Transcranial direct current stimulation facilitates decision making in a probabilistic guessing task.", "type" : "article-journal", "volume" : "30" }, "uris" : [ "http://www.mendeley.com/documents/?uuid=eafcc280-14f4-488b-87d9-0dfe5ddef369" ] }, { "id" : "ITEM-2", "itemData" : { "DOI" : "10.1016/j.cub.2010.10.007", "ISSN" : "1879-0445", "PMID" : "21055945", "abstract" : "Around 20% of the population exhibits moderate to severe numerical disabilities [1-3], and a further percentage loses its numerical competence during the lifespan as a result of stroke or degenerative diseases [4]. In this work, we investigated the feasibility of using noninvasive stimulation to the parietal lobe during numerical learning to selectively improve numerical abilities. We used transcranial direct current stimulation (TDCS), a method that can selectively inhibit or excitate neuronal populations by modulating GABAergic (anodal stimulation) and glutamatergic (cathodal stimulation) activity [5, 6]. We trained subjects for 6 days with artificial numerical symbols, during which we applied concurrent TDCS to the parietal lobes. The polarity of the brain stimulation specifically enhanced or impaired the acquisition of automatic number processing and the mapping of number into space, both important indices of numerical proficiency [7-9]. The improvement was still present 6 months after the training. Control tasks revealed that the effect of brain stimulation was specific to the representation of artificial numerical symbols. The specificity and longevity of TDCS on numerical abilities establishes TDCS as a realistic tool for intervention in cases of atypical numerical development or loss of numerical abilities because of stroke or degenerative illnesses. ?? 2010 Elsevier Ltd All rights reserved.", "author" : [ { "dropping-particle" : "", "family" : "Cohen Kadosh", "given" : "Roi", "non-dropping-particle" : "", "parse-names" : false, "suffix" : "" }, { "dropping-particle" : "", "family" : "Soskic", "given" : "Sonja", "non-dropping-particle" : "", "parse-names" : false, "suffix" : "" }, { "dropping-particle" : "", "family" : "Iuculano", "given" : "Teresa", "non-dropping-particle" : "", "parse-names" : false, "suffix" : "" }, { "dropping-particle" : "", "family" : "Kanai", "given" : "Ryota", "non-dropping-particle" : "", "parse-names" : false, "suffix" : "" }, { "dropping-particle" : "", "family" : "Walsh", "given" : "Vincent", "non-dropping-particle" : "", "parse-names" : false, "suffix" : "" } ], "container-title" : "Current Biology", "id" : "ITEM-2", "issue" : "22", "issued" : { "date-parts" : [ [ "2010", "11", "23" ] ] }, "page" : "2016-2020", "publisher" : "Elsevier Ltd", "title" : "Modulating neuronal activity produces specific and long-lasting changes in numerical competence", "type" : "article-journal", "volume" : "20" }, "uris" : [ "http://www.mendeley.com/documents/?uuid=1461a860-f9eb-4c2e-bc74-f4c83839d822" ] } ], "mendeley" : { "formattedCitation" : "(Hecht et al. 2010; Cohen Kadosh et al. 2010)", "plainTextFormattedCitation" : "(Hecht et al. 2010; Cohen Kadosh et al. 2010)", "previouslyFormattedCitation" : "(Hecht et al. 2010; Cohen Kadosh et al. 2010)" }, "properties" : { "noteIndex" : 0 }, "schema" : "https://github.com/citation-style-language/schema/raw/master/csl-citation.json" }</w:instrText>
      </w:r>
      <w:r w:rsidR="004C031F">
        <w:rPr>
          <w:rFonts w:ascii="Times" w:hAnsi="Times" w:cs="Arial"/>
        </w:rPr>
        <w:fldChar w:fldCharType="separate"/>
      </w:r>
      <w:r w:rsidR="004C031F" w:rsidRPr="004C031F">
        <w:rPr>
          <w:rFonts w:ascii="Times" w:hAnsi="Times" w:cs="Arial"/>
          <w:noProof/>
        </w:rPr>
        <w:t>(Hecht et al. 2010; Cohen Kadosh et al. 2010)</w:t>
      </w:r>
      <w:r w:rsidR="004C031F">
        <w:rPr>
          <w:rFonts w:ascii="Times" w:hAnsi="Times" w:cs="Arial"/>
        </w:rPr>
        <w:fldChar w:fldCharType="end"/>
      </w:r>
      <w:r w:rsidR="0024718E" w:rsidRPr="00023C48">
        <w:rPr>
          <w:rFonts w:ascii="Times" w:hAnsi="Times" w:cs="Arial"/>
        </w:rPr>
        <w:t>.</w:t>
      </w:r>
    </w:p>
    <w:p w14:paraId="1B0E30AA" w14:textId="77777777" w:rsidR="006D3FDF" w:rsidRPr="00023C48" w:rsidRDefault="006D3FDF" w:rsidP="005374CB">
      <w:pPr>
        <w:spacing w:line="480" w:lineRule="auto"/>
        <w:jc w:val="both"/>
        <w:rPr>
          <w:rFonts w:ascii="Times" w:hAnsi="Times" w:cs="Arial"/>
        </w:rPr>
      </w:pPr>
    </w:p>
    <w:p w14:paraId="1C832DE0" w14:textId="11F3A0AD" w:rsidR="0061380B" w:rsidRPr="00023C48" w:rsidRDefault="00B94F78" w:rsidP="005374CB">
      <w:pPr>
        <w:spacing w:line="480" w:lineRule="auto"/>
        <w:jc w:val="both"/>
        <w:rPr>
          <w:rFonts w:ascii="Times" w:hAnsi="Times" w:cs="Arial"/>
        </w:rPr>
      </w:pPr>
      <w:r w:rsidRPr="00023C48">
        <w:rPr>
          <w:rFonts w:ascii="Times" w:hAnsi="Times" w:cs="Arial"/>
        </w:rPr>
        <w:t>Here we</w:t>
      </w:r>
      <w:r w:rsidR="0021061B" w:rsidRPr="00023C48">
        <w:rPr>
          <w:rFonts w:ascii="Times" w:hAnsi="Times" w:cs="Arial"/>
        </w:rPr>
        <w:t xml:space="preserve"> extended </w:t>
      </w:r>
      <w:r w:rsidR="00956248" w:rsidRPr="00023C48">
        <w:rPr>
          <w:rFonts w:ascii="Times" w:hAnsi="Times" w:cs="Arial"/>
        </w:rPr>
        <w:t>the use</w:t>
      </w:r>
      <w:r w:rsidR="007B09CE" w:rsidRPr="00023C48">
        <w:rPr>
          <w:rFonts w:ascii="Times" w:hAnsi="Times" w:cs="Arial"/>
        </w:rPr>
        <w:t xml:space="preserve"> of oppositional stimulation</w:t>
      </w:r>
      <w:r w:rsidR="005A2A74" w:rsidRPr="00023C48">
        <w:rPr>
          <w:rFonts w:ascii="Times" w:hAnsi="Times" w:cs="Arial"/>
        </w:rPr>
        <w:t xml:space="preserve"> by performing a single-blinded, cross-over, sham-controlled study of oppositional parietal tDCS on </w:t>
      </w:r>
      <w:r w:rsidR="00A5187B" w:rsidRPr="00023C48">
        <w:rPr>
          <w:rFonts w:ascii="Times" w:hAnsi="Times" w:cs="Arial"/>
        </w:rPr>
        <w:t>two</w:t>
      </w:r>
      <w:r w:rsidR="0021061B" w:rsidRPr="00023C48">
        <w:rPr>
          <w:rFonts w:ascii="Times" w:hAnsi="Times" w:cs="Arial"/>
        </w:rPr>
        <w:t xml:space="preserve"> cog</w:t>
      </w:r>
      <w:r w:rsidR="00BD0862" w:rsidRPr="00023C48">
        <w:rPr>
          <w:rFonts w:ascii="Times" w:hAnsi="Times" w:cs="Arial"/>
        </w:rPr>
        <w:t xml:space="preserve">nitive tasks </w:t>
      </w:r>
      <w:r w:rsidR="002742D0" w:rsidRPr="00023C48">
        <w:rPr>
          <w:rFonts w:ascii="Times" w:hAnsi="Times" w:cs="Arial"/>
        </w:rPr>
        <w:t>with distinct cortical</w:t>
      </w:r>
      <w:r w:rsidR="00A5187B" w:rsidRPr="00023C48">
        <w:rPr>
          <w:rFonts w:ascii="Times" w:hAnsi="Times" w:cs="Arial"/>
        </w:rPr>
        <w:t xml:space="preserve"> </w:t>
      </w:r>
      <w:r w:rsidR="0021061B" w:rsidRPr="00023C48">
        <w:rPr>
          <w:rFonts w:ascii="Times" w:hAnsi="Times" w:cs="Arial"/>
        </w:rPr>
        <w:t>lateralisation</w:t>
      </w:r>
      <w:r w:rsidR="00A73A08" w:rsidRPr="00023C48">
        <w:rPr>
          <w:rFonts w:ascii="Times" w:hAnsi="Times" w:cs="Arial"/>
        </w:rPr>
        <w:t xml:space="preserve">: </w:t>
      </w:r>
      <w:r w:rsidR="00050099" w:rsidRPr="00023C48">
        <w:rPr>
          <w:rFonts w:ascii="Times" w:hAnsi="Times" w:cs="Arial"/>
        </w:rPr>
        <w:t>a</w:t>
      </w:r>
      <w:r w:rsidR="00A73A08" w:rsidRPr="00023C48">
        <w:rPr>
          <w:rFonts w:ascii="Times" w:hAnsi="Times" w:cs="Arial"/>
        </w:rPr>
        <w:t xml:space="preserve"> left lateralised</w:t>
      </w:r>
      <w:r w:rsidR="00CE3841" w:rsidRPr="00023C48">
        <w:rPr>
          <w:rFonts w:ascii="Times" w:hAnsi="Times" w:cs="Arial"/>
        </w:rPr>
        <w:t xml:space="preserve"> </w:t>
      </w:r>
      <w:r w:rsidR="00BC07C4" w:rsidRPr="00023C48">
        <w:rPr>
          <w:rFonts w:ascii="Times" w:hAnsi="Times" w:cs="Arial"/>
        </w:rPr>
        <w:t>number comparison</w:t>
      </w:r>
      <w:r w:rsidR="00900D93" w:rsidRPr="00023C48">
        <w:rPr>
          <w:rFonts w:ascii="Times" w:hAnsi="Times" w:cs="Arial"/>
        </w:rPr>
        <w:t xml:space="preserve"> task</w:t>
      </w:r>
      <w:r w:rsidR="00A73A08" w:rsidRPr="00023C48">
        <w:rPr>
          <w:rFonts w:ascii="Times" w:hAnsi="Times" w:cs="Arial"/>
        </w:rPr>
        <w:t xml:space="preserve"> </w:t>
      </w:r>
      <w:r w:rsidR="00377E0D" w:rsidRPr="00023C48">
        <w:rPr>
          <w:rFonts w:ascii="Times" w:hAnsi="Times"/>
        </w:rPr>
        <w:fldChar w:fldCharType="begin" w:fldLock="1"/>
      </w:r>
      <w:r w:rsidR="00B260BF">
        <w:rPr>
          <w:rFonts w:ascii="Times" w:hAnsi="Times"/>
        </w:rPr>
        <w:instrText>ADDIN CSL_CITATION { "citationItems" : [ { "id" : "ITEM-1", "itemData" : { "DOI" : "10.1016/j.neuropsychologia.2004.05.005", "ISSN" : "0028-3932", "abstract" : "Number processing is known to involve several sites within the posterior regions of parietal cortex. Here, we investigated whether neural activity in the inferior parietal lobule (IPL) is essential for number processing, by observing the effects of interfering with its activity during the execution of a standard number comparison task. Subjects performance on the task was significantly slowed down when we delivered trains of repetitive transcranial magnetic stimuli (rTMS) to the posterior parietal scalp site overlying the left IPL, while rTMS did not affect the number comparison task if delivered to homologous, contralateral (right) IPL. In conclusion, the present findings add support to a growing body of evidence from neuropsychology and neuroimaging studies that the left inferior parietal lobule is an important component of the networks subserving the representation of quantity.", "author" : [ { "dropping-particle" : "", "family" : "Sandrini", "given" : "M", "non-dropping-particle" : "", "parse-names" : false, "suffix" : "" }, { "dropping-particle" : "", "family" : "Rossini", "given" : "P M", "non-dropping-particle" : "", "parse-names" : false, "suffix" : "" }, { "dropping-particle" : "", "family" : "Miniussi", "given" : "C", "non-dropping-particle" : "", "parse-names" : false, "suffix" : "" } ], "container-title" : "Neuropsychologia", "id" : "ITEM-1", "issued" : { "date-parts" : [ [ "2004" ] ] }, "language" : "eng", "page" : "1902-1909", "title" : "The differential involvement of inferior parietal lobule in number comparison: a rTMS study", "type" : "article-journal", "volume" : "42" }, "uris" : [ "http://www.mendeley.com/documents/?uuid=2c427811-2d91-41fd-84cf-818f51ae95f1" ] }, { "id" : "ITEM-2", "itemData" : { "DOI" : "10.1006/nimg.2001.0927", "ISBN" : "1053-8119 (Print)\\r1053-8119 (Linking)", "ISSN" : "1053-8119", "PMID" : "11707084", "abstract" : "To investigate the hemispheric organization of a language-independent spatial representation of number magnitude in the human brain we applied focal repetitive transcranial magnetic stimulation (rTMS) to the right or left angular gyrus while subjects performed a number comparison task with numbers between 31 and 99. Repetitive TMS over the angular gyrus disrupted performance of a visuospatial search task, and rTMS at the same site disrupted organization of the putative \"number line.\" In some cases the pattern of disruption caused by angular gyrus rTMS suggested that this area normally mediates a spatial representation of number. The effect of angular gyrus rTMS on the number line task was specific. rTMS had no disruptive effect when delivered over another parietal region, the supramarginal gyrus, in either the left or the right hemisphere.", "author" : [ { "dropping-particle" : "", "family" : "G\u00f6bel", "given" : "S", "non-dropping-particle" : "", "parse-names" : false, "suffix" : "" }, { "dropping-particle" : "", "family" : "Walsh", "given" : "V", "non-dropping-particle" : "", "parse-names" : false, "suffix" : "" }, { "dropping-particle" : "", "family" : "Rushworth", "given" : "M F", "non-dropping-particle" : "", "parse-names" : false, "suffix" : "" } ], "container-title" : "NeuroImage", "id" : "ITEM-2", "issued" : { "date-parts" : [ [ "2001" ] ] }, "page" : "1278-1289", "title" : "The mental number line and the human angular gyrus.", "type" : "article-journal", "volume" : "14" }, "uris" : [ "http://www.mendeley.com/documents/?uuid=296fe727-0f55-4e92-bd28-061ea2034a9d" ] }, { "id" : "ITEM-3", "itemData" : { "DOI" : "10.1093/cercor/11.4.350", "ISBN" : "1047-3211", "ISSN" : "1047-3211", "PMID" : "11278198", "abstract" : "Mental calculation is a complex cognitive operation that is composed of a set of distinct functional processes. Using functional magnetic resonance imaging (fMRI), we mapped brain activity in healthy subjects performing arithmetical tasks and control tasks evoking a comparable load on visuo-constructive, linguistic, attentional and mnemonic functions. During calculation, as well as non-mathematical tasks, similar cortical networks consisting of bilateral prefrontal, premotor and parietal regions were activated, suggesting that most of these cortical areas do not exclusively represent modules for calculation but support more general cognitive operations that are instrumental but not specific to mental arithmetic. Significant differences between calculation and the non-mathematical tasks were found in parietal sub-regions, where non-arithmetic number or letter substitution tasks preferentially activated the superior parietal lobules whereas calculation predominantly elicited activation of the left dorsal angular gyrus and the medial parietal cortices. We interpret the latter activations to reflect sub-processes of mental calculation that are related to the processing of numerical representations during exact calculation and to arithmetical fact retrieval. Finally, we found that more complex calculation tasks involving the application of calculation rules increased activity in left inferior frontal areas that are known to subserve linguistic and working memory functions. Taken together, these findings help to embed the specific cognitive operation of calculation into a neural framework that provides the required set of instrumental components. This result may further inform the cognitive modeling of calculation and adds to the understanding of neuropsychological deficit patterns in patients.", "author" : [ { "dropping-particle" : "", "family" : "Gruber", "given" : "O", "non-dropping-particle" : "", "parse-names" : false, "suffix" : "" }, { "dropping-particle" : "", "family" : "Indefrey", "given" : "P", "non-dropping-particle" : "", "parse-names" : false, "suffix" : "" }, { "dropping-particle" : "", "family" : "Steinmetz", "given" : "H", "non-dropping-particle" : "", "parse-names" : false, "suffix" : "" }, { "dropping-particle" : "", "family" : "Kleinschmidt", "given" : "a", "non-dropping-particle" : "", "parse-names" : false, "suffix" : "" } ], "container-title" : "Cerebral cortex (New York, N.Y. : 1991)", "id" : "ITEM-3", "issued" : { "date-parts" : [ [ "2001" ] ] }, "page" : "350-359", "title" : "Dissociating neural correlates of cognitive components in mental calculation.", "type" : "article-journal", "volume" : "11" }, "uris" : [ "http://www.mendeley.com/documents/?uuid=b714eea1-2562-40dc-9077-7e208d551928" ] }, { "id" : "ITEM-4", "itemData" : { "DOI" : "10.1371/journal.pbio.0040125", "ISBN" : "1545-7885 (Electronic)\\r1544-9173 (Linking)", "ISSN" : "15457885", "PMID" : "16594732", "abstract" : "Adult humans, infants, pre-school children, and non-human animals appear to share a system of approximate numerical processing for non-symbolic stimuli such as arrays of dots or sequences of tones. Behavioral studies of adult humans implicate a link between these non-symbolic numerical abilities and symbolic numerical processing (e.g., similar distance effects in accuracy and reaction-time for arrays of dots and Arabic numerals). However, neuroimaging studies have remained inconclusive on the neural basis of this link. The intraparietal sulcus (IPS) is known to respond selectively to symbolic numerical stimuli such as Arabic numerals. Recent studies, however, have arrived at conflicting conclusions regarding the role of the IPS in processing non-symbolic, numerosity arrays in adulthood, and very little is known about the brain basis of numerical processing early in development. Addressing the question of whether there is an early-developing neural basis for abstract numerical processing is essential for understanding the cognitive origins of our uniquely human capacity for math and science. Using functional magnetic resonance imaging (fMRI) at 4-Tesla and an event-related fMRI adaptation paradigm, we found that adults showed a greater IPS response to visual arrays that deviated from standard stimuli in their number of elements, than to stimuli that deviated in local element shape. These results support previous claims that there is a neurophysiological link between non-symbolic and symbolic numerical processing in adulthood. In parallel, we tested 4-y-old children with the same fMRI adaptation paradigm as adults to determine whether the neural locus of non-symbolic numerical activity in adults shows continuity in function over development. We found that the IPS responded to numerical deviants similarly in 4-y-old children and adults. To our knowledge, this is the first evidence that the neural locus of adult numerical cognition takes form early in development, prior to sophisticated symbolic numerical experience. More broadly, this is also, to our knowledge, the first cognitive fMRI study to test healthy children as young as 4 y, providing new insights into the neurophysiology of human cognitive development.", "author" : [ { "dropping-particle" : "", "family" : "Cantlon", "given" : "Jessica F.", "non-dropping-particle" : "", "parse-names" : false, "suffix" : "" }, { "dropping-particle" : "", "family" : "Brannon", "given" : "Elizabeth M.", "non-dropping-particle" : "", "parse-names" : false, "suffix" : "" }, { "dropping-particle" : "", "family" : "Carter", "given" : "Elizabeth J.", "non-dropping-particle" : "", "parse-names" : false, "suffix" : "" }, { "dropping-particle" : "", "family" : "Pelphrey", "given" : "Kevin a.", "non-dropping-particle" : "", "parse-names" : false, "suffix" : "" } ], "container-title" : "PLoS Biology", "id" : "ITEM-4", "issue" : "5", "issued" : { "date-parts" : [ [ "2006" ] ] }, "page" : "844-854", "title" : "Functional imaging of numerical processing in adults and 4-y-old children", "type" : "article-journal", "volume" : "4" }, "uris" : [ "http://www.mendeley.com/documents/?uuid=eb2bdd43-4762-4ac1-b6e3-2a09c6a71ad1" ] }, { "id" : "ITEM-5", "itemData" : { "DOI" : "10.1016/j.neuroimage.2007.07.041", "ISBN" : "1053-8119", "ISSN" : "10538119", "PMID" : "17851092", "abstract" : "Functional neuroimaging studies have revealed that parietal brain circuits subserve arithmetic problem solving and that their recruitment dynamically changes as a function of training and development. The present study investigated whether the brain activation during mental calculation is also modulated by individual differences in mathematical competence. Twenty-five adult students were selected from a larger pool based on their performance on standardized tests of intelligence and arithmetic and divided into groups of individuals with relatively lower and higher mathematical competence. These groups did not differ in their non-numerical intelligence or age. In an fMRI block-design, participants had to verify the correctness of single-digit and multi-digit multiplication problems. Analyses revealed that the individuals with higher mathematical competence displayed stronger activation of the left angular gyrus while solving both types of arithmetic problems. Additional correlational analyses corroborated the association between individual differences in mathematical competence and angular gyrus activation, even when variability in task performance was controlled for. These findings demonstrate that the recruitment of the left angular gyrus during arithmetic problem solving underlies individual differences in mathematical ability and suggests a stronger reliance on automatic, language-mediated processes in more competent individuals. ?? 2007 Elsevier Inc. All rights reserved.", "author" : [ { "dropping-particle" : "", "family" : "Grabner", "given" : "Roland H.", "non-dropping-particle" : "", "parse-names" : false, "suffix" : "" }, { "dropping-particle" : "", "family" : "Ansari", "given" : "Daniel", "non-dropping-particle" : "", "parse-names" : false, "suffix" : "" }, { "dropping-particle" : "", "family" : "Reishofer", "given" : "Gernot", "non-dropping-particle" : "", "parse-names" : false, "suffix" : "" }, { "dropping-particle" : "", "family" : "Stern", "given" : "Elsbeth", "non-dropping-particle" : "", "parse-names" : false, "suffix" : "" }, { "dropping-particle" : "", "family" : "Ebner", "given" : "Franz", "non-dropping-particle" : "", "parse-names" : false, "suffix" : "" }, { "dropping-particle" : "", "family" : "Neuper", "given" : "Christa", "non-dropping-particle" : "", "parse-names" : false, "suffix" : "" } ], "container-title" : "NeuroImage", "id" : "ITEM-5", "issued" : { "date-parts" : [ [ "2007" ] ] }, "page" : "346-356", "title" : "Individual differences in mathematical competence predict parietal brain activation during mental calculation", "type" : "article-journal", "volume" : "38" }, "uris" : [ "http://www.mendeley.com/documents/?uuid=ced8d632-fa06-4625-956c-0b2f4dcbd488" ] }, { "id" : "ITEM-6", "itemData" : { "DOI" : "10.1016/j.neuroimage.2011.05.035", "ISBN" : "1095-9572 (Electronic)\\r1053-8119 (Linking)", "ISSN" : "10538119", "PMID" : "21620978", "abstract" : "Arabic digits are one of the most ubiquitous symbol sets in the world. While there have been many investigations into the neural processing of the semantic information digits represent (e.g. through numerical comparison tasks), little is known about the neural mechanisms which support the processing of digits as visual symbols. To characterise the component neurocognitive mechanisms which underlie numerical cognition, it is essential to understand the processing of digits as a visual category, independent of numerical magnitude processing. The 'Triple Code Model' (Dehaene, 1992; Dehaene and Cohen, 1995) posits an asemantic visual code for processing Arabic digits in the ventral visual stream, yet there is currently little empirical evidence in support of this code. This outstanding question was addressed in the current functional Magnetic Resonance (fMRI) study by contrasting brain responses during the passive viewing of digits versus letters and novel symbols at short (50. ms) and long (500. ms) presentation times. The results of this study reveal increased activation for familiar symbols (digits and letters) relative to unfamiliar symbols (scrambled digits and letters) at long presentation durations in the left dorsal Angular gyrus (dAG). Furthermore, increased activation for Arabic digits was observed in the left ventral Angular gyrus (vAG) in comparison to letters, scrambled digits and scrambled letters at long presentation durations, but no digit specific activation in any region at short presentation durations. These results suggest an absence of a digit specific 'Visual Number Form Area' (VNFA) in the ventral visual cortex, and provide evidence for the role of the left ventral AG during the processing of digits in the absence of any explicit processing demands. We conclude that Arabic digit processing depends specifically on the left AG rather than a ventral visual stream VNFA. ?? 2011 Elsevier Inc.", "author" : [ { "dropping-particle" : "", "family" : "Price", "given" : "Gavin R.", "non-dropping-particle" : "", "parse-names" : false, "suffix" : "" }, { "dropping-particle" : "", "family" : "Ansari", "given" : "Daniel", "non-dropping-particle" : "", "parse-names" : false, "suffix" : "" } ], "container-title" : "NeuroImage", "id" : "ITEM-6", "issue" : "3", "issued" : { "date-parts" : [ [ "2011" ] ] }, "page" : "1205-1211", "publisher" : "Elsevier Inc.", "title" : "Symbol processing in the left angular gyrus: Evidence from passive perception of digits", "type" : "article-journal", "volume" : "57" }, "uris" : [ "http://www.mendeley.com/documents/?uuid=e77eb106-2ca8-4947-903c-e646b9b4ee8f" ] }, { "id" : "ITEM-7", "itemData" : { "DOI" : "10.1093/cercor/bhi055", "ISBN" : "1047-3211 (Print)\\r1047-3211 (Linking)", "ISSN" : "10473211", "PMID" : "15716474", "abstract" : "Arithmetic reasoning is arguably one of the most important cognitive skills a child must master. Here we examine neurodevelopmental changes in mental arithmetic. Subjects (ages 8-19 years) viewed arithmetic equations and were asked to judge whether the results were correct or incorrect. During two-operand addition or subtraction trials, for which accuracy was comparable across age, older subjects showed greater activation in the left parietal cortex, along the supramarginal gyrus and adjoining anterior intra-parietal sulcus as well as the left lateral occipital temporal cortex. These age-related changes were not associated with alterations in gray matter density, and provide novel evidence for increased functional maturation with age. By contrast, younger subjects showed greater activation in the prefrontal cortex, including the dorsolateral and ventrolateral prefrontal cortex and the anterior cingulate cortex, suggesting that they require comparatively more working memory and attentional resources to achieve similar levels of mental arithmetic performance. Younger subjects also showed greater activation of the hippocampus and dorsal basal ganglia, reflecting the greater demands placed on both declarative and procedural memory systems. Our findings provide evidence for a process of increased functional specialization of the left inferior parietal cortex in mental arithmetic, a process that is accompanied by decreased dependence on memory and attentional resources with development.", "author" : [ { "dropping-particle" : "", "family" : "Rivera", "given" : "S. M.", "non-dropping-particle" : "", "parse-names" : false, "suffix" : "" }, { "dropping-particle" : "", "family" : "Reiss", "given" : "a. L.", "non-dropping-particle" : "", "parse-names" : false, "suffix" : "" }, { "dropping-particle" : "", "family" : "Eckert", "given" : "M. a.", "non-dropping-particle" : "", "parse-names" : false, "suffix" : "" }, { "dropping-particle" : "", "family" : "Menon", "given" : "V.", "non-dropping-particle" : "", "parse-names" : false, "suffix" : "" } ], "container-title" : "Cerebral Cortex", "id" : "ITEM-7", "issue" : "November", "issued" : { "date-parts" : [ [ "2005" ] ] }, "page" : "1779-1790", "title" : "Developmental changes in mental arithmetic: Evidence for increased functional specialization in the left inferior parietal cortex", "type" : "article-journal", "volume" : "15" }, "uris" : [ "http://www.mendeley.com/documents/?uuid=69e176c1-3ad1-44dd-baf4-0862ff260d8a" ] } ], "mendeley" : { "formattedCitation" : "(Sandrini et al. 2004; G\u00f6bel et al. 2001; Gruber et al. 2001; Cantlon et al. 2006; Grabner et al. 2007; Price &amp; Ansari 2011; Rivera et al. 2005)", "plainTextFormattedCitation" : "(Sandrini et al. 2004; G\u00f6bel et al. 2001; Gruber et al. 2001; Cantlon et al. 2006; Grabner et al. 2007; Price &amp; Ansari 2011; Rivera et al. 2005)", "previouslyFormattedCitation" : "(Sandrini et al. 2004; G\u00f6bel et al. 2001; Gruber et al. 2001; Cantlon et al. 2006; Grabner et al. 2007; Price &amp; Ansari 2011; Rivera et al. 2005)" }, "properties" : { "noteIndex" : 0 }, "schema" : "https://github.com/citation-style-language/schema/raw/master/csl-citation.json" }</w:instrText>
      </w:r>
      <w:r w:rsidR="00377E0D" w:rsidRPr="00023C48">
        <w:rPr>
          <w:rFonts w:ascii="Times" w:hAnsi="Times"/>
        </w:rPr>
        <w:fldChar w:fldCharType="separate"/>
      </w:r>
      <w:r w:rsidR="00255F1F" w:rsidRPr="00255F1F">
        <w:rPr>
          <w:rFonts w:ascii="Times" w:hAnsi="Times"/>
          <w:noProof/>
        </w:rPr>
        <w:t>(Sandrini et al. 2004; Göbel et al. 2001; Gruber et al. 2001; Cantlon et al. 2006; Grabner et al. 2007; Price &amp; Ansari 2011; Rivera et al. 2005)</w:t>
      </w:r>
      <w:r w:rsidR="00377E0D" w:rsidRPr="00023C48">
        <w:rPr>
          <w:rFonts w:ascii="Times" w:hAnsi="Times"/>
        </w:rPr>
        <w:fldChar w:fldCharType="end"/>
      </w:r>
      <w:r w:rsidR="00A73A08" w:rsidRPr="00023C48">
        <w:rPr>
          <w:rFonts w:ascii="Times" w:hAnsi="Times" w:cs="Arial"/>
        </w:rPr>
        <w:t>; and right lateralised</w:t>
      </w:r>
      <w:r w:rsidR="006B2F1C" w:rsidRPr="00023C48">
        <w:rPr>
          <w:rFonts w:ascii="Times" w:hAnsi="Times" w:cs="Arial"/>
        </w:rPr>
        <w:t xml:space="preserve"> modified Posner task </w:t>
      </w:r>
      <w:r w:rsidR="00A73A08" w:rsidRPr="00023C48">
        <w:rPr>
          <w:rFonts w:ascii="Times" w:hAnsi="Times" w:cs="Arial"/>
        </w:rPr>
        <w:t xml:space="preserve">used </w:t>
      </w:r>
      <w:r w:rsidR="006B2F1C" w:rsidRPr="00023C48">
        <w:rPr>
          <w:rFonts w:ascii="Times" w:hAnsi="Times" w:cs="Arial"/>
        </w:rPr>
        <w:t>to assess spatial attention</w:t>
      </w:r>
      <w:r w:rsidR="00A73A08" w:rsidRPr="00023C48">
        <w:rPr>
          <w:rFonts w:ascii="Times" w:hAnsi="Times" w:cs="Arial"/>
        </w:rPr>
        <w:t xml:space="preserve"> </w:t>
      </w:r>
      <w:r w:rsidR="00864313" w:rsidRPr="00023C48">
        <w:rPr>
          <w:rFonts w:ascii="Times" w:hAnsi="Times" w:cs="Arial"/>
        </w:rPr>
        <w:fldChar w:fldCharType="begin" w:fldLock="1"/>
      </w:r>
      <w:r w:rsidR="00BC7BDB">
        <w:rPr>
          <w:rFonts w:ascii="Times" w:hAnsi="Times" w:cs="Arial"/>
        </w:rPr>
        <w:instrText>ADDIN CSL_CITATION { "citationItems" : [ { "id" : "ITEM-1", "itemData" : { "DOI" : "10.1038/nrn755", "ISSN" : "1471-003X", "abstract" : "We review evidence for partially segregated networks of brain areas that carry out different attentional functions. One system, which includes parts of the intraparietal cortex and superior frontal cortex, is involved in preparing and applying goal-directed (top-down) selection for stimuli and responses. This system is also modulated by the detection of stimuli. The other system, which includes the temporoparietal cortex and inferior frontal cortex, and is largely lateralized to the right hemisphere, is not involved in top-down selection. Instead, this system is specialized for the detection of behaviourally relevant stimuli, particularly when they are salient or unexpected. This ventral frontoparietal network works as a 'circuit breaker' for the dorsal system, directing attention to salient events. Both attentional systems interact during normal vision, and both are disrupted in unilateral spatial neglect.", "author" : [ { "dropping-particle" : "", "family" : "Corbetta", "given" : "M", "non-dropping-particle" : "", "parse-names" : false, "suffix" : "" }, { "dropping-particle" : "", "family" : "Shulman", "given" : "G L", "non-dropping-particle" : "", "parse-names" : false, "suffix" : "" } ], "container-title" : "Nat Rev Neurosci", "id" : "ITEM-1", "issued" : { "date-parts" : [ [ "2002" ] ] }, "language" : "eng", "page" : "201-215", "title" : "Control of goal-directed and stimulus-driven attention in the brain", "type" : "article-journal", "volume" : "3" }, "uris" : [ "http://www.mendeley.com/documents/?uuid=0e3a1f1b-6900-4ecb-afe8-899992ead1ad" ] }, { "id" : "ITEM-2", "itemData" : { "DOI" : "10.1136/jnnp.2006.094417", "ISBN" : "0022-3050", "ISSN" : "1468-330X", "PMID" : "16772354", "abstract" : "OBJECTIVES: To investigate the characteristics and neuroanatomical correlates of visual neglect after right-sided posterior cerebral artery (PCA) infarction. METHODS: 15 patients with acute PCA strokes were screened for the presence of neglect on a comprehensive battery of cognitive tests. Extra tests of visual perception were also carried out on six patients. To establish which areas were critically associated with neglect, the lesions of patients with and without neglect were compared. RESULTS: Neglect of varying severity was documented in 8 patients. In addition, higher-order visual perception was impaired in 5 of the 6 patients. Neglect was critically associated with damage to an area of white matter in the occipital lobe corresponding to a white matter tract connecting the parahippocampal gyrus with the angular gyrus of the parietal lobe. Lesions of the thalamus or splenium of the corpus callosum did not appear necessary or sufficient to cause neglect, but may mediate its severity in these patients. CONCLUSIONS: PCA stroke can result in visual neglect. Interruption of the white matter fibres connecting the parahippocampal gyrus to the angular gyrus may be important in determining whether a patient will manifest neglect.", "author" : [ { "dropping-particle" : "", "family" : "Bird", "given" : "C M", "non-dropping-particle" : "", "parse-names" : false, "suffix" : "" }, { "dropping-particle" : "", "family" : "Malhotra", "given" : "P", "non-dropping-particle" : "", "parse-names" : false, "suffix" : "" }, { "dropping-particle" : "", "family" : "Parton", "given" : "a", "non-dropping-particle" : "", "parse-names" : false, "suffix" : "" }, { "dropping-particle" : "", "family" : "Coulthard", "given" : "E", "non-dropping-particle" : "", "parse-names" : false, "suffix" : "" }, { "dropping-particle" : "", "family" : "Rushworth", "given" : "M F S", "non-dropping-particle" : "", "parse-names" : false, "suffix" : "" }, { "dropping-particle" : "", "family" : "Husain", "given" : "M", "non-dropping-particle" : "", "parse-names" : false, "suffix" : "" } ], "container-title" : "Journal of neurology, neurosurgery, and psychiatry", "id" : "ITEM-2", "issued" : { "date-parts" : [ [ "2006" ] ] }, "page" : "1008-1012", "title" : "Visual neglect after right posterior cerebral artery infarction.", "type" : "article-journal", "volume" : "77" }, "uris" : [ "http://www.mendeley.com/documents/?uuid=dd62edc1-5cb9-4138-ae31-7db16fc7f838" ] }, { "id" : "ITEM-3", "itemData" : { "DOI" : "10.1093/brain/awn350", "ISBN" : "1460-2156 (Electronic)\\n1460-2156 (Linking)", "ISSN" : "00068950", "PMID" : "19158107", "abstract" : "Recent models of human posterior parietal cortex (PPC) have variously emphasized its role in spatial perception, visuomotor control or directing attention. However, neuroimaging and lesion studies also suggest that the right PPC might play a special role in maintaining an alert state. Previously, assessments of right-hemisphere patients with hemispatial neglect have revealed significant overall deficits on vigilance tasks, but to date there has been no demonstration of a deterioration of performance over time--a vigilance decrement--considered by some to be a key index of a deficit in maintaining attention. Moreover, sustained attention deficits in neglect have not specifically been related to PPC lesions, and it remains unclear whether they interact with spatial impairments in this syndrome. Here we examined the ability of right-hemisphere patients with neglect to maintain attention, comparing them to stroke controls and healthy individuals. We found evidence of an overall deficit in sustaining attention associated with PPC lesions, even for a simple detection task with stimuli presented centrally. In a second experiment, we demonstrated a vigilance decrement in neglect patients specifically only when they were required to maintain attention to spatial locations, but not verbal material. Lesioned voxels in the right PPC spanning a region between the intraparietal sulcus and inferior parietal lobe were significantly associated with this deficit. Finally, we compared performance on a task that required attention to be maintained either to visual patterns or spatial locations, matched for task difficulty. Again, we found a vigilance decrement but only when attention had to be maintained on spatial information. We conclude that sustaining attention to spatial locations is a critical function of the human right PPC which needs to be incorporated into models of normal parietal function as well as those of the clinical syndrome of hemispatial neglect.", "author" : [ { "dropping-particle" : "", "family" : "Malhotra", "given" : "Paresh", "non-dropping-particle" : "", "parse-names" : false, "suffix" : "" }, { "dropping-particle" : "", "family" : "Coulthard", "given" : "Elizabeth J.", "non-dropping-particle" : "", "parse-names" : false, "suffix" : "" }, { "dropping-particle" : "", "family" : "Husain", "given" : "Masud", "non-dropping-particle" : "", "parse-names" : false, "suffix" : "" } ], "container-title" : "Brain", "id" : "ITEM-3", "issued" : { "date-parts" : [ [ "2009" ] ] }, "page" : "645-660", "title" : "Role of right posterior parietal cortex in maintaining attention to spatial locations over time", "type" : "article-journal", "volume" : "132" }, "uris" : [ "http://www.mendeley.com/documents/?uuid=908d3f58-0239-465a-8ae8-a6ce5e959e60" ] } ], "mendeley" : { "formattedCitation" : "(M Corbetta &amp; Shulman 2002; Bird et al. 2006; Malhotra et al. 2009)", "manualFormatting" : "(Corbetta &amp; Shulman 2002; Bird et al. 2006; Malhotra et al. 2009)", "plainTextFormattedCitation" : "(M Corbetta &amp; Shulman 2002; Bird et al. 2006; Malhotra et al. 2009)", "previouslyFormattedCitation" : "(M Corbetta &amp; Shulman 2002; Bird et al. 2006; Malhotra et al. 2009)" }, "properties" : { "noteIndex" : 0 }, "schema" : "https://github.com/citation-style-language/schema/raw/master/csl-citation.json" }</w:instrText>
      </w:r>
      <w:r w:rsidR="00864313" w:rsidRPr="00023C48">
        <w:rPr>
          <w:rFonts w:ascii="Times" w:hAnsi="Times" w:cs="Arial"/>
        </w:rPr>
        <w:fldChar w:fldCharType="separate"/>
      </w:r>
      <w:r w:rsidR="00255F1F" w:rsidRPr="00255F1F">
        <w:rPr>
          <w:rFonts w:ascii="Times" w:hAnsi="Times" w:cs="Arial"/>
          <w:noProof/>
        </w:rPr>
        <w:t>(Corbetta &amp; Shulman 2002; Bird et al. 2006; Malhotra et al. 2009)</w:t>
      </w:r>
      <w:r w:rsidR="00864313" w:rsidRPr="00023C48">
        <w:rPr>
          <w:rFonts w:ascii="Times" w:hAnsi="Times" w:cs="Arial"/>
        </w:rPr>
        <w:fldChar w:fldCharType="end"/>
      </w:r>
      <w:r w:rsidR="00C827CB" w:rsidRPr="00023C48">
        <w:rPr>
          <w:rFonts w:ascii="Times" w:hAnsi="Times" w:cs="Arial"/>
        </w:rPr>
        <w:t>.</w:t>
      </w:r>
      <w:r w:rsidR="00864313" w:rsidRPr="00023C48">
        <w:rPr>
          <w:rFonts w:ascii="Times" w:hAnsi="Times" w:cs="Arial"/>
        </w:rPr>
        <w:t xml:space="preserve"> </w:t>
      </w:r>
      <w:r w:rsidR="00120E37" w:rsidRPr="00023C48">
        <w:rPr>
          <w:rFonts w:ascii="Times" w:hAnsi="Times" w:cs="Arial"/>
        </w:rPr>
        <w:t xml:space="preserve">We predicted that </w:t>
      </w:r>
      <w:r w:rsidR="007160F9" w:rsidRPr="00023C48">
        <w:rPr>
          <w:rFonts w:ascii="Times" w:hAnsi="Times" w:cs="Arial"/>
        </w:rPr>
        <w:t xml:space="preserve">the effect of tDCS </w:t>
      </w:r>
      <w:r w:rsidR="007E47F6" w:rsidRPr="00023C48">
        <w:rPr>
          <w:rFonts w:ascii="Times" w:hAnsi="Times" w:cs="Arial"/>
        </w:rPr>
        <w:t xml:space="preserve">on the task </w:t>
      </w:r>
      <w:r w:rsidR="007160F9" w:rsidRPr="00023C48">
        <w:rPr>
          <w:rFonts w:ascii="Times" w:hAnsi="Times" w:cs="Arial"/>
        </w:rPr>
        <w:t xml:space="preserve">would reflect </w:t>
      </w:r>
      <w:r w:rsidR="00CF4368" w:rsidRPr="00023C48">
        <w:rPr>
          <w:rFonts w:ascii="Times" w:hAnsi="Times" w:cs="Arial"/>
        </w:rPr>
        <w:t xml:space="preserve">its </w:t>
      </w:r>
      <w:r w:rsidR="00E1444F" w:rsidRPr="00023C48">
        <w:rPr>
          <w:rFonts w:ascii="Times" w:hAnsi="Times" w:cs="Arial"/>
        </w:rPr>
        <w:t xml:space="preserve">lateralisation i.e. that </w:t>
      </w:r>
      <w:r w:rsidR="00EA1C27" w:rsidRPr="00023C48">
        <w:rPr>
          <w:rFonts w:ascii="Times" w:hAnsi="Times" w:cs="Arial"/>
        </w:rPr>
        <w:t xml:space="preserve">RA/LC stimulation </w:t>
      </w:r>
      <w:r w:rsidR="00BE41A3" w:rsidRPr="00023C48">
        <w:rPr>
          <w:rFonts w:ascii="Times" w:hAnsi="Times" w:cs="Arial"/>
        </w:rPr>
        <w:t xml:space="preserve">should </w:t>
      </w:r>
      <w:r w:rsidR="00EA1C27" w:rsidRPr="00023C48">
        <w:rPr>
          <w:rFonts w:ascii="Times" w:hAnsi="Times" w:cs="Arial"/>
        </w:rPr>
        <w:t xml:space="preserve">shift the balance of hemispheric activity to the right and </w:t>
      </w:r>
      <w:r w:rsidR="005468AF" w:rsidRPr="00023C48">
        <w:rPr>
          <w:rFonts w:ascii="Times" w:hAnsi="Times" w:cs="Arial"/>
        </w:rPr>
        <w:t xml:space="preserve">improve spatial processing (Posner task) and disrupt </w:t>
      </w:r>
      <w:r w:rsidR="0039554A" w:rsidRPr="00023C48">
        <w:rPr>
          <w:rFonts w:ascii="Times" w:hAnsi="Times" w:cs="Arial"/>
        </w:rPr>
        <w:t>numerical</w:t>
      </w:r>
      <w:r w:rsidR="005468AF" w:rsidRPr="00023C48">
        <w:rPr>
          <w:rFonts w:ascii="Times" w:hAnsi="Times" w:cs="Arial"/>
        </w:rPr>
        <w:t xml:space="preserve"> proce</w:t>
      </w:r>
      <w:r w:rsidR="00E1444F" w:rsidRPr="00023C48">
        <w:rPr>
          <w:rFonts w:ascii="Times" w:hAnsi="Times" w:cs="Arial"/>
        </w:rPr>
        <w:t>ss</w:t>
      </w:r>
      <w:r w:rsidR="00B456E2">
        <w:rPr>
          <w:rFonts w:ascii="Times" w:hAnsi="Times" w:cs="Arial"/>
        </w:rPr>
        <w:t>ing (number comparison task) whilst</w:t>
      </w:r>
      <w:r w:rsidR="00E1444F" w:rsidRPr="00023C48">
        <w:rPr>
          <w:rFonts w:ascii="Times" w:hAnsi="Times" w:cs="Arial"/>
        </w:rPr>
        <w:t xml:space="preserve"> </w:t>
      </w:r>
      <w:r w:rsidR="00EA1C27" w:rsidRPr="00023C48">
        <w:rPr>
          <w:rFonts w:ascii="Times" w:hAnsi="Times" w:cs="Arial"/>
        </w:rPr>
        <w:t xml:space="preserve">RC/LA stimulation </w:t>
      </w:r>
      <w:r w:rsidR="00CA3311" w:rsidRPr="00023C48">
        <w:rPr>
          <w:rFonts w:ascii="Times" w:hAnsi="Times" w:cs="Arial"/>
        </w:rPr>
        <w:t xml:space="preserve">should </w:t>
      </w:r>
      <w:r w:rsidR="0052328D" w:rsidRPr="00023C48">
        <w:rPr>
          <w:rFonts w:ascii="Times" w:hAnsi="Times" w:cs="Arial"/>
        </w:rPr>
        <w:t>shift the balance to the left hemisphere</w:t>
      </w:r>
      <w:r w:rsidR="005468AF" w:rsidRPr="00023C48">
        <w:rPr>
          <w:rFonts w:ascii="Times" w:hAnsi="Times" w:cs="Arial"/>
        </w:rPr>
        <w:t xml:space="preserve"> and </w:t>
      </w:r>
      <w:r w:rsidR="00BC453A" w:rsidRPr="00023C48">
        <w:rPr>
          <w:rFonts w:ascii="Times" w:hAnsi="Times" w:cs="Arial"/>
        </w:rPr>
        <w:t>have the opposite behavioural effect</w:t>
      </w:r>
      <w:r w:rsidR="0039554A" w:rsidRPr="00023C48">
        <w:rPr>
          <w:rFonts w:ascii="Times" w:hAnsi="Times" w:cs="Arial"/>
        </w:rPr>
        <w:t>s</w:t>
      </w:r>
      <w:r w:rsidR="00BC453A" w:rsidRPr="00023C48">
        <w:rPr>
          <w:rFonts w:ascii="Times" w:hAnsi="Times" w:cs="Arial"/>
        </w:rPr>
        <w:t xml:space="preserve">. </w:t>
      </w:r>
      <w:r w:rsidR="0061380B" w:rsidRPr="00023C48">
        <w:rPr>
          <w:rFonts w:ascii="Times" w:hAnsi="Times" w:cs="Arial"/>
        </w:rPr>
        <w:t>We</w:t>
      </w:r>
      <w:r w:rsidR="00E1444F" w:rsidRPr="00023C48">
        <w:rPr>
          <w:rFonts w:ascii="Times" w:hAnsi="Times" w:cs="Arial"/>
        </w:rPr>
        <w:t xml:space="preserve"> also investigated the effect of stimulation on vigilance level and decrement</w:t>
      </w:r>
      <w:r w:rsidR="0061380B" w:rsidRPr="00023C48">
        <w:rPr>
          <w:rFonts w:ascii="Times" w:hAnsi="Times" w:cs="Arial"/>
        </w:rPr>
        <w:t xml:space="preserve"> </w:t>
      </w:r>
      <w:r w:rsidR="00E1444F" w:rsidRPr="00023C48">
        <w:rPr>
          <w:rFonts w:ascii="Times" w:hAnsi="Times" w:cs="Arial"/>
        </w:rPr>
        <w:t>using</w:t>
      </w:r>
      <w:r w:rsidR="0061380B" w:rsidRPr="00023C48">
        <w:rPr>
          <w:rFonts w:ascii="Times" w:hAnsi="Times" w:cs="Arial"/>
        </w:rPr>
        <w:t xml:space="preserve"> the Choice Reaction Task (CRT) and the Rapid Visual Processing task (RVP from the Cantab® battery)</w:t>
      </w:r>
      <w:r w:rsidR="00972EDA">
        <w:rPr>
          <w:rFonts w:ascii="Times" w:hAnsi="Times" w:cs="Arial"/>
        </w:rPr>
        <w:t xml:space="preserve"> </w:t>
      </w:r>
      <w:r w:rsidR="00972EDA">
        <w:rPr>
          <w:rFonts w:ascii="Times" w:hAnsi="Times" w:cs="Arial"/>
        </w:rPr>
        <w:fldChar w:fldCharType="begin" w:fldLock="1"/>
      </w:r>
      <w:r w:rsidR="00244D32">
        <w:rPr>
          <w:rFonts w:ascii="Times" w:hAnsi="Times" w:cs="Arial"/>
        </w:rPr>
        <w:instrText>ADDIN CSL_CITATION { "citationItems" : [ { "id" : "ITEM-1", "itemData" : { "ISSN" : "0033-3158", "abstract" : "This single-blind, placebo controlled study reports on the effects of administering three acute doses of nicotine (0.4, 0.6 and 0.8 mg) subcutaneously to a group of Alzheimer's disease (DAT) patients (n = 22), young adult controls (n = 24), and normal aged controls (n = 24). The study extends our previous findings obtained using smaller groups of subjects. Drug effects were examined on three computerised tests: the first measuring rapid visual information processing, sustained visual attention and reaction time (RVIP task); a delayed response matching to location-order task measuring sustained visual attention and visual short-term memory (DRMLO task); and a finger tapping test measuring simple reaction time (FT task). The critical flicker fusion test (CFF) was used as a measure of perception and the WAIS digit span forwards (DS), of auditory short-term memory. Tests were graded in difficulty, titrated to avoid floor and ceiling effects so that meaningful, direct comparisons between groups could be made. Nicotine significantly improved sustained visual attention (in both RVIP and DRMLO tasks), reaction time (in both FT and RVIP tasks), and perception (CFF task--both ascending and descending thresholds). Nicotine administration did not improve auditory and visual short-term memory. There were no consistent, overall patterns of difference in performance between smokers and non-smokers in the control groups, or between males and females in any group. Despite the absence of change in memory functioning, these results demonstrate that DAT patients have significant perceptual and visual attentional deficits which are improved by nicotine administration.(ABSTRACT TRUNCATED AT 250 WORDS)", "author" : [ { "dropping-particle" : "", "family" : "Jones", "given" : "G M", "non-dropping-particle" : "", "parse-names" : false, "suffix" : "" }, { "dropping-particle" : "", "family" : "Sahakian", "given" : "B J", "non-dropping-particle" : "", "parse-names" : false, "suffix" : "" }, { "dropping-particle" : "", "family" : "Levy", "given" : "R", "non-dropping-particle" : "", "parse-names" : false, "suffix" : "" }, { "dropping-particle" : "", "family" : "Warburton", "given" : "D M", "non-dropping-particle" : "", "parse-names" : false, "suffix" : "" }, { "dropping-particle" : "", "family" : "Gray", "given" : "J A", "non-dropping-particle" : "", "parse-names" : false, "suffix" : "" } ], "container-title" : "Psychopharmacology (Berl)", "id" : "ITEM-1", "issued" : { "date-parts" : [ [ "1992" ] ] }, "language" : "eng", "page" : "485-494", "title" : "Effects of acute subcutaneous nicotine on attention, information processing and short-term memory in Alzheimer's disease", "type" : "article-journal", "volume" : "108" }, "uris" : [ "http://www.mendeley.com/documents/?uuid=ae9aa268-4db5-464d-8e6a-fcbf2036bb79" ] }, { "id" : "ITEM-2", "itemData" : { "author" : [ { "dropping-particle" : "", "family" : "Posner", "given" : "Michael I", "non-dropping-particle" : "", "parse-names" : false, "suffix" : "" }, { "dropping-particle" : "", "family" : "Nissen", "given" : "Mary Jo", "non-dropping-particle" : "", "parse-names" : false, "suffix" : "" }, { "dropping-particle" : "", "family" : "Ogden", "given" : "William C", "non-dropping-particle" : "", "parse-names" : false, "suffix" : "" } ], "container-title" : "Modes of Perceiving and Processing Information", "editor" : [ { "dropping-particle" : "", "family" : "Saltzman", "given" : "Elliot", "non-dropping-particle" : "", "parse-names" : false, "suffix" : "" }, { "dropping-particle" : "", "family" : "Pick Jr.", "given" : "Herbert L", "non-dropping-particle" : "", "parse-names" : false, "suffix" : "" } ], "id" : "ITEM-2", "issued" : { "date-parts" : [ [ "1978" ] ] }, "page" : "137-156", "publisher" : "Lawrence Erlbaum Associates", "publisher-place" : "Hillsdale, New Jersey", "title" : "Attended and Unattended Processing Modes : The Role of Set for Spatial Location", "type" : "chapter" }, "uris" : [ "http://www.mendeley.com/documents/?uuid=ce684814-6a46-4f0d-9536-a50e15d64f93" ] }, { "id" : "ITEM-3", "itemData" : { "author" : [ { "dropping-particle" : "", "family" : "Posner", "given" : "Michael I", "non-dropping-particle" : "", "parse-names" : false, "suffix" : "" }, { "dropping-particle" : "", "family" : "Snyder", "given" : "Charles R R", "non-dropping-particle" : "", "parse-names" : false, "suffix" : "" }, { "dropping-particle" : "", "family" : "Davidson", "given" : "Brian J", "non-dropping-particle" : "", "parse-names" : false, "suffix" : "" } ], "id" : "ITEM-3", "issue" : "2", "issued" : { "date-parts" : [ [ "1980" ] ] }, "page" : "160-174", "title" : "Attention and the Detection of Signals", "type" : "article-journal", "volume" : "109" }, "uris" : [ "http://www.mendeley.com/documents/?uuid=c809987b-f380-4b36-844a-db7677de588d" ] }, { "id" : "ITEM-4", "itemData" : { "abstract" : "In recent years, three attentional networks have been defined in anatomical and functional terms. These functions involve alerting, orienting, and executive attention. Reaction time measures can be used to quantify the processing efficiency within each of these three networks. The Attention Network Test (ANT) is designed to evaluate alerting, orienting, and executive attention within a single 30-min testing session that can be easily performed by children, patients, and monkeys. A study with 40 normal adult subjects indicates that the ANT produces reliable single subject estimates of alerting, orienting, and executive function, and further suggests that the efficiencies of these three networks are uncorrelated. There are, however, some interactions in which alerting and orienting can modulate the degree of interference from flankers. This procedure may prove to be convenient and useful in evaluating attentional abnormalities associated with cases of brain injury, stroke, schizophrenia, and attention-deficit disorder. The ANT may also serve as an activation task for neuroimaging studies and as a phenotype for the study of the influence of genes on attentional networks.", "author" : [ { "dropping-particle" : "", "family" : "Fan", "given" : "Jin", "non-dropping-particle" : "", "parse-names" : false, "suffix" : "" }, { "dropping-particle" : "", "family" : "McCandliss", "given" : "Bruce D", "non-dropping-particle" : "", "parse-names" : false, "suffix" : "" }, { "dropping-particle" : "", "family" : "Sommer", "given" : "Tobias", "non-dropping-particle" : "", "parse-names" : false, "suffix" : "" }, { "dropping-particle" : "", "family" : "Raz", "given" : "Amir", "non-dropping-particle" : "", "parse-names" : false, "suffix" : "" }, { "dropping-particle" : "", "family" : "Posner", "given" : "Michael I", "non-dropping-particle" : "", "parse-names" : false, "suffix" : "" } ], "container-title" : "Journal of cognitive neuroscience", "id" : "ITEM-4", "issue" : "3", "issued" : { "date-parts" : [ [ "2002" ] ] }, "page" : "340-347", "title" : "Testing the efficiency and independence of attentional networks.", "type" : "article-journal", "volume" : "14" }, "uris" : [ "http://www.mendeley.com/documents/?uuid=bba20a74-cc40-4abf-be87-42cb5d978642" ] }, { "id" : "ITEM-5", "itemData" : { "DOI" : "10.1017/S0033291713000640", "ISSN" : "1469-8978", "abstract" : "Deficits in sustained attention and reaction time are core features of attention deficit hyperactivity disorder (ADHD). However, little is known about attention performance in unaffected siblings. Hence, we examined sustained attention and reaction time in youths with ADHD, unaffected siblings and controls to test whether impaired performance in attention tasks can be a potential endophenotype of ADHD.|We recruited 438 probands with clinical diagnosis of ADHD according to DSM-IV criteria, 180 unaffected siblings, and 173 healthy controls without lifetime ADHD. They were assessed using psychiatric interviews, Conners' Continuous Performance Test, and the tasks involving attention performance of the Cambridge Neuropsychological Test Automated Battery (CANTAB): Rapid Visual Information Processing (RVP), Reaction Time (RTI) and Match to Sample Visual Search (MTS). Multi-level models were used for data analysis.|Compared with the controls, probands with ADHD and unaffected siblings had significantly higher total misses, lower probability of hits in the RVP task and probands with ADHD performed worse in the RTI and MTS tasks after controlling for sex, age, co-morbidity, parental educational levels and IQ. The duration of methylphenidate use and IQ but not psychiatric co-morbidity or current use of methylphenidate were associated with deficits in sustained attention in probands with ADHD.|Our findings suggest that attention performance assessed by the RVP task, but not the RTI or MTS tasks, of the CANTAB may be a useful cognitive endophenotype for ADHD genetic studies.", "author" : [ { "dropping-particle" : "", "family" : "Gau", "given" : "S S", "non-dropping-particle" : "", "parse-names" : false, "suffix" : "" }, { "dropping-particle" : "", "family" : "Huang", "given" : "W L", "non-dropping-particle" : "", "parse-names" : false, "suffix" : "" } ], "container-title" : "Psychol Med", "id" : "ITEM-5", "issued" : { "date-parts" : [ [ "2014" ] ] }, "language" : "eng", "page" : "435-446", "title" : "Rapid visual information processing as a cognitive endophenotype of attention deficit hyperactivity disorder", "type" : "article-journal", "volume" : "44" }, "uris" : [ "http://www.mendeley.com/documents/?uuid=5507ea40-cfed-4d2c-a50d-61c9e1c77141" ] } ], "mendeley" : { "formattedCitation" : "(Jones et al. 1992; Posner et al. 1978; Posner et al. 1980; Jin Fan et al. 2002; S. S. Gau &amp; Huang 2014)", "manualFormatting" : "(Jones et al. 1992; Posner et al. 1978; Posner et al. 1980; Fan et al. 2002; Gau &amp; Huang 2014)", "plainTextFormattedCitation" : "(Jones et al. 1992; Posner et al. 1978; Posner et al. 1980; Jin Fan et al. 2002; S. S. Gau &amp; Huang 2014)", "previouslyFormattedCitation" : "(Jones et al. 1992; Posner et al. 1978; Posner et al. 1980; Jin Fan et al. 2002; S. S. Gau &amp; Huang 2014)" }, "properties" : { "noteIndex" : 0 }, "schema" : "https://github.com/citation-style-language/schema/raw/master/csl-citation.json" }</w:instrText>
      </w:r>
      <w:r w:rsidR="00972EDA">
        <w:rPr>
          <w:rFonts w:ascii="Times" w:hAnsi="Times" w:cs="Arial"/>
        </w:rPr>
        <w:fldChar w:fldCharType="separate"/>
      </w:r>
      <w:r w:rsidR="00972EDA" w:rsidRPr="00972EDA">
        <w:rPr>
          <w:rFonts w:ascii="Times" w:hAnsi="Times" w:cs="Arial"/>
          <w:noProof/>
        </w:rPr>
        <w:t>(Jones et al. 1992; Posner et al</w:t>
      </w:r>
      <w:r w:rsidR="002278B2">
        <w:rPr>
          <w:rFonts w:ascii="Times" w:hAnsi="Times" w:cs="Arial"/>
          <w:noProof/>
        </w:rPr>
        <w:t xml:space="preserve">. 1978; Posner et al. 1980; </w:t>
      </w:r>
      <w:r w:rsidR="00972EDA" w:rsidRPr="00972EDA">
        <w:rPr>
          <w:rFonts w:ascii="Times" w:hAnsi="Times" w:cs="Arial"/>
          <w:noProof/>
        </w:rPr>
        <w:t>Fan et al. 2002; Gau &amp; Huang 2014)</w:t>
      </w:r>
      <w:r w:rsidR="00972EDA">
        <w:rPr>
          <w:rFonts w:ascii="Times" w:hAnsi="Times" w:cs="Arial"/>
        </w:rPr>
        <w:fldChar w:fldCharType="end"/>
      </w:r>
      <w:r w:rsidR="001D1F96" w:rsidRPr="00023C48">
        <w:rPr>
          <w:rFonts w:ascii="Times" w:hAnsi="Times" w:cs="Arial"/>
        </w:rPr>
        <w:t>.</w:t>
      </w:r>
      <w:r w:rsidR="0058277B" w:rsidRPr="00023C48">
        <w:rPr>
          <w:rFonts w:ascii="Times" w:hAnsi="Times" w:cs="Arial"/>
        </w:rPr>
        <w:t xml:space="preserve"> </w:t>
      </w:r>
      <w:r w:rsidR="008B76A3" w:rsidRPr="00023C48">
        <w:rPr>
          <w:rFonts w:ascii="Times" w:hAnsi="Times" w:cs="Arial"/>
        </w:rPr>
        <w:t>This allowed us to</w:t>
      </w:r>
      <w:r w:rsidR="0058277B" w:rsidRPr="00023C48">
        <w:rPr>
          <w:rFonts w:ascii="Times" w:hAnsi="Times" w:cs="Arial"/>
        </w:rPr>
        <w:t xml:space="preserve"> </w:t>
      </w:r>
      <w:r w:rsidR="0093113C" w:rsidRPr="00023C48">
        <w:rPr>
          <w:rFonts w:ascii="Times" w:hAnsi="Times" w:cs="Arial"/>
        </w:rPr>
        <w:t xml:space="preserve">test whether any </w:t>
      </w:r>
      <w:r w:rsidR="00F123C6" w:rsidRPr="00023C48">
        <w:rPr>
          <w:rFonts w:ascii="Times" w:hAnsi="Times" w:cs="Arial"/>
        </w:rPr>
        <w:t xml:space="preserve">observed </w:t>
      </w:r>
      <w:r w:rsidR="0093113C" w:rsidRPr="00023C48">
        <w:rPr>
          <w:rFonts w:ascii="Times" w:hAnsi="Times" w:cs="Arial"/>
        </w:rPr>
        <w:t xml:space="preserve">effects of stimulation on spatial or numerical processing </w:t>
      </w:r>
      <w:r w:rsidR="008B76A3" w:rsidRPr="00023C48">
        <w:rPr>
          <w:rFonts w:ascii="Times" w:hAnsi="Times" w:cs="Arial"/>
        </w:rPr>
        <w:t>might be</w:t>
      </w:r>
      <w:r w:rsidR="00F123C6" w:rsidRPr="00023C48">
        <w:rPr>
          <w:rFonts w:ascii="Times" w:hAnsi="Times" w:cs="Arial"/>
        </w:rPr>
        <w:t xml:space="preserve"> mediated through </w:t>
      </w:r>
      <w:r w:rsidR="008B76A3" w:rsidRPr="00023C48">
        <w:rPr>
          <w:rFonts w:ascii="Times" w:hAnsi="Times" w:cs="Arial"/>
        </w:rPr>
        <w:t>a non-specific effect</w:t>
      </w:r>
      <w:r w:rsidR="00F123C6" w:rsidRPr="00023C48">
        <w:rPr>
          <w:rFonts w:ascii="Times" w:hAnsi="Times" w:cs="Arial"/>
        </w:rPr>
        <w:t xml:space="preserve"> on sustained attention.</w:t>
      </w:r>
    </w:p>
    <w:p w14:paraId="658FE07A" w14:textId="77777777" w:rsidR="005A599C" w:rsidRPr="00023C48" w:rsidRDefault="005A599C" w:rsidP="005374CB">
      <w:pPr>
        <w:spacing w:line="480" w:lineRule="auto"/>
        <w:jc w:val="both"/>
        <w:rPr>
          <w:rFonts w:ascii="Times" w:hAnsi="Times"/>
        </w:rPr>
      </w:pPr>
    </w:p>
    <w:p w14:paraId="6B70A863" w14:textId="5E8524F6" w:rsidR="00524588" w:rsidRPr="00023C48" w:rsidRDefault="00524588" w:rsidP="005374CB">
      <w:pPr>
        <w:spacing w:line="480" w:lineRule="auto"/>
        <w:jc w:val="both"/>
        <w:rPr>
          <w:rFonts w:ascii="Times" w:hAnsi="Times" w:cs="Arial"/>
        </w:rPr>
      </w:pPr>
      <w:r w:rsidRPr="00023C48">
        <w:rPr>
          <w:rFonts w:ascii="Times" w:hAnsi="Times" w:cs="Arial"/>
          <w:b/>
        </w:rPr>
        <w:t>M</w:t>
      </w:r>
      <w:r w:rsidR="002E3E67" w:rsidRPr="00023C48">
        <w:rPr>
          <w:rFonts w:ascii="Times" w:hAnsi="Times" w:cs="Arial"/>
          <w:b/>
        </w:rPr>
        <w:t>ATERIALS AND METHODS</w:t>
      </w:r>
    </w:p>
    <w:p w14:paraId="5BF8D134" w14:textId="77777777" w:rsidR="00524588" w:rsidRPr="00023C48" w:rsidRDefault="00524588" w:rsidP="005374CB">
      <w:pPr>
        <w:spacing w:line="480" w:lineRule="auto"/>
        <w:jc w:val="both"/>
        <w:rPr>
          <w:rFonts w:ascii="Times" w:hAnsi="Times" w:cs="Arial"/>
        </w:rPr>
      </w:pPr>
      <w:r w:rsidRPr="00023C48">
        <w:rPr>
          <w:rFonts w:ascii="Times" w:hAnsi="Times" w:cs="Arial"/>
          <w:i/>
        </w:rPr>
        <w:t>Participants</w:t>
      </w:r>
    </w:p>
    <w:p w14:paraId="737E9FD0" w14:textId="2B22AF32" w:rsidR="00524588" w:rsidRPr="00023C48" w:rsidRDefault="00524588" w:rsidP="005374CB">
      <w:pPr>
        <w:spacing w:line="480" w:lineRule="auto"/>
        <w:jc w:val="both"/>
        <w:rPr>
          <w:rFonts w:ascii="Times" w:hAnsi="Times" w:cs="Arial"/>
        </w:rPr>
      </w:pPr>
      <w:r w:rsidRPr="00023C48">
        <w:rPr>
          <w:rFonts w:ascii="Times" w:hAnsi="Times" w:cs="Arial"/>
        </w:rPr>
        <w:t>Eighteen healthy controls (9 male, 9 female)</w:t>
      </w:r>
      <w:r w:rsidR="001E321E" w:rsidRPr="00023C48">
        <w:rPr>
          <w:rFonts w:ascii="Times" w:hAnsi="Times" w:cs="Arial"/>
        </w:rPr>
        <w:t xml:space="preserve"> were rec</w:t>
      </w:r>
      <w:r w:rsidR="00521EFB" w:rsidRPr="00023C48">
        <w:rPr>
          <w:rFonts w:ascii="Times" w:hAnsi="Times" w:cs="Arial"/>
        </w:rPr>
        <w:t>r</w:t>
      </w:r>
      <w:r w:rsidR="001E321E" w:rsidRPr="00023C48">
        <w:rPr>
          <w:rFonts w:ascii="Times" w:hAnsi="Times" w:cs="Arial"/>
        </w:rPr>
        <w:t>uited</w:t>
      </w:r>
      <w:r w:rsidRPr="00023C48">
        <w:rPr>
          <w:rFonts w:ascii="Times" w:hAnsi="Times" w:cs="Arial"/>
        </w:rPr>
        <w:t xml:space="preserve"> (age 20-42 years, IQR 21-28 years). All but one of the participants were naïve to tDCS. All participants were right-handed according to the Edinburgh Handedness Inventory scale </w:t>
      </w:r>
      <w:r w:rsidRPr="00023C48">
        <w:rPr>
          <w:rFonts w:ascii="Times" w:hAnsi="Times" w:cs="Arial"/>
        </w:rPr>
        <w:fldChar w:fldCharType="begin" w:fldLock="1"/>
      </w:r>
      <w:r w:rsidR="00B260BF">
        <w:rPr>
          <w:rFonts w:ascii="Times" w:hAnsi="Times" w:cs="Arial"/>
        </w:rPr>
        <w:instrText>ADDIN CSL_CITATION { "citationItems" : [ { "id" : "ITEM-1", "itemData" : { "ISSN" : "0028-3932", "author" : [ { "dropping-particle" : "", "family" : "Oldfield", "given" : "R C", "non-dropping-particle" : "", "parse-names" : false, "suffix" : "" } ], "container-title" : "Neuropsychologia", "id" : "ITEM-1", "issued" : { "date-parts" : [ [ "1971" ] ] }, "language" : "eng", "page" : "97-113", "title" : "The assessment and analysis of handedness: the Edinburgh inventory", "type" : "article-journal", "volume" : "9" }, "uris" : [ "http://www.mendeley.com/documents/?uuid=501ebb15-c929-4f39-ba46-d996a87ee9c6" ] } ], "mendeley" : { "formattedCitation" : "(Oldfield 1971)", "plainTextFormattedCitation" : "(Oldfield 1971)", "previouslyFormattedCitation" : "(Oldfield 1971)" }, "properties" : { "noteIndex" : 0 }, "schema" : "https://github.com/citation-style-language/schema/raw/master/csl-citation.json" }</w:instrText>
      </w:r>
      <w:r w:rsidRPr="00023C48">
        <w:rPr>
          <w:rFonts w:ascii="Times" w:hAnsi="Times" w:cs="Arial"/>
        </w:rPr>
        <w:fldChar w:fldCharType="separate"/>
      </w:r>
      <w:r w:rsidR="00255F1F" w:rsidRPr="00255F1F">
        <w:rPr>
          <w:rFonts w:ascii="Times" w:hAnsi="Times" w:cs="Arial"/>
          <w:noProof/>
        </w:rPr>
        <w:t>(Oldfield 1971)</w:t>
      </w:r>
      <w:r w:rsidRPr="00023C48">
        <w:rPr>
          <w:rFonts w:ascii="Times" w:hAnsi="Times" w:cs="Arial"/>
        </w:rPr>
        <w:fldChar w:fldCharType="end"/>
      </w:r>
      <w:r w:rsidRPr="00023C48">
        <w:rPr>
          <w:rFonts w:ascii="Times" w:hAnsi="Times" w:cs="Arial"/>
        </w:rPr>
        <w:t xml:space="preserve">, educated to degree level or above, </w:t>
      </w:r>
      <w:r w:rsidR="00CC60AD" w:rsidRPr="00023C48">
        <w:rPr>
          <w:rFonts w:ascii="Times" w:hAnsi="Times" w:cs="Arial"/>
        </w:rPr>
        <w:t xml:space="preserve">with </w:t>
      </w:r>
      <w:r w:rsidRPr="00023C48">
        <w:rPr>
          <w:rFonts w:ascii="Times" w:hAnsi="Times" w:cs="Arial"/>
        </w:rPr>
        <w:t xml:space="preserve">no history of neurological or psychiatric illness. Participants gave written informed consent. </w:t>
      </w:r>
      <w:r w:rsidR="00582874">
        <w:rPr>
          <w:rFonts w:ascii="Times" w:hAnsi="Times" w:cs="Arial"/>
        </w:rPr>
        <w:t xml:space="preserve">The study conforms </w:t>
      </w:r>
      <w:r w:rsidR="00185D68">
        <w:rPr>
          <w:rFonts w:ascii="Times" w:hAnsi="Times" w:cs="Arial"/>
        </w:rPr>
        <w:t xml:space="preserve">to </w:t>
      </w:r>
      <w:r w:rsidR="00582874">
        <w:rPr>
          <w:rFonts w:ascii="Times" w:hAnsi="Times" w:cs="Arial"/>
        </w:rPr>
        <w:t>the Declaration of Helsinki</w:t>
      </w:r>
      <w:r w:rsidR="00BD67D8">
        <w:rPr>
          <w:rFonts w:ascii="Times" w:hAnsi="Times" w:cs="Arial"/>
        </w:rPr>
        <w:t xml:space="preserve"> </w:t>
      </w:r>
      <w:r w:rsidR="00A72140">
        <w:rPr>
          <w:rFonts w:ascii="Times" w:hAnsi="Times" w:cs="Arial"/>
        </w:rPr>
        <w:fldChar w:fldCharType="begin" w:fldLock="1"/>
      </w:r>
      <w:r w:rsidR="00B260BF">
        <w:rPr>
          <w:rFonts w:ascii="Times" w:hAnsi="Times" w:cs="Arial"/>
        </w:rPr>
        <w:instrText>ADDIN CSL_CITATION { "citationItems" : [ { "id" : "ITEM-1", "itemData" : { "DOI" : "10.1001/jama.2013.281053", "ISBN" : "1145-0762 (Print)\\r1145-0762 (Linking)", "ISSN" : "11450762", "PMID" : "15835069", "author" : [ { "dropping-particle" : "", "family" : "World Medical Association", "given" : "", "non-dropping-particle" : "", "parse-names" : false, "suffix" : "" } ], "container-title" : "JAMA", "id" : "ITEM-1", "issue" : "1", "issued" : { "date-parts" : [ [ "2004" ] ] }, "page" : "124-129", "title" : "World Medical Association Declaration of Helsinki: ethical principles for medical research involving human subjects.", "type" : "article-journal", "volume" : "15" }, "uris" : [ "http://www.mendeley.com/documents/?uuid=28c98529-124d-4814-9bc1-68d8b3db1ef1" ] } ], "mendeley" : { "formattedCitation" : "(World Medical Association 2004)", "plainTextFormattedCitation" : "(World Medical Association 2004)", "previouslyFormattedCitation" : "(World Medical Association 2004)" }, "properties" : { "noteIndex" : 0 }, "schema" : "https://github.com/citation-style-language/schema/raw/master/csl-citation.json" }</w:instrText>
      </w:r>
      <w:r w:rsidR="00A72140">
        <w:rPr>
          <w:rFonts w:ascii="Times" w:hAnsi="Times" w:cs="Arial"/>
        </w:rPr>
        <w:fldChar w:fldCharType="separate"/>
      </w:r>
      <w:r w:rsidR="00255F1F" w:rsidRPr="00255F1F">
        <w:rPr>
          <w:rFonts w:ascii="Times" w:hAnsi="Times" w:cs="Arial"/>
          <w:noProof/>
        </w:rPr>
        <w:t>(World Medical Association 2004)</w:t>
      </w:r>
      <w:r w:rsidR="00A72140">
        <w:rPr>
          <w:rFonts w:ascii="Times" w:hAnsi="Times" w:cs="Arial"/>
        </w:rPr>
        <w:fldChar w:fldCharType="end"/>
      </w:r>
      <w:r w:rsidR="00582874">
        <w:rPr>
          <w:rFonts w:ascii="Times" w:hAnsi="Times" w:cs="Arial"/>
        </w:rPr>
        <w:t xml:space="preserve">. </w:t>
      </w:r>
      <w:r w:rsidRPr="00023C48">
        <w:rPr>
          <w:rFonts w:ascii="Times" w:hAnsi="Times" w:cs="Arial"/>
        </w:rPr>
        <w:t>Ethical approval for the study was granted through the local ethics board (NRES Committee London – West London &amp; GTAC).</w:t>
      </w:r>
    </w:p>
    <w:p w14:paraId="5BC5EC4A" w14:textId="77777777" w:rsidR="00524588" w:rsidRPr="00023C48" w:rsidRDefault="00524588" w:rsidP="005374CB">
      <w:pPr>
        <w:spacing w:line="480" w:lineRule="auto"/>
        <w:jc w:val="both"/>
        <w:rPr>
          <w:rFonts w:ascii="Times" w:hAnsi="Times" w:cs="Arial"/>
        </w:rPr>
      </w:pPr>
    </w:p>
    <w:p w14:paraId="5306CB4B" w14:textId="7612DD03" w:rsidR="00524588" w:rsidRPr="00023C48" w:rsidRDefault="00524588" w:rsidP="005374CB">
      <w:pPr>
        <w:spacing w:line="480" w:lineRule="auto"/>
        <w:jc w:val="both"/>
        <w:rPr>
          <w:rFonts w:ascii="Times" w:hAnsi="Times" w:cs="Arial"/>
        </w:rPr>
      </w:pPr>
      <w:r w:rsidRPr="00023C48">
        <w:rPr>
          <w:rFonts w:ascii="Times" w:hAnsi="Times" w:cs="Arial"/>
          <w:i/>
        </w:rPr>
        <w:t>Transcranial direct current stimulation and testing protocol</w:t>
      </w:r>
    </w:p>
    <w:p w14:paraId="7659F5F0" w14:textId="00605008" w:rsidR="00524588" w:rsidRDefault="00524588" w:rsidP="005374CB">
      <w:pPr>
        <w:spacing w:line="480" w:lineRule="auto"/>
        <w:jc w:val="both"/>
        <w:rPr>
          <w:rFonts w:ascii="Times" w:hAnsi="Times" w:cs="Arial"/>
        </w:rPr>
      </w:pPr>
      <w:r w:rsidRPr="00023C48">
        <w:rPr>
          <w:rFonts w:ascii="Times" w:hAnsi="Times" w:cs="Arial"/>
        </w:rPr>
        <w:t xml:space="preserve">Each participant attended 4 </w:t>
      </w:r>
      <w:r w:rsidR="00B77A8D" w:rsidRPr="00023C48">
        <w:rPr>
          <w:rFonts w:ascii="Times" w:hAnsi="Times" w:cs="Arial"/>
        </w:rPr>
        <w:t xml:space="preserve">testing </w:t>
      </w:r>
      <w:r w:rsidRPr="00023C48">
        <w:rPr>
          <w:rFonts w:ascii="Times" w:hAnsi="Times" w:cs="Arial"/>
        </w:rPr>
        <w:t>sessions</w:t>
      </w:r>
      <w:r w:rsidR="00D149EE">
        <w:rPr>
          <w:rFonts w:ascii="Times" w:hAnsi="Times" w:cs="Arial"/>
        </w:rPr>
        <w:t xml:space="preserve"> </w:t>
      </w:r>
      <w:r w:rsidR="00D149EE" w:rsidRPr="002278B2">
        <w:rPr>
          <w:rFonts w:ascii="Times" w:hAnsi="Times" w:cs="Arial"/>
        </w:rPr>
        <w:t>(Figure 1A</w:t>
      </w:r>
      <w:r w:rsidR="00D149EE">
        <w:rPr>
          <w:rFonts w:ascii="Times" w:hAnsi="Times" w:cs="Arial"/>
        </w:rPr>
        <w:t>)</w:t>
      </w:r>
      <w:r w:rsidRPr="00023C48">
        <w:rPr>
          <w:rFonts w:ascii="Times" w:hAnsi="Times" w:cs="Arial"/>
        </w:rPr>
        <w:t xml:space="preserve">. </w:t>
      </w:r>
      <w:r w:rsidR="00B66151" w:rsidRPr="00023C48">
        <w:rPr>
          <w:rFonts w:ascii="Times" w:hAnsi="Times" w:cs="Arial"/>
        </w:rPr>
        <w:t xml:space="preserve">In the first session, participants practised each task to minimise </w:t>
      </w:r>
      <w:r w:rsidR="002901BF" w:rsidRPr="00023C48">
        <w:rPr>
          <w:rFonts w:ascii="Times" w:hAnsi="Times" w:cs="Arial"/>
        </w:rPr>
        <w:t>learning effects during</w:t>
      </w:r>
      <w:r w:rsidRPr="00023C48">
        <w:rPr>
          <w:rFonts w:ascii="Times" w:hAnsi="Times" w:cs="Arial"/>
        </w:rPr>
        <w:t xml:space="preserve"> subsequent sessions. </w:t>
      </w:r>
      <w:r w:rsidR="00DB4FA2" w:rsidRPr="00023C48">
        <w:rPr>
          <w:rFonts w:ascii="Times" w:hAnsi="Times" w:cs="Arial"/>
        </w:rPr>
        <w:t xml:space="preserve">During the next 3 sessions </w:t>
      </w:r>
      <w:r w:rsidR="003B2192" w:rsidRPr="00023C48">
        <w:rPr>
          <w:rFonts w:ascii="Times" w:hAnsi="Times" w:cs="Arial"/>
        </w:rPr>
        <w:t>p</w:t>
      </w:r>
      <w:r w:rsidR="0075535D" w:rsidRPr="00023C48">
        <w:rPr>
          <w:rFonts w:ascii="Times" w:hAnsi="Times" w:cs="Arial"/>
        </w:rPr>
        <w:t xml:space="preserve">articipants received </w:t>
      </w:r>
      <w:r w:rsidRPr="00023C48">
        <w:rPr>
          <w:rFonts w:ascii="Times" w:hAnsi="Times" w:cs="Arial"/>
        </w:rPr>
        <w:t>30mins of tDCS or sham stimulation</w:t>
      </w:r>
      <w:r w:rsidR="00D17E0F" w:rsidRPr="00023C48">
        <w:rPr>
          <w:rFonts w:ascii="Times" w:hAnsi="Times" w:cs="Arial"/>
        </w:rPr>
        <w:t>, separated by a minimum</w:t>
      </w:r>
      <w:r w:rsidR="004A2C5C" w:rsidRPr="00023C48">
        <w:rPr>
          <w:rFonts w:ascii="Times" w:hAnsi="Times" w:cs="Arial"/>
        </w:rPr>
        <w:t xml:space="preserve"> of a</w:t>
      </w:r>
      <w:r w:rsidR="00D17E0F" w:rsidRPr="00023C48">
        <w:rPr>
          <w:rFonts w:ascii="Times" w:hAnsi="Times" w:cs="Arial"/>
        </w:rPr>
        <w:t xml:space="preserve"> 48-hour gap</w:t>
      </w:r>
      <w:r w:rsidRPr="00023C48">
        <w:rPr>
          <w:rFonts w:ascii="Times" w:hAnsi="Times" w:cs="Arial"/>
        </w:rPr>
        <w:t xml:space="preserve">. Each </w:t>
      </w:r>
      <w:r w:rsidR="007226B1" w:rsidRPr="00023C48">
        <w:rPr>
          <w:rFonts w:ascii="Times" w:hAnsi="Times" w:cs="Arial"/>
        </w:rPr>
        <w:t>participant</w:t>
      </w:r>
      <w:r w:rsidRPr="00023C48">
        <w:rPr>
          <w:rFonts w:ascii="Times" w:hAnsi="Times" w:cs="Arial"/>
        </w:rPr>
        <w:t xml:space="preserve"> had sessions at </w:t>
      </w:r>
      <w:r w:rsidR="00F401AD" w:rsidRPr="00023C48">
        <w:rPr>
          <w:rFonts w:ascii="Times" w:hAnsi="Times" w:cs="Arial"/>
        </w:rPr>
        <w:t>a similar time</w:t>
      </w:r>
      <w:r w:rsidR="00861EAB" w:rsidRPr="00023C48">
        <w:rPr>
          <w:rFonts w:ascii="Times" w:hAnsi="Times" w:cs="Arial"/>
        </w:rPr>
        <w:t xml:space="preserve"> of day </w:t>
      </w:r>
      <w:r w:rsidRPr="00023C48">
        <w:rPr>
          <w:rFonts w:ascii="Times" w:hAnsi="Times" w:cs="Arial"/>
        </w:rPr>
        <w:t>(</w:t>
      </w:r>
      <w:r w:rsidR="00E535E7" w:rsidRPr="00023C48">
        <w:rPr>
          <w:rFonts w:ascii="Times" w:hAnsi="Times" w:cs="Arial"/>
        </w:rPr>
        <w:t xml:space="preserve">i.e. morning or </w:t>
      </w:r>
      <w:r w:rsidRPr="00023C48">
        <w:rPr>
          <w:rFonts w:ascii="Times" w:hAnsi="Times" w:cs="Arial"/>
        </w:rPr>
        <w:t xml:space="preserve">afternoon). The order of sessions was pseudorandomised and </w:t>
      </w:r>
      <w:r w:rsidR="00155BFC" w:rsidRPr="00023C48">
        <w:rPr>
          <w:rFonts w:ascii="Times" w:hAnsi="Times" w:cs="Arial"/>
        </w:rPr>
        <w:t xml:space="preserve">counterbalanced across </w:t>
      </w:r>
      <w:r w:rsidR="007226B1" w:rsidRPr="00023C48">
        <w:rPr>
          <w:rFonts w:ascii="Times" w:hAnsi="Times" w:cs="Arial"/>
        </w:rPr>
        <w:t>participant</w:t>
      </w:r>
      <w:r w:rsidR="00155BFC" w:rsidRPr="00023C48">
        <w:rPr>
          <w:rFonts w:ascii="Times" w:hAnsi="Times" w:cs="Arial"/>
        </w:rPr>
        <w:t>s</w:t>
      </w:r>
      <w:r w:rsidRPr="00023C48">
        <w:rPr>
          <w:rFonts w:ascii="Times" w:hAnsi="Times" w:cs="Arial"/>
        </w:rPr>
        <w:t xml:space="preserve">. </w:t>
      </w:r>
      <w:r w:rsidR="00A07E1B" w:rsidRPr="00023C48">
        <w:rPr>
          <w:rFonts w:ascii="Times" w:hAnsi="Times" w:cs="Arial"/>
        </w:rPr>
        <w:t xml:space="preserve">A minimum of 3 minutes of tDCS is required to produce excitability changes in the motor cortex </w:t>
      </w:r>
      <w:r w:rsidR="00A07E1B" w:rsidRPr="00023C48">
        <w:rPr>
          <w:rFonts w:ascii="Times" w:hAnsi="Times" w:cs="Arial"/>
        </w:rPr>
        <w:fldChar w:fldCharType="begin" w:fldLock="1"/>
      </w:r>
      <w:r w:rsidR="00B260BF">
        <w:rPr>
          <w:rFonts w:ascii="Times" w:hAnsi="Times" w:cs="Arial"/>
        </w:rPr>
        <w:instrText>ADDIN CSL_CITATION { "citationItems" : [ { "id" : "ITEM-1", "itemData" : { "ISSN" : "0022-3751", "abstract" : "In this paper we demonstrate in the intact human the possibility of a non-invasive modulation of motor cortex excitability by the application of weak direct current through the scalp. Excitability changes of up to 40 %, revealed by transcranial magnetic stimulation, were accomplished and lasted for several minutes after the end of current stimulation. Excitation could be achieved selectively by anodal stimulation, and inhibition by cathodal stimulation. By varying the current intensity and duration, the strength and duration of the after-effects could be controlled. The effects were probably induced by modification of membrane polarisation. Functional alterations related to post-tetanic potentiation, short-term potentiation and processes similar to postexcitatory central inhibition are the likely candidates for the excitability changes after the end of stimulation. Transcranial electrical stimulation using weak current may thus be a promising tool to modulate cerebral excitability in a non-invasive, painless, reversible, selective and focal way.", "author" : [ { "dropping-particle" : "", "family" : "Nitsche", "given" : "M A", "non-dropping-particle" : "", "parse-names" : false, "suffix" : "" }, { "dropping-particle" : "", "family" : "Paulus", "given" : "W", "non-dropping-particle" : "", "parse-names" : false, "suffix" : "" } ], "container-title" : "J Physiol", "id" : "ITEM-1", "issued" : { "date-parts" : [ [ "2000" ] ] }, "language" : "eng", "page" : "633-639", "title" : "Excitability changes induced in the human motor cortex by weak transcranial direct current stimulation", "type" : "article-journal", "volume" : "527 Pt 3" }, "uris" : [ "http://www.mendeley.com/documents/?uuid=d05b1871-2947-42b9-8fce-987c53b9597a" ] } ], "mendeley" : { "formattedCitation" : "(M A Nitsche &amp; Paulus 2000)", "manualFormatting" : "(Nitsche &amp; Paulus 2000)", "plainTextFormattedCitation" : "(M A Nitsche &amp; Paulus 2000)", "previouslyFormattedCitation" : "(M A Nitsche &amp; Paulus 2000)" }, "properties" : { "noteIndex" : 0 }, "schema" : "https://github.com/citation-style-language/schema/raw/master/csl-citation.json" }</w:instrText>
      </w:r>
      <w:r w:rsidR="00A07E1B" w:rsidRPr="00023C48">
        <w:rPr>
          <w:rFonts w:ascii="Times" w:hAnsi="Times" w:cs="Arial"/>
        </w:rPr>
        <w:fldChar w:fldCharType="separate"/>
      </w:r>
      <w:r w:rsidR="00255F1F" w:rsidRPr="00255F1F">
        <w:rPr>
          <w:rFonts w:ascii="Times" w:hAnsi="Times" w:cs="Arial"/>
          <w:noProof/>
        </w:rPr>
        <w:t>(Nitsche &amp; Paulus 2000)</w:t>
      </w:r>
      <w:r w:rsidR="00A07E1B" w:rsidRPr="00023C48">
        <w:rPr>
          <w:rFonts w:ascii="Times" w:hAnsi="Times" w:cs="Arial"/>
        </w:rPr>
        <w:fldChar w:fldCharType="end"/>
      </w:r>
      <w:r w:rsidR="00A07E1B" w:rsidRPr="00023C48">
        <w:rPr>
          <w:rFonts w:ascii="Times" w:hAnsi="Times" w:cs="Arial"/>
        </w:rPr>
        <w:t xml:space="preserve">. </w:t>
      </w:r>
      <w:r w:rsidR="00D17E0F" w:rsidRPr="00023C48">
        <w:rPr>
          <w:rFonts w:ascii="Times" w:hAnsi="Times" w:cs="Arial"/>
        </w:rPr>
        <w:t>N</w:t>
      </w:r>
      <w:r w:rsidR="00A07E1B" w:rsidRPr="00023C48">
        <w:rPr>
          <w:rFonts w:ascii="Times" w:hAnsi="Times" w:cs="Arial"/>
        </w:rPr>
        <w:t>o cognitive studies have specifically addressed the minimum d</w:t>
      </w:r>
      <w:r w:rsidR="00D17E0F" w:rsidRPr="00023C48">
        <w:rPr>
          <w:rFonts w:ascii="Times" w:hAnsi="Times" w:cs="Arial"/>
        </w:rPr>
        <w:t>uration of stimulation required but</w:t>
      </w:r>
      <w:r w:rsidR="00A07E1B" w:rsidRPr="00023C48">
        <w:rPr>
          <w:rFonts w:ascii="Times" w:hAnsi="Times" w:cs="Arial"/>
        </w:rPr>
        <w:t xml:space="preserve"> </w:t>
      </w:r>
      <w:r w:rsidR="001D2561" w:rsidRPr="00023C48">
        <w:rPr>
          <w:rFonts w:ascii="Times" w:hAnsi="Times" w:cs="Arial"/>
        </w:rPr>
        <w:t xml:space="preserve">most </w:t>
      </w:r>
      <w:r w:rsidR="00A07E1B" w:rsidRPr="00023C48">
        <w:rPr>
          <w:rFonts w:ascii="Times" w:hAnsi="Times" w:cs="Arial"/>
        </w:rPr>
        <w:t>stimulate for at least 5-10mins prior to onset of tasks</w:t>
      </w:r>
      <w:r w:rsidR="00137162" w:rsidRPr="00023C48">
        <w:rPr>
          <w:rFonts w:ascii="Times" w:hAnsi="Times" w:cs="Arial"/>
        </w:rPr>
        <w:t xml:space="preserve">. </w:t>
      </w:r>
      <w:r w:rsidR="00D17E0F" w:rsidRPr="00023C48">
        <w:rPr>
          <w:rFonts w:ascii="Times" w:hAnsi="Times" w:cs="Arial"/>
        </w:rPr>
        <w:t>Therefore,</w:t>
      </w:r>
      <w:r w:rsidR="00E264FF" w:rsidRPr="00023C48">
        <w:rPr>
          <w:rFonts w:ascii="Times" w:hAnsi="Times" w:cs="Arial"/>
        </w:rPr>
        <w:t xml:space="preserve"> </w:t>
      </w:r>
      <w:r w:rsidR="00B61474">
        <w:rPr>
          <w:rFonts w:ascii="Times" w:hAnsi="Times" w:cs="Arial"/>
        </w:rPr>
        <w:t xml:space="preserve">the tasks started after 10 minutes of stimulation, during which </w:t>
      </w:r>
      <w:r w:rsidR="00E264FF" w:rsidRPr="00023C48">
        <w:rPr>
          <w:rFonts w:ascii="Times" w:hAnsi="Times" w:cs="Arial"/>
        </w:rPr>
        <w:t>participants listed to an audio podcast.</w:t>
      </w:r>
      <w:r w:rsidRPr="00023C48">
        <w:rPr>
          <w:rFonts w:ascii="Times" w:hAnsi="Times" w:cs="Arial"/>
        </w:rPr>
        <w:t xml:space="preserve"> The podcast was different at each session but the same 3 podcasts were used in the same order for all participants.</w:t>
      </w:r>
    </w:p>
    <w:p w14:paraId="53D5E214" w14:textId="77777777" w:rsidR="007013E2" w:rsidRPr="00023C48" w:rsidRDefault="007013E2" w:rsidP="005374CB">
      <w:pPr>
        <w:spacing w:line="480" w:lineRule="auto"/>
        <w:jc w:val="both"/>
        <w:rPr>
          <w:rFonts w:ascii="Times" w:hAnsi="Times" w:cs="Arial"/>
        </w:rPr>
      </w:pPr>
    </w:p>
    <w:p w14:paraId="49D6E32C" w14:textId="36775FED" w:rsidR="007013E2" w:rsidRPr="00023C48" w:rsidRDefault="007013E2" w:rsidP="007013E2">
      <w:pPr>
        <w:spacing w:line="480" w:lineRule="auto"/>
        <w:jc w:val="both"/>
        <w:rPr>
          <w:rFonts w:ascii="Times" w:hAnsi="Times" w:cs="Arial"/>
        </w:rPr>
      </w:pPr>
      <w:r w:rsidRPr="00023C48">
        <w:rPr>
          <w:rFonts w:ascii="Times" w:hAnsi="Times" w:cs="Arial"/>
        </w:rPr>
        <w:t xml:space="preserve">TDCS was delivered using the Magstim HDCKit (Magstim, UK). Silicon electrodes (5x5cm) in water-soaked cellulose sponges were applied to the scalp with electrode gel, at P3 (left hemisphere) and P4 (right hemisphere) </w:t>
      </w:r>
      <w:r>
        <w:rPr>
          <w:rFonts w:ascii="Times" w:hAnsi="Times" w:cs="Arial"/>
        </w:rPr>
        <w:t>of</w:t>
      </w:r>
      <w:r w:rsidRPr="00023C48">
        <w:rPr>
          <w:rFonts w:ascii="Times" w:hAnsi="Times" w:cs="Arial"/>
        </w:rPr>
        <w:t xml:space="preserve"> the 10-20 international EEG system </w:t>
      </w:r>
      <w:r w:rsidR="008E4F7F">
        <w:rPr>
          <w:rFonts w:ascii="Times" w:hAnsi="Times" w:cs="Arial"/>
        </w:rPr>
        <w:t>(Figure 1B</w:t>
      </w:r>
      <w:r w:rsidRPr="00FF123A">
        <w:rPr>
          <w:rFonts w:ascii="Times" w:hAnsi="Times" w:cs="Arial"/>
        </w:rPr>
        <w:t>)</w:t>
      </w:r>
      <w:r w:rsidRPr="00023C48">
        <w:rPr>
          <w:rFonts w:ascii="Times" w:hAnsi="Times" w:cs="Arial"/>
        </w:rPr>
        <w:t xml:space="preserve"> </w:t>
      </w:r>
      <w:r w:rsidRPr="00023C48">
        <w:rPr>
          <w:rFonts w:ascii="Times" w:hAnsi="Times" w:cs="Arial"/>
        </w:rPr>
        <w:fldChar w:fldCharType="begin" w:fldLock="1"/>
      </w:r>
      <w:r w:rsidR="00B260BF">
        <w:rPr>
          <w:rFonts w:ascii="Times" w:hAnsi="Times" w:cs="Arial"/>
        </w:rPr>
        <w:instrText>ADDIN CSL_CITATION { "citationItems" : [ { "id" : "ITEM-1", "itemData" : { "author" : [ { "dropping-particle" : "", "family" : "Kim", "given" : "Daeyoung", "non-dropping-particle" : "", "parse-names" : false, "suffix" : "" }, { "dropping-particle" : "", "family" : "Kim", "given" : "Sun Wha", "non-dropping-particle" : "", "parse-names" : false, "suffix" : "" }, { "dropping-particle" : "", "family" : "Joo", "given" : "Eun Yeon", "non-dropping-particle" : "", "parse-names" : false, "suffix" : "" } ], "container-title" : "Neurology Asia", "id" : "ITEM-1", "issue" : "Supplement 1", "issued" : { "date-parts" : [ [ "2007" ] ] }, "page" : "2195", "title" : "Cortical localization of scalp electrodes on three-dimensional brain surface using frameless stereotactic image guidance system", "type" : "article-journal", "volume" : "12" }, "uris" : [ "http://www.mendeley.com/documents/?uuid=5f4c8cff-ab2c-4151-ac28-0cafa8926102" ] } ], "mendeley" : { "formattedCitation" : "(Kim et al. 2007)", "plainTextFormattedCitation" : "(Kim et al. 2007)", "previouslyFormattedCitation" : "(Kim et al. 2007)" }, "properties" : { "noteIndex" : 0 }, "schema" : "https://github.com/citation-style-language/schema/raw/master/csl-citation.json" }</w:instrText>
      </w:r>
      <w:r w:rsidRPr="00023C48">
        <w:rPr>
          <w:rFonts w:ascii="Times" w:hAnsi="Times" w:cs="Arial"/>
        </w:rPr>
        <w:fldChar w:fldCharType="separate"/>
      </w:r>
      <w:r w:rsidRPr="00255F1F">
        <w:rPr>
          <w:rFonts w:ascii="Times" w:hAnsi="Times" w:cs="Arial"/>
          <w:noProof/>
        </w:rPr>
        <w:t>(Kim et al. 2007)</w:t>
      </w:r>
      <w:r w:rsidRPr="00023C48">
        <w:rPr>
          <w:rFonts w:ascii="Times" w:hAnsi="Times" w:cs="Arial"/>
        </w:rPr>
        <w:fldChar w:fldCharType="end"/>
      </w:r>
      <w:r w:rsidRPr="00023C48">
        <w:rPr>
          <w:rFonts w:ascii="Times" w:hAnsi="Times" w:cs="Arial"/>
        </w:rPr>
        <w:t>. Three montages were used: anode on P4 with cathode on P3 (RA/LC), cathode on P3 with cathode on P4 (RC/LA), or sham stimulation with the RA/LC montage. During real stimulation, the current was ramped on over 30 seconds, to 2mA. During sham stimulation, current initially flowed as normal but switched off after 30 seconds.</w:t>
      </w:r>
    </w:p>
    <w:p w14:paraId="743CFF48" w14:textId="77777777" w:rsidR="00524588" w:rsidRPr="00023C48" w:rsidRDefault="00524588" w:rsidP="005374CB">
      <w:pPr>
        <w:spacing w:line="480" w:lineRule="auto"/>
        <w:jc w:val="both"/>
        <w:rPr>
          <w:rFonts w:ascii="Times" w:hAnsi="Times" w:cs="Arial"/>
        </w:rPr>
      </w:pPr>
    </w:p>
    <w:p w14:paraId="631A5A2D" w14:textId="77777777" w:rsidR="00524588" w:rsidRPr="00023C48" w:rsidRDefault="00524588" w:rsidP="005374CB">
      <w:pPr>
        <w:spacing w:line="480" w:lineRule="auto"/>
        <w:jc w:val="both"/>
        <w:rPr>
          <w:rFonts w:ascii="Times" w:hAnsi="Times" w:cs="Arial"/>
        </w:rPr>
      </w:pPr>
      <w:r w:rsidRPr="00023C48">
        <w:rPr>
          <w:rFonts w:ascii="Times" w:hAnsi="Times" w:cs="Arial"/>
          <w:i/>
        </w:rPr>
        <w:t>Tasks</w:t>
      </w:r>
    </w:p>
    <w:p w14:paraId="61A92D30" w14:textId="11209D33" w:rsidR="00E650CE" w:rsidRPr="00023C48" w:rsidRDefault="00524588" w:rsidP="005374CB">
      <w:pPr>
        <w:spacing w:line="480" w:lineRule="auto"/>
        <w:jc w:val="both"/>
        <w:rPr>
          <w:rFonts w:ascii="Times" w:hAnsi="Times" w:cs="Arial"/>
        </w:rPr>
      </w:pPr>
      <w:r w:rsidRPr="00023C48">
        <w:rPr>
          <w:rFonts w:ascii="Times" w:hAnsi="Times" w:cs="Arial"/>
        </w:rPr>
        <w:t>Participants performed 4 cognitive tasks during each session in the sam</w:t>
      </w:r>
      <w:r w:rsidR="00BC07C4" w:rsidRPr="00023C48">
        <w:rPr>
          <w:rFonts w:ascii="Times" w:hAnsi="Times" w:cs="Arial"/>
        </w:rPr>
        <w:t xml:space="preserve">e order: </w:t>
      </w:r>
      <w:r w:rsidR="00E345B0" w:rsidRPr="00023C48">
        <w:rPr>
          <w:rFonts w:ascii="Times" w:hAnsi="Times" w:cs="Arial"/>
        </w:rPr>
        <w:t xml:space="preserve">(1) </w:t>
      </w:r>
      <w:r w:rsidR="00BC07C4" w:rsidRPr="00023C48">
        <w:rPr>
          <w:rFonts w:ascii="Times" w:hAnsi="Times" w:cs="Arial"/>
        </w:rPr>
        <w:t>a number comparison</w:t>
      </w:r>
      <w:r w:rsidR="008A2C2D" w:rsidRPr="00023C48">
        <w:rPr>
          <w:rFonts w:ascii="Times" w:hAnsi="Times" w:cs="Arial"/>
        </w:rPr>
        <w:t xml:space="preserve"> </w:t>
      </w:r>
      <w:r w:rsidRPr="00023C48">
        <w:rPr>
          <w:rFonts w:ascii="Times" w:hAnsi="Times" w:cs="Arial"/>
        </w:rPr>
        <w:t>task</w:t>
      </w:r>
      <w:r w:rsidR="00E345B0" w:rsidRPr="00023C48">
        <w:rPr>
          <w:rFonts w:ascii="Times" w:hAnsi="Times" w:cs="Arial"/>
        </w:rPr>
        <w:t xml:space="preserve">; (2) </w:t>
      </w:r>
      <w:r w:rsidR="00BA10D2" w:rsidRPr="00023C48">
        <w:rPr>
          <w:rFonts w:ascii="Times" w:hAnsi="Times" w:cs="Arial"/>
        </w:rPr>
        <w:t>a modified Posner task</w:t>
      </w:r>
      <w:r w:rsidR="00E345B0" w:rsidRPr="00023C48">
        <w:rPr>
          <w:rFonts w:ascii="Times" w:hAnsi="Times" w:cs="Arial"/>
        </w:rPr>
        <w:t xml:space="preserve">: (3) </w:t>
      </w:r>
      <w:r w:rsidR="00BA10D2" w:rsidRPr="00023C48">
        <w:rPr>
          <w:rFonts w:ascii="Times" w:hAnsi="Times" w:cs="Arial"/>
        </w:rPr>
        <w:t xml:space="preserve">a </w:t>
      </w:r>
      <w:r w:rsidR="00487601" w:rsidRPr="00023C48">
        <w:rPr>
          <w:rFonts w:ascii="Times" w:hAnsi="Times" w:cs="Arial"/>
        </w:rPr>
        <w:t>CRT</w:t>
      </w:r>
      <w:r w:rsidR="00BA10D2" w:rsidRPr="00023C48">
        <w:rPr>
          <w:rFonts w:ascii="Times" w:hAnsi="Times" w:cs="Arial"/>
        </w:rPr>
        <w:t xml:space="preserve"> task</w:t>
      </w:r>
      <w:r w:rsidR="00E345B0" w:rsidRPr="00023C48">
        <w:rPr>
          <w:rFonts w:ascii="Times" w:hAnsi="Times" w:cs="Arial"/>
        </w:rPr>
        <w:t xml:space="preserve">; </w:t>
      </w:r>
      <w:r w:rsidRPr="00023C48">
        <w:rPr>
          <w:rFonts w:ascii="Times" w:hAnsi="Times" w:cs="Arial"/>
        </w:rPr>
        <w:t>and</w:t>
      </w:r>
      <w:r w:rsidR="00E345B0" w:rsidRPr="00023C48">
        <w:rPr>
          <w:rFonts w:ascii="Times" w:hAnsi="Times" w:cs="Arial"/>
        </w:rPr>
        <w:t xml:space="preserve"> (4)</w:t>
      </w:r>
      <w:r w:rsidRPr="00023C48">
        <w:rPr>
          <w:rFonts w:ascii="Times" w:hAnsi="Times" w:cs="Arial"/>
        </w:rPr>
        <w:t xml:space="preserve"> the </w:t>
      </w:r>
      <w:r w:rsidR="00487601" w:rsidRPr="00023C48">
        <w:rPr>
          <w:rFonts w:ascii="Times" w:hAnsi="Times" w:cs="Arial"/>
        </w:rPr>
        <w:t>RVP</w:t>
      </w:r>
      <w:r w:rsidR="007C2C2B" w:rsidRPr="00023C48">
        <w:rPr>
          <w:rFonts w:ascii="Times" w:hAnsi="Times" w:cs="Arial"/>
        </w:rPr>
        <w:t xml:space="preserve"> task</w:t>
      </w:r>
      <w:r w:rsidRPr="00023C48">
        <w:rPr>
          <w:rFonts w:ascii="Times" w:hAnsi="Times" w:cs="Arial"/>
        </w:rPr>
        <w:t xml:space="preserve">. </w:t>
      </w:r>
      <w:r w:rsidR="007C2C2B" w:rsidRPr="00023C48">
        <w:rPr>
          <w:rFonts w:ascii="Times" w:hAnsi="Times" w:cs="Arial"/>
        </w:rPr>
        <w:t xml:space="preserve">The RVP was performed on the Cantab® system (button-press response pad). </w:t>
      </w:r>
      <w:r w:rsidRPr="00023C48">
        <w:rPr>
          <w:rFonts w:ascii="Times" w:hAnsi="Times" w:cs="Arial"/>
        </w:rPr>
        <w:t xml:space="preserve">All </w:t>
      </w:r>
      <w:r w:rsidR="007C2C2B" w:rsidRPr="00023C48">
        <w:rPr>
          <w:rFonts w:ascii="Times" w:hAnsi="Times" w:cs="Arial"/>
        </w:rPr>
        <w:t xml:space="preserve">other </w:t>
      </w:r>
      <w:r w:rsidRPr="00023C48">
        <w:rPr>
          <w:rFonts w:ascii="Times" w:hAnsi="Times" w:cs="Arial"/>
        </w:rPr>
        <w:t>tasks were</w:t>
      </w:r>
      <w:r w:rsidR="00AF62AD" w:rsidRPr="00023C48">
        <w:rPr>
          <w:rFonts w:ascii="Times" w:hAnsi="Times" w:cs="Arial"/>
        </w:rPr>
        <w:t xml:space="preserve"> programmed in MatLab® using Psychtoolbox, and</w:t>
      </w:r>
      <w:r w:rsidRPr="00023C48">
        <w:rPr>
          <w:rFonts w:ascii="Times" w:hAnsi="Times" w:cs="Arial"/>
        </w:rPr>
        <w:t xml:space="preserve"> performed on a Macintosh MacBook laptop </w:t>
      </w:r>
      <w:r w:rsidR="009C4476" w:rsidRPr="00023C48">
        <w:rPr>
          <w:rFonts w:ascii="Times" w:hAnsi="Times" w:cs="Arial"/>
        </w:rPr>
        <w:t>(</w:t>
      </w:r>
      <w:r w:rsidRPr="00023C48">
        <w:rPr>
          <w:rFonts w:ascii="Times" w:hAnsi="Times" w:cs="Arial"/>
        </w:rPr>
        <w:t>13</w:t>
      </w:r>
      <w:r w:rsidR="006B0D23" w:rsidRPr="00023C48">
        <w:rPr>
          <w:rFonts w:ascii="Times" w:hAnsi="Times" w:cs="Arial"/>
        </w:rPr>
        <w:t xml:space="preserve"> </w:t>
      </w:r>
      <w:r w:rsidRPr="00023C48">
        <w:rPr>
          <w:rFonts w:ascii="Times" w:hAnsi="Times" w:cs="Arial"/>
        </w:rPr>
        <w:t>inch screen</w:t>
      </w:r>
      <w:r w:rsidR="00745E38" w:rsidRPr="00023C48">
        <w:rPr>
          <w:rFonts w:ascii="Times" w:hAnsi="Times" w:cs="Arial"/>
        </w:rPr>
        <w:t>)</w:t>
      </w:r>
      <w:r w:rsidRPr="00023C48">
        <w:rPr>
          <w:rFonts w:ascii="Times" w:hAnsi="Times" w:cs="Arial"/>
        </w:rPr>
        <w:t xml:space="preserve">, with a separate button-press response pad with </w:t>
      </w:r>
      <w:r w:rsidR="00E264FF" w:rsidRPr="00023C48">
        <w:rPr>
          <w:rFonts w:ascii="Times" w:hAnsi="Times" w:cs="Arial"/>
        </w:rPr>
        <w:t>left and right response buttons</w:t>
      </w:r>
      <w:r w:rsidRPr="00023C48">
        <w:rPr>
          <w:rFonts w:ascii="Times" w:hAnsi="Times" w:cs="Arial"/>
        </w:rPr>
        <w:t>.</w:t>
      </w:r>
      <w:r w:rsidR="00E264FF" w:rsidRPr="00023C48">
        <w:rPr>
          <w:rFonts w:ascii="Times" w:hAnsi="Times" w:cs="Arial"/>
        </w:rPr>
        <w:t xml:space="preserve"> Participants were instructed to respond as quickly and as accurately as possible</w:t>
      </w:r>
      <w:r w:rsidR="006B0D23" w:rsidRPr="00023C48">
        <w:rPr>
          <w:rFonts w:ascii="Times" w:hAnsi="Times" w:cs="Arial"/>
        </w:rPr>
        <w:t>,</w:t>
      </w:r>
      <w:r w:rsidR="00E264FF" w:rsidRPr="00023C48">
        <w:rPr>
          <w:rFonts w:ascii="Times" w:hAnsi="Times" w:cs="Arial"/>
        </w:rPr>
        <w:t xml:space="preserve"> and </w:t>
      </w:r>
      <w:r w:rsidR="00304ECB" w:rsidRPr="00023C48">
        <w:rPr>
          <w:rFonts w:ascii="Times" w:hAnsi="Times" w:cs="Arial"/>
        </w:rPr>
        <w:t>response accuracy and reaction time</w:t>
      </w:r>
      <w:r w:rsidR="00B614C1" w:rsidRPr="00023C48">
        <w:rPr>
          <w:rFonts w:ascii="Times" w:hAnsi="Times" w:cs="Arial"/>
        </w:rPr>
        <w:t>s</w:t>
      </w:r>
      <w:r w:rsidR="00975D88" w:rsidRPr="00023C48">
        <w:rPr>
          <w:rFonts w:ascii="Times" w:hAnsi="Times" w:cs="Arial"/>
        </w:rPr>
        <w:t xml:space="preserve"> were </w:t>
      </w:r>
      <w:r w:rsidR="006B0D23" w:rsidRPr="00023C48">
        <w:rPr>
          <w:rFonts w:ascii="Times" w:hAnsi="Times" w:cs="Arial"/>
        </w:rPr>
        <w:t>recorded</w:t>
      </w:r>
      <w:r w:rsidR="00304ECB" w:rsidRPr="00023C48">
        <w:rPr>
          <w:rFonts w:ascii="Times" w:hAnsi="Times" w:cs="Arial"/>
        </w:rPr>
        <w:t>.</w:t>
      </w:r>
      <w:r w:rsidR="007D2F99" w:rsidRPr="00023C48">
        <w:rPr>
          <w:rFonts w:ascii="Times" w:hAnsi="Times" w:cs="Arial"/>
        </w:rPr>
        <w:t xml:space="preserve"> All statistical analyses were carried out in SPSS (v21, </w:t>
      </w:r>
      <w:r w:rsidR="00EB2932" w:rsidRPr="00023C48">
        <w:rPr>
          <w:rFonts w:ascii="Times" w:hAnsi="Times" w:cs="Arial"/>
        </w:rPr>
        <w:t>IBM Armonk, NY)</w:t>
      </w:r>
      <w:r w:rsidR="007D2F99" w:rsidRPr="00023C48">
        <w:rPr>
          <w:rFonts w:ascii="Times" w:hAnsi="Times" w:cs="Arial"/>
        </w:rPr>
        <w:t xml:space="preserve">. </w:t>
      </w:r>
      <w:r w:rsidR="00DF3666" w:rsidRPr="00023C48">
        <w:rPr>
          <w:rFonts w:ascii="Times" w:hAnsi="Times" w:cs="Arial"/>
        </w:rPr>
        <w:t>R</w:t>
      </w:r>
      <w:r w:rsidR="007D2F99" w:rsidRPr="00023C48">
        <w:rPr>
          <w:rFonts w:ascii="Times" w:hAnsi="Times" w:cs="Arial"/>
        </w:rPr>
        <w:t>epeated-measures ANOVA</w:t>
      </w:r>
      <w:r w:rsidR="00DF3666" w:rsidRPr="00023C48">
        <w:rPr>
          <w:rFonts w:ascii="Times" w:hAnsi="Times" w:cs="Arial"/>
        </w:rPr>
        <w:t xml:space="preserve"> was used</w:t>
      </w:r>
      <w:r w:rsidR="007D2F99" w:rsidRPr="00023C48">
        <w:rPr>
          <w:rFonts w:ascii="Times" w:hAnsi="Times" w:cs="Arial"/>
        </w:rPr>
        <w:t xml:space="preserve"> to investigate the effect of tDCS</w:t>
      </w:r>
      <w:r w:rsidR="0066436E" w:rsidRPr="00023C48">
        <w:rPr>
          <w:rFonts w:ascii="Times" w:hAnsi="Times" w:cs="Arial"/>
        </w:rPr>
        <w:t xml:space="preserve"> condition</w:t>
      </w:r>
      <w:r w:rsidR="007D2F99" w:rsidRPr="00023C48">
        <w:rPr>
          <w:rFonts w:ascii="Times" w:hAnsi="Times" w:cs="Arial"/>
        </w:rPr>
        <w:t xml:space="preserve"> on </w:t>
      </w:r>
      <w:r w:rsidR="006F58EB" w:rsidRPr="00023C48">
        <w:rPr>
          <w:rFonts w:ascii="Times" w:hAnsi="Times" w:cs="Arial"/>
        </w:rPr>
        <w:t xml:space="preserve">task performance </w:t>
      </w:r>
      <w:r w:rsidR="00544368" w:rsidRPr="00023C48">
        <w:rPr>
          <w:rFonts w:ascii="Times" w:hAnsi="Times" w:cs="Arial"/>
        </w:rPr>
        <w:t>and</w:t>
      </w:r>
      <w:r w:rsidR="007D2F99" w:rsidRPr="00023C48">
        <w:rPr>
          <w:rFonts w:ascii="Times" w:hAnsi="Times" w:cs="Arial"/>
        </w:rPr>
        <w:t xml:space="preserve"> to investigate interactions between </w:t>
      </w:r>
      <w:r w:rsidR="0066436E" w:rsidRPr="00023C48">
        <w:rPr>
          <w:rFonts w:ascii="Times" w:hAnsi="Times" w:cs="Arial"/>
        </w:rPr>
        <w:t>tDCS</w:t>
      </w:r>
      <w:r w:rsidR="007D2F99" w:rsidRPr="00023C48">
        <w:rPr>
          <w:rFonts w:ascii="Times" w:hAnsi="Times" w:cs="Arial"/>
        </w:rPr>
        <w:t xml:space="preserve"> </w:t>
      </w:r>
      <w:r w:rsidR="0066436E" w:rsidRPr="00023C48">
        <w:rPr>
          <w:rFonts w:ascii="Times" w:hAnsi="Times" w:cs="Arial"/>
        </w:rPr>
        <w:t xml:space="preserve">condition </w:t>
      </w:r>
      <w:r w:rsidR="007D2F99" w:rsidRPr="00023C48">
        <w:rPr>
          <w:rFonts w:ascii="Times" w:hAnsi="Times" w:cs="Arial"/>
        </w:rPr>
        <w:t>and task features.</w:t>
      </w:r>
    </w:p>
    <w:p w14:paraId="037AF916" w14:textId="77777777" w:rsidR="008C240E" w:rsidRPr="00023C48" w:rsidRDefault="008C240E" w:rsidP="005374CB">
      <w:pPr>
        <w:spacing w:line="480" w:lineRule="auto"/>
        <w:jc w:val="both"/>
        <w:rPr>
          <w:rFonts w:ascii="Times" w:hAnsi="Times" w:cs="Arial"/>
        </w:rPr>
      </w:pPr>
    </w:p>
    <w:p w14:paraId="1FB284F4" w14:textId="7E14B8C6" w:rsidR="008C240E" w:rsidRPr="00023C48" w:rsidRDefault="00737D98" w:rsidP="005374CB">
      <w:pPr>
        <w:spacing w:line="480" w:lineRule="auto"/>
        <w:jc w:val="both"/>
        <w:rPr>
          <w:rFonts w:ascii="Times" w:hAnsi="Times" w:cs="Arial"/>
          <w:i/>
        </w:rPr>
      </w:pPr>
      <w:r w:rsidRPr="00023C48">
        <w:rPr>
          <w:rFonts w:ascii="Times" w:hAnsi="Times" w:cs="Arial"/>
          <w:i/>
        </w:rPr>
        <w:t>Number Comparison</w:t>
      </w:r>
      <w:r w:rsidR="008C240E" w:rsidRPr="00023C48">
        <w:rPr>
          <w:rFonts w:ascii="Times" w:hAnsi="Times" w:cs="Arial"/>
          <w:i/>
        </w:rPr>
        <w:t xml:space="preserve"> task</w:t>
      </w:r>
    </w:p>
    <w:p w14:paraId="1EA354D1" w14:textId="331C7A0E" w:rsidR="008C240E" w:rsidRPr="00023C48" w:rsidRDefault="00273D4E" w:rsidP="005374CB">
      <w:pPr>
        <w:spacing w:line="480" w:lineRule="auto"/>
        <w:jc w:val="both"/>
        <w:rPr>
          <w:rFonts w:ascii="Times" w:hAnsi="Times" w:cs="Arial"/>
        </w:rPr>
      </w:pPr>
      <w:r>
        <w:rPr>
          <w:rFonts w:ascii="Times" w:hAnsi="Times" w:cs="Arial"/>
        </w:rPr>
        <w:t xml:space="preserve">A </w:t>
      </w:r>
      <w:r w:rsidR="008C240E" w:rsidRPr="00023C48">
        <w:rPr>
          <w:rFonts w:ascii="Times" w:hAnsi="Times" w:cs="Arial"/>
        </w:rPr>
        <w:t xml:space="preserve">number comparison task </w:t>
      </w:r>
      <w:r w:rsidR="00737D98" w:rsidRPr="00023C48">
        <w:rPr>
          <w:rFonts w:ascii="Times" w:hAnsi="Times" w:cs="Arial"/>
        </w:rPr>
        <w:t xml:space="preserve">assessed </w:t>
      </w:r>
      <w:r w:rsidR="008C240E" w:rsidRPr="00023C48">
        <w:rPr>
          <w:rFonts w:ascii="Times" w:hAnsi="Times" w:cs="Arial"/>
        </w:rPr>
        <w:t>numerical processing</w:t>
      </w:r>
      <w:r w:rsidR="00C93C79" w:rsidRPr="00023C48">
        <w:rPr>
          <w:rFonts w:ascii="Times" w:hAnsi="Times" w:cs="Arial"/>
        </w:rPr>
        <w:t xml:space="preserve"> </w:t>
      </w:r>
      <w:r w:rsidR="00C93C79" w:rsidRPr="00023C48">
        <w:rPr>
          <w:rFonts w:ascii="Times" w:hAnsi="Times" w:cs="Arial"/>
        </w:rPr>
        <w:fldChar w:fldCharType="begin" w:fldLock="1"/>
      </w:r>
      <w:r w:rsidR="00B260BF">
        <w:rPr>
          <w:rFonts w:ascii="Times" w:hAnsi="Times" w:cs="Arial"/>
        </w:rPr>
        <w:instrText>ADDIN CSL_CITATION { "citationItems" : [ { "id" : "ITEM-1", "itemData" : { "DOI" : "10.1016/j.neuropsychologia.2004.05.005", "ISSN" : "0028-3932", "abstract" : "Number processing is known to involve several sites within the posterior regions of parietal cortex. Here, we investigated whether neural activity in the inferior parietal lobule (IPL) is essential for number processing, by observing the effects of interfering with its activity during the execution of a standard number comparison task. Subjects performance on the task was significantly slowed down when we delivered trains of repetitive transcranial magnetic stimuli (rTMS) to the posterior parietal scalp site overlying the left IPL, while rTMS did not affect the number comparison task if delivered to homologous, contralateral (right) IPL. In conclusion, the present findings add support to a growing body of evidence from neuropsychology and neuroimaging studies that the left inferior parietal lobule is an important component of the networks subserving the representation of quantity.", "author" : [ { "dropping-particle" : "", "family" : "Sandrini", "given" : "M", "non-dropping-particle" : "", "parse-names" : false, "suffix" : "" }, { "dropping-particle" : "", "family" : "Rossini", "given" : "P M", "non-dropping-particle" : "", "parse-names" : false, "suffix" : "" }, { "dropping-particle" : "", "family" : "Miniussi", "given" : "C", "non-dropping-particle" : "", "parse-names" : false, "suffix" : "" } ], "container-title" : "Neuropsychologia", "id" : "ITEM-1", "issued" : { "date-parts" : [ [ "2004" ] ] }, "language" : "eng", "page" : "1902-1909", "title" : "The differential involvement of inferior parietal lobule in number comparison: a rTMS study", "type" : "article-journal", "volume" : "42" }, "uris" : [ "http://www.mendeley.com/documents/?uuid=2c427811-2d91-41fd-84cf-818f51ae95f1" ] } ], "mendeley" : { "formattedCitation" : "(Sandrini et al. 2004)", "plainTextFormattedCitation" : "(Sandrini et al. 2004)", "previouslyFormattedCitation" : "(Sandrini et al. 2004)" }, "properties" : { "noteIndex" : 0 }, "schema" : "https://github.com/citation-style-language/schema/raw/master/csl-citation.json" }</w:instrText>
      </w:r>
      <w:r w:rsidR="00C93C79" w:rsidRPr="00023C48">
        <w:rPr>
          <w:rFonts w:ascii="Times" w:hAnsi="Times" w:cs="Arial"/>
        </w:rPr>
        <w:fldChar w:fldCharType="separate"/>
      </w:r>
      <w:r w:rsidR="00255F1F" w:rsidRPr="00255F1F">
        <w:rPr>
          <w:rFonts w:ascii="Times" w:hAnsi="Times" w:cs="Arial"/>
          <w:noProof/>
        </w:rPr>
        <w:t>(Sandrini et al. 2004)</w:t>
      </w:r>
      <w:r w:rsidR="00C93C79" w:rsidRPr="00023C48">
        <w:rPr>
          <w:rFonts w:ascii="Times" w:hAnsi="Times" w:cs="Arial"/>
        </w:rPr>
        <w:fldChar w:fldCharType="end"/>
      </w:r>
      <w:r w:rsidR="00BE0945" w:rsidRPr="00023C48">
        <w:rPr>
          <w:rFonts w:ascii="Times" w:hAnsi="Times" w:cs="Arial"/>
        </w:rPr>
        <w:t xml:space="preserve"> </w:t>
      </w:r>
      <w:r w:rsidR="00861782" w:rsidRPr="00941732">
        <w:rPr>
          <w:rFonts w:ascii="Times" w:hAnsi="Times" w:cs="Arial"/>
        </w:rPr>
        <w:t>(Figure 1</w:t>
      </w:r>
      <w:r w:rsidR="008E4F7F" w:rsidRPr="00941732">
        <w:rPr>
          <w:rFonts w:ascii="Times" w:hAnsi="Times" w:cs="Arial"/>
        </w:rPr>
        <w:t>C</w:t>
      </w:r>
      <w:r w:rsidR="00BE0945" w:rsidRPr="00941732">
        <w:rPr>
          <w:rFonts w:ascii="Times" w:hAnsi="Times" w:cs="Arial"/>
        </w:rPr>
        <w:t>)</w:t>
      </w:r>
      <w:r w:rsidR="008C240E" w:rsidRPr="007217EF">
        <w:rPr>
          <w:rFonts w:ascii="Times" w:hAnsi="Times" w:cs="Arial"/>
          <w:b/>
          <w:u w:val="single"/>
        </w:rPr>
        <w:t>.</w:t>
      </w:r>
      <w:r w:rsidR="008C240E" w:rsidRPr="00023C48">
        <w:rPr>
          <w:rFonts w:ascii="Times" w:hAnsi="Times" w:cs="Arial"/>
        </w:rPr>
        <w:t xml:space="preserve"> </w:t>
      </w:r>
      <w:r w:rsidR="00956248" w:rsidRPr="00023C48">
        <w:rPr>
          <w:rFonts w:ascii="Times" w:hAnsi="Times" w:cs="Arial"/>
        </w:rPr>
        <w:t xml:space="preserve">Five </w:t>
      </w:r>
      <w:r w:rsidR="00F70853" w:rsidRPr="00023C48">
        <w:rPr>
          <w:rFonts w:ascii="Times" w:hAnsi="Times" w:cs="Arial"/>
        </w:rPr>
        <w:t xml:space="preserve">practice trials were </w:t>
      </w:r>
      <w:r w:rsidR="008C240E" w:rsidRPr="00023C48">
        <w:rPr>
          <w:rFonts w:ascii="Times" w:hAnsi="Times" w:cs="Arial"/>
        </w:rPr>
        <w:t xml:space="preserve">followed by 3 blocks of 36 trials. Each trial </w:t>
      </w:r>
      <w:r w:rsidR="00806419" w:rsidRPr="00023C48">
        <w:rPr>
          <w:rFonts w:ascii="Times" w:hAnsi="Times" w:cs="Arial"/>
        </w:rPr>
        <w:t>started with</w:t>
      </w:r>
      <w:r w:rsidR="008C240E" w:rsidRPr="00023C48">
        <w:rPr>
          <w:rFonts w:ascii="Times" w:hAnsi="Times" w:cs="Arial"/>
        </w:rPr>
        <w:t xml:space="preserve"> a central fixation cross</w:t>
      </w:r>
      <w:r w:rsidR="00806419" w:rsidRPr="00023C48">
        <w:rPr>
          <w:rFonts w:ascii="Times" w:hAnsi="Times" w:cs="Arial"/>
        </w:rPr>
        <w:t xml:space="preserve"> lasting 1.5s</w:t>
      </w:r>
      <w:r w:rsidR="00284F0E" w:rsidRPr="00023C48">
        <w:rPr>
          <w:rFonts w:ascii="Times" w:hAnsi="Times" w:cs="Arial"/>
        </w:rPr>
        <w:t>,</w:t>
      </w:r>
      <w:r w:rsidR="00806419" w:rsidRPr="00023C48">
        <w:rPr>
          <w:rFonts w:ascii="Times" w:hAnsi="Times" w:cs="Arial"/>
        </w:rPr>
        <w:t xml:space="preserve"> followed by</w:t>
      </w:r>
      <w:r w:rsidR="00EB2932" w:rsidRPr="00023C48">
        <w:rPr>
          <w:rFonts w:ascii="Times" w:hAnsi="Times" w:cs="Arial"/>
        </w:rPr>
        <w:t xml:space="preserve"> presentation of a pair of single-digit numbers.</w:t>
      </w:r>
      <w:r w:rsidR="008C240E" w:rsidRPr="00023C48">
        <w:rPr>
          <w:rFonts w:ascii="Times" w:hAnsi="Times" w:cs="Arial"/>
        </w:rPr>
        <w:t xml:space="preserve"> Each number subtended a visual angle of 0.6° width and 1.7° height, at a visual angle of 1.7° from centre. Participants were required to decide which was the numerically bigger number</w:t>
      </w:r>
      <w:r w:rsidR="00D139E8" w:rsidRPr="00023C48">
        <w:rPr>
          <w:rFonts w:ascii="Times" w:hAnsi="Times" w:cs="Arial"/>
        </w:rPr>
        <w:t xml:space="preserve"> (left or right)</w:t>
      </w:r>
      <w:r w:rsidR="008C240E" w:rsidRPr="00023C48">
        <w:rPr>
          <w:rFonts w:ascii="Times" w:hAnsi="Times" w:cs="Arial"/>
        </w:rPr>
        <w:t xml:space="preserve">. </w:t>
      </w:r>
      <w:r w:rsidR="00BD3D67" w:rsidRPr="00023C48">
        <w:rPr>
          <w:rFonts w:ascii="Times" w:hAnsi="Times" w:cs="Arial"/>
        </w:rPr>
        <w:t>P</w:t>
      </w:r>
      <w:r w:rsidR="008C240E" w:rsidRPr="00023C48">
        <w:rPr>
          <w:rFonts w:ascii="Times" w:hAnsi="Times" w:cs="Arial"/>
        </w:rPr>
        <w:t>articipants had a maximum of 2s in which to respond, after which another trial started. All possible single-digit numbers except ‘5’ and ‘0’ were used, in all possible pairings. Each pairing was presented randomly and twice during each block, with the</w:t>
      </w:r>
      <w:r w:rsidR="001103C3" w:rsidRPr="00023C48">
        <w:rPr>
          <w:rFonts w:ascii="Times" w:hAnsi="Times" w:cs="Arial"/>
        </w:rPr>
        <w:t xml:space="preserve"> side of the</w:t>
      </w:r>
      <w:r w:rsidR="008C240E" w:rsidRPr="00023C48">
        <w:rPr>
          <w:rFonts w:ascii="Times" w:hAnsi="Times" w:cs="Arial"/>
        </w:rPr>
        <w:t xml:space="preserve"> numerically bigger number </w:t>
      </w:r>
      <w:r w:rsidR="001103C3" w:rsidRPr="00023C48">
        <w:rPr>
          <w:rFonts w:ascii="Times" w:hAnsi="Times" w:cs="Arial"/>
        </w:rPr>
        <w:t>counterbalanced</w:t>
      </w:r>
      <w:r w:rsidR="008C240E" w:rsidRPr="00023C48">
        <w:rPr>
          <w:rFonts w:ascii="Times" w:hAnsi="Times" w:cs="Arial"/>
        </w:rPr>
        <w:t xml:space="preserve">. Pairs were deemed ‘close’ if their numerical difference was </w:t>
      </w:r>
      <w:r w:rsidR="008C240E" w:rsidRPr="00023C48">
        <w:rPr>
          <w:rFonts w:ascii="Times" w:hAnsi="Times" w:cs="Arial"/>
          <w:u w:val="single"/>
        </w:rPr>
        <w:t>&lt;</w:t>
      </w:r>
      <w:r w:rsidR="008C240E" w:rsidRPr="00023C48">
        <w:rPr>
          <w:rFonts w:ascii="Times" w:hAnsi="Times" w:cs="Arial"/>
        </w:rPr>
        <w:t xml:space="preserve">3 and ‘far’ if their numerical difference was </w:t>
      </w:r>
      <w:r w:rsidR="008C240E" w:rsidRPr="00023C48">
        <w:rPr>
          <w:rFonts w:ascii="Times" w:hAnsi="Times" w:cs="Arial"/>
          <w:u w:val="single"/>
        </w:rPr>
        <w:t>&gt;</w:t>
      </w:r>
      <w:r w:rsidR="008C240E" w:rsidRPr="00023C48">
        <w:rPr>
          <w:rFonts w:ascii="Times" w:hAnsi="Times" w:cs="Arial"/>
        </w:rPr>
        <w:t xml:space="preserve">4. A previous study found that reaction times to ‘close’ pairs was longer than to ‘far’ pairs </w:t>
      </w:r>
      <w:r w:rsidR="008C240E" w:rsidRPr="00023C48">
        <w:rPr>
          <w:rFonts w:ascii="Times" w:hAnsi="Times" w:cs="Arial"/>
        </w:rPr>
        <w:fldChar w:fldCharType="begin" w:fldLock="1"/>
      </w:r>
      <w:r w:rsidR="00B260BF">
        <w:rPr>
          <w:rFonts w:ascii="Times" w:hAnsi="Times" w:cs="Arial"/>
        </w:rPr>
        <w:instrText>ADDIN CSL_CITATION { "citationItems" : [ { "id" : "ITEM-1", "itemData" : { "DOI" : "10.1016/j.neuropsychologia.2004.05.005", "ISSN" : "0028-3932", "abstract" : "Number processing is known to involve several sites within the posterior regions of parietal cortex. Here, we investigated whether neural activity in the inferior parietal lobule (IPL) is essential for number processing, by observing the effects of interfering with its activity during the execution of a standard number comparison task. Subjects performance on the task was significantly slowed down when we delivered trains of repetitive transcranial magnetic stimuli (rTMS) to the posterior parietal scalp site overlying the left IPL, while rTMS did not affect the number comparison task if delivered to homologous, contralateral (right) IPL. In conclusion, the present findings add support to a growing body of evidence from neuropsychology and neuroimaging studies that the left inferior parietal lobule is an important component of the networks subserving the representation of quantity.", "author" : [ { "dropping-particle" : "", "family" : "Sandrini", "given" : "M", "non-dropping-particle" : "", "parse-names" : false, "suffix" : "" }, { "dropping-particle" : "", "family" : "Rossini", "given" : "P M", "non-dropping-particle" : "", "parse-names" : false, "suffix" : "" }, { "dropping-particle" : "", "family" : "Miniussi", "given" : "C", "non-dropping-particle" : "", "parse-names" : false, "suffix" : "" } ], "container-title" : "Neuropsychologia", "id" : "ITEM-1", "issued" : { "date-parts" : [ [ "2004" ] ] }, "language" : "eng", "page" : "1902-1909", "title" : "The differential involvement of inferior parietal lobule in number comparison: a rTMS study", "type" : "article-journal", "volume" : "42" }, "uris" : [ "http://www.mendeley.com/documents/?uuid=2c427811-2d91-41fd-84cf-818f51ae95f1" ] } ], "mendeley" : { "formattedCitation" : "(Sandrini et al. 2004)", "plainTextFormattedCitation" : "(Sandrini et al. 2004)", "previouslyFormattedCitation" : "(Sandrini et al. 2004)" }, "properties" : { "noteIndex" : 0 }, "schema" : "https://github.com/citation-style-language/schema/raw/master/csl-citation.json" }</w:instrText>
      </w:r>
      <w:r w:rsidR="008C240E" w:rsidRPr="00023C48">
        <w:rPr>
          <w:rFonts w:ascii="Times" w:hAnsi="Times" w:cs="Arial"/>
        </w:rPr>
        <w:fldChar w:fldCharType="separate"/>
      </w:r>
      <w:r w:rsidR="00255F1F" w:rsidRPr="00255F1F">
        <w:rPr>
          <w:rFonts w:ascii="Times" w:hAnsi="Times" w:cs="Arial"/>
          <w:noProof/>
        </w:rPr>
        <w:t>(Sandrini et al. 2004)</w:t>
      </w:r>
      <w:r w:rsidR="008C240E" w:rsidRPr="00023C48">
        <w:rPr>
          <w:rFonts w:ascii="Times" w:hAnsi="Times" w:cs="Arial"/>
        </w:rPr>
        <w:fldChar w:fldCharType="end"/>
      </w:r>
      <w:r w:rsidR="008C240E" w:rsidRPr="00023C48">
        <w:rPr>
          <w:rFonts w:ascii="Times" w:hAnsi="Times" w:cs="Arial"/>
        </w:rPr>
        <w:t xml:space="preserve">. Therefore, we analysed </w:t>
      </w:r>
      <w:r w:rsidR="00DC643F" w:rsidRPr="00023C48">
        <w:rPr>
          <w:rFonts w:ascii="Times" w:hAnsi="Times" w:cs="Arial"/>
        </w:rPr>
        <w:t>accuracy and reaction times</w:t>
      </w:r>
      <w:r w:rsidR="008C240E" w:rsidRPr="00023C48">
        <w:rPr>
          <w:rFonts w:ascii="Times" w:hAnsi="Times" w:cs="Arial"/>
        </w:rPr>
        <w:t xml:space="preserve"> for ‘close’ and ‘far’ pairs separately, and tested the interaction between pair type and tDCS stimulation.</w:t>
      </w:r>
    </w:p>
    <w:p w14:paraId="7C6D2D97" w14:textId="77777777" w:rsidR="008C240E" w:rsidRPr="00023C48" w:rsidRDefault="008C240E" w:rsidP="005374CB">
      <w:pPr>
        <w:spacing w:line="480" w:lineRule="auto"/>
        <w:jc w:val="both"/>
        <w:rPr>
          <w:rFonts w:ascii="Times" w:hAnsi="Times" w:cs="Arial"/>
        </w:rPr>
      </w:pPr>
    </w:p>
    <w:p w14:paraId="2B9E3BC1" w14:textId="70671362" w:rsidR="00197620" w:rsidRPr="00023C48" w:rsidRDefault="00197620" w:rsidP="005374CB">
      <w:pPr>
        <w:spacing w:line="480" w:lineRule="auto"/>
        <w:jc w:val="both"/>
        <w:rPr>
          <w:rFonts w:ascii="Times" w:hAnsi="Times" w:cs="Arial"/>
          <w:i/>
        </w:rPr>
      </w:pPr>
      <w:r w:rsidRPr="00023C48">
        <w:rPr>
          <w:rFonts w:ascii="Times" w:hAnsi="Times" w:cs="Arial"/>
          <w:i/>
        </w:rPr>
        <w:t>Modified Posner task</w:t>
      </w:r>
    </w:p>
    <w:p w14:paraId="13158C5C" w14:textId="062D5A56" w:rsidR="001E4500" w:rsidRPr="00023C48" w:rsidRDefault="00524588" w:rsidP="005374CB">
      <w:pPr>
        <w:spacing w:line="480" w:lineRule="auto"/>
        <w:jc w:val="both"/>
        <w:rPr>
          <w:rFonts w:ascii="Times" w:hAnsi="Times" w:cs="Arial"/>
        </w:rPr>
      </w:pPr>
      <w:r w:rsidRPr="00023C48">
        <w:rPr>
          <w:rFonts w:ascii="Times" w:hAnsi="Times" w:cs="Arial"/>
        </w:rPr>
        <w:t>The modified Posner cueing task probed spatial attention</w:t>
      </w:r>
      <w:r w:rsidR="002206B4" w:rsidRPr="00023C48">
        <w:rPr>
          <w:rFonts w:ascii="Times" w:hAnsi="Times" w:cs="Arial"/>
        </w:rPr>
        <w:t xml:space="preserve"> </w:t>
      </w:r>
      <w:r w:rsidR="00861782" w:rsidRPr="00941732">
        <w:rPr>
          <w:rFonts w:ascii="Times" w:hAnsi="Times" w:cs="Arial"/>
        </w:rPr>
        <w:t>(Figure 1</w:t>
      </w:r>
      <w:r w:rsidR="008E4F7F" w:rsidRPr="00941732">
        <w:rPr>
          <w:rFonts w:ascii="Times" w:hAnsi="Times" w:cs="Arial"/>
        </w:rPr>
        <w:t>D</w:t>
      </w:r>
      <w:r w:rsidR="002206B4" w:rsidRPr="00941732">
        <w:rPr>
          <w:rFonts w:ascii="Times" w:hAnsi="Times" w:cs="Arial"/>
        </w:rPr>
        <w:t>)</w:t>
      </w:r>
      <w:r w:rsidR="001D7170" w:rsidRPr="00941732">
        <w:rPr>
          <w:rFonts w:ascii="Times" w:hAnsi="Times" w:cs="Arial"/>
        </w:rPr>
        <w:t>.</w:t>
      </w:r>
      <w:r w:rsidR="001D7170" w:rsidRPr="00023C48">
        <w:rPr>
          <w:rFonts w:ascii="Times" w:hAnsi="Times" w:cs="Arial"/>
        </w:rPr>
        <w:t xml:space="preserve"> </w:t>
      </w:r>
      <w:r w:rsidR="00207224" w:rsidRPr="00023C48">
        <w:rPr>
          <w:rFonts w:ascii="Times" w:hAnsi="Times" w:cs="Arial"/>
        </w:rPr>
        <w:t xml:space="preserve">Five practice trials were </w:t>
      </w:r>
      <w:r w:rsidR="001D7170" w:rsidRPr="00023C48">
        <w:rPr>
          <w:rFonts w:ascii="Times" w:hAnsi="Times" w:cs="Arial"/>
        </w:rPr>
        <w:t xml:space="preserve">followed by </w:t>
      </w:r>
      <w:r w:rsidRPr="00023C48">
        <w:rPr>
          <w:rFonts w:ascii="Times" w:hAnsi="Times" w:cs="Arial"/>
        </w:rPr>
        <w:t>5 blocks of 32 trials</w:t>
      </w:r>
      <w:r w:rsidR="006B037C" w:rsidRPr="00023C48">
        <w:rPr>
          <w:rFonts w:ascii="Times" w:hAnsi="Times" w:cs="Arial"/>
        </w:rPr>
        <w:t xml:space="preserve"> </w:t>
      </w:r>
      <w:r w:rsidRPr="00023C48">
        <w:rPr>
          <w:rFonts w:ascii="Times" w:hAnsi="Times" w:cs="Arial"/>
        </w:rPr>
        <w:fldChar w:fldCharType="begin" w:fldLock="1"/>
      </w:r>
      <w:r w:rsidR="00B260BF">
        <w:rPr>
          <w:rFonts w:ascii="Times" w:hAnsi="Times" w:cs="Arial"/>
        </w:rPr>
        <w:instrText>ADDIN CSL_CITATION { "citationItems" : [ { "id" : "ITEM-1", "itemData" : { "author" : [ { "dropping-particle" : "", "family" : "Posner", "given" : "Michael I", "non-dropping-particle" : "", "parse-names" : false, "suffix" : "" }, { "dropping-particle" : "", "family" : "Nissen", "given" : "Mary Jo", "non-dropping-particle" : "", "parse-names" : false, "suffix" : "" }, { "dropping-particle" : "", "family" : "Ogden", "given" : "William C", "non-dropping-particle" : "", "parse-names" : false, "suffix" : "" } ], "container-title" : "Modes of Perceiving and Processing Information", "editor" : [ { "dropping-particle" : "", "family" : "Saltzman", "given" : "Elliot", "non-dropping-particle" : "", "parse-names" : false, "suffix" : "" }, { "dropping-particle" : "", "family" : "Pick Jr.", "given" : "Herbert L", "non-dropping-particle" : "", "parse-names" : false, "suffix" : "" } ], "id" : "ITEM-1", "issued" : { "date-parts" : [ [ "1978" ] ] }, "page" : "137-156", "publisher" : "Lawrence Erlbaum Associates", "publisher-place" : "Hillsdale, New Jersey", "title" : "Attended and Unattended Processing Modes : The Role of Set for Spatial Location", "type" : "chapter" }, "uris" : [ "http://www.mendeley.com/documents/?uuid=ce684814-6a46-4f0d-9536-a50e15d64f93" ] } ], "mendeley" : { "formattedCitation" : "(Posner et al. 1978)", "plainTextFormattedCitation" : "(Posner et al. 1978)", "previouslyFormattedCitation" : "(Posner et al. 1978)" }, "properties" : { "noteIndex" : 0 }, "schema" : "https://github.com/citation-style-language/schema/raw/master/csl-citation.json" }</w:instrText>
      </w:r>
      <w:r w:rsidRPr="00023C48">
        <w:rPr>
          <w:rFonts w:ascii="Times" w:hAnsi="Times" w:cs="Arial"/>
        </w:rPr>
        <w:fldChar w:fldCharType="separate"/>
      </w:r>
      <w:r w:rsidR="00255F1F" w:rsidRPr="00255F1F">
        <w:rPr>
          <w:rFonts w:ascii="Times" w:hAnsi="Times" w:cs="Arial"/>
          <w:noProof/>
        </w:rPr>
        <w:t>(Posner et al. 1978)</w:t>
      </w:r>
      <w:r w:rsidRPr="00023C48">
        <w:rPr>
          <w:rFonts w:ascii="Times" w:hAnsi="Times" w:cs="Arial"/>
        </w:rPr>
        <w:fldChar w:fldCharType="end"/>
      </w:r>
      <w:r w:rsidRPr="00023C48">
        <w:rPr>
          <w:rFonts w:ascii="Times" w:hAnsi="Times" w:cs="Arial"/>
        </w:rPr>
        <w:t xml:space="preserve">. Each trial consisted of a central fixation cross, presented for an interval of 500ms to 3s, after which one of four </w:t>
      </w:r>
      <w:r w:rsidR="002C0A1A" w:rsidRPr="00023C48">
        <w:rPr>
          <w:rFonts w:ascii="Times" w:hAnsi="Times" w:cs="Arial"/>
        </w:rPr>
        <w:t xml:space="preserve">conditions </w:t>
      </w:r>
      <w:r w:rsidR="009D2303" w:rsidRPr="00023C48">
        <w:rPr>
          <w:rFonts w:ascii="Times" w:hAnsi="Times" w:cs="Arial"/>
        </w:rPr>
        <w:t>was possible</w:t>
      </w:r>
      <w:r w:rsidR="00F62A79" w:rsidRPr="00023C48">
        <w:rPr>
          <w:rFonts w:ascii="Times" w:hAnsi="Times" w:cs="Arial"/>
        </w:rPr>
        <w:t>. In the first condition,</w:t>
      </w:r>
      <w:r w:rsidR="006F3167" w:rsidRPr="00023C48">
        <w:rPr>
          <w:rFonts w:ascii="Times" w:hAnsi="Times" w:cs="Arial"/>
        </w:rPr>
        <w:t xml:space="preserve"> </w:t>
      </w:r>
      <w:r w:rsidRPr="00023C48">
        <w:rPr>
          <w:rFonts w:ascii="Times" w:hAnsi="Times" w:cs="Arial"/>
        </w:rPr>
        <w:t>a square target ap</w:t>
      </w:r>
      <w:r w:rsidR="0094085D" w:rsidRPr="00023C48">
        <w:rPr>
          <w:rFonts w:ascii="Times" w:hAnsi="Times" w:cs="Arial"/>
        </w:rPr>
        <w:t>peared</w:t>
      </w:r>
      <w:r w:rsidRPr="00023C48">
        <w:rPr>
          <w:rFonts w:ascii="Times" w:hAnsi="Times" w:cs="Arial"/>
        </w:rPr>
        <w:t xml:space="preserve"> on the right or left of the screen without any other stimulus</w:t>
      </w:r>
      <w:r w:rsidR="00D96AA8" w:rsidRPr="00023C48">
        <w:rPr>
          <w:rFonts w:ascii="Times" w:hAnsi="Times" w:cs="Arial"/>
        </w:rPr>
        <w:t xml:space="preserve"> (‘No Cue’ condition)</w:t>
      </w:r>
      <w:r w:rsidRPr="00023C48">
        <w:rPr>
          <w:rFonts w:ascii="Times" w:hAnsi="Times" w:cs="Arial"/>
        </w:rPr>
        <w:t xml:space="preserve">. Participants </w:t>
      </w:r>
      <w:r w:rsidR="000317FC" w:rsidRPr="00023C48">
        <w:rPr>
          <w:rFonts w:ascii="Times" w:hAnsi="Times" w:cs="Arial"/>
        </w:rPr>
        <w:t>responded left o</w:t>
      </w:r>
      <w:r w:rsidR="00BC0736" w:rsidRPr="00023C48">
        <w:rPr>
          <w:rFonts w:ascii="Times" w:hAnsi="Times" w:cs="Arial"/>
        </w:rPr>
        <w:t>r</w:t>
      </w:r>
      <w:r w:rsidR="000317FC" w:rsidRPr="00023C48">
        <w:rPr>
          <w:rFonts w:ascii="Times" w:hAnsi="Times" w:cs="Arial"/>
        </w:rPr>
        <w:t xml:space="preserve"> right depending on the spatial location of the target</w:t>
      </w:r>
      <w:r w:rsidRPr="00023C48">
        <w:rPr>
          <w:rFonts w:ascii="Times" w:hAnsi="Times" w:cs="Arial"/>
        </w:rPr>
        <w:t>. In the other 3 conditions, an arrow pointing left, righ</w:t>
      </w:r>
      <w:r w:rsidR="0094085D" w:rsidRPr="00023C48">
        <w:rPr>
          <w:rFonts w:ascii="Times" w:hAnsi="Times" w:cs="Arial"/>
        </w:rPr>
        <w:t>t or in both directions was</w:t>
      </w:r>
      <w:r w:rsidRPr="00023C48">
        <w:rPr>
          <w:rFonts w:ascii="Times" w:hAnsi="Times" w:cs="Arial"/>
        </w:rPr>
        <w:t xml:space="preserve"> presented centrally for 200ms prior to the target.</w:t>
      </w:r>
      <w:r w:rsidR="0094085D" w:rsidRPr="00023C48">
        <w:rPr>
          <w:rFonts w:ascii="Times" w:hAnsi="Times" w:cs="Arial"/>
        </w:rPr>
        <w:t xml:space="preserve"> </w:t>
      </w:r>
      <w:r w:rsidR="00232B96" w:rsidRPr="00023C48">
        <w:rPr>
          <w:rFonts w:ascii="Times" w:hAnsi="Times" w:cs="Arial"/>
        </w:rPr>
        <w:t>A</w:t>
      </w:r>
      <w:r w:rsidR="0094085D" w:rsidRPr="00023C48">
        <w:rPr>
          <w:rFonts w:ascii="Times" w:hAnsi="Times" w:cs="Arial"/>
        </w:rPr>
        <w:t xml:space="preserve"> double-headed arrow encoded</w:t>
      </w:r>
      <w:r w:rsidRPr="00023C48">
        <w:rPr>
          <w:rFonts w:ascii="Times" w:hAnsi="Times" w:cs="Arial"/>
        </w:rPr>
        <w:t xml:space="preserve"> no information about the location of</w:t>
      </w:r>
      <w:r w:rsidR="0094085D" w:rsidRPr="00023C48">
        <w:rPr>
          <w:rFonts w:ascii="Times" w:hAnsi="Times" w:cs="Arial"/>
        </w:rPr>
        <w:t xml:space="preserve"> the subsequent target, but alert</w:t>
      </w:r>
      <w:r w:rsidRPr="00023C48">
        <w:rPr>
          <w:rFonts w:ascii="Times" w:hAnsi="Times" w:cs="Arial"/>
        </w:rPr>
        <w:t>e</w:t>
      </w:r>
      <w:r w:rsidR="0094085D" w:rsidRPr="00023C48">
        <w:rPr>
          <w:rFonts w:ascii="Times" w:hAnsi="Times" w:cs="Arial"/>
        </w:rPr>
        <w:t xml:space="preserve">d the participant to </w:t>
      </w:r>
      <w:r w:rsidR="00DB1BEE" w:rsidRPr="00023C48">
        <w:rPr>
          <w:rFonts w:ascii="Times" w:hAnsi="Times" w:cs="Arial"/>
        </w:rPr>
        <w:t xml:space="preserve">imminent </w:t>
      </w:r>
      <w:r w:rsidR="0062117C" w:rsidRPr="00023C48">
        <w:rPr>
          <w:rFonts w:ascii="Times" w:hAnsi="Times" w:cs="Arial"/>
        </w:rPr>
        <w:t>target appearance</w:t>
      </w:r>
      <w:r w:rsidR="0094085D" w:rsidRPr="00023C48">
        <w:rPr>
          <w:rFonts w:ascii="Times" w:hAnsi="Times" w:cs="Arial"/>
        </w:rPr>
        <w:t xml:space="preserve"> </w:t>
      </w:r>
      <w:r w:rsidR="00DB1B0A" w:rsidRPr="00023C48">
        <w:rPr>
          <w:rFonts w:ascii="Times" w:hAnsi="Times" w:cs="Arial"/>
        </w:rPr>
        <w:t>(‘Alerting</w:t>
      </w:r>
      <w:r w:rsidR="00C360AC" w:rsidRPr="00023C48">
        <w:rPr>
          <w:rFonts w:ascii="Times" w:hAnsi="Times" w:cs="Arial"/>
        </w:rPr>
        <w:t xml:space="preserve"> Cue</w:t>
      </w:r>
      <w:r w:rsidR="00DB1B0A" w:rsidRPr="00023C48">
        <w:rPr>
          <w:rFonts w:ascii="Times" w:hAnsi="Times" w:cs="Arial"/>
        </w:rPr>
        <w:t>’ condition)</w:t>
      </w:r>
      <w:r w:rsidRPr="00023C48">
        <w:rPr>
          <w:rFonts w:ascii="Times" w:hAnsi="Times" w:cs="Arial"/>
        </w:rPr>
        <w:t xml:space="preserve"> </w:t>
      </w:r>
      <w:r w:rsidRPr="00023C48">
        <w:rPr>
          <w:rFonts w:ascii="Times" w:hAnsi="Times" w:cs="Arial"/>
        </w:rPr>
        <w:fldChar w:fldCharType="begin" w:fldLock="1"/>
      </w:r>
      <w:r w:rsidR="00BC7BDB">
        <w:rPr>
          <w:rFonts w:ascii="Times" w:hAnsi="Times" w:cs="Arial"/>
        </w:rPr>
        <w:instrText>ADDIN CSL_CITATION { "citationItems" : [ { "id" : "ITEM-1", "itemData" : { "DOI" : "10.1162/089892902317361886", "ISSN" : "0898-929X", "abstract" : "In recent years, three attentional networks have been defined in anatomical and functional terms. These functions involve alerting, orienting, and executive attention. Reaction time measures can be used to quantify the processing efficiency within each of these three networks. The Attention Network Test (ANT) is designed to evaluate alerting, orienting, and executive attention within a single 30-min testing session that can be easily performed by children, patients, and monkeys. A study with 40 normal adult subjects indicates that the ANT produces reliable single subject estimates of alerting, orienting, and executive function, and further suggests that the efficiencies of these three networks are uncorrelated. There are, however, some interactions in which alerting and orienting can modulate the degree of interference from flankers. This procedure may prove to be convenient and useful in evaluating attentional abnormalities associated with cases of brain injury, stroke, schizophrenia, and attention-deficit disorder. The ANT may also serve as an activation task for neuroimaging studies and as a phenotype for the study of the influence of genes on attentional networks.", "author" : [ { "dropping-particle" : "", "family" : "Fan", "given" : "J", "non-dropping-particle" : "", "parse-names" : false, "suffix" : "" }, { "dropping-particle" : "", "family" : "McCandliss", "given" : "B D", "non-dropping-particle" : "", "parse-names" : false, "suffix" : "" }, { "dropping-particle" : "", "family" : "Sommer", "given" : "T", "non-dropping-particle" : "", "parse-names" : false, "suffix" : "" }, { "dropping-particle" : "", "family" : "Raz", "given" : "A", "non-dropping-particle" : "", "parse-names" : false, "suffix" : "" }, { "dropping-particle" : "", "family" : "Posner", "given" : "M I", "non-dropping-particle" : "", "parse-names" : false, "suffix" : "" } ], "container-title" : "J Cogn Neurosci", "id" : "ITEM-1", "issued" : { "date-parts" : [ [ "2002" ] ] }, "language" : "eng", "page" : "340-347", "title" : "Testing the efficiency and independence of attentional networks", "type" : "article-journal", "volume" : "14" }, "uris" : [ "http://www.mendeley.com/documents/?uuid=7d81d75f-1aa5-4f4c-90c7-c2bd1db1eb81" ] } ], "mendeley" : { "formattedCitation" : "(J Fan et al. 2002)", "manualFormatting" : "(Fan et al. 2002)", "plainTextFormattedCitation" : "(J Fan et al. 2002)", "previouslyFormattedCitation" : "(J Fan et al. 2002)" }, "properties" : { "noteIndex" : 0 }, "schema" : "https://github.com/citation-style-language/schema/raw/master/csl-citation.json" }</w:instrText>
      </w:r>
      <w:r w:rsidRPr="00023C48">
        <w:rPr>
          <w:rFonts w:ascii="Times" w:hAnsi="Times" w:cs="Arial"/>
        </w:rPr>
        <w:fldChar w:fldCharType="separate"/>
      </w:r>
      <w:r w:rsidR="00255F1F" w:rsidRPr="00255F1F">
        <w:rPr>
          <w:rFonts w:ascii="Times" w:hAnsi="Times" w:cs="Arial"/>
          <w:noProof/>
        </w:rPr>
        <w:t>(Fan et al. 2002)</w:t>
      </w:r>
      <w:r w:rsidRPr="00023C48">
        <w:rPr>
          <w:rFonts w:ascii="Times" w:hAnsi="Times" w:cs="Arial"/>
        </w:rPr>
        <w:fldChar w:fldCharType="end"/>
      </w:r>
      <w:r w:rsidRPr="00023C48">
        <w:rPr>
          <w:rFonts w:ascii="Times" w:hAnsi="Times" w:cs="Arial"/>
        </w:rPr>
        <w:t>. In contrast</w:t>
      </w:r>
      <w:r w:rsidR="00DB1B0A" w:rsidRPr="00023C48">
        <w:rPr>
          <w:rFonts w:ascii="Times" w:hAnsi="Times" w:cs="Arial"/>
        </w:rPr>
        <w:t>,</w:t>
      </w:r>
      <w:r w:rsidRPr="00023C48">
        <w:rPr>
          <w:rFonts w:ascii="Times" w:hAnsi="Times" w:cs="Arial"/>
        </w:rPr>
        <w:t xml:space="preserve"> the </w:t>
      </w:r>
      <w:r w:rsidR="00DB1B0A" w:rsidRPr="00023C48">
        <w:rPr>
          <w:rFonts w:ascii="Times" w:hAnsi="Times" w:cs="Arial"/>
        </w:rPr>
        <w:t xml:space="preserve">directional </w:t>
      </w:r>
      <w:r w:rsidRPr="00023C48">
        <w:rPr>
          <w:rFonts w:ascii="Times" w:hAnsi="Times" w:cs="Arial"/>
        </w:rPr>
        <w:t>arrows accurately cue</w:t>
      </w:r>
      <w:r w:rsidR="009F215E" w:rsidRPr="00023C48">
        <w:rPr>
          <w:rFonts w:ascii="Times" w:hAnsi="Times" w:cs="Arial"/>
        </w:rPr>
        <w:t>d</w:t>
      </w:r>
      <w:r w:rsidRPr="00023C48">
        <w:rPr>
          <w:rFonts w:ascii="Times" w:hAnsi="Times" w:cs="Arial"/>
        </w:rPr>
        <w:t xml:space="preserve"> the spatial location of the subsequent cue 80% of the time (</w:t>
      </w:r>
      <w:r w:rsidR="00C360AC" w:rsidRPr="00023C48">
        <w:rPr>
          <w:rFonts w:ascii="Times" w:hAnsi="Times" w:cs="Arial"/>
        </w:rPr>
        <w:t>‘V</w:t>
      </w:r>
      <w:r w:rsidRPr="00023C48">
        <w:rPr>
          <w:rFonts w:ascii="Times" w:hAnsi="Times" w:cs="Arial"/>
        </w:rPr>
        <w:t>alid</w:t>
      </w:r>
      <w:r w:rsidR="00C360AC" w:rsidRPr="00023C48">
        <w:rPr>
          <w:rFonts w:ascii="Times" w:hAnsi="Times" w:cs="Arial"/>
        </w:rPr>
        <w:t xml:space="preserve"> Cue’</w:t>
      </w:r>
      <w:r w:rsidRPr="00023C48">
        <w:rPr>
          <w:rFonts w:ascii="Times" w:hAnsi="Times" w:cs="Arial"/>
        </w:rPr>
        <w:t xml:space="preserve"> </w:t>
      </w:r>
      <w:r w:rsidR="00C360AC" w:rsidRPr="00023C48">
        <w:rPr>
          <w:rFonts w:ascii="Times" w:hAnsi="Times" w:cs="Arial"/>
        </w:rPr>
        <w:t>condition</w:t>
      </w:r>
      <w:r w:rsidRPr="00023C48">
        <w:rPr>
          <w:rFonts w:ascii="Times" w:hAnsi="Times" w:cs="Arial"/>
        </w:rPr>
        <w:t>). In 20% of trials, the target would appear on the opposite side (</w:t>
      </w:r>
      <w:r w:rsidR="00C360AC" w:rsidRPr="00023C48">
        <w:rPr>
          <w:rFonts w:ascii="Times" w:hAnsi="Times" w:cs="Arial"/>
        </w:rPr>
        <w:t>‘Invalid C</w:t>
      </w:r>
      <w:r w:rsidRPr="00023C48">
        <w:rPr>
          <w:rFonts w:ascii="Times" w:hAnsi="Times" w:cs="Arial"/>
        </w:rPr>
        <w:t>ue</w:t>
      </w:r>
      <w:r w:rsidR="00C360AC" w:rsidRPr="00023C48">
        <w:rPr>
          <w:rFonts w:ascii="Times" w:hAnsi="Times" w:cs="Arial"/>
        </w:rPr>
        <w:t>’ condition</w:t>
      </w:r>
      <w:r w:rsidRPr="00023C48">
        <w:rPr>
          <w:rFonts w:ascii="Times" w:hAnsi="Times" w:cs="Arial"/>
        </w:rPr>
        <w:t xml:space="preserve">). The arrows subtended a visual angle of 2.9°. The square targets subtended a visual angle of 1.15° and were located at a visual angle of 5.7° to the right or left of centre. </w:t>
      </w:r>
      <w:r w:rsidR="009F0556" w:rsidRPr="00023C48">
        <w:rPr>
          <w:rFonts w:ascii="Times" w:hAnsi="Times" w:cs="Arial"/>
        </w:rPr>
        <w:t>Participants</w:t>
      </w:r>
      <w:r w:rsidR="00FF6B72" w:rsidRPr="00023C48">
        <w:rPr>
          <w:rFonts w:ascii="Times" w:hAnsi="Times" w:cs="Arial"/>
        </w:rPr>
        <w:t xml:space="preserve"> had 1.5s in which to respond, after which a new trial began</w:t>
      </w:r>
      <w:r w:rsidRPr="00023C48">
        <w:rPr>
          <w:rFonts w:ascii="Times" w:hAnsi="Times" w:cs="Arial"/>
        </w:rPr>
        <w:t>.</w:t>
      </w:r>
      <w:r w:rsidR="005D77D0" w:rsidRPr="00023C48">
        <w:rPr>
          <w:rFonts w:ascii="Times" w:hAnsi="Times" w:cs="Arial"/>
        </w:rPr>
        <w:t xml:space="preserve"> </w:t>
      </w:r>
      <w:r w:rsidR="008B4E9E" w:rsidRPr="00023C48">
        <w:rPr>
          <w:rFonts w:ascii="Times" w:hAnsi="Times" w:cs="Arial"/>
        </w:rPr>
        <w:t>A</w:t>
      </w:r>
      <w:r w:rsidR="001E4500" w:rsidRPr="00023C48">
        <w:rPr>
          <w:rFonts w:ascii="Times" w:hAnsi="Times" w:cs="Arial"/>
        </w:rPr>
        <w:t xml:space="preserve">ccuracy and reaction </w:t>
      </w:r>
      <w:r w:rsidR="00392EAC" w:rsidRPr="00023C48">
        <w:rPr>
          <w:rFonts w:ascii="Times" w:hAnsi="Times" w:cs="Arial"/>
        </w:rPr>
        <w:t xml:space="preserve">time </w:t>
      </w:r>
      <w:r w:rsidR="0091628A" w:rsidRPr="00023C48">
        <w:rPr>
          <w:rFonts w:ascii="Times" w:hAnsi="Times" w:cs="Arial"/>
        </w:rPr>
        <w:t>were analysed for the four</w:t>
      </w:r>
      <w:r w:rsidR="00392EAC" w:rsidRPr="00023C48">
        <w:rPr>
          <w:rFonts w:ascii="Times" w:hAnsi="Times" w:cs="Arial"/>
        </w:rPr>
        <w:t xml:space="preserve"> cue condition</w:t>
      </w:r>
      <w:r w:rsidR="0091628A" w:rsidRPr="00023C48">
        <w:rPr>
          <w:rFonts w:ascii="Times" w:hAnsi="Times" w:cs="Arial"/>
        </w:rPr>
        <w:t>s</w:t>
      </w:r>
      <w:r w:rsidR="00BC0736" w:rsidRPr="00023C48">
        <w:rPr>
          <w:rFonts w:ascii="Times" w:hAnsi="Times" w:cs="Arial"/>
        </w:rPr>
        <w:t>,</w:t>
      </w:r>
      <w:r w:rsidR="00392EAC" w:rsidRPr="00023C48">
        <w:rPr>
          <w:rFonts w:ascii="Times" w:hAnsi="Times" w:cs="Arial"/>
        </w:rPr>
        <w:t xml:space="preserve"> </w:t>
      </w:r>
      <w:r w:rsidR="00C6622D" w:rsidRPr="00023C48">
        <w:rPr>
          <w:rFonts w:ascii="Times" w:hAnsi="Times" w:cs="Arial"/>
        </w:rPr>
        <w:t xml:space="preserve">and </w:t>
      </w:r>
      <w:r w:rsidR="00FC3C4D" w:rsidRPr="00023C48">
        <w:rPr>
          <w:rFonts w:ascii="Times" w:hAnsi="Times" w:cs="Arial"/>
        </w:rPr>
        <w:t>interaction</w:t>
      </w:r>
      <w:r w:rsidR="00C6622D" w:rsidRPr="00023C48">
        <w:rPr>
          <w:rFonts w:ascii="Times" w:hAnsi="Times" w:cs="Arial"/>
        </w:rPr>
        <w:t>s</w:t>
      </w:r>
      <w:r w:rsidR="00FC3C4D" w:rsidRPr="00023C48">
        <w:rPr>
          <w:rFonts w:ascii="Times" w:hAnsi="Times" w:cs="Arial"/>
        </w:rPr>
        <w:t xml:space="preserve"> </w:t>
      </w:r>
      <w:r w:rsidR="00C6622D" w:rsidRPr="00023C48">
        <w:rPr>
          <w:rFonts w:ascii="Times" w:hAnsi="Times" w:cs="Arial"/>
        </w:rPr>
        <w:t>between</w:t>
      </w:r>
      <w:r w:rsidR="00FC3C4D" w:rsidRPr="00023C48">
        <w:rPr>
          <w:rFonts w:ascii="Times" w:hAnsi="Times" w:cs="Arial"/>
        </w:rPr>
        <w:t xml:space="preserve"> tDCS and cue condition</w:t>
      </w:r>
      <w:r w:rsidR="00C6622D" w:rsidRPr="00023C48">
        <w:rPr>
          <w:rFonts w:ascii="Times" w:hAnsi="Times" w:cs="Arial"/>
        </w:rPr>
        <w:t xml:space="preserve"> were tested</w:t>
      </w:r>
      <w:r w:rsidR="00FC3C4D" w:rsidRPr="00023C48">
        <w:rPr>
          <w:rFonts w:ascii="Times" w:hAnsi="Times" w:cs="Arial"/>
        </w:rPr>
        <w:t>.</w:t>
      </w:r>
    </w:p>
    <w:p w14:paraId="05EEB3BA" w14:textId="77777777" w:rsidR="00524588" w:rsidRPr="00023C48" w:rsidRDefault="00524588" w:rsidP="005374CB">
      <w:pPr>
        <w:spacing w:line="480" w:lineRule="auto"/>
        <w:jc w:val="both"/>
        <w:rPr>
          <w:rFonts w:ascii="Times" w:hAnsi="Times" w:cs="Arial"/>
        </w:rPr>
      </w:pPr>
    </w:p>
    <w:p w14:paraId="26857954" w14:textId="77777777" w:rsidR="008C240E" w:rsidRPr="00023C48" w:rsidRDefault="008C240E" w:rsidP="005374CB">
      <w:pPr>
        <w:spacing w:line="480" w:lineRule="auto"/>
        <w:jc w:val="both"/>
        <w:rPr>
          <w:rFonts w:ascii="Times" w:hAnsi="Times" w:cs="Arial"/>
          <w:i/>
        </w:rPr>
      </w:pPr>
      <w:r w:rsidRPr="00023C48">
        <w:rPr>
          <w:rFonts w:ascii="Times" w:hAnsi="Times" w:cs="Arial"/>
          <w:i/>
        </w:rPr>
        <w:t>Choice reaction time task (CRT)</w:t>
      </w:r>
    </w:p>
    <w:p w14:paraId="2F4CF45E" w14:textId="4CE5465E" w:rsidR="008C240E" w:rsidRPr="00023C48" w:rsidRDefault="008C240E" w:rsidP="005374CB">
      <w:pPr>
        <w:spacing w:line="480" w:lineRule="auto"/>
        <w:jc w:val="both"/>
        <w:rPr>
          <w:rFonts w:ascii="Times" w:hAnsi="Times" w:cs="Arial"/>
        </w:rPr>
      </w:pPr>
      <w:r w:rsidRPr="00023C48">
        <w:rPr>
          <w:rFonts w:ascii="Times" w:hAnsi="Times" w:cs="Arial"/>
        </w:rPr>
        <w:t>The CRT is a speeded response task measuring information processing speed and sustained attention</w:t>
      </w:r>
      <w:r w:rsidR="005B3B47" w:rsidRPr="00023C48">
        <w:rPr>
          <w:rFonts w:ascii="Times" w:hAnsi="Times" w:cs="Arial"/>
        </w:rPr>
        <w:t xml:space="preserve"> </w:t>
      </w:r>
      <w:r w:rsidR="00861782" w:rsidRPr="00941732">
        <w:rPr>
          <w:rFonts w:ascii="Times" w:hAnsi="Times" w:cs="Arial"/>
        </w:rPr>
        <w:t>(Figure 1</w:t>
      </w:r>
      <w:r w:rsidR="008E4F7F" w:rsidRPr="00941732">
        <w:rPr>
          <w:rFonts w:ascii="Times" w:hAnsi="Times" w:cs="Arial"/>
        </w:rPr>
        <w:t>E</w:t>
      </w:r>
      <w:r w:rsidR="00CD2BD3" w:rsidRPr="00941732">
        <w:rPr>
          <w:rFonts w:ascii="Times" w:hAnsi="Times" w:cs="Arial"/>
        </w:rPr>
        <w:t>)</w:t>
      </w:r>
      <w:r w:rsidRPr="00941732">
        <w:rPr>
          <w:rFonts w:ascii="Times" w:hAnsi="Times" w:cs="Arial"/>
        </w:rPr>
        <w:t>.</w:t>
      </w:r>
      <w:r w:rsidRPr="00023C48">
        <w:rPr>
          <w:rFonts w:ascii="Times" w:hAnsi="Times" w:cs="Arial"/>
        </w:rPr>
        <w:t xml:space="preserve"> </w:t>
      </w:r>
      <w:r w:rsidR="00CD2BD3" w:rsidRPr="00023C48">
        <w:rPr>
          <w:rFonts w:ascii="Times" w:hAnsi="Times" w:cs="Arial"/>
        </w:rPr>
        <w:t xml:space="preserve">Five practice trials were </w:t>
      </w:r>
      <w:r w:rsidRPr="00023C48">
        <w:rPr>
          <w:rFonts w:ascii="Times" w:hAnsi="Times" w:cs="Arial"/>
        </w:rPr>
        <w:t xml:space="preserve">followed by 3 blocks of 48 trials. Each trial consisted of a left or right pointing arrow presented for </w:t>
      </w:r>
      <w:r w:rsidR="00D90C7A" w:rsidRPr="00023C48">
        <w:rPr>
          <w:rFonts w:ascii="Times" w:hAnsi="Times" w:cs="Arial"/>
        </w:rPr>
        <w:t xml:space="preserve">a maximum of </w:t>
      </w:r>
      <w:r w:rsidRPr="00023C48">
        <w:rPr>
          <w:rFonts w:ascii="Times" w:hAnsi="Times" w:cs="Arial"/>
        </w:rPr>
        <w:t xml:space="preserve">1.4s. Participants </w:t>
      </w:r>
      <w:r w:rsidR="00AA7E7A" w:rsidRPr="00023C48">
        <w:rPr>
          <w:rFonts w:ascii="Times" w:hAnsi="Times" w:cs="Arial"/>
        </w:rPr>
        <w:t>responded with a left or right finger press depending on the direction of the arrow</w:t>
      </w:r>
      <w:r w:rsidRPr="00023C48">
        <w:rPr>
          <w:rFonts w:ascii="Times" w:hAnsi="Times" w:cs="Arial"/>
        </w:rPr>
        <w:t xml:space="preserve">. The arrows were centrally located and subtended a visual angle of 2.9°. The arrow disappeared as soon as participants responded. During the interstimulus interval (ISI), which was variable, there was a blank screen. There were 3 possible ISI durations: short (1s </w:t>
      </w:r>
      <w:r w:rsidRPr="00023C48">
        <w:rPr>
          <w:rFonts w:ascii="Times" w:hAnsi="Times" w:cs="Arial"/>
          <w:u w:val="single"/>
        </w:rPr>
        <w:t>+</w:t>
      </w:r>
      <w:r w:rsidRPr="00023C48">
        <w:rPr>
          <w:rFonts w:ascii="Times" w:hAnsi="Times" w:cs="Arial"/>
        </w:rPr>
        <w:t xml:space="preserve">10% jitter), medium (2s </w:t>
      </w:r>
      <w:r w:rsidRPr="00023C48">
        <w:rPr>
          <w:rFonts w:ascii="Times" w:hAnsi="Times" w:cs="Arial"/>
          <w:u w:val="single"/>
        </w:rPr>
        <w:t>+</w:t>
      </w:r>
      <w:r w:rsidRPr="00023C48">
        <w:rPr>
          <w:rFonts w:ascii="Times" w:hAnsi="Times" w:cs="Arial"/>
        </w:rPr>
        <w:t xml:space="preserve">10% jitter), and long (4s </w:t>
      </w:r>
      <w:r w:rsidRPr="00023C48">
        <w:rPr>
          <w:rFonts w:ascii="Times" w:hAnsi="Times" w:cs="Arial"/>
          <w:u w:val="single"/>
        </w:rPr>
        <w:t>+</w:t>
      </w:r>
      <w:r w:rsidRPr="00023C48">
        <w:rPr>
          <w:rFonts w:ascii="Times" w:hAnsi="Times" w:cs="Arial"/>
        </w:rPr>
        <w:t xml:space="preserve">10% jitter). Each block included equal numbers of right and left trials, and </w:t>
      </w:r>
      <w:r w:rsidR="00AA7E7A" w:rsidRPr="00023C48">
        <w:rPr>
          <w:rFonts w:ascii="Times" w:hAnsi="Times" w:cs="Arial"/>
        </w:rPr>
        <w:t>equal numbers of</w:t>
      </w:r>
      <w:r w:rsidRPr="00023C48">
        <w:rPr>
          <w:rFonts w:ascii="Times" w:hAnsi="Times" w:cs="Arial"/>
        </w:rPr>
        <w:t xml:space="preserve"> ISI duration. The 3 blocks immediately followed each other so that the participant experienced a single block of 144 trials lasting approximately 9 minutes</w:t>
      </w:r>
      <w:r w:rsidR="009E1CA0" w:rsidRPr="00023C48">
        <w:rPr>
          <w:rFonts w:ascii="Times" w:hAnsi="Times" w:cs="Arial"/>
        </w:rPr>
        <w:t>. R</w:t>
      </w:r>
      <w:r w:rsidRPr="00023C48">
        <w:rPr>
          <w:rFonts w:ascii="Times" w:hAnsi="Times" w:cs="Arial"/>
        </w:rPr>
        <w:t>eaction</w:t>
      </w:r>
      <w:r w:rsidR="00001A70" w:rsidRPr="00023C48">
        <w:rPr>
          <w:rFonts w:ascii="Times" w:hAnsi="Times" w:cs="Arial"/>
        </w:rPr>
        <w:t xml:space="preserve"> time</w:t>
      </w:r>
      <w:r w:rsidR="00622011" w:rsidRPr="00023C48">
        <w:rPr>
          <w:rFonts w:ascii="Times" w:hAnsi="Times" w:cs="Arial"/>
        </w:rPr>
        <w:t xml:space="preserve"> and accuracy</w:t>
      </w:r>
      <w:r w:rsidR="009E1CA0" w:rsidRPr="00023C48">
        <w:rPr>
          <w:rFonts w:ascii="Times" w:hAnsi="Times" w:cs="Arial"/>
        </w:rPr>
        <w:t xml:space="preserve"> were calculated for each ISI duration type. As </w:t>
      </w:r>
      <w:r w:rsidR="00DC04A6" w:rsidRPr="00023C48">
        <w:rPr>
          <w:rFonts w:ascii="Times" w:hAnsi="Times" w:cs="Arial"/>
        </w:rPr>
        <w:t>in previous work,</w:t>
      </w:r>
      <w:r w:rsidR="009E1CA0" w:rsidRPr="00023C48">
        <w:rPr>
          <w:rFonts w:ascii="Times" w:hAnsi="Times" w:cs="Arial"/>
        </w:rPr>
        <w:t xml:space="preserve"> we analysed </w:t>
      </w:r>
      <w:r w:rsidR="00DC04A6" w:rsidRPr="00023C48">
        <w:rPr>
          <w:rFonts w:ascii="Times" w:hAnsi="Times" w:cs="Arial"/>
        </w:rPr>
        <w:t>performance</w:t>
      </w:r>
      <w:r w:rsidR="009E1CA0" w:rsidRPr="00023C48">
        <w:rPr>
          <w:rFonts w:ascii="Times" w:hAnsi="Times" w:cs="Arial"/>
        </w:rPr>
        <w:t xml:space="preserve"> in the </w:t>
      </w:r>
      <w:r w:rsidRPr="00023C48">
        <w:rPr>
          <w:rFonts w:ascii="Times" w:hAnsi="Times" w:cs="Arial"/>
        </w:rPr>
        <w:t>first and last block of the task</w:t>
      </w:r>
      <w:r w:rsidR="009E1CA0" w:rsidRPr="00023C48">
        <w:rPr>
          <w:rFonts w:ascii="Times" w:hAnsi="Times" w:cs="Arial"/>
        </w:rPr>
        <w:t xml:space="preserve"> </w:t>
      </w:r>
      <w:r w:rsidR="00BA1797" w:rsidRPr="00023C48">
        <w:rPr>
          <w:rFonts w:ascii="Times" w:hAnsi="Times" w:cs="Arial"/>
        </w:rPr>
        <w:t xml:space="preserve">separately </w:t>
      </w:r>
      <w:r w:rsidR="009E1CA0" w:rsidRPr="00023C48">
        <w:rPr>
          <w:rFonts w:ascii="Times" w:hAnsi="Times" w:cs="Arial"/>
        </w:rPr>
        <w:t xml:space="preserve">to test for </w:t>
      </w:r>
      <w:r w:rsidR="002315CE" w:rsidRPr="00023C48">
        <w:rPr>
          <w:rFonts w:ascii="Times" w:hAnsi="Times" w:cs="Arial"/>
        </w:rPr>
        <w:t>fluctuations</w:t>
      </w:r>
      <w:r w:rsidR="009E1CA0" w:rsidRPr="00023C48">
        <w:rPr>
          <w:rFonts w:ascii="Times" w:hAnsi="Times" w:cs="Arial"/>
        </w:rPr>
        <w:t xml:space="preserve"> in vigilance level. V</w:t>
      </w:r>
      <w:r w:rsidR="008F4707" w:rsidRPr="00023C48">
        <w:rPr>
          <w:rFonts w:ascii="Times" w:hAnsi="Times" w:cs="Arial"/>
        </w:rPr>
        <w:t xml:space="preserve">igilance </w:t>
      </w:r>
      <w:r w:rsidRPr="00023C48">
        <w:rPr>
          <w:rFonts w:ascii="Times" w:hAnsi="Times" w:cs="Arial"/>
        </w:rPr>
        <w:t>decrement</w:t>
      </w:r>
      <w:r w:rsidR="009E1CA0" w:rsidRPr="00023C48">
        <w:rPr>
          <w:rFonts w:ascii="Times" w:hAnsi="Times" w:cs="Arial"/>
        </w:rPr>
        <w:t xml:space="preserve"> was calculated</w:t>
      </w:r>
      <w:r w:rsidR="0065175F" w:rsidRPr="00023C48">
        <w:rPr>
          <w:rFonts w:ascii="Times" w:hAnsi="Times" w:cs="Arial"/>
        </w:rPr>
        <w:t xml:space="preserve"> by comparing the performance between first and last task blocks</w:t>
      </w:r>
      <w:r w:rsidR="00B86E6A" w:rsidRPr="00023C48">
        <w:rPr>
          <w:rFonts w:ascii="Times" w:hAnsi="Times" w:cs="Arial"/>
        </w:rPr>
        <w:t xml:space="preserve">, as </w:t>
      </w:r>
      <w:r w:rsidR="008B40D9" w:rsidRPr="00023C48">
        <w:rPr>
          <w:rFonts w:ascii="Times" w:hAnsi="Times" w:cs="Arial"/>
        </w:rPr>
        <w:t>in</w:t>
      </w:r>
      <w:r w:rsidR="00B86E6A" w:rsidRPr="00023C48">
        <w:rPr>
          <w:rFonts w:ascii="Times" w:hAnsi="Times" w:cs="Arial"/>
        </w:rPr>
        <w:t xml:space="preserve"> </w:t>
      </w:r>
      <w:r w:rsidR="00B23425" w:rsidRPr="00023C48">
        <w:rPr>
          <w:rFonts w:ascii="Times" w:hAnsi="Times" w:cs="Arial"/>
        </w:rPr>
        <w:t xml:space="preserve">previous studies </w:t>
      </w:r>
      <w:r w:rsidR="00B23425" w:rsidRPr="00023C48">
        <w:rPr>
          <w:rFonts w:ascii="Times" w:hAnsi="Times" w:cs="Arial"/>
        </w:rPr>
        <w:fldChar w:fldCharType="begin" w:fldLock="1"/>
      </w:r>
      <w:r w:rsidR="00B260BF">
        <w:rPr>
          <w:rFonts w:ascii="Times" w:hAnsi="Times" w:cs="Arial"/>
        </w:rPr>
        <w:instrText>ADDIN CSL_CITATION { "citationItems" : [ { "id" : "ITEM-1", "itemData" : { "DOI" : "10.1523/JNEUROSCI.1163-11.2011", "ISSN" : "1529-2401", "abstract" : "Traumatic brain injury (TBI) frequently produces impairments of attention in humans. These can result in a failure to maintain consistent goal-directed behavior. A predominantly right-lateralized frontoparietal network is often engaged during attentionally demanding tasks. However, lapses of attention have also been associated with increases in activation within the default mode network (DMN). Here, we study TBI patients with sustained attention impairment, defined on the basis of the consistency of their behavioral performance over time. We show that sustained attention impairments in patients are associated with an increase in DMN activation, particularly within the precuneus and posterior cingulate cortex. Furthermore, the interaction of the precuneus with the rest of the DMN at the start of the task, i.e., its functional connectivity, predicts which patients go on to show impairments of attention. Importantly, this predictive information is present before any behavioral evidence of sustained attention impairment, and the relationship is also found in a subgroup of patients without focal brain damage. TBI often results in diffuse axonal injury, which produces cognitive impairment by disconnecting nodes in distributed brain networks. Using diffusion tensor imaging, we demonstrate that structural disconnection within the DMN also correlates with the level of sustained attention. These results show that abnormalities in DMN function are a sensitive marker of impairments of attention and suggest that changes in connectivity within the DMN are central to the development of attentional impairment after TBI.", "author" : [ { "dropping-particle" : "", "family" : "Bonnelle", "given" : "V", "non-dropping-particle" : "", "parse-names" : false, "suffix" : "" }, { "dropping-particle" : "", "family" : "Leech", "given" : "R", "non-dropping-particle" : "", "parse-names" : false, "suffix" : "" }, { "dropping-particle" : "", "family" : "Kinnunen", "given" : "K M", "non-dropping-particle" : "", "parse-names" : false, "suffix" : "" }, { "dropping-particle" : "", "family" : "Ham", "given" : "T E", "non-dropping-particle" : "", "parse-names" : false, "suffix" : "" }, { "dropping-particle" : "", "family" : "Beckmann", "given" : "C F", "non-dropping-particle" : "", "parse-names" : false, "suffix" : "" }, { "dropping-particle" : "", "family" : "Boissezon", "given" : "X", "non-dropping-particle" : "De", "parse-names" : false, "suffix" : "" }, { "dropping-particle" : "", "family" : "Greenwood", "given" : "R J", "non-dropping-particle" : "", "parse-names" : false, "suffix" : "" }, { "dropping-particle" : "", "family" : "Sharp", "given" : "D J", "non-dropping-particle" : "", "parse-names" : false, "suffix" : "" } ], "container-title" : "J Neurosci", "id" : "ITEM-1", "issued" : { "date-parts" : [ [ "2011" ] ] }, "language" : "eng", "page" : "13442-13451", "title" : "Default mode network connectivity predicts sustained attention deficits after traumatic brain injury", "type" : "article-journal", "volume" : "31" }, "uris" : [ "http://www.mendeley.com/documents/?uuid=87b0e185-be14-4c58-bdee-f165265bc0d5" ] }, { "id" : "ITEM-2", "itemData" : { "DOI" : "10.1093/brain/awn350", "ISBN" : "1460-2156 (Electronic)\\n1460-2156 (Linking)", "ISSN" : "00068950", "PMID" : "19158107", "abstract" : "Recent models of human posterior parietal cortex (PPC) have variously emphasized its role in spatial perception, visuomotor control or directing attention. However, neuroimaging and lesion studies also suggest that the right PPC might play a special role in maintaining an alert state. Previously, assessments of right-hemisphere patients with hemispatial neglect have revealed significant overall deficits on vigilance tasks, but to date there has been no demonstration of a deterioration of performance over time--a vigilance decrement--considered by some to be a key index of a deficit in maintaining attention. Moreover, sustained attention deficits in neglect have not specifically been related to PPC lesions, and it remains unclear whether they interact with spatial impairments in this syndrome. Here we examined the ability of right-hemisphere patients with neglect to maintain attention, comparing them to stroke controls and healthy individuals. We found evidence of an overall deficit in sustaining attention associated with PPC lesions, even for a simple detection task with stimuli presented centrally. In a second experiment, we demonstrated a vigilance decrement in neglect patients specifically only when they were required to maintain attention to spatial locations, but not verbal material. Lesioned voxels in the right PPC spanning a region between the intraparietal sulcus and inferior parietal lobe were significantly associated with this deficit. Finally, we compared performance on a task that required attention to be maintained either to visual patterns or spatial locations, matched for task difficulty. Again, we found a vigilance decrement but only when attention had to be maintained on spatial information. We conclude that sustaining attention to spatial locations is a critical function of the human right PPC which needs to be incorporated into models of normal parietal function as well as those of the clinical syndrome of hemispatial neglect.", "author" : [ { "dropping-particle" : "", "family" : "Malhotra", "given" : "Paresh", "non-dropping-particle" : "", "parse-names" : false, "suffix" : "" }, { "dropping-particle" : "", "family" : "Coulthard", "given" : "Elizabeth J.", "non-dropping-particle" : "", "parse-names" : false, "suffix" : "" }, { "dropping-particle" : "", "family" : "Husain", "given" : "Masud", "non-dropping-particle" : "", "parse-names" : false, "suffix" : "" } ], "container-title" : "Brain", "id" : "ITEM-2", "issued" : { "date-parts" : [ [ "2009" ] ] }, "page" : "645-660", "title" : "Role of right posterior parietal cortex in maintaining attention to spatial locations over time", "type" : "article-journal", "volume" : "132" }, "uris" : [ "http://www.mendeley.com/documents/?uuid=908d3f58-0239-465a-8ae8-a6ce5e959e60" ] }, { "id" : "ITEM-3", "itemData" : { "DOI" : "10.1212/01.wnl.0000172912.07640.92", "ISBN" : "1526-632X (Electronic)\\r0028-3878 (Linking)", "ISSN" : "00283878", "PMID" : "16116118", "abstract" : "BACKGROUND: Investigations of cognitive deficits after frontal lobe damage have commonly relied on multidimensional tests and relatively coarse specification of lesion anatomy. Some form of impairment in attention is often asserted to cause the revealed deficits. OBJECTIVE: To describe a disorder of attention in patients with frontal damage using a theoretical model of the fundamental cognitive processes that underlie attention. METHODS: The ability to perform a task of concentrated responding was studied in 43 patients with well-defined chronic frontal lesions and 38 control subjects using a continuous reaction time (RT) test. Performance measures were mean RT, RT across blocks of the test, and errors. Lesion measures were coarse localization and a hot-spot analysis to detect finer grained lesion effects. RESULTS: Only patients with lesions in the right superomedial (SM) frontal regions had significantly prolonged RT consistently across the entire test. The critical lesion was in Brodmann's areas 24, 32, 9, and 46 days and in the adjacent corpus callosum. Patients with lesions in left lateral frontal (LL) regions made significantly more errors on the 20% of trials in the first block. The critical lesion was in areas 44, 45, and 47/12. CONCLUSION: Concentrating attention to respond is affected by lesions in two different frontal regions for reasons that reflect impairments in different cognitive processes. Right superomedial lesions cause an insufficient energizing of attention to respond. Left lateral lesions cause defective setting of specific stimulus-response contingencies. Constrained tests of attention can demonstrate impairments in specific cognitive operations following lesions to different regions of the frontal lobes.", "author" : [ { "dropping-particle" : "", "family" : "Alexander", "given" : "Michael P.", "non-dropping-particle" : "", "parse-names" : false, "suffix" : "" }, { "dropping-particle" : "", "family" : "Stuss", "given" : "D. T.", "non-dropping-particle" : "", "parse-names" : false, "suffix" : "" }, { "dropping-particle" : "", "family" : "Shallice", "given" : "T.", "non-dropping-particle" : "", "parse-names" : false, "suffix" : "" }, { "dropping-particle" : "", "family" : "Picton", "given" : "T. W.", "non-dropping-particle" : "", "parse-names" : false, "suffix" : "" }, { "dropping-particle" : "", "family" : "Gillingham", "given" : "S.", "non-dropping-particle" : "", "parse-names" : false, "suffix" : "" } ], "container-title" : "Neurology", "id" : "ITEM-3", "issued" : { "date-parts" : [ [ "2005" ] ] }, "page" : "572-579", "title" : "Impaired concentration due to frontal lobe damage from two distinct lesion sites", "type" : "article-journal", "volume" : "65" }, "uris" : [ "http://www.mendeley.com/documents/?uuid=1271d4e3-8a3a-4408-b746-1005e8dc662e" ] } ], "mendeley" : { "formattedCitation" : "(Bonnelle et al. 2011; Malhotra et al. 2009; Alexander et al. 2005)", "plainTextFormattedCitation" : "(Bonnelle et al. 2011; Malhotra et al. 2009; Alexander et al. 2005)", "previouslyFormattedCitation" : "(Bonnelle et al. 2011; Malhotra et al. 2009; Alexander et al. 2005)" }, "properties" : { "noteIndex" : 0 }, "schema" : "https://github.com/citation-style-language/schema/raw/master/csl-citation.json" }</w:instrText>
      </w:r>
      <w:r w:rsidR="00B23425" w:rsidRPr="00023C48">
        <w:rPr>
          <w:rFonts w:ascii="Times" w:hAnsi="Times" w:cs="Arial"/>
        </w:rPr>
        <w:fldChar w:fldCharType="separate"/>
      </w:r>
      <w:r w:rsidR="00255F1F" w:rsidRPr="00255F1F">
        <w:rPr>
          <w:rFonts w:ascii="Times" w:hAnsi="Times" w:cs="Arial"/>
          <w:noProof/>
        </w:rPr>
        <w:t>(Bonnelle et al. 2011; Malhotra et al. 2009; Alexander et al. 2005)</w:t>
      </w:r>
      <w:r w:rsidR="00B23425" w:rsidRPr="00023C48">
        <w:rPr>
          <w:rFonts w:ascii="Times" w:hAnsi="Times" w:cs="Arial"/>
        </w:rPr>
        <w:fldChar w:fldCharType="end"/>
      </w:r>
      <w:r w:rsidRPr="00023C48">
        <w:rPr>
          <w:rFonts w:ascii="Times" w:hAnsi="Times" w:cs="Arial"/>
        </w:rPr>
        <w:t xml:space="preserve">. </w:t>
      </w:r>
    </w:p>
    <w:p w14:paraId="3647994F" w14:textId="77777777" w:rsidR="008C240E" w:rsidRPr="00023C48" w:rsidRDefault="008C240E" w:rsidP="005374CB">
      <w:pPr>
        <w:spacing w:line="480" w:lineRule="auto"/>
        <w:jc w:val="both"/>
        <w:rPr>
          <w:rFonts w:ascii="Times" w:hAnsi="Times" w:cs="Arial"/>
        </w:rPr>
      </w:pPr>
    </w:p>
    <w:p w14:paraId="73D13966" w14:textId="77777777" w:rsidR="008C240E" w:rsidRPr="00023C48" w:rsidRDefault="008C240E" w:rsidP="005374CB">
      <w:pPr>
        <w:spacing w:line="480" w:lineRule="auto"/>
        <w:jc w:val="both"/>
        <w:rPr>
          <w:rFonts w:ascii="Times" w:hAnsi="Times" w:cs="Arial"/>
          <w:i/>
        </w:rPr>
      </w:pPr>
      <w:r w:rsidRPr="00023C48">
        <w:rPr>
          <w:rFonts w:ascii="Times" w:hAnsi="Times" w:cs="Arial"/>
          <w:i/>
        </w:rPr>
        <w:t>Rapid Visual Processing task (RVP)</w:t>
      </w:r>
    </w:p>
    <w:p w14:paraId="3C93E5C2" w14:textId="18E40951" w:rsidR="008C240E" w:rsidRPr="00023C48" w:rsidRDefault="008C240E" w:rsidP="005374CB">
      <w:pPr>
        <w:spacing w:line="480" w:lineRule="auto"/>
        <w:jc w:val="both"/>
        <w:rPr>
          <w:rFonts w:ascii="Times" w:hAnsi="Times" w:cs="Arial"/>
        </w:rPr>
      </w:pPr>
      <w:r w:rsidRPr="00023C48">
        <w:rPr>
          <w:rFonts w:ascii="Times" w:hAnsi="Times" w:cs="Arial"/>
        </w:rPr>
        <w:t>The RVP from the Cantab battery</w:t>
      </w:r>
      <w:r w:rsidR="000F4BBC" w:rsidRPr="00023C48">
        <w:rPr>
          <w:rFonts w:ascii="Times" w:hAnsi="Times" w:cs="Arial"/>
        </w:rPr>
        <w:t xml:space="preserve"> (Cambridge Cognition, UK)</w:t>
      </w:r>
      <w:r w:rsidRPr="00023C48">
        <w:rPr>
          <w:rFonts w:ascii="Times" w:hAnsi="Times" w:cs="Arial"/>
        </w:rPr>
        <w:t xml:space="preserve"> probes sustained attention </w:t>
      </w:r>
      <w:r w:rsidRPr="00023C48">
        <w:rPr>
          <w:rFonts w:ascii="Times" w:hAnsi="Times" w:cs="Arial"/>
        </w:rPr>
        <w:fldChar w:fldCharType="begin" w:fldLock="1"/>
      </w:r>
      <w:r w:rsidR="00B260BF">
        <w:rPr>
          <w:rFonts w:ascii="Times" w:hAnsi="Times" w:cs="Arial"/>
        </w:rPr>
        <w:instrText>ADDIN CSL_CITATION { "citationItems" : [ { "id" : "ITEM-1", "itemData" : { "ISSN" : "0033-3158", "abstract" : "This single-blind, placebo controlled study reports on the effects of administering three acute doses of nicotine (0.4, 0.6 and 0.8 mg) subcutaneously to a group of Alzheimer's disease (DAT) patients (n = 22), young adult controls (n = 24), and normal aged controls (n = 24). The study extends our previous findings obtained using smaller groups of subjects. Drug effects were examined on three computerised tests: the first measuring rapid visual information processing, sustained visual attention and reaction time (RVIP task); a delayed response matching to location-order task measuring sustained visual attention and visual short-term memory (DRMLO task); and a finger tapping test measuring simple reaction time (FT task). The critical flicker fusion test (CFF) was used as a measure of perception and the WAIS digit span forwards (DS), of auditory short-term memory. Tests were graded in difficulty, titrated to avoid floor and ceiling effects so that meaningful, direct comparisons between groups could be made. Nicotine significantly improved sustained visual attention (in both RVIP and DRMLO tasks), reaction time (in both FT and RVIP tasks), and perception (CFF task--both ascending and descending thresholds). Nicotine administration did not improve auditory and visual short-term memory. There were no consistent, overall patterns of difference in performance between smokers and non-smokers in the control groups, or between males and females in any group. Despite the absence of change in memory functioning, these results demonstrate that DAT patients have significant perceptual and visual attentional deficits which are improved by nicotine administration.(ABSTRACT TRUNCATED AT 250 WORDS)", "author" : [ { "dropping-particle" : "", "family" : "Jones", "given" : "G M", "non-dropping-particle" : "", "parse-names" : false, "suffix" : "" }, { "dropping-particle" : "", "family" : "Sahakian", "given" : "B J", "non-dropping-particle" : "", "parse-names" : false, "suffix" : "" }, { "dropping-particle" : "", "family" : "Levy", "given" : "R", "non-dropping-particle" : "", "parse-names" : false, "suffix" : "" }, { "dropping-particle" : "", "family" : "Warburton", "given" : "D M", "non-dropping-particle" : "", "parse-names" : false, "suffix" : "" }, { "dropping-particle" : "", "family" : "Gray", "given" : "J A", "non-dropping-particle" : "", "parse-names" : false, "suffix" : "" } ], "container-title" : "Psychopharmacology (Berl)", "id" : "ITEM-1", "issued" : { "date-parts" : [ [ "1992" ] ] }, "language" : "eng", "page" : "485-494", "title" : "Effects of acute subcutaneous nicotine on attention, information processing and short-term memory in Alzheimer's disease", "type" : "article-journal", "volume" : "108" }, "uris" : [ "http://www.mendeley.com/documents/?uuid=ae9aa268-4db5-464d-8e6a-fcbf2036bb79" ] } ], "mendeley" : { "formattedCitation" : "(Jones et al. 1992)", "plainTextFormattedCitation" : "(Jones et al. 1992)", "previouslyFormattedCitation" : "(Jones et al. 1992)" }, "properties" : { "noteIndex" : 0 }, "schema" : "https://github.com/citation-style-language/schema/raw/master/csl-citation.json" }</w:instrText>
      </w:r>
      <w:r w:rsidRPr="00023C48">
        <w:rPr>
          <w:rFonts w:ascii="Times" w:hAnsi="Times" w:cs="Arial"/>
        </w:rPr>
        <w:fldChar w:fldCharType="separate"/>
      </w:r>
      <w:r w:rsidR="00255F1F" w:rsidRPr="00255F1F">
        <w:rPr>
          <w:rFonts w:ascii="Times" w:hAnsi="Times" w:cs="Arial"/>
          <w:noProof/>
        </w:rPr>
        <w:t>(Jones et al. 1992)</w:t>
      </w:r>
      <w:r w:rsidRPr="00023C48">
        <w:rPr>
          <w:rFonts w:ascii="Times" w:hAnsi="Times" w:cs="Arial"/>
        </w:rPr>
        <w:fldChar w:fldCharType="end"/>
      </w:r>
      <w:r w:rsidR="00E55D16" w:rsidRPr="00023C48">
        <w:rPr>
          <w:rFonts w:ascii="Times" w:hAnsi="Times" w:cs="Arial"/>
        </w:rPr>
        <w:t xml:space="preserve"> </w:t>
      </w:r>
      <w:r w:rsidR="00861782" w:rsidRPr="00941732">
        <w:rPr>
          <w:rFonts w:ascii="Times" w:hAnsi="Times" w:cs="Arial"/>
        </w:rPr>
        <w:t>(Figure 1</w:t>
      </w:r>
      <w:r w:rsidR="008E4F7F" w:rsidRPr="00941732">
        <w:rPr>
          <w:rFonts w:ascii="Times" w:hAnsi="Times" w:cs="Arial"/>
        </w:rPr>
        <w:t>F</w:t>
      </w:r>
      <w:r w:rsidR="00E55D16" w:rsidRPr="00941732">
        <w:rPr>
          <w:rFonts w:ascii="Times" w:hAnsi="Times" w:cs="Arial"/>
        </w:rPr>
        <w:t>)</w:t>
      </w:r>
      <w:r w:rsidRPr="00941732">
        <w:rPr>
          <w:rFonts w:ascii="Times" w:hAnsi="Times" w:cs="Arial"/>
        </w:rPr>
        <w:t>.</w:t>
      </w:r>
      <w:r w:rsidRPr="00023C48">
        <w:rPr>
          <w:rFonts w:ascii="Times" w:hAnsi="Times" w:cs="Arial"/>
        </w:rPr>
        <w:t xml:space="preserve"> Single digits (range 2-9) </w:t>
      </w:r>
      <w:r w:rsidR="00E55D16" w:rsidRPr="00023C48">
        <w:rPr>
          <w:rFonts w:ascii="Times" w:hAnsi="Times" w:cs="Arial"/>
        </w:rPr>
        <w:t>were</w:t>
      </w:r>
      <w:r w:rsidRPr="00023C48">
        <w:rPr>
          <w:rFonts w:ascii="Times" w:hAnsi="Times" w:cs="Arial"/>
        </w:rPr>
        <w:t xml:space="preserve"> sequentially presented in the centre of the screen, at a rate of 100 digits/minute. Participants were required to press a button in response to the presentation of a pre-defined se</w:t>
      </w:r>
      <w:r w:rsidR="00DE27A3" w:rsidRPr="00023C48">
        <w:rPr>
          <w:rFonts w:ascii="Times" w:hAnsi="Times" w:cs="Arial"/>
        </w:rPr>
        <w:t>quence of numbers (3-5-7, 2-4-8</w:t>
      </w:r>
      <w:r w:rsidRPr="00023C48">
        <w:rPr>
          <w:rFonts w:ascii="Times" w:hAnsi="Times" w:cs="Arial"/>
        </w:rPr>
        <w:t>, 4-6-8). Each number stimulus subtended a visual angle of 1.3°. The task lasted for 7 minutes, and was preceded by a 5-minute practice block.</w:t>
      </w:r>
      <w:r w:rsidR="000F4BBC" w:rsidRPr="00023C48">
        <w:rPr>
          <w:rFonts w:ascii="Times" w:hAnsi="Times" w:cs="Arial"/>
        </w:rPr>
        <w:t xml:space="preserve"> </w:t>
      </w:r>
      <w:r w:rsidRPr="00023C48">
        <w:rPr>
          <w:rFonts w:ascii="Times" w:hAnsi="Times" w:cs="Arial"/>
        </w:rPr>
        <w:t xml:space="preserve">The RVP from the Cantab battery probes sustained attention </w:t>
      </w:r>
      <w:r w:rsidRPr="00023C48">
        <w:rPr>
          <w:rFonts w:ascii="Times" w:hAnsi="Times" w:cs="Arial"/>
        </w:rPr>
        <w:fldChar w:fldCharType="begin" w:fldLock="1"/>
      </w:r>
      <w:r w:rsidR="00B260BF">
        <w:rPr>
          <w:rFonts w:ascii="Times" w:hAnsi="Times" w:cs="Arial"/>
        </w:rPr>
        <w:instrText>ADDIN CSL_CITATION { "citationItems" : [ { "id" : "ITEM-1", "itemData" : { "ISSN" : "0033-3158", "abstract" : "This single-blind, placebo controlled study reports on the effects of administering three acute doses of nicotine (0.4, 0.6 and 0.8 mg) subcutaneously to a group of Alzheimer's disease (DAT) patients (n = 22), young adult controls (n = 24), and normal aged controls (n = 24). The study extends our previous findings obtained using smaller groups of subjects. Drug effects were examined on three computerised tests: the first measuring rapid visual information processing, sustained visual attention and reaction time (RVIP task); a delayed response matching to location-order task measuring sustained visual attention and visual short-term memory (DRMLO task); and a finger tapping test measuring simple reaction time (FT task). The critical flicker fusion test (CFF) was used as a measure of perception and the WAIS digit span forwards (DS), of auditory short-term memory. Tests were graded in difficulty, titrated to avoid floor and ceiling effects so that meaningful, direct comparisons between groups could be made. Nicotine significantly improved sustained visual attention (in both RVIP and DRMLO tasks), reaction time (in both FT and RVIP tasks), and perception (CFF task--both ascending and descending thresholds). Nicotine administration did not improve auditory and visual short-term memory. There were no consistent, overall patterns of difference in performance between smokers and non-smokers in the control groups, or between males and females in any group. Despite the absence of change in memory functioning, these results demonstrate that DAT patients have significant perceptual and visual attentional deficits which are improved by nicotine administration.(ABSTRACT TRUNCATED AT 250 WORDS)", "author" : [ { "dropping-particle" : "", "family" : "Jones", "given" : "G M", "non-dropping-particle" : "", "parse-names" : false, "suffix" : "" }, { "dropping-particle" : "", "family" : "Sahakian", "given" : "B J", "non-dropping-particle" : "", "parse-names" : false, "suffix" : "" }, { "dropping-particle" : "", "family" : "Levy", "given" : "R", "non-dropping-particle" : "", "parse-names" : false, "suffix" : "" }, { "dropping-particle" : "", "family" : "Warburton", "given" : "D M", "non-dropping-particle" : "", "parse-names" : false, "suffix" : "" }, { "dropping-particle" : "", "family" : "Gray", "given" : "J A", "non-dropping-particle" : "", "parse-names" : false, "suffix" : "" } ], "container-title" : "Psychopharmacology (Berl)", "id" : "ITEM-1", "issued" : { "date-parts" : [ [ "1992" ] ] }, "language" : "eng", "page" : "485-494", "title" : "Effects of acute subcutaneous nicotine on attention, information processing and short-term memory in Alzheimer's disease", "type" : "article-journal", "volume" : "108" }, "uris" : [ "http://www.mendeley.com/documents/?uuid=ae9aa268-4db5-464d-8e6a-fcbf2036bb79" ] } ], "mendeley" : { "formattedCitation" : "(Jones et al. 1992)", "plainTextFormattedCitation" : "(Jones et al. 1992)", "previouslyFormattedCitation" : "(Jones et al. 1992)" }, "properties" : { "noteIndex" : 0 }, "schema" : "https://github.com/citation-style-language/schema/raw/master/csl-citation.json" }</w:instrText>
      </w:r>
      <w:r w:rsidRPr="00023C48">
        <w:rPr>
          <w:rFonts w:ascii="Times" w:hAnsi="Times" w:cs="Arial"/>
        </w:rPr>
        <w:fldChar w:fldCharType="separate"/>
      </w:r>
      <w:r w:rsidR="00255F1F" w:rsidRPr="00255F1F">
        <w:rPr>
          <w:rFonts w:ascii="Times" w:hAnsi="Times" w:cs="Arial"/>
          <w:noProof/>
        </w:rPr>
        <w:t>(Jones et al. 1992)</w:t>
      </w:r>
      <w:r w:rsidRPr="00023C48">
        <w:rPr>
          <w:rFonts w:ascii="Times" w:hAnsi="Times" w:cs="Arial"/>
        </w:rPr>
        <w:fldChar w:fldCharType="end"/>
      </w:r>
      <w:r w:rsidR="00E55D16" w:rsidRPr="00023C48">
        <w:rPr>
          <w:rFonts w:ascii="Times" w:hAnsi="Times" w:cs="Arial"/>
        </w:rPr>
        <w:t xml:space="preserve"> </w:t>
      </w:r>
      <w:r w:rsidR="00861782" w:rsidRPr="00FF123A">
        <w:rPr>
          <w:rFonts w:ascii="Times" w:hAnsi="Times" w:cs="Arial"/>
        </w:rPr>
        <w:t>(Figure 1E</w:t>
      </w:r>
      <w:r w:rsidR="00E55D16" w:rsidRPr="00023C48">
        <w:rPr>
          <w:rFonts w:ascii="Times" w:hAnsi="Times" w:cs="Arial"/>
          <w:b/>
        </w:rPr>
        <w:t>)</w:t>
      </w:r>
      <w:r w:rsidRPr="00023C48">
        <w:rPr>
          <w:rFonts w:ascii="Times" w:hAnsi="Times" w:cs="Arial"/>
        </w:rPr>
        <w:t xml:space="preserve">. Single digits (range 2-9) </w:t>
      </w:r>
      <w:r w:rsidR="00E55D16" w:rsidRPr="00023C48">
        <w:rPr>
          <w:rFonts w:ascii="Times" w:hAnsi="Times" w:cs="Arial"/>
        </w:rPr>
        <w:t>were</w:t>
      </w:r>
      <w:r w:rsidRPr="00023C48">
        <w:rPr>
          <w:rFonts w:ascii="Times" w:hAnsi="Times" w:cs="Arial"/>
        </w:rPr>
        <w:t xml:space="preserve"> sequentially presented in the centre of the screen, at a rate of 100 digits/minute. Participants were required to press a button in response to the presentation of a pre-defined se</w:t>
      </w:r>
      <w:r w:rsidR="00DE27A3" w:rsidRPr="00023C48">
        <w:rPr>
          <w:rFonts w:ascii="Times" w:hAnsi="Times" w:cs="Arial"/>
        </w:rPr>
        <w:t>quence of numbers (3-5-7, 2-4-8</w:t>
      </w:r>
      <w:r w:rsidRPr="00023C48">
        <w:rPr>
          <w:rFonts w:ascii="Times" w:hAnsi="Times" w:cs="Arial"/>
        </w:rPr>
        <w:t>, 4-6-8). Each number stimulus subtended a visual angle of 1.3°. The task lasted for 7 minutes, and was preceded by a 5-minute practice block.</w:t>
      </w:r>
    </w:p>
    <w:p w14:paraId="10E205F1" w14:textId="77777777" w:rsidR="008C240E" w:rsidRPr="00023C48" w:rsidRDefault="008C240E" w:rsidP="005374CB">
      <w:pPr>
        <w:spacing w:line="480" w:lineRule="auto"/>
        <w:jc w:val="both"/>
        <w:rPr>
          <w:rFonts w:ascii="Times" w:hAnsi="Times" w:cs="Arial"/>
        </w:rPr>
      </w:pPr>
    </w:p>
    <w:p w14:paraId="4A0AA672" w14:textId="57460923" w:rsidR="008C240E" w:rsidRPr="00023C48" w:rsidRDefault="00290185" w:rsidP="005374CB">
      <w:pPr>
        <w:spacing w:line="480" w:lineRule="auto"/>
        <w:jc w:val="both"/>
        <w:rPr>
          <w:rFonts w:ascii="Times" w:hAnsi="Times" w:cs="Arial"/>
        </w:rPr>
      </w:pPr>
      <w:r w:rsidRPr="00023C48">
        <w:rPr>
          <w:rFonts w:ascii="Times" w:hAnsi="Times" w:cs="Arial"/>
        </w:rPr>
        <w:t xml:space="preserve">The </w:t>
      </w:r>
      <w:r w:rsidR="008C240E" w:rsidRPr="00023C48">
        <w:rPr>
          <w:rFonts w:ascii="Times" w:hAnsi="Times" w:cs="Arial"/>
        </w:rPr>
        <w:t>following</w:t>
      </w:r>
      <w:r w:rsidRPr="00023C48">
        <w:rPr>
          <w:rFonts w:ascii="Times" w:hAnsi="Times" w:cs="Arial"/>
        </w:rPr>
        <w:t xml:space="preserve"> standard</w:t>
      </w:r>
      <w:r w:rsidR="008C240E" w:rsidRPr="00023C48">
        <w:rPr>
          <w:rFonts w:ascii="Times" w:hAnsi="Times" w:cs="Arial"/>
        </w:rPr>
        <w:t xml:space="preserve"> outcome measures</w:t>
      </w:r>
      <w:r w:rsidRPr="00023C48">
        <w:rPr>
          <w:rFonts w:ascii="Times" w:hAnsi="Times" w:cs="Arial"/>
        </w:rPr>
        <w:t xml:space="preserve"> were calculated</w:t>
      </w:r>
      <w:r w:rsidR="00E92E27">
        <w:rPr>
          <w:rFonts w:ascii="Times" w:hAnsi="Times" w:cs="Arial"/>
        </w:rPr>
        <w:t xml:space="preserve"> </w:t>
      </w:r>
      <w:r w:rsidR="008C240E" w:rsidRPr="00023C48">
        <w:rPr>
          <w:rFonts w:ascii="Times" w:hAnsi="Times" w:cs="Arial"/>
        </w:rPr>
        <w:fldChar w:fldCharType="begin" w:fldLock="1"/>
      </w:r>
      <w:r w:rsidR="00B260BF">
        <w:rPr>
          <w:rFonts w:ascii="Times" w:hAnsi="Times" w:cs="Arial"/>
        </w:rPr>
        <w:instrText>ADDIN CSL_CITATION { "citationItems" : [ { "id" : "ITEM-1", "itemData" : { "DOI" : "10.1017/S0033291713000640", "ISSN" : "1469-8978", "abstract" : "Deficits in sustained attention and reaction time are core features of attention deficit hyperactivity disorder (ADHD). However, little is known about attention performance in unaffected siblings. Hence, we examined sustained attention and reaction time in youths with ADHD, unaffected siblings and controls to test whether impaired performance in attention tasks can be a potential endophenotype of ADHD.|We recruited 438 probands with clinical diagnosis of ADHD according to DSM-IV criteria, 180 unaffected siblings, and 173 healthy controls without lifetime ADHD. They were assessed using psychiatric interviews, Conners' Continuous Performance Test, and the tasks involving attention performance of the Cambridge Neuropsychological Test Automated Battery (CANTAB): Rapid Visual Information Processing (RVP), Reaction Time (RTI) and Match to Sample Visual Search (MTS). Multi-level models were used for data analysis.|Compared with the controls, probands with ADHD and unaffected siblings had significantly higher total misses, lower probability of hits in the RVP task and probands with ADHD performed worse in the RTI and MTS tasks after controlling for sex, age, co-morbidity, parental educational levels and IQ. The duration of methylphenidate use and IQ but not psychiatric co-morbidity or current use of methylphenidate were associated with deficits in sustained attention in probands with ADHD.|Our findings suggest that attention performance assessed by the RVP task, but not the RTI or MTS tasks, of the CANTAB may be a useful cognitive endophenotype for ADHD genetic studies.", "author" : [ { "dropping-particle" : "", "family" : "Gau", "given" : "S S", "non-dropping-particle" : "", "parse-names" : false, "suffix" : "" }, { "dropping-particle" : "", "family" : "Huang", "given" : "W L", "non-dropping-particle" : "", "parse-names" : false, "suffix" : "" } ], "container-title" : "Psychol Med", "id" : "ITEM-1", "issued" : { "date-parts" : [ [ "2014" ] ] }, "language" : "eng", "page" : "435-446", "title" : "Rapid visual information processing as a cognitive endophenotype of attention deficit hyperactivity disorder", "type" : "article-journal", "volume" : "44" }, "uris" : [ "http://www.mendeley.com/documents/?uuid=5507ea40-cfed-4d2c-a50d-61c9e1c77141" ] }, { "id" : "ITEM-2", "itemData" : { "DOI" : "10.1097/HTR.0b013e318292a4c2", "ISSN" : "1550-509X", "abstract" : "To determine whether cumulative anodal transcranial direct current stimulation (A-tDCS) of the left dorsolateral prefrontal cortex (DLPFC) could enhance rehabilitation of memory and attention in patients with traumatic brain injury (TBI).|Inpatient and outpatient neurorehabilitation unit.|Twenty-three adult patients, 4- to 92- months post severe TBI.|Participants were randomly allocated to 2 groups. The experimental group received A-tDCS (10 minutes; 1 mA; in the DLPFC), followed by rehabilitative cognitive training, daily for 15 days. Controls received A-tDCS for 25 seconds (sham condition) with the same rehabilitation.|Battery of memory and attention tests, which included visual and auditory modalities. Participants were tested twice before beginning rehabilitation (to control for spontaneous recovery), after rehabilitation completion, and 4 months later.|Tests scores in both groups were similar at 3 weeks before and immediately before treatment. After treatment, the experimental group exhibited larger effect sizes in 6 of 8 cognitive outcome measures, but they were not significantly different from controls. At follow-up, differences remained insignificant.|In contrast to previous studies, our study did not provide sufficient evidence to support the efficacy of repeated A-tDCS for enhancing rehabilitation of memory and attention in patients after severe TBI.", "author" : [ { "dropping-particle" : "", "family" : "Le\u015bniak", "given" : "M", "non-dropping-particle" : "", "parse-names" : false, "suffix" : "" }, { "dropping-particle" : "", "family" : "Polanowska", "given" : "K", "non-dropping-particle" : "", "parse-names" : false, "suffix" : "" }, { "dropping-particle" : "", "family" : "Seni\u00f3w", "given" : "J", "non-dropping-particle" : "", "parse-names" : false, "suffix" : "" }, { "dropping-particle" : "", "family" : "Cz\u0142onkowska", "given" : "A", "non-dropping-particle" : "", "parse-names" : false, "suffix" : "" } ], "container-title" : "J Head Trauma Rehabil", "id" : "ITEM-2", "issued" : { "date-parts" : [ [ "2014" ] ] }, "language" : "eng", "page" : "E20-9", "title" : "Effects of repeated anodal tDCS coupled with cognitive training for patients with severe traumatic brain injury: a pilot randomized controlled trial", "type" : "article-journal", "volume" : "29" }, "uris" : [ "http://www.mendeley.com/documents/?uuid=34448790-5887-4fad-af57-14e79a740a54" ] }, { "id" : "ITEM-3", "itemData" : { "ISSN" : "0033-3158", "abstract" : "This single-blind, placebo controlled study reports on the effects of administering three acute doses of nicotine (0.4, 0.6 and 0.8 mg) subcutaneously to a group of Alzheimer's disease (DAT) patients (n = 22), young adult controls (n = 24), and normal aged controls (n = 24). The study extends our previous findings obtained using smaller groups of subjects. Drug effects were examined on three computerised tests: the first measuring rapid visual information processing, sustained visual attention and reaction time (RVIP task); a delayed response matching to location-order task measuring sustained visual attention and visual short-term memory (DRMLO task); and a finger tapping test measuring simple reaction time (FT task). The critical flicker fusion test (CFF) was used as a measure of perception and the WAIS digit span forwards (DS), of auditory short-term memory. Tests were graded in difficulty, titrated to avoid floor and ceiling effects so that meaningful, direct comparisons between groups could be made. Nicotine significantly improved sustained visual attention (in both RVIP and DRMLO tasks), reaction time (in both FT and RVIP tasks), and perception (CFF task--both ascending and descending thresholds). Nicotine administration did not improve auditory and visual short-term memory. There were no consistent, overall patterns of difference in performance between smokers and non-smokers in the control groups, or between males and females in any group. Despite the absence of change in memory functioning, these results demonstrate that DAT patients have significant perceptual and visual attentional deficits which are improved by nicotine administration.(ABSTRACT TRUNCATED AT 250 WORDS)", "author" : [ { "dropping-particle" : "", "family" : "Jones", "given" : "G M", "non-dropping-particle" : "", "parse-names" : false, "suffix" : "" }, { "dropping-particle" : "", "family" : "Sahakian", "given" : "B J", "non-dropping-particle" : "", "parse-names" : false, "suffix" : "" }, { "dropping-particle" : "", "family" : "Levy", "given" : "R", "non-dropping-particle" : "", "parse-names" : false, "suffix" : "" }, { "dropping-particle" : "", "family" : "Warburton", "given" : "D M", "non-dropping-particle" : "", "parse-names" : false, "suffix" : "" }, { "dropping-particle" : "", "family" : "Gray", "given" : "J A", "non-dropping-particle" : "", "parse-names" : false, "suffix" : "" } ], "container-title" : "Psychopharmacology (Berl)", "id" : "ITEM-3", "issued" : { "date-parts" : [ [ "1992" ] ] }, "language" : "eng", "page" : "485-494", "title" : "Effects of acute subcutaneous nicotine on attention, information processing and short-term memory in Alzheimer's disease", "type" : "article-journal", "volume" : "108" }, "uris" : [ "http://www.mendeley.com/documents/?uuid=ae9aa268-4db5-464d-8e6a-fcbf2036bb79" ] } ], "mendeley" : { "formattedCitation" : "(S. S. Gau &amp; Huang 2014; Le\u015bniak et al. 2014; Jones et al. 1992)", "manualFormatting" : "(Gau &amp; Huang 2014; Le\u015bniak et al. 2014; Jones et al. 1992)", "plainTextFormattedCitation" : "(S. S. Gau &amp; Huang 2014; Le\u015bniak et al. 2014; Jones et al. 1992)", "previouslyFormattedCitation" : "(S. S. Gau &amp; Huang 2014; Le\u015bniak et al. 2014; Jones et al. 1992)" }, "properties" : { "noteIndex" : 0 }, "schema" : "https://github.com/citation-style-language/schema/raw/master/csl-citation.json" }</w:instrText>
      </w:r>
      <w:r w:rsidR="008C240E" w:rsidRPr="00023C48">
        <w:rPr>
          <w:rFonts w:ascii="Times" w:hAnsi="Times" w:cs="Arial"/>
        </w:rPr>
        <w:fldChar w:fldCharType="separate"/>
      </w:r>
      <w:r w:rsidR="00255F1F" w:rsidRPr="00255F1F">
        <w:rPr>
          <w:rFonts w:ascii="Times" w:hAnsi="Times" w:cs="Arial"/>
          <w:noProof/>
        </w:rPr>
        <w:t>(Gau &amp; Huang 2014; Le</w:t>
      </w:r>
      <w:r w:rsidR="00255F1F" w:rsidRPr="00255F1F">
        <w:rPr>
          <w:rFonts w:ascii="Times" w:hAnsi="Times" w:cs="Arial" w:hint="cs"/>
          <w:noProof/>
        </w:rPr>
        <w:t>ś</w:t>
      </w:r>
      <w:r w:rsidR="00255F1F" w:rsidRPr="00255F1F">
        <w:rPr>
          <w:rFonts w:ascii="Times" w:hAnsi="Times" w:cs="Arial"/>
          <w:noProof/>
        </w:rPr>
        <w:t>niak et al. 2014; Jones et al. 1992)</w:t>
      </w:r>
      <w:r w:rsidR="008C240E" w:rsidRPr="00023C48">
        <w:rPr>
          <w:rFonts w:ascii="Times" w:hAnsi="Times" w:cs="Arial"/>
        </w:rPr>
        <w:fldChar w:fldCharType="end"/>
      </w:r>
      <w:r w:rsidR="008C240E" w:rsidRPr="00023C48">
        <w:rPr>
          <w:rFonts w:ascii="Times" w:hAnsi="Times" w:cs="Arial"/>
        </w:rPr>
        <w:t>:</w:t>
      </w:r>
    </w:p>
    <w:p w14:paraId="15A05096" w14:textId="77777777" w:rsidR="008C240E" w:rsidRPr="00023C48" w:rsidRDefault="008C240E" w:rsidP="005374CB">
      <w:pPr>
        <w:numPr>
          <w:ilvl w:val="0"/>
          <w:numId w:val="1"/>
        </w:numPr>
        <w:spacing w:line="480" w:lineRule="auto"/>
        <w:ind w:left="426" w:hanging="426"/>
        <w:jc w:val="both"/>
        <w:rPr>
          <w:rFonts w:ascii="Times" w:hAnsi="Times" w:cs="Arial"/>
          <w:noProof/>
          <w:lang w:val="en-US"/>
        </w:rPr>
      </w:pPr>
      <w:r w:rsidRPr="00023C48">
        <w:rPr>
          <w:rFonts w:ascii="Times" w:hAnsi="Times" w:cs="Arial"/>
          <w:noProof/>
          <w:lang w:val="en-US"/>
        </w:rPr>
        <w:t>Total misses – the number of stimuli requiring a response which are missed by participant</w:t>
      </w:r>
    </w:p>
    <w:p w14:paraId="424056EB" w14:textId="77777777" w:rsidR="008C240E" w:rsidRPr="00023C48" w:rsidRDefault="008C240E" w:rsidP="005374CB">
      <w:pPr>
        <w:numPr>
          <w:ilvl w:val="0"/>
          <w:numId w:val="1"/>
        </w:numPr>
        <w:spacing w:line="480" w:lineRule="auto"/>
        <w:ind w:left="426" w:hanging="426"/>
        <w:jc w:val="both"/>
        <w:rPr>
          <w:rFonts w:ascii="Times" w:hAnsi="Times" w:cs="Arial"/>
          <w:noProof/>
          <w:lang w:val="en-US"/>
        </w:rPr>
      </w:pPr>
      <w:r w:rsidRPr="00023C48">
        <w:rPr>
          <w:rFonts w:ascii="Times" w:hAnsi="Times" w:cs="Arial"/>
          <w:noProof/>
          <w:lang w:val="en-US"/>
        </w:rPr>
        <w:t>Probability of hits (h) – total hits (correct responses) divided by sum of total hits and total misses</w:t>
      </w:r>
    </w:p>
    <w:p w14:paraId="395359B3" w14:textId="77777777" w:rsidR="008C240E" w:rsidRPr="00023C48" w:rsidRDefault="008C240E" w:rsidP="005374CB">
      <w:pPr>
        <w:numPr>
          <w:ilvl w:val="0"/>
          <w:numId w:val="1"/>
        </w:numPr>
        <w:spacing w:line="480" w:lineRule="auto"/>
        <w:ind w:left="426" w:hanging="426"/>
        <w:jc w:val="both"/>
        <w:rPr>
          <w:rFonts w:ascii="Times" w:hAnsi="Times" w:cs="Arial"/>
          <w:noProof/>
          <w:lang w:val="en-US"/>
        </w:rPr>
      </w:pPr>
      <w:r w:rsidRPr="00023C48">
        <w:rPr>
          <w:rFonts w:ascii="Times" w:hAnsi="Times" w:cs="Arial"/>
          <w:noProof/>
          <w:lang w:val="en-US"/>
        </w:rPr>
        <w:t>Total correct rejections – number of stimuli not requiring a response which are correctly ignored by participant</w:t>
      </w:r>
    </w:p>
    <w:p w14:paraId="4DA50A2F" w14:textId="77777777" w:rsidR="008C240E" w:rsidRPr="00023C48" w:rsidRDefault="008C240E" w:rsidP="005374CB">
      <w:pPr>
        <w:numPr>
          <w:ilvl w:val="0"/>
          <w:numId w:val="1"/>
        </w:numPr>
        <w:spacing w:line="480" w:lineRule="auto"/>
        <w:ind w:left="426" w:hanging="426"/>
        <w:jc w:val="both"/>
        <w:rPr>
          <w:rFonts w:ascii="Times" w:hAnsi="Times" w:cs="Arial"/>
          <w:noProof/>
          <w:lang w:val="en-US"/>
        </w:rPr>
      </w:pPr>
      <w:r w:rsidRPr="00023C48">
        <w:rPr>
          <w:rFonts w:ascii="Times" w:hAnsi="Times" w:cs="Arial"/>
          <w:noProof/>
          <w:lang w:val="en-US"/>
        </w:rPr>
        <w:t>Probability of false alarms (f) – total false alarms (responses to inappropriate stimuli) divided by sum of total false alarms and total correct rejections</w:t>
      </w:r>
    </w:p>
    <w:p w14:paraId="4F8484F7" w14:textId="77777777" w:rsidR="008C240E" w:rsidRPr="004C2B16" w:rsidRDefault="008C240E" w:rsidP="005374CB">
      <w:pPr>
        <w:numPr>
          <w:ilvl w:val="0"/>
          <w:numId w:val="1"/>
        </w:numPr>
        <w:spacing w:line="480" w:lineRule="auto"/>
        <w:ind w:left="426" w:hanging="426"/>
        <w:jc w:val="both"/>
        <w:rPr>
          <w:rFonts w:ascii="Times" w:hAnsi="Times" w:cs="Arial"/>
          <w:i/>
          <w:noProof/>
          <w:lang w:val="en-US"/>
        </w:rPr>
      </w:pPr>
      <w:r w:rsidRPr="00023C48">
        <w:rPr>
          <w:rFonts w:ascii="Times" w:hAnsi="Times" w:cs="Arial"/>
          <w:noProof/>
          <w:lang w:val="en-US"/>
        </w:rPr>
        <w:t xml:space="preserve">A’ (a signal detection measure of sensitivity to the target, irrespective of participant’s own tendency to respond) – </w:t>
      </w:r>
      <w:r w:rsidRPr="004C2B16">
        <w:rPr>
          <w:rFonts w:ascii="Times" w:eastAsia="Times New Roman" w:hAnsi="Times" w:cs="Arial"/>
          <w:i/>
        </w:rPr>
        <w:t>0.5+((h−f)+(h−f)</w:t>
      </w:r>
      <w:r w:rsidRPr="004C2B16">
        <w:rPr>
          <w:rFonts w:ascii="Times" w:eastAsia="Times New Roman" w:hAnsi="Times" w:cs="Arial"/>
          <w:i/>
          <w:vertAlign w:val="superscript"/>
        </w:rPr>
        <w:t>2</w:t>
      </w:r>
      <w:r w:rsidRPr="004C2B16">
        <w:rPr>
          <w:rFonts w:ascii="Times" w:eastAsia="Times New Roman" w:hAnsi="Times" w:cs="Arial"/>
          <w:i/>
        </w:rPr>
        <w:t>)/(4*h*(1−f))</w:t>
      </w:r>
    </w:p>
    <w:p w14:paraId="29EDD40B" w14:textId="77777777" w:rsidR="008C240E" w:rsidRPr="00023C48" w:rsidRDefault="008C240E" w:rsidP="005374CB">
      <w:pPr>
        <w:numPr>
          <w:ilvl w:val="0"/>
          <w:numId w:val="1"/>
        </w:numPr>
        <w:spacing w:line="480" w:lineRule="auto"/>
        <w:ind w:left="426" w:hanging="426"/>
        <w:jc w:val="both"/>
        <w:rPr>
          <w:rFonts w:ascii="Times" w:hAnsi="Times" w:cs="Arial"/>
          <w:noProof/>
          <w:lang w:val="en-US"/>
        </w:rPr>
      </w:pPr>
      <w:r w:rsidRPr="00023C48">
        <w:rPr>
          <w:rFonts w:ascii="Times" w:hAnsi="Times" w:cs="Arial"/>
          <w:noProof/>
          <w:lang w:val="en-US"/>
        </w:rPr>
        <w:t xml:space="preserve">B’’ (a signal detection measure of strength of trace required to elicit a response, i.e. a measure of a participant’s tendency to respond to stimuli) – </w:t>
      </w:r>
      <w:r w:rsidRPr="004C2B16">
        <w:rPr>
          <w:rFonts w:ascii="Times" w:eastAsia="Times New Roman" w:hAnsi="Times" w:cs="Arial"/>
          <w:i/>
        </w:rPr>
        <w:t>((h−h2)−(f−f</w:t>
      </w:r>
      <w:r w:rsidRPr="004C2B16">
        <w:rPr>
          <w:rFonts w:ascii="Times" w:eastAsia="Times New Roman" w:hAnsi="Times" w:cs="Arial"/>
          <w:i/>
          <w:vertAlign w:val="superscript"/>
        </w:rPr>
        <w:t>2</w:t>
      </w:r>
      <w:r w:rsidRPr="004C2B16">
        <w:rPr>
          <w:rFonts w:ascii="Times" w:eastAsia="Times New Roman" w:hAnsi="Times" w:cs="Arial"/>
          <w:i/>
        </w:rPr>
        <w:t>)/((h−h</w:t>
      </w:r>
      <w:r w:rsidRPr="004C2B16">
        <w:rPr>
          <w:rFonts w:ascii="Times" w:eastAsia="Times New Roman" w:hAnsi="Times" w:cs="Arial"/>
          <w:i/>
          <w:vertAlign w:val="superscript"/>
        </w:rPr>
        <w:t>2</w:t>
      </w:r>
      <w:r w:rsidRPr="004C2B16">
        <w:rPr>
          <w:rFonts w:ascii="Times" w:eastAsia="Times New Roman" w:hAnsi="Times" w:cs="Arial"/>
          <w:i/>
        </w:rPr>
        <w:t>)+(f−f</w:t>
      </w:r>
      <w:r w:rsidRPr="004C2B16">
        <w:rPr>
          <w:rFonts w:ascii="Times" w:eastAsia="Times New Roman" w:hAnsi="Times" w:cs="Arial"/>
          <w:i/>
          <w:vertAlign w:val="superscript"/>
        </w:rPr>
        <w:t>2</w:t>
      </w:r>
      <w:r w:rsidRPr="004C2B16">
        <w:rPr>
          <w:rFonts w:ascii="Times" w:eastAsia="Times New Roman" w:hAnsi="Times" w:cs="Arial"/>
          <w:i/>
        </w:rPr>
        <w:t>))</w:t>
      </w:r>
    </w:p>
    <w:p w14:paraId="23EC7B72" w14:textId="4374D2E1" w:rsidR="008C240E" w:rsidRPr="00023C48" w:rsidRDefault="008C240E" w:rsidP="005374CB">
      <w:pPr>
        <w:numPr>
          <w:ilvl w:val="0"/>
          <w:numId w:val="1"/>
        </w:numPr>
        <w:spacing w:line="480" w:lineRule="auto"/>
        <w:ind w:left="426" w:hanging="426"/>
        <w:jc w:val="both"/>
        <w:rPr>
          <w:rFonts w:ascii="Times" w:hAnsi="Times" w:cs="Arial"/>
          <w:noProof/>
          <w:lang w:val="en-US"/>
        </w:rPr>
      </w:pPr>
      <w:r w:rsidRPr="00023C48">
        <w:rPr>
          <w:rFonts w:ascii="Times" w:hAnsi="Times" w:cs="Arial"/>
          <w:noProof/>
          <w:lang w:val="en-US"/>
        </w:rPr>
        <w:t xml:space="preserve">Latency – the reaction time to a correct stimulus </w:t>
      </w:r>
      <w:r w:rsidRPr="00023C48">
        <w:rPr>
          <w:rFonts w:ascii="Times" w:eastAsia="Times New Roman" w:hAnsi="Times" w:cs="Arial"/>
        </w:rPr>
        <w:fldChar w:fldCharType="begin" w:fldLock="1"/>
      </w:r>
      <w:r w:rsidR="00BC7BDB">
        <w:rPr>
          <w:rFonts w:ascii="Times" w:eastAsia="Times New Roman" w:hAnsi="Times" w:cs="Arial"/>
        </w:rPr>
        <w:instrText>ADDIN CSL_CITATION { "citationItems" : [ { "id" : "ITEM-1", "itemData" : { "author" : [ { "dropping-particle" : "", "family" : "Stanislaw", "given" : "Harold", "non-dropping-particle" : "", "parse-names" : false, "suffix" : "" }, { "dropping-particle" : "", "family" : "Todorov", "given" : "Natasha", "non-dropping-particle" : "", "parse-names" : false, "suffix" : "" } ], "container-title" : "Behavior Research Methods, Instruments and Computers", "id" : "ITEM-1", "issue" : "1", "issued" : { "date-parts" : [ [ "1999" ] ] }, "page" : "137-149", "title" : "Calculation of signal detection theory measures", "type" : "article-journal", "volume" : "31" }, "uris" : [ "http://www.mendeley.com/documents/?uuid=4c98b006-9af2-4604-a8e1-f8da2a7d5479" ] }, { "id" : "ITEM-2", "itemData" : { "author" : [ { "dropping-particle" : "", "family" : "Sahgal", "given" : "A", "non-dropping-particle" : "", "parse-names" : false, "suffix" : "" } ], "container-title" : "Psychopharmacology", "id" : "ITEM-2", "issued" : { "date-parts" : [ [ "1987" ] ] }, "page" : "517-520", "title" : "Some limitations of indices derived from signal detection theory : evaluation of an alternative index for measuring bias in memory tasks", "type" : "article-journal", "volume" : "91" }, "uris" : [ "http://www.mendeley.com/documents/?uuid=63333fb9-6659-4f62-a241-de2613097022" ] }, { "id" : "ITEM-3", "itemData" : { "DOI" : "10.1017/S0033291713000640", "ISBN" : "0033291713", "ISSN" : "1469-8978", "PMID" : "23561037", "abstract" : "BACKGROUND: Deficits in sustained attention and reaction time are core features of attention deficit hyperactivity disorder (ADHD). However, little is known about attention performance in unaffected siblings. Hence, we examined sustained attention and reaction time in youths with ADHD, unaffected siblings and controls to test whether impaired performance in attention tasks can be a potential endophenotype of ADHD.\\n\\nMETHOD: We recruited 438 probands with clinical diagnosis of ADHD according to DSM-IV criteria, 180 unaffected siblings, and 173 healthy controls without lifetime ADHD. They were assessed using psychiatric interviews, Conners' Continuous Performance Test, and the tasks involving attention performance of the Cambridge Neuropsychological Test Automated Battery (CANTAB): Rapid Visual Information Processing (RVP), Reaction Time (RTI) and Match to Sample Visual Search (MTS). Multi-level models were used for data analysis.\\n\\nRESULTS: Compared with the controls, probands with ADHD and unaffected siblings had significantly higher total misses, lower probability of hits in the RVP task and probands with ADHD performed worse in the RTI and MTS tasks after controlling for sex, age, co-morbidity, parental educational levels and IQ. The duration of methylphenidate use and IQ but not psychiatric co-morbidity or current use of methylphenidate were associated with deficits in sustained attention in probands with ADHD.\\n\\nCONCLUSIONS: Our findings suggest that attention performance assessed by the RVP task, but not the RTI or MTS tasks, of the CANTAB may be a useful cognitive endophenotype for ADHD genetic studies.", "author" : [ { "dropping-particle" : "", "family" : "Gau", "given" : "S S-F", "non-dropping-particle" : "", "parse-names" : false, "suffix" : "" }, { "dropping-particle" : "", "family" : "Huang", "given" : "W-L", "non-dropping-particle" : "", "parse-names" : false, "suffix" : "" } ], "container-title" : "Psychological medicine", "id" : "ITEM-3", "issue" : "2", "issued" : { "date-parts" : [ [ "2014", "1" ] ] }, "page" : "435-46", "title" : "Rapid visual information processing as a cognitive endophenotype of attention deficit hyperactivity disorder.", "type" : "article-journal", "volume" : "44" }, "uris" : [ "http://www.mendeley.com/documents/?uuid=6d73cd2a-63ca-4ccc-8ac7-11a29792ff19" ] } ], "mendeley" : { "formattedCitation" : "(Stanislaw &amp; Todorov 1999; Sahgal 1987; S. S.-F. Gau &amp; Huang 2014)", "manualFormatting" : "(Stanislaw &amp; Todorov 1999; Sahgal 1987; Gau &amp; Huang 2014)", "plainTextFormattedCitation" : "(Stanislaw &amp; Todorov 1999; Sahgal 1987; S. S.-F. Gau &amp; Huang 2014)", "previouslyFormattedCitation" : "(Stanislaw &amp; Todorov 1999; Sahgal 1987; S. S.-F. Gau &amp; Huang 2014)" }, "properties" : { "noteIndex" : 0 }, "schema" : "https://github.com/citation-style-language/schema/raw/master/csl-citation.json" }</w:instrText>
      </w:r>
      <w:r w:rsidRPr="00023C48">
        <w:rPr>
          <w:rFonts w:ascii="Times" w:eastAsia="Times New Roman" w:hAnsi="Times" w:cs="Arial"/>
        </w:rPr>
        <w:fldChar w:fldCharType="separate"/>
      </w:r>
      <w:r w:rsidR="00255F1F" w:rsidRPr="00255F1F">
        <w:rPr>
          <w:rFonts w:ascii="Times" w:eastAsia="Times New Roman" w:hAnsi="Times" w:cs="Arial"/>
          <w:noProof/>
        </w:rPr>
        <w:t>(Stanislaw &amp; Todorov 1999; Sahgal 1987; Gau &amp; Huang 2014)</w:t>
      </w:r>
      <w:r w:rsidRPr="00023C48">
        <w:rPr>
          <w:rFonts w:ascii="Times" w:eastAsia="Times New Roman" w:hAnsi="Times" w:cs="Arial"/>
        </w:rPr>
        <w:fldChar w:fldCharType="end"/>
      </w:r>
      <w:r w:rsidRPr="00023C48">
        <w:rPr>
          <w:rFonts w:ascii="Times" w:eastAsia="Times New Roman" w:hAnsi="Times" w:cs="Arial"/>
        </w:rPr>
        <w:t>.</w:t>
      </w:r>
    </w:p>
    <w:p w14:paraId="424888E6" w14:textId="77777777" w:rsidR="008C240E" w:rsidRPr="00023C48" w:rsidRDefault="008C240E" w:rsidP="005374CB">
      <w:pPr>
        <w:spacing w:line="480" w:lineRule="auto"/>
        <w:ind w:left="426" w:hanging="426"/>
        <w:jc w:val="both"/>
        <w:rPr>
          <w:rFonts w:ascii="Times" w:hAnsi="Times" w:cs="Arial"/>
        </w:rPr>
      </w:pPr>
    </w:p>
    <w:p w14:paraId="508EBF13" w14:textId="3BD330E5" w:rsidR="00524588" w:rsidRPr="00023C48" w:rsidRDefault="008C240E" w:rsidP="005374CB">
      <w:pPr>
        <w:spacing w:line="480" w:lineRule="auto"/>
        <w:jc w:val="both"/>
        <w:rPr>
          <w:rFonts w:ascii="Times" w:hAnsi="Times" w:cs="Arial"/>
        </w:rPr>
      </w:pPr>
      <w:r w:rsidRPr="00023C48">
        <w:rPr>
          <w:rFonts w:ascii="Times" w:hAnsi="Times" w:cs="Arial"/>
        </w:rPr>
        <w:t xml:space="preserve">Outcome measures were calculated for each stimulation condition. </w:t>
      </w:r>
      <w:r w:rsidRPr="00023C48">
        <w:rPr>
          <w:rFonts w:ascii="Times" w:hAnsi="Times" w:cs="Arial"/>
          <w:noProof/>
          <w:lang w:val="en-US"/>
        </w:rPr>
        <w:t xml:space="preserve">One participant missed 15 stimuli in one condition, which was &gt;2 s.d. away from the group mean for that condition. </w:t>
      </w:r>
      <w:r w:rsidR="00E53158" w:rsidRPr="00023C48">
        <w:rPr>
          <w:rFonts w:ascii="Times" w:hAnsi="Times" w:cs="Arial"/>
          <w:noProof/>
          <w:lang w:val="en-US"/>
        </w:rPr>
        <w:t>These</w:t>
      </w:r>
      <w:r w:rsidRPr="00023C48">
        <w:rPr>
          <w:rFonts w:ascii="Times" w:hAnsi="Times" w:cs="Arial"/>
          <w:noProof/>
          <w:lang w:val="en-US"/>
        </w:rPr>
        <w:t xml:space="preserve"> results were excluded from further analyses. </w:t>
      </w:r>
    </w:p>
    <w:p w14:paraId="6866F4AE" w14:textId="77777777" w:rsidR="00474F8E" w:rsidRPr="00023C48" w:rsidRDefault="00474F8E" w:rsidP="005374CB">
      <w:pPr>
        <w:spacing w:line="480" w:lineRule="auto"/>
        <w:jc w:val="both"/>
        <w:rPr>
          <w:rFonts w:ascii="Times" w:hAnsi="Times"/>
        </w:rPr>
      </w:pPr>
    </w:p>
    <w:p w14:paraId="51603D63" w14:textId="3418EAC5" w:rsidR="00474F8E" w:rsidRPr="00590FF7" w:rsidRDefault="00474F8E" w:rsidP="005374CB">
      <w:pPr>
        <w:spacing w:line="480" w:lineRule="auto"/>
        <w:jc w:val="both"/>
        <w:rPr>
          <w:rFonts w:ascii="Times" w:hAnsi="Times" w:cs="Arial"/>
          <w:b/>
        </w:rPr>
      </w:pPr>
      <w:r w:rsidRPr="00023C48">
        <w:rPr>
          <w:rFonts w:ascii="Times" w:hAnsi="Times" w:cs="Arial"/>
          <w:b/>
        </w:rPr>
        <w:t>R</w:t>
      </w:r>
      <w:r w:rsidR="00802A97" w:rsidRPr="00023C48">
        <w:rPr>
          <w:rFonts w:ascii="Times" w:hAnsi="Times" w:cs="Arial"/>
          <w:b/>
        </w:rPr>
        <w:t>ESULTS</w:t>
      </w:r>
    </w:p>
    <w:p w14:paraId="2756035B" w14:textId="5CB0A7BF" w:rsidR="005D625F" w:rsidRPr="00023C48" w:rsidRDefault="005D625F" w:rsidP="005374CB">
      <w:pPr>
        <w:spacing w:line="480" w:lineRule="auto"/>
        <w:jc w:val="both"/>
        <w:rPr>
          <w:rFonts w:ascii="Times" w:hAnsi="Times" w:cs="Arial"/>
        </w:rPr>
      </w:pPr>
      <w:r w:rsidRPr="00023C48">
        <w:rPr>
          <w:rFonts w:ascii="Times" w:hAnsi="Times" w:cs="Arial"/>
          <w:i/>
        </w:rPr>
        <w:t>Stimulation modulates performance on the Number Comparison task</w:t>
      </w:r>
    </w:p>
    <w:p w14:paraId="7E99F7AD" w14:textId="5FE03E69" w:rsidR="003023CC" w:rsidRPr="00023C48" w:rsidRDefault="004F34EF" w:rsidP="005374CB">
      <w:pPr>
        <w:spacing w:line="480" w:lineRule="auto"/>
        <w:jc w:val="both"/>
        <w:rPr>
          <w:rFonts w:ascii="Times" w:hAnsi="Times" w:cs="Arial"/>
        </w:rPr>
      </w:pPr>
      <w:r w:rsidRPr="00023C48">
        <w:rPr>
          <w:rFonts w:ascii="Times" w:hAnsi="Times" w:cs="Arial"/>
        </w:rPr>
        <w:t>‘</w:t>
      </w:r>
      <w:r w:rsidR="0030692D" w:rsidRPr="00023C48">
        <w:rPr>
          <w:rFonts w:ascii="Times" w:hAnsi="Times" w:cs="Arial"/>
        </w:rPr>
        <w:t>C</w:t>
      </w:r>
      <w:r w:rsidR="003023CC" w:rsidRPr="00023C48">
        <w:rPr>
          <w:rFonts w:ascii="Times" w:hAnsi="Times" w:cs="Arial"/>
        </w:rPr>
        <w:t>lose</w:t>
      </w:r>
      <w:r w:rsidRPr="00023C48">
        <w:rPr>
          <w:rFonts w:ascii="Times" w:hAnsi="Times" w:cs="Arial"/>
        </w:rPr>
        <w:t>’</w:t>
      </w:r>
      <w:r w:rsidR="003023CC" w:rsidRPr="00023C48">
        <w:rPr>
          <w:rFonts w:ascii="Times" w:hAnsi="Times" w:cs="Arial"/>
        </w:rPr>
        <w:t xml:space="preserve"> number pairs were more difficult to process than </w:t>
      </w:r>
      <w:r w:rsidRPr="00023C48">
        <w:rPr>
          <w:rFonts w:ascii="Times" w:hAnsi="Times" w:cs="Arial"/>
        </w:rPr>
        <w:t>‘</w:t>
      </w:r>
      <w:r w:rsidR="003023CC" w:rsidRPr="00023C48">
        <w:rPr>
          <w:rFonts w:ascii="Times" w:hAnsi="Times" w:cs="Arial"/>
        </w:rPr>
        <w:t>far</w:t>
      </w:r>
      <w:r w:rsidRPr="00023C48">
        <w:rPr>
          <w:rFonts w:ascii="Times" w:hAnsi="Times" w:cs="Arial"/>
        </w:rPr>
        <w:t>’</w:t>
      </w:r>
      <w:r w:rsidR="003023CC" w:rsidRPr="00023C48">
        <w:rPr>
          <w:rFonts w:ascii="Times" w:hAnsi="Times" w:cs="Arial"/>
        </w:rPr>
        <w:t xml:space="preserve"> number pairs. This </w:t>
      </w:r>
      <w:r w:rsidR="000974BB" w:rsidRPr="00023C48">
        <w:rPr>
          <w:rFonts w:ascii="Times" w:hAnsi="Times" w:cs="Arial"/>
        </w:rPr>
        <w:t xml:space="preserve">manifested as significantly slower reaction times </w:t>
      </w:r>
      <w:r w:rsidR="001E134E" w:rsidRPr="00023C48">
        <w:rPr>
          <w:rFonts w:ascii="Times" w:hAnsi="Times" w:cs="Arial"/>
        </w:rPr>
        <w:t xml:space="preserve">(F(1,17)=158.2, p&lt;0.001) </w:t>
      </w:r>
      <w:r w:rsidR="000974BB" w:rsidRPr="00023C48">
        <w:rPr>
          <w:rFonts w:ascii="Times" w:hAnsi="Times" w:cs="Arial"/>
        </w:rPr>
        <w:t xml:space="preserve">and higher error rates </w:t>
      </w:r>
      <w:r w:rsidR="001E134E" w:rsidRPr="00023C48">
        <w:rPr>
          <w:rFonts w:ascii="Times" w:hAnsi="Times" w:cs="Arial"/>
        </w:rPr>
        <w:t xml:space="preserve">(F(1,17)=48.5, p&lt;0.001) </w:t>
      </w:r>
      <w:r w:rsidR="006E528A" w:rsidRPr="00023C48">
        <w:rPr>
          <w:rFonts w:ascii="Times" w:hAnsi="Times" w:cs="Arial"/>
        </w:rPr>
        <w:t xml:space="preserve">when </w:t>
      </w:r>
      <w:r w:rsidR="000974BB" w:rsidRPr="00023C48">
        <w:rPr>
          <w:rFonts w:ascii="Times" w:hAnsi="Times" w:cs="Arial"/>
        </w:rPr>
        <w:t>participants responded to ‘close</w:t>
      </w:r>
      <w:r w:rsidR="006E528A" w:rsidRPr="00023C48">
        <w:rPr>
          <w:rFonts w:ascii="Times" w:hAnsi="Times" w:cs="Arial"/>
        </w:rPr>
        <w:t>’ number pairs, compared to ‘</w:t>
      </w:r>
      <w:r w:rsidR="000974BB" w:rsidRPr="00023C48">
        <w:rPr>
          <w:rFonts w:ascii="Times" w:hAnsi="Times" w:cs="Arial"/>
        </w:rPr>
        <w:t>far</w:t>
      </w:r>
      <w:r w:rsidR="006E528A" w:rsidRPr="00023C48">
        <w:rPr>
          <w:rFonts w:ascii="Times" w:hAnsi="Times" w:cs="Arial"/>
        </w:rPr>
        <w:t>’ pairs (</w:t>
      </w:r>
      <w:r w:rsidR="00FF123A">
        <w:rPr>
          <w:rFonts w:ascii="Times" w:hAnsi="Times" w:cs="Arial"/>
        </w:rPr>
        <w:t xml:space="preserve">Figure </w:t>
      </w:r>
      <w:r w:rsidR="00AA53C7" w:rsidRPr="00023C48">
        <w:rPr>
          <w:rFonts w:ascii="Times" w:hAnsi="Times" w:cs="Arial"/>
        </w:rPr>
        <w:t>2</w:t>
      </w:r>
      <w:r w:rsidR="00FF123A">
        <w:rPr>
          <w:rFonts w:ascii="Times" w:hAnsi="Times" w:cs="Arial"/>
        </w:rPr>
        <w:t>A</w:t>
      </w:r>
      <w:r w:rsidR="006E528A" w:rsidRPr="00023C48">
        <w:rPr>
          <w:rFonts w:ascii="Times" w:hAnsi="Times" w:cs="Arial"/>
        </w:rPr>
        <w:t>).</w:t>
      </w:r>
      <w:r w:rsidR="00047D35" w:rsidRPr="00023C48">
        <w:rPr>
          <w:rFonts w:ascii="Times" w:hAnsi="Times" w:cs="Arial"/>
        </w:rPr>
        <w:t xml:space="preserve"> This processing cost was observed in all stimulation conditions.</w:t>
      </w:r>
    </w:p>
    <w:p w14:paraId="7FA2AAFE" w14:textId="77777777" w:rsidR="005D625F" w:rsidRPr="00023C48" w:rsidRDefault="005D625F" w:rsidP="005374CB">
      <w:pPr>
        <w:spacing w:line="480" w:lineRule="auto"/>
        <w:jc w:val="both"/>
        <w:rPr>
          <w:rFonts w:ascii="Times" w:hAnsi="Times" w:cs="Arial"/>
        </w:rPr>
      </w:pPr>
    </w:p>
    <w:p w14:paraId="59A83D4C" w14:textId="16876229" w:rsidR="008C533F" w:rsidRPr="002302AF" w:rsidRDefault="00587ABD" w:rsidP="005374CB">
      <w:pPr>
        <w:spacing w:line="480" w:lineRule="auto"/>
        <w:jc w:val="both"/>
        <w:rPr>
          <w:rFonts w:ascii="Times" w:hAnsi="Times"/>
        </w:rPr>
      </w:pPr>
      <w:r w:rsidRPr="002302AF">
        <w:rPr>
          <w:rFonts w:ascii="Times" w:hAnsi="Times" w:cs="Arial"/>
        </w:rPr>
        <w:t xml:space="preserve">Stimulation </w:t>
      </w:r>
      <w:r w:rsidR="0074264B" w:rsidRPr="002302AF">
        <w:rPr>
          <w:rFonts w:ascii="Times" w:hAnsi="Times" w:cs="Arial"/>
        </w:rPr>
        <w:t xml:space="preserve">specifically impaired </w:t>
      </w:r>
      <w:r w:rsidR="00F01BB4" w:rsidRPr="002302AF">
        <w:rPr>
          <w:rFonts w:ascii="Times" w:hAnsi="Times" w:cs="Arial"/>
        </w:rPr>
        <w:t xml:space="preserve">the </w:t>
      </w:r>
      <w:r w:rsidRPr="002302AF">
        <w:rPr>
          <w:rFonts w:ascii="Times" w:hAnsi="Times" w:cs="Arial"/>
        </w:rPr>
        <w:t>numerical processing</w:t>
      </w:r>
      <w:r w:rsidR="0074264B" w:rsidRPr="002302AF">
        <w:rPr>
          <w:rFonts w:ascii="Times" w:hAnsi="Times" w:cs="Arial"/>
        </w:rPr>
        <w:t xml:space="preserve"> of more difficult stimuli</w:t>
      </w:r>
      <w:r w:rsidR="008947AC" w:rsidRPr="002302AF">
        <w:rPr>
          <w:rFonts w:ascii="Times" w:hAnsi="Times" w:cs="Arial"/>
        </w:rPr>
        <w:t>,</w:t>
      </w:r>
      <w:r w:rsidR="0074264B" w:rsidRPr="002302AF">
        <w:rPr>
          <w:rFonts w:ascii="Times" w:hAnsi="Times" w:cs="Arial"/>
        </w:rPr>
        <w:t xml:space="preserve"> </w:t>
      </w:r>
      <w:r w:rsidR="00FF1BF0" w:rsidRPr="002302AF">
        <w:rPr>
          <w:rFonts w:ascii="Times" w:hAnsi="Times" w:cs="Arial"/>
        </w:rPr>
        <w:t xml:space="preserve">i.e. </w:t>
      </w:r>
      <w:r w:rsidR="0074264B" w:rsidRPr="002302AF">
        <w:rPr>
          <w:rFonts w:ascii="Times" w:hAnsi="Times" w:cs="Arial"/>
        </w:rPr>
        <w:t>‘close’ number pairs</w:t>
      </w:r>
      <w:r w:rsidR="00FF123A" w:rsidRPr="002302AF">
        <w:rPr>
          <w:rFonts w:ascii="Times" w:hAnsi="Times" w:cs="Arial"/>
        </w:rPr>
        <w:t xml:space="preserve"> (Figure 2B</w:t>
      </w:r>
      <w:r w:rsidRPr="002302AF">
        <w:rPr>
          <w:rFonts w:ascii="Times" w:hAnsi="Times" w:cs="Arial"/>
        </w:rPr>
        <w:t>)</w:t>
      </w:r>
      <w:r w:rsidR="00CF4F3D" w:rsidRPr="002302AF">
        <w:rPr>
          <w:rFonts w:ascii="Times" w:hAnsi="Times" w:cs="Arial"/>
        </w:rPr>
        <w:t>.</w:t>
      </w:r>
      <w:r w:rsidR="00A30EE8" w:rsidRPr="002302AF">
        <w:rPr>
          <w:rFonts w:ascii="Times" w:hAnsi="Times" w:cs="Arial"/>
        </w:rPr>
        <w:t xml:space="preserve"> </w:t>
      </w:r>
      <w:r w:rsidR="00936181" w:rsidRPr="002302AF">
        <w:rPr>
          <w:rFonts w:ascii="Times" w:hAnsi="Times"/>
        </w:rPr>
        <w:t xml:space="preserve">An ANOVA investigating the interaction of </w:t>
      </w:r>
      <w:r w:rsidR="00826DFD" w:rsidRPr="002302AF">
        <w:rPr>
          <w:rFonts w:ascii="Times" w:hAnsi="Times"/>
        </w:rPr>
        <w:t xml:space="preserve">stimulation </w:t>
      </w:r>
      <w:r w:rsidR="00936181" w:rsidRPr="002302AF">
        <w:rPr>
          <w:rFonts w:ascii="Times" w:hAnsi="Times"/>
        </w:rPr>
        <w:t>type (3 level</w:t>
      </w:r>
      <w:r w:rsidR="00A75D27" w:rsidRPr="002302AF">
        <w:rPr>
          <w:rFonts w:ascii="Times" w:hAnsi="Times"/>
        </w:rPr>
        <w:t>s</w:t>
      </w:r>
      <w:r w:rsidR="00936181" w:rsidRPr="002302AF">
        <w:rPr>
          <w:rFonts w:ascii="Times" w:hAnsi="Times"/>
        </w:rPr>
        <w:t xml:space="preserve">) and number pair type (2 levels) </w:t>
      </w:r>
      <w:r w:rsidR="00D626EC" w:rsidRPr="002302AF">
        <w:rPr>
          <w:rFonts w:ascii="Times" w:hAnsi="Times"/>
        </w:rPr>
        <w:t xml:space="preserve">on </w:t>
      </w:r>
      <w:r w:rsidR="007D0260" w:rsidRPr="002302AF">
        <w:rPr>
          <w:rFonts w:ascii="Times" w:hAnsi="Times"/>
        </w:rPr>
        <w:t xml:space="preserve">RT </w:t>
      </w:r>
      <w:r w:rsidR="00936181" w:rsidRPr="002302AF">
        <w:rPr>
          <w:rFonts w:ascii="Times" w:hAnsi="Times"/>
        </w:rPr>
        <w:t>showed a significant interaction</w:t>
      </w:r>
      <w:r w:rsidR="00922A00" w:rsidRPr="002302AF">
        <w:rPr>
          <w:rFonts w:ascii="Times" w:hAnsi="Times"/>
        </w:rPr>
        <w:t xml:space="preserve"> </w:t>
      </w:r>
      <w:r w:rsidR="005D625F" w:rsidRPr="002302AF">
        <w:rPr>
          <w:rFonts w:ascii="Times" w:hAnsi="Times"/>
        </w:rPr>
        <w:t xml:space="preserve">(F(2,16)=3.684, p=0.048). This effect was driven by </w:t>
      </w:r>
      <w:r w:rsidR="00BC4B76" w:rsidRPr="002302AF">
        <w:rPr>
          <w:rFonts w:ascii="Times" w:hAnsi="Times"/>
        </w:rPr>
        <w:t xml:space="preserve">an </w:t>
      </w:r>
      <w:r w:rsidR="0018250D" w:rsidRPr="002302AF">
        <w:rPr>
          <w:rFonts w:ascii="Times" w:hAnsi="Times"/>
        </w:rPr>
        <w:t xml:space="preserve">increased </w:t>
      </w:r>
      <w:r w:rsidR="00922A00" w:rsidRPr="002302AF">
        <w:rPr>
          <w:rFonts w:ascii="Times" w:hAnsi="Times"/>
        </w:rPr>
        <w:t xml:space="preserve">RT when responding </w:t>
      </w:r>
      <w:r w:rsidR="005D625F" w:rsidRPr="002302AF">
        <w:rPr>
          <w:rFonts w:ascii="Times" w:hAnsi="Times"/>
        </w:rPr>
        <w:t xml:space="preserve">to ‘close’ </w:t>
      </w:r>
      <w:r w:rsidR="00922A00" w:rsidRPr="002302AF">
        <w:rPr>
          <w:rFonts w:ascii="Times" w:hAnsi="Times"/>
        </w:rPr>
        <w:t xml:space="preserve">pairs </w:t>
      </w:r>
      <w:r w:rsidR="005D625F" w:rsidRPr="002302AF">
        <w:rPr>
          <w:rFonts w:ascii="Times" w:hAnsi="Times"/>
        </w:rPr>
        <w:t xml:space="preserve">versus </w:t>
      </w:r>
      <w:r w:rsidR="00922A00" w:rsidRPr="002302AF">
        <w:rPr>
          <w:rFonts w:ascii="Times" w:hAnsi="Times"/>
        </w:rPr>
        <w:t xml:space="preserve">responding to </w:t>
      </w:r>
      <w:r w:rsidR="005D625F" w:rsidRPr="002302AF">
        <w:rPr>
          <w:rFonts w:ascii="Times" w:hAnsi="Times"/>
        </w:rPr>
        <w:t>‘far’ number pairs</w:t>
      </w:r>
      <w:r w:rsidR="00922A00" w:rsidRPr="002302AF">
        <w:rPr>
          <w:rFonts w:ascii="Times" w:hAnsi="Times"/>
        </w:rPr>
        <w:t xml:space="preserve">, which was </w:t>
      </w:r>
      <w:r w:rsidR="005D625F" w:rsidRPr="002302AF">
        <w:rPr>
          <w:rFonts w:ascii="Times" w:hAnsi="Times"/>
        </w:rPr>
        <w:t xml:space="preserve">significantly </w:t>
      </w:r>
      <w:r w:rsidR="009D2EE5" w:rsidRPr="002302AF">
        <w:rPr>
          <w:rFonts w:ascii="Times" w:hAnsi="Times"/>
        </w:rPr>
        <w:t>greater under RA/LC stimulation</w:t>
      </w:r>
      <w:r w:rsidR="005D625F" w:rsidRPr="002302AF">
        <w:rPr>
          <w:rFonts w:ascii="Times" w:hAnsi="Times"/>
        </w:rPr>
        <w:t xml:space="preserve"> compared </w:t>
      </w:r>
      <w:r w:rsidR="009D2EE5" w:rsidRPr="002302AF">
        <w:rPr>
          <w:rFonts w:ascii="Times" w:hAnsi="Times"/>
        </w:rPr>
        <w:t xml:space="preserve">to </w:t>
      </w:r>
      <w:r w:rsidR="005D625F" w:rsidRPr="002302AF">
        <w:rPr>
          <w:rFonts w:ascii="Times" w:hAnsi="Times"/>
        </w:rPr>
        <w:t>sham stimulation (t=2.607, df=17, p=0.018</w:t>
      </w:r>
      <w:r w:rsidR="00946B6E" w:rsidRPr="002302AF">
        <w:rPr>
          <w:rFonts w:ascii="Times" w:hAnsi="Times"/>
        </w:rPr>
        <w:t xml:space="preserve">, </w:t>
      </w:r>
      <w:r w:rsidR="00503C32" w:rsidRPr="002302AF">
        <w:rPr>
          <w:rFonts w:ascii="Times" w:hAnsi="Times"/>
        </w:rPr>
        <w:t xml:space="preserve">Cohen’s </w:t>
      </w:r>
      <w:r w:rsidR="00946B6E" w:rsidRPr="002302AF">
        <w:rPr>
          <w:rFonts w:ascii="Times" w:hAnsi="Times"/>
        </w:rPr>
        <w:t xml:space="preserve">effect size = </w:t>
      </w:r>
      <w:r w:rsidR="00965726" w:rsidRPr="002302AF">
        <w:rPr>
          <w:rFonts w:ascii="Times" w:hAnsi="Times"/>
        </w:rPr>
        <w:t>0.</w:t>
      </w:r>
      <w:r w:rsidR="00A57ED2" w:rsidRPr="002302AF">
        <w:rPr>
          <w:rFonts w:ascii="Times" w:hAnsi="Times"/>
        </w:rPr>
        <w:t>6</w:t>
      </w:r>
      <w:r w:rsidR="00965726" w:rsidRPr="002302AF">
        <w:rPr>
          <w:rFonts w:ascii="Times" w:hAnsi="Times"/>
        </w:rPr>
        <w:t>1</w:t>
      </w:r>
      <w:r w:rsidR="00946B6E" w:rsidRPr="002302AF">
        <w:rPr>
          <w:rFonts w:ascii="Times" w:hAnsi="Times"/>
        </w:rPr>
        <w:t>, mean of difference = 9.43ms (</w:t>
      </w:r>
      <w:r w:rsidR="006F384B" w:rsidRPr="002302AF">
        <w:rPr>
          <w:rFonts w:ascii="Times" w:hAnsi="Times"/>
        </w:rPr>
        <w:t>95%CI</w:t>
      </w:r>
      <w:r w:rsidR="00946B6E" w:rsidRPr="002302AF">
        <w:rPr>
          <w:rFonts w:ascii="Times" w:hAnsi="Times"/>
        </w:rPr>
        <w:t xml:space="preserve"> 1.78-17.06)</w:t>
      </w:r>
      <w:r w:rsidR="005D625F" w:rsidRPr="002302AF">
        <w:rPr>
          <w:rFonts w:ascii="Times" w:hAnsi="Times"/>
        </w:rPr>
        <w:t xml:space="preserve">) </w:t>
      </w:r>
      <w:r w:rsidR="00E313DD" w:rsidRPr="002302AF">
        <w:rPr>
          <w:rFonts w:ascii="Times" w:hAnsi="Times"/>
        </w:rPr>
        <w:t>(</w:t>
      </w:r>
      <w:r w:rsidR="00FF123A" w:rsidRPr="002302AF">
        <w:rPr>
          <w:rFonts w:ascii="Times" w:hAnsi="Times"/>
        </w:rPr>
        <w:t>Figure</w:t>
      </w:r>
      <w:r w:rsidR="00922A00" w:rsidRPr="002302AF">
        <w:rPr>
          <w:rFonts w:ascii="Times" w:hAnsi="Times"/>
        </w:rPr>
        <w:t xml:space="preserve"> 2</w:t>
      </w:r>
      <w:r w:rsidR="0012574C" w:rsidRPr="002302AF">
        <w:rPr>
          <w:rFonts w:ascii="Times" w:hAnsi="Times"/>
        </w:rPr>
        <w:t>B</w:t>
      </w:r>
      <w:r w:rsidR="005D625F" w:rsidRPr="002302AF">
        <w:rPr>
          <w:rFonts w:ascii="Times" w:hAnsi="Times"/>
        </w:rPr>
        <w:t>).</w:t>
      </w:r>
      <w:r w:rsidR="0074264B" w:rsidRPr="002302AF">
        <w:rPr>
          <w:rFonts w:ascii="Times" w:hAnsi="Times"/>
        </w:rPr>
        <w:t xml:space="preserve"> </w:t>
      </w:r>
      <w:r w:rsidR="0016408F" w:rsidRPr="002302AF">
        <w:rPr>
          <w:rFonts w:ascii="Times" w:hAnsi="Times"/>
        </w:rPr>
        <w:t>That is, RA/LC stimulation exaggerated the numerical processing cost of responding to ‘close’ number pairs.</w:t>
      </w:r>
      <w:r w:rsidR="00CF0A0F" w:rsidRPr="002302AF">
        <w:rPr>
          <w:rFonts w:ascii="Times" w:hAnsi="Times"/>
        </w:rPr>
        <w:t xml:space="preserve"> </w:t>
      </w:r>
      <w:r w:rsidR="00F41B40" w:rsidRPr="002302AF">
        <w:rPr>
          <w:rFonts w:ascii="Times" w:hAnsi="Times"/>
        </w:rPr>
        <w:t>There was no effect of stimulation type on</w:t>
      </w:r>
      <w:r w:rsidR="004A7F3D" w:rsidRPr="002302AF">
        <w:rPr>
          <w:rFonts w:ascii="Times" w:hAnsi="Times"/>
        </w:rPr>
        <w:t xml:space="preserve"> error rate</w:t>
      </w:r>
      <w:r w:rsidR="006918CB" w:rsidRPr="002302AF">
        <w:rPr>
          <w:rFonts w:ascii="Times" w:hAnsi="Times"/>
        </w:rPr>
        <w:t xml:space="preserve"> </w:t>
      </w:r>
      <w:r w:rsidR="007A74E1" w:rsidRPr="002302AF">
        <w:rPr>
          <w:rFonts w:ascii="Times" w:hAnsi="Times"/>
        </w:rPr>
        <w:t>(F(2,16)=0.747, p=0.490</w:t>
      </w:r>
      <w:r w:rsidR="00723DDB" w:rsidRPr="002302AF">
        <w:rPr>
          <w:rFonts w:ascii="Times" w:hAnsi="Times"/>
        </w:rPr>
        <w:t xml:space="preserve">; </w:t>
      </w:r>
      <w:r w:rsidR="00225A8A" w:rsidRPr="002302AF">
        <w:rPr>
          <w:rFonts w:ascii="Times" w:hAnsi="Times"/>
        </w:rPr>
        <w:t>partial eta squared=</w:t>
      </w:r>
      <w:r w:rsidR="00723DDB" w:rsidRPr="002302AF">
        <w:rPr>
          <w:rFonts w:ascii="Times" w:hAnsi="Times"/>
        </w:rPr>
        <w:t>0.085; mean err</w:t>
      </w:r>
      <w:r w:rsidR="00225A8A" w:rsidRPr="002302AF">
        <w:rPr>
          <w:rFonts w:ascii="Times" w:hAnsi="Times"/>
        </w:rPr>
        <w:t>or rate for RA/LC stimulation=</w:t>
      </w:r>
      <w:r w:rsidR="00723DDB" w:rsidRPr="002302AF">
        <w:rPr>
          <w:rFonts w:ascii="Times" w:hAnsi="Times"/>
        </w:rPr>
        <w:t>3.09</w:t>
      </w:r>
      <w:r w:rsidR="00C414EF" w:rsidRPr="002302AF">
        <w:rPr>
          <w:rFonts w:ascii="Times" w:hAnsi="Times"/>
        </w:rPr>
        <w:t>%</w:t>
      </w:r>
      <w:r w:rsidR="00723DDB" w:rsidRPr="002302AF">
        <w:rPr>
          <w:rFonts w:ascii="Times" w:hAnsi="Times"/>
        </w:rPr>
        <w:t xml:space="preserve"> (</w:t>
      </w:r>
      <w:r w:rsidR="006F384B" w:rsidRPr="002302AF">
        <w:rPr>
          <w:rFonts w:ascii="Times" w:hAnsi="Times"/>
        </w:rPr>
        <w:t>95%CI</w:t>
      </w:r>
      <w:r w:rsidR="00723DDB" w:rsidRPr="002302AF">
        <w:rPr>
          <w:rFonts w:ascii="Times" w:hAnsi="Times"/>
        </w:rPr>
        <w:t xml:space="preserve"> 2.18-3.99</w:t>
      </w:r>
      <w:r w:rsidR="007A74E1" w:rsidRPr="002302AF">
        <w:rPr>
          <w:rFonts w:ascii="Times" w:hAnsi="Times"/>
        </w:rPr>
        <w:t>)</w:t>
      </w:r>
      <w:r w:rsidR="00723DDB" w:rsidRPr="002302AF">
        <w:rPr>
          <w:rFonts w:ascii="Times" w:hAnsi="Times"/>
        </w:rPr>
        <w:t>, mean erro</w:t>
      </w:r>
      <w:r w:rsidR="00225A8A" w:rsidRPr="002302AF">
        <w:rPr>
          <w:rFonts w:ascii="Times" w:hAnsi="Times"/>
        </w:rPr>
        <w:t>r rate for RC/LA stimulation=</w:t>
      </w:r>
      <w:r w:rsidR="00723DDB" w:rsidRPr="002302AF">
        <w:rPr>
          <w:rFonts w:ascii="Times" w:hAnsi="Times"/>
        </w:rPr>
        <w:t>5.92</w:t>
      </w:r>
      <w:r w:rsidR="00C414EF" w:rsidRPr="002302AF">
        <w:rPr>
          <w:rFonts w:ascii="Times" w:hAnsi="Times"/>
        </w:rPr>
        <w:t>%</w:t>
      </w:r>
      <w:r w:rsidR="00723DDB" w:rsidRPr="002302AF">
        <w:rPr>
          <w:rFonts w:ascii="Times" w:hAnsi="Times"/>
        </w:rPr>
        <w:t xml:space="preserve"> (</w:t>
      </w:r>
      <w:r w:rsidR="006F384B" w:rsidRPr="002302AF">
        <w:rPr>
          <w:rFonts w:ascii="Times" w:hAnsi="Times"/>
        </w:rPr>
        <w:t>95%CI</w:t>
      </w:r>
      <w:r w:rsidR="00723DDB" w:rsidRPr="002302AF">
        <w:rPr>
          <w:rFonts w:ascii="Times" w:hAnsi="Times"/>
        </w:rPr>
        <w:t xml:space="preserve"> 0.91-10.9), mean er</w:t>
      </w:r>
      <w:r w:rsidR="00225A8A" w:rsidRPr="002302AF">
        <w:rPr>
          <w:rFonts w:ascii="Times" w:hAnsi="Times"/>
        </w:rPr>
        <w:t>ror rate for sham stimulation=</w:t>
      </w:r>
      <w:r w:rsidR="00723DDB" w:rsidRPr="002302AF">
        <w:rPr>
          <w:rFonts w:ascii="Times" w:hAnsi="Times"/>
        </w:rPr>
        <w:t>3.19</w:t>
      </w:r>
      <w:r w:rsidR="00C414EF" w:rsidRPr="002302AF">
        <w:rPr>
          <w:rFonts w:ascii="Times" w:hAnsi="Times"/>
        </w:rPr>
        <w:t>%</w:t>
      </w:r>
      <w:r w:rsidR="00723DDB" w:rsidRPr="002302AF">
        <w:rPr>
          <w:rFonts w:ascii="Times" w:hAnsi="Times"/>
        </w:rPr>
        <w:t xml:space="preserve"> (</w:t>
      </w:r>
      <w:r w:rsidR="006F384B" w:rsidRPr="002302AF">
        <w:rPr>
          <w:rFonts w:ascii="Times" w:hAnsi="Times"/>
        </w:rPr>
        <w:t>95%CI</w:t>
      </w:r>
      <w:r w:rsidR="00723DDB" w:rsidRPr="002302AF">
        <w:rPr>
          <w:rFonts w:ascii="Times" w:hAnsi="Times"/>
        </w:rPr>
        <w:t xml:space="preserve"> 2.21-4.17))</w:t>
      </w:r>
      <w:r w:rsidR="004A7F3D" w:rsidRPr="002302AF">
        <w:rPr>
          <w:rFonts w:ascii="Times" w:hAnsi="Times"/>
        </w:rPr>
        <w:t>.</w:t>
      </w:r>
    </w:p>
    <w:p w14:paraId="287D0290" w14:textId="77777777" w:rsidR="008C533F" w:rsidRPr="00023C48" w:rsidRDefault="008C533F" w:rsidP="005374CB">
      <w:pPr>
        <w:spacing w:line="480" w:lineRule="auto"/>
        <w:jc w:val="both"/>
        <w:rPr>
          <w:rFonts w:ascii="Times" w:hAnsi="Times"/>
        </w:rPr>
      </w:pPr>
    </w:p>
    <w:p w14:paraId="0BEF5A83" w14:textId="245A969F" w:rsidR="008C533F" w:rsidRPr="00023C48" w:rsidRDefault="008C533F" w:rsidP="005374CB">
      <w:pPr>
        <w:spacing w:line="480" w:lineRule="auto"/>
        <w:jc w:val="both"/>
        <w:rPr>
          <w:rFonts w:ascii="Times" w:hAnsi="Times" w:cs="Arial"/>
          <w:noProof/>
          <w:lang w:val="en-US"/>
        </w:rPr>
      </w:pPr>
      <w:r w:rsidRPr="00023C48">
        <w:rPr>
          <w:rFonts w:ascii="Times" w:hAnsi="Times" w:cs="Arial"/>
          <w:i/>
          <w:noProof/>
          <w:lang w:val="en-US"/>
        </w:rPr>
        <w:t xml:space="preserve">Stimulation had no effect on spatial </w:t>
      </w:r>
      <w:r w:rsidR="00E313DD" w:rsidRPr="00023C48">
        <w:rPr>
          <w:rFonts w:ascii="Times" w:hAnsi="Times" w:cs="Arial"/>
          <w:i/>
          <w:noProof/>
          <w:lang w:val="en-US"/>
        </w:rPr>
        <w:t xml:space="preserve">attention as assessed by the </w:t>
      </w:r>
      <w:r w:rsidRPr="00023C48">
        <w:rPr>
          <w:rFonts w:ascii="Times" w:hAnsi="Times" w:cs="Arial"/>
          <w:i/>
          <w:noProof/>
          <w:lang w:val="en-US"/>
        </w:rPr>
        <w:t>modified Posner task</w:t>
      </w:r>
    </w:p>
    <w:p w14:paraId="1462986F" w14:textId="7E5E1F5E" w:rsidR="008C533F" w:rsidRPr="002302AF" w:rsidRDefault="00DA6110" w:rsidP="005374CB">
      <w:pPr>
        <w:spacing w:line="480" w:lineRule="auto"/>
        <w:jc w:val="both"/>
        <w:rPr>
          <w:rFonts w:ascii="Times" w:hAnsi="Times" w:cs="Arial"/>
          <w:noProof/>
          <w:lang w:val="en-US"/>
        </w:rPr>
      </w:pPr>
      <w:r w:rsidRPr="002302AF">
        <w:rPr>
          <w:rFonts w:ascii="Times" w:hAnsi="Times" w:cs="Arial"/>
          <w:noProof/>
          <w:lang w:val="en-US"/>
        </w:rPr>
        <w:t>The modified Posner task produced the expected pattern of performance</w:t>
      </w:r>
      <w:r w:rsidR="0038463F" w:rsidRPr="002302AF">
        <w:rPr>
          <w:rFonts w:ascii="Times" w:hAnsi="Times" w:cs="Arial"/>
          <w:noProof/>
          <w:lang w:val="en-US"/>
        </w:rPr>
        <w:t xml:space="preserve">. </w:t>
      </w:r>
      <w:r w:rsidR="002B0E37" w:rsidRPr="002302AF">
        <w:rPr>
          <w:rFonts w:ascii="Times" w:hAnsi="Times" w:cs="Arial"/>
          <w:noProof/>
          <w:lang w:val="en-US"/>
        </w:rPr>
        <w:t xml:space="preserve">The behavioral results were as expected. </w:t>
      </w:r>
      <w:r w:rsidR="008C533F" w:rsidRPr="002302AF">
        <w:rPr>
          <w:rFonts w:ascii="Times" w:hAnsi="Times" w:cs="Arial"/>
          <w:noProof/>
          <w:lang w:val="en-US"/>
        </w:rPr>
        <w:t>There was a main effect of cue type on RT (F(3,15)=160.35, p&lt;0.001</w:t>
      </w:r>
      <w:r w:rsidR="00225A8A" w:rsidRPr="002302AF">
        <w:rPr>
          <w:rFonts w:ascii="Times" w:hAnsi="Times" w:cs="Arial"/>
          <w:noProof/>
          <w:lang w:val="en-US"/>
        </w:rPr>
        <w:t>, partial eta squared=</w:t>
      </w:r>
      <w:r w:rsidR="000B6F62" w:rsidRPr="002302AF">
        <w:rPr>
          <w:rFonts w:ascii="Times" w:hAnsi="Times" w:cs="Arial"/>
          <w:noProof/>
          <w:lang w:val="en-US"/>
        </w:rPr>
        <w:t>0.970</w:t>
      </w:r>
      <w:r w:rsidR="00A10AC6" w:rsidRPr="002302AF">
        <w:rPr>
          <w:rFonts w:ascii="Times" w:hAnsi="Times" w:cs="Arial"/>
          <w:noProof/>
          <w:lang w:val="en-US"/>
        </w:rPr>
        <w:t xml:space="preserve"> (</w:t>
      </w:r>
      <w:r w:rsidR="00FF123A" w:rsidRPr="002302AF">
        <w:rPr>
          <w:rFonts w:ascii="Times" w:hAnsi="Times" w:cs="Arial"/>
          <w:noProof/>
          <w:lang w:val="en-US"/>
        </w:rPr>
        <w:t>Figure</w:t>
      </w:r>
      <w:r w:rsidR="00A10AC6" w:rsidRPr="002302AF">
        <w:rPr>
          <w:rFonts w:ascii="Times" w:hAnsi="Times" w:cs="Arial"/>
          <w:noProof/>
          <w:lang w:val="en-US"/>
        </w:rPr>
        <w:t xml:space="preserve"> 3)</w:t>
      </w:r>
      <w:r w:rsidR="008C533F" w:rsidRPr="002302AF">
        <w:rPr>
          <w:rFonts w:ascii="Times" w:hAnsi="Times" w:cs="Arial"/>
          <w:noProof/>
          <w:lang w:val="en-US"/>
        </w:rPr>
        <w:t xml:space="preserve">. The fastest RT were in the valid cue condition. The RT to ‘Valid cue’ trials were significantly faster than RT to </w:t>
      </w:r>
      <w:r w:rsidR="007C1CE3" w:rsidRPr="002302AF">
        <w:rPr>
          <w:rFonts w:ascii="Times" w:hAnsi="Times" w:cs="Arial"/>
          <w:noProof/>
          <w:lang w:val="en-US"/>
        </w:rPr>
        <w:t>‘Invalid cue’ trials</w:t>
      </w:r>
      <w:r w:rsidR="00D3376F" w:rsidRPr="002302AF">
        <w:rPr>
          <w:rFonts w:ascii="Times" w:hAnsi="Times" w:cs="Arial"/>
          <w:noProof/>
          <w:lang w:val="en-US"/>
        </w:rPr>
        <w:t xml:space="preserve"> (i.e.</w:t>
      </w:r>
      <w:r w:rsidR="007C1CE3" w:rsidRPr="002302AF">
        <w:rPr>
          <w:rFonts w:ascii="Times" w:hAnsi="Times" w:cs="Arial"/>
          <w:noProof/>
          <w:lang w:val="en-US"/>
        </w:rPr>
        <w:t xml:space="preserve"> the Posner effect</w:t>
      </w:r>
      <w:r w:rsidR="00D3376F" w:rsidRPr="002302AF">
        <w:rPr>
          <w:rFonts w:ascii="Times" w:hAnsi="Times" w:cs="Arial"/>
          <w:noProof/>
          <w:lang w:val="en-US"/>
        </w:rPr>
        <w:t>)</w:t>
      </w:r>
      <w:r w:rsidR="007C1CE3" w:rsidRPr="002302AF">
        <w:rPr>
          <w:rFonts w:ascii="Times" w:hAnsi="Times" w:cs="Arial"/>
          <w:noProof/>
          <w:lang w:val="en-US"/>
        </w:rPr>
        <w:t xml:space="preserve"> (F(1,17)=194.9</w:t>
      </w:r>
      <w:r w:rsidR="00A36362" w:rsidRPr="002302AF">
        <w:rPr>
          <w:rFonts w:ascii="Times" w:hAnsi="Times" w:cs="Arial"/>
          <w:noProof/>
          <w:lang w:val="en-US"/>
        </w:rPr>
        <w:t>,</w:t>
      </w:r>
      <w:r w:rsidR="007C1CE3" w:rsidRPr="002302AF">
        <w:rPr>
          <w:rFonts w:ascii="Times" w:hAnsi="Times" w:cs="Arial"/>
          <w:noProof/>
          <w:lang w:val="en-US"/>
        </w:rPr>
        <w:t xml:space="preserve"> p&lt;0.001), </w:t>
      </w:r>
      <w:r w:rsidR="008C533F" w:rsidRPr="002302AF">
        <w:rPr>
          <w:rFonts w:ascii="Times" w:hAnsi="Times" w:cs="Arial"/>
          <w:noProof/>
          <w:lang w:val="en-US"/>
        </w:rPr>
        <w:t>‘Alerting cue’ tri</w:t>
      </w:r>
      <w:r w:rsidR="007C1CE3" w:rsidRPr="002302AF">
        <w:rPr>
          <w:rFonts w:ascii="Times" w:hAnsi="Times" w:cs="Arial"/>
          <w:noProof/>
          <w:lang w:val="en-US"/>
        </w:rPr>
        <w:t>als (F(1,17)=104.7, p&lt;0.001) and</w:t>
      </w:r>
      <w:r w:rsidR="008C533F" w:rsidRPr="002302AF">
        <w:rPr>
          <w:rFonts w:ascii="Times" w:hAnsi="Times" w:cs="Arial"/>
          <w:noProof/>
          <w:lang w:val="en-US"/>
        </w:rPr>
        <w:t xml:space="preserve"> ‘No cue’</w:t>
      </w:r>
      <w:r w:rsidR="007C1CE3" w:rsidRPr="002302AF">
        <w:rPr>
          <w:rFonts w:ascii="Times" w:hAnsi="Times" w:cs="Arial"/>
          <w:noProof/>
          <w:lang w:val="en-US"/>
        </w:rPr>
        <w:t xml:space="preserve"> trials (F(1,17)=408.1, p&lt;0.001)</w:t>
      </w:r>
      <w:r w:rsidR="008C533F" w:rsidRPr="002302AF">
        <w:rPr>
          <w:rFonts w:ascii="Times" w:hAnsi="Times" w:cs="Arial"/>
          <w:noProof/>
          <w:lang w:val="en-US"/>
        </w:rPr>
        <w:t xml:space="preserve">. The next fastest RT were in ‘Alerting cue’ conditions. The RT to ‘Alerting cue’ trials were significantly faster than RT to ‘Invalid cue; trials (F(1,17)=37.3, p&lt;0.001) and to ‘No cue’ trials, which is the Alerting effect (F(1,17)=37.3, p&lt;0.001). The RT to ‘Invalid cue’ trials was significantly faster than to ‘No cue’ trials, which produced the slowest RT (F(1,17)=108.1, p&lt;0.001). There was no effect of stimulation type on </w:t>
      </w:r>
      <w:r w:rsidR="0023756B" w:rsidRPr="002302AF">
        <w:rPr>
          <w:rFonts w:ascii="Times" w:hAnsi="Times" w:cs="Arial"/>
          <w:noProof/>
          <w:lang w:val="en-US"/>
        </w:rPr>
        <w:t>RT</w:t>
      </w:r>
      <w:r w:rsidR="00AF3AF3" w:rsidRPr="002302AF">
        <w:rPr>
          <w:rFonts w:ascii="Times" w:hAnsi="Times" w:cs="Arial"/>
          <w:noProof/>
          <w:lang w:val="en-US"/>
        </w:rPr>
        <w:t xml:space="preserve"> (</w:t>
      </w:r>
      <w:r w:rsidR="002B6F38" w:rsidRPr="002302AF">
        <w:rPr>
          <w:rFonts w:ascii="Times" w:hAnsi="Times" w:cs="Arial"/>
          <w:noProof/>
          <w:lang w:val="en-US"/>
        </w:rPr>
        <w:t>F(2,16)=0.266, p=0.770; partial eta squared=0.032; mean RT with RA/LC stimulation=293ms (</w:t>
      </w:r>
      <w:r w:rsidR="006F384B" w:rsidRPr="002302AF">
        <w:rPr>
          <w:rFonts w:ascii="Times" w:hAnsi="Times" w:cs="Arial"/>
          <w:noProof/>
          <w:lang w:val="en-US"/>
        </w:rPr>
        <w:t>95%CI</w:t>
      </w:r>
      <w:r w:rsidR="002B6F38" w:rsidRPr="002302AF">
        <w:rPr>
          <w:rFonts w:ascii="Times" w:hAnsi="Times" w:cs="Arial"/>
          <w:noProof/>
          <w:lang w:val="en-US"/>
        </w:rPr>
        <w:t xml:space="preserve"> 271-314), mean RT with RC/LA stimulation=291ms (</w:t>
      </w:r>
      <w:r w:rsidR="006F384B" w:rsidRPr="002302AF">
        <w:rPr>
          <w:rFonts w:ascii="Times" w:hAnsi="Times" w:cs="Arial"/>
          <w:noProof/>
          <w:lang w:val="en-US"/>
        </w:rPr>
        <w:t>95%CI</w:t>
      </w:r>
      <w:r w:rsidR="002B6F38" w:rsidRPr="002302AF">
        <w:rPr>
          <w:rFonts w:ascii="Times" w:hAnsi="Times" w:cs="Arial"/>
          <w:noProof/>
          <w:lang w:val="en-US"/>
        </w:rPr>
        <w:t xml:space="preserve"> 263-320), mean RT with sham stimulation=296ms (</w:t>
      </w:r>
      <w:r w:rsidR="006F384B" w:rsidRPr="002302AF">
        <w:rPr>
          <w:rFonts w:ascii="Times" w:hAnsi="Times" w:cs="Arial"/>
          <w:noProof/>
          <w:lang w:val="en-US"/>
        </w:rPr>
        <w:t>95%CI</w:t>
      </w:r>
      <w:r w:rsidR="002B6F38" w:rsidRPr="002302AF">
        <w:rPr>
          <w:rFonts w:ascii="Times" w:hAnsi="Times" w:cs="Arial"/>
          <w:noProof/>
          <w:lang w:val="en-US"/>
        </w:rPr>
        <w:t xml:space="preserve"> 272-319))</w:t>
      </w:r>
      <w:r w:rsidR="0023756B" w:rsidRPr="002302AF">
        <w:rPr>
          <w:rFonts w:ascii="Times" w:hAnsi="Times" w:cs="Arial"/>
          <w:noProof/>
          <w:lang w:val="en-US"/>
        </w:rPr>
        <w:t xml:space="preserve">, </w:t>
      </w:r>
      <w:r w:rsidR="008C533F" w:rsidRPr="002302AF">
        <w:rPr>
          <w:rFonts w:ascii="Times" w:hAnsi="Times" w:cs="Arial"/>
          <w:noProof/>
          <w:lang w:val="en-US"/>
        </w:rPr>
        <w:t>error rate</w:t>
      </w:r>
      <w:r w:rsidR="00383E5F" w:rsidRPr="002302AF">
        <w:rPr>
          <w:rFonts w:ascii="Times" w:hAnsi="Times" w:cs="Arial"/>
          <w:noProof/>
          <w:lang w:val="en-US"/>
        </w:rPr>
        <w:t xml:space="preserve"> (</w:t>
      </w:r>
      <w:r w:rsidR="00311CFB" w:rsidRPr="002302AF">
        <w:rPr>
          <w:rFonts w:ascii="Times" w:hAnsi="Times" w:cs="Arial"/>
          <w:noProof/>
          <w:lang w:val="en-US"/>
        </w:rPr>
        <w:t>F(2,16)=1.205, p=0.326; partial eta squared=0.131; mean error rate with RA/LA stimulation=2.4% (</w:t>
      </w:r>
      <w:r w:rsidR="006F384B" w:rsidRPr="002302AF">
        <w:rPr>
          <w:rFonts w:ascii="Times" w:hAnsi="Times" w:cs="Arial"/>
          <w:noProof/>
          <w:lang w:val="en-US"/>
        </w:rPr>
        <w:t>95%CI</w:t>
      </w:r>
      <w:r w:rsidR="00311CFB" w:rsidRPr="002302AF">
        <w:rPr>
          <w:rFonts w:ascii="Times" w:hAnsi="Times" w:cs="Arial"/>
          <w:noProof/>
          <w:lang w:val="en-US"/>
        </w:rPr>
        <w:t xml:space="preserve"> 1.0-3.8), mean error rate with RC/LC stimulation=2.9% (</w:t>
      </w:r>
      <w:r w:rsidR="006F384B" w:rsidRPr="002302AF">
        <w:rPr>
          <w:rFonts w:ascii="Times" w:hAnsi="Times" w:cs="Arial"/>
          <w:noProof/>
          <w:lang w:val="en-US"/>
        </w:rPr>
        <w:t>95%CI</w:t>
      </w:r>
      <w:r w:rsidR="00311CFB" w:rsidRPr="002302AF">
        <w:rPr>
          <w:rFonts w:ascii="Times" w:hAnsi="Times" w:cs="Arial"/>
          <w:noProof/>
          <w:lang w:val="en-US"/>
        </w:rPr>
        <w:t xml:space="preserve"> 0.4-5.4), mean error rate with sham stimulation=1.8% (</w:t>
      </w:r>
      <w:r w:rsidR="006F384B" w:rsidRPr="002302AF">
        <w:rPr>
          <w:rFonts w:ascii="Times" w:hAnsi="Times" w:cs="Arial"/>
          <w:noProof/>
          <w:lang w:val="en-US"/>
        </w:rPr>
        <w:t>95%CI</w:t>
      </w:r>
      <w:r w:rsidR="00311CFB" w:rsidRPr="002302AF">
        <w:rPr>
          <w:rFonts w:ascii="Times" w:hAnsi="Times" w:cs="Arial"/>
          <w:noProof/>
          <w:lang w:val="en-US"/>
        </w:rPr>
        <w:t xml:space="preserve"> 0.9-2.8))</w:t>
      </w:r>
      <w:r w:rsidR="008C533F" w:rsidRPr="002302AF">
        <w:rPr>
          <w:rFonts w:ascii="Times" w:hAnsi="Times" w:cs="Arial"/>
          <w:noProof/>
          <w:lang w:val="en-US"/>
        </w:rPr>
        <w:t xml:space="preserve"> or the Posner</w:t>
      </w:r>
      <w:r w:rsidR="0067312C" w:rsidRPr="002302AF">
        <w:rPr>
          <w:rFonts w:ascii="Times" w:hAnsi="Times" w:cs="Arial"/>
          <w:noProof/>
          <w:lang w:val="en-US"/>
        </w:rPr>
        <w:t xml:space="preserve"> effect</w:t>
      </w:r>
      <w:r w:rsidR="008C533F" w:rsidRPr="002302AF">
        <w:rPr>
          <w:rFonts w:ascii="Times" w:hAnsi="Times" w:cs="Arial"/>
          <w:noProof/>
          <w:lang w:val="en-US"/>
        </w:rPr>
        <w:t xml:space="preserve"> </w:t>
      </w:r>
      <w:r w:rsidR="00BA7C7D" w:rsidRPr="002302AF">
        <w:rPr>
          <w:rFonts w:ascii="Times" w:hAnsi="Times" w:cs="Arial"/>
          <w:noProof/>
          <w:lang w:val="en-US"/>
        </w:rPr>
        <w:t>(F(2,16)=1.292, p=0.302; partial eta squared=0.139; mean Posner effect</w:t>
      </w:r>
      <w:r w:rsidR="00AE2E1E" w:rsidRPr="002302AF">
        <w:rPr>
          <w:rFonts w:ascii="Times" w:hAnsi="Times" w:cs="Arial"/>
          <w:noProof/>
          <w:lang w:val="en-US"/>
        </w:rPr>
        <w:t xml:space="preserve"> with RA/LC stimulation</w:t>
      </w:r>
      <w:r w:rsidR="00BA7C7D" w:rsidRPr="002302AF">
        <w:rPr>
          <w:rFonts w:ascii="Times" w:hAnsi="Times" w:cs="Arial"/>
          <w:noProof/>
          <w:lang w:val="en-US"/>
        </w:rPr>
        <w:t>=</w:t>
      </w:r>
      <w:r w:rsidR="00AE2E1E" w:rsidRPr="002302AF">
        <w:rPr>
          <w:rFonts w:ascii="Times" w:hAnsi="Times" w:cs="Arial"/>
          <w:noProof/>
          <w:lang w:val="en-US"/>
        </w:rPr>
        <w:t>71ms (</w:t>
      </w:r>
      <w:r w:rsidR="006F384B" w:rsidRPr="002302AF">
        <w:rPr>
          <w:rFonts w:ascii="Times" w:hAnsi="Times" w:cs="Arial"/>
          <w:noProof/>
          <w:lang w:val="en-US"/>
        </w:rPr>
        <w:t>95%CI</w:t>
      </w:r>
      <w:r w:rsidR="00AE2E1E" w:rsidRPr="002302AF">
        <w:rPr>
          <w:rFonts w:ascii="Times" w:hAnsi="Times" w:cs="Arial"/>
          <w:noProof/>
          <w:lang w:val="en-US"/>
        </w:rPr>
        <w:t xml:space="preserve"> </w:t>
      </w:r>
      <w:r w:rsidR="00BA7C7D" w:rsidRPr="002302AF">
        <w:rPr>
          <w:rFonts w:ascii="Times" w:hAnsi="Times" w:cs="Arial"/>
          <w:noProof/>
          <w:lang w:val="en-US"/>
        </w:rPr>
        <w:t>55-87)</w:t>
      </w:r>
      <w:r w:rsidR="00AE2E1E" w:rsidRPr="002302AF">
        <w:rPr>
          <w:rFonts w:ascii="Times" w:hAnsi="Times" w:cs="Arial"/>
          <w:noProof/>
          <w:lang w:val="en-US"/>
        </w:rPr>
        <w:t>, mean Posner effect with RC/LA stimulation=68ms (95%CI 57-79), mean Posner effect with sham stimulation=</w:t>
      </w:r>
      <w:r w:rsidR="00BC5E9D" w:rsidRPr="002302AF">
        <w:rPr>
          <w:rFonts w:ascii="Times" w:hAnsi="Times" w:cs="Arial"/>
          <w:noProof/>
          <w:lang w:val="en-US"/>
        </w:rPr>
        <w:t>80ms (</w:t>
      </w:r>
      <w:r w:rsidR="006F384B" w:rsidRPr="002302AF">
        <w:rPr>
          <w:rFonts w:ascii="Times" w:hAnsi="Times" w:cs="Arial"/>
          <w:noProof/>
          <w:lang w:val="en-US"/>
        </w:rPr>
        <w:t>95%CI</w:t>
      </w:r>
      <w:r w:rsidR="007068C0" w:rsidRPr="002302AF">
        <w:rPr>
          <w:rFonts w:ascii="Times" w:hAnsi="Times" w:cs="Arial"/>
          <w:noProof/>
          <w:lang w:val="en-US"/>
        </w:rPr>
        <w:t xml:space="preserve"> 63-97)</w:t>
      </w:r>
      <w:r w:rsidR="00CF1BE6" w:rsidRPr="002302AF">
        <w:rPr>
          <w:rFonts w:ascii="Times" w:hAnsi="Times" w:cs="Arial"/>
          <w:noProof/>
          <w:lang w:val="en-US"/>
        </w:rPr>
        <w:t>)</w:t>
      </w:r>
      <w:r w:rsidR="00BA7C7D" w:rsidRPr="002302AF">
        <w:rPr>
          <w:rFonts w:ascii="Times" w:hAnsi="Times" w:cs="Arial"/>
          <w:noProof/>
          <w:lang w:val="en-US"/>
        </w:rPr>
        <w:t xml:space="preserve"> </w:t>
      </w:r>
      <w:r w:rsidR="008C533F" w:rsidRPr="002302AF">
        <w:rPr>
          <w:rFonts w:ascii="Times" w:hAnsi="Times" w:cs="Arial"/>
          <w:noProof/>
          <w:lang w:val="en-US"/>
        </w:rPr>
        <w:t>and Alerting</w:t>
      </w:r>
      <w:r w:rsidR="0067312C" w:rsidRPr="002302AF">
        <w:rPr>
          <w:rFonts w:ascii="Times" w:hAnsi="Times" w:cs="Arial"/>
          <w:noProof/>
          <w:lang w:val="en-US"/>
        </w:rPr>
        <w:t xml:space="preserve"> effects</w:t>
      </w:r>
      <w:r w:rsidR="008C533F" w:rsidRPr="002302AF">
        <w:rPr>
          <w:rFonts w:ascii="Times" w:hAnsi="Times" w:cs="Arial"/>
          <w:noProof/>
          <w:lang w:val="en-US"/>
        </w:rPr>
        <w:t xml:space="preserve"> </w:t>
      </w:r>
      <w:r w:rsidR="00F22FF7" w:rsidRPr="002302AF">
        <w:rPr>
          <w:rFonts w:ascii="Times" w:hAnsi="Times" w:cs="Arial"/>
          <w:noProof/>
          <w:lang w:val="en-US"/>
        </w:rPr>
        <w:t>(F(2,16)=0.503, p=0.614; partial eta squared=0.059; mean alerting effect</w:t>
      </w:r>
      <w:r w:rsidR="00BA7C7D" w:rsidRPr="002302AF">
        <w:rPr>
          <w:rFonts w:ascii="Times" w:hAnsi="Times" w:cs="Arial"/>
          <w:noProof/>
          <w:lang w:val="en-US"/>
        </w:rPr>
        <w:t xml:space="preserve"> for RA/LC stimulation</w:t>
      </w:r>
      <w:r w:rsidR="00F22FF7" w:rsidRPr="002302AF">
        <w:rPr>
          <w:rFonts w:ascii="Times" w:hAnsi="Times" w:cs="Arial"/>
          <w:noProof/>
          <w:lang w:val="en-US"/>
        </w:rPr>
        <w:t>=81ms (</w:t>
      </w:r>
      <w:r w:rsidR="006F384B" w:rsidRPr="002302AF">
        <w:rPr>
          <w:rFonts w:ascii="Times" w:hAnsi="Times" w:cs="Arial"/>
          <w:noProof/>
          <w:lang w:val="en-US"/>
        </w:rPr>
        <w:t>95%CI</w:t>
      </w:r>
      <w:r w:rsidR="00F22FF7" w:rsidRPr="002302AF">
        <w:rPr>
          <w:rFonts w:ascii="Times" w:hAnsi="Times" w:cs="Arial"/>
          <w:noProof/>
          <w:lang w:val="en-US"/>
        </w:rPr>
        <w:t xml:space="preserve"> 69-93), mean alerting effect</w:t>
      </w:r>
      <w:r w:rsidR="00BA7C7D" w:rsidRPr="002302AF">
        <w:rPr>
          <w:rFonts w:ascii="Times" w:hAnsi="Times" w:cs="Arial"/>
          <w:noProof/>
          <w:lang w:val="en-US"/>
        </w:rPr>
        <w:t xml:space="preserve"> with RC/LA stimulation</w:t>
      </w:r>
      <w:r w:rsidR="00F22FF7" w:rsidRPr="002302AF">
        <w:rPr>
          <w:rFonts w:ascii="Times" w:hAnsi="Times" w:cs="Arial"/>
          <w:noProof/>
          <w:lang w:val="en-US"/>
        </w:rPr>
        <w:t>=80ms (</w:t>
      </w:r>
      <w:r w:rsidR="006F384B" w:rsidRPr="002302AF">
        <w:rPr>
          <w:rFonts w:ascii="Times" w:hAnsi="Times" w:cs="Arial"/>
          <w:noProof/>
          <w:lang w:val="en-US"/>
        </w:rPr>
        <w:t>95%CI</w:t>
      </w:r>
      <w:r w:rsidR="00F22FF7" w:rsidRPr="002302AF">
        <w:rPr>
          <w:rFonts w:ascii="Times" w:hAnsi="Times" w:cs="Arial"/>
          <w:noProof/>
          <w:lang w:val="en-US"/>
        </w:rPr>
        <w:t xml:space="preserve"> 65-94), mean alerting effect</w:t>
      </w:r>
      <w:r w:rsidR="00BA7C7D" w:rsidRPr="002302AF">
        <w:rPr>
          <w:rFonts w:ascii="Times" w:hAnsi="Times" w:cs="Arial"/>
          <w:noProof/>
          <w:lang w:val="en-US"/>
        </w:rPr>
        <w:t xml:space="preserve"> with sham stimulation</w:t>
      </w:r>
      <w:r w:rsidR="00F22FF7" w:rsidRPr="002302AF">
        <w:rPr>
          <w:rFonts w:ascii="Times" w:hAnsi="Times" w:cs="Arial"/>
          <w:noProof/>
          <w:lang w:val="en-US"/>
        </w:rPr>
        <w:t>=95ms (</w:t>
      </w:r>
      <w:r w:rsidR="006F384B" w:rsidRPr="002302AF">
        <w:rPr>
          <w:rFonts w:ascii="Times" w:hAnsi="Times" w:cs="Arial"/>
          <w:noProof/>
          <w:lang w:val="en-US"/>
        </w:rPr>
        <w:t>95%CI</w:t>
      </w:r>
      <w:r w:rsidR="00F22FF7" w:rsidRPr="002302AF">
        <w:rPr>
          <w:rFonts w:ascii="Times" w:hAnsi="Times" w:cs="Arial"/>
          <w:noProof/>
          <w:lang w:val="en-US"/>
        </w:rPr>
        <w:t xml:space="preserve"> 74-116))</w:t>
      </w:r>
      <w:r w:rsidR="008C533F" w:rsidRPr="002302AF">
        <w:rPr>
          <w:rFonts w:ascii="Times" w:hAnsi="Times" w:cs="Arial"/>
          <w:noProof/>
          <w:lang w:val="en-US"/>
        </w:rPr>
        <w:t>.</w:t>
      </w:r>
    </w:p>
    <w:p w14:paraId="719831E3" w14:textId="77777777" w:rsidR="00E525C4" w:rsidRPr="002302AF" w:rsidRDefault="00E525C4" w:rsidP="001F0926">
      <w:pPr>
        <w:spacing w:line="480" w:lineRule="auto"/>
        <w:jc w:val="both"/>
        <w:rPr>
          <w:rFonts w:ascii="Times" w:hAnsi="Times" w:cs="Arial"/>
          <w:noProof/>
          <w:lang w:val="en-US"/>
        </w:rPr>
      </w:pPr>
    </w:p>
    <w:p w14:paraId="76BECDD8" w14:textId="490530F0" w:rsidR="00E525C4" w:rsidRPr="002302AF" w:rsidRDefault="00E525C4" w:rsidP="001F0926">
      <w:pPr>
        <w:spacing w:line="480" w:lineRule="auto"/>
        <w:jc w:val="both"/>
        <w:rPr>
          <w:rFonts w:ascii="Times" w:hAnsi="Times" w:cs="Arial"/>
          <w:noProof/>
          <w:lang w:val="en-US"/>
        </w:rPr>
      </w:pPr>
      <w:r w:rsidRPr="002302AF">
        <w:rPr>
          <w:rFonts w:ascii="Times" w:eastAsia="Times New Roman" w:hAnsi="Times" w:cs="Times New Roman"/>
          <w:color w:val="000000"/>
        </w:rPr>
        <w:t xml:space="preserve">Previous studies have found that </w:t>
      </w:r>
      <w:r w:rsidR="002E2427" w:rsidRPr="002302AF">
        <w:rPr>
          <w:rFonts w:ascii="Times" w:eastAsia="Times New Roman" w:hAnsi="Times" w:cs="Times New Roman"/>
          <w:color w:val="000000"/>
        </w:rPr>
        <w:t>oppositional parietal stimulation can promote hemispheric perceptual bias (as assessed by line bisection)</w:t>
      </w:r>
      <w:r w:rsidR="001D00C1" w:rsidRPr="002302AF">
        <w:rPr>
          <w:rFonts w:ascii="Times" w:eastAsia="Times New Roman" w:hAnsi="Times" w:cs="Times New Roman"/>
          <w:color w:val="000000"/>
        </w:rPr>
        <w:t>, although taking this into consideration in our analysis did not reveal an effect of stimulation.</w:t>
      </w:r>
      <w:r w:rsidR="002E2427" w:rsidRPr="002302AF">
        <w:rPr>
          <w:rFonts w:ascii="Times" w:eastAsia="Times New Roman" w:hAnsi="Times" w:cs="Times New Roman"/>
          <w:color w:val="000000"/>
        </w:rPr>
        <w:t xml:space="preserve"> </w:t>
      </w:r>
      <w:r w:rsidR="001D00C1" w:rsidRPr="002302AF">
        <w:rPr>
          <w:rFonts w:ascii="Times" w:eastAsia="Times New Roman" w:hAnsi="Times" w:cs="Times New Roman"/>
          <w:color w:val="000000"/>
        </w:rPr>
        <w:t xml:space="preserve">We </w:t>
      </w:r>
      <w:r w:rsidRPr="002302AF">
        <w:rPr>
          <w:rFonts w:ascii="Times" w:eastAsia="Times New Roman" w:hAnsi="Times" w:cs="Times New Roman"/>
          <w:color w:val="000000"/>
        </w:rPr>
        <w:t>perform</w:t>
      </w:r>
      <w:r w:rsidR="001D00C1" w:rsidRPr="002302AF">
        <w:rPr>
          <w:rFonts w:ascii="Times" w:eastAsia="Times New Roman" w:hAnsi="Times" w:cs="Times New Roman"/>
          <w:color w:val="000000"/>
        </w:rPr>
        <w:t>ed</w:t>
      </w:r>
      <w:r w:rsidRPr="002302AF">
        <w:rPr>
          <w:rFonts w:ascii="Times" w:eastAsia="Times New Roman" w:hAnsi="Times" w:cs="Times New Roman"/>
          <w:color w:val="000000"/>
        </w:rPr>
        <w:t xml:space="preserve"> a 3-way repeated measure ANOVA</w:t>
      </w:r>
      <w:r w:rsidR="005C7152" w:rsidRPr="002302AF">
        <w:rPr>
          <w:rFonts w:ascii="Times" w:eastAsia="Times New Roman" w:hAnsi="Times" w:cs="Times New Roman"/>
          <w:color w:val="000000"/>
        </w:rPr>
        <w:t xml:space="preserve">, </w:t>
      </w:r>
      <w:r w:rsidRPr="002302AF">
        <w:rPr>
          <w:rFonts w:ascii="Times" w:eastAsia="Times New Roman" w:hAnsi="Times" w:cs="Times New Roman"/>
          <w:color w:val="000000"/>
        </w:rPr>
        <w:t xml:space="preserve">which included </w:t>
      </w:r>
      <w:r w:rsidR="002E2427" w:rsidRPr="002302AF">
        <w:rPr>
          <w:rFonts w:ascii="Times" w:eastAsia="Times New Roman" w:hAnsi="Times" w:cs="Times New Roman"/>
          <w:color w:val="000000"/>
        </w:rPr>
        <w:t xml:space="preserve">the </w:t>
      </w:r>
      <w:r w:rsidR="00A44806" w:rsidRPr="002302AF">
        <w:rPr>
          <w:rFonts w:ascii="Times" w:eastAsia="Times New Roman" w:hAnsi="Times" w:cs="Times New Roman"/>
          <w:color w:val="000000"/>
        </w:rPr>
        <w:t>hemi</w:t>
      </w:r>
      <w:r w:rsidR="00B13C01" w:rsidRPr="002302AF">
        <w:rPr>
          <w:rFonts w:ascii="Times" w:eastAsia="Times New Roman" w:hAnsi="Times" w:cs="Times New Roman"/>
          <w:color w:val="000000"/>
        </w:rPr>
        <w:t>-</w:t>
      </w:r>
      <w:r w:rsidRPr="002302AF">
        <w:rPr>
          <w:rFonts w:ascii="Times" w:eastAsia="Times New Roman" w:hAnsi="Times" w:cs="Times New Roman"/>
          <w:color w:val="000000"/>
        </w:rPr>
        <w:t xml:space="preserve">field </w:t>
      </w:r>
      <w:r w:rsidR="002E2427" w:rsidRPr="002302AF">
        <w:rPr>
          <w:rFonts w:ascii="Times" w:eastAsia="Times New Roman" w:hAnsi="Times" w:cs="Times New Roman"/>
          <w:color w:val="000000"/>
        </w:rPr>
        <w:t xml:space="preserve">in which the stimulus was presented </w:t>
      </w:r>
      <w:r w:rsidRPr="002302AF">
        <w:rPr>
          <w:rFonts w:ascii="Times" w:eastAsia="Times New Roman" w:hAnsi="Times" w:cs="Times New Roman"/>
          <w:color w:val="000000"/>
        </w:rPr>
        <w:t>as a factor (stimulation 3 levels; cue 4 levels; hemi-field 2 levels</w:t>
      </w:r>
      <w:r w:rsidR="00A44806" w:rsidRPr="002302AF">
        <w:rPr>
          <w:rFonts w:ascii="Times" w:eastAsia="Times New Roman" w:hAnsi="Times" w:cs="Times New Roman"/>
          <w:color w:val="000000"/>
        </w:rPr>
        <w:t>)</w:t>
      </w:r>
      <w:r w:rsidRPr="002302AF">
        <w:rPr>
          <w:rFonts w:ascii="Times" w:eastAsia="Times New Roman" w:hAnsi="Times" w:cs="Times New Roman"/>
          <w:color w:val="000000"/>
        </w:rPr>
        <w:t xml:space="preserve">. </w:t>
      </w:r>
      <w:r w:rsidR="00C16969" w:rsidRPr="002302AF">
        <w:rPr>
          <w:rFonts w:ascii="Times" w:eastAsia="Times New Roman" w:hAnsi="Times" w:cs="Times New Roman"/>
          <w:color w:val="000000"/>
        </w:rPr>
        <w:t>There was</w:t>
      </w:r>
      <w:r w:rsidRPr="002302AF">
        <w:rPr>
          <w:rFonts w:ascii="Times" w:eastAsia="Times New Roman" w:hAnsi="Times" w:cs="Times New Roman"/>
          <w:color w:val="000000"/>
        </w:rPr>
        <w:t xml:space="preserve"> </w:t>
      </w:r>
      <w:r w:rsidR="00A44806" w:rsidRPr="002302AF">
        <w:rPr>
          <w:rFonts w:ascii="Times" w:eastAsia="Times New Roman" w:hAnsi="Times" w:cs="Times New Roman"/>
          <w:color w:val="000000"/>
        </w:rPr>
        <w:t>an</w:t>
      </w:r>
      <w:r w:rsidRPr="002302AF">
        <w:rPr>
          <w:rFonts w:ascii="Times" w:eastAsia="Times New Roman" w:hAnsi="Times" w:cs="Times New Roman"/>
          <w:color w:val="000000"/>
        </w:rPr>
        <w:t xml:space="preserve"> interaction between hemi-field a</w:t>
      </w:r>
      <w:r w:rsidR="00A44806" w:rsidRPr="002302AF">
        <w:rPr>
          <w:rFonts w:ascii="Times" w:eastAsia="Times New Roman" w:hAnsi="Times" w:cs="Times New Roman"/>
          <w:color w:val="000000"/>
        </w:rPr>
        <w:t>nd cue (F(3,15)=4.126, p=0.026</w:t>
      </w:r>
      <w:r w:rsidR="0047239A" w:rsidRPr="002302AF">
        <w:rPr>
          <w:rFonts w:ascii="Times" w:eastAsia="Times New Roman" w:hAnsi="Times" w:cs="Times New Roman"/>
          <w:color w:val="000000"/>
        </w:rPr>
        <w:t>, partial eta square=0.452</w:t>
      </w:r>
      <w:r w:rsidR="00A44806" w:rsidRPr="002302AF">
        <w:rPr>
          <w:rFonts w:ascii="Times" w:eastAsia="Times New Roman" w:hAnsi="Times" w:cs="Times New Roman"/>
          <w:color w:val="000000"/>
        </w:rPr>
        <w:t>). I</w:t>
      </w:r>
      <w:r w:rsidRPr="002302AF">
        <w:rPr>
          <w:rFonts w:ascii="Times" w:eastAsia="Times New Roman" w:hAnsi="Times" w:cs="Times New Roman"/>
          <w:color w:val="000000"/>
        </w:rPr>
        <w:t>n the alerting, valid or invalid cue conditions</w:t>
      </w:r>
      <w:r w:rsidR="00B13C01" w:rsidRPr="002302AF">
        <w:rPr>
          <w:rFonts w:ascii="Times" w:eastAsia="Times New Roman" w:hAnsi="Times" w:cs="Times New Roman"/>
          <w:color w:val="000000"/>
        </w:rPr>
        <w:t xml:space="preserve">, responses were faster to left </w:t>
      </w:r>
      <w:r w:rsidRPr="002302AF">
        <w:rPr>
          <w:rFonts w:ascii="Times" w:eastAsia="Times New Roman" w:hAnsi="Times" w:cs="Times New Roman"/>
          <w:color w:val="000000"/>
        </w:rPr>
        <w:t>hemi</w:t>
      </w:r>
      <w:r w:rsidR="00B13C01" w:rsidRPr="002302AF">
        <w:rPr>
          <w:rFonts w:ascii="Times" w:eastAsia="Times New Roman" w:hAnsi="Times" w:cs="Times New Roman"/>
          <w:color w:val="000000"/>
        </w:rPr>
        <w:t xml:space="preserve">-field targets than right </w:t>
      </w:r>
      <w:r w:rsidRPr="002302AF">
        <w:rPr>
          <w:rFonts w:ascii="Times" w:eastAsia="Times New Roman" w:hAnsi="Times" w:cs="Times New Roman"/>
          <w:color w:val="000000"/>
        </w:rPr>
        <w:t>hemi</w:t>
      </w:r>
      <w:r w:rsidR="00B13C01" w:rsidRPr="002302AF">
        <w:rPr>
          <w:rFonts w:ascii="Times" w:eastAsia="Times New Roman" w:hAnsi="Times" w:cs="Times New Roman"/>
          <w:color w:val="000000"/>
        </w:rPr>
        <w:t>-</w:t>
      </w:r>
      <w:r w:rsidRPr="002302AF">
        <w:rPr>
          <w:rFonts w:ascii="Times" w:eastAsia="Times New Roman" w:hAnsi="Times" w:cs="Times New Roman"/>
          <w:color w:val="000000"/>
        </w:rPr>
        <w:t>field targets</w:t>
      </w:r>
      <w:r w:rsidR="000B3D23" w:rsidRPr="002302AF">
        <w:rPr>
          <w:rFonts w:ascii="Times" w:eastAsia="Times New Roman" w:hAnsi="Times" w:cs="Times New Roman"/>
          <w:color w:val="000000"/>
        </w:rPr>
        <w:t>. H</w:t>
      </w:r>
      <w:r w:rsidRPr="002302AF">
        <w:rPr>
          <w:rFonts w:ascii="Times" w:eastAsia="Times New Roman" w:hAnsi="Times" w:cs="Times New Roman"/>
          <w:color w:val="000000"/>
        </w:rPr>
        <w:t>owever, in the no cue condition,</w:t>
      </w:r>
      <w:r w:rsidR="00B13C01" w:rsidRPr="002302AF">
        <w:rPr>
          <w:rFonts w:ascii="Times" w:eastAsia="Times New Roman" w:hAnsi="Times" w:cs="Times New Roman"/>
          <w:color w:val="000000"/>
        </w:rPr>
        <w:t xml:space="preserve"> responses were faster to right </w:t>
      </w:r>
      <w:r w:rsidRPr="002302AF">
        <w:rPr>
          <w:rFonts w:ascii="Times" w:eastAsia="Times New Roman" w:hAnsi="Times" w:cs="Times New Roman"/>
          <w:color w:val="000000"/>
        </w:rPr>
        <w:t>hemi</w:t>
      </w:r>
      <w:r w:rsidR="000F5761" w:rsidRPr="002302AF">
        <w:rPr>
          <w:rFonts w:ascii="Times" w:eastAsia="Times New Roman" w:hAnsi="Times" w:cs="Times New Roman"/>
          <w:color w:val="000000"/>
        </w:rPr>
        <w:t xml:space="preserve">-field targets than to left </w:t>
      </w:r>
      <w:r w:rsidRPr="002302AF">
        <w:rPr>
          <w:rFonts w:ascii="Times" w:eastAsia="Times New Roman" w:hAnsi="Times" w:cs="Times New Roman"/>
          <w:color w:val="000000"/>
        </w:rPr>
        <w:t>hemi</w:t>
      </w:r>
      <w:r w:rsidR="000F5761" w:rsidRPr="002302AF">
        <w:rPr>
          <w:rFonts w:ascii="Times" w:eastAsia="Times New Roman" w:hAnsi="Times" w:cs="Times New Roman"/>
          <w:color w:val="000000"/>
        </w:rPr>
        <w:t>-</w:t>
      </w:r>
      <w:r w:rsidRPr="002302AF">
        <w:rPr>
          <w:rFonts w:ascii="Times" w:eastAsia="Times New Roman" w:hAnsi="Times" w:cs="Times New Roman"/>
          <w:color w:val="000000"/>
        </w:rPr>
        <w:t xml:space="preserve">field targets. </w:t>
      </w:r>
      <w:r w:rsidR="005C7152" w:rsidRPr="002302AF">
        <w:rPr>
          <w:rFonts w:ascii="Times" w:eastAsia="Times New Roman" w:hAnsi="Times" w:cs="Times New Roman"/>
          <w:color w:val="000000"/>
        </w:rPr>
        <w:t>T</w:t>
      </w:r>
      <w:r w:rsidRPr="002302AF">
        <w:rPr>
          <w:rFonts w:ascii="Times" w:eastAsia="Times New Roman" w:hAnsi="Times" w:cs="Times New Roman"/>
          <w:color w:val="000000"/>
        </w:rPr>
        <w:t xml:space="preserve">here was no interaction between hemi-field and stimulation </w:t>
      </w:r>
      <w:r w:rsidR="00277A1A" w:rsidRPr="002302AF">
        <w:rPr>
          <w:rFonts w:ascii="Times" w:eastAsia="Times New Roman" w:hAnsi="Times" w:cs="Times New Roman"/>
          <w:color w:val="000000"/>
        </w:rPr>
        <w:t xml:space="preserve">type </w:t>
      </w:r>
      <w:r w:rsidRPr="002302AF">
        <w:rPr>
          <w:rFonts w:ascii="Times" w:eastAsia="Times New Roman" w:hAnsi="Times" w:cs="Times New Roman"/>
          <w:color w:val="000000"/>
        </w:rPr>
        <w:t>(F(2,16)=0.625, p=0.548</w:t>
      </w:r>
      <w:r w:rsidR="00357605" w:rsidRPr="002302AF">
        <w:rPr>
          <w:rFonts w:ascii="Times" w:eastAsia="Times New Roman" w:hAnsi="Times" w:cs="Times New Roman"/>
          <w:color w:val="000000"/>
        </w:rPr>
        <w:t>; partial eta squared=0.072</w:t>
      </w:r>
      <w:r w:rsidRPr="002302AF">
        <w:rPr>
          <w:rFonts w:ascii="Times" w:eastAsia="Times New Roman" w:hAnsi="Times" w:cs="Times New Roman"/>
          <w:color w:val="000000"/>
        </w:rPr>
        <w:t>) or between hemi-field, sti</w:t>
      </w:r>
      <w:r w:rsidR="00357605" w:rsidRPr="002302AF">
        <w:rPr>
          <w:rFonts w:ascii="Times" w:eastAsia="Times New Roman" w:hAnsi="Times" w:cs="Times New Roman"/>
          <w:color w:val="000000"/>
        </w:rPr>
        <w:t>mulation and cue (F(6,12)=0.287,</w:t>
      </w:r>
      <w:r w:rsidRPr="002302AF">
        <w:rPr>
          <w:rFonts w:ascii="Times" w:eastAsia="Times New Roman" w:hAnsi="Times" w:cs="Times New Roman"/>
          <w:color w:val="000000"/>
        </w:rPr>
        <w:t xml:space="preserve"> p=0.932</w:t>
      </w:r>
      <w:r w:rsidR="00357605" w:rsidRPr="002302AF">
        <w:rPr>
          <w:rFonts w:ascii="Times" w:eastAsia="Times New Roman" w:hAnsi="Times" w:cs="Times New Roman"/>
          <w:color w:val="000000"/>
        </w:rPr>
        <w:t>; partial eta squared=0.126</w:t>
      </w:r>
      <w:r w:rsidRPr="002302AF">
        <w:rPr>
          <w:rFonts w:ascii="Times" w:eastAsia="Times New Roman" w:hAnsi="Times" w:cs="Times New Roman"/>
          <w:color w:val="000000"/>
        </w:rPr>
        <w:t>).</w:t>
      </w:r>
    </w:p>
    <w:p w14:paraId="3C41A877" w14:textId="77777777" w:rsidR="00AC6F22" w:rsidRPr="002302AF" w:rsidRDefault="00AC6F22" w:rsidP="005374CB">
      <w:pPr>
        <w:spacing w:line="480" w:lineRule="auto"/>
        <w:jc w:val="both"/>
        <w:rPr>
          <w:rFonts w:ascii="Times" w:hAnsi="Times" w:cs="Arial"/>
        </w:rPr>
      </w:pPr>
    </w:p>
    <w:p w14:paraId="525BCB99" w14:textId="328FB064" w:rsidR="00E650CE" w:rsidRPr="002302AF" w:rsidRDefault="00081DE5" w:rsidP="005374CB">
      <w:pPr>
        <w:spacing w:line="480" w:lineRule="auto"/>
        <w:jc w:val="both"/>
        <w:rPr>
          <w:rFonts w:ascii="Times" w:hAnsi="Times" w:cs="Arial"/>
          <w:noProof/>
          <w:lang w:val="en-US"/>
        </w:rPr>
      </w:pPr>
      <w:r w:rsidRPr="002302AF">
        <w:rPr>
          <w:rFonts w:ascii="Times" w:hAnsi="Times" w:cs="Arial"/>
          <w:i/>
          <w:noProof/>
          <w:lang w:val="en-US"/>
        </w:rPr>
        <w:t>Stimulation modulates vigilance level on the choice reaction task (CRT)</w:t>
      </w:r>
    </w:p>
    <w:p w14:paraId="055E6086" w14:textId="05535F6A" w:rsidR="00C372E3" w:rsidRPr="002302AF" w:rsidRDefault="00D729A0" w:rsidP="005374CB">
      <w:pPr>
        <w:spacing w:line="480" w:lineRule="auto"/>
        <w:jc w:val="both"/>
        <w:rPr>
          <w:rFonts w:ascii="Times" w:hAnsi="Times" w:cs="Arial"/>
          <w:noProof/>
          <w:lang w:val="en-US"/>
        </w:rPr>
      </w:pPr>
      <w:r w:rsidRPr="002302AF">
        <w:rPr>
          <w:rFonts w:ascii="Times" w:hAnsi="Times" w:cs="Arial"/>
          <w:noProof/>
          <w:lang w:val="en-US"/>
        </w:rPr>
        <w:t>S</w:t>
      </w:r>
      <w:r w:rsidR="005C7CEA" w:rsidRPr="002302AF">
        <w:rPr>
          <w:rFonts w:ascii="Times" w:hAnsi="Times" w:cs="Arial"/>
          <w:noProof/>
          <w:lang w:val="en-US"/>
        </w:rPr>
        <w:t>timulation had a significant effect on vigilance level</w:t>
      </w:r>
      <w:r w:rsidR="00F46BE5" w:rsidRPr="002302AF">
        <w:rPr>
          <w:rFonts w:ascii="Times" w:hAnsi="Times" w:cs="Arial"/>
          <w:noProof/>
          <w:lang w:val="en-US"/>
        </w:rPr>
        <w:t>,</w:t>
      </w:r>
      <w:r w:rsidR="009F6E01" w:rsidRPr="002302AF">
        <w:rPr>
          <w:rFonts w:ascii="Times" w:hAnsi="Times" w:cs="Arial"/>
          <w:noProof/>
          <w:lang w:val="en-US"/>
        </w:rPr>
        <w:t xml:space="preserve"> measured by reaction time</w:t>
      </w:r>
      <w:r w:rsidR="00AB428E" w:rsidRPr="002302AF">
        <w:rPr>
          <w:rFonts w:ascii="Times" w:hAnsi="Times" w:cs="Arial"/>
          <w:noProof/>
          <w:lang w:val="en-US"/>
        </w:rPr>
        <w:t>,</w:t>
      </w:r>
      <w:r w:rsidR="005C7CEA" w:rsidRPr="002302AF">
        <w:rPr>
          <w:rFonts w:ascii="Times" w:hAnsi="Times" w:cs="Arial"/>
          <w:noProof/>
          <w:lang w:val="en-US"/>
        </w:rPr>
        <w:t xml:space="preserve"> in the final </w:t>
      </w:r>
      <w:r w:rsidR="00DE669E" w:rsidRPr="002302AF">
        <w:rPr>
          <w:rFonts w:ascii="Times" w:hAnsi="Times" w:cs="Arial"/>
          <w:noProof/>
          <w:lang w:val="en-US"/>
        </w:rPr>
        <w:t xml:space="preserve">block </w:t>
      </w:r>
      <w:r w:rsidR="005C7CEA" w:rsidRPr="002302AF">
        <w:rPr>
          <w:rFonts w:ascii="Times" w:hAnsi="Times" w:cs="Arial"/>
          <w:noProof/>
          <w:lang w:val="en-US"/>
        </w:rPr>
        <w:t>of the task</w:t>
      </w:r>
      <w:r w:rsidR="00DE669E" w:rsidRPr="002302AF">
        <w:rPr>
          <w:rFonts w:ascii="Times" w:hAnsi="Times" w:cs="Arial"/>
          <w:noProof/>
          <w:lang w:val="en-US"/>
        </w:rPr>
        <w:t xml:space="preserve"> (</w:t>
      </w:r>
      <w:r w:rsidR="007A74EA" w:rsidRPr="002302AF">
        <w:rPr>
          <w:rFonts w:ascii="Times" w:hAnsi="Times" w:cs="Arial"/>
          <w:noProof/>
          <w:lang w:val="en-US"/>
        </w:rPr>
        <w:t>Figure</w:t>
      </w:r>
      <w:r w:rsidR="00DE669E" w:rsidRPr="002302AF">
        <w:rPr>
          <w:rFonts w:ascii="Times" w:hAnsi="Times" w:cs="Arial"/>
          <w:noProof/>
          <w:lang w:val="en-US"/>
        </w:rPr>
        <w:t xml:space="preserve"> 4)</w:t>
      </w:r>
      <w:r w:rsidR="00F7396A" w:rsidRPr="002302AF">
        <w:rPr>
          <w:rFonts w:ascii="Times" w:hAnsi="Times" w:cs="Arial"/>
          <w:noProof/>
          <w:lang w:val="en-US"/>
        </w:rPr>
        <w:t xml:space="preserve">. </w:t>
      </w:r>
      <w:r w:rsidR="00A7033C" w:rsidRPr="002302AF">
        <w:rPr>
          <w:rFonts w:ascii="Times" w:hAnsi="Times" w:cs="Arial"/>
          <w:noProof/>
          <w:lang w:val="en-US"/>
        </w:rPr>
        <w:t>A</w:t>
      </w:r>
      <w:r w:rsidR="001C3918" w:rsidRPr="002302AF">
        <w:rPr>
          <w:rFonts w:ascii="Times" w:hAnsi="Times" w:cs="Arial"/>
          <w:noProof/>
          <w:lang w:val="en-US"/>
        </w:rPr>
        <w:t>n</w:t>
      </w:r>
      <w:r w:rsidR="00A7033C" w:rsidRPr="002302AF">
        <w:rPr>
          <w:rFonts w:ascii="Times" w:hAnsi="Times" w:cs="Arial"/>
          <w:noProof/>
          <w:lang w:val="en-US"/>
        </w:rPr>
        <w:t xml:space="preserve"> </w:t>
      </w:r>
      <w:r w:rsidR="00DE669E" w:rsidRPr="002302AF">
        <w:rPr>
          <w:rFonts w:ascii="Times" w:hAnsi="Times" w:cs="Arial"/>
          <w:noProof/>
          <w:lang w:val="en-US"/>
        </w:rPr>
        <w:t>ANOVA investigating the interaction of stimulation type</w:t>
      </w:r>
      <w:r w:rsidR="001C3918" w:rsidRPr="002302AF">
        <w:rPr>
          <w:rFonts w:ascii="Times" w:hAnsi="Times" w:cs="Arial"/>
          <w:noProof/>
          <w:lang w:val="en-US"/>
        </w:rPr>
        <w:t xml:space="preserve"> (three levels)</w:t>
      </w:r>
      <w:r w:rsidR="00DE669E" w:rsidRPr="002302AF">
        <w:rPr>
          <w:rFonts w:ascii="Times" w:hAnsi="Times" w:cs="Arial"/>
          <w:noProof/>
          <w:lang w:val="en-US"/>
        </w:rPr>
        <w:t xml:space="preserve"> and ISI interval type</w:t>
      </w:r>
      <w:r w:rsidR="001C3918" w:rsidRPr="002302AF">
        <w:rPr>
          <w:rFonts w:ascii="Times" w:hAnsi="Times" w:cs="Arial"/>
          <w:noProof/>
          <w:lang w:val="en-US"/>
        </w:rPr>
        <w:t xml:space="preserve"> (three levels)</w:t>
      </w:r>
      <w:r w:rsidR="00DE669E" w:rsidRPr="002302AF">
        <w:rPr>
          <w:rFonts w:ascii="Times" w:hAnsi="Times" w:cs="Arial"/>
          <w:noProof/>
          <w:lang w:val="en-US"/>
        </w:rPr>
        <w:t xml:space="preserve"> on RT showed a significant interaction in the last block of the task (</w:t>
      </w:r>
      <w:r w:rsidR="00C372E3" w:rsidRPr="002302AF">
        <w:rPr>
          <w:rFonts w:ascii="Times" w:hAnsi="Times" w:cs="Arial"/>
          <w:noProof/>
          <w:lang w:val="en-US"/>
        </w:rPr>
        <w:t>F(4,14)=4.3, p=0.018</w:t>
      </w:r>
      <w:r w:rsidR="004E3625" w:rsidRPr="002302AF">
        <w:rPr>
          <w:rFonts w:ascii="Times" w:hAnsi="Times" w:cs="Arial"/>
          <w:noProof/>
          <w:lang w:val="en-US"/>
        </w:rPr>
        <w:t>; partial eta squared=</w:t>
      </w:r>
      <w:r w:rsidR="00A54CE7" w:rsidRPr="002302AF">
        <w:rPr>
          <w:rFonts w:ascii="Times" w:hAnsi="Times" w:cs="Arial"/>
          <w:noProof/>
          <w:lang w:val="en-US"/>
        </w:rPr>
        <w:t>0.551</w:t>
      </w:r>
      <w:r w:rsidR="00C372E3" w:rsidRPr="002302AF">
        <w:rPr>
          <w:rFonts w:ascii="Times" w:hAnsi="Times" w:cs="Arial"/>
          <w:noProof/>
          <w:lang w:val="en-US"/>
        </w:rPr>
        <w:t xml:space="preserve">). This result was driven by the </w:t>
      </w:r>
      <w:r w:rsidR="001C5D7C" w:rsidRPr="002302AF">
        <w:rPr>
          <w:rFonts w:ascii="Times" w:hAnsi="Times" w:cs="Arial"/>
          <w:noProof/>
          <w:lang w:val="en-US"/>
        </w:rPr>
        <w:t xml:space="preserve">slower </w:t>
      </w:r>
      <w:r w:rsidR="00C372E3" w:rsidRPr="002302AF">
        <w:rPr>
          <w:rFonts w:ascii="Times" w:hAnsi="Times" w:cs="Arial"/>
          <w:noProof/>
          <w:lang w:val="en-US"/>
        </w:rPr>
        <w:t>RT on short ISI trials, with RA/LC stimulation, as compared with RC/LA stimulation (t=3.509, df=17, p=0.003</w:t>
      </w:r>
      <w:r w:rsidR="00936712" w:rsidRPr="002302AF">
        <w:rPr>
          <w:rFonts w:ascii="Times" w:hAnsi="Times" w:cs="Arial"/>
          <w:noProof/>
          <w:lang w:val="en-US"/>
        </w:rPr>
        <w:t xml:space="preserve">; </w:t>
      </w:r>
      <w:r w:rsidR="001D1D3B" w:rsidRPr="002302AF">
        <w:rPr>
          <w:rFonts w:ascii="Times" w:hAnsi="Times" w:cs="Arial"/>
          <w:noProof/>
          <w:lang w:val="en-US"/>
        </w:rPr>
        <w:t>Cohen’s effect size=0.83; mean of difference=29.7ms (</w:t>
      </w:r>
      <w:r w:rsidR="006F384B" w:rsidRPr="002302AF">
        <w:rPr>
          <w:rFonts w:ascii="Times" w:hAnsi="Times" w:cs="Arial"/>
          <w:noProof/>
          <w:lang w:val="en-US"/>
        </w:rPr>
        <w:t>95%CI</w:t>
      </w:r>
      <w:r w:rsidR="001D1D3B" w:rsidRPr="002302AF">
        <w:rPr>
          <w:rFonts w:ascii="Times" w:hAnsi="Times" w:cs="Arial"/>
          <w:noProof/>
          <w:lang w:val="en-US"/>
        </w:rPr>
        <w:t xml:space="preserve"> 11.9-47.6)</w:t>
      </w:r>
      <w:r w:rsidR="00C372E3" w:rsidRPr="002302AF">
        <w:rPr>
          <w:rFonts w:ascii="Times" w:hAnsi="Times" w:cs="Arial"/>
          <w:noProof/>
          <w:lang w:val="en-US"/>
        </w:rPr>
        <w:t>)</w:t>
      </w:r>
      <w:r w:rsidR="005F3B64" w:rsidRPr="002302AF">
        <w:rPr>
          <w:rFonts w:ascii="Times" w:hAnsi="Times" w:cs="Arial"/>
          <w:noProof/>
          <w:lang w:val="en-US"/>
        </w:rPr>
        <w:t xml:space="preserve"> (</w:t>
      </w:r>
      <w:r w:rsidR="007A74EA" w:rsidRPr="002302AF">
        <w:rPr>
          <w:rFonts w:ascii="Times" w:hAnsi="Times" w:cs="Arial"/>
          <w:noProof/>
          <w:lang w:val="en-US"/>
        </w:rPr>
        <w:t xml:space="preserve">Figure </w:t>
      </w:r>
      <w:r w:rsidR="005F3B64" w:rsidRPr="002302AF">
        <w:rPr>
          <w:rFonts w:ascii="Times" w:hAnsi="Times" w:cs="Arial"/>
          <w:noProof/>
          <w:lang w:val="en-US"/>
        </w:rPr>
        <w:t>4</w:t>
      </w:r>
      <w:r w:rsidR="0090371F" w:rsidRPr="002302AF">
        <w:rPr>
          <w:rFonts w:ascii="Times" w:hAnsi="Times" w:cs="Arial"/>
          <w:noProof/>
          <w:lang w:val="en-US"/>
        </w:rPr>
        <w:t>A</w:t>
      </w:r>
      <w:r w:rsidR="003929E4" w:rsidRPr="002302AF">
        <w:rPr>
          <w:rFonts w:ascii="Times" w:hAnsi="Times" w:cs="Arial"/>
          <w:noProof/>
          <w:lang w:val="en-US"/>
        </w:rPr>
        <w:t>)</w:t>
      </w:r>
      <w:r w:rsidR="00C372E3" w:rsidRPr="002302AF">
        <w:rPr>
          <w:rFonts w:ascii="Times" w:hAnsi="Times" w:cs="Arial"/>
          <w:noProof/>
          <w:lang w:val="en-US"/>
        </w:rPr>
        <w:t xml:space="preserve">. </w:t>
      </w:r>
      <w:r w:rsidR="00435180" w:rsidRPr="002302AF">
        <w:rPr>
          <w:rFonts w:ascii="Times" w:hAnsi="Times" w:cs="Arial"/>
          <w:noProof/>
          <w:lang w:val="en-US"/>
        </w:rPr>
        <w:t xml:space="preserve">This effect was not seen in the first block of the task, </w:t>
      </w:r>
      <w:r w:rsidR="00120F23" w:rsidRPr="002302AF">
        <w:rPr>
          <w:rFonts w:ascii="Times" w:hAnsi="Times" w:cs="Arial"/>
          <w:noProof/>
          <w:lang w:val="en-US"/>
        </w:rPr>
        <w:t>where there was</w:t>
      </w:r>
      <w:r w:rsidR="005908C8" w:rsidRPr="002302AF">
        <w:rPr>
          <w:rFonts w:ascii="Times" w:hAnsi="Times" w:cs="Arial"/>
          <w:noProof/>
          <w:lang w:val="en-US"/>
        </w:rPr>
        <w:t xml:space="preserve"> </w:t>
      </w:r>
      <w:r w:rsidR="00C372E3" w:rsidRPr="002302AF">
        <w:rPr>
          <w:rFonts w:ascii="Times" w:hAnsi="Times" w:cs="Arial"/>
          <w:noProof/>
          <w:lang w:val="en-US"/>
        </w:rPr>
        <w:t>no inter</w:t>
      </w:r>
      <w:r w:rsidR="00500C79" w:rsidRPr="002302AF">
        <w:rPr>
          <w:rFonts w:ascii="Times" w:hAnsi="Times" w:cs="Arial"/>
          <w:noProof/>
          <w:lang w:val="en-US"/>
        </w:rPr>
        <w:t>action</w:t>
      </w:r>
      <w:r w:rsidR="00332EB2" w:rsidRPr="002302AF">
        <w:rPr>
          <w:rFonts w:ascii="Times" w:hAnsi="Times" w:cs="Arial"/>
          <w:noProof/>
          <w:lang w:val="en-US"/>
        </w:rPr>
        <w:t xml:space="preserve"> </w:t>
      </w:r>
      <w:r w:rsidR="00CF5A1E" w:rsidRPr="002302AF">
        <w:rPr>
          <w:rFonts w:ascii="Times" w:hAnsi="Times" w:cs="Arial"/>
          <w:noProof/>
          <w:lang w:val="en-US"/>
        </w:rPr>
        <w:t>(F(4,14)=1.626, p=0.223; partial eta squared=0.317</w:t>
      </w:r>
      <w:r w:rsidR="009B4528" w:rsidRPr="002302AF">
        <w:rPr>
          <w:rFonts w:ascii="Times" w:hAnsi="Times" w:cs="Arial"/>
          <w:noProof/>
          <w:lang w:val="en-US"/>
        </w:rPr>
        <w:t>)</w:t>
      </w:r>
      <w:r w:rsidR="00500C79" w:rsidRPr="002302AF">
        <w:rPr>
          <w:rFonts w:ascii="Times" w:hAnsi="Times" w:cs="Arial"/>
          <w:noProof/>
          <w:lang w:val="en-US"/>
        </w:rPr>
        <w:t xml:space="preserve"> </w:t>
      </w:r>
      <w:r w:rsidR="007021C1" w:rsidRPr="002302AF">
        <w:rPr>
          <w:rFonts w:ascii="Times" w:hAnsi="Times" w:cs="Arial"/>
          <w:noProof/>
          <w:lang w:val="en-US"/>
        </w:rPr>
        <w:t xml:space="preserve">and no main effects </w:t>
      </w:r>
      <w:r w:rsidR="00500C79" w:rsidRPr="002302AF">
        <w:rPr>
          <w:rFonts w:ascii="Times" w:hAnsi="Times" w:cs="Arial"/>
          <w:noProof/>
          <w:lang w:val="en-US"/>
        </w:rPr>
        <w:t xml:space="preserve">of stimulation type </w:t>
      </w:r>
      <w:r w:rsidR="00B0597A" w:rsidRPr="002302AF">
        <w:rPr>
          <w:rFonts w:ascii="Times" w:hAnsi="Times" w:cs="Arial"/>
          <w:noProof/>
          <w:lang w:val="en-US"/>
        </w:rPr>
        <w:t>(F(2,16)=2.905, p=0.084</w:t>
      </w:r>
      <w:r w:rsidR="00A24165" w:rsidRPr="002302AF">
        <w:rPr>
          <w:rFonts w:ascii="Times" w:hAnsi="Times" w:cs="Arial"/>
          <w:noProof/>
          <w:lang w:val="en-US"/>
        </w:rPr>
        <w:t xml:space="preserve">; </w:t>
      </w:r>
      <w:r w:rsidR="00212EA0" w:rsidRPr="002302AF">
        <w:rPr>
          <w:rFonts w:ascii="Times" w:hAnsi="Times" w:cs="Arial"/>
          <w:noProof/>
          <w:lang w:val="en-US"/>
        </w:rPr>
        <w:t>mean RT with RA/LC stimulation=369ms (</w:t>
      </w:r>
      <w:r w:rsidR="006F384B" w:rsidRPr="002302AF">
        <w:rPr>
          <w:rFonts w:ascii="Times" w:hAnsi="Times" w:cs="Arial"/>
          <w:noProof/>
          <w:lang w:val="en-US"/>
        </w:rPr>
        <w:t>95%CI</w:t>
      </w:r>
      <w:r w:rsidR="00212EA0" w:rsidRPr="002302AF">
        <w:rPr>
          <w:rFonts w:ascii="Times" w:hAnsi="Times" w:cs="Arial"/>
          <w:noProof/>
          <w:lang w:val="en-US"/>
        </w:rPr>
        <w:t xml:space="preserve"> 349-388), mean RT with RC/LA stimulation=364ms (</w:t>
      </w:r>
      <w:r w:rsidR="006F384B" w:rsidRPr="002302AF">
        <w:rPr>
          <w:rFonts w:ascii="Times" w:hAnsi="Times" w:cs="Arial"/>
          <w:noProof/>
          <w:lang w:val="en-US"/>
        </w:rPr>
        <w:t>95%CI</w:t>
      </w:r>
      <w:r w:rsidR="00212EA0" w:rsidRPr="002302AF">
        <w:rPr>
          <w:rFonts w:ascii="Times" w:hAnsi="Times" w:cs="Arial"/>
          <w:noProof/>
          <w:lang w:val="en-US"/>
        </w:rPr>
        <w:t xml:space="preserve"> 345-389), mean RT with sham stimulation=376ms (</w:t>
      </w:r>
      <w:r w:rsidR="006F384B" w:rsidRPr="002302AF">
        <w:rPr>
          <w:rFonts w:ascii="Times" w:hAnsi="Times" w:cs="Arial"/>
          <w:noProof/>
          <w:lang w:val="en-US"/>
        </w:rPr>
        <w:t>95%CI</w:t>
      </w:r>
      <w:r w:rsidR="00212EA0" w:rsidRPr="002302AF">
        <w:rPr>
          <w:rFonts w:ascii="Times" w:hAnsi="Times" w:cs="Arial"/>
          <w:noProof/>
          <w:lang w:val="en-US"/>
        </w:rPr>
        <w:t xml:space="preserve"> 351-401)</w:t>
      </w:r>
      <w:r w:rsidR="00B0597A" w:rsidRPr="002302AF">
        <w:rPr>
          <w:rFonts w:ascii="Times" w:hAnsi="Times" w:cs="Arial"/>
          <w:noProof/>
          <w:lang w:val="en-US"/>
        </w:rPr>
        <w:t xml:space="preserve">) </w:t>
      </w:r>
      <w:r w:rsidR="00A83FF8" w:rsidRPr="002302AF">
        <w:rPr>
          <w:rFonts w:ascii="Times" w:hAnsi="Times" w:cs="Arial"/>
          <w:noProof/>
          <w:lang w:val="en-US"/>
        </w:rPr>
        <w:t xml:space="preserve">or </w:t>
      </w:r>
      <w:r w:rsidR="00C372E3" w:rsidRPr="002302AF">
        <w:rPr>
          <w:rFonts w:ascii="Times" w:hAnsi="Times" w:cs="Arial"/>
          <w:noProof/>
          <w:lang w:val="en-US"/>
        </w:rPr>
        <w:t>ISI type</w:t>
      </w:r>
      <w:r w:rsidR="005C7865" w:rsidRPr="002302AF">
        <w:rPr>
          <w:rFonts w:ascii="Times" w:hAnsi="Times" w:cs="Arial"/>
          <w:noProof/>
          <w:lang w:val="en-US"/>
        </w:rPr>
        <w:t xml:space="preserve"> (F(2,16)=3.119, p=0.072)</w:t>
      </w:r>
      <w:r w:rsidR="00C372E3" w:rsidRPr="002302AF">
        <w:rPr>
          <w:rFonts w:ascii="Times" w:hAnsi="Times" w:cs="Arial"/>
          <w:noProof/>
          <w:lang w:val="en-US"/>
        </w:rPr>
        <w:t xml:space="preserve"> on</w:t>
      </w:r>
      <w:r w:rsidR="0090298C" w:rsidRPr="002302AF">
        <w:rPr>
          <w:rFonts w:ascii="Times" w:hAnsi="Times" w:cs="Arial"/>
          <w:noProof/>
          <w:lang w:val="en-US"/>
        </w:rPr>
        <w:t xml:space="preserve"> RT. </w:t>
      </w:r>
      <w:r w:rsidR="009B2D6C" w:rsidRPr="002302AF">
        <w:rPr>
          <w:rFonts w:ascii="Times" w:hAnsi="Times" w:cs="Arial"/>
          <w:noProof/>
          <w:lang w:val="en-US"/>
        </w:rPr>
        <w:t>There was no effect of stimulatio</w:t>
      </w:r>
      <w:r w:rsidR="005B4F27" w:rsidRPr="002302AF">
        <w:rPr>
          <w:rFonts w:ascii="Times" w:hAnsi="Times" w:cs="Arial"/>
          <w:noProof/>
          <w:lang w:val="en-US"/>
        </w:rPr>
        <w:t>n on accuracy in either</w:t>
      </w:r>
      <w:r w:rsidR="007C61DD" w:rsidRPr="002302AF">
        <w:rPr>
          <w:rFonts w:ascii="Times" w:hAnsi="Times" w:cs="Arial"/>
          <w:noProof/>
          <w:lang w:val="en-US"/>
        </w:rPr>
        <w:t xml:space="preserve"> the </w:t>
      </w:r>
      <w:r w:rsidR="005B4F27" w:rsidRPr="002302AF">
        <w:rPr>
          <w:rFonts w:ascii="Times" w:hAnsi="Times" w:cs="Arial"/>
          <w:noProof/>
          <w:lang w:val="en-US"/>
        </w:rPr>
        <w:t>first</w:t>
      </w:r>
      <w:r w:rsidR="007C61DD" w:rsidRPr="002302AF">
        <w:rPr>
          <w:rFonts w:ascii="Times" w:hAnsi="Times" w:cs="Arial"/>
          <w:noProof/>
          <w:lang w:val="en-US"/>
        </w:rPr>
        <w:t xml:space="preserve"> block</w:t>
      </w:r>
      <w:r w:rsidR="005B4F27" w:rsidRPr="002302AF">
        <w:rPr>
          <w:rFonts w:ascii="Times" w:hAnsi="Times" w:cs="Arial"/>
          <w:noProof/>
          <w:lang w:val="en-US"/>
        </w:rPr>
        <w:t xml:space="preserve"> </w:t>
      </w:r>
      <w:r w:rsidR="0075272B" w:rsidRPr="002302AF">
        <w:rPr>
          <w:rFonts w:ascii="Times" w:hAnsi="Times" w:cs="Arial"/>
          <w:noProof/>
          <w:lang w:val="en-US"/>
        </w:rPr>
        <w:t>(</w:t>
      </w:r>
      <w:r w:rsidR="00614869" w:rsidRPr="002302AF">
        <w:rPr>
          <w:rFonts w:ascii="Times" w:hAnsi="Times" w:cs="Arial"/>
          <w:noProof/>
          <w:lang w:val="en-US"/>
        </w:rPr>
        <w:t>F(2,16)=1.049, p=0.373; mean error rate with RA/LC stimulation=2.4% (</w:t>
      </w:r>
      <w:r w:rsidR="006F384B" w:rsidRPr="002302AF">
        <w:rPr>
          <w:rFonts w:ascii="Times" w:hAnsi="Times" w:cs="Arial"/>
          <w:noProof/>
          <w:lang w:val="en-US"/>
        </w:rPr>
        <w:t>95%CI</w:t>
      </w:r>
      <w:r w:rsidR="00614869" w:rsidRPr="002302AF">
        <w:rPr>
          <w:rFonts w:ascii="Times" w:hAnsi="Times" w:cs="Arial"/>
          <w:noProof/>
          <w:lang w:val="en-US"/>
        </w:rPr>
        <w:t xml:space="preserve"> 1.2-3.7), mean error rate with RC/LA stimulation=2.3% (</w:t>
      </w:r>
      <w:r w:rsidR="006F384B" w:rsidRPr="002302AF">
        <w:rPr>
          <w:rFonts w:ascii="Times" w:hAnsi="Times" w:cs="Arial"/>
          <w:noProof/>
          <w:lang w:val="en-US"/>
        </w:rPr>
        <w:t>95%CI</w:t>
      </w:r>
      <w:r w:rsidR="00614869" w:rsidRPr="002302AF">
        <w:rPr>
          <w:rFonts w:ascii="Times" w:hAnsi="Times" w:cs="Arial"/>
          <w:noProof/>
          <w:lang w:val="en-US"/>
        </w:rPr>
        <w:t xml:space="preserve"> 1.5-3.2), mean error rate with sham stimulation=2.1% (</w:t>
      </w:r>
      <w:r w:rsidR="006F384B" w:rsidRPr="002302AF">
        <w:rPr>
          <w:rFonts w:ascii="Times" w:hAnsi="Times" w:cs="Arial"/>
          <w:noProof/>
          <w:lang w:val="en-US"/>
        </w:rPr>
        <w:t>95%CI</w:t>
      </w:r>
      <w:r w:rsidR="00614869" w:rsidRPr="002302AF">
        <w:rPr>
          <w:rFonts w:ascii="Times" w:hAnsi="Times" w:cs="Arial"/>
          <w:noProof/>
          <w:lang w:val="en-US"/>
        </w:rPr>
        <w:t xml:space="preserve"> 1.5-2.7)</w:t>
      </w:r>
      <w:r w:rsidR="0075272B" w:rsidRPr="002302AF">
        <w:rPr>
          <w:rFonts w:ascii="Times" w:hAnsi="Times" w:cs="Arial"/>
          <w:noProof/>
          <w:lang w:val="en-US"/>
        </w:rPr>
        <w:t xml:space="preserve">) </w:t>
      </w:r>
      <w:r w:rsidR="005B4F27" w:rsidRPr="002302AF">
        <w:rPr>
          <w:rFonts w:ascii="Times" w:hAnsi="Times" w:cs="Arial"/>
          <w:noProof/>
          <w:lang w:val="en-US"/>
        </w:rPr>
        <w:t>or</w:t>
      </w:r>
      <w:r w:rsidR="009B2D6C" w:rsidRPr="002302AF">
        <w:rPr>
          <w:rFonts w:ascii="Times" w:hAnsi="Times" w:cs="Arial"/>
          <w:noProof/>
          <w:lang w:val="en-US"/>
        </w:rPr>
        <w:t xml:space="preserve"> </w:t>
      </w:r>
      <w:r w:rsidR="007C61DD" w:rsidRPr="002302AF">
        <w:rPr>
          <w:rFonts w:ascii="Times" w:hAnsi="Times" w:cs="Arial"/>
          <w:noProof/>
          <w:lang w:val="en-US"/>
        </w:rPr>
        <w:t xml:space="preserve">the </w:t>
      </w:r>
      <w:r w:rsidR="009B2D6C" w:rsidRPr="002302AF">
        <w:rPr>
          <w:rFonts w:ascii="Times" w:hAnsi="Times" w:cs="Arial"/>
          <w:noProof/>
          <w:lang w:val="en-US"/>
        </w:rPr>
        <w:t>last block</w:t>
      </w:r>
      <w:r w:rsidR="0091079E" w:rsidRPr="002302AF">
        <w:rPr>
          <w:rFonts w:ascii="Times" w:hAnsi="Times" w:cs="Arial"/>
          <w:noProof/>
          <w:lang w:val="en-US"/>
        </w:rPr>
        <w:t xml:space="preserve"> of the CRT</w:t>
      </w:r>
      <w:r w:rsidR="009B2D6C" w:rsidRPr="002302AF">
        <w:rPr>
          <w:rFonts w:ascii="Times" w:hAnsi="Times" w:cs="Arial"/>
          <w:noProof/>
          <w:lang w:val="en-US"/>
        </w:rPr>
        <w:t xml:space="preserve"> </w:t>
      </w:r>
      <w:r w:rsidR="00066BC3" w:rsidRPr="002302AF">
        <w:rPr>
          <w:rFonts w:ascii="Times" w:hAnsi="Times" w:cs="Arial"/>
          <w:noProof/>
          <w:lang w:val="en-US"/>
        </w:rPr>
        <w:t>(F(2,16)=0.082, p=0.922; mean error rate with RA/LC stimulation=0.5% (</w:t>
      </w:r>
      <w:r w:rsidR="006F384B" w:rsidRPr="002302AF">
        <w:rPr>
          <w:rFonts w:ascii="Times" w:hAnsi="Times" w:cs="Arial"/>
          <w:noProof/>
          <w:lang w:val="en-US"/>
        </w:rPr>
        <w:t>95%CI</w:t>
      </w:r>
      <w:r w:rsidR="00066BC3" w:rsidRPr="002302AF">
        <w:rPr>
          <w:rFonts w:ascii="Times" w:hAnsi="Times" w:cs="Arial"/>
          <w:noProof/>
          <w:lang w:val="en-US"/>
        </w:rPr>
        <w:t xml:space="preserve"> -0.2-1.1), mean error rate with RC/LA=0.6% (</w:t>
      </w:r>
      <w:r w:rsidR="006F384B" w:rsidRPr="002302AF">
        <w:rPr>
          <w:rFonts w:ascii="Times" w:hAnsi="Times" w:cs="Arial"/>
          <w:noProof/>
          <w:lang w:val="en-US"/>
        </w:rPr>
        <w:t>95%CI</w:t>
      </w:r>
      <w:r w:rsidR="00066BC3" w:rsidRPr="002302AF">
        <w:rPr>
          <w:rFonts w:ascii="Times" w:hAnsi="Times" w:cs="Arial"/>
          <w:noProof/>
          <w:lang w:val="en-US"/>
        </w:rPr>
        <w:t xml:space="preserve"> 0.0-1.2), mean error rate with sham stimulation=0.7% (</w:t>
      </w:r>
      <w:r w:rsidR="006F384B" w:rsidRPr="002302AF">
        <w:rPr>
          <w:rFonts w:ascii="Times" w:hAnsi="Times" w:cs="Arial"/>
          <w:noProof/>
          <w:lang w:val="en-US"/>
        </w:rPr>
        <w:t>95%CI</w:t>
      </w:r>
      <w:r w:rsidR="00066BC3" w:rsidRPr="002302AF">
        <w:rPr>
          <w:rFonts w:ascii="Times" w:hAnsi="Times" w:cs="Arial"/>
          <w:noProof/>
          <w:lang w:val="en-US"/>
        </w:rPr>
        <w:t xml:space="preserve"> -0.1-1.6))</w:t>
      </w:r>
      <w:r w:rsidR="009B2D6C" w:rsidRPr="002302AF">
        <w:rPr>
          <w:rFonts w:ascii="Times" w:hAnsi="Times" w:cs="Arial"/>
          <w:noProof/>
          <w:lang w:val="en-US"/>
        </w:rPr>
        <w:t>.</w:t>
      </w:r>
    </w:p>
    <w:p w14:paraId="2043B72A" w14:textId="77777777" w:rsidR="008B101F" w:rsidRPr="002302AF" w:rsidRDefault="008B101F" w:rsidP="005374CB">
      <w:pPr>
        <w:spacing w:line="480" w:lineRule="auto"/>
        <w:jc w:val="both"/>
        <w:rPr>
          <w:rFonts w:ascii="Times" w:hAnsi="Times" w:cs="Arial"/>
          <w:noProof/>
          <w:lang w:val="en-US"/>
        </w:rPr>
      </w:pPr>
    </w:p>
    <w:p w14:paraId="0E1B7DB0" w14:textId="5D3AA228" w:rsidR="00EC1E39" w:rsidRPr="002302AF" w:rsidRDefault="00352E55" w:rsidP="005374CB">
      <w:pPr>
        <w:spacing w:line="480" w:lineRule="auto"/>
        <w:jc w:val="both"/>
        <w:rPr>
          <w:rFonts w:ascii="Times" w:hAnsi="Times" w:cs="Arial"/>
          <w:noProof/>
          <w:lang w:val="en-US"/>
        </w:rPr>
      </w:pPr>
      <w:r w:rsidRPr="002302AF">
        <w:rPr>
          <w:rFonts w:ascii="Times" w:hAnsi="Times" w:cs="Arial"/>
          <w:noProof/>
          <w:lang w:val="en-US"/>
        </w:rPr>
        <w:t xml:space="preserve">Vigilance decrement was </w:t>
      </w:r>
      <w:r w:rsidR="00022ECB" w:rsidRPr="002302AF">
        <w:rPr>
          <w:rFonts w:ascii="Times" w:hAnsi="Times" w:cs="Arial"/>
          <w:noProof/>
          <w:lang w:val="en-US"/>
        </w:rPr>
        <w:t>calculated as an increased RT between</w:t>
      </w:r>
      <w:r w:rsidRPr="002302AF">
        <w:rPr>
          <w:rFonts w:ascii="Times" w:hAnsi="Times" w:cs="Arial"/>
          <w:noProof/>
          <w:lang w:val="en-US"/>
        </w:rPr>
        <w:t xml:space="preserve"> </w:t>
      </w:r>
      <w:r w:rsidR="00016235" w:rsidRPr="002302AF">
        <w:rPr>
          <w:rFonts w:ascii="Times" w:hAnsi="Times" w:cs="Arial"/>
          <w:noProof/>
          <w:lang w:val="en-US"/>
        </w:rPr>
        <w:t>the</w:t>
      </w:r>
      <w:r w:rsidRPr="002302AF">
        <w:rPr>
          <w:rFonts w:ascii="Times" w:hAnsi="Times" w:cs="Arial"/>
          <w:noProof/>
          <w:lang w:val="en-US"/>
        </w:rPr>
        <w:t xml:space="preserve"> first and</w:t>
      </w:r>
      <w:r w:rsidR="00016235" w:rsidRPr="002302AF">
        <w:rPr>
          <w:rFonts w:ascii="Times" w:hAnsi="Times" w:cs="Arial"/>
          <w:noProof/>
          <w:lang w:val="en-US"/>
        </w:rPr>
        <w:t xml:space="preserve"> last block</w:t>
      </w:r>
      <w:r w:rsidRPr="002302AF">
        <w:rPr>
          <w:rFonts w:ascii="Times" w:hAnsi="Times" w:cs="Arial"/>
          <w:noProof/>
          <w:lang w:val="en-US"/>
        </w:rPr>
        <w:t>s</w:t>
      </w:r>
      <w:r w:rsidR="00016235" w:rsidRPr="002302AF">
        <w:rPr>
          <w:rFonts w:ascii="Times" w:hAnsi="Times" w:cs="Arial"/>
          <w:noProof/>
          <w:lang w:val="en-US"/>
        </w:rPr>
        <w:t xml:space="preserve"> of the CRT</w:t>
      </w:r>
      <w:r w:rsidRPr="002302AF">
        <w:rPr>
          <w:rFonts w:ascii="Times" w:hAnsi="Times" w:cs="Arial"/>
          <w:noProof/>
          <w:lang w:val="en-US"/>
        </w:rPr>
        <w:t xml:space="preserve"> </w:t>
      </w:r>
      <w:r w:rsidR="000B292E" w:rsidRPr="002302AF">
        <w:rPr>
          <w:rFonts w:ascii="Times" w:hAnsi="Times" w:cs="Arial"/>
          <w:noProof/>
          <w:lang w:val="en-US"/>
        </w:rPr>
        <w:fldChar w:fldCharType="begin" w:fldLock="1"/>
      </w:r>
      <w:r w:rsidR="00EE198D">
        <w:rPr>
          <w:rFonts w:ascii="Times" w:hAnsi="Times" w:cs="Arial"/>
          <w:noProof/>
          <w:lang w:val="en-US"/>
        </w:rPr>
        <w:instrText>ADDIN CSL_CITATION { "citationItems" : [ { "id" : "ITEM-1", "itemData" : { "DOI" : "10.1523/JNEUROSCI.1163-11.2011", "ISSN" : "1529-2401", "abstract" : "Traumatic brain injury (TBI) frequently produces impairments of attention in humans. These can result in a failure to maintain consistent goal-directed behavior. A predominantly right-lateralized frontoparietal network is often engaged during attentionally demanding tasks. However, lapses of attention have also been associated with increases in activation within the default mode network (DMN). Here, we study TBI patients with sustained attention impairment, defined on the basis of the consistency of their behavioral performance over time. We show that sustained attention impairments in patients are associated with an increase in DMN activation, particularly within the precuneus and posterior cingulate cortex. Furthermore, the interaction of the precuneus with the rest of the DMN at the start of the task, i.e., its functional connectivity, predicts which patients go on to show impairments of attention. Importantly, this predictive information is present before any behavioral evidence of sustained attention impairment, and the relationship is also found in a subgroup of patients without focal brain damage. TBI often results in diffuse axonal injury, which produces cognitive impairment by disconnecting nodes in distributed brain networks. Using diffusion tensor imaging, we demonstrate that structural disconnection within the DMN also correlates with the level of sustained attention. These results show that abnormalities in DMN function are a sensitive marker of impairments of attention and suggest that changes in connectivity within the DMN are central to the development of attentional impairment after TBI.", "author" : [ { "dropping-particle" : "", "family" : "Bonnelle", "given" : "V", "non-dropping-particle" : "", "parse-names" : false, "suffix" : "" }, { "dropping-particle" : "", "family" : "Leech", "given" : "R", "non-dropping-particle" : "", "parse-names" : false, "suffix" : "" }, { "dropping-particle" : "", "family" : "Kinnunen", "given" : "K M", "non-dropping-particle" : "", "parse-names" : false, "suffix" : "" }, { "dropping-particle" : "", "family" : "Ham", "given" : "T E", "non-dropping-particle" : "", "parse-names" : false, "suffix" : "" }, { "dropping-particle" : "", "family" : "Beckmann", "given" : "C F", "non-dropping-particle" : "", "parse-names" : false, "suffix" : "" }, { "dropping-particle" : "", "family" : "Boissezon", "given" : "X", "non-dropping-particle" : "De", "parse-names" : false, "suffix" : "" }, { "dropping-particle" : "", "family" : "Greenwood", "given" : "R J", "non-dropping-particle" : "", "parse-names" : false, "suffix" : "" }, { "dropping-particle" : "", "family" : "Sharp", "given" : "D J", "non-dropping-particle" : "", "parse-names" : false, "suffix" : "" } ], "container-title" : "J Neurosci", "id" : "ITEM-1", "issued" : { "date-parts" : [ [ "2011" ] ] }, "language" : "eng", "page" : "13442-13451", "title" : "Default mode network connectivity predicts sustained attention deficits after traumatic brain injury", "type" : "article-journal", "volume" : "31" }, "uris" : [ "http://www.mendeley.com/documents/?uuid=87b0e185-be14-4c58-bdee-f165265bc0d5" ] } ], "mendeley" : { "formattedCitation" : "(Bonnelle et al. 2011)", "manualFormatting" : "(as in Bonnelle et al. 2011)", "plainTextFormattedCitation" : "(Bonnelle et al. 2011)", "previouslyFormattedCitation" : "(Bonnelle et al. 2011)" }, "properties" : { "noteIndex" : 0 }, "schema" : "https://github.com/citation-style-language/schema/raw/master/csl-citation.json" }</w:instrText>
      </w:r>
      <w:r w:rsidR="000B292E" w:rsidRPr="002302AF">
        <w:rPr>
          <w:rFonts w:ascii="Times" w:hAnsi="Times" w:cs="Arial"/>
          <w:noProof/>
          <w:lang w:val="en-US"/>
        </w:rPr>
        <w:fldChar w:fldCharType="separate"/>
      </w:r>
      <w:r w:rsidR="00255F1F" w:rsidRPr="002302AF">
        <w:rPr>
          <w:rFonts w:ascii="Times" w:hAnsi="Times" w:cs="Arial"/>
          <w:noProof/>
          <w:lang w:val="en-US"/>
        </w:rPr>
        <w:t>(</w:t>
      </w:r>
      <w:r w:rsidR="003E6D9A" w:rsidRPr="002302AF">
        <w:rPr>
          <w:rFonts w:ascii="Times" w:hAnsi="Times" w:cs="Arial"/>
          <w:noProof/>
          <w:lang w:val="en-US"/>
        </w:rPr>
        <w:t xml:space="preserve">as in </w:t>
      </w:r>
      <w:r w:rsidR="00255F1F" w:rsidRPr="002302AF">
        <w:rPr>
          <w:rFonts w:ascii="Times" w:hAnsi="Times" w:cs="Arial"/>
          <w:noProof/>
          <w:lang w:val="en-US"/>
        </w:rPr>
        <w:t>Bonnelle et al. 2011)</w:t>
      </w:r>
      <w:r w:rsidR="000B292E" w:rsidRPr="002302AF">
        <w:rPr>
          <w:rFonts w:ascii="Times" w:hAnsi="Times" w:cs="Arial"/>
          <w:noProof/>
          <w:lang w:val="en-US"/>
        </w:rPr>
        <w:fldChar w:fldCharType="end"/>
      </w:r>
      <w:r w:rsidR="008B101F" w:rsidRPr="002302AF">
        <w:rPr>
          <w:rFonts w:ascii="Times" w:hAnsi="Times" w:cs="Arial"/>
          <w:noProof/>
          <w:lang w:val="en-US"/>
        </w:rPr>
        <w:t>.</w:t>
      </w:r>
      <w:r w:rsidR="0023067C" w:rsidRPr="002302AF">
        <w:rPr>
          <w:rFonts w:ascii="Times" w:hAnsi="Times" w:cs="Arial"/>
          <w:noProof/>
          <w:lang w:val="en-US"/>
        </w:rPr>
        <w:t xml:space="preserve"> ANOVA </w:t>
      </w:r>
      <w:r w:rsidR="007E4231" w:rsidRPr="002302AF">
        <w:rPr>
          <w:rFonts w:ascii="Times" w:hAnsi="Times" w:cs="Arial"/>
          <w:noProof/>
          <w:lang w:val="en-US"/>
        </w:rPr>
        <w:t>was used to investigate</w:t>
      </w:r>
      <w:r w:rsidR="00A7033C" w:rsidRPr="002302AF">
        <w:rPr>
          <w:rFonts w:ascii="Times" w:hAnsi="Times" w:cs="Arial"/>
          <w:noProof/>
          <w:lang w:val="en-US"/>
        </w:rPr>
        <w:t xml:space="preserve"> stimulation type </w:t>
      </w:r>
      <w:r w:rsidR="005B672A" w:rsidRPr="002302AF">
        <w:rPr>
          <w:rFonts w:ascii="Times" w:hAnsi="Times" w:cs="Arial"/>
          <w:noProof/>
          <w:lang w:val="en-US"/>
        </w:rPr>
        <w:t xml:space="preserve">and ISI interval on </w:t>
      </w:r>
      <w:r w:rsidR="00554138" w:rsidRPr="002302AF">
        <w:rPr>
          <w:rFonts w:ascii="Times" w:hAnsi="Times" w:cs="Arial"/>
          <w:noProof/>
          <w:lang w:val="en-US"/>
        </w:rPr>
        <w:t>this measure</w:t>
      </w:r>
      <w:r w:rsidR="008B163D" w:rsidRPr="002302AF">
        <w:rPr>
          <w:rFonts w:ascii="Times" w:hAnsi="Times" w:cs="Arial"/>
          <w:noProof/>
          <w:lang w:val="en-US"/>
        </w:rPr>
        <w:t>.</w:t>
      </w:r>
      <w:r w:rsidR="004E63B7" w:rsidRPr="002302AF">
        <w:rPr>
          <w:rFonts w:ascii="Times" w:hAnsi="Times" w:cs="Arial"/>
          <w:noProof/>
          <w:lang w:val="en-US"/>
        </w:rPr>
        <w:t xml:space="preserve"> </w:t>
      </w:r>
      <w:r w:rsidR="007E4231" w:rsidRPr="002302AF">
        <w:rPr>
          <w:rFonts w:ascii="Times" w:hAnsi="Times" w:cs="Arial"/>
          <w:noProof/>
          <w:lang w:val="en-US"/>
        </w:rPr>
        <w:t xml:space="preserve">This showed an </w:t>
      </w:r>
      <w:r w:rsidR="004E63B7" w:rsidRPr="002302AF">
        <w:rPr>
          <w:rFonts w:ascii="Times" w:hAnsi="Times" w:cs="Arial"/>
          <w:noProof/>
          <w:lang w:val="en-US"/>
        </w:rPr>
        <w:t>interaction</w:t>
      </w:r>
      <w:r w:rsidR="007E4231" w:rsidRPr="002302AF">
        <w:rPr>
          <w:rFonts w:ascii="Times" w:hAnsi="Times" w:cs="Arial"/>
          <w:noProof/>
          <w:lang w:val="en-US"/>
        </w:rPr>
        <w:t xml:space="preserve"> of borderline significance (F(4,14)=2.6</w:t>
      </w:r>
      <w:r w:rsidR="00B73C13" w:rsidRPr="002302AF">
        <w:rPr>
          <w:rFonts w:ascii="Times" w:hAnsi="Times" w:cs="Arial"/>
          <w:noProof/>
          <w:lang w:val="en-US"/>
        </w:rPr>
        <w:t>6</w:t>
      </w:r>
      <w:r w:rsidR="007E4231" w:rsidRPr="002302AF">
        <w:rPr>
          <w:rFonts w:ascii="Times" w:hAnsi="Times" w:cs="Arial"/>
          <w:noProof/>
          <w:lang w:val="en-US"/>
        </w:rPr>
        <w:t>, p=0.077</w:t>
      </w:r>
      <w:r w:rsidR="007F16BD" w:rsidRPr="002302AF">
        <w:rPr>
          <w:rFonts w:ascii="Times" w:hAnsi="Times" w:cs="Arial"/>
          <w:noProof/>
          <w:lang w:val="en-US"/>
        </w:rPr>
        <w:t>;</w:t>
      </w:r>
      <w:r w:rsidR="00482F01" w:rsidRPr="002302AF">
        <w:rPr>
          <w:rFonts w:ascii="Times" w:hAnsi="Times" w:cs="Arial"/>
          <w:noProof/>
          <w:lang w:val="en-US"/>
        </w:rPr>
        <w:t xml:space="preserve"> </w:t>
      </w:r>
      <w:r w:rsidR="00B73C13" w:rsidRPr="002302AF">
        <w:rPr>
          <w:rFonts w:ascii="Times" w:hAnsi="Times" w:cs="Arial"/>
          <w:noProof/>
          <w:lang w:val="en-US"/>
        </w:rPr>
        <w:t>partial eta squared=0.432</w:t>
      </w:r>
      <w:r w:rsidR="007E4231" w:rsidRPr="002302AF">
        <w:rPr>
          <w:rFonts w:ascii="Times" w:hAnsi="Times" w:cs="Arial"/>
          <w:noProof/>
          <w:lang w:val="en-US"/>
        </w:rPr>
        <w:t xml:space="preserve">), </w:t>
      </w:r>
      <w:r w:rsidR="004E63B7" w:rsidRPr="002302AF">
        <w:rPr>
          <w:rFonts w:ascii="Times" w:hAnsi="Times" w:cs="Arial"/>
          <w:noProof/>
          <w:lang w:val="en-US"/>
        </w:rPr>
        <w:t xml:space="preserve">driven by a borderline effect of stimulation on </w:t>
      </w:r>
      <w:r w:rsidR="008875FC" w:rsidRPr="002302AF">
        <w:rPr>
          <w:rFonts w:ascii="Times" w:hAnsi="Times" w:cs="Arial"/>
          <w:noProof/>
          <w:lang w:val="en-US"/>
        </w:rPr>
        <w:t xml:space="preserve">RT increase </w:t>
      </w:r>
      <w:r w:rsidR="004E63B7" w:rsidRPr="002302AF">
        <w:rPr>
          <w:rFonts w:ascii="Times" w:hAnsi="Times" w:cs="Arial"/>
          <w:noProof/>
          <w:lang w:val="en-US"/>
        </w:rPr>
        <w:t xml:space="preserve">in short ISI </w:t>
      </w:r>
      <w:r w:rsidR="007261CB" w:rsidRPr="002302AF">
        <w:rPr>
          <w:rFonts w:ascii="Times" w:hAnsi="Times" w:cs="Arial"/>
          <w:noProof/>
          <w:lang w:val="en-US"/>
        </w:rPr>
        <w:t>trials (F(2,16)=3.249, p=0.065</w:t>
      </w:r>
      <w:r w:rsidR="007F16BD" w:rsidRPr="002302AF">
        <w:rPr>
          <w:rFonts w:ascii="Times" w:hAnsi="Times" w:cs="Arial"/>
          <w:noProof/>
          <w:lang w:val="en-US"/>
        </w:rPr>
        <w:t>;</w:t>
      </w:r>
      <w:r w:rsidR="00020A0E" w:rsidRPr="002302AF">
        <w:rPr>
          <w:rFonts w:ascii="Times" w:hAnsi="Times" w:cs="Arial"/>
          <w:noProof/>
          <w:lang w:val="en-US"/>
        </w:rPr>
        <w:t xml:space="preserve"> partial eta squared=</w:t>
      </w:r>
      <w:r w:rsidR="00B73C13" w:rsidRPr="002302AF">
        <w:rPr>
          <w:rFonts w:ascii="Times" w:hAnsi="Times" w:cs="Arial"/>
          <w:noProof/>
          <w:lang w:val="en-US"/>
        </w:rPr>
        <w:t>0.289</w:t>
      </w:r>
      <w:r w:rsidR="007261CB" w:rsidRPr="002302AF">
        <w:rPr>
          <w:rFonts w:ascii="Times" w:hAnsi="Times" w:cs="Arial"/>
          <w:noProof/>
          <w:lang w:val="en-US"/>
        </w:rPr>
        <w:t>). S</w:t>
      </w:r>
      <w:r w:rsidR="004E63B7" w:rsidRPr="002302AF">
        <w:rPr>
          <w:rFonts w:ascii="Times" w:hAnsi="Times" w:cs="Arial"/>
          <w:noProof/>
          <w:lang w:val="en-US"/>
        </w:rPr>
        <w:t>pecifically</w:t>
      </w:r>
      <w:r w:rsidR="007261CB" w:rsidRPr="002302AF">
        <w:rPr>
          <w:rFonts w:ascii="Times" w:hAnsi="Times" w:cs="Arial"/>
          <w:noProof/>
          <w:lang w:val="en-US"/>
        </w:rPr>
        <w:t>,</w:t>
      </w:r>
      <w:r w:rsidR="004E63B7" w:rsidRPr="002302AF">
        <w:rPr>
          <w:rFonts w:ascii="Times" w:hAnsi="Times" w:cs="Arial"/>
          <w:noProof/>
          <w:lang w:val="en-US"/>
        </w:rPr>
        <w:t xml:space="preserve"> the </w:t>
      </w:r>
      <w:r w:rsidR="00440390" w:rsidRPr="002302AF">
        <w:rPr>
          <w:rFonts w:ascii="Times" w:hAnsi="Times" w:cs="Arial"/>
          <w:noProof/>
          <w:lang w:val="en-US"/>
        </w:rPr>
        <w:t>RT increase</w:t>
      </w:r>
      <w:r w:rsidR="0047310E" w:rsidRPr="002302AF">
        <w:rPr>
          <w:rFonts w:ascii="Times" w:hAnsi="Times" w:cs="Arial"/>
          <w:noProof/>
          <w:lang w:val="en-US"/>
        </w:rPr>
        <w:t xml:space="preserve"> </w:t>
      </w:r>
      <w:r w:rsidR="004E63B7" w:rsidRPr="002302AF">
        <w:rPr>
          <w:rFonts w:ascii="Times" w:hAnsi="Times" w:cs="Arial"/>
          <w:noProof/>
          <w:lang w:val="en-US"/>
        </w:rPr>
        <w:t xml:space="preserve">with RA/LC stimulation was significantly greater than the </w:t>
      </w:r>
      <w:r w:rsidR="00962CA6" w:rsidRPr="002302AF">
        <w:rPr>
          <w:rFonts w:ascii="Times" w:hAnsi="Times" w:cs="Arial"/>
          <w:noProof/>
          <w:lang w:val="en-US"/>
        </w:rPr>
        <w:t xml:space="preserve">RT increase </w:t>
      </w:r>
      <w:r w:rsidR="004E63B7" w:rsidRPr="002302AF">
        <w:rPr>
          <w:rFonts w:ascii="Times" w:hAnsi="Times" w:cs="Arial"/>
          <w:noProof/>
          <w:lang w:val="en-US"/>
        </w:rPr>
        <w:t>with RC/LA stimu</w:t>
      </w:r>
      <w:r w:rsidR="007261CB" w:rsidRPr="002302AF">
        <w:rPr>
          <w:rFonts w:ascii="Times" w:hAnsi="Times" w:cs="Arial"/>
          <w:noProof/>
          <w:lang w:val="en-US"/>
        </w:rPr>
        <w:t>lation (t=2.28, df=17, p=0.036</w:t>
      </w:r>
      <w:r w:rsidR="007F16BD" w:rsidRPr="002302AF">
        <w:rPr>
          <w:rFonts w:ascii="Times" w:hAnsi="Times" w:cs="Arial"/>
          <w:noProof/>
          <w:lang w:val="en-US"/>
        </w:rPr>
        <w:t xml:space="preserve">; </w:t>
      </w:r>
      <w:r w:rsidR="002A7695" w:rsidRPr="002302AF">
        <w:rPr>
          <w:rFonts w:ascii="Times" w:hAnsi="Times" w:cs="Arial"/>
          <w:noProof/>
          <w:lang w:val="en-US"/>
        </w:rPr>
        <w:t xml:space="preserve">Cohen’s effect size=0.54; </w:t>
      </w:r>
      <w:r w:rsidR="00BD4842" w:rsidRPr="002302AF">
        <w:rPr>
          <w:rFonts w:ascii="Times" w:hAnsi="Times" w:cs="Arial"/>
          <w:noProof/>
          <w:lang w:val="en-US"/>
        </w:rPr>
        <w:t>mean of difference=23.5ms (</w:t>
      </w:r>
      <w:r w:rsidR="006F384B" w:rsidRPr="002302AF">
        <w:rPr>
          <w:rFonts w:ascii="Times" w:hAnsi="Times" w:cs="Arial"/>
          <w:noProof/>
          <w:lang w:val="en-US"/>
        </w:rPr>
        <w:t>95%CI</w:t>
      </w:r>
      <w:r w:rsidR="00BD4842" w:rsidRPr="002302AF">
        <w:rPr>
          <w:rFonts w:ascii="Times" w:hAnsi="Times" w:cs="Arial"/>
          <w:noProof/>
          <w:lang w:val="en-US"/>
        </w:rPr>
        <w:t xml:space="preserve"> 17.5-45.1)</w:t>
      </w:r>
      <w:r w:rsidR="007261CB" w:rsidRPr="002302AF">
        <w:rPr>
          <w:rFonts w:ascii="Times" w:hAnsi="Times" w:cs="Arial"/>
          <w:noProof/>
          <w:lang w:val="en-US"/>
        </w:rPr>
        <w:t>)</w:t>
      </w:r>
      <w:r w:rsidR="00AF1552" w:rsidRPr="002302AF">
        <w:rPr>
          <w:rFonts w:ascii="Times" w:hAnsi="Times" w:cs="Arial"/>
          <w:noProof/>
          <w:lang w:val="en-US"/>
        </w:rPr>
        <w:t xml:space="preserve"> (</w:t>
      </w:r>
      <w:r w:rsidR="00D90242" w:rsidRPr="002302AF">
        <w:rPr>
          <w:rFonts w:ascii="Times" w:hAnsi="Times" w:cs="Arial"/>
          <w:noProof/>
          <w:lang w:val="en-US"/>
        </w:rPr>
        <w:t>Figure</w:t>
      </w:r>
      <w:r w:rsidR="00AF1552" w:rsidRPr="002302AF">
        <w:rPr>
          <w:rFonts w:ascii="Times" w:hAnsi="Times" w:cs="Arial"/>
          <w:noProof/>
          <w:lang w:val="en-US"/>
        </w:rPr>
        <w:t xml:space="preserve"> 5A)</w:t>
      </w:r>
      <w:r w:rsidR="007E4231" w:rsidRPr="002302AF">
        <w:rPr>
          <w:rFonts w:ascii="Times" w:hAnsi="Times" w:cs="Arial"/>
          <w:noProof/>
          <w:lang w:val="en-US"/>
        </w:rPr>
        <w:t xml:space="preserve">. </w:t>
      </w:r>
      <w:r w:rsidR="002E06DD" w:rsidRPr="002302AF">
        <w:rPr>
          <w:rFonts w:ascii="Times" w:hAnsi="Times" w:cs="Arial"/>
          <w:noProof/>
          <w:lang w:val="en-US"/>
        </w:rPr>
        <w:t xml:space="preserve">This is consistent with </w:t>
      </w:r>
      <w:r w:rsidR="003632C9" w:rsidRPr="002302AF">
        <w:rPr>
          <w:rFonts w:ascii="Times" w:hAnsi="Times" w:cs="Arial"/>
          <w:noProof/>
          <w:lang w:val="en-US"/>
        </w:rPr>
        <w:t>either</w:t>
      </w:r>
      <w:r w:rsidR="002E06DD" w:rsidRPr="002302AF">
        <w:rPr>
          <w:rFonts w:ascii="Times" w:hAnsi="Times" w:cs="Arial"/>
          <w:noProof/>
          <w:lang w:val="en-US"/>
        </w:rPr>
        <w:t xml:space="preserve"> decreased vigilance level in the final block of the task</w:t>
      </w:r>
      <w:r w:rsidR="00713F97">
        <w:rPr>
          <w:rFonts w:ascii="Times" w:hAnsi="Times" w:cs="Arial"/>
          <w:noProof/>
          <w:lang w:val="en-US"/>
        </w:rPr>
        <w:t xml:space="preserve"> </w:t>
      </w:r>
      <w:r w:rsidR="00713F97" w:rsidRPr="001C1E75">
        <w:rPr>
          <w:rFonts w:ascii="Times" w:hAnsi="Times" w:cs="Arial"/>
          <w:b/>
          <w:noProof/>
          <w:u w:val="single"/>
          <w:lang w:val="en-US"/>
        </w:rPr>
        <w:t>with RA/LC stimultion</w:t>
      </w:r>
      <w:r w:rsidR="003632C9" w:rsidRPr="002302AF">
        <w:rPr>
          <w:rFonts w:ascii="Times" w:hAnsi="Times" w:cs="Arial"/>
          <w:noProof/>
          <w:lang w:val="en-US"/>
        </w:rPr>
        <w:t xml:space="preserve"> or </w:t>
      </w:r>
      <w:r w:rsidR="002E06DD" w:rsidRPr="002302AF">
        <w:rPr>
          <w:rFonts w:ascii="Times" w:hAnsi="Times" w:cs="Arial"/>
          <w:noProof/>
          <w:lang w:val="en-US"/>
        </w:rPr>
        <w:t xml:space="preserve">an improvement in </w:t>
      </w:r>
      <w:r w:rsidR="00713F97" w:rsidRPr="001C1E75">
        <w:rPr>
          <w:rFonts w:ascii="Times" w:hAnsi="Times" w:cs="Arial"/>
          <w:b/>
          <w:noProof/>
          <w:u w:val="single"/>
          <w:lang w:val="en-US"/>
        </w:rPr>
        <w:t>vigilance level</w:t>
      </w:r>
      <w:r w:rsidR="002E06DD" w:rsidRPr="001C1E75">
        <w:rPr>
          <w:rFonts w:ascii="Times" w:hAnsi="Times" w:cs="Arial"/>
          <w:b/>
          <w:noProof/>
          <w:u w:val="single"/>
          <w:lang w:val="en-US"/>
        </w:rPr>
        <w:t xml:space="preserve"> </w:t>
      </w:r>
      <w:r w:rsidR="002E06DD" w:rsidRPr="002302AF">
        <w:rPr>
          <w:rFonts w:ascii="Times" w:hAnsi="Times" w:cs="Arial"/>
          <w:noProof/>
          <w:lang w:val="en-US"/>
        </w:rPr>
        <w:t>with RC/LA stimulation</w:t>
      </w:r>
      <w:r w:rsidR="002E06DD" w:rsidRPr="001C1E75">
        <w:rPr>
          <w:rFonts w:ascii="Times" w:hAnsi="Times" w:cs="Arial"/>
          <w:b/>
          <w:noProof/>
          <w:u w:val="single"/>
          <w:lang w:val="en-US"/>
        </w:rPr>
        <w:t>.</w:t>
      </w:r>
      <w:r w:rsidR="00713F97" w:rsidRPr="001C1E75">
        <w:rPr>
          <w:rFonts w:ascii="Times" w:hAnsi="Times" w:cs="Arial"/>
          <w:b/>
          <w:noProof/>
          <w:u w:val="single"/>
          <w:lang w:val="en-US"/>
        </w:rPr>
        <w:t xml:space="preserve"> Overall, </w:t>
      </w:r>
      <w:r w:rsidR="00020512">
        <w:rPr>
          <w:rFonts w:ascii="Times" w:hAnsi="Times"/>
          <w:b/>
          <w:u w:val="single"/>
        </w:rPr>
        <w:t>t</w:t>
      </w:r>
      <w:bookmarkStart w:id="0" w:name="_GoBack"/>
      <w:bookmarkEnd w:id="0"/>
      <w:r w:rsidR="00713F97" w:rsidRPr="001C1E75">
        <w:rPr>
          <w:rFonts w:ascii="Times" w:hAnsi="Times"/>
          <w:b/>
          <w:u w:val="single"/>
        </w:rPr>
        <w:t>here was no main effect of trial type (F(2,16)=0.764, p=0.482, partial eta squared=0.087)</w:t>
      </w:r>
      <w:r w:rsidR="0007279D" w:rsidRPr="0004482D">
        <w:rPr>
          <w:rFonts w:ascii="Times" w:hAnsi="Times"/>
          <w:b/>
          <w:u w:val="single"/>
        </w:rPr>
        <w:t xml:space="preserve"> and</w:t>
      </w:r>
      <w:r w:rsidR="00D125F8" w:rsidRPr="001C1E75">
        <w:rPr>
          <w:rFonts w:ascii="Times" w:hAnsi="Times" w:cs="Arial"/>
          <w:b/>
          <w:noProof/>
          <w:u w:val="single"/>
          <w:lang w:val="en-US"/>
        </w:rPr>
        <w:t xml:space="preserve"> no effect of trial type when the three stimulation conditions were tested separately (P&gt;0.1), despite the short ISI condition having a negligible vigilance decrement in the RC/LA condition</w:t>
      </w:r>
      <w:r w:rsidR="002617ED" w:rsidRPr="002302AF">
        <w:rPr>
          <w:rFonts w:ascii="Times" w:eastAsia="Times New Roman" w:hAnsi="Times" w:cs="Times New Roman"/>
        </w:rPr>
        <w:t xml:space="preserve">. </w:t>
      </w:r>
      <w:r w:rsidR="00711693" w:rsidRPr="002302AF">
        <w:rPr>
          <w:rFonts w:ascii="Times" w:eastAsia="Times New Roman" w:hAnsi="Times" w:cs="Times New Roman"/>
        </w:rPr>
        <w:t xml:space="preserve">For errors, </w:t>
      </w:r>
      <w:r w:rsidR="00711693" w:rsidRPr="002302AF">
        <w:rPr>
          <w:rFonts w:ascii="Times" w:hAnsi="Times" w:cs="Arial"/>
          <w:noProof/>
          <w:lang w:val="en-US"/>
        </w:rPr>
        <w:t>t</w:t>
      </w:r>
      <w:r w:rsidR="00EC1E39" w:rsidRPr="002302AF">
        <w:rPr>
          <w:rFonts w:ascii="Times" w:hAnsi="Times" w:cs="Arial"/>
          <w:noProof/>
          <w:lang w:val="en-US"/>
        </w:rPr>
        <w:t xml:space="preserve">here was no </w:t>
      </w:r>
      <w:r w:rsidR="009914BE" w:rsidRPr="002302AF">
        <w:rPr>
          <w:rFonts w:ascii="Times" w:hAnsi="Times" w:cs="Arial"/>
          <w:noProof/>
          <w:lang w:val="en-US"/>
        </w:rPr>
        <w:t>interaction</w:t>
      </w:r>
      <w:r w:rsidR="00C554CB" w:rsidRPr="002302AF">
        <w:rPr>
          <w:rFonts w:ascii="Times" w:hAnsi="Times" w:cs="Arial"/>
          <w:noProof/>
          <w:lang w:val="en-US"/>
        </w:rPr>
        <w:t xml:space="preserve"> (F(2,16)=0.497, p=0.618; partial eta squared=0.058)</w:t>
      </w:r>
      <w:r w:rsidR="00711693" w:rsidRPr="002302AF">
        <w:rPr>
          <w:rFonts w:ascii="Times" w:hAnsi="Times" w:cs="Arial"/>
          <w:noProof/>
          <w:lang w:val="en-US"/>
        </w:rPr>
        <w:t xml:space="preserve">, </w:t>
      </w:r>
      <w:r w:rsidR="00A7033C" w:rsidRPr="002302AF">
        <w:rPr>
          <w:rFonts w:ascii="Times" w:hAnsi="Times" w:cs="Arial"/>
          <w:noProof/>
          <w:lang w:val="en-US"/>
        </w:rPr>
        <w:t xml:space="preserve">main </w:t>
      </w:r>
      <w:r w:rsidR="00EC1E39" w:rsidRPr="002302AF">
        <w:rPr>
          <w:rFonts w:ascii="Times" w:hAnsi="Times" w:cs="Arial"/>
          <w:noProof/>
          <w:lang w:val="en-US"/>
        </w:rPr>
        <w:t xml:space="preserve">effect of stimulation type </w:t>
      </w:r>
      <w:r w:rsidR="00AB1945" w:rsidRPr="002302AF">
        <w:rPr>
          <w:rFonts w:ascii="Times" w:hAnsi="Times" w:cs="Arial"/>
          <w:noProof/>
          <w:lang w:val="en-US"/>
        </w:rPr>
        <w:t>(F(2,16)=0.618, p=0.551;</w:t>
      </w:r>
      <w:r w:rsidR="00C554CB" w:rsidRPr="002302AF">
        <w:rPr>
          <w:rFonts w:ascii="Times" w:hAnsi="Times" w:cs="Arial"/>
          <w:noProof/>
          <w:lang w:val="en-US"/>
        </w:rPr>
        <w:t xml:space="preserve"> partial eta squared=0.072</w:t>
      </w:r>
      <w:r w:rsidR="00AB1945" w:rsidRPr="002302AF">
        <w:rPr>
          <w:rFonts w:ascii="Times" w:hAnsi="Times" w:cs="Arial"/>
          <w:noProof/>
          <w:lang w:val="en-US"/>
        </w:rPr>
        <w:t>; mean change in error rate with RA/LC stimulation=0.2% (</w:t>
      </w:r>
      <w:r w:rsidR="006F384B" w:rsidRPr="002302AF">
        <w:rPr>
          <w:rFonts w:ascii="Times" w:hAnsi="Times" w:cs="Arial"/>
          <w:noProof/>
          <w:lang w:val="en-US"/>
        </w:rPr>
        <w:t>95%CI</w:t>
      </w:r>
      <w:r w:rsidR="00AB1945" w:rsidRPr="002302AF">
        <w:rPr>
          <w:rFonts w:ascii="Times" w:hAnsi="Times" w:cs="Arial"/>
          <w:noProof/>
          <w:lang w:val="en-US"/>
        </w:rPr>
        <w:t xml:space="preserve"> -1.3-1.6), mean change in error rate with RC/LA stimulation=-0.2% (</w:t>
      </w:r>
      <w:r w:rsidR="006F384B" w:rsidRPr="002302AF">
        <w:rPr>
          <w:rFonts w:ascii="Times" w:hAnsi="Times" w:cs="Arial"/>
          <w:noProof/>
          <w:lang w:val="en-US"/>
        </w:rPr>
        <w:t>95%CI</w:t>
      </w:r>
      <w:r w:rsidR="00AB1945" w:rsidRPr="002302AF">
        <w:rPr>
          <w:rFonts w:ascii="Times" w:hAnsi="Times" w:cs="Arial"/>
          <w:noProof/>
          <w:lang w:val="en-US"/>
        </w:rPr>
        <w:t xml:space="preserve"> -1.0-0.6), mean change in error rate with sham stimulation=-0.4% (</w:t>
      </w:r>
      <w:r w:rsidR="006F384B" w:rsidRPr="002302AF">
        <w:rPr>
          <w:rFonts w:ascii="Times" w:hAnsi="Times" w:cs="Arial"/>
          <w:noProof/>
          <w:lang w:val="en-US"/>
        </w:rPr>
        <w:t>95%CI</w:t>
      </w:r>
      <w:r w:rsidR="00AB1945" w:rsidRPr="002302AF">
        <w:rPr>
          <w:rFonts w:ascii="Times" w:hAnsi="Times" w:cs="Arial"/>
          <w:noProof/>
          <w:lang w:val="en-US"/>
        </w:rPr>
        <w:t xml:space="preserve"> -1.1-0.4)</w:t>
      </w:r>
      <w:r w:rsidR="00C554CB" w:rsidRPr="002302AF">
        <w:rPr>
          <w:rFonts w:ascii="Times" w:hAnsi="Times" w:cs="Arial"/>
          <w:noProof/>
          <w:lang w:val="en-US"/>
        </w:rPr>
        <w:t xml:space="preserve">) </w:t>
      </w:r>
      <w:r w:rsidR="00EC1E39" w:rsidRPr="002302AF">
        <w:rPr>
          <w:rFonts w:ascii="Times" w:hAnsi="Times" w:cs="Arial"/>
          <w:noProof/>
          <w:lang w:val="en-US"/>
        </w:rPr>
        <w:t>or</w:t>
      </w:r>
      <w:r w:rsidR="00711693" w:rsidRPr="002302AF">
        <w:rPr>
          <w:rFonts w:ascii="Times" w:hAnsi="Times" w:cs="Arial"/>
          <w:noProof/>
          <w:lang w:val="en-US"/>
        </w:rPr>
        <w:t xml:space="preserve"> effect of</w:t>
      </w:r>
      <w:r w:rsidR="00EC1E39" w:rsidRPr="002302AF">
        <w:rPr>
          <w:rFonts w:ascii="Times" w:hAnsi="Times" w:cs="Arial"/>
          <w:noProof/>
          <w:lang w:val="en-US"/>
        </w:rPr>
        <w:t xml:space="preserve"> ISI duration </w:t>
      </w:r>
      <w:r w:rsidR="00C554CB" w:rsidRPr="002302AF">
        <w:rPr>
          <w:rFonts w:ascii="Times" w:hAnsi="Times" w:cs="Arial"/>
          <w:noProof/>
          <w:lang w:val="en-US"/>
        </w:rPr>
        <w:t>(F(1,17)=0.452, p=0.510; partial eta squared=0.026)</w:t>
      </w:r>
      <w:r w:rsidR="00EC1E39" w:rsidRPr="002302AF">
        <w:rPr>
          <w:rFonts w:ascii="Times" w:hAnsi="Times" w:cs="Arial"/>
          <w:noProof/>
          <w:lang w:val="en-US"/>
        </w:rPr>
        <w:t xml:space="preserve">. </w:t>
      </w:r>
    </w:p>
    <w:p w14:paraId="3F962A1F" w14:textId="77777777" w:rsidR="00B441C4" w:rsidRPr="002302AF" w:rsidRDefault="00B441C4" w:rsidP="005374CB">
      <w:pPr>
        <w:spacing w:line="480" w:lineRule="auto"/>
        <w:jc w:val="both"/>
        <w:rPr>
          <w:rFonts w:ascii="Times" w:hAnsi="Times" w:cs="Arial"/>
          <w:noProof/>
          <w:lang w:val="en-US"/>
        </w:rPr>
      </w:pPr>
    </w:p>
    <w:p w14:paraId="076A6DED" w14:textId="3888E11A" w:rsidR="004D1386" w:rsidRPr="002302AF" w:rsidRDefault="006B140F" w:rsidP="005374CB">
      <w:pPr>
        <w:spacing w:line="480" w:lineRule="auto"/>
        <w:jc w:val="both"/>
        <w:rPr>
          <w:rFonts w:ascii="Times" w:hAnsi="Times" w:cs="Arial"/>
          <w:noProof/>
          <w:lang w:val="en-US"/>
        </w:rPr>
      </w:pPr>
      <w:r w:rsidRPr="002302AF">
        <w:rPr>
          <w:rFonts w:ascii="Times" w:hAnsi="Times" w:cs="Arial"/>
          <w:noProof/>
          <w:lang w:val="en-US"/>
        </w:rPr>
        <w:t>There was no correlation between the effect of stimulation on vigilance level and the effect of stimulation on the numerical processing cost of responding to close versus far number pairs</w:t>
      </w:r>
      <w:r w:rsidR="00392933" w:rsidRPr="002302AF">
        <w:rPr>
          <w:rFonts w:ascii="Times" w:hAnsi="Times" w:cs="Arial"/>
          <w:noProof/>
          <w:lang w:val="en-US"/>
        </w:rPr>
        <w:t xml:space="preserve"> (Spearman’s correlation: </w:t>
      </w:r>
      <w:r w:rsidR="00392933" w:rsidRPr="002302AF">
        <w:rPr>
          <w:rFonts w:ascii="Times" w:hAnsi="Times" w:cs="Arial"/>
          <w:i/>
          <w:noProof/>
          <w:lang w:val="en-US"/>
        </w:rPr>
        <w:t>r</w:t>
      </w:r>
      <w:r w:rsidR="00392933" w:rsidRPr="002302AF">
        <w:rPr>
          <w:rFonts w:ascii="Times" w:hAnsi="Times" w:cs="Arial"/>
          <w:i/>
          <w:noProof/>
          <w:vertAlign w:val="subscript"/>
          <w:lang w:val="en-US"/>
        </w:rPr>
        <w:t>s</w:t>
      </w:r>
      <w:r w:rsidR="00392933" w:rsidRPr="002302AF">
        <w:rPr>
          <w:rFonts w:ascii="Times" w:hAnsi="Times" w:cs="Arial"/>
          <w:noProof/>
          <w:lang w:val="en-US"/>
        </w:rPr>
        <w:t>=0.282, p=0.257</w:t>
      </w:r>
      <w:r w:rsidR="00392933" w:rsidRPr="002302AF">
        <w:rPr>
          <w:rFonts w:ascii="Times" w:hAnsi="Times" w:cs="Arial"/>
          <w:i/>
          <w:noProof/>
          <w:lang w:val="en-US"/>
        </w:rPr>
        <w:t>)</w:t>
      </w:r>
      <w:r w:rsidRPr="002302AF">
        <w:rPr>
          <w:rFonts w:ascii="Times" w:hAnsi="Times" w:cs="Arial"/>
          <w:noProof/>
          <w:lang w:val="en-US"/>
        </w:rPr>
        <w:t>.</w:t>
      </w:r>
    </w:p>
    <w:p w14:paraId="3B663CF1" w14:textId="77777777" w:rsidR="006B140F" w:rsidRPr="002302AF" w:rsidRDefault="006B140F" w:rsidP="005374CB">
      <w:pPr>
        <w:spacing w:line="480" w:lineRule="auto"/>
        <w:jc w:val="both"/>
        <w:rPr>
          <w:rFonts w:ascii="Times" w:hAnsi="Times" w:cs="Arial"/>
          <w:noProof/>
          <w:lang w:val="en-US"/>
        </w:rPr>
      </w:pPr>
    </w:p>
    <w:p w14:paraId="574751C3" w14:textId="66923325" w:rsidR="004D1386" w:rsidRPr="002302AF" w:rsidRDefault="004D1386" w:rsidP="005374CB">
      <w:pPr>
        <w:spacing w:line="480" w:lineRule="auto"/>
        <w:jc w:val="both"/>
        <w:rPr>
          <w:rFonts w:ascii="Times" w:hAnsi="Times" w:cs="Arial"/>
          <w:i/>
          <w:noProof/>
          <w:lang w:val="en-US"/>
        </w:rPr>
      </w:pPr>
      <w:r w:rsidRPr="002302AF">
        <w:rPr>
          <w:rFonts w:ascii="Times" w:hAnsi="Times" w:cs="Arial"/>
          <w:i/>
          <w:noProof/>
          <w:lang w:val="en-US"/>
        </w:rPr>
        <w:t>R</w:t>
      </w:r>
      <w:r w:rsidR="0059172F" w:rsidRPr="002302AF">
        <w:rPr>
          <w:rFonts w:ascii="Times" w:hAnsi="Times" w:cs="Arial"/>
          <w:i/>
          <w:noProof/>
          <w:lang w:val="en-US"/>
        </w:rPr>
        <w:t xml:space="preserve">apid </w:t>
      </w:r>
      <w:r w:rsidRPr="002302AF">
        <w:rPr>
          <w:rFonts w:ascii="Times" w:hAnsi="Times" w:cs="Arial"/>
          <w:i/>
          <w:noProof/>
          <w:lang w:val="en-US"/>
        </w:rPr>
        <w:t>V</w:t>
      </w:r>
      <w:r w:rsidR="0059172F" w:rsidRPr="002302AF">
        <w:rPr>
          <w:rFonts w:ascii="Times" w:hAnsi="Times" w:cs="Arial"/>
          <w:i/>
          <w:noProof/>
          <w:lang w:val="en-US"/>
        </w:rPr>
        <w:t xml:space="preserve">isual </w:t>
      </w:r>
      <w:r w:rsidRPr="002302AF">
        <w:rPr>
          <w:rFonts w:ascii="Times" w:hAnsi="Times" w:cs="Arial"/>
          <w:i/>
          <w:noProof/>
          <w:lang w:val="en-US"/>
        </w:rPr>
        <w:t>P</w:t>
      </w:r>
      <w:r w:rsidR="0059172F" w:rsidRPr="002302AF">
        <w:rPr>
          <w:rFonts w:ascii="Times" w:hAnsi="Times" w:cs="Arial"/>
          <w:i/>
          <w:noProof/>
          <w:lang w:val="en-US"/>
        </w:rPr>
        <w:t>rocessing Task</w:t>
      </w:r>
    </w:p>
    <w:p w14:paraId="1DB6ED0C" w14:textId="25036F09" w:rsidR="00FA0028" w:rsidRPr="002302AF" w:rsidRDefault="00FC6F2A" w:rsidP="005374CB">
      <w:pPr>
        <w:spacing w:line="480" w:lineRule="auto"/>
        <w:jc w:val="both"/>
        <w:rPr>
          <w:rFonts w:ascii="Times" w:hAnsi="Times" w:cs="Arial"/>
          <w:noProof/>
          <w:lang w:val="en-US"/>
        </w:rPr>
      </w:pPr>
      <w:r w:rsidRPr="002302AF">
        <w:rPr>
          <w:rFonts w:ascii="Times" w:hAnsi="Times" w:cs="Arial"/>
          <w:noProof/>
          <w:lang w:val="en-US"/>
        </w:rPr>
        <w:t xml:space="preserve">There was no </w:t>
      </w:r>
      <w:r w:rsidR="00920AC3" w:rsidRPr="002302AF">
        <w:rPr>
          <w:rFonts w:ascii="Times" w:hAnsi="Times" w:cs="Arial"/>
          <w:noProof/>
          <w:lang w:val="en-US"/>
        </w:rPr>
        <w:t xml:space="preserve">significant </w:t>
      </w:r>
      <w:r w:rsidRPr="002302AF">
        <w:rPr>
          <w:rFonts w:ascii="Times" w:hAnsi="Times" w:cs="Arial"/>
          <w:noProof/>
          <w:lang w:val="en-US"/>
        </w:rPr>
        <w:t xml:space="preserve">effect of stimulation on any of the </w:t>
      </w:r>
      <w:r w:rsidR="003776A4" w:rsidRPr="002302AF">
        <w:rPr>
          <w:rFonts w:ascii="Times" w:hAnsi="Times" w:cs="Arial"/>
          <w:noProof/>
          <w:lang w:val="en-US"/>
        </w:rPr>
        <w:t>outcome measures</w:t>
      </w:r>
      <w:r w:rsidR="005A2A3B" w:rsidRPr="002302AF">
        <w:rPr>
          <w:rFonts w:ascii="Times" w:hAnsi="Times" w:cs="Arial"/>
          <w:noProof/>
          <w:lang w:val="en-US"/>
        </w:rPr>
        <w:t>: number of misses</w:t>
      </w:r>
      <w:r w:rsidR="00B82339" w:rsidRPr="002302AF">
        <w:rPr>
          <w:rFonts w:ascii="Times" w:hAnsi="Times" w:cs="Arial"/>
          <w:noProof/>
          <w:lang w:val="en-US"/>
        </w:rPr>
        <w:t xml:space="preserve"> (F(2,16)=0.235, p=0.793; partial eta squared=0.029; mean with RA/LC stimulation=3.0 (</w:t>
      </w:r>
      <w:r w:rsidR="006F384B" w:rsidRPr="002302AF">
        <w:rPr>
          <w:rFonts w:ascii="Times" w:hAnsi="Times" w:cs="Arial"/>
          <w:noProof/>
          <w:lang w:val="en-US"/>
        </w:rPr>
        <w:t>95%CI</w:t>
      </w:r>
      <w:r w:rsidR="00B82339" w:rsidRPr="002302AF">
        <w:rPr>
          <w:rFonts w:ascii="Times" w:hAnsi="Times" w:cs="Arial"/>
          <w:noProof/>
          <w:lang w:val="en-US"/>
        </w:rPr>
        <w:t xml:space="preserve"> 0.9-5.0), mean with RC/LA stimulation=2.9 (</w:t>
      </w:r>
      <w:r w:rsidR="006F384B" w:rsidRPr="002302AF">
        <w:rPr>
          <w:rFonts w:ascii="Times" w:hAnsi="Times" w:cs="Arial"/>
          <w:noProof/>
          <w:lang w:val="en-US"/>
        </w:rPr>
        <w:t>95%CI</w:t>
      </w:r>
      <w:r w:rsidR="00B82339" w:rsidRPr="002302AF">
        <w:rPr>
          <w:rFonts w:ascii="Times" w:hAnsi="Times" w:cs="Arial"/>
          <w:noProof/>
          <w:lang w:val="en-US"/>
        </w:rPr>
        <w:t xml:space="preserve"> 1.4-4.4), mean with sham stimulation=2.5 (</w:t>
      </w:r>
      <w:r w:rsidR="006F384B" w:rsidRPr="002302AF">
        <w:rPr>
          <w:rFonts w:ascii="Times" w:hAnsi="Times" w:cs="Arial"/>
          <w:noProof/>
          <w:lang w:val="en-US"/>
        </w:rPr>
        <w:t>95%CI</w:t>
      </w:r>
      <w:r w:rsidR="00B82339" w:rsidRPr="002302AF">
        <w:rPr>
          <w:rFonts w:ascii="Times" w:hAnsi="Times" w:cs="Arial"/>
          <w:noProof/>
          <w:lang w:val="en-US"/>
        </w:rPr>
        <w:t xml:space="preserve"> 1.3-3.7))</w:t>
      </w:r>
      <w:r w:rsidR="005A2A3B" w:rsidRPr="002302AF">
        <w:rPr>
          <w:rFonts w:ascii="Times" w:hAnsi="Times" w:cs="Arial"/>
          <w:noProof/>
          <w:lang w:val="en-US"/>
        </w:rPr>
        <w:t>, probability of correct respo</w:t>
      </w:r>
      <w:r w:rsidR="00214499" w:rsidRPr="002302AF">
        <w:rPr>
          <w:rFonts w:ascii="Times" w:hAnsi="Times" w:cs="Arial"/>
          <w:noProof/>
          <w:lang w:val="en-US"/>
        </w:rPr>
        <w:t>ns</w:t>
      </w:r>
      <w:r w:rsidR="005A2A3B" w:rsidRPr="002302AF">
        <w:rPr>
          <w:rFonts w:ascii="Times" w:hAnsi="Times" w:cs="Arial"/>
          <w:noProof/>
          <w:lang w:val="en-US"/>
        </w:rPr>
        <w:t>e (P(hits))</w:t>
      </w:r>
      <w:r w:rsidR="00B82339" w:rsidRPr="002302AF">
        <w:rPr>
          <w:rFonts w:ascii="Times" w:hAnsi="Times" w:cs="Arial"/>
          <w:noProof/>
          <w:lang w:val="en-US"/>
        </w:rPr>
        <w:t xml:space="preserve"> (</w:t>
      </w:r>
      <w:r w:rsidR="00B80742" w:rsidRPr="002302AF">
        <w:rPr>
          <w:rFonts w:ascii="Times" w:hAnsi="Times" w:cs="Arial"/>
          <w:noProof/>
          <w:lang w:val="en-US"/>
        </w:rPr>
        <w:t>F(2,15)=0.169, p=0.846, partial eta sqaured=0.022; mean with RA/LC stimulation=0.88 (</w:t>
      </w:r>
      <w:r w:rsidR="006F384B" w:rsidRPr="002302AF">
        <w:rPr>
          <w:rFonts w:ascii="Times" w:hAnsi="Times" w:cs="Arial"/>
          <w:noProof/>
          <w:lang w:val="en-US"/>
        </w:rPr>
        <w:t>95%CI</w:t>
      </w:r>
      <w:r w:rsidR="00B80742" w:rsidRPr="002302AF">
        <w:rPr>
          <w:rFonts w:ascii="Times" w:hAnsi="Times" w:cs="Arial"/>
          <w:noProof/>
          <w:lang w:val="en-US"/>
        </w:rPr>
        <w:t xml:space="preserve"> 0.80-0.96), mean with RC/LA stimulation=0.90 (95%CI 0.84-0.96), mean with sham stimulation=</w:t>
      </w:r>
      <w:r w:rsidR="006F384B" w:rsidRPr="002302AF">
        <w:rPr>
          <w:rFonts w:ascii="Times" w:hAnsi="Times" w:cs="Arial"/>
          <w:noProof/>
          <w:lang w:val="en-US"/>
        </w:rPr>
        <w:t>0.90 (95%CI 0.86-0.95)</w:t>
      </w:r>
      <w:r w:rsidR="00B82339" w:rsidRPr="002302AF">
        <w:rPr>
          <w:rFonts w:ascii="Times" w:hAnsi="Times" w:cs="Arial"/>
          <w:noProof/>
          <w:lang w:val="en-US"/>
        </w:rPr>
        <w:t>)</w:t>
      </w:r>
      <w:r w:rsidR="005A2A3B" w:rsidRPr="002302AF">
        <w:rPr>
          <w:rFonts w:ascii="Times" w:hAnsi="Times" w:cs="Arial"/>
          <w:noProof/>
          <w:lang w:val="en-US"/>
        </w:rPr>
        <w:t>,</w:t>
      </w:r>
      <w:r w:rsidR="003776A4" w:rsidRPr="002302AF">
        <w:rPr>
          <w:rFonts w:ascii="Times" w:hAnsi="Times" w:cs="Arial"/>
          <w:noProof/>
          <w:lang w:val="en-US"/>
        </w:rPr>
        <w:t xml:space="preserve"> </w:t>
      </w:r>
      <w:r w:rsidR="005A2A3B" w:rsidRPr="002302AF">
        <w:rPr>
          <w:rFonts w:ascii="Times" w:hAnsi="Times" w:cs="Arial"/>
          <w:noProof/>
          <w:lang w:val="en-US"/>
        </w:rPr>
        <w:t>number of correct rejections</w:t>
      </w:r>
      <w:r w:rsidR="00881E16" w:rsidRPr="002302AF">
        <w:rPr>
          <w:rFonts w:ascii="Times" w:hAnsi="Times" w:cs="Arial"/>
          <w:noProof/>
          <w:lang w:val="en-US"/>
        </w:rPr>
        <w:t xml:space="preserve"> (</w:t>
      </w:r>
      <w:r w:rsidR="00875C09" w:rsidRPr="002302AF">
        <w:rPr>
          <w:rFonts w:ascii="Times" w:hAnsi="Times" w:cs="Arial"/>
          <w:noProof/>
          <w:lang w:val="en-US"/>
        </w:rPr>
        <w:t>F(2,16</w:t>
      </w:r>
      <w:r w:rsidR="00881E16" w:rsidRPr="002302AF">
        <w:rPr>
          <w:rFonts w:ascii="Times" w:hAnsi="Times" w:cs="Arial"/>
          <w:noProof/>
          <w:lang w:val="en-US"/>
        </w:rPr>
        <w:t>)</w:t>
      </w:r>
      <w:r w:rsidR="00875C09" w:rsidRPr="002302AF">
        <w:rPr>
          <w:rFonts w:ascii="Times" w:hAnsi="Times" w:cs="Arial"/>
          <w:noProof/>
          <w:lang w:val="en-US"/>
        </w:rPr>
        <w:t xml:space="preserve">=0.60, p=0.561; partial eta squared=0.07; mean with RA/LC stimulation=218.8 (95%CI </w:t>
      </w:r>
      <w:r w:rsidR="00B803FD" w:rsidRPr="002302AF">
        <w:rPr>
          <w:rFonts w:ascii="Times" w:hAnsi="Times" w:cs="Arial"/>
          <w:noProof/>
          <w:lang w:val="en-US"/>
        </w:rPr>
        <w:t>218.1-219.3), mean with RC/LA stimulation=218.5 (95%CI 218.1-218.9), mean with sham stimulation=218.6 (95%CI 218.3-219.0)</w:t>
      </w:r>
      <w:r w:rsidR="005A2A3B" w:rsidRPr="002302AF">
        <w:rPr>
          <w:rFonts w:ascii="Times" w:hAnsi="Times" w:cs="Arial"/>
          <w:noProof/>
          <w:lang w:val="en-US"/>
        </w:rPr>
        <w:t>, probability of false alarms (P(false alarms))</w:t>
      </w:r>
      <w:r w:rsidR="00F86D45" w:rsidRPr="002302AF">
        <w:rPr>
          <w:rFonts w:ascii="Times" w:hAnsi="Times" w:cs="Arial"/>
          <w:noProof/>
          <w:lang w:val="en-US"/>
        </w:rPr>
        <w:t xml:space="preserve"> (</w:t>
      </w:r>
      <w:r w:rsidR="005A16DB" w:rsidRPr="002302AF">
        <w:rPr>
          <w:rFonts w:ascii="Times" w:hAnsi="Times" w:cs="Arial"/>
          <w:noProof/>
          <w:lang w:val="en-US"/>
        </w:rPr>
        <w:t>F(2,16)=0.087, p=0.917; partial eta squared=0.011; mean with RA/LC stimulation=0.3 (95%CI 0.0-0.6), mean with RC/LA stimulation=0.3 (95%CI 0.1-0.6), mean with sham stimulation=0.3 (95%CI 0.1-0.5)</w:t>
      </w:r>
      <w:r w:rsidR="00F86D45" w:rsidRPr="002302AF">
        <w:rPr>
          <w:rFonts w:ascii="Times" w:hAnsi="Times" w:cs="Arial"/>
          <w:noProof/>
          <w:lang w:val="en-US"/>
        </w:rPr>
        <w:t>)</w:t>
      </w:r>
      <w:r w:rsidR="005A2A3B" w:rsidRPr="002302AF">
        <w:rPr>
          <w:rFonts w:ascii="Times" w:hAnsi="Times" w:cs="Arial"/>
          <w:noProof/>
          <w:lang w:val="en-US"/>
        </w:rPr>
        <w:t xml:space="preserve">, sensitivity to stimuli (A’) </w:t>
      </w:r>
      <w:r w:rsidR="00BA2698" w:rsidRPr="002302AF">
        <w:rPr>
          <w:rFonts w:ascii="Times" w:hAnsi="Times" w:cs="Arial"/>
          <w:noProof/>
          <w:lang w:val="en-US"/>
        </w:rPr>
        <w:t>(</w:t>
      </w:r>
      <w:r w:rsidR="005A6915" w:rsidRPr="002302AF">
        <w:rPr>
          <w:rFonts w:ascii="Times" w:hAnsi="Times" w:cs="Arial"/>
          <w:noProof/>
          <w:lang w:val="en-US"/>
        </w:rPr>
        <w:t>F(</w:t>
      </w:r>
      <w:r w:rsidR="00EE2E09" w:rsidRPr="002302AF">
        <w:rPr>
          <w:rFonts w:ascii="Times" w:hAnsi="Times" w:cs="Arial"/>
          <w:noProof/>
          <w:lang w:val="en-US"/>
        </w:rPr>
        <w:t>2,16)=1.405, p=0.274; partial eta squared=0.149; mean with RA/LC stimulation=1.000 (95%CI 1.000-1.001), mean with RC/LA stimulation=1.001 (95%CI 1.000-1.001), mean with sham stimulation=1.001 (95%CI 1.000-1.001)</w:t>
      </w:r>
      <w:r w:rsidR="00BA2698" w:rsidRPr="002302AF">
        <w:rPr>
          <w:rFonts w:ascii="Times" w:hAnsi="Times" w:cs="Arial"/>
          <w:noProof/>
          <w:lang w:val="en-US"/>
        </w:rPr>
        <w:t xml:space="preserve">) </w:t>
      </w:r>
      <w:r w:rsidR="005A2A3B" w:rsidRPr="002302AF">
        <w:rPr>
          <w:rFonts w:ascii="Times" w:hAnsi="Times" w:cs="Arial"/>
          <w:noProof/>
          <w:lang w:val="en-US"/>
        </w:rPr>
        <w:t xml:space="preserve">and reaction time </w:t>
      </w:r>
      <w:r w:rsidR="00CB74D6" w:rsidRPr="002302AF">
        <w:rPr>
          <w:rFonts w:ascii="Times" w:hAnsi="Times" w:cs="Arial"/>
          <w:noProof/>
          <w:lang w:val="en-US"/>
        </w:rPr>
        <w:t>(</w:t>
      </w:r>
      <w:r w:rsidR="00B628CD" w:rsidRPr="002302AF">
        <w:rPr>
          <w:rFonts w:ascii="Times" w:hAnsi="Times" w:cs="Arial"/>
          <w:noProof/>
          <w:lang w:val="en-US"/>
        </w:rPr>
        <w:t>F(2,15)=0.769, p=0.481; partial eta squared=0.093; mean with RA/LC stimulation=343.5ms (95%CI 326.5-360.5), mean with RC/LA stimulation=349.6ms (95%CI 327.1-372.1), mean with sham stimulation=342.7ms (95%CI 319.6-365.8)</w:t>
      </w:r>
      <w:r w:rsidR="00CB74D6" w:rsidRPr="002302AF">
        <w:rPr>
          <w:rFonts w:ascii="Times" w:hAnsi="Times" w:cs="Arial"/>
          <w:noProof/>
          <w:lang w:val="en-US"/>
        </w:rPr>
        <w:t xml:space="preserve">) </w:t>
      </w:r>
      <w:r w:rsidR="001242EE" w:rsidRPr="002302AF">
        <w:rPr>
          <w:rFonts w:ascii="Times" w:hAnsi="Times" w:cs="Arial"/>
          <w:noProof/>
          <w:lang w:val="en-US"/>
        </w:rPr>
        <w:t>(</w:t>
      </w:r>
      <w:r w:rsidR="00D90242" w:rsidRPr="002302AF">
        <w:rPr>
          <w:rFonts w:ascii="Times" w:hAnsi="Times" w:cs="Arial"/>
          <w:noProof/>
          <w:lang w:val="en-US"/>
        </w:rPr>
        <w:t>Figure</w:t>
      </w:r>
      <w:r w:rsidR="00EF329D" w:rsidRPr="002302AF">
        <w:rPr>
          <w:rFonts w:ascii="Times" w:hAnsi="Times" w:cs="Arial"/>
          <w:noProof/>
          <w:lang w:val="en-US"/>
        </w:rPr>
        <w:t xml:space="preserve"> 6</w:t>
      </w:r>
      <w:r w:rsidR="001242EE" w:rsidRPr="002302AF">
        <w:rPr>
          <w:rFonts w:ascii="Times" w:hAnsi="Times" w:cs="Arial"/>
          <w:noProof/>
          <w:lang w:val="en-US"/>
        </w:rPr>
        <w:t xml:space="preserve">). </w:t>
      </w:r>
      <w:r w:rsidR="005A2A3B" w:rsidRPr="002302AF">
        <w:rPr>
          <w:rFonts w:ascii="Times" w:hAnsi="Times" w:cs="Arial"/>
          <w:noProof/>
          <w:lang w:val="en-US"/>
        </w:rPr>
        <w:t>It was not possible to calculate group values for strength of trace (B’) because, for some participants, the denominator was 0.</w:t>
      </w:r>
      <w:r w:rsidR="00DB5B71" w:rsidRPr="002302AF">
        <w:rPr>
          <w:rFonts w:ascii="Times" w:hAnsi="Times" w:cs="Arial"/>
          <w:noProof/>
          <w:lang w:val="en-US"/>
        </w:rPr>
        <w:t xml:space="preserve"> </w:t>
      </w:r>
    </w:p>
    <w:p w14:paraId="0323166B" w14:textId="77777777" w:rsidR="00474F8E" w:rsidRPr="00023C48" w:rsidRDefault="00474F8E" w:rsidP="005374CB">
      <w:pPr>
        <w:spacing w:line="480" w:lineRule="auto"/>
        <w:jc w:val="both"/>
        <w:rPr>
          <w:rFonts w:ascii="Times" w:hAnsi="Times" w:cs="Arial"/>
          <w:noProof/>
          <w:lang w:val="en-US"/>
        </w:rPr>
      </w:pPr>
    </w:p>
    <w:p w14:paraId="50C5A2A8" w14:textId="0A9F5275" w:rsidR="00474F8E" w:rsidRPr="002302AF" w:rsidRDefault="00C6022A" w:rsidP="005374CB">
      <w:pPr>
        <w:spacing w:line="480" w:lineRule="auto"/>
        <w:jc w:val="both"/>
        <w:rPr>
          <w:rFonts w:ascii="Times" w:hAnsi="Times"/>
          <w:b/>
        </w:rPr>
      </w:pPr>
      <w:r w:rsidRPr="002302AF">
        <w:rPr>
          <w:rFonts w:ascii="Times" w:hAnsi="Times"/>
          <w:b/>
        </w:rPr>
        <w:t>DISCUSSION</w:t>
      </w:r>
    </w:p>
    <w:p w14:paraId="6A342F31" w14:textId="1B7D419D" w:rsidR="00694429" w:rsidRPr="002302AF" w:rsidRDefault="00694429" w:rsidP="00694429">
      <w:pPr>
        <w:spacing w:line="480" w:lineRule="auto"/>
        <w:jc w:val="both"/>
        <w:rPr>
          <w:rFonts w:ascii="Times" w:hAnsi="Times"/>
        </w:rPr>
      </w:pPr>
      <w:r w:rsidRPr="002302AF">
        <w:rPr>
          <w:rFonts w:ascii="Times" w:hAnsi="Times" w:cs="Arial"/>
          <w:noProof/>
          <w:lang w:val="en-US"/>
        </w:rPr>
        <w:t xml:space="preserve">We </w:t>
      </w:r>
      <w:r w:rsidR="00BF756D" w:rsidRPr="002302AF">
        <w:rPr>
          <w:rFonts w:ascii="Times" w:hAnsi="Times" w:cs="Arial"/>
          <w:noProof/>
          <w:lang w:val="en-US"/>
        </w:rPr>
        <w:t>show</w:t>
      </w:r>
      <w:r w:rsidRPr="002302AF">
        <w:rPr>
          <w:rFonts w:ascii="Times" w:hAnsi="Times" w:cs="Arial"/>
          <w:noProof/>
          <w:lang w:val="en-US"/>
        </w:rPr>
        <w:t xml:space="preserve"> that oppositional tDCS applied across the parietal lobes can affect numerial processing and sustained attention</w:t>
      </w:r>
      <w:r w:rsidR="00F651D8" w:rsidRPr="002302AF">
        <w:rPr>
          <w:rFonts w:ascii="Times" w:hAnsi="Times" w:cs="Arial"/>
          <w:noProof/>
          <w:lang w:val="en-US"/>
        </w:rPr>
        <w:t xml:space="preserve"> in a</w:t>
      </w:r>
      <w:r w:rsidR="00983563">
        <w:rPr>
          <w:rFonts w:ascii="Times" w:hAnsi="Times" w:cs="Arial"/>
          <w:noProof/>
          <w:lang w:val="en-US"/>
        </w:rPr>
        <w:t xml:space="preserve"> </w:t>
      </w:r>
      <w:r w:rsidR="00983563" w:rsidRPr="001C1E75">
        <w:rPr>
          <w:rFonts w:ascii="Times" w:hAnsi="Times" w:cs="Arial"/>
          <w:b/>
          <w:noProof/>
          <w:u w:val="single"/>
          <w:lang w:val="en-US"/>
        </w:rPr>
        <w:t>way that depends on the</w:t>
      </w:r>
      <w:r w:rsidR="00F651D8" w:rsidRPr="002302AF">
        <w:rPr>
          <w:rFonts w:ascii="Times" w:hAnsi="Times" w:cs="Arial"/>
          <w:noProof/>
          <w:lang w:val="en-US"/>
        </w:rPr>
        <w:t xml:space="preserve"> polarity</w:t>
      </w:r>
      <w:r w:rsidR="00983563">
        <w:rPr>
          <w:rFonts w:ascii="Times" w:hAnsi="Times" w:cs="Arial"/>
          <w:noProof/>
          <w:lang w:val="en-US"/>
        </w:rPr>
        <w:t xml:space="preserve"> </w:t>
      </w:r>
      <w:r w:rsidR="00983563" w:rsidRPr="001C1E75">
        <w:rPr>
          <w:rFonts w:ascii="Times" w:hAnsi="Times" w:cs="Arial"/>
          <w:b/>
          <w:noProof/>
          <w:u w:val="single"/>
          <w:lang w:val="en-US"/>
        </w:rPr>
        <w:t>of the stimulation</w:t>
      </w:r>
      <w:r w:rsidRPr="001C1E75">
        <w:rPr>
          <w:rFonts w:ascii="Times" w:hAnsi="Times" w:cs="Arial"/>
          <w:b/>
          <w:noProof/>
          <w:u w:val="single"/>
          <w:lang w:val="en-US"/>
        </w:rPr>
        <w:t>.</w:t>
      </w:r>
      <w:r w:rsidR="00EC0C4F" w:rsidRPr="002302AF">
        <w:rPr>
          <w:rFonts w:ascii="Times" w:hAnsi="Times" w:cs="Arial"/>
          <w:noProof/>
          <w:lang w:val="en-US"/>
        </w:rPr>
        <w:t xml:space="preserve"> Right anodal/left cathodal (RA/LC) stimulation</w:t>
      </w:r>
      <w:r w:rsidR="00AB3B67" w:rsidRPr="002302AF">
        <w:rPr>
          <w:rFonts w:ascii="Times" w:hAnsi="Times" w:cs="Arial"/>
          <w:noProof/>
          <w:lang w:val="en-US"/>
        </w:rPr>
        <w:t xml:space="preserve"> </w:t>
      </w:r>
      <w:r w:rsidR="00EC0C4F" w:rsidRPr="002302AF">
        <w:rPr>
          <w:rFonts w:ascii="Times" w:hAnsi="Times" w:cs="Arial"/>
          <w:noProof/>
          <w:lang w:val="en-US"/>
        </w:rPr>
        <w:t>exaggerated the distance effect</w:t>
      </w:r>
      <w:r w:rsidR="00897C15" w:rsidRPr="002302AF">
        <w:rPr>
          <w:rFonts w:ascii="Times" w:hAnsi="Times" w:cs="Arial"/>
          <w:noProof/>
          <w:lang w:val="en-US"/>
        </w:rPr>
        <w:t xml:space="preserve"> in performance of a number comparison task,</w:t>
      </w:r>
      <w:r w:rsidR="00AB3B67" w:rsidRPr="002302AF">
        <w:rPr>
          <w:rFonts w:ascii="Times" w:hAnsi="Times" w:cs="Arial"/>
          <w:noProof/>
          <w:lang w:val="en-US"/>
        </w:rPr>
        <w:t xml:space="preserve"> compared to sham stimulation</w:t>
      </w:r>
      <w:r w:rsidR="00897C15" w:rsidRPr="002302AF">
        <w:rPr>
          <w:rFonts w:ascii="Times" w:hAnsi="Times" w:cs="Arial"/>
          <w:noProof/>
          <w:lang w:val="en-US"/>
        </w:rPr>
        <w:t xml:space="preserve">. </w:t>
      </w:r>
      <w:r w:rsidR="00AB3B67" w:rsidRPr="002302AF">
        <w:rPr>
          <w:rFonts w:ascii="Times" w:hAnsi="Times" w:cs="Arial"/>
          <w:noProof/>
          <w:lang w:val="en-US"/>
        </w:rPr>
        <w:t xml:space="preserve">In addition, </w:t>
      </w:r>
      <w:r w:rsidR="00FD36A5" w:rsidRPr="002302AF">
        <w:rPr>
          <w:rFonts w:ascii="Times" w:hAnsi="Times" w:cs="Arial"/>
          <w:noProof/>
          <w:lang w:val="en-US"/>
        </w:rPr>
        <w:t xml:space="preserve">parietal stimulation had a polarity dependent effect on </w:t>
      </w:r>
      <w:r w:rsidR="00897C15" w:rsidRPr="002302AF">
        <w:rPr>
          <w:rFonts w:ascii="Times" w:hAnsi="Times" w:cs="Arial"/>
          <w:noProof/>
          <w:lang w:val="en-US"/>
        </w:rPr>
        <w:t>vigilance level</w:t>
      </w:r>
      <w:r w:rsidR="00FE7805" w:rsidRPr="001C1E75">
        <w:rPr>
          <w:rFonts w:ascii="Times" w:hAnsi="Times" w:cs="Arial"/>
          <w:b/>
          <w:noProof/>
          <w:u w:val="single"/>
          <w:lang w:val="en-US"/>
        </w:rPr>
        <w:t xml:space="preserve">, when stimulation conditions were </w:t>
      </w:r>
      <w:r w:rsidR="00E86FDC" w:rsidRPr="001C1E75">
        <w:rPr>
          <w:rFonts w:ascii="Times" w:hAnsi="Times" w:cs="Arial"/>
          <w:b/>
          <w:noProof/>
          <w:u w:val="single"/>
          <w:lang w:val="en-US"/>
        </w:rPr>
        <w:t>directly compared</w:t>
      </w:r>
      <w:r w:rsidR="00FD36A5" w:rsidRPr="001C1E75">
        <w:rPr>
          <w:rFonts w:ascii="Times" w:hAnsi="Times" w:cs="Arial"/>
          <w:b/>
          <w:noProof/>
          <w:u w:val="single"/>
          <w:lang w:val="en-US"/>
        </w:rPr>
        <w:t>.</w:t>
      </w:r>
      <w:r w:rsidR="00FD36A5" w:rsidRPr="002302AF">
        <w:rPr>
          <w:rFonts w:ascii="Times" w:hAnsi="Times" w:cs="Arial"/>
          <w:noProof/>
          <w:lang w:val="en-US"/>
        </w:rPr>
        <w:t xml:space="preserve"> </w:t>
      </w:r>
      <w:r w:rsidRPr="002302AF">
        <w:rPr>
          <w:rFonts w:ascii="Times" w:hAnsi="Times" w:cs="Arial"/>
          <w:noProof/>
          <w:lang w:val="en-US"/>
        </w:rPr>
        <w:t xml:space="preserve">Furthermore, the effects </w:t>
      </w:r>
      <w:r w:rsidR="00897C15" w:rsidRPr="002302AF">
        <w:rPr>
          <w:rFonts w:ascii="Times" w:hAnsi="Times" w:cs="Arial"/>
          <w:noProof/>
          <w:lang w:val="en-US"/>
        </w:rPr>
        <w:t xml:space="preserve">of tDCS </w:t>
      </w:r>
      <w:r w:rsidRPr="002302AF">
        <w:rPr>
          <w:rFonts w:ascii="Times" w:hAnsi="Times" w:cs="Arial"/>
          <w:noProof/>
          <w:lang w:val="en-US"/>
        </w:rPr>
        <w:t>were only observed when cognitive load was high i.e. during more demanding numerical processing and when attentional demands were increased because of prolonged task performance.</w:t>
      </w:r>
    </w:p>
    <w:p w14:paraId="6D35A225" w14:textId="77777777" w:rsidR="00432DB1" w:rsidRPr="002302AF" w:rsidRDefault="00432DB1" w:rsidP="005374CB">
      <w:pPr>
        <w:spacing w:line="480" w:lineRule="auto"/>
        <w:jc w:val="both"/>
        <w:rPr>
          <w:rFonts w:ascii="Times" w:hAnsi="Times"/>
        </w:rPr>
      </w:pPr>
    </w:p>
    <w:p w14:paraId="216DD60D" w14:textId="322CE3CD" w:rsidR="00383308" w:rsidRPr="002302AF" w:rsidRDefault="00D14091" w:rsidP="005374CB">
      <w:pPr>
        <w:spacing w:line="480" w:lineRule="auto"/>
        <w:jc w:val="both"/>
        <w:rPr>
          <w:rFonts w:ascii="Times" w:hAnsi="Times" w:cs="Arial"/>
          <w:noProof/>
          <w:lang w:val="en-US"/>
        </w:rPr>
      </w:pPr>
      <w:r w:rsidRPr="002302AF">
        <w:rPr>
          <w:rFonts w:ascii="Times" w:hAnsi="Times" w:cs="Arial"/>
          <w:noProof/>
          <w:lang w:val="en-US"/>
        </w:rPr>
        <w:t xml:space="preserve">The P3/P4 electrode positions we used overlie the </w:t>
      </w:r>
      <w:r w:rsidR="00195EF1" w:rsidRPr="002302AF">
        <w:rPr>
          <w:rFonts w:ascii="Times" w:hAnsi="Times" w:cs="Arial"/>
          <w:noProof/>
          <w:lang w:val="en-US"/>
        </w:rPr>
        <w:t xml:space="preserve">inferior </w:t>
      </w:r>
      <w:r w:rsidRPr="002302AF">
        <w:rPr>
          <w:rFonts w:ascii="Times" w:hAnsi="Times" w:cs="Arial"/>
          <w:noProof/>
          <w:lang w:val="en-US"/>
        </w:rPr>
        <w:t xml:space="preserve">parietal cortex </w:t>
      </w:r>
      <w:r w:rsidRPr="002302AF">
        <w:rPr>
          <w:rFonts w:ascii="Times" w:hAnsi="Times" w:cs="Arial"/>
          <w:noProof/>
          <w:lang w:val="en-US"/>
        </w:rPr>
        <w:fldChar w:fldCharType="begin" w:fldLock="1"/>
      </w:r>
      <w:r w:rsidRPr="002302AF">
        <w:rPr>
          <w:rFonts w:ascii="Times" w:hAnsi="Times" w:cs="Arial"/>
          <w:noProof/>
          <w:lang w:val="en-US"/>
        </w:rPr>
        <w:instrText>ADDIN CSL_CITATION { "citationItems" : [ { "id" : "ITEM-1", "itemData" : { "author" : [ { "dropping-particle" : "", "family" : "Kim", "given" : "Daeyoung", "non-dropping-particle" : "", "parse-names" : false, "suffix" : "" }, { "dropping-particle" : "", "family" : "Kim", "given" : "Sun Wha", "non-dropping-particle" : "", "parse-names" : false, "suffix" : "" }, { "dropping-particle" : "", "family" : "Joo", "given" : "Eun Yeon", "non-dropping-particle" : "", "parse-names" : false, "suffix" : "" } ], "container-title" : "Neurology Asia", "id" : "ITEM-1", "issue" : "Supplement 1", "issued" : { "date-parts" : [ [ "2007" ] ] }, "page" : "2195", "title" : "Cortical localization of scalp electrodes on three-dimensional brain surface using frameless stereotactic image guidance system", "type" : "article-journal", "volume" : "12" }, "uris" : [ "http://www.mendeley.com/documents/?uuid=5f4c8cff-ab2c-4151-ac28-0cafa8926102" ] } ], "mendeley" : { "formattedCitation" : "(Kim et al. 2007)", "plainTextFormattedCitation" : "(Kim et al. 2007)", "previouslyFormattedCitation" : "(Kim et al. 2007)" }, "properties" : { "noteIndex" : 0 }, "schema" : "https://github.com/citation-style-language/schema/raw/master/csl-citation.json" }</w:instrText>
      </w:r>
      <w:r w:rsidRPr="002302AF">
        <w:rPr>
          <w:rFonts w:ascii="Times" w:hAnsi="Times" w:cs="Arial"/>
          <w:noProof/>
          <w:lang w:val="en-US"/>
        </w:rPr>
        <w:fldChar w:fldCharType="separate"/>
      </w:r>
      <w:r w:rsidRPr="002302AF">
        <w:rPr>
          <w:rFonts w:ascii="Times" w:hAnsi="Times" w:cs="Arial"/>
          <w:noProof/>
          <w:lang w:val="en-US"/>
        </w:rPr>
        <w:t>(Kim et al. 2007)</w:t>
      </w:r>
      <w:r w:rsidRPr="002302AF">
        <w:rPr>
          <w:rFonts w:ascii="Times" w:hAnsi="Times" w:cs="Arial"/>
          <w:noProof/>
          <w:lang w:val="en-US"/>
        </w:rPr>
        <w:fldChar w:fldCharType="end"/>
      </w:r>
      <w:r w:rsidRPr="002302AF">
        <w:rPr>
          <w:rFonts w:ascii="Times" w:hAnsi="Times" w:cs="Arial"/>
          <w:noProof/>
          <w:lang w:val="en-US"/>
        </w:rPr>
        <w:t>.</w:t>
      </w:r>
      <w:r w:rsidR="00265000" w:rsidRPr="002302AF">
        <w:rPr>
          <w:rFonts w:ascii="Times" w:hAnsi="Times" w:cs="Arial"/>
          <w:noProof/>
          <w:lang w:val="en-US"/>
        </w:rPr>
        <w:t xml:space="preserve"> Therefore, the</w:t>
      </w:r>
      <w:r w:rsidR="00BC1B54" w:rsidRPr="002302AF">
        <w:rPr>
          <w:rFonts w:ascii="Times" w:hAnsi="Times" w:cs="Arial"/>
          <w:noProof/>
          <w:lang w:val="en-US"/>
        </w:rPr>
        <w:t xml:space="preserve"> </w:t>
      </w:r>
      <w:r w:rsidR="00093A37" w:rsidRPr="002302AF">
        <w:rPr>
          <w:rFonts w:ascii="Times" w:hAnsi="Times" w:cs="Arial"/>
          <w:noProof/>
          <w:lang w:val="en-US"/>
        </w:rPr>
        <w:t xml:space="preserve">most straightforward </w:t>
      </w:r>
      <w:r w:rsidR="00BC1B54" w:rsidRPr="002302AF">
        <w:rPr>
          <w:rFonts w:ascii="Times" w:hAnsi="Times" w:cs="Arial"/>
          <w:noProof/>
          <w:lang w:val="en-US"/>
        </w:rPr>
        <w:t xml:space="preserve">explanation of why RA/LC tDCS impaired performance on the number comparison task is that cathodal stimulation inhibited </w:t>
      </w:r>
      <w:r w:rsidR="00B60A29" w:rsidRPr="002302AF">
        <w:rPr>
          <w:rFonts w:ascii="Times" w:hAnsi="Times" w:cs="Arial"/>
          <w:noProof/>
          <w:lang w:val="en-US"/>
        </w:rPr>
        <w:t xml:space="preserve">the left </w:t>
      </w:r>
      <w:r w:rsidR="00BC1B54" w:rsidRPr="002302AF">
        <w:rPr>
          <w:rFonts w:ascii="Times" w:hAnsi="Times" w:cs="Arial"/>
          <w:noProof/>
          <w:lang w:val="en-US"/>
        </w:rPr>
        <w:t xml:space="preserve">inferior parietal lobule (IPL)/angular gyrus (AG), </w:t>
      </w:r>
      <w:r w:rsidR="00AF3D4F" w:rsidRPr="002302AF">
        <w:rPr>
          <w:rFonts w:ascii="Times" w:hAnsi="Times" w:cs="Arial"/>
          <w:noProof/>
          <w:lang w:val="en-US"/>
        </w:rPr>
        <w:t xml:space="preserve">which </w:t>
      </w:r>
      <w:r w:rsidR="003E1628" w:rsidRPr="002302AF">
        <w:rPr>
          <w:rFonts w:ascii="Times" w:hAnsi="Times" w:cs="Arial"/>
          <w:noProof/>
          <w:lang w:val="en-US"/>
        </w:rPr>
        <w:t>subserve</w:t>
      </w:r>
      <w:r w:rsidR="00BC1B54" w:rsidRPr="002302AF">
        <w:rPr>
          <w:rFonts w:ascii="Times" w:hAnsi="Times" w:cs="Arial"/>
          <w:noProof/>
          <w:lang w:val="en-US"/>
        </w:rPr>
        <w:t xml:space="preserve"> numerical processing </w:t>
      </w:r>
      <w:r w:rsidR="00BC1B54" w:rsidRPr="002302AF">
        <w:rPr>
          <w:rFonts w:ascii="Times" w:hAnsi="Times" w:cs="Arial"/>
          <w:noProof/>
          <w:lang w:val="en-US"/>
        </w:rPr>
        <w:fldChar w:fldCharType="begin" w:fldLock="1"/>
      </w:r>
      <w:r w:rsidR="00BC1B54" w:rsidRPr="002302AF">
        <w:rPr>
          <w:rFonts w:ascii="Times" w:hAnsi="Times" w:cs="Arial"/>
          <w:noProof/>
          <w:lang w:val="en-US"/>
        </w:rPr>
        <w:instrText>ADDIN CSL_CITATION { "citationItems" : [ { "id" : "ITEM-1", "itemData" : { "DOI" : "10.1016/j.neuropsychologia.2004.05.005", "ISSN" : "0028-3932", "abstract" : "Number processing is known to involve several sites within the posterior regions of parietal cortex. Here, we investigated whether neural activity in the inferior parietal lobule (IPL) is essential for number processing, by observing the effects of interfering with its activity during the execution of a standard number comparison task. Subjects performance on the task was significantly slowed down when we delivered trains of repetitive transcranial magnetic stimuli (rTMS) to the posterior parietal scalp site overlying the left IPL, while rTMS did not affect the number comparison task if delivered to homologous, contralateral (right) IPL. In conclusion, the present findings add support to a growing body of evidence from neuropsychology and neuroimaging studies that the left inferior parietal lobule is an important component of the networks subserving the representation of quantity.", "author" : [ { "dropping-particle" : "", "family" : "Sandrini", "given" : "M", "non-dropping-particle" : "", "parse-names" : false, "suffix" : "" }, { "dropping-particle" : "", "family" : "Rossini", "given" : "P M", "non-dropping-particle" : "", "parse-names" : false, "suffix" : "" }, { "dropping-particle" : "", "family" : "Miniussi", "given" : "C", "non-dropping-particle" : "", "parse-names" : false, "suffix" : "" } ], "container-title" : "Neuropsychologia", "id" : "ITEM-1", "issued" : { "date-parts" : [ [ "2004" ] ] }, "language" : "eng", "page" : "1902-1909", "title" : "The differential involvement of inferior parietal lobule in number comparison: a rTMS study", "type" : "article-journal", "volume" : "42" }, "uris" : [ "http://www.mendeley.com/documents/?uuid=2c427811-2d91-41fd-84cf-818f51ae95f1" ] }, { "id" : "ITEM-2", "itemData" : { "DOI" : "10.1006/nimg.2001.0927", "ISBN" : "1053-8119 (Print)\\r1053-8119 (Linking)", "ISSN" : "1053-8119", "PMID" : "11707084", "abstract" : "To investigate the hemispheric organization of a language-independent spatial representation of number magnitude in the human brain we applied focal repetitive transcranial magnetic stimulation (rTMS) to the right or left angular gyrus while subjects performed a number comparison task with numbers between 31 and 99. Repetitive TMS over the angular gyrus disrupted performance of a visuospatial search task, and rTMS at the same site disrupted organization of the putative \"number line.\" In some cases the pattern of disruption caused by angular gyrus rTMS suggested that this area normally mediates a spatial representation of number. The effect of angular gyrus rTMS on the number line task was specific. rTMS had no disruptive effect when delivered over another parietal region, the supramarginal gyrus, in either the left or the right hemisphere.", "author" : [ { "dropping-particle" : "", "family" : "G\u00f6bel", "given" : "S", "non-dropping-particle" : "", "parse-names" : false, "suffix" : "" }, { "dropping-particle" : "", "family" : "Walsh", "given" : "V", "non-dropping-particle" : "", "parse-names" : false, "suffix" : "" }, { "dropping-particle" : "", "family" : "Rushworth", "given" : "M F", "non-dropping-particle" : "", "parse-names" : false, "suffix" : "" } ], "container-title" : "NeuroImage", "id" : "ITEM-2", "issued" : { "date-parts" : [ [ "2001" ] ] }, "page" : "1278-1289", "title" : "The mental number line and the human angular gyrus.", "type" : "article-journal", "volume" : "14" }, "uris" : [ "http://www.mendeley.com/documents/?uuid=296fe727-0f55-4e92-bd28-061ea2034a9d" ] } ], "mendeley" : { "formattedCitation" : "(Sandrini et al. 2004; G\u00f6bel et al. 2001)", "plainTextFormattedCitation" : "(Sandrini et al. 2004; G\u00f6bel et al. 2001)", "previouslyFormattedCitation" : "(Sandrini et al. 2004; G\u00f6bel et al. 2001)" }, "properties" : { "noteIndex" : 0 }, "schema" : "https://github.com/citation-style-language/schema/raw/master/csl-citation.json" }</w:instrText>
      </w:r>
      <w:r w:rsidR="00BC1B54" w:rsidRPr="002302AF">
        <w:rPr>
          <w:rFonts w:ascii="Times" w:hAnsi="Times" w:cs="Arial"/>
          <w:noProof/>
          <w:lang w:val="en-US"/>
        </w:rPr>
        <w:fldChar w:fldCharType="separate"/>
      </w:r>
      <w:r w:rsidR="00BC1B54" w:rsidRPr="002302AF">
        <w:rPr>
          <w:rFonts w:ascii="Times" w:hAnsi="Times" w:cs="Arial"/>
          <w:noProof/>
          <w:lang w:val="en-US"/>
        </w:rPr>
        <w:t>(Sandrini et al. 2004; Göbel et al. 2001)</w:t>
      </w:r>
      <w:r w:rsidR="00BC1B54" w:rsidRPr="002302AF">
        <w:rPr>
          <w:rFonts w:ascii="Times" w:hAnsi="Times" w:cs="Arial"/>
          <w:noProof/>
          <w:lang w:val="en-US"/>
        </w:rPr>
        <w:fldChar w:fldCharType="end"/>
      </w:r>
      <w:r w:rsidR="00BC1B54" w:rsidRPr="002302AF">
        <w:rPr>
          <w:rFonts w:ascii="Times" w:hAnsi="Times" w:cs="Arial"/>
          <w:noProof/>
          <w:lang w:val="en-US"/>
        </w:rPr>
        <w:t xml:space="preserve">. </w:t>
      </w:r>
      <w:r w:rsidR="00387106" w:rsidRPr="002302AF">
        <w:rPr>
          <w:rFonts w:ascii="Times" w:hAnsi="Times" w:cs="Arial"/>
          <w:noProof/>
          <w:lang w:val="en-US"/>
        </w:rPr>
        <w:t>L</w:t>
      </w:r>
      <w:r w:rsidR="005029F1" w:rsidRPr="002302AF">
        <w:rPr>
          <w:rFonts w:ascii="Times" w:hAnsi="Times" w:cs="Arial"/>
          <w:noProof/>
          <w:lang w:val="en-US"/>
        </w:rPr>
        <w:t xml:space="preserve">esions within the left hemisphere often produce impairments of numerical processing </w:t>
      </w:r>
      <w:r w:rsidR="000E12BC" w:rsidRPr="002302AF">
        <w:rPr>
          <w:rFonts w:ascii="Times" w:hAnsi="Times" w:cs="Arial"/>
          <w:noProof/>
          <w:lang w:val="en-US"/>
        </w:rPr>
        <w:fldChar w:fldCharType="begin" w:fldLock="1"/>
      </w:r>
      <w:r w:rsidR="00B260BF" w:rsidRPr="002302AF">
        <w:rPr>
          <w:rFonts w:ascii="Times" w:hAnsi="Times" w:cs="Arial"/>
          <w:noProof/>
          <w:lang w:val="en-US"/>
        </w:rPr>
        <w:instrText>ADDIN CSL_CITATION { "citationItems" : [ { "id" : "ITEM-1", "itemData" : { "DOI" : "10.5455/aim.2012.20.242-243", "ISSN" : "0353-8109", "author" : [ { "dropping-particle" : "", "family" : "Zukic", "given" : "Sanela", "non-dropping-particle" : "", "parse-names" : false, "suffix" : "" }, { "dropping-particle" : "", "family" : "Mrkonjic", "given" : "Zamir", "non-dropping-particle" : "", "parse-names" : false, "suffix" : "" }, { "dropping-particle" : "", "family" : "Sinanovic", "given" : "Osman", "non-dropping-particle" : "", "parse-names" : false, "suffix" : "" }, { "dropping-particle" : "", "family" : "Vidovic", "given" : "Mirjana", "non-dropping-particle" : "", "parse-names" : false, "suffix" : "" }, { "dropping-particle" : "", "family" : "Kojic", "given" : "Biljana", "non-dropping-particle" : "", "parse-names" : false, "suffix" : "" } ], "container-title" : "Acta Informatica Medica", "id" : "ITEM-1", "issue" : "September", "issued" : { "date-parts" : [ [ "2012" ] ] }, "page" : "242", "title" : "Gerstmann&amp;#146;s Syndrome in Acute Stroke Patients", "type" : "article-journal", "volume" : "20" }, "uris" : [ "http://www.mendeley.com/documents/?uuid=008ae47b-2523-40df-82a2-8f31ea3f29be" ] } ], "mendeley" : { "formattedCitation" : "(Zukic et al. 2012)", "plainTextFormattedCitation" : "(Zukic et al. 2012)", "previouslyFormattedCitation" : "(Zukic et al. 2012)" }, "properties" : { "noteIndex" : 0 }, "schema" : "https://github.com/citation-style-language/schema/raw/master/csl-citation.json" }</w:instrText>
      </w:r>
      <w:r w:rsidR="000E12BC" w:rsidRPr="002302AF">
        <w:rPr>
          <w:rFonts w:ascii="Times" w:hAnsi="Times" w:cs="Arial"/>
          <w:noProof/>
          <w:lang w:val="en-US"/>
        </w:rPr>
        <w:fldChar w:fldCharType="separate"/>
      </w:r>
      <w:r w:rsidR="00255F1F" w:rsidRPr="002302AF">
        <w:rPr>
          <w:rFonts w:ascii="Times" w:hAnsi="Times" w:cs="Arial"/>
          <w:noProof/>
          <w:lang w:val="en-US"/>
        </w:rPr>
        <w:t>(Zukic et al. 2012)</w:t>
      </w:r>
      <w:r w:rsidR="000E12BC" w:rsidRPr="002302AF">
        <w:rPr>
          <w:rFonts w:ascii="Times" w:hAnsi="Times" w:cs="Arial"/>
          <w:noProof/>
          <w:lang w:val="en-US"/>
        </w:rPr>
        <w:fldChar w:fldCharType="end"/>
      </w:r>
      <w:r w:rsidR="00867009" w:rsidRPr="002302AF">
        <w:rPr>
          <w:rFonts w:ascii="Times" w:hAnsi="Times" w:cs="Arial"/>
          <w:noProof/>
          <w:lang w:val="en-US"/>
        </w:rPr>
        <w:t xml:space="preserve"> and </w:t>
      </w:r>
      <w:r w:rsidR="003E1628" w:rsidRPr="002302AF">
        <w:rPr>
          <w:rFonts w:ascii="Times" w:hAnsi="Times" w:cs="Arial"/>
          <w:noProof/>
          <w:lang w:val="en-US"/>
        </w:rPr>
        <w:t xml:space="preserve">transcranial magnetic stimulation (TMS) studies have shown that </w:t>
      </w:r>
      <w:r w:rsidR="00892CD1" w:rsidRPr="002302AF">
        <w:rPr>
          <w:rFonts w:ascii="Times" w:hAnsi="Times" w:cs="Arial"/>
          <w:noProof/>
          <w:lang w:val="en-US"/>
        </w:rPr>
        <w:t xml:space="preserve">inhibitory </w:t>
      </w:r>
      <w:r w:rsidR="003E1628" w:rsidRPr="002302AF">
        <w:rPr>
          <w:rFonts w:ascii="Times" w:hAnsi="Times" w:cs="Arial"/>
          <w:noProof/>
          <w:lang w:val="en-US"/>
        </w:rPr>
        <w:t>TMS</w:t>
      </w:r>
      <w:r w:rsidR="00110808" w:rsidRPr="002302AF">
        <w:rPr>
          <w:rFonts w:ascii="Times" w:hAnsi="Times" w:cs="Arial"/>
          <w:noProof/>
          <w:lang w:val="en-US"/>
        </w:rPr>
        <w:t xml:space="preserve"> applied </w:t>
      </w:r>
      <w:r w:rsidR="000F525F" w:rsidRPr="002302AF">
        <w:rPr>
          <w:rFonts w:ascii="Times" w:hAnsi="Times" w:cs="Arial"/>
          <w:noProof/>
          <w:lang w:val="en-US"/>
        </w:rPr>
        <w:t>to</w:t>
      </w:r>
      <w:r w:rsidR="00187359" w:rsidRPr="002302AF">
        <w:rPr>
          <w:rFonts w:ascii="Times" w:hAnsi="Times" w:cs="Arial"/>
          <w:noProof/>
          <w:lang w:val="en-US"/>
        </w:rPr>
        <w:t xml:space="preserve"> the left parietal lobe</w:t>
      </w:r>
      <w:r w:rsidR="006677CB" w:rsidRPr="002302AF">
        <w:rPr>
          <w:rFonts w:ascii="Times" w:hAnsi="Times" w:cs="Arial"/>
          <w:noProof/>
          <w:lang w:val="en-US"/>
        </w:rPr>
        <w:t xml:space="preserve"> </w:t>
      </w:r>
      <w:r w:rsidR="001C184B" w:rsidRPr="002302AF">
        <w:rPr>
          <w:rFonts w:ascii="Times" w:hAnsi="Times" w:cs="Arial"/>
          <w:noProof/>
          <w:lang w:val="en-US"/>
        </w:rPr>
        <w:t xml:space="preserve">can </w:t>
      </w:r>
      <w:r w:rsidR="006677CB" w:rsidRPr="002302AF">
        <w:rPr>
          <w:rFonts w:ascii="Times" w:hAnsi="Times" w:cs="Arial"/>
          <w:noProof/>
          <w:lang w:val="en-US"/>
        </w:rPr>
        <w:t>disrupt</w:t>
      </w:r>
      <w:r w:rsidR="000F525F" w:rsidRPr="002302AF">
        <w:rPr>
          <w:rFonts w:ascii="Times" w:hAnsi="Times" w:cs="Arial"/>
          <w:noProof/>
          <w:lang w:val="en-US"/>
        </w:rPr>
        <w:t xml:space="preserve"> performance on</w:t>
      </w:r>
      <w:r w:rsidR="00110808" w:rsidRPr="002302AF">
        <w:rPr>
          <w:rFonts w:ascii="Times" w:hAnsi="Times" w:cs="Arial"/>
          <w:noProof/>
          <w:lang w:val="en-US"/>
        </w:rPr>
        <w:t xml:space="preserve"> </w:t>
      </w:r>
      <w:r w:rsidR="00187359" w:rsidRPr="002302AF">
        <w:rPr>
          <w:rFonts w:ascii="Times" w:hAnsi="Times" w:cs="Arial"/>
          <w:noProof/>
          <w:lang w:val="en-US"/>
        </w:rPr>
        <w:t xml:space="preserve">number comparison tasks </w:t>
      </w:r>
      <w:r w:rsidR="00187359" w:rsidRPr="002302AF">
        <w:rPr>
          <w:rFonts w:ascii="Times" w:hAnsi="Times" w:cs="Arial"/>
          <w:noProof/>
          <w:lang w:val="en-US"/>
        </w:rPr>
        <w:fldChar w:fldCharType="begin" w:fldLock="1"/>
      </w:r>
      <w:r w:rsidR="00B260BF" w:rsidRPr="002302AF">
        <w:rPr>
          <w:rFonts w:ascii="Times" w:hAnsi="Times" w:cs="Arial"/>
          <w:noProof/>
          <w:lang w:val="en-US"/>
        </w:rPr>
        <w:instrText>ADDIN CSL_CITATION { "citationItems" : [ { "id" : "ITEM-1", "itemData" : { "DOI" : "10.1016/j.neuropsychologia.2004.05.005", "ISSN" : "0028-3932", "abstract" : "Number processing is known to involve several sites within the posterior regions of parietal cortex. Here, we investigated whether neural activity in the inferior parietal lobule (IPL) is essential for number processing, by observing the effects of interfering with its activity during the execution of a standard number comparison task. Subjects performance on the task was significantly slowed down when we delivered trains of repetitive transcranial magnetic stimuli (rTMS) to the posterior parietal scalp site overlying the left IPL, while rTMS did not affect the number comparison task if delivered to homologous, contralateral (right) IPL. In conclusion, the present findings add support to a growing body of evidence from neuropsychology and neuroimaging studies that the left inferior parietal lobule is an important component of the networks subserving the representation of quantity.", "author" : [ { "dropping-particle" : "", "family" : "Sandrini", "given" : "M", "non-dropping-particle" : "", "parse-names" : false, "suffix" : "" }, { "dropping-particle" : "", "family" : "Rossini", "given" : "P M", "non-dropping-particle" : "", "parse-names" : false, "suffix" : "" }, { "dropping-particle" : "", "family" : "Miniussi", "given" : "C", "non-dropping-particle" : "", "parse-names" : false, "suffix" : "" } ], "container-title" : "Neuropsychologia", "id" : "ITEM-1", "issued" : { "date-parts" : [ [ "2004" ] ] }, "language" : "eng", "page" : "1902-1909", "title" : "The differential involvement of inferior parietal lobule in number comparison: a rTMS study", "type" : "article-journal", "volume" : "42" }, "uris" : [ "http://www.mendeley.com/documents/?uuid=2c427811-2d91-41fd-84cf-818f51ae95f1" ] }, { "id" : "ITEM-2", "itemData" : { "DOI" : "10.1007/s00221-006-0820-0.rTMS", "author" : [ { "dropping-particle" : "", "family" : "Cappelletti", "given" : "Marinella", "non-dropping-particle" : "", "parse-names" : false, "suffix" : "" }, { "dropping-particle" : "", "family" : "Barth", "given" : "Hilary", "non-dropping-particle" : "", "parse-names" : false, "suffix" : "" }, { "dropping-particle" : "", "family" : "Spelke", "given" : "Elizabeth S", "non-dropping-particle" : "", "parse-names" : false, "suffix" : "" } ], "container-title" : "Experimental brain research", "id" : "ITEM-2", "issue" : "4", "issued" : { "date-parts" : [ [ "2008" ] ] }, "page" : "631-642", "title" : "rTMS over the intraparietal sulcus disrupts numerosity processing", "type" : "article-journal", "volume" : "179" }, "uris" : [ "http://www.mendeley.com/documents/?uuid=72fa994b-1f1b-4187-b0d4-4aed1faf185e" ] }, { "id" : "ITEM-3", "itemData" : { "DOI" : "10.1006/nimg.2001.0927", "ISBN" : "1053-8119 (Print)\\r1053-8119 (Linking)", "ISSN" : "1053-8119", "PMID" : "11707084", "abstract" : "To investigate the hemispheric organization of a language-independent spatial representation of number magnitude in the human brain we applied focal repetitive transcranial magnetic stimulation (rTMS) to the right or left angular gyrus while subjects performed a number comparison task with numbers between 31 and 99. Repetitive TMS over the angular gyrus disrupted performance of a visuospatial search task, and rTMS at the same site disrupted organization of the putative \"number line.\" In some cases the pattern of disruption caused by angular gyrus rTMS suggested that this area normally mediates a spatial representation of number. The effect of angular gyrus rTMS on the number line task was specific. rTMS had no disruptive effect when delivered over another parietal region, the supramarginal gyrus, in either the left or the right hemisphere.", "author" : [ { "dropping-particle" : "", "family" : "G\u00f6bel", "given" : "S", "non-dropping-particle" : "", "parse-names" : false, "suffix" : "" }, { "dropping-particle" : "", "family" : "Walsh", "given" : "V", "non-dropping-particle" : "", "parse-names" : false, "suffix" : "" }, { "dropping-particle" : "", "family" : "Rushworth", "given" : "M F", "non-dropping-particle" : "", "parse-names" : false, "suffix" : "" } ], "container-title" : "NeuroImage", "id" : "ITEM-3", "issued" : { "date-parts" : [ [ "2001" ] ] }, "page" : "1278-1289", "title" : "The mental number line and the human angular gyrus.", "type" : "article-journal", "volume" : "14" }, "uris" : [ "http://www.mendeley.com/documents/?uuid=296fe727-0f55-4e92-bd28-061ea2034a9d" ] }, { "id" : "ITEM-4", "itemData" : { "DOI" : "10.1016/j.cogbrainres.2005.06.002", "ISSN" : "0926-6410", "abstract" : "In order to clarify the respective contribution of the right and left posterior parietal cortex (PPC) to number comparison, transcranial magnetic stimulation (TMS) was used to disrupt PPC processing in subjects instructed to determine whether a digit was smaller or larger than 5. Single pulse TMS was applied over the PPC, either unilaterally or bilaterally, 150, 200, or 250 ms after digit presentation. Sham TMS was used as a control condition to take into account the unspecific effects of TMS on reaction time (RT). The main finding of the present study is a significant increase in RTs when comparing digits close to 5 following a disruption either of the left PPC alone or of both PPC simultaneously. The comparison of digits far from 5 was unaltered by disrupting only one PPC but RTs were found increased after bilateral PPC stimulation. These disruptive effects were observed irrespective of the TMS delay. We concluded that coding precise numerical values requires the integrity of the left PPC, as suggested by the deficit in discriminating close digits consequent to its disruption. In contrast, approximate comparisons can be processed either by the left or right PPC, since simultaneous bilateral TMS was needed to alter the comparison of digits far from 5.", "author" : [ { "dropping-particle" : "", "family" : "Andres", "given" : "M", "non-dropping-particle" : "", "parse-names" : false, "suffix" : "" }, { "dropping-particle" : "", "family" : "Seron", "given" : "X", "non-dropping-particle" : "", "parse-names" : false, "suffix" : "" }, { "dropping-particle" : "", "family" : "Olivier", "given" : "E", "non-dropping-particle" : "", "parse-names" : false, "suffix" : "" } ], "container-title" : "Brain Res Cogn Brain Res", "id" : "ITEM-4", "issued" : { "date-parts" : [ [ "2005" ] ] }, "language" : "eng", "page" : "283-290", "title" : "Hemispheric lateralization of number comparison", "type" : "article-journal", "volume" : "25" }, "uris" : [ "http://www.mendeley.com/documents/?uuid=f381e57b-608f-4b6f-bf33-fc69054870fc" ] } ], "mendeley" : { "formattedCitation" : "(Sandrini et al. 2004; Cappelletti et al. 2008; G\u00f6bel et al. 2001; Andres et al. 2005)", "plainTextFormattedCitation" : "(Sandrini et al. 2004; Cappelletti et al. 2008; G\u00f6bel et al. 2001; Andres et al. 2005)", "previouslyFormattedCitation" : "(Sandrini et al. 2004; Cappelletti et al. 2008; G\u00f6bel et al. 2001; Andres et al. 2005)" }, "properties" : { "noteIndex" : 0 }, "schema" : "https://github.com/citation-style-language/schema/raw/master/csl-citation.json" }</w:instrText>
      </w:r>
      <w:r w:rsidR="00187359" w:rsidRPr="002302AF">
        <w:rPr>
          <w:rFonts w:ascii="Times" w:hAnsi="Times" w:cs="Arial"/>
          <w:noProof/>
          <w:lang w:val="en-US"/>
        </w:rPr>
        <w:fldChar w:fldCharType="separate"/>
      </w:r>
      <w:r w:rsidR="00255F1F" w:rsidRPr="002302AF">
        <w:rPr>
          <w:rFonts w:ascii="Times" w:hAnsi="Times" w:cs="Arial"/>
          <w:noProof/>
          <w:lang w:val="en-US"/>
        </w:rPr>
        <w:t>(Sandrini et al. 2004; Cappelletti et al. 2008; Göbel et al. 2001; Andres et al. 2005)</w:t>
      </w:r>
      <w:r w:rsidR="00187359" w:rsidRPr="002302AF">
        <w:rPr>
          <w:rFonts w:ascii="Times" w:hAnsi="Times" w:cs="Arial"/>
          <w:noProof/>
          <w:lang w:val="en-US"/>
        </w:rPr>
        <w:fldChar w:fldCharType="end"/>
      </w:r>
      <w:r w:rsidR="00187359" w:rsidRPr="002302AF">
        <w:rPr>
          <w:rFonts w:ascii="Times" w:hAnsi="Times" w:cs="Arial"/>
          <w:noProof/>
          <w:lang w:val="en-US"/>
        </w:rPr>
        <w:t xml:space="preserve">. </w:t>
      </w:r>
      <w:r w:rsidR="007B5AD0" w:rsidRPr="002302AF">
        <w:rPr>
          <w:rFonts w:ascii="Times" w:hAnsi="Times" w:cs="Arial"/>
          <w:noProof/>
          <w:lang w:val="en-US"/>
        </w:rPr>
        <w:t>Additionally</w:t>
      </w:r>
      <w:r w:rsidR="005C584A" w:rsidRPr="002302AF">
        <w:rPr>
          <w:rFonts w:ascii="Times" w:hAnsi="Times" w:cs="Arial"/>
          <w:noProof/>
          <w:lang w:val="en-US"/>
        </w:rPr>
        <w:t>, left anodal parietal stimulation</w:t>
      </w:r>
      <w:r w:rsidR="00383308" w:rsidRPr="002302AF">
        <w:rPr>
          <w:rFonts w:ascii="Times" w:hAnsi="Times" w:cs="Arial"/>
          <w:noProof/>
          <w:lang w:val="en-US"/>
        </w:rPr>
        <w:t xml:space="preserve"> has been shown to</w:t>
      </w:r>
      <w:r w:rsidR="005C584A" w:rsidRPr="002302AF">
        <w:rPr>
          <w:rFonts w:ascii="Times" w:hAnsi="Times" w:cs="Arial"/>
          <w:noProof/>
          <w:lang w:val="en-US"/>
        </w:rPr>
        <w:t xml:space="preserve"> improve accuracy </w:t>
      </w:r>
      <w:r w:rsidR="00B41BC5" w:rsidRPr="002302AF">
        <w:rPr>
          <w:rFonts w:ascii="Times" w:hAnsi="Times" w:cs="Arial"/>
          <w:noProof/>
          <w:lang w:val="en-US"/>
        </w:rPr>
        <w:t xml:space="preserve">on </w:t>
      </w:r>
      <w:r w:rsidR="00AE4A5A" w:rsidRPr="002302AF">
        <w:rPr>
          <w:rFonts w:ascii="Times" w:hAnsi="Times" w:cs="Arial"/>
          <w:noProof/>
          <w:lang w:val="en-US"/>
        </w:rPr>
        <w:t xml:space="preserve">a </w:t>
      </w:r>
      <w:r w:rsidR="005C584A" w:rsidRPr="002302AF">
        <w:rPr>
          <w:rFonts w:ascii="Times" w:hAnsi="Times" w:cs="Arial"/>
          <w:noProof/>
          <w:lang w:val="en-US"/>
        </w:rPr>
        <w:t xml:space="preserve">number comparison task </w:t>
      </w:r>
      <w:r w:rsidR="008C3502" w:rsidRPr="002302AF">
        <w:rPr>
          <w:rFonts w:ascii="Times" w:hAnsi="Times" w:cs="Arial"/>
          <w:noProof/>
          <w:lang w:val="en-US"/>
        </w:rPr>
        <w:fldChar w:fldCharType="begin" w:fldLock="1"/>
      </w:r>
      <w:r w:rsidR="00876AE3" w:rsidRPr="002302AF">
        <w:rPr>
          <w:rFonts w:ascii="Times" w:hAnsi="Times" w:cs="Arial"/>
          <w:noProof/>
          <w:lang w:val="en-US"/>
        </w:rPr>
        <w:instrText>ADDIN CSL_CITATION { "citationItems" : [ { "id" : "ITEM-1", "itemData" : { "DOI" : "10.3389/fnhum.2013.00244", "ISSN" : "1662-5161", "PMID" : "23761750", "abstract" : "The ability to accurately process numerical magnitudes and solve mental arithmetic is of highest importance for schooling and professional career. Although impairments in these domains in disorders such as developmental dyscalculia (DD) are highly detrimental, remediation is still sparse. In recent years, transcranial brain stimulation methods such as transcranial Direct Current Stimulation (tDCS) have been suggested as a treatment for various neurologic and neuropsychiatric disorders. The posterior parietal cortex (PPC) is known to be crucially involved in numerical magnitude processing and mental arithmetic. In this study, we evaluated whether tDCS has a beneficial effect on numerical magnitude processing and mental arithmetic. Due to the unclear lateralization, we stimulated the left, right as well as both hemispheres simultaneously in two experiments. We found that left anodal tDCS significantly enhanced performance in a number comparison and a subtraction task, while bilateral and right anodal tDCS did not induce any improvements compared to sham. Our findings demonstrate that the left PPC is causally involved in numerical magnitude processing and mental arithmetic. Furthermore, we show that these cognitive functions can be enhanced by means of tDCS. These findings encourage to further investigate the beneficial effect of tDCS in the domain of mathematics in healthy and impaired humans.", "author" : [ { "dropping-particle" : "", "family" : "Hauser", "given" : "Tobias U", "non-dropping-particle" : "", "parse-names" : false, "suffix" : "" }, { "dropping-particle" : "", "family" : "Rotzer", "given" : "Stephanie", "non-dropping-particle" : "", "parse-names" : false, "suffix" : "" }, { "dropping-particle" : "", "family" : "Grabner", "given" : "Roland H", "non-dropping-particle" : "", "parse-names" : false, "suffix" : "" }, { "dropping-particle" : "", "family" : "M\u00e9rillat", "given" : "Susan", "non-dropping-particle" : "", "parse-names" : false, "suffix" : "" }, { "dropping-particle" : "", "family" : "J\u00e4ncke", "given" : "Lutz", "non-dropping-particle" : "", "parse-names" : false, "suffix" : "" } ], "container-title" : "Frontiers in human neuroscience", "id" : "ITEM-1", "issue" : "June", "issued" : { "date-parts" : [ [ "2013", "1" ] ] }, "page" : "244", "title" : "Enhancing performance in numerical magnitude processing and mental arithmetic using transcranial Direct Current Stimulation (tDCS).", "type" : "article-journal", "volume" : "7" }, "uris" : [ "http://www.mendeley.com/documents/?uuid=7857b040-4174-42c6-a82f-69287c5dec8a" ] } ], "mendeley" : { "formattedCitation" : "(Hauser et al. 2013)", "plainTextFormattedCitation" : "(Hauser et al. 2013)", "previouslyFormattedCitation" : "(Hauser et al. 2013)" }, "properties" : { "noteIndex" : 0 }, "schema" : "https://github.com/citation-style-language/schema/raw/master/csl-citation.json" }</w:instrText>
      </w:r>
      <w:r w:rsidR="008C3502" w:rsidRPr="002302AF">
        <w:rPr>
          <w:rFonts w:ascii="Times" w:hAnsi="Times" w:cs="Arial"/>
          <w:noProof/>
          <w:lang w:val="en-US"/>
        </w:rPr>
        <w:fldChar w:fldCharType="separate"/>
      </w:r>
      <w:r w:rsidR="008C3502" w:rsidRPr="002302AF">
        <w:rPr>
          <w:rFonts w:ascii="Times" w:hAnsi="Times" w:cs="Arial"/>
          <w:noProof/>
          <w:lang w:val="en-US"/>
        </w:rPr>
        <w:t>(Hauser et al. 2013)</w:t>
      </w:r>
      <w:r w:rsidR="008C3502" w:rsidRPr="002302AF">
        <w:rPr>
          <w:rFonts w:ascii="Times" w:hAnsi="Times" w:cs="Arial"/>
          <w:noProof/>
          <w:lang w:val="en-US"/>
        </w:rPr>
        <w:fldChar w:fldCharType="end"/>
      </w:r>
      <w:r w:rsidR="005C584A" w:rsidRPr="002302AF">
        <w:rPr>
          <w:rFonts w:ascii="Times" w:hAnsi="Times" w:cs="Arial"/>
          <w:noProof/>
          <w:lang w:val="en-US"/>
        </w:rPr>
        <w:t>.</w:t>
      </w:r>
    </w:p>
    <w:p w14:paraId="21928D29" w14:textId="77777777" w:rsidR="00383308" w:rsidRPr="002302AF" w:rsidRDefault="00383308" w:rsidP="005374CB">
      <w:pPr>
        <w:spacing w:line="480" w:lineRule="auto"/>
        <w:jc w:val="both"/>
        <w:rPr>
          <w:rFonts w:ascii="Times" w:hAnsi="Times" w:cs="Arial"/>
          <w:noProof/>
          <w:lang w:val="en-US"/>
        </w:rPr>
      </w:pPr>
    </w:p>
    <w:p w14:paraId="41D27B7B" w14:textId="3432A573" w:rsidR="00E32302" w:rsidRPr="002302AF" w:rsidRDefault="00623A94" w:rsidP="00DF2518">
      <w:pPr>
        <w:spacing w:line="480" w:lineRule="auto"/>
        <w:jc w:val="both"/>
        <w:rPr>
          <w:rFonts w:ascii="Times" w:hAnsi="Times" w:cs="Arial"/>
          <w:noProof/>
          <w:lang w:val="en-US"/>
        </w:rPr>
      </w:pPr>
      <w:r w:rsidRPr="002302AF">
        <w:rPr>
          <w:rFonts w:ascii="Times" w:hAnsi="Times" w:cs="Arial"/>
          <w:noProof/>
          <w:lang w:val="en-US"/>
        </w:rPr>
        <w:t xml:space="preserve">However, </w:t>
      </w:r>
      <w:r w:rsidR="00342445" w:rsidRPr="002302AF">
        <w:rPr>
          <w:rFonts w:ascii="Times" w:hAnsi="Times" w:cs="Arial"/>
          <w:noProof/>
          <w:lang w:val="en-US"/>
        </w:rPr>
        <w:t xml:space="preserve">this interpretation </w:t>
      </w:r>
      <w:r w:rsidR="00A1175B" w:rsidRPr="002302AF">
        <w:rPr>
          <w:rFonts w:ascii="Times" w:hAnsi="Times" w:cs="Arial"/>
          <w:noProof/>
          <w:lang w:val="en-US"/>
        </w:rPr>
        <w:t>may be too simplistic</w:t>
      </w:r>
      <w:r w:rsidR="00F60A07" w:rsidRPr="002302AF">
        <w:rPr>
          <w:rFonts w:ascii="Times" w:hAnsi="Times" w:cs="Arial"/>
          <w:noProof/>
          <w:lang w:val="en-US"/>
        </w:rPr>
        <w:t xml:space="preserve"> because numerical comparison tasks involving numbers, number words and even non-symbolic representations of numbers, such as collections of dots, consistently activate </w:t>
      </w:r>
      <w:r w:rsidR="00F60A07" w:rsidRPr="002302AF">
        <w:rPr>
          <w:rFonts w:ascii="Times" w:hAnsi="Times" w:cs="Arial"/>
          <w:i/>
          <w:noProof/>
          <w:lang w:val="en-US"/>
        </w:rPr>
        <w:t>bilateral</w:t>
      </w:r>
      <w:r w:rsidR="00F60A07" w:rsidRPr="002302AF">
        <w:rPr>
          <w:rFonts w:ascii="Times" w:hAnsi="Times" w:cs="Arial"/>
          <w:noProof/>
          <w:lang w:val="en-US"/>
        </w:rPr>
        <w:t xml:space="preserve"> posterior parietal cortices </w:t>
      </w:r>
      <w:r w:rsidR="00F60A07" w:rsidRPr="002302AF">
        <w:rPr>
          <w:rFonts w:ascii="Times" w:hAnsi="Times" w:cs="Arial"/>
          <w:noProof/>
          <w:lang w:val="en-US"/>
        </w:rPr>
        <w:fldChar w:fldCharType="begin" w:fldLock="1"/>
      </w:r>
      <w:r w:rsidR="00F60A07" w:rsidRPr="002302AF">
        <w:rPr>
          <w:rFonts w:ascii="Times" w:hAnsi="Times" w:cs="Arial"/>
          <w:noProof/>
          <w:lang w:val="en-US"/>
        </w:rPr>
        <w:instrText>ADDIN CSL_CITATION { "citationItems" : [ { "id" : "ITEM-1", "itemData" : { "DOI" : "10.1006/nimg.2001.0913", "ISBN" : "1053-8119", "ISSN" : "1053-8119", "PMID" : "11697933", "abstract" : "The time to compare two numbers shows additive effects of number notation and of semantic distance, suggesting that the comparison task can be decomposed into distinct stages of identification and semantic processing. Using event-related fMRI and high-density ERPs, we isolated cerebral areas where activation was influenced by input notation (verbal or Arabic notation). The bilateral extrastriate cortices and a left precentral region were more activated during verbal than during Arabic stimulation, while the right fusiform gyrus and a set of bilateral inferoparietal and frontal regions were more activated during Arabic than during verbal stimulation. We also identified areas that were influenced solely by the semantic content of the stimuli (numerical distance between numbers to be compared) independent of the input notation. Activation tightly correlated with numerical distance was observed mainly in a group of parietal areas distributed bilaterally along the intraparietal sulci and in the precuneus, as well as in the left middle temporal gyrus and posterior cingulate. Our results support the assumption of a central semantic representation of numerical quantity that relies on a common parietal network shared among notations.", "author" : [ { "dropping-particle" : "", "family" : "Pinel", "given" : "P", "non-dropping-particle" : "", "parse-names" : false, "suffix" : "" }, { "dropping-particle" : "", "family" : "Dehaene", "given" : "S", "non-dropping-particle" : "", "parse-names" : false, "suffix" : "" }, { "dropping-particle" : "", "family" : "Rivi\u00e8re", "given" : "D", "non-dropping-particle" : "", "parse-names" : false, "suffix" : "" }, { "dropping-particle" : "", "family" : "LeBihan", "given" : "D", "non-dropping-particle" : "", "parse-names" : false, "suffix" : "" } ], "container-title" : "NeuroImage", "id" : "ITEM-1", "issue" : "5", "issued" : { "date-parts" : [ [ "2001" ] ] }, "page" : "1013-1026", "title" : "Modulation of parietal activation by semantic distance in a number comparison task.", "type" : "article-journal", "volume" : "14" }, "uris" : [ "http://www.mendeley.com/documents/?uuid=3b512159-ab22-45d2-8570-2f14ec74f105" ] }, { "id" : "ITEM-2", "itemData" : { "DOI" : "10.1002/hbm.20896", "ISBN" : "1097-0193 (Electronic)\\r1065-9471 (Linking)", "ISSN" : "10659471", "PMID" : "19882648", "abstract" : "Numerical magnitudes are known to be processed in areas around the intraparietal sulci of the brain. We used an fMRI-adaptation paradigm to investigate how they are actually coded at the neural level. In a number identification task, we manipulated the numerical distance between prime and target numbers (same, close, and far pairs) and their symbolic notation (Arabic and verbal numerals). We show that bilateral parietal activations present a distance-dependent recovery of activation positively correlated with the distance between primes and targets: the larger the prime-target distance, the higher the recovery of activation. Importantly, this effect is only present for trials where an Arabic numeral precedes a verbal numeral and not the reverse. Together, these findings reveal the neural origin of the behavioral priming distance effect and demonstrate that the relative importance of the semantic and nonsemantic pathways in a dual-route model of number processing is modulated by symbolic notation.", "author" : [ { "dropping-particle" : "", "family" : "Notebaert", "given" : "Karolien", "non-dropping-particle" : "", "parse-names" : false, "suffix" : "" }, { "dropping-particle" : "", "family" : "Pesenti", "given" : "Mauro", "non-dropping-particle" : "", "parse-names" : false, "suffix" : "" }, { "dropping-particle" : "", "family" : "Reynvoet", "given" : "Bert", "non-dropping-particle" : "", "parse-names" : false, "suffix" : "" } ], "container-title" : "Human Brain Mapping", "id" : "ITEM-2", "issue" : "5", "issued" : { "date-parts" : [ [ "2010" ] ] }, "page" : "669-677", "title" : "The neural origin of the priming distance effect: Distance-dependent recovery of parietal activation using symbolic magnitudes", "type" : "article-journal", "volume" : "31" }, "uris" : [ "http://www.mendeley.com/documents/?uuid=0348b6a0-c2eb-4f3d-a67f-881824784b65" ] }, { "id" : "ITEM-3", "itemData" : { "DOI" : "10.1016/j.brainres.2005.10.083", "ISBN" : "0006-8993", "ISSN" : "00068993", "PMID" : "16359648", "abstract" : "A number of functional neuroimaging studies have revealed that regions in and around the intraparietal sulcus (IPS) are parametrically modulated by numerical distance, whereby there is an inverse relationship between distance and levels of activation. These areas are thus thought to contain the internal representation of numerical magnitude. Nevertheless, it has also been suggested that the IPS is involved in response selection during number comparison tasks rather than the representation of numerical magnitude per se. In order to test the independence of the effect of distance on cortical regions, we employed a passive viewing paradigm. Sixteen right-handed male participants viewed rapidly changing slides containing arrays of squares. By varying the distance between the numerosity presented in separate blocks (8 vs. 8, 8 vs. 12, and 8 vs. 16), we examined which regions exhibit a parametric effect of numerical distance. This analysis revealed such effects in the superior part of the IPS bilaterally as well as the superior parietal lobule and the supramarginal gyrus. In contrast, slides rapidly changing in area but not number (Area constant, Area ?? 1, and Area ?? 2) did not yield a parametric effect of distance in these regions. Instead, a reverse effect of area was found in a region of the calcarine sulcus. These findings suggest that areas in and around the IPS are involved in numerical magnitude discrimination in the absence of an explicit task and response requirements. ?? 2005 Elsevier B.V. All rights reserved.", "author" : [ { "dropping-particle" : "", "family" : "Ansari", "given" : "Daniel", "non-dropping-particle" : "", "parse-names" : false, "suffix" : "" }, { "dropping-particle" : "", "family" : "Dhital", "given" : "Bibek", "non-dropping-particle" : "", "parse-names" : false, "suffix" : "" }, { "dropping-particle" : "", "family" : "Siong", "given" : "Soon Chun", "non-dropping-particle" : "", "parse-names" : false, "suffix" : "" } ], "container-title" : "Brain Research", "id" : "ITEM-3", "issue" : "1", "issued" : { "date-parts" : [ [ "2006" ] ] }, "page" : "181-188", "title" : "Parametric effects of numerical distance on the intraparietal sulcus during passive viewing of rapid numerosity changes", "type" : "article-journal", "volume" : "1067" }, "uris" : [ "http://www.mendeley.com/documents/?uuid=a5798d63-2f7e-4941-ab8a-9f81f187c343" ] } ], "mendeley" : { "formattedCitation" : "(Pinel et al. 2001; Notebaert et al. 2010; Ansari et al. 2006)", "plainTextFormattedCitation" : "(Pinel et al. 2001; Notebaert et al. 2010; Ansari et al. 2006)", "previouslyFormattedCitation" : "(Pinel et al. 2001; Notebaert et al. 2010; Ansari et al. 2006)" }, "properties" : { "noteIndex" : 0 }, "schema" : "https://github.com/citation-style-language/schema/raw/master/csl-citation.json" }</w:instrText>
      </w:r>
      <w:r w:rsidR="00F60A07" w:rsidRPr="002302AF">
        <w:rPr>
          <w:rFonts w:ascii="Times" w:hAnsi="Times" w:cs="Arial"/>
          <w:noProof/>
          <w:lang w:val="en-US"/>
        </w:rPr>
        <w:fldChar w:fldCharType="separate"/>
      </w:r>
      <w:r w:rsidR="00F60A07" w:rsidRPr="002302AF">
        <w:rPr>
          <w:rFonts w:ascii="Times" w:hAnsi="Times" w:cs="Arial"/>
          <w:noProof/>
          <w:lang w:val="en-US"/>
        </w:rPr>
        <w:t>(Pinel et al. 2001; Notebaert et al. 2010; Ansari et al. 2006)</w:t>
      </w:r>
      <w:r w:rsidR="00F60A07" w:rsidRPr="002302AF">
        <w:rPr>
          <w:rFonts w:ascii="Times" w:hAnsi="Times" w:cs="Arial"/>
          <w:noProof/>
          <w:lang w:val="en-US"/>
        </w:rPr>
        <w:fldChar w:fldCharType="end"/>
      </w:r>
      <w:r w:rsidR="00F60A07" w:rsidRPr="002302AF">
        <w:rPr>
          <w:rFonts w:ascii="Times" w:hAnsi="Times" w:cs="Arial"/>
          <w:noProof/>
          <w:lang w:val="en-US"/>
        </w:rPr>
        <w:t>.</w:t>
      </w:r>
      <w:r w:rsidR="00DF2518" w:rsidRPr="002302AF">
        <w:rPr>
          <w:rFonts w:ascii="Times" w:hAnsi="Times" w:cs="Arial"/>
          <w:noProof/>
          <w:lang w:val="en-US"/>
        </w:rPr>
        <w:t xml:space="preserve"> Furthermore</w:t>
      </w:r>
      <w:r w:rsidR="00BF53EA" w:rsidRPr="002302AF">
        <w:rPr>
          <w:rFonts w:ascii="Times" w:hAnsi="Times" w:cs="Arial"/>
          <w:noProof/>
          <w:lang w:val="en-US"/>
        </w:rPr>
        <w:t>, a</w:t>
      </w:r>
      <w:r w:rsidR="004A685E" w:rsidRPr="002302AF">
        <w:rPr>
          <w:rFonts w:ascii="Times" w:hAnsi="Times" w:cs="Arial"/>
          <w:noProof/>
          <w:lang w:val="en-US"/>
        </w:rPr>
        <w:t xml:space="preserve"> behavioural and physiological distance effect is also observed in such numerical comparison tasks</w:t>
      </w:r>
      <w:r w:rsidR="00E862EB" w:rsidRPr="002302AF">
        <w:rPr>
          <w:rFonts w:ascii="Times" w:hAnsi="Times" w:cs="Arial"/>
          <w:noProof/>
          <w:lang w:val="en-US"/>
        </w:rPr>
        <w:t xml:space="preserve">, with </w:t>
      </w:r>
      <w:r w:rsidR="00E53DB4" w:rsidRPr="002302AF">
        <w:rPr>
          <w:rFonts w:ascii="Times" w:hAnsi="Times" w:cs="Arial"/>
          <w:noProof/>
          <w:lang w:val="en-US"/>
        </w:rPr>
        <w:t>smaller numerical distance</w:t>
      </w:r>
      <w:r w:rsidR="00E862EB" w:rsidRPr="002302AF">
        <w:rPr>
          <w:rFonts w:ascii="Times" w:hAnsi="Times" w:cs="Arial"/>
          <w:noProof/>
          <w:lang w:val="en-US"/>
        </w:rPr>
        <w:t>s</w:t>
      </w:r>
      <w:r w:rsidR="00E53DB4" w:rsidRPr="002302AF">
        <w:rPr>
          <w:rFonts w:ascii="Times" w:hAnsi="Times" w:cs="Arial"/>
          <w:noProof/>
          <w:lang w:val="en-US"/>
        </w:rPr>
        <w:t xml:space="preserve"> between stimuli result</w:t>
      </w:r>
      <w:r w:rsidR="00E862EB" w:rsidRPr="002302AF">
        <w:rPr>
          <w:rFonts w:ascii="Times" w:hAnsi="Times" w:cs="Arial"/>
          <w:noProof/>
          <w:lang w:val="en-US"/>
        </w:rPr>
        <w:t>ing</w:t>
      </w:r>
      <w:r w:rsidR="00E53DB4" w:rsidRPr="002302AF">
        <w:rPr>
          <w:rFonts w:ascii="Times" w:hAnsi="Times" w:cs="Arial"/>
          <w:noProof/>
          <w:lang w:val="en-US"/>
        </w:rPr>
        <w:t xml:space="preserve"> in stronger </w:t>
      </w:r>
      <w:r w:rsidR="00D862E3" w:rsidRPr="002302AF">
        <w:rPr>
          <w:rFonts w:ascii="Times" w:hAnsi="Times" w:cs="Arial"/>
          <w:noProof/>
          <w:lang w:val="en-US"/>
        </w:rPr>
        <w:t xml:space="preserve">biparietal </w:t>
      </w:r>
      <w:r w:rsidR="00360CA4" w:rsidRPr="002302AF">
        <w:rPr>
          <w:rFonts w:ascii="Times" w:hAnsi="Times" w:cs="Arial"/>
          <w:noProof/>
          <w:lang w:val="en-US"/>
        </w:rPr>
        <w:t>activation</w:t>
      </w:r>
      <w:r w:rsidR="00B6600A" w:rsidRPr="002302AF">
        <w:rPr>
          <w:rFonts w:ascii="Times" w:hAnsi="Times" w:cs="Arial"/>
          <w:noProof/>
          <w:lang w:val="en-US"/>
        </w:rPr>
        <w:t xml:space="preserve"> </w:t>
      </w:r>
      <w:r w:rsidR="00600FFF" w:rsidRPr="002302AF">
        <w:rPr>
          <w:rFonts w:ascii="Times" w:hAnsi="Times" w:cs="Arial"/>
          <w:noProof/>
          <w:lang w:val="en-US"/>
        </w:rPr>
        <w:fldChar w:fldCharType="begin" w:fldLock="1"/>
      </w:r>
      <w:r w:rsidR="00600FFF" w:rsidRPr="002302AF">
        <w:rPr>
          <w:rFonts w:ascii="Times" w:hAnsi="Times" w:cs="Arial"/>
          <w:noProof/>
          <w:lang w:val="en-US"/>
        </w:rPr>
        <w:instrText>ADDIN CSL_CITATION { "citationItems" : [ { "id" : "ITEM-1", "itemData" : { "DOI" : "10.1006/nimg.2001.0913", "ISBN" : "1053-8119", "ISSN" : "1053-8119", "PMID" : "11697933", "abstract" : "The time to compare two numbers shows additive effects of number notation and of semantic distance, suggesting that the comparison task can be decomposed into distinct stages of identification and semantic processing. Using event-related fMRI and high-density ERPs, we isolated cerebral areas where activation was influenced by input notation (verbal or Arabic notation). The bilateral extrastriate cortices and a left precentral region were more activated during verbal than during Arabic stimulation, while the right fusiform gyrus and a set of bilateral inferoparietal and frontal regions were more activated during Arabic than during verbal stimulation. We also identified areas that were influenced solely by the semantic content of the stimuli (numerical distance between numbers to be compared) independent of the input notation. Activation tightly correlated with numerical distance was observed mainly in a group of parietal areas distributed bilaterally along the intraparietal sulci and in the precuneus, as well as in the left middle temporal gyrus and posterior cingulate. Our results support the assumption of a central semantic representation of numerical quantity that relies on a common parietal network shared among notations.", "author" : [ { "dropping-particle" : "", "family" : "Pinel", "given" : "P", "non-dropping-particle" : "", "parse-names" : false, "suffix" : "" }, { "dropping-particle" : "", "family" : "Dehaene", "given" : "S", "non-dropping-particle" : "", "parse-names" : false, "suffix" : "" }, { "dropping-particle" : "", "family" : "Rivi\u00e8re", "given" : "D", "non-dropping-particle" : "", "parse-names" : false, "suffix" : "" }, { "dropping-particle" : "", "family" : "LeBihan", "given" : "D", "non-dropping-particle" : "", "parse-names" : false, "suffix" : "" } ], "container-title" : "NeuroImage", "id" : "ITEM-1", "issue" : "5", "issued" : { "date-parts" : [ [ "2001" ] ] }, "page" : "1013-1026", "title" : "Modulation of parietal activation by semantic distance in a number comparison task.", "type" : "article-journal", "volume" : "14" }, "uris" : [ "http://www.mendeley.com/documents/?uuid=3b512159-ab22-45d2-8570-2f14ec74f105" ] }, { "id" : "ITEM-2", "itemData" : { "DOI" : "10.1002/hbm.20896", "ISBN" : "1097-0193 (Electronic)\\r1065-9471 (Linking)", "ISSN" : "10659471", "PMID" : "19882648", "abstract" : "Numerical magnitudes are known to be processed in areas around the intraparietal sulci of the brain. We used an fMRI-adaptation paradigm to investigate how they are actually coded at the neural level. In a number identification task, we manipulated the numerical distance between prime and target numbers (same, close, and far pairs) and their symbolic notation (Arabic and verbal numerals). We show that bilateral parietal activations present a distance-dependent recovery of activation positively correlated with the distance between primes and targets: the larger the prime-target distance, the higher the recovery of activation. Importantly, this effect is only present for trials where an Arabic numeral precedes a verbal numeral and not the reverse. Together, these findings reveal the neural origin of the behavioral priming distance effect and demonstrate that the relative importance of the semantic and nonsemantic pathways in a dual-route model of number processing is modulated by symbolic notation.", "author" : [ { "dropping-particle" : "", "family" : "Notebaert", "given" : "Karolien", "non-dropping-particle" : "", "parse-names" : false, "suffix" : "" }, { "dropping-particle" : "", "family" : "Pesenti", "given" : "Mauro", "non-dropping-particle" : "", "parse-names" : false, "suffix" : "" }, { "dropping-particle" : "", "family" : "Reynvoet", "given" : "Bert", "non-dropping-particle" : "", "parse-names" : false, "suffix" : "" } ], "container-title" : "Human Brain Mapping", "id" : "ITEM-2", "issue" : "5", "issued" : { "date-parts" : [ [ "2010" ] ] }, "page" : "669-677", "title" : "The neural origin of the priming distance effect: Distance-dependent recovery of parietal activation using symbolic magnitudes", "type" : "article-journal", "volume" : "31" }, "uris" : [ "http://www.mendeley.com/documents/?uuid=0348b6a0-c2eb-4f3d-a67f-881824784b65" ] }, { "id" : "ITEM-3", "itemData" : { "DOI" : "10.1016/j.brainres.2005.10.083", "ISBN" : "0006-8993", "ISSN" : "00068993", "PMID" : "16359648", "abstract" : "A number of functional neuroimaging studies have revealed that regions in and around the intraparietal sulcus (IPS) are parametrically modulated by numerical distance, whereby there is an inverse relationship between distance and levels of activation. These areas are thus thought to contain the internal representation of numerical magnitude. Nevertheless, it has also been suggested that the IPS is involved in response selection during number comparison tasks rather than the representation of numerical magnitude per se. In order to test the independence of the effect of distance on cortical regions, we employed a passive viewing paradigm. Sixteen right-handed male participants viewed rapidly changing slides containing arrays of squares. By varying the distance between the numerosity presented in separate blocks (8 vs. 8, 8 vs. 12, and 8 vs. 16), we examined which regions exhibit a parametric effect of numerical distance. This analysis revealed such effects in the superior part of the IPS bilaterally as well as the superior parietal lobule and the supramarginal gyrus. In contrast, slides rapidly changing in area but not number (Area constant, Area ?? 1, and Area ?? 2) did not yield a parametric effect of distance in these regions. Instead, a reverse effect of area was found in a region of the calcarine sulcus. These findings suggest that areas in and around the IPS are involved in numerical magnitude discrimination in the absence of an explicit task and response requirements. ?? 2005 Elsevier B.V. All rights reserved.", "author" : [ { "dropping-particle" : "", "family" : "Ansari", "given" : "Daniel", "non-dropping-particle" : "", "parse-names" : false, "suffix" : "" }, { "dropping-particle" : "", "family" : "Dhital", "given" : "Bibek", "non-dropping-particle" : "", "parse-names" : false, "suffix" : "" }, { "dropping-particle" : "", "family" : "Siong", "given" : "Soon Chun", "non-dropping-particle" : "", "parse-names" : false, "suffix" : "" } ], "container-title" : "Brain Research", "id" : "ITEM-3", "issue" : "1", "issued" : { "date-parts" : [ [ "2006" ] ] }, "page" : "181-188", "title" : "Parametric effects of numerical distance on the intraparietal sulcus during passive viewing of rapid numerosity changes", "type" : "article-journal", "volume" : "1067" }, "uris" : [ "http://www.mendeley.com/documents/?uuid=a5798d63-2f7e-4941-ab8a-9f81f187c343" ] } ], "mendeley" : { "formattedCitation" : "(Pinel et al. 2001; Notebaert et al. 2010; Ansari et al. 2006)", "plainTextFormattedCitation" : "(Pinel et al. 2001; Notebaert et al. 2010; Ansari et al. 2006)", "previouslyFormattedCitation" : "(Pinel et al. 2001; Notebaert et al. 2010; Ansari et al. 2006)" }, "properties" : { "noteIndex" : 0 }, "schema" : "https://github.com/citation-style-language/schema/raw/master/csl-citation.json" }</w:instrText>
      </w:r>
      <w:r w:rsidR="00600FFF" w:rsidRPr="002302AF">
        <w:rPr>
          <w:rFonts w:ascii="Times" w:hAnsi="Times" w:cs="Arial"/>
          <w:noProof/>
          <w:lang w:val="en-US"/>
        </w:rPr>
        <w:fldChar w:fldCharType="separate"/>
      </w:r>
      <w:r w:rsidR="00600FFF" w:rsidRPr="002302AF">
        <w:rPr>
          <w:rFonts w:ascii="Times" w:hAnsi="Times" w:cs="Arial"/>
          <w:noProof/>
          <w:lang w:val="en-US"/>
        </w:rPr>
        <w:t>(Pinel et al. 2001; Notebaert et al. 2010; Ansari et al. 2006)</w:t>
      </w:r>
      <w:r w:rsidR="00600FFF" w:rsidRPr="002302AF">
        <w:rPr>
          <w:rFonts w:ascii="Times" w:hAnsi="Times" w:cs="Arial"/>
          <w:noProof/>
          <w:lang w:val="en-US"/>
        </w:rPr>
        <w:fldChar w:fldCharType="end"/>
      </w:r>
      <w:r w:rsidR="00600FFF" w:rsidRPr="002302AF">
        <w:rPr>
          <w:rFonts w:ascii="Times" w:hAnsi="Times" w:cs="Arial"/>
          <w:noProof/>
          <w:lang w:val="en-US"/>
        </w:rPr>
        <w:t>,</w:t>
      </w:r>
      <w:r w:rsidR="006526A9" w:rsidRPr="002302AF">
        <w:rPr>
          <w:rFonts w:ascii="Times" w:hAnsi="Times" w:cs="Arial"/>
          <w:noProof/>
          <w:lang w:val="en-US"/>
        </w:rPr>
        <w:t xml:space="preserve"> as well as</w:t>
      </w:r>
      <w:r w:rsidR="00D862E3" w:rsidRPr="002302AF">
        <w:rPr>
          <w:rFonts w:ascii="Times" w:hAnsi="Times" w:cs="Arial"/>
          <w:noProof/>
          <w:lang w:val="en-US"/>
        </w:rPr>
        <w:t xml:space="preserve"> slower and less accurate responses</w:t>
      </w:r>
      <w:r w:rsidR="00E10D1E" w:rsidRPr="002302AF">
        <w:rPr>
          <w:rFonts w:ascii="Times" w:hAnsi="Times" w:cs="Arial"/>
          <w:noProof/>
          <w:lang w:val="en-US"/>
        </w:rPr>
        <w:t xml:space="preserve"> </w:t>
      </w:r>
      <w:r w:rsidR="00E10D1E" w:rsidRPr="002302AF">
        <w:rPr>
          <w:rFonts w:ascii="Times" w:hAnsi="Times" w:cs="Arial"/>
          <w:noProof/>
          <w:lang w:val="en-US"/>
        </w:rPr>
        <w:fldChar w:fldCharType="begin" w:fldLock="1"/>
      </w:r>
      <w:r w:rsidR="00E10D1E" w:rsidRPr="002302AF">
        <w:rPr>
          <w:rFonts w:ascii="Times" w:hAnsi="Times" w:cs="Arial"/>
          <w:noProof/>
          <w:lang w:val="en-US"/>
        </w:rPr>
        <w:instrText>ADDIN CSL_CITATION { "citationItems" : [ { "id" : "ITEM-1", "itemData" : { "DOI" : "10.1037/0096-1523.16.3.626", "ISBN" : "0096-1523 (Print)", "ISSN" : "0096-1523", "PMID" : "2144576", "abstract" : "Do Ss compare multidigit numbers digit by digit (symbolic model) or do they compute the whole magnitude of the numbers before comparing them (holistic model)? In 4 experiments of timed 2-digit number comparisons with a fixed standard, the findings of Hinrichs, Yurko, and Hu (1981) were extended with French Ss. Reaction times (RTs) decreased with target-standard distance, with discontinuities at the boundaries of the standard's decade appearing only with standards 55 and 66 but not with 65. The data are compatible with the holistic model. A symbolic interference model that posits the simultaneous comparison of decades and units can also account for the results. To separate the 2 models, the decades and units digits of target numbers were presented asynchronously in Experiment 4. Contrary to the prediction of the interference model, presenting the units before the decades did not change the influence of units on RTs. Pros and cons of the holistic model are discussed.", "author" : [ { "dropping-particle" : "", "family" : "Dehaene", "given" : "S", "non-dropping-particle" : "", "parse-names" : false, "suffix" : "" }, { "dropping-particle" : "", "family" : "Dupoux", "given" : "E", "non-dropping-particle" : "", "parse-names" : false, "suffix" : "" }, { "dropping-particle" : "", "family" : "Mehler", "given" : "J", "non-dropping-particle" : "", "parse-names" : false, "suffix" : "" } ], "container-title" : "Journal of experimental psychology. Human perception and performance", "id" : "ITEM-1", "issue" : "3", "issued" : { "date-parts" : [ [ "1990" ] ] }, "page" : "626-641", "title" : "Is numerical comparison digital? Analogical and symbolic effects in two-digit number comparison.", "type" : "article-journal", "volume" : "16" }, "uris" : [ "http://www.mendeley.com/documents/?uuid=07e71069-e376-48bd-9a0f-ad0e96cc05be" ] }, { "id" : "ITEM-2", "itemData" : { "DOI" : "10.1038/2151519a0", "ISBN" : "0028-0836\\r1476-4687", "ISSN" : "0028-0836", "PMID" : "6052760", "abstract" : "An educated adult can tell which of two digits is the larger with virtually no uncertainty. By what process is this accomplished ? On the one hand, it is conceivable that such judgements are made in the same way as judgements of stimuli varying along physical continua. On the other hand, numerical judgements may be made at a different, less perceptual and more cognitive, level. For instance, the task may be one of memory access, each possible pair of numerals being stored with a corresponding inequality sign ; or perhaps some sort of digital computation is performed, such as counting the space between the two numerical values.", "author" : [ { "dropping-particle" : "", "family" : "Moyer", "given" : "R S", "non-dropping-particle" : "", "parse-names" : false, "suffix" : "" }, { "dropping-particle" : "", "family" : "Landauer", "given" : "T K", "non-dropping-particle" : "", "parse-names" : false, "suffix" : "" } ], "container-title" : "Nature", "id" : "ITEM-2", "issue" : "5109", "issued" : { "date-parts" : [ [ "1967" ] ] }, "page" : "1519-1520", "title" : "Time required for judgements of numerical inequality.", "type" : "article-journal", "volume" : "215" }, "uris" : [ "http://www.mendeley.com/documents/?uuid=db76d430-df6a-401a-a506-0eba33e1cdbf" ] } ], "mendeley" : { "formattedCitation" : "(Dehaene et al. 1990; Moyer &amp; Landauer 1967)", "plainTextFormattedCitation" : "(Dehaene et al. 1990; Moyer &amp; Landauer 1967)", "previouslyFormattedCitation" : "(Dehaene et al. 1990; Moyer &amp; Landauer 1967)" }, "properties" : { "noteIndex" : 0 }, "schema" : "https://github.com/citation-style-language/schema/raw/master/csl-citation.json" }</w:instrText>
      </w:r>
      <w:r w:rsidR="00E10D1E" w:rsidRPr="002302AF">
        <w:rPr>
          <w:rFonts w:ascii="Times" w:hAnsi="Times" w:cs="Arial"/>
          <w:noProof/>
          <w:lang w:val="en-US"/>
        </w:rPr>
        <w:fldChar w:fldCharType="separate"/>
      </w:r>
      <w:r w:rsidR="00E10D1E" w:rsidRPr="002302AF">
        <w:rPr>
          <w:rFonts w:ascii="Times" w:hAnsi="Times" w:cs="Arial"/>
          <w:noProof/>
          <w:lang w:val="en-US"/>
        </w:rPr>
        <w:t>(Dehaene et al. 1990; Moyer &amp; Landauer 1967)</w:t>
      </w:r>
      <w:r w:rsidR="00E10D1E" w:rsidRPr="002302AF">
        <w:rPr>
          <w:rFonts w:ascii="Times" w:hAnsi="Times" w:cs="Arial"/>
          <w:noProof/>
          <w:lang w:val="en-US"/>
        </w:rPr>
        <w:fldChar w:fldCharType="end"/>
      </w:r>
      <w:r w:rsidR="00E53DB4" w:rsidRPr="002302AF">
        <w:rPr>
          <w:rFonts w:ascii="Times" w:hAnsi="Times" w:cs="Arial"/>
          <w:noProof/>
          <w:lang w:val="en-US"/>
        </w:rPr>
        <w:t xml:space="preserve">. </w:t>
      </w:r>
      <w:r w:rsidR="002E4B5A" w:rsidRPr="002302AF">
        <w:rPr>
          <w:rFonts w:ascii="Times" w:hAnsi="Times" w:cs="Arial"/>
          <w:noProof/>
          <w:lang w:val="en-US"/>
        </w:rPr>
        <w:t>T</w:t>
      </w:r>
      <w:r w:rsidR="00E10D1E" w:rsidRPr="002302AF">
        <w:rPr>
          <w:rFonts w:ascii="Times" w:hAnsi="Times" w:cs="Arial"/>
          <w:noProof/>
          <w:lang w:val="en-US"/>
        </w:rPr>
        <w:t>he task-related</w:t>
      </w:r>
      <w:r w:rsidR="00DF2518" w:rsidRPr="002302AF">
        <w:rPr>
          <w:rFonts w:ascii="Times" w:hAnsi="Times" w:cs="Arial"/>
          <w:noProof/>
          <w:lang w:val="en-US"/>
        </w:rPr>
        <w:t xml:space="preserve"> activation </w:t>
      </w:r>
      <w:r w:rsidR="00983D09" w:rsidRPr="002302AF">
        <w:rPr>
          <w:rFonts w:ascii="Times" w:hAnsi="Times" w:cs="Arial"/>
          <w:noProof/>
          <w:lang w:val="en-US"/>
        </w:rPr>
        <w:t xml:space="preserve">also </w:t>
      </w:r>
      <w:r w:rsidR="00DF2518" w:rsidRPr="002302AF">
        <w:rPr>
          <w:rFonts w:ascii="Times" w:hAnsi="Times" w:cs="Arial"/>
          <w:noProof/>
          <w:lang w:val="en-US"/>
        </w:rPr>
        <w:t xml:space="preserve">reflects </w:t>
      </w:r>
      <w:r w:rsidR="00A76AEE" w:rsidRPr="002302AF">
        <w:rPr>
          <w:rFonts w:ascii="Times" w:hAnsi="Times" w:cs="Arial"/>
          <w:noProof/>
          <w:lang w:val="en-US"/>
        </w:rPr>
        <w:t>the ratio of numerical distance and absolute magnitude of the numbers</w:t>
      </w:r>
      <w:r w:rsidR="00360CA4" w:rsidRPr="002302AF">
        <w:rPr>
          <w:rFonts w:ascii="Times" w:hAnsi="Times" w:cs="Arial"/>
          <w:noProof/>
          <w:lang w:val="en-US"/>
        </w:rPr>
        <w:t xml:space="preserve"> </w:t>
      </w:r>
      <w:r w:rsidR="00360CA4" w:rsidRPr="002302AF">
        <w:rPr>
          <w:rFonts w:ascii="Times" w:hAnsi="Times" w:cs="Arial"/>
          <w:noProof/>
          <w:lang w:val="en-US"/>
        </w:rPr>
        <w:fldChar w:fldCharType="begin" w:fldLock="1"/>
      </w:r>
      <w:r w:rsidR="00360CA4" w:rsidRPr="002302AF">
        <w:rPr>
          <w:rFonts w:ascii="Times" w:hAnsi="Times" w:cs="Arial"/>
          <w:noProof/>
          <w:lang w:val="en-US"/>
        </w:rPr>
        <w:instrText>ADDIN CSL_CITATION { "citationItems" : [ { "id" : "ITEM-1", "itemData" : { "DOI" : "10.1016/j.neuron.2004.10.014", "ISBN" : "0896-6273 (Print)\\r0896-6273 (Linking)", "ISSN" : "08966273", "PMID" : "15504333", "abstract" : "Number, like color or movement, is a basic property of the environment. Recently, single neurons tuned to number have been observed in animals. We used both psychophysics and neuroimaging to examine whether a similar neural coding scheme is present in humans. When participants viewed sets of items with a variable number, the bilateral intraparietal sulci responded selectively to number change. Functionally, the shape of this response indicates that humans, like other animal species, encode approximate number on a compressed internal scale. Anatomically, the intraparietal site coding for number in humans is compatible with that observed in macaque monkeys. Our results therefore suggest an evolutionary basis for human elementary arithmetic.", "author" : [ { "dropping-particle" : "", "family" : "Piazza", "given" : "Manuela", "non-dropping-particle" : "", "parse-names" : false, "suffix" : "" }, { "dropping-particle" : "", "family" : "Izard", "given" : "V\u00e9ronique", "non-dropping-particle" : "", "parse-names" : false, "suffix" : "" }, { "dropping-particle" : "", "family" : "Pinel", "given" : "Philippe", "non-dropping-particle" : "", "parse-names" : false, "suffix" : "" }, { "dropping-particle" : "", "family" : "Bihan", "given" : "Denis", "non-dropping-particle" : "Le", "parse-names" : false, "suffix" : "" }, { "dropping-particle" : "", "family" : "Dehaene", "given" : "Stanislas", "non-dropping-particle" : "", "parse-names" : false, "suffix" : "" } ], "container-title" : "Neuron", "id" : "ITEM-1", "issue" : "3", "issued" : { "date-parts" : [ [ "2004" ] ] }, "page" : "547-555", "title" : "Tuning curves for approximate numerosity in the human intraparietal sulcus", "type" : "article-journal", "volume" : "44" }, "uris" : [ "http://www.mendeley.com/documents/?uuid=8d4dd707-5701-4355-bf23-1b09626e5f57" ] } ], "mendeley" : { "formattedCitation" : "(Piazza et al. 2004)", "plainTextFormattedCitation" : "(Piazza et al. 2004)", "previouslyFormattedCitation" : "(Piazza et al. 2004)" }, "properties" : { "noteIndex" : 0 }, "schema" : "https://github.com/citation-style-language/schema/raw/master/csl-citation.json" }</w:instrText>
      </w:r>
      <w:r w:rsidR="00360CA4" w:rsidRPr="002302AF">
        <w:rPr>
          <w:rFonts w:ascii="Times" w:hAnsi="Times" w:cs="Arial"/>
          <w:noProof/>
          <w:lang w:val="en-US"/>
        </w:rPr>
        <w:fldChar w:fldCharType="separate"/>
      </w:r>
      <w:r w:rsidR="00360CA4" w:rsidRPr="002302AF">
        <w:rPr>
          <w:rFonts w:ascii="Times" w:hAnsi="Times" w:cs="Arial"/>
          <w:noProof/>
          <w:lang w:val="en-US"/>
        </w:rPr>
        <w:t>(Piazza et al. 2004)</w:t>
      </w:r>
      <w:r w:rsidR="00360CA4" w:rsidRPr="002302AF">
        <w:rPr>
          <w:rFonts w:ascii="Times" w:hAnsi="Times" w:cs="Arial"/>
          <w:noProof/>
          <w:lang w:val="en-US"/>
        </w:rPr>
        <w:fldChar w:fldCharType="end"/>
      </w:r>
      <w:r w:rsidR="00E25BA0" w:rsidRPr="002302AF">
        <w:rPr>
          <w:rFonts w:ascii="Times" w:hAnsi="Times" w:cs="Arial"/>
          <w:noProof/>
          <w:lang w:val="en-US"/>
        </w:rPr>
        <w:t>.</w:t>
      </w:r>
      <w:r w:rsidR="00F7744D" w:rsidRPr="002302AF">
        <w:rPr>
          <w:rFonts w:ascii="Times" w:hAnsi="Times" w:cs="Arial"/>
          <w:noProof/>
          <w:lang w:val="en-US"/>
        </w:rPr>
        <w:t xml:space="preserve"> </w:t>
      </w:r>
      <w:r w:rsidR="00442211" w:rsidRPr="002302AF">
        <w:rPr>
          <w:rFonts w:ascii="Times" w:hAnsi="Times" w:cs="Arial"/>
          <w:noProof/>
          <w:lang w:val="en-US"/>
        </w:rPr>
        <w:t>This suggests that</w:t>
      </w:r>
      <w:r w:rsidR="00687DD2" w:rsidRPr="002302AF">
        <w:rPr>
          <w:rFonts w:ascii="Times" w:hAnsi="Times" w:cs="Arial"/>
          <w:noProof/>
          <w:lang w:val="en-US"/>
        </w:rPr>
        <w:t xml:space="preserve"> </w:t>
      </w:r>
      <w:r w:rsidR="002B3FCD" w:rsidRPr="002302AF">
        <w:rPr>
          <w:rFonts w:ascii="Times" w:hAnsi="Times" w:cs="Arial"/>
          <w:noProof/>
          <w:lang w:val="en-US"/>
        </w:rPr>
        <w:t>bilateral</w:t>
      </w:r>
      <w:r w:rsidR="002155CA" w:rsidRPr="002302AF">
        <w:rPr>
          <w:rFonts w:ascii="Times" w:hAnsi="Times" w:cs="Arial"/>
          <w:noProof/>
          <w:lang w:val="en-US"/>
        </w:rPr>
        <w:t xml:space="preserve"> </w:t>
      </w:r>
      <w:r w:rsidR="001F466C" w:rsidRPr="002302AF">
        <w:rPr>
          <w:rFonts w:ascii="Times" w:hAnsi="Times" w:cs="Arial"/>
          <w:noProof/>
          <w:lang w:val="en-US"/>
        </w:rPr>
        <w:t>regi</w:t>
      </w:r>
      <w:r w:rsidR="00E9583E" w:rsidRPr="002302AF">
        <w:rPr>
          <w:rFonts w:ascii="Times" w:hAnsi="Times" w:cs="Arial"/>
          <w:noProof/>
          <w:lang w:val="en-US"/>
        </w:rPr>
        <w:t>ons</w:t>
      </w:r>
      <w:r w:rsidR="002B3FCD" w:rsidRPr="002302AF">
        <w:rPr>
          <w:rFonts w:ascii="Times" w:hAnsi="Times" w:cs="Arial"/>
          <w:noProof/>
          <w:lang w:val="en-US"/>
        </w:rPr>
        <w:t xml:space="preserve"> </w:t>
      </w:r>
      <w:r w:rsidR="008E70BD" w:rsidRPr="002302AF">
        <w:rPr>
          <w:rFonts w:ascii="Times" w:hAnsi="Times" w:cs="Arial"/>
          <w:noProof/>
          <w:lang w:val="en-US"/>
        </w:rPr>
        <w:t xml:space="preserve">subserve </w:t>
      </w:r>
      <w:r w:rsidR="00D42A63" w:rsidRPr="002302AF">
        <w:rPr>
          <w:rFonts w:ascii="Times" w:hAnsi="Times" w:cs="Arial"/>
          <w:noProof/>
          <w:lang w:val="en-US"/>
        </w:rPr>
        <w:t>processing of numerical distance</w:t>
      </w:r>
      <w:r w:rsidR="00F7744D" w:rsidRPr="002302AF">
        <w:rPr>
          <w:rFonts w:ascii="Times" w:hAnsi="Times" w:cs="Arial"/>
          <w:noProof/>
          <w:lang w:val="en-US"/>
        </w:rPr>
        <w:t xml:space="preserve">. </w:t>
      </w:r>
      <w:r w:rsidR="00DE16B3" w:rsidRPr="002302AF">
        <w:rPr>
          <w:rFonts w:ascii="Times" w:hAnsi="Times" w:cs="Arial"/>
          <w:noProof/>
          <w:lang w:val="en-US"/>
        </w:rPr>
        <w:t>This led</w:t>
      </w:r>
      <w:r w:rsidR="00497293" w:rsidRPr="002302AF">
        <w:rPr>
          <w:rFonts w:ascii="Times" w:hAnsi="Times" w:cs="Arial"/>
          <w:noProof/>
          <w:lang w:val="en-US"/>
        </w:rPr>
        <w:t xml:space="preserve"> </w:t>
      </w:r>
      <w:r w:rsidR="001509D9" w:rsidRPr="002302AF">
        <w:rPr>
          <w:rFonts w:ascii="Times" w:hAnsi="Times" w:cs="Arial"/>
          <w:noProof/>
          <w:lang w:val="en-US"/>
        </w:rPr>
        <w:t xml:space="preserve">Hauser and colleagues </w:t>
      </w:r>
      <w:r w:rsidR="00DE16B3" w:rsidRPr="002302AF">
        <w:rPr>
          <w:rFonts w:ascii="Times" w:hAnsi="Times" w:cs="Arial"/>
          <w:noProof/>
          <w:lang w:val="en-US"/>
        </w:rPr>
        <w:t xml:space="preserve">to apply </w:t>
      </w:r>
      <w:r w:rsidR="00D61FEF" w:rsidRPr="001C1E75">
        <w:rPr>
          <w:rFonts w:ascii="Times" w:hAnsi="Times" w:cs="Arial"/>
          <w:b/>
          <w:noProof/>
          <w:u w:val="single"/>
          <w:lang w:val="en-US"/>
        </w:rPr>
        <w:t>parietal bi-</w:t>
      </w:r>
      <w:r w:rsidR="001509D9" w:rsidRPr="002302AF">
        <w:rPr>
          <w:rFonts w:ascii="Times" w:hAnsi="Times" w:cs="Arial"/>
          <w:noProof/>
          <w:lang w:val="en-US"/>
        </w:rPr>
        <w:t>anodal</w:t>
      </w:r>
      <w:r w:rsidR="00D34A85">
        <w:rPr>
          <w:rFonts w:ascii="Times" w:hAnsi="Times" w:cs="Arial"/>
          <w:noProof/>
          <w:lang w:val="en-US"/>
        </w:rPr>
        <w:t xml:space="preserve"> </w:t>
      </w:r>
      <w:r w:rsidR="00D34A85" w:rsidRPr="001C1E75">
        <w:rPr>
          <w:rFonts w:ascii="Times" w:hAnsi="Times" w:cs="Arial"/>
          <w:b/>
          <w:noProof/>
          <w:u w:val="single"/>
          <w:lang w:val="en-US"/>
        </w:rPr>
        <w:t>(i.e. not oppositional)</w:t>
      </w:r>
      <w:r w:rsidR="001509D9" w:rsidRPr="002302AF">
        <w:rPr>
          <w:rFonts w:ascii="Times" w:hAnsi="Times" w:cs="Arial"/>
          <w:noProof/>
          <w:lang w:val="en-US"/>
        </w:rPr>
        <w:t xml:space="preserve"> tDCS </w:t>
      </w:r>
      <w:r w:rsidR="00CF2F4E" w:rsidRPr="002302AF">
        <w:rPr>
          <w:rFonts w:ascii="Times" w:hAnsi="Times" w:cs="Arial"/>
          <w:noProof/>
          <w:lang w:val="en-US"/>
        </w:rPr>
        <w:t xml:space="preserve">during </w:t>
      </w:r>
      <w:r w:rsidR="001509D9" w:rsidRPr="002302AF">
        <w:rPr>
          <w:rFonts w:ascii="Times" w:hAnsi="Times" w:cs="Arial"/>
          <w:noProof/>
          <w:lang w:val="en-US"/>
        </w:rPr>
        <w:t>a number comparison task</w:t>
      </w:r>
      <w:r w:rsidR="004B6E29" w:rsidRPr="002302AF">
        <w:rPr>
          <w:rFonts w:ascii="Times" w:hAnsi="Times" w:cs="Arial"/>
          <w:noProof/>
          <w:lang w:val="en-US"/>
        </w:rPr>
        <w:t xml:space="preserve">. </w:t>
      </w:r>
      <w:r w:rsidR="00FE7805" w:rsidRPr="001C1E75">
        <w:rPr>
          <w:rFonts w:ascii="Times" w:hAnsi="Times" w:cs="Arial"/>
          <w:b/>
          <w:noProof/>
          <w:u w:val="single"/>
          <w:lang w:val="en-US"/>
        </w:rPr>
        <w:t>Although</w:t>
      </w:r>
      <w:r w:rsidR="004B6E29" w:rsidRPr="002302AF">
        <w:rPr>
          <w:rFonts w:ascii="Times" w:hAnsi="Times" w:cs="Arial"/>
          <w:noProof/>
          <w:lang w:val="en-US"/>
        </w:rPr>
        <w:t xml:space="preserve"> </w:t>
      </w:r>
      <w:r w:rsidR="001509D9" w:rsidRPr="002302AF">
        <w:rPr>
          <w:rFonts w:ascii="Times" w:hAnsi="Times" w:cs="Arial"/>
          <w:noProof/>
          <w:lang w:val="en-US"/>
        </w:rPr>
        <w:t xml:space="preserve">left anodal tDCS improved </w:t>
      </w:r>
      <w:r w:rsidR="00687DD2" w:rsidRPr="002302AF">
        <w:rPr>
          <w:rFonts w:ascii="Times" w:hAnsi="Times" w:cs="Arial"/>
          <w:noProof/>
          <w:lang w:val="en-US"/>
        </w:rPr>
        <w:t xml:space="preserve">overall </w:t>
      </w:r>
      <w:r w:rsidR="001509D9" w:rsidRPr="002302AF">
        <w:rPr>
          <w:rFonts w:ascii="Times" w:hAnsi="Times" w:cs="Arial"/>
          <w:noProof/>
          <w:lang w:val="en-US"/>
        </w:rPr>
        <w:t>accuracy</w:t>
      </w:r>
      <w:r w:rsidR="004B6E29" w:rsidRPr="002302AF">
        <w:rPr>
          <w:rFonts w:ascii="Times" w:hAnsi="Times" w:cs="Arial"/>
          <w:noProof/>
          <w:lang w:val="en-US"/>
        </w:rPr>
        <w:t xml:space="preserve">, neither </w:t>
      </w:r>
      <w:r w:rsidR="00621425">
        <w:rPr>
          <w:rFonts w:ascii="Times" w:hAnsi="Times" w:cs="Arial"/>
          <w:noProof/>
          <w:lang w:val="en-US"/>
        </w:rPr>
        <w:t xml:space="preserve">the </w:t>
      </w:r>
      <w:r w:rsidR="00621425" w:rsidRPr="001C1E75">
        <w:rPr>
          <w:rFonts w:ascii="Times" w:hAnsi="Times" w:cs="Arial"/>
          <w:b/>
          <w:noProof/>
          <w:u w:val="single"/>
          <w:lang w:val="en-US"/>
        </w:rPr>
        <w:t>bi-parietal nor the unilateral montages</w:t>
      </w:r>
      <w:r w:rsidR="00621425" w:rsidRPr="002302AF">
        <w:rPr>
          <w:rFonts w:ascii="Times" w:hAnsi="Times" w:cs="Arial"/>
          <w:noProof/>
          <w:lang w:val="en-US"/>
        </w:rPr>
        <w:t xml:space="preserve"> </w:t>
      </w:r>
      <w:r w:rsidR="00683FDF" w:rsidRPr="002302AF">
        <w:rPr>
          <w:rFonts w:ascii="Times" w:hAnsi="Times" w:cs="Arial"/>
          <w:noProof/>
          <w:lang w:val="en-US"/>
        </w:rPr>
        <w:t xml:space="preserve">modulated </w:t>
      </w:r>
      <w:r w:rsidR="004B6E29" w:rsidRPr="002302AF">
        <w:rPr>
          <w:rFonts w:ascii="Times" w:hAnsi="Times" w:cs="Arial"/>
          <w:noProof/>
          <w:lang w:val="en-US"/>
        </w:rPr>
        <w:t>the distance effect</w:t>
      </w:r>
      <w:r w:rsidR="001509D9" w:rsidRPr="002302AF">
        <w:rPr>
          <w:rFonts w:ascii="Times" w:hAnsi="Times" w:cs="Arial"/>
          <w:noProof/>
          <w:lang w:val="en-US"/>
        </w:rPr>
        <w:t xml:space="preserve"> </w:t>
      </w:r>
      <w:r w:rsidR="001509D9" w:rsidRPr="002302AF">
        <w:rPr>
          <w:rFonts w:ascii="Times" w:hAnsi="Times" w:cs="Arial"/>
          <w:noProof/>
          <w:lang w:val="en-US"/>
        </w:rPr>
        <w:fldChar w:fldCharType="begin" w:fldLock="1"/>
      </w:r>
      <w:r w:rsidR="001509D9" w:rsidRPr="002302AF">
        <w:rPr>
          <w:rFonts w:ascii="Times" w:hAnsi="Times" w:cs="Arial"/>
          <w:noProof/>
          <w:lang w:val="en-US"/>
        </w:rPr>
        <w:instrText>ADDIN CSL_CITATION { "citationItems" : [ { "id" : "ITEM-1", "itemData" : { "DOI" : "10.3389/fnhum.2013.00244", "ISSN" : "1662-5161", "PMID" : "23761750", "abstract" : "The ability to accurately process numerical magnitudes and solve mental arithmetic is of highest importance for schooling and professional career. Although impairments in these domains in disorders such as developmental dyscalculia (DD) are highly detrimental, remediation is still sparse. In recent years, transcranial brain stimulation methods such as transcranial Direct Current Stimulation (tDCS) have been suggested as a treatment for various neurologic and neuropsychiatric disorders. The posterior parietal cortex (PPC) is known to be crucially involved in numerical magnitude processing and mental arithmetic. In this study, we evaluated whether tDCS has a beneficial effect on numerical magnitude processing and mental arithmetic. Due to the unclear lateralization, we stimulated the left, right as well as both hemispheres simultaneously in two experiments. We found that left anodal tDCS significantly enhanced performance in a number comparison and a subtraction task, while bilateral and right anodal tDCS did not induce any improvements compared to sham. Our findings demonstrate that the left PPC is causally involved in numerical magnitude processing and mental arithmetic. Furthermore, we show that these cognitive functions can be enhanced by means of tDCS. These findings encourage to further investigate the beneficial effect of tDCS in the domain of mathematics in healthy and impaired humans.", "author" : [ { "dropping-particle" : "", "family" : "Hauser", "given" : "Tobias U", "non-dropping-particle" : "", "parse-names" : false, "suffix" : "" }, { "dropping-particle" : "", "family" : "Rotzer", "given" : "Stephanie", "non-dropping-particle" : "", "parse-names" : false, "suffix" : "" }, { "dropping-particle" : "", "family" : "Grabner", "given" : "Roland H", "non-dropping-particle" : "", "parse-names" : false, "suffix" : "" }, { "dropping-particle" : "", "family" : "M\u00e9rillat", "given" : "Susan", "non-dropping-particle" : "", "parse-names" : false, "suffix" : "" }, { "dropping-particle" : "", "family" : "J\u00e4ncke", "given" : "Lutz", "non-dropping-particle" : "", "parse-names" : false, "suffix" : "" } ], "container-title" : "Frontiers in human neuroscience", "id" : "ITEM-1", "issue" : "June", "issued" : { "date-parts" : [ [ "2013", "1" ] ] }, "page" : "244", "title" : "Enhancing performance in numerical magnitude processing and mental arithmetic using transcranial Direct Current Stimulation (tDCS).", "type" : "article-journal", "volume" : "7" }, "uris" : [ "http://www.mendeley.com/documents/?uuid=7857b040-4174-42c6-a82f-69287c5dec8a" ] } ], "mendeley" : { "formattedCitation" : "(Hauser et al. 2013)", "plainTextFormattedCitation" : "(Hauser et al. 2013)", "previouslyFormattedCitation" : "(Hauser et al. 2013)" }, "properties" : { "noteIndex" : 0 }, "schema" : "https://github.com/citation-style-language/schema/raw/master/csl-citation.json" }</w:instrText>
      </w:r>
      <w:r w:rsidR="001509D9" w:rsidRPr="002302AF">
        <w:rPr>
          <w:rFonts w:ascii="Times" w:hAnsi="Times" w:cs="Arial"/>
          <w:noProof/>
          <w:lang w:val="en-US"/>
        </w:rPr>
        <w:fldChar w:fldCharType="separate"/>
      </w:r>
      <w:r w:rsidR="001509D9" w:rsidRPr="002302AF">
        <w:rPr>
          <w:rFonts w:ascii="Times" w:hAnsi="Times" w:cs="Arial"/>
          <w:noProof/>
          <w:lang w:val="en-US"/>
        </w:rPr>
        <w:t>(Hauser et al. 2013)</w:t>
      </w:r>
      <w:r w:rsidR="001509D9" w:rsidRPr="002302AF">
        <w:rPr>
          <w:rFonts w:ascii="Times" w:hAnsi="Times" w:cs="Arial"/>
          <w:noProof/>
          <w:lang w:val="en-US"/>
        </w:rPr>
        <w:fldChar w:fldCharType="end"/>
      </w:r>
      <w:r w:rsidR="00E10D1E" w:rsidRPr="002302AF">
        <w:rPr>
          <w:rFonts w:ascii="Times" w:hAnsi="Times" w:cs="Arial"/>
          <w:noProof/>
          <w:lang w:val="en-US"/>
        </w:rPr>
        <w:t>.</w:t>
      </w:r>
      <w:r w:rsidR="00BF04EE" w:rsidRPr="002302AF">
        <w:rPr>
          <w:rFonts w:ascii="Times" w:hAnsi="Times" w:cs="Arial"/>
          <w:noProof/>
          <w:lang w:val="en-US"/>
        </w:rPr>
        <w:t xml:space="preserve"> </w:t>
      </w:r>
      <w:r w:rsidR="00EF77EB" w:rsidRPr="002302AF">
        <w:rPr>
          <w:rFonts w:ascii="Times" w:hAnsi="Times" w:cs="Arial"/>
          <w:noProof/>
          <w:lang w:val="en-US"/>
        </w:rPr>
        <w:t>In contrast</w:t>
      </w:r>
      <w:r w:rsidR="001509D9" w:rsidRPr="002302AF">
        <w:rPr>
          <w:rFonts w:ascii="Times" w:hAnsi="Times" w:cs="Arial"/>
          <w:noProof/>
          <w:lang w:val="en-US"/>
        </w:rPr>
        <w:t xml:space="preserve">, </w:t>
      </w:r>
      <w:r w:rsidR="00FE7805" w:rsidRPr="001C1E75">
        <w:rPr>
          <w:rFonts w:ascii="Times" w:hAnsi="Times" w:cs="Arial"/>
          <w:b/>
          <w:noProof/>
          <w:u w:val="single"/>
          <w:lang w:val="en-US"/>
        </w:rPr>
        <w:t xml:space="preserve">we were able to selectively </w:t>
      </w:r>
      <w:r w:rsidR="008C1AE7" w:rsidRPr="001C1E75">
        <w:rPr>
          <w:rFonts w:ascii="Times" w:hAnsi="Times" w:cs="Arial"/>
          <w:b/>
          <w:noProof/>
          <w:u w:val="single"/>
          <w:lang w:val="en-US"/>
        </w:rPr>
        <w:t>modulate</w:t>
      </w:r>
      <w:r w:rsidR="00FE7805" w:rsidRPr="001C1E75">
        <w:rPr>
          <w:rFonts w:ascii="Times" w:hAnsi="Times" w:cs="Arial"/>
          <w:b/>
          <w:noProof/>
          <w:u w:val="single"/>
          <w:lang w:val="en-US"/>
        </w:rPr>
        <w:t xml:space="preserve"> the distance effect using an </w:t>
      </w:r>
      <w:r w:rsidR="001509D9" w:rsidRPr="002302AF">
        <w:rPr>
          <w:rFonts w:ascii="Times" w:hAnsi="Times" w:cs="Arial"/>
          <w:noProof/>
          <w:lang w:val="en-US"/>
        </w:rPr>
        <w:t xml:space="preserve">oppositional RC/LA </w:t>
      </w:r>
      <w:r w:rsidR="00916A11" w:rsidRPr="002302AF">
        <w:rPr>
          <w:rFonts w:ascii="Times" w:hAnsi="Times" w:cs="Arial"/>
          <w:noProof/>
          <w:lang w:val="en-US"/>
        </w:rPr>
        <w:t>montage</w:t>
      </w:r>
      <w:r w:rsidR="001509D9" w:rsidRPr="002302AF">
        <w:rPr>
          <w:rFonts w:ascii="Times" w:hAnsi="Times" w:cs="Arial"/>
          <w:noProof/>
          <w:lang w:val="en-US"/>
        </w:rPr>
        <w:t>.</w:t>
      </w:r>
      <w:r w:rsidR="00AD2F95" w:rsidRPr="002302AF">
        <w:rPr>
          <w:rFonts w:ascii="Times" w:hAnsi="Times" w:cs="Arial"/>
          <w:noProof/>
          <w:lang w:val="en-US"/>
        </w:rPr>
        <w:t xml:space="preserve"> </w:t>
      </w:r>
      <w:r w:rsidR="00621425" w:rsidRPr="001C1E75">
        <w:rPr>
          <w:rFonts w:ascii="Times" w:hAnsi="Times" w:cs="Arial"/>
          <w:b/>
          <w:noProof/>
          <w:u w:val="single"/>
          <w:lang w:val="en-US"/>
        </w:rPr>
        <w:t>This suggests that</w:t>
      </w:r>
      <w:r w:rsidR="00FB2017" w:rsidRPr="001C1E75">
        <w:rPr>
          <w:rFonts w:ascii="Times" w:hAnsi="Times" w:cs="Arial"/>
          <w:b/>
          <w:noProof/>
          <w:u w:val="single"/>
          <w:lang w:val="en-US"/>
        </w:rPr>
        <w:t xml:space="preserve"> </w:t>
      </w:r>
      <w:r w:rsidR="00FB2017" w:rsidRPr="002302AF">
        <w:rPr>
          <w:rFonts w:ascii="Times" w:hAnsi="Times" w:cs="Arial"/>
          <w:noProof/>
          <w:lang w:val="en-US"/>
        </w:rPr>
        <w:t>the</w:t>
      </w:r>
      <w:r w:rsidR="00C97E22" w:rsidRPr="002302AF">
        <w:rPr>
          <w:rFonts w:ascii="Times" w:hAnsi="Times" w:cs="Arial"/>
          <w:noProof/>
          <w:lang w:val="en-US"/>
        </w:rPr>
        <w:t xml:space="preserve"> left and right PPC</w:t>
      </w:r>
      <w:r w:rsidR="00621425">
        <w:rPr>
          <w:rFonts w:ascii="Times" w:hAnsi="Times" w:cs="Arial"/>
          <w:noProof/>
          <w:lang w:val="en-US"/>
        </w:rPr>
        <w:t xml:space="preserve"> </w:t>
      </w:r>
      <w:r w:rsidR="00621425" w:rsidRPr="001C1E75">
        <w:rPr>
          <w:rFonts w:ascii="Times" w:hAnsi="Times" w:cs="Arial"/>
          <w:b/>
          <w:noProof/>
          <w:u w:val="single"/>
          <w:lang w:val="en-US"/>
        </w:rPr>
        <w:t>support distinct aspects of numerical processing</w:t>
      </w:r>
      <w:r w:rsidR="00DC0067" w:rsidRPr="002302AF">
        <w:rPr>
          <w:rFonts w:ascii="Times" w:hAnsi="Times" w:cs="Arial"/>
          <w:noProof/>
          <w:lang w:val="en-US"/>
        </w:rPr>
        <w:t xml:space="preserve">, as suggested by others </w:t>
      </w:r>
      <w:r w:rsidR="009136BE" w:rsidRPr="002302AF">
        <w:rPr>
          <w:rFonts w:ascii="Times" w:hAnsi="Times" w:cs="Arial"/>
          <w:noProof/>
          <w:lang w:val="en-US"/>
        </w:rPr>
        <w:fldChar w:fldCharType="begin" w:fldLock="1"/>
      </w:r>
      <w:r w:rsidR="009136BE" w:rsidRPr="002302AF">
        <w:rPr>
          <w:rFonts w:ascii="Times" w:hAnsi="Times" w:cs="Arial"/>
          <w:noProof/>
          <w:lang w:val="en-US"/>
        </w:rPr>
        <w:instrText>ADDIN CSL_CITATION { "citationItems" : [ { "id" : "ITEM-1", "itemData" : { "DOI" : "10.3389/fpsyg.2013.00663", "ISSN" : "1664-1078", "PMID" : "24151473", "abstract" : "In number comparison tasks, the performance is better when the distance between the numbers to compare increases. It has been shown that this so-called numerical distance effect (NDE) decreases with age but the neuroanatomical correlates of these age-related changes are poorly known. Using functional magnetic resonance imaging (fMRI), we recorded the brain activity changes in children aged from 8 to 14 years while they performed a number comparison task on pairs of Arabic digits and a control color comparison task on non-numerical symbols. On the one hand, we observed developmental changes in the recruitment of frontal regions and the left intraparietal sulcus (IPS), with lower activation as age increased. On the other hand, we found that a behavioral index of selective sensitivity to the NDE was positively correlated with higher brain activity in a right lateralized occipito-temporo-parietal network including the IPS. This leads us to propose that the left IPS would be engaged in the refinement of cognitive processes involved in number comparison during development, while the right IPS would underlie the semantic representation of numbers and its activation would be mainly affected by the numerical proximity between them.", "author" : [ { "dropping-particle" : "", "family" : "Mussolin", "given" : "Christophe", "non-dropping-particle" : "", "parse-names" : false, "suffix" : "" }, { "dropping-particle" : "", "family" : "No\u00ebl", "given" : "Marie-Pascale", "non-dropping-particle" : "", "parse-names" : false, "suffix" : "" }, { "dropping-particle" : "", "family" : "Pesenti", "given" : "Mauro", "non-dropping-particle" : "", "parse-names" : false, "suffix" : "" }, { "dropping-particle" : "", "family" : "Grandin", "given" : "C\u00e9cile", "non-dropping-particle" : "", "parse-names" : false, "suffix" : "" }, { "dropping-particle" : "", "family" : "Volder", "given" : "Anne G", "non-dropping-particle" : "De", "parse-names" : false, "suffix" : "" } ], "container-title" : "Frontiers in psychology", "id" : "ITEM-1", "issue" : "October", "issued" : { "date-parts" : [ [ "2013" ] ] }, "page" : "663", "title" : "Neural correlates of the numerical distance effect in children.", "type" : "article-journal", "volume" : "4" }, "uris" : [ "http://www.mendeley.com/documents/?uuid=1587e1ea-eec1-4a81-8e75-4c6c95f977a0" ] }, { "id" : "ITEM-2", "itemData" : { "abstract" : "Positron emission tomography was used to examine the cerebral networks underlying number comparison and multiplication in eight normal volunteers. Cerebral blood flow was measured within anatomical regions of interest defined in each subject using magnetic resonance imaging. Three conditions were used: rest with eyes closed, mental multiplication of pairs of arabic digits and larger-smaller comparison of the same pairs. Both multiplication and comparison activated the left and right lateral occipital cortices, the left precentral gyrus, and the supplementary motor area. Beyond these common activations, multiplication activated also the left and right inferior parietal gyri, the left fusiform and lingual gyri, and the right cuneus. Relative to comparison, multiplication also yielded superior activity in the left lenticular nucleus and in Brodmann's area 8, and induced a hemispheric asymmetry in the activation of the precentral and inferior frontal gyri. Conversely, relative to multiplication, comparison yielded superior activity in the right superior temporal gyrus, the left and right middle temporal gyri, the right superior frontal gyrus, and the right inferior frontal gyrus. These results underline the role of bilateral inferior parietal regions in number processing and suggest that multiplication and comparison may rest on partially distinct networks.", "author" : [ { "dropping-particle" : "", "family" : "Dehaene", "given" : "Stanislas", "non-dropping-particle" : "", "parse-names" : false, "suffix" : "" }, { "dropping-particle" : "", "family" : "Tzourio", "given" : "Nathalie", "non-dropping-particle" : "", "parse-names" : false, "suffix" : "" }, { "dropping-particle" : "", "family" : "Frak", "given" : "Victor", "non-dropping-particle" : "", "parse-names" : false, "suffix" : "" }, { "dropping-particle" : "", "family" : "Raynaud", "given" : "Laurence", "non-dropping-particle" : "", "parse-names" : false, "suffix" : "" }, { "dropping-particle" : "", "family" : "Cohen", "given" : "Laurent", "non-dropping-particle" : "", "parse-names" : false, "suffix" : "" }, { "dropping-particle" : "", "family" : "Mehler", "given" : "Jacques", "non-dropping-particle" : "", "parse-names" : false, "suffix" : "" }, { "dropping-particle" : "", "family" : "Mazoyer", "given" : "Bernard", "non-dropping-particle" : "", "parse-names" : false, "suffix" : "" } ], "container-title" : "Neuropsychologia", "id" : "ITEM-2", "issue" : "11", "issued" : { "date-parts" : [ [ "1996" ] ] }, "page" : "1097-1106", "title" : "Cerebral activations during number multiplication and comparison: A PET study", "type" : "article-journal", "volume" : "34" }, "uris" : [ "http://www.mendeley.com/documents/?uuid=6ac3b28f-4b9d-4c8f-b9bf-716258fdbd87" ] }, { "id" : "ITEM-3", "itemData" : { "DOI" : "10.1162/089892999563689", "ISBN" : "0898-929X (Print)", "ISSN" : "0898-929X", "PMID" : "10601743", "abstract" : "We measured cerebral activation with functional magnetic resonance imaging at 3 Tesla while eight healthy volunteers performed various number processing tasks known to be dissociable in brain-lesioned patients: naming, comparing, multiplying, or subtracting single digits. The results revealed the activation of a circuit comprising bilateral intraparietal, prefrontal, and anterior cingulate components. The extension and lateralization of this circuit was modulated by task demands. The intraparietal and prefrontal activation was more important in the right hemisphere during the comparison task and in the left hemisphere during the multiplication task and was intensely bilateral during the subtraction task. Thus, partially distinct cerebral circuits with the dorsal parietal pathway underlie distinct arithmetic operations.", "author" : [ { "dropping-particle" : "", "family" : "Chochon", "given" : "F", "non-dropping-particle" : "", "parse-names" : false, "suffix" : "" }, { "dropping-particle" : "", "family" : "Cohen", "given" : "L", "non-dropping-particle" : "", "parse-names" : false, "suffix" : "" }, { "dropping-particle" : "", "family" : "Moortele", "given" : "P F", "non-dropping-particle" : "van de", "parse-names" : false, "suffix" : "" }, { "dropping-particle" : "", "family" : "Dehaene", "given" : "S", "non-dropping-particle" : "", "parse-names" : false, "suffix" : "" } ], "container-title" : "Journal of cognitive neuroscience", "id" : "ITEM-3", "issue" : "6", "issued" : { "date-parts" : [ [ "1999" ] ] }, "page" : "617-630", "title" : "Differential contributions of the left and right inferior parietal lobules to number processing.", "type" : "article-journal", "volume" : "11" }, "uris" : [ "http://www.mendeley.com/documents/?uuid=8949074a-8b00-4e55-a447-1c0d929ce43b" ] } ], "mendeley" : { "formattedCitation" : "(Mussolin et al. 2013; Dehaene et al. 1996; Chochon et al. 1999)", "plainTextFormattedCitation" : "(Mussolin et al. 2013; Dehaene et al. 1996; Chochon et al. 1999)", "previouslyFormattedCitation" : "(Mussolin et al. 2013; Dehaene et al. 1996; Chochon et al. 1999)" }, "properties" : { "noteIndex" : 0 }, "schema" : "https://github.com/citation-style-language/schema/raw/master/csl-citation.json" }</w:instrText>
      </w:r>
      <w:r w:rsidR="009136BE" w:rsidRPr="002302AF">
        <w:rPr>
          <w:rFonts w:ascii="Times" w:hAnsi="Times" w:cs="Arial"/>
          <w:noProof/>
          <w:lang w:val="en-US"/>
        </w:rPr>
        <w:fldChar w:fldCharType="separate"/>
      </w:r>
      <w:r w:rsidR="009136BE" w:rsidRPr="002302AF">
        <w:rPr>
          <w:rFonts w:ascii="Times" w:hAnsi="Times" w:cs="Arial"/>
          <w:noProof/>
          <w:lang w:val="en-US"/>
        </w:rPr>
        <w:t>(Mussolin et al. 2013; Dehaene et al. 1996; Chochon et al. 1999)</w:t>
      </w:r>
      <w:r w:rsidR="009136BE" w:rsidRPr="002302AF">
        <w:rPr>
          <w:rFonts w:ascii="Times" w:hAnsi="Times" w:cs="Arial"/>
          <w:noProof/>
          <w:lang w:val="en-US"/>
        </w:rPr>
        <w:fldChar w:fldCharType="end"/>
      </w:r>
      <w:r w:rsidR="000947F5" w:rsidRPr="002302AF">
        <w:rPr>
          <w:rFonts w:ascii="Times" w:hAnsi="Times" w:cs="Arial"/>
          <w:noProof/>
          <w:lang w:val="en-US"/>
        </w:rPr>
        <w:t xml:space="preserve">. It </w:t>
      </w:r>
      <w:r w:rsidR="00597CF3" w:rsidRPr="002302AF">
        <w:rPr>
          <w:rFonts w:ascii="Times" w:hAnsi="Times" w:cs="Arial"/>
          <w:noProof/>
          <w:lang w:val="en-US"/>
        </w:rPr>
        <w:t xml:space="preserve">has been postulated that </w:t>
      </w:r>
      <w:r w:rsidR="00AF7D5C" w:rsidRPr="002302AF">
        <w:rPr>
          <w:rFonts w:ascii="Times" w:hAnsi="Times" w:cs="Arial"/>
          <w:noProof/>
          <w:lang w:val="en-US"/>
        </w:rPr>
        <w:t>the left inferior parietal sulcus</w:t>
      </w:r>
      <w:r w:rsidR="000947F5" w:rsidRPr="002302AF">
        <w:rPr>
          <w:rFonts w:ascii="Times" w:hAnsi="Times" w:cs="Arial"/>
          <w:noProof/>
          <w:lang w:val="en-US"/>
        </w:rPr>
        <w:t xml:space="preserve"> has</w:t>
      </w:r>
      <w:r w:rsidR="00AF7D5C" w:rsidRPr="002302AF">
        <w:rPr>
          <w:rFonts w:ascii="Times" w:hAnsi="Times" w:cs="Arial"/>
          <w:noProof/>
          <w:lang w:val="en-US"/>
        </w:rPr>
        <w:t xml:space="preserve"> greater precision in numerical coding </w:t>
      </w:r>
      <w:r w:rsidR="00AF7D5C" w:rsidRPr="002302AF">
        <w:rPr>
          <w:rFonts w:ascii="Times" w:hAnsi="Times" w:cs="Arial"/>
          <w:noProof/>
          <w:lang w:val="en-US"/>
        </w:rPr>
        <w:fldChar w:fldCharType="begin" w:fldLock="1"/>
      </w:r>
      <w:r w:rsidR="00587D0F" w:rsidRPr="002302AF">
        <w:rPr>
          <w:rFonts w:ascii="Times" w:hAnsi="Times" w:cs="Arial"/>
          <w:noProof/>
          <w:lang w:val="en-US"/>
        </w:rPr>
        <w:instrText>ADDIN CSL_CITATION { "citationItems" : [ { "id" : "ITEM-1", "itemData" : { "DOI" : "10.1016/j.neuron.2004.10.014", "ISBN" : "0896-6273 (Print)\\r0896-6273 (Linking)", "ISSN" : "08966273", "PMID" : "15504333", "abstract" : "Number, like color or movement, is a basic property of the environment. Recently, single neurons tuned to number have been observed in animals. We used both psychophysics and neuroimaging to examine whether a similar neural coding scheme is present in humans. When participants viewed sets of items with a variable number, the bilateral intraparietal sulci responded selectively to number change. Functionally, the shape of this response indicates that humans, like other animal species, encode approximate number on a compressed internal scale. Anatomically, the intraparietal site coding for number in humans is compatible with that observed in macaque monkeys. Our results therefore suggest an evolutionary basis for human elementary arithmetic.", "author" : [ { "dropping-particle" : "", "family" : "Piazza", "given" : "Manuela", "non-dropping-particle" : "", "parse-names" : false, "suffix" : "" }, { "dropping-particle" : "", "family" : "Izard", "given" : "V\u00e9ronique", "non-dropping-particle" : "", "parse-names" : false, "suffix" : "" }, { "dropping-particle" : "", "family" : "Pinel", "given" : "Philippe", "non-dropping-particle" : "", "parse-names" : false, "suffix" : "" }, { "dropping-particle" : "", "family" : "Bihan", "given" : "Denis", "non-dropping-particle" : "Le", "parse-names" : false, "suffix" : "" }, { "dropping-particle" : "", "family" : "Dehaene", "given" : "Stanislas", "non-dropping-particle" : "", "parse-names" : false, "suffix" : "" } ], "container-title" : "Neuron", "id" : "ITEM-1", "issue" : "3", "issued" : { "date-parts" : [ [ "2004" ] ] }, "page" : "547-555", "title" : "Tuning curves for approximate numerosity in the human intraparietal sulcus", "type" : "article-journal", "volume" : "44" }, "uris" : [ "http://www.mendeley.com/documents/?uuid=8d4dd707-5701-4355-bf23-1b09626e5f57" ] }, { "id" : "ITEM-2", "itemData" : { "DOI" : "10.1016/j.cogbrainres.2005.06.002", "ISSN" : "0926-6410", "abstract" : "In order to clarify the respective contribution of the right and left posterior parietal cortex (PPC) to number comparison, transcranial magnetic stimulation (TMS) was used to disrupt PPC processing in subjects instructed to determine whether a digit was smaller or larger than 5. Single pulse TMS was applied over the PPC, either unilaterally or bilaterally, 150, 200, or 250 ms after digit presentation. Sham TMS was used as a control condition to take into account the unspecific effects of TMS on reaction time (RT). The main finding of the present study is a significant increase in RTs when comparing digits close to 5 following a disruption either of the left PPC alone or of both PPC simultaneously. The comparison of digits far from 5 was unaltered by disrupting only one PPC but RTs were found increased after bilateral PPC stimulation. These disruptive effects were observed irrespective of the TMS delay. We concluded that coding precise numerical values requires the integrity of the left PPC, as suggested by the deficit in discriminating close digits consequent to its disruption. In contrast, approximate comparisons can be processed either by the left or right PPC, since simultaneous bilateral TMS was needed to alter the comparison of digits far from 5.", "author" : [ { "dropping-particle" : "", "family" : "Andres", "given" : "M", "non-dropping-particle" : "", "parse-names" : false, "suffix" : "" }, { "dropping-particle" : "", "family" : "Seron", "given" : "X", "non-dropping-particle" : "", "parse-names" : false, "suffix" : "" }, { "dropping-particle" : "", "family" : "Olivier", "given" : "E", "non-dropping-particle" : "", "parse-names" : false, "suffix" : "" } ], "container-title" : "Brain Res Cogn Brain Res", "id" : "ITEM-2", "issued" : { "date-parts" : [ [ "2005" ] ] }, "language" : "eng", "page" : "283-290", "title" : "Hemispheric lateralization of number comparison", "type" : "article-journal", "volume" : "25" }, "uris" : [ "http://www.mendeley.com/documents/?uuid=f381e57b-608f-4b6f-bf33-fc69054870fc" ] } ], "mendeley" : { "formattedCitation" : "(Piazza et al. 2004; Andres et al. 2005)", "plainTextFormattedCitation" : "(Piazza et al. 2004; Andres et al. 2005)", "previouslyFormattedCitation" : "(Piazza et al. 2004; Andres et al. 2005)" }, "properties" : { "noteIndex" : 0 }, "schema" : "https://github.com/citation-style-language/schema/raw/master/csl-citation.json" }</w:instrText>
      </w:r>
      <w:r w:rsidR="00AF7D5C" w:rsidRPr="002302AF">
        <w:rPr>
          <w:rFonts w:ascii="Times" w:hAnsi="Times" w:cs="Arial"/>
          <w:noProof/>
          <w:lang w:val="en-US"/>
        </w:rPr>
        <w:fldChar w:fldCharType="separate"/>
      </w:r>
      <w:r w:rsidR="00AF7D5C" w:rsidRPr="002302AF">
        <w:rPr>
          <w:rFonts w:ascii="Times" w:hAnsi="Times" w:cs="Arial"/>
          <w:noProof/>
          <w:lang w:val="en-US"/>
        </w:rPr>
        <w:t>(Piazza et al. 2004; Andres et al. 2005)</w:t>
      </w:r>
      <w:r w:rsidR="00AF7D5C" w:rsidRPr="002302AF">
        <w:rPr>
          <w:rFonts w:ascii="Times" w:hAnsi="Times" w:cs="Arial"/>
          <w:noProof/>
          <w:lang w:val="en-US"/>
        </w:rPr>
        <w:fldChar w:fldCharType="end"/>
      </w:r>
      <w:r w:rsidR="00AC05C1" w:rsidRPr="002302AF">
        <w:rPr>
          <w:rFonts w:ascii="Times" w:hAnsi="Times" w:cs="Arial"/>
          <w:noProof/>
          <w:lang w:val="en-US"/>
        </w:rPr>
        <w:t xml:space="preserve">, </w:t>
      </w:r>
      <w:r w:rsidR="00232249" w:rsidRPr="002302AF">
        <w:rPr>
          <w:rFonts w:ascii="Times" w:hAnsi="Times" w:cs="Arial"/>
          <w:noProof/>
          <w:lang w:val="en-US"/>
        </w:rPr>
        <w:t xml:space="preserve">possibly </w:t>
      </w:r>
      <w:r w:rsidR="00AC05C1" w:rsidRPr="002302AF">
        <w:rPr>
          <w:rFonts w:ascii="Times" w:hAnsi="Times" w:cs="Arial"/>
          <w:noProof/>
          <w:lang w:val="en-US"/>
        </w:rPr>
        <w:t xml:space="preserve">because of its </w:t>
      </w:r>
      <w:r w:rsidR="008116C4" w:rsidRPr="002302AF">
        <w:rPr>
          <w:rFonts w:ascii="Times" w:hAnsi="Times" w:cs="Arial"/>
          <w:noProof/>
          <w:lang w:val="en-US"/>
        </w:rPr>
        <w:t xml:space="preserve">with </w:t>
      </w:r>
      <w:r w:rsidR="006E2E0E" w:rsidRPr="002302AF">
        <w:rPr>
          <w:rFonts w:ascii="Times" w:hAnsi="Times" w:cs="Arial"/>
          <w:noProof/>
          <w:lang w:val="en-US"/>
        </w:rPr>
        <w:t xml:space="preserve">left-sided language networks underlying verbal coding of number </w:t>
      </w:r>
      <w:r w:rsidR="00447741" w:rsidRPr="002302AF">
        <w:rPr>
          <w:rFonts w:ascii="Times" w:hAnsi="Times" w:cs="Arial"/>
          <w:noProof/>
          <w:lang w:val="en-US"/>
        </w:rPr>
        <w:fldChar w:fldCharType="begin" w:fldLock="1"/>
      </w:r>
      <w:r w:rsidR="00AF7D5C" w:rsidRPr="002302AF">
        <w:rPr>
          <w:rFonts w:ascii="Times" w:hAnsi="Times" w:cs="Arial"/>
          <w:noProof/>
          <w:lang w:val="en-US"/>
        </w:rPr>
        <w:instrText>ADDIN CSL_CITATION { "citationItems" : [ { "id" : "ITEM-1", "itemData" : { "DOI" : "10.2307/2218866", "ISBN" : "0-19-875043-9", "ISSN" : "00318094", "author" : [ { "dropping-particle" : "", "family" : "Dehaene", "given" : "S", "non-dropping-particle" : "", "parse-names" : false, "suffix" : "" } ], "container-title" : "Mind and Language", "id" : "ITEM-1", "issued" : { "date-parts" : [ [ "2001" ] ] }, "page" : "16-36", "title" : "Precis of the number sense", "type" : "article-journal", "volume" : "16" }, "uris" : [ "http://www.mendeley.com/documents/?uuid=9c774cb5-1b91-4ce5-b251-b1baf2495714" ] } ], "mendeley" : { "formattedCitation" : "(Dehaene 2001)", "plainTextFormattedCitation" : "(Dehaene 2001)", "previouslyFormattedCitation" : "(Dehaene 2001)" }, "properties" : { "noteIndex" : 0 }, "schema" : "https://github.com/citation-style-language/schema/raw/master/csl-citation.json" }</w:instrText>
      </w:r>
      <w:r w:rsidR="00447741" w:rsidRPr="002302AF">
        <w:rPr>
          <w:rFonts w:ascii="Times" w:hAnsi="Times" w:cs="Arial"/>
          <w:noProof/>
          <w:lang w:val="en-US"/>
        </w:rPr>
        <w:fldChar w:fldCharType="separate"/>
      </w:r>
      <w:r w:rsidR="00447741" w:rsidRPr="002302AF">
        <w:rPr>
          <w:rFonts w:ascii="Times" w:hAnsi="Times" w:cs="Arial"/>
          <w:noProof/>
          <w:lang w:val="en-US"/>
        </w:rPr>
        <w:t>(Dehaene 2001)</w:t>
      </w:r>
      <w:r w:rsidR="00447741" w:rsidRPr="002302AF">
        <w:rPr>
          <w:rFonts w:ascii="Times" w:hAnsi="Times" w:cs="Arial"/>
          <w:noProof/>
          <w:lang w:val="en-US"/>
        </w:rPr>
        <w:fldChar w:fldCharType="end"/>
      </w:r>
      <w:r w:rsidR="006E2E0E" w:rsidRPr="002302AF">
        <w:rPr>
          <w:rFonts w:ascii="Times" w:hAnsi="Times" w:cs="Arial"/>
          <w:noProof/>
          <w:lang w:val="en-US"/>
        </w:rPr>
        <w:t xml:space="preserve">. </w:t>
      </w:r>
      <w:r w:rsidR="00E32302" w:rsidRPr="002302AF">
        <w:rPr>
          <w:rFonts w:ascii="Times" w:hAnsi="Times" w:cs="Arial"/>
          <w:noProof/>
          <w:lang w:val="en-US"/>
        </w:rPr>
        <w:t xml:space="preserve">Furthermore, </w:t>
      </w:r>
      <w:r w:rsidR="00587D0F" w:rsidRPr="002302AF">
        <w:rPr>
          <w:rFonts w:ascii="Times" w:hAnsi="Times" w:cs="Arial"/>
          <w:noProof/>
          <w:lang w:val="en-US"/>
        </w:rPr>
        <w:t>there may be an element of interhemispheric inhibition between parietal hemispheres</w:t>
      </w:r>
      <w:r w:rsidR="006119A0" w:rsidRPr="002302AF">
        <w:rPr>
          <w:rFonts w:ascii="Times" w:hAnsi="Times" w:cs="Arial"/>
          <w:noProof/>
          <w:lang w:val="en-US"/>
        </w:rPr>
        <w:t xml:space="preserve">, as </w:t>
      </w:r>
      <w:r w:rsidR="00F02A5A" w:rsidRPr="002302AF">
        <w:rPr>
          <w:rFonts w:ascii="Times" w:hAnsi="Times" w:cs="Arial"/>
          <w:noProof/>
          <w:lang w:val="en-US"/>
        </w:rPr>
        <w:t xml:space="preserve">a study of </w:t>
      </w:r>
      <w:r w:rsidR="002A46CE" w:rsidRPr="002302AF">
        <w:rPr>
          <w:rFonts w:ascii="Times" w:hAnsi="Times" w:cs="Arial"/>
          <w:noProof/>
          <w:lang w:val="en-US"/>
        </w:rPr>
        <w:t xml:space="preserve">inhibitory rTMS of the intraparietal </w:t>
      </w:r>
      <w:r w:rsidR="00FE68AC" w:rsidRPr="002302AF">
        <w:rPr>
          <w:rFonts w:ascii="Times" w:hAnsi="Times" w:cs="Arial"/>
          <w:noProof/>
          <w:lang w:val="en-US"/>
        </w:rPr>
        <w:t xml:space="preserve">sulcus </w:t>
      </w:r>
      <w:r w:rsidR="00061547" w:rsidRPr="002302AF">
        <w:rPr>
          <w:rFonts w:ascii="Times" w:hAnsi="Times" w:cs="Arial"/>
          <w:noProof/>
          <w:lang w:val="en-US"/>
        </w:rPr>
        <w:t xml:space="preserve">found </w:t>
      </w:r>
      <w:r w:rsidR="006E007B" w:rsidRPr="002302AF">
        <w:rPr>
          <w:rFonts w:ascii="Times" w:hAnsi="Times" w:cs="Arial"/>
          <w:noProof/>
          <w:lang w:val="en-US"/>
        </w:rPr>
        <w:t xml:space="preserve">impaired number comparison performance with left rTMS but </w:t>
      </w:r>
      <w:r w:rsidR="008F6AD6" w:rsidRPr="002302AF">
        <w:rPr>
          <w:rFonts w:ascii="Times" w:hAnsi="Times" w:cs="Arial"/>
          <w:noProof/>
          <w:lang w:val="en-US"/>
        </w:rPr>
        <w:t>improve</w:t>
      </w:r>
      <w:r w:rsidR="00886A3F" w:rsidRPr="002302AF">
        <w:rPr>
          <w:rFonts w:ascii="Times" w:hAnsi="Times" w:cs="Arial"/>
          <w:noProof/>
          <w:lang w:val="en-US"/>
        </w:rPr>
        <w:t>d</w:t>
      </w:r>
      <w:r w:rsidR="002A46CE" w:rsidRPr="002302AF">
        <w:rPr>
          <w:rFonts w:ascii="Times" w:hAnsi="Times" w:cs="Arial"/>
          <w:noProof/>
          <w:lang w:val="en-US"/>
        </w:rPr>
        <w:t xml:space="preserve"> </w:t>
      </w:r>
      <w:r w:rsidR="00E10F45" w:rsidRPr="002302AF">
        <w:rPr>
          <w:rFonts w:ascii="Times" w:hAnsi="Times" w:cs="Arial"/>
          <w:noProof/>
          <w:lang w:val="en-US"/>
        </w:rPr>
        <w:t>performance</w:t>
      </w:r>
      <w:r w:rsidR="006E007B" w:rsidRPr="002302AF">
        <w:rPr>
          <w:rFonts w:ascii="Times" w:hAnsi="Times" w:cs="Arial"/>
          <w:noProof/>
          <w:lang w:val="en-US"/>
        </w:rPr>
        <w:t xml:space="preserve"> after right-sided rTMS</w:t>
      </w:r>
      <w:r w:rsidR="004C1AD8" w:rsidRPr="002302AF">
        <w:rPr>
          <w:rFonts w:ascii="Times" w:hAnsi="Times" w:cs="Arial"/>
          <w:noProof/>
          <w:lang w:val="en-US"/>
        </w:rPr>
        <w:t xml:space="preserve"> </w:t>
      </w:r>
      <w:r w:rsidR="00587D0F" w:rsidRPr="002302AF">
        <w:rPr>
          <w:rFonts w:ascii="Times" w:hAnsi="Times" w:cs="Arial"/>
          <w:noProof/>
          <w:lang w:val="en-US"/>
        </w:rPr>
        <w:fldChar w:fldCharType="begin" w:fldLock="1"/>
      </w:r>
      <w:r w:rsidR="003773C6" w:rsidRPr="002302AF">
        <w:rPr>
          <w:rFonts w:ascii="Times" w:hAnsi="Times" w:cs="Arial"/>
          <w:noProof/>
          <w:lang w:val="en-US"/>
        </w:rPr>
        <w:instrText>ADDIN CSL_CITATION { "citationItems" : [ { "id" : "ITEM-1", "itemData" : { "DOI" : "10.1007/s00221-006-0820-0.rTMS", "author" : [ { "dropping-particle" : "", "family" : "Cappelletti", "given" : "Marinella", "non-dropping-particle" : "", "parse-names" : false, "suffix" : "" }, { "dropping-particle" : "", "family" : "Barth", "given" : "Hilary", "non-dropping-particle" : "", "parse-names" : false, "suffix" : "" }, { "dropping-particle" : "", "family" : "Spelke", "given" : "Elizabeth S", "non-dropping-particle" : "", "parse-names" : false, "suffix" : "" } ], "container-title" : "Experimental brain research", "id" : "ITEM-1", "issue" : "4", "issued" : { "date-parts" : [ [ "2008" ] ] }, "page" : "631-642", "title" : "rTMS over the intraparietal sulcus disrupts numerosity processing", "type" : "article-journal", "volume" : "179" }, "uris" : [ "http://www.mendeley.com/documents/?uuid=72fa994b-1f1b-4187-b0d4-4aed1faf185e" ] } ], "mendeley" : { "formattedCitation" : "(Cappelletti et al. 2008)", "plainTextFormattedCitation" : "(Cappelletti et al. 2008)", "previouslyFormattedCitation" : "(Cappelletti et al. 2008)" }, "properties" : { "noteIndex" : 0 }, "schema" : "https://github.com/citation-style-language/schema/raw/master/csl-citation.json" }</w:instrText>
      </w:r>
      <w:r w:rsidR="00587D0F" w:rsidRPr="002302AF">
        <w:rPr>
          <w:rFonts w:ascii="Times" w:hAnsi="Times" w:cs="Arial"/>
          <w:noProof/>
          <w:lang w:val="en-US"/>
        </w:rPr>
        <w:fldChar w:fldCharType="separate"/>
      </w:r>
      <w:r w:rsidR="00587D0F" w:rsidRPr="002302AF">
        <w:rPr>
          <w:rFonts w:ascii="Times" w:hAnsi="Times" w:cs="Arial"/>
          <w:noProof/>
          <w:lang w:val="en-US"/>
        </w:rPr>
        <w:t>(Cappelletti et al. 2008)</w:t>
      </w:r>
      <w:r w:rsidR="00587D0F" w:rsidRPr="002302AF">
        <w:rPr>
          <w:rFonts w:ascii="Times" w:hAnsi="Times" w:cs="Arial"/>
          <w:noProof/>
          <w:lang w:val="en-US"/>
        </w:rPr>
        <w:fldChar w:fldCharType="end"/>
      </w:r>
      <w:r w:rsidR="004C1AD8" w:rsidRPr="002302AF">
        <w:rPr>
          <w:rFonts w:ascii="Times" w:hAnsi="Times" w:cs="Arial"/>
          <w:noProof/>
          <w:lang w:val="en-US"/>
        </w:rPr>
        <w:t>.</w:t>
      </w:r>
      <w:r w:rsidR="00587D0F" w:rsidRPr="002302AF">
        <w:rPr>
          <w:rFonts w:ascii="Times" w:hAnsi="Times" w:cs="Arial"/>
          <w:noProof/>
          <w:lang w:val="en-US"/>
        </w:rPr>
        <w:t xml:space="preserve"> An asymmetrical and adversarial </w:t>
      </w:r>
      <w:r w:rsidR="00110A69" w:rsidRPr="002302AF">
        <w:rPr>
          <w:rFonts w:ascii="Times" w:hAnsi="Times" w:cs="Arial"/>
          <w:noProof/>
          <w:lang w:val="en-US"/>
        </w:rPr>
        <w:t xml:space="preserve">component to numerical processing by the parietal lobes </w:t>
      </w:r>
      <w:r w:rsidR="00AB10C6" w:rsidRPr="002302AF">
        <w:rPr>
          <w:rFonts w:ascii="Times" w:hAnsi="Times" w:cs="Arial"/>
          <w:noProof/>
          <w:lang w:val="en-US"/>
        </w:rPr>
        <w:t>might explain why our particular montage (oppositional RA/LC) produced effects on the distance effect on the number comparison task.</w:t>
      </w:r>
    </w:p>
    <w:p w14:paraId="15677BBD" w14:textId="77777777" w:rsidR="004229B3" w:rsidRDefault="004229B3" w:rsidP="004229B3">
      <w:pPr>
        <w:spacing w:line="480" w:lineRule="auto"/>
        <w:jc w:val="both"/>
        <w:rPr>
          <w:rFonts w:ascii="Times" w:hAnsi="Times"/>
          <w:u w:val="single"/>
        </w:rPr>
      </w:pPr>
    </w:p>
    <w:p w14:paraId="5778FF55" w14:textId="6DE1408A" w:rsidR="00C02B1A" w:rsidRPr="001C1E75" w:rsidRDefault="004229B3" w:rsidP="004229B3">
      <w:pPr>
        <w:spacing w:line="480" w:lineRule="auto"/>
        <w:jc w:val="both"/>
        <w:rPr>
          <w:rFonts w:ascii="Times" w:hAnsi="Times"/>
          <w:b/>
          <w:u w:val="single"/>
        </w:rPr>
      </w:pPr>
      <w:r w:rsidRPr="001C1E75">
        <w:rPr>
          <w:rFonts w:ascii="Times" w:hAnsi="Times"/>
          <w:b/>
          <w:u w:val="single"/>
        </w:rPr>
        <w:t>We also showed a distinct polarity dependent effect of parietal tDCS on</w:t>
      </w:r>
      <w:r w:rsidR="006E1BC5" w:rsidRPr="001C1E75">
        <w:rPr>
          <w:rFonts w:ascii="Times" w:hAnsi="Times"/>
          <w:b/>
          <w:u w:val="single"/>
        </w:rPr>
        <w:t xml:space="preserve"> both</w:t>
      </w:r>
      <w:r w:rsidRPr="001C1E75">
        <w:rPr>
          <w:rFonts w:ascii="Times" w:hAnsi="Times"/>
          <w:b/>
          <w:u w:val="single"/>
        </w:rPr>
        <w:t xml:space="preserve"> vigilance level</w:t>
      </w:r>
      <w:r w:rsidR="00B32FB9" w:rsidRPr="001C1E75">
        <w:rPr>
          <w:rFonts w:ascii="Times" w:hAnsi="Times"/>
          <w:b/>
          <w:u w:val="single"/>
        </w:rPr>
        <w:t xml:space="preserve"> and decrement</w:t>
      </w:r>
      <w:r w:rsidRPr="001C1E75">
        <w:rPr>
          <w:rFonts w:ascii="Times" w:hAnsi="Times"/>
          <w:b/>
          <w:u w:val="single"/>
        </w:rPr>
        <w:t xml:space="preserve">. </w:t>
      </w:r>
      <w:r w:rsidR="00B32FB9" w:rsidRPr="001C1E75">
        <w:rPr>
          <w:rFonts w:ascii="Times" w:hAnsi="Times"/>
          <w:b/>
          <w:u w:val="single"/>
        </w:rPr>
        <w:t xml:space="preserve">Comparing </w:t>
      </w:r>
      <w:r w:rsidR="00210DD9" w:rsidRPr="001C1E75">
        <w:rPr>
          <w:rFonts w:ascii="Times" w:hAnsi="Times"/>
          <w:b/>
          <w:u w:val="single"/>
        </w:rPr>
        <w:t>the</w:t>
      </w:r>
      <w:r w:rsidR="00B32FB9" w:rsidRPr="001C1E75">
        <w:rPr>
          <w:rFonts w:ascii="Times" w:hAnsi="Times"/>
          <w:b/>
          <w:u w:val="single"/>
        </w:rPr>
        <w:t xml:space="preserve"> stimulation</w:t>
      </w:r>
      <w:r w:rsidR="00210DD9" w:rsidRPr="001C1E75">
        <w:rPr>
          <w:rFonts w:ascii="Times" w:hAnsi="Times"/>
          <w:b/>
          <w:u w:val="single"/>
        </w:rPr>
        <w:t xml:space="preserve"> montages</w:t>
      </w:r>
      <w:r w:rsidR="00B32FB9" w:rsidRPr="001C1E75">
        <w:rPr>
          <w:rFonts w:ascii="Times" w:hAnsi="Times"/>
          <w:b/>
          <w:u w:val="single"/>
        </w:rPr>
        <w:t xml:space="preserve"> directly showed that reaction times for a simple choice reaction task (CRT) were greater for the RA/LC than RC/LA montage at the end of the task.</w:t>
      </w:r>
      <w:r w:rsidR="00C02B1A" w:rsidRPr="001C1E75">
        <w:rPr>
          <w:rFonts w:ascii="Times" w:hAnsi="Times"/>
          <w:b/>
          <w:u w:val="single"/>
        </w:rPr>
        <w:t xml:space="preserve"> This shows that</w:t>
      </w:r>
      <w:r w:rsidR="004B6B79" w:rsidRPr="001C1E75">
        <w:rPr>
          <w:rFonts w:ascii="Times" w:hAnsi="Times"/>
          <w:b/>
          <w:u w:val="single"/>
        </w:rPr>
        <w:t xml:space="preserve"> distinct types of</w:t>
      </w:r>
      <w:r w:rsidR="00941732">
        <w:rPr>
          <w:rFonts w:ascii="Times" w:hAnsi="Times"/>
          <w:b/>
          <w:u w:val="single"/>
        </w:rPr>
        <w:t xml:space="preserve"> oppositional parietal t</w:t>
      </w:r>
      <w:r w:rsidR="00C02B1A" w:rsidRPr="001C1E75">
        <w:rPr>
          <w:rFonts w:ascii="Times" w:hAnsi="Times"/>
          <w:b/>
          <w:u w:val="single"/>
        </w:rPr>
        <w:t xml:space="preserve">DCS can modulate vigilance. However, the effects of both montages were not significantly different from our </w:t>
      </w:r>
      <w:r w:rsidR="00D34A85" w:rsidRPr="001C1E75">
        <w:rPr>
          <w:rFonts w:ascii="Times" w:hAnsi="Times"/>
          <w:b/>
          <w:u w:val="single"/>
        </w:rPr>
        <w:t xml:space="preserve">sham </w:t>
      </w:r>
      <w:r w:rsidR="00C02B1A" w:rsidRPr="001C1E75">
        <w:rPr>
          <w:rFonts w:ascii="Times" w:hAnsi="Times"/>
          <w:b/>
          <w:u w:val="single"/>
        </w:rPr>
        <w:t>condition. Therefore, it is no</w:t>
      </w:r>
      <w:r w:rsidR="00D34A85" w:rsidRPr="001C1E75">
        <w:rPr>
          <w:rFonts w:ascii="Times" w:hAnsi="Times"/>
          <w:b/>
          <w:u w:val="single"/>
        </w:rPr>
        <w:t>t</w:t>
      </w:r>
      <w:r w:rsidR="00C02B1A" w:rsidRPr="001C1E75">
        <w:rPr>
          <w:rFonts w:ascii="Times" w:hAnsi="Times"/>
          <w:b/>
          <w:u w:val="single"/>
        </w:rPr>
        <w:t xml:space="preserve"> possible to be certain whether </w:t>
      </w:r>
      <w:r w:rsidR="00F216ED" w:rsidRPr="001C1E75">
        <w:rPr>
          <w:rFonts w:ascii="Times" w:hAnsi="Times"/>
          <w:b/>
          <w:u w:val="single"/>
        </w:rPr>
        <w:t>the RA/LC montage impaired vigilance and/or the RC/LA montage enhanced it. Further work will be necessary to answer this question.</w:t>
      </w:r>
    </w:p>
    <w:p w14:paraId="04D8440D" w14:textId="77777777" w:rsidR="00C02B1A" w:rsidRDefault="00C02B1A" w:rsidP="004229B3">
      <w:pPr>
        <w:spacing w:line="480" w:lineRule="auto"/>
        <w:jc w:val="both"/>
        <w:rPr>
          <w:rFonts w:ascii="Times" w:hAnsi="Times"/>
        </w:rPr>
      </w:pPr>
    </w:p>
    <w:p w14:paraId="655EF729" w14:textId="4D5440C8" w:rsidR="004229B3" w:rsidRPr="004229B3" w:rsidRDefault="00D61FEF" w:rsidP="004229B3">
      <w:pPr>
        <w:spacing w:line="480" w:lineRule="auto"/>
        <w:jc w:val="both"/>
        <w:rPr>
          <w:rFonts w:ascii="Times" w:hAnsi="Times"/>
        </w:rPr>
      </w:pPr>
      <w:r w:rsidRPr="001C1E75">
        <w:rPr>
          <w:rFonts w:ascii="Times" w:hAnsi="Times"/>
          <w:b/>
          <w:u w:val="single"/>
        </w:rPr>
        <w:t xml:space="preserve">A bi-parietal oppositional montage thus appears to affect both vigilance and numerical processing. Therefore, the observed effects of tDCS on the number comparison task could be partially explained by the effects of </w:t>
      </w:r>
      <w:r w:rsidR="00596890" w:rsidRPr="001C1E75">
        <w:rPr>
          <w:rFonts w:ascii="Times" w:hAnsi="Times"/>
          <w:b/>
          <w:u w:val="single"/>
        </w:rPr>
        <w:t>tD</w:t>
      </w:r>
      <w:r w:rsidRPr="001C1E75">
        <w:rPr>
          <w:rFonts w:ascii="Times" w:hAnsi="Times"/>
          <w:b/>
          <w:u w:val="single"/>
        </w:rPr>
        <w:t>CS on sustained attention</w:t>
      </w:r>
      <w:r w:rsidR="00596890" w:rsidRPr="001C1E75">
        <w:rPr>
          <w:rFonts w:ascii="Times" w:hAnsi="Times"/>
          <w:b/>
          <w:u w:val="single"/>
        </w:rPr>
        <w:t xml:space="preserve"> or a combination of specific effects on numerical processing and non-specific attentional effects.</w:t>
      </w:r>
      <w:r w:rsidR="0004482D">
        <w:rPr>
          <w:rFonts w:ascii="Times" w:hAnsi="Times"/>
        </w:rPr>
        <w:t xml:space="preserve"> </w:t>
      </w:r>
      <w:r w:rsidR="004229B3" w:rsidRPr="004229B3">
        <w:rPr>
          <w:rFonts w:ascii="Times" w:hAnsi="Times"/>
        </w:rPr>
        <w:t xml:space="preserve">In keeping with a common effect, Husain and colleagues have previously argued that spatial neglect following right parietal stroke results from a combination of a specific impairment of spatial processing and a non-specific effect on sustained attention </w:t>
      </w:r>
      <w:r w:rsidR="004229B3" w:rsidRPr="00E576CB">
        <w:rPr>
          <w:rFonts w:ascii="Times" w:hAnsi="Times"/>
        </w:rPr>
        <w:fldChar w:fldCharType="begin" w:fldLock="1"/>
      </w:r>
      <w:r w:rsidR="004229B3" w:rsidRPr="004229B3">
        <w:rPr>
          <w:rFonts w:ascii="Times" w:hAnsi="Times"/>
        </w:rPr>
        <w:instrText>ADDIN CSL_CITATION { "citationItems" : [ { "id" : "ITEM-1", "itemData" : { "DOI" : "10.1016/B978-012375731-9/50061-6", "ISBN" : "9780123757319", "ISSN" : "1471003X", "PMID" : "12511859", "abstract" : "Hemispatial neglect is a common disabling disorder following right-hemisphere stroke. Although much work has focused on the lateralized components of neglect, recent investigations have also revealed deficits that are not spatially lateralized and are present in both the good (ipsilesional) side and the neglected (contralesional) side of space. These findings are consistent with new observations from functional imaging, human neuropsychological and monkey electrophysiological studies that also suggest non-spatially lateralized functions for the regions damaged in neglect. Understanding the interaction between spatially lateralized and non-lateralized mechanisms may provide important insights into the neglect syndrome, the normal functions of brain structures commonly damaged in neglect patients, and the development of treatments for the condition. ?? 2005 Elsevier Inc. All rights reserved.", "author" : [ { "dropping-particle" : "", "family" : "Husain", "given" : "Masud", "non-dropping-particle" : "", "parse-names" : false, "suffix" : "" }, { "dropping-particle" : "", "family" : "Rorden", "given" : "Chris", "non-dropping-particle" : "", "parse-names" : false, "suffix" : "" } ], "container-title" : "Nature reviews. Neuroscience", "id" : "ITEM-1", "issue" : "January", "issued" : { "date-parts" : [ [ "2003" ] ] }, "page" : "25-36", "title" : "Nonspatially lateralized mechanisms in hemispatial neglect", "type" : "article-journal", "volume" : "4" }, "uris" : [ "http://www.mendeley.com/documents/?uuid=c60ae877-ceae-475d-87d5-bc1c7a714dd8" ] }, { "id" : "ITEM-2", "itemData" : { "DOI" : "10.1038/385154a0", "ISBN" : "0028-0836", "ISSN" : "0028-0836", "PMID" : "8990117", "abstract" : "When we identify a visual object such as a word or letter, our ability to detect a second object is impaired if it appears within 400ms of the first. This phenomenon has been termed the attentional blink or dwell time and is a measure of our ability to allocate attention over time (temporal attention). Patients with unilateral visual neglect are unaware of people or objects contralateral to their lesion. They are considered to have a disorder of attending to a particular location in space (spatial attention). Here we examined the non-spatial temporal dynamics of attention in patients, using a protocol for assessing the attentional blink. Neglect patients with right parietal, frontal or basal ganglia strokes had an abnormally severe and protracted attentional blink When they identified a letter, their awareness of a subsequent letter was significantly diminished for a length of time that was three times as long as for individuals without neglect. Our results demonstrate for the first time that visual neglect is a disorder of directing attention in time, as well as space.", "author" : [ { "dropping-particle" : "", "family" : "Husain", "given" : "M", "non-dropping-particle" : "", "parse-names" : false, "suffix" : "" }, { "dropping-particle" : "", "family" : "Shapiro", "given" : "K", "non-dropping-particle" : "", "parse-names" : false, "suffix" : "" }, { "dropping-particle" : "", "family" : "Martin", "given" : "J", "non-dropping-particle" : "", "parse-names" : false, "suffix" : "" }, { "dropping-particle" : "", "family" : "Kennard", "given" : "C", "non-dropping-particle" : "", "parse-names" : false, "suffix" : "" } ], "container-title" : "Nature", "id" : "ITEM-2", "issued" : { "date-parts" : [ [ "1997" ] ] }, "page" : "154-156", "title" : "Abnormal temporal dynamics of visual attention in spatial neglect patients", "type" : "article", "volume" : "385" }, "uris" : [ "http://www.mendeley.com/documents/?uuid=31030fc1-24ea-4e0a-8816-6488784e1a2d" ] } ], "mendeley" : { "formattedCitation" : "(Husain &amp; Rorden 2003; Husain et al. 1997)", "plainTextFormattedCitation" : "(Husain &amp; Rorden 2003; Husain et al. 1997)", "previouslyFormattedCitation" : "(Husain &amp; Rorden 2003; Husain et al. 1997)" }, "properties" : { "noteIndex" : 0 }, "schema" : "https://github.com/citation-style-language/schema/raw/master/csl-citation.json" }</w:instrText>
      </w:r>
      <w:r w:rsidR="004229B3" w:rsidRPr="00E576CB">
        <w:rPr>
          <w:rFonts w:ascii="Times" w:hAnsi="Times"/>
        </w:rPr>
        <w:fldChar w:fldCharType="separate"/>
      </w:r>
      <w:r w:rsidR="004229B3" w:rsidRPr="004229B3">
        <w:rPr>
          <w:rFonts w:ascii="Times" w:hAnsi="Times"/>
          <w:noProof/>
        </w:rPr>
        <w:t>(Husain &amp; Rorden 2003; Husain et al. 1997)</w:t>
      </w:r>
      <w:r w:rsidR="004229B3" w:rsidRPr="00E576CB">
        <w:rPr>
          <w:rFonts w:ascii="Times" w:hAnsi="Times"/>
        </w:rPr>
        <w:fldChar w:fldCharType="end"/>
      </w:r>
      <w:r w:rsidR="004229B3" w:rsidRPr="004229B3">
        <w:rPr>
          <w:rFonts w:ascii="Times" w:hAnsi="Times"/>
        </w:rPr>
        <w:t xml:space="preserve">. </w:t>
      </w:r>
      <w:r w:rsidR="004229B3" w:rsidRPr="004229B3">
        <w:rPr>
          <w:rFonts w:ascii="Times" w:hAnsi="Times" w:cs="Arial"/>
        </w:rPr>
        <w:t xml:space="preserve">This possibility is also supported by a recent tDCS study that showed improved working memory performance by using a parietal montage that aimed to simultaneously boost selective attention (anodal tDCS of the left intraparietal sulcus/superior parietal lobule) and diminish spatial attention (using cathodal tDCS of the right inferior parietal cortex) </w:t>
      </w:r>
      <w:r w:rsidR="004229B3" w:rsidRPr="00D34A85">
        <w:rPr>
          <w:rFonts w:ascii="Times" w:hAnsi="Times" w:cs="Arial"/>
        </w:rPr>
        <w:fldChar w:fldCharType="begin" w:fldLock="1"/>
      </w:r>
      <w:r w:rsidR="00244D32">
        <w:rPr>
          <w:rFonts w:ascii="Times" w:hAnsi="Times" w:cs="Arial"/>
        </w:rPr>
        <w:instrText>ADDIN CSL_CITATION { "citationItems" : [ { "id" : "ITEM-1", "itemData" : { "DOI" : "10.1016/j.brainres.2011.12.036", "ISSN" : "1872-6240", "PMID" : "22265704", "abstract" : "Effective learning requires that attentional resources be focused on target information and withheld from irrelevant events in the learner's surroundings. This requires engagement of the brain substrates of selective attention and the concurrent disengagement of brain substrates of orienting toward changes in the environment. In the present study, we attempted to modulate activation of cortical substrates of attention during learning by physiological intervention, using transcranial direct current stimulation (tDCS). To effect adversarial modulation, we applied anodal stimulation directed toward left intraparietal sulcus/superior parietal cortex (IPS/SPL; a substrate of selective attention) and cathodal stimulation directed toward right inferior parietal cortex (IPL; a substrate of orienting). Such stimulation during study of verbal materials led to superior subsequent recognition memory relative to the opposite polarity of stimulation. To our knowledge, this is the first application of direct current stimulation to parietal regions implicated in different forms of attention in an oppositional manner in order to modulate learning in a verbal recognition memory task. Additionally, these results may have practical implications for the development of interventions to benefit persons with various types of attentional deficits.", "author" : [ { "dropping-particle" : "", "family" : "Jacobson", "given" : "Liron", "non-dropping-particle" : "", "parse-names" : false, "suffix" : "" }, { "dropping-particle" : "", "family" : "Goren", "given" : "Nir", "non-dropping-particle" : "", "parse-names" : false, "suffix" : "" }, { "dropping-particle" : "", "family" : "Lavidor", "given" : "Michal", "non-dropping-particle" : "", "parse-names" : false, "suffix" : "" }, { "dropping-particle" : "", "family" : "Levy", "given" : "Daniel a", "non-dropping-particle" : "", "parse-names" : false, "suffix" : "" } ], "container-title" : "Brain research", "id" : "ITEM-1", "issued" : { "date-parts" : [ [ "2012", "2", "23" ] ] }, "page" : "66-72", "publisher" : "Elsevier B.V.", "title" : "Oppositional transcranial direct current stimulation (tDCS) of parietal substrates of attention during encoding modulates episodic memory.", "type" : "article-journal", "volume" : "1439" }, "uris" : [ "http://www.mendeley.com/documents/?uuid=a3853b2d-b426-463e-8561-14bfc7973451" ] } ], "mendeley" : { "formattedCitation" : "(Jacobson, Goren, et al. 2012)", "manualFormatting" : "(Jacobson et al. 2012)", "plainTextFormattedCitation" : "(Jacobson, Goren, et al. 2012)", "previouslyFormattedCitation" : "(Jacobson, Goren, et al. 2012)" }, "properties" : { "noteIndex" : 0 }, "schema" : "https://github.com/citation-style-language/schema/raw/master/csl-citation.json" }</w:instrText>
      </w:r>
      <w:r w:rsidR="004229B3" w:rsidRPr="00D34A85">
        <w:rPr>
          <w:rFonts w:ascii="Times" w:hAnsi="Times" w:cs="Arial"/>
        </w:rPr>
        <w:fldChar w:fldCharType="separate"/>
      </w:r>
      <w:r w:rsidR="004229B3" w:rsidRPr="004229B3">
        <w:rPr>
          <w:rFonts w:ascii="Times" w:hAnsi="Times" w:cs="Arial"/>
          <w:noProof/>
        </w:rPr>
        <w:t>(Jacobson et al. 2012</w:t>
      </w:r>
      <w:r w:rsidR="00244D32">
        <w:rPr>
          <w:rFonts w:ascii="Times" w:hAnsi="Times" w:cs="Arial"/>
          <w:noProof/>
        </w:rPr>
        <w:t>b</w:t>
      </w:r>
      <w:r w:rsidR="004229B3" w:rsidRPr="004229B3">
        <w:rPr>
          <w:rFonts w:ascii="Times" w:hAnsi="Times" w:cs="Arial"/>
          <w:noProof/>
        </w:rPr>
        <w:t>)</w:t>
      </w:r>
      <w:r w:rsidR="004229B3" w:rsidRPr="00D34A85">
        <w:rPr>
          <w:rFonts w:ascii="Times" w:hAnsi="Times" w:cs="Arial"/>
        </w:rPr>
        <w:fldChar w:fldCharType="end"/>
      </w:r>
      <w:r w:rsidR="004229B3" w:rsidRPr="004229B3">
        <w:rPr>
          <w:rFonts w:ascii="Times" w:hAnsi="Times" w:cs="Arial"/>
        </w:rPr>
        <w:t xml:space="preserve">. This demonstrated that working memory performance could be modulated by manipulating different aspects of attention </w:t>
      </w:r>
      <w:r w:rsidR="004229B3" w:rsidRPr="00D34A85">
        <w:rPr>
          <w:rFonts w:ascii="Times" w:hAnsi="Times" w:cs="Arial"/>
        </w:rPr>
        <w:fldChar w:fldCharType="begin" w:fldLock="1"/>
      </w:r>
      <w:r w:rsidR="00244D32">
        <w:rPr>
          <w:rFonts w:ascii="Times" w:hAnsi="Times" w:cs="Arial"/>
        </w:rPr>
        <w:instrText>ADDIN CSL_CITATION { "citationItems" : [ { "id" : "ITEM-1", "itemData" : { "DOI" : "10.1016/j.brainres.2011.12.036", "ISSN" : "1872-6240", "PMID" : "22265704", "abstract" : "Effective learning requires that attentional resources be focused on target information and withheld from irrelevant events in the learner's surroundings. This requires engagement of the brain substrates of selective attention and the concurrent disengagement of brain substrates of orienting toward changes in the environment. In the present study, we attempted to modulate activation of cortical substrates of attention during learning by physiological intervention, using transcranial direct current stimulation (tDCS). To effect adversarial modulation, we applied anodal stimulation directed toward left intraparietal sulcus/superior parietal cortex (IPS/SPL; a substrate of selective attention) and cathodal stimulation directed toward right inferior parietal cortex (IPL; a substrate of orienting). Such stimulation during study of verbal materials led to superior subsequent recognition memory relative to the opposite polarity of stimulation. To our knowledge, this is the first application of direct current stimulation to parietal regions implicated in different forms of attention in an oppositional manner in order to modulate learning in a verbal recognition memory task. Additionally, these results may have practical implications for the development of interventions to benefit persons with various types of attentional deficits.", "author" : [ { "dropping-particle" : "", "family" : "Jacobson", "given" : "Liron", "non-dropping-particle" : "", "parse-names" : false, "suffix" : "" }, { "dropping-particle" : "", "family" : "Goren", "given" : "Nir", "non-dropping-particle" : "", "parse-names" : false, "suffix" : "" }, { "dropping-particle" : "", "family" : "Lavidor", "given" : "Michal", "non-dropping-particle" : "", "parse-names" : false, "suffix" : "" }, { "dropping-particle" : "", "family" : "Levy", "given" : "Daniel a", "non-dropping-particle" : "", "parse-names" : false, "suffix" : "" } ], "container-title" : "Brain research", "id" : "ITEM-1", "issued" : { "date-parts" : [ [ "2012", "2", "23" ] ] }, "page" : "66-72", "publisher" : "Elsevier B.V.", "title" : "Oppositional transcranial direct current stimulation (tDCS) of parietal substrates of attention during encoding modulates episodic memory.", "type" : "article-journal", "volume" : "1439" }, "uris" : [ "http://www.mendeley.com/documents/?uuid=a3853b2d-b426-463e-8561-14bfc7973451" ] } ], "mendeley" : { "formattedCitation" : "(Jacobson, Goren, et al. 2012)", "manualFormatting" : "(Jacobson et al. 2012)", "plainTextFormattedCitation" : "(Jacobson, Goren, et al. 2012)", "previouslyFormattedCitation" : "(Jacobson, Goren, et al. 2012)" }, "properties" : { "noteIndex" : 0 }, "schema" : "https://github.com/citation-style-language/schema/raw/master/csl-citation.json" }</w:instrText>
      </w:r>
      <w:r w:rsidR="004229B3" w:rsidRPr="00D34A85">
        <w:rPr>
          <w:rFonts w:ascii="Times" w:hAnsi="Times" w:cs="Arial"/>
        </w:rPr>
        <w:fldChar w:fldCharType="separate"/>
      </w:r>
      <w:r w:rsidR="00941732">
        <w:rPr>
          <w:rFonts w:ascii="Times" w:hAnsi="Times" w:cs="Arial"/>
          <w:noProof/>
        </w:rPr>
        <w:t>(Jacobson</w:t>
      </w:r>
      <w:r w:rsidR="004229B3" w:rsidRPr="004229B3">
        <w:rPr>
          <w:rFonts w:ascii="Times" w:hAnsi="Times" w:cs="Arial"/>
          <w:noProof/>
        </w:rPr>
        <w:t xml:space="preserve"> et al. 2012</w:t>
      </w:r>
      <w:r w:rsidR="00244D32">
        <w:rPr>
          <w:rFonts w:ascii="Times" w:hAnsi="Times" w:cs="Arial"/>
          <w:noProof/>
        </w:rPr>
        <w:t>b</w:t>
      </w:r>
      <w:r w:rsidR="004229B3" w:rsidRPr="004229B3">
        <w:rPr>
          <w:rFonts w:ascii="Times" w:hAnsi="Times" w:cs="Arial"/>
          <w:noProof/>
        </w:rPr>
        <w:t>)</w:t>
      </w:r>
      <w:r w:rsidR="004229B3" w:rsidRPr="00D34A85">
        <w:rPr>
          <w:rFonts w:ascii="Times" w:hAnsi="Times" w:cs="Arial"/>
        </w:rPr>
        <w:fldChar w:fldCharType="end"/>
      </w:r>
      <w:r w:rsidR="004229B3" w:rsidRPr="004229B3">
        <w:rPr>
          <w:rFonts w:ascii="Times" w:hAnsi="Times" w:cs="Arial"/>
        </w:rPr>
        <w:t xml:space="preserve">. </w:t>
      </w:r>
      <w:r w:rsidR="004229B3" w:rsidRPr="00481B8B">
        <w:rPr>
          <w:rFonts w:ascii="Times" w:hAnsi="Times" w:cs="Arial"/>
          <w:b/>
          <w:u w:val="single"/>
        </w:rPr>
        <w:t xml:space="preserve">In our study, </w:t>
      </w:r>
      <w:r w:rsidR="004229B3" w:rsidRPr="00481B8B">
        <w:rPr>
          <w:rFonts w:ascii="Times" w:hAnsi="Times"/>
          <w:b/>
          <w:u w:val="single"/>
        </w:rPr>
        <w:t>th</w:t>
      </w:r>
      <w:r w:rsidRPr="00481B8B">
        <w:rPr>
          <w:rFonts w:ascii="Times" w:hAnsi="Times"/>
          <w:b/>
          <w:u w:val="single"/>
        </w:rPr>
        <w:t xml:space="preserve">ere was no correlation in change in performance on the number comparison and CRT tasks with </w:t>
      </w:r>
      <w:r w:rsidR="004229B3" w:rsidRPr="00481B8B">
        <w:rPr>
          <w:rFonts w:ascii="Times" w:hAnsi="Times"/>
          <w:b/>
          <w:u w:val="single"/>
        </w:rPr>
        <w:t>RA/LC stimulation</w:t>
      </w:r>
      <w:r w:rsidRPr="00481B8B">
        <w:rPr>
          <w:rFonts w:ascii="Times" w:hAnsi="Times"/>
          <w:b/>
          <w:u w:val="single"/>
        </w:rPr>
        <w:t>,</w:t>
      </w:r>
      <w:r w:rsidR="004229B3" w:rsidRPr="00481B8B">
        <w:rPr>
          <w:rFonts w:ascii="Times" w:hAnsi="Times"/>
          <w:b/>
          <w:u w:val="single"/>
        </w:rPr>
        <w:t xml:space="preserve"> suggesting that </w:t>
      </w:r>
      <w:r w:rsidRPr="00481B8B">
        <w:rPr>
          <w:rFonts w:ascii="Times" w:hAnsi="Times"/>
          <w:b/>
          <w:u w:val="single"/>
        </w:rPr>
        <w:t xml:space="preserve">the effect on </w:t>
      </w:r>
      <w:r w:rsidR="004229B3" w:rsidRPr="00481B8B">
        <w:rPr>
          <w:rFonts w:ascii="Times" w:hAnsi="Times"/>
          <w:b/>
          <w:u w:val="single"/>
        </w:rPr>
        <w:t>attention is only one of a number of other possible contributing factors.</w:t>
      </w:r>
      <w:r w:rsidR="004229B3" w:rsidRPr="00481B8B">
        <w:rPr>
          <w:rFonts w:ascii="Times" w:hAnsi="Times"/>
        </w:rPr>
        <w:t xml:space="preserve"> </w:t>
      </w:r>
      <w:r w:rsidR="0004482D">
        <w:rPr>
          <w:rFonts w:ascii="Times" w:hAnsi="Times"/>
          <w:b/>
          <w:u w:val="single"/>
        </w:rPr>
        <w:t>Future studies are required to probe this possible interaction between attention and numerical processing.</w:t>
      </w:r>
    </w:p>
    <w:p w14:paraId="073CC919" w14:textId="77777777" w:rsidR="004229B3" w:rsidRPr="004229B3" w:rsidRDefault="004229B3" w:rsidP="004229B3">
      <w:pPr>
        <w:spacing w:line="480" w:lineRule="auto"/>
        <w:jc w:val="both"/>
        <w:rPr>
          <w:rFonts w:ascii="Times" w:hAnsi="Times"/>
        </w:rPr>
      </w:pPr>
    </w:p>
    <w:p w14:paraId="41FB86D8" w14:textId="7F3B8C79" w:rsidR="004229B3" w:rsidRPr="00481B8B" w:rsidRDefault="004229B3" w:rsidP="004229B3">
      <w:pPr>
        <w:spacing w:line="480" w:lineRule="auto"/>
        <w:jc w:val="both"/>
        <w:rPr>
          <w:rFonts w:ascii="Times" w:hAnsi="Times"/>
        </w:rPr>
      </w:pPr>
      <w:r w:rsidRPr="004229B3">
        <w:rPr>
          <w:rFonts w:ascii="Times" w:hAnsi="Times"/>
        </w:rPr>
        <w:t xml:space="preserve">The effect of tDCS was only detectable when task demands were high, either because of the need for sustained task performance (CRT) or because decisions were made on numbers that were ‘close’ rather than ‘far’. This suggests an interaction between the effects of parietal tDCS and cognitive load. </w:t>
      </w:r>
      <w:r w:rsidRPr="004229B3">
        <w:rPr>
          <w:rFonts w:ascii="Times" w:hAnsi="Times" w:cs="Arial"/>
          <w:noProof/>
          <w:lang w:val="en-US"/>
        </w:rPr>
        <w:t>In addition,</w:t>
      </w:r>
      <w:r>
        <w:rPr>
          <w:rFonts w:ascii="Times" w:hAnsi="Times" w:cs="Arial"/>
          <w:noProof/>
          <w:lang w:val="en-US"/>
        </w:rPr>
        <w:t xml:space="preserve"> a distinct effect of</w:t>
      </w:r>
      <w:r w:rsidRPr="004229B3">
        <w:rPr>
          <w:rFonts w:ascii="Times" w:hAnsi="Times" w:cs="Arial"/>
          <w:noProof/>
          <w:lang w:val="en-US"/>
        </w:rPr>
        <w:t xml:space="preserve"> tDCS </w:t>
      </w:r>
      <w:r>
        <w:rPr>
          <w:rFonts w:ascii="Times" w:hAnsi="Times" w:cs="Arial"/>
          <w:noProof/>
          <w:lang w:val="en-US"/>
        </w:rPr>
        <w:t xml:space="preserve">on </w:t>
      </w:r>
      <w:r w:rsidRPr="004229B3">
        <w:rPr>
          <w:rFonts w:ascii="Times" w:hAnsi="Times" w:cs="Arial"/>
          <w:noProof/>
          <w:lang w:val="en-US"/>
        </w:rPr>
        <w:t xml:space="preserve"> vigilance </w:t>
      </w:r>
      <w:r>
        <w:rPr>
          <w:rFonts w:ascii="Times" w:hAnsi="Times" w:cs="Arial"/>
          <w:noProof/>
          <w:lang w:val="en-US"/>
        </w:rPr>
        <w:t>was only</w:t>
      </w:r>
      <w:r w:rsidRPr="004229B3">
        <w:rPr>
          <w:rFonts w:ascii="Times" w:hAnsi="Times" w:cs="Arial"/>
          <w:noProof/>
          <w:lang w:val="en-US"/>
        </w:rPr>
        <w:t xml:space="preserve"> </w:t>
      </w:r>
      <w:r w:rsidR="006475D2" w:rsidRPr="00481B8B">
        <w:rPr>
          <w:rFonts w:ascii="Times" w:hAnsi="Times" w:cs="Arial"/>
          <w:b/>
          <w:noProof/>
          <w:u w:val="single"/>
          <w:lang w:val="en-US"/>
        </w:rPr>
        <w:t xml:space="preserve">seen </w:t>
      </w:r>
      <w:r w:rsidRPr="004229B3">
        <w:rPr>
          <w:rFonts w:ascii="Times" w:hAnsi="Times" w:cs="Arial"/>
          <w:noProof/>
          <w:lang w:val="en-US"/>
        </w:rPr>
        <w:t xml:space="preserve">when the event rate was high i.e when the gap between stimuli was short. This could also reflect an interaction between task demands and stimulation, as some studies have suggested that fast event rates demand more vigilance than slower event rates </w:t>
      </w:r>
      <w:r w:rsidRPr="004229B3">
        <w:rPr>
          <w:rFonts w:ascii="Times" w:hAnsi="Times" w:cs="Arial"/>
          <w:noProof/>
          <w:lang w:val="en-US"/>
        </w:rPr>
        <w:fldChar w:fldCharType="begin" w:fldLock="1"/>
      </w:r>
      <w:r w:rsidRPr="004229B3">
        <w:rPr>
          <w:rFonts w:ascii="Times" w:hAnsi="Times" w:cs="Arial"/>
          <w:noProof/>
          <w:lang w:val="en-US"/>
        </w:rPr>
        <w:instrText>ADDIN CSL_CITATION { "citationItems" : [ { "id" : "ITEM-1", "itemData" : { "author" : [ { "dropping-particle" : "", "family" : "Parasuraman", "given" : "R", "non-dropping-particle" : "", "parse-names" : false, "suffix" : "" } ], "container-title" : "Science", "id" : "ITEM-1", "issue" : "4409", "issued" : { "date-parts" : [ [ "1979" ] ] }, "page" : "924-927", "title" : "Memory load and event rate control sensitivity decrements in sustained attention", "type" : "article-journal", "volume" : "205" }, "uris" : [ "http://www.mendeley.com/documents/?uuid=57187e2c-652f-4d56-81d3-009c999f7450" ] }, { "id" : "ITEM-2", "itemData" : { "DOI" : "10.1016/S0165-0173(01)00044-3", "ISBN" : "1614292175", "ISSN" : "01650173", "PMID" : "11336780", "abstract" : "The psychological construct 'sustained attention' describes a fundamental component of attention characterized by the subject's readiness to detect rarely and unpredictably occurring signals over prolonged periods of time. Human imaging studies have demonstrated that activation of frontal and parietal cortical areas, mostly in the right hemisphere, are associated with sustained attention performance. Animal neuroscientific research has focused on cortical afferent systems, particularly on the cholinergic inputs originating in the basal forebrain, as crucial components of the neuronal network mediating sustained attentional performance. Sustained attention performance-associated activation of the basal forebrain corticopetal cholinergic system is conceptualized as a component of the 'top-down' processes initiated by activation of the 'anterior attention system' and designed to mediate knowledge-driven detection and selection of target stimuli. Activated cortical cholinergic inputs facilitate these processes, particularly under taxing attentional conditions, by enhancing cortical sensory and sensory-associational information processing, including the filtering of noise and distractors. Collectively, the findings from human and animal studies provide the basis for a relatively precise description of the neuronal circuits mediating sustained attention, and the dissociation between these circuits and those mediating the 'arousal' components of attention. \u00a9 2001 Elsevier Science B.V.", "author" : [ { "dropping-particle" : "", "family" : "Sarter", "given" : "Martin", "non-dropping-particle" : "", "parse-names" : false, "suffix" : "" }, { "dropping-particle" : "", "family" : "Givens", "given" : "Ben", "non-dropping-particle" : "", "parse-names" : false, "suffix" : "" }, { "dropping-particle" : "", "family" : "Bruno", "given" : "John P.", "non-dropping-particle" : "", "parse-names" : false, "suffix" : "" } ], "container-title" : "Brain Research Reviews", "id" : "ITEM-2", "issued" : { "date-parts" : [ [ "2001" ] ] }, "page" : "146-160", "title" : "The cognitive neuroscience of sustained attention: Where top-down meets bottom-up", "type" : "article-journal", "volume" : "35" }, "uris" : [ "http://www.mendeley.com/documents/?uuid=f4ab5c34-8918-4c2f-8a9a-cd1d18327086" ] } ], "mendeley" : { "formattedCitation" : "(Parasuraman 1979; Sarter et al. 2001)", "plainTextFormattedCitation" : "(Parasuraman 1979; Sarter et al. 2001)", "previouslyFormattedCitation" : "(Parasuraman 1979; Sarter et al. 2001)" }, "properties" : { "noteIndex" : 0 }, "schema" : "https://github.com/citation-style-language/schema/raw/master/csl-citation.json" }</w:instrText>
      </w:r>
      <w:r w:rsidRPr="004229B3">
        <w:rPr>
          <w:rFonts w:ascii="Times" w:hAnsi="Times" w:cs="Arial"/>
          <w:noProof/>
          <w:lang w:val="en-US"/>
        </w:rPr>
        <w:fldChar w:fldCharType="separate"/>
      </w:r>
      <w:r w:rsidRPr="004229B3">
        <w:rPr>
          <w:rFonts w:ascii="Times" w:hAnsi="Times" w:cs="Arial"/>
          <w:noProof/>
          <w:lang w:val="en-US"/>
        </w:rPr>
        <w:t>(Parasuraman 1979; Sarter et al. 2001)</w:t>
      </w:r>
      <w:r w:rsidRPr="004229B3">
        <w:rPr>
          <w:rFonts w:ascii="Times" w:hAnsi="Times" w:cs="Arial"/>
          <w:noProof/>
          <w:lang w:val="en-US"/>
        </w:rPr>
        <w:fldChar w:fldCharType="end"/>
      </w:r>
      <w:r w:rsidRPr="004229B3">
        <w:rPr>
          <w:rFonts w:ascii="Times" w:hAnsi="Times" w:cs="Arial"/>
          <w:noProof/>
          <w:lang w:val="en-US"/>
        </w:rPr>
        <w:t xml:space="preserve">. </w:t>
      </w:r>
      <w:r w:rsidRPr="00481B8B">
        <w:rPr>
          <w:rFonts w:ascii="Times" w:hAnsi="Times" w:cs="Arial"/>
          <w:noProof/>
          <w:lang w:val="en-US"/>
        </w:rPr>
        <w:t xml:space="preserve">This interaction between task demand and stimulation may also help to explain why RA/LC stimulation </w:t>
      </w:r>
      <w:r w:rsidR="00881242" w:rsidRPr="00481B8B">
        <w:rPr>
          <w:rFonts w:ascii="Times" w:hAnsi="Times" w:cs="Arial"/>
          <w:b/>
          <w:noProof/>
          <w:u w:val="single"/>
          <w:lang w:val="en-US"/>
        </w:rPr>
        <w:t>resulted in lower vigilance than RC/LA stimulatio</w:t>
      </w:r>
      <w:r w:rsidR="00881242" w:rsidRPr="00481B8B">
        <w:rPr>
          <w:rFonts w:ascii="Times" w:hAnsi="Times" w:cs="Arial"/>
          <w:b/>
          <w:noProof/>
          <w:lang w:val="en-US"/>
        </w:rPr>
        <w:t>n</w:t>
      </w:r>
      <w:r w:rsidRPr="00481B8B">
        <w:rPr>
          <w:rFonts w:ascii="Times" w:hAnsi="Times" w:cs="Arial"/>
          <w:noProof/>
          <w:lang w:val="en-US"/>
        </w:rPr>
        <w:t xml:space="preserve">, a finding which seems to contradict </w:t>
      </w:r>
      <w:r w:rsidRPr="00481B8B">
        <w:rPr>
          <w:rFonts w:ascii="Times" w:hAnsi="Times"/>
        </w:rPr>
        <w:t xml:space="preserve">the accepted understanding of sustained attention being subserved by right parietal regions (review: </w:t>
      </w:r>
      <w:r w:rsidRPr="00481B8B">
        <w:rPr>
          <w:rFonts w:ascii="Times" w:hAnsi="Times"/>
        </w:rPr>
        <w:fldChar w:fldCharType="begin" w:fldLock="1"/>
      </w:r>
      <w:r w:rsidRPr="00481B8B">
        <w:rPr>
          <w:rFonts w:ascii="Times" w:hAnsi="Times"/>
        </w:rPr>
        <w:instrText>ADDIN CSL_CITATION { "citationItems" : [ { "id" : "ITEM-1", "itemData" : { "DOI" : "10.1016/j.neuropsychologia.2008.11.033", "ISSN" : "1873-3514", "PMID" : "19138694", "abstract" : "Current models of the visual pathways have difficulty incorporating the human inferior parietal lobe (IPL) into dorsal or ventral streams. Some recent proposals have attempted to integrate aspects of IPL function that were not hitherto dealt with well, such as differences between the left and right hemisphere and the role of the right IPL in responding to salient environmental events. However, we argue that these models also fail to capture adequately some important findings regarding the functions of the IPL. Here we critically appraise existing proposals regarding the functional architecture of the visual system, with special emphasis on the role of this region, particularly in the right hemisphere. We review evidence that shows the right IPL plays an important role in two different, but broadly complementary, aspects of attention: maintaining attentive control on current task goals as well as responding to salient new information or alerting stimuli in the environment. In our view, findings from functional imaging, electrophysiological and lesion studies are all consistent with the view that this region is part of a system that allows flexible reconfiguration of behaviour between these two alternative modes of operation. Damage to the right IPL leads to deficits in both maintaining attention and also responding to salient events, impairments that contribute to hemineglect, the classical syndrome that follows lesions of this region. ?? 2009 Elsevier Ltd. All rights reserved.", "author" : [ { "dropping-particle" : "", "family" : "Singh-Curry", "given" : "Victoria", "non-dropping-particle" : "", "parse-names" : false, "suffix" : "" }, { "dropping-particle" : "", "family" : "Husain", "given" : "Masud", "non-dropping-particle" : "", "parse-names" : false, "suffix" : "" } ], "container-title" : "Neuropsychologia", "id" : "ITEM-1", "issue" : "6", "issued" : { "date-parts" : [ [ "2009", "5" ] ] }, "page" : "1434-1448", "title" : "The functional role of the inferior parietal lobe in the dorsal and ventral stream dichotomy", "type" : "article-journal", "volume" : "47" }, "uris" : [ "http://www.mendeley.com/documents/?uuid=3416425e-c0dc-4d90-a2dd-ffbabf4e5788" ] } ], "mendeley" : { "formattedCitation" : "(Singh-Curry &amp; Husain 2009)", "plainTextFormattedCitation" : "(Singh-Curry &amp; Husain 2009)", "previouslyFormattedCitation" : "(Singh-Curry &amp; Husain 2009)" }, "properties" : { "noteIndex" : 0 }, "schema" : "https://github.com/citation-style-language/schema/raw/master/csl-citation.json" }</w:instrText>
      </w:r>
      <w:r w:rsidRPr="00481B8B">
        <w:rPr>
          <w:rFonts w:ascii="Times" w:hAnsi="Times"/>
        </w:rPr>
        <w:fldChar w:fldCharType="separate"/>
      </w:r>
      <w:r w:rsidRPr="00481B8B">
        <w:rPr>
          <w:rFonts w:ascii="Times" w:hAnsi="Times"/>
          <w:noProof/>
        </w:rPr>
        <w:t>(Singh-Curry &amp; Husain 2009)</w:t>
      </w:r>
      <w:r w:rsidRPr="00481B8B">
        <w:rPr>
          <w:rFonts w:ascii="Times" w:hAnsi="Times"/>
        </w:rPr>
        <w:fldChar w:fldCharType="end"/>
      </w:r>
      <w:r w:rsidRPr="00481B8B">
        <w:rPr>
          <w:rFonts w:ascii="Times" w:hAnsi="Times"/>
        </w:rPr>
        <w:t xml:space="preserve">). A previous TMS study found that inhibition of either the left or right inferior parietal lobe impaired caused vigilance decrement in a spatial sustained attention task, suggesting that the left hemisphere is also involved in maintaining attention </w:t>
      </w:r>
      <w:r w:rsidRPr="00481B8B">
        <w:rPr>
          <w:rFonts w:ascii="Times" w:hAnsi="Times"/>
        </w:rPr>
        <w:fldChar w:fldCharType="begin" w:fldLock="1"/>
      </w:r>
      <w:r w:rsidRPr="00481B8B">
        <w:rPr>
          <w:rFonts w:ascii="Times" w:hAnsi="Times"/>
        </w:rPr>
        <w:instrText>ADDIN CSL_CITATION { "citationItems" : [ { "id" : "ITEM-1", "itemData" : { "DOI" : "10.3389/fnhum.2013.00026", "ISBN" : "1662-5161", "ISSN" : "1662-5161", "PMID" : "23403477", "abstract" : "Sustained attention is an essential brain function that enables a subject to maintain attention level over the time of a task. In previous work, the right inferior parietal lobe (IPL) has been reported as one of the main brain regions related to sustained attention, however, the right lateralization of vigilance/sustained attention is unclear because information about the network for sustained attention is traditionally provided by neglect patients who typically have right brain damage. Here, we investigated sustained attention by applying a virtual lesion technique, transcranial magnetic stimulation (TMS), over the left and right superior parietal lobe (SPL) and IPL. We used two different types of visual sustained attention tasks: spatial (location based) and non-spatial (feature based). When the participants performed the spatial task, repetitive TMS (rTMS) over either the right or left IPL induced a significant decrement of sustained attention causing a progressive increment of errors and response time. In contrast, participants' performance was not changed by rTMS on the non-spatial task. Also, omission errors (true negative) gradually increased with time on right and left IPL rTMS conditions, while commission errors (false positive) were relatively stable. These findings suggest that the maintenance of attention, especially in tasks regarding spatial location, is not uniquely lateralized to the right IPL, but may also involve participation of the left IPL.", "author" : [ { "dropping-particle" : "", "family" : "Lee", "given" : "Jeyeon", "non-dropping-particle" : "", "parse-names" : false, "suffix" : "" }, { "dropping-particle" : "", "family" : "Ku", "given" : "Jeonghun", "non-dropping-particle" : "", "parse-names" : false, "suffix" : "" }, { "dropping-particle" : "", "family" : "Han", "given" : "Kiwan", "non-dropping-particle" : "", "parse-names" : false, "suffix" : "" }, { "dropping-particle" : "", "family" : "Park", "given" : "Jinsick", "non-dropping-particle" : "", "parse-names" : false, "suffix" : "" }, { "dropping-particle" : "", "family" : "Lee", "given" : "Hyeongrae", "non-dropping-particle" : "", "parse-names" : false, "suffix" : "" }, { "dropping-particle" : "", "family" : "Kim", "given" : "Kyung Ran", "non-dropping-particle" : "", "parse-names" : false, "suffix" : "" }, { "dropping-particle" : "", "family" : "Lee", "given" : "Eun", "non-dropping-particle" : "", "parse-names" : false, "suffix" : "" }, { "dropping-particle" : "", "family" : "Husain", "given" : "Masud", "non-dropping-particle" : "", "parse-names" : false, "suffix" : "" }, { "dropping-particle" : "", "family" : "Yoon", "given" : "Kang Jun", "non-dropping-particle" : "", "parse-names" : false, "suffix" : "" }, { "dropping-particle" : "", "family" : "Kim", "given" : "In Young", "non-dropping-particle" : "", "parse-names" : false, "suffix" : "" }, { "dropping-particle" : "", "family" : "Jang", "given" : "Dong Pyo", "non-dropping-particle" : "", "parse-names" : false, "suffix" : "" }, { "dropping-particle" : "", "family" : "Kim", "given" : "Sun I", "non-dropping-particle" : "", "parse-names" : false, "suffix" : "" } ], "container-title" : "Frontiers in human neuroscience", "id" : "ITEM-1", "issue" : "February", "issued" : { "date-parts" : [ [ "2013" ] ] }, "page" : "26", "title" : "rTMS over bilateral inferior parietal cortex induces decrement of spatial sustained attention.", "type" : "article-journal", "volume" : "7" }, "uris" : [ "http://www.mendeley.com/documents/?uuid=8abedfbd-3280-4f7a-81ba-a96ccc76b90a" ] } ], "mendeley" : { "formattedCitation" : "(Lee et al. 2013)", "plainTextFormattedCitation" : "(Lee et al. 2013)", "previouslyFormattedCitation" : "(Lee et al. 2013)" }, "properties" : { "noteIndex" : 0 }, "schema" : "https://github.com/citation-style-language/schema/raw/master/csl-citation.json" }</w:instrText>
      </w:r>
      <w:r w:rsidRPr="00481B8B">
        <w:rPr>
          <w:rFonts w:ascii="Times" w:hAnsi="Times"/>
        </w:rPr>
        <w:fldChar w:fldCharType="separate"/>
      </w:r>
      <w:r w:rsidRPr="00481B8B">
        <w:rPr>
          <w:rFonts w:ascii="Times" w:hAnsi="Times"/>
          <w:noProof/>
        </w:rPr>
        <w:t>(Lee et al. 2013)</w:t>
      </w:r>
      <w:r w:rsidRPr="00481B8B">
        <w:rPr>
          <w:rFonts w:ascii="Times" w:hAnsi="Times"/>
        </w:rPr>
        <w:fldChar w:fldCharType="end"/>
      </w:r>
      <w:r w:rsidRPr="00481B8B">
        <w:rPr>
          <w:rFonts w:ascii="Times" w:hAnsi="Times"/>
        </w:rPr>
        <w:t xml:space="preserve">. Additional evidence for this possibility is provided by Helton and colleagues who used near-infrared spectroscopy to study cerebral blood flow during an easy and a more difficult sustained attention task. They found that whilst right parietal hemisphere blood flow was predominant in the easy task, when participants performed the harder task, blood flow increased in both the left and right parietal hemispheres </w:t>
      </w:r>
      <w:r w:rsidRPr="00481B8B">
        <w:rPr>
          <w:rFonts w:ascii="Times" w:hAnsi="Times"/>
        </w:rPr>
        <w:fldChar w:fldCharType="begin" w:fldLock="1"/>
      </w:r>
      <w:r w:rsidRPr="00481B8B">
        <w:rPr>
          <w:rFonts w:ascii="Times" w:hAnsi="Times"/>
        </w:rPr>
        <w:instrText>ADDIN CSL_CITATION { "citationItems" : [ { "id" : "ITEM-1", "itemData" : { "DOI" : "10.1016/j.neuropsychologia.2010.02.014", "ISBN" : "1873-3514 (Electronic)\\r0028-3932 (Linking)", "ISSN" : "00283932", "PMID" : "20171235", "abstract" : "Functional near infrared spectroscopy (fNIRS) measures of cerebral oxygenation levels were collected from participants performing difficult and easy versions of a 12. min vigilance task and for controls who merely watched the displays without a work imperative. For the active participants, the fNIRS measurements in both vigilance tasks showed higher levels of cerebral activity than was present in the case of the no-work controls. In the easier task, greater activation was found in the right than in the left cerebral hemisphere, matching previous results indicating right hemisphere dominance for vigilance. However, for the more difficult task, this laterality difference was not found, instead activation was bilateral. Unilateral hemispheric activation in vigilance may be a result of employing relatively easy/simple tasks, not vigilance per se. \u00a9 2010 Elsevier Ltd.", "author" : [ { "dropping-particle" : "", "family" : "Helton", "given" : "William S.", "non-dropping-particle" : "", "parse-names" : false, "suffix" : "" }, { "dropping-particle" : "", "family" : "Warm", "given" : "Joel S.", "non-dropping-particle" : "", "parse-names" : false, "suffix" : "" }, { "dropping-particle" : "", "family" : "Tripp", "given" : "Lloyd D.", "non-dropping-particle" : "", "parse-names" : false, "suffix" : "" }, { "dropping-particle" : "", "family" : "Matthews", "given" : "Gerald", "non-dropping-particle" : "", "parse-names" : false, "suffix" : "" }, { "dropping-particle" : "", "family" : "Parasuraman", "given" : "Raja", "non-dropping-particle" : "", "parse-names" : false, "suffix" : "" }, { "dropping-particle" : "", "family" : "Hancock", "given" : "Peter a.", "non-dropping-particle" : "", "parse-names" : false, "suffix" : "" } ], "container-title" : "Neuropsychologia", "id" : "ITEM-1", "issue" : "6", "issued" : { "date-parts" : [ [ "2010" ] ] }, "page" : "1683-1688", "publisher" : "Elsevier Ltd", "title" : "Cerebral lateralization of vigilance: A function of task difficulty", "type" : "article-journal", "volume" : "48" }, "uris" : [ "http://www.mendeley.com/documents/?uuid=d0944d3d-86f4-4ffd-bcba-38a15a49d16e" ] } ], "mendeley" : { "formattedCitation" : "(Helton et al. 2010)", "plainTextFormattedCitation" : "(Helton et al. 2010)", "previouslyFormattedCitation" : "(Helton et al. 2010)" }, "properties" : { "noteIndex" : 0 }, "schema" : "https://github.com/citation-style-language/schema/raw/master/csl-citation.json" }</w:instrText>
      </w:r>
      <w:r w:rsidRPr="00481B8B">
        <w:rPr>
          <w:rFonts w:ascii="Times" w:hAnsi="Times"/>
        </w:rPr>
        <w:fldChar w:fldCharType="separate"/>
      </w:r>
      <w:r w:rsidRPr="00481B8B">
        <w:rPr>
          <w:rFonts w:ascii="Times" w:hAnsi="Times"/>
          <w:noProof/>
        </w:rPr>
        <w:t>(Helton et al. 2010)</w:t>
      </w:r>
      <w:r w:rsidRPr="00481B8B">
        <w:rPr>
          <w:rFonts w:ascii="Times" w:hAnsi="Times"/>
        </w:rPr>
        <w:fldChar w:fldCharType="end"/>
      </w:r>
      <w:r w:rsidRPr="00481B8B">
        <w:rPr>
          <w:rFonts w:ascii="Times" w:hAnsi="Times"/>
        </w:rPr>
        <w:t xml:space="preserve">. </w:t>
      </w:r>
    </w:p>
    <w:p w14:paraId="6970E03D" w14:textId="548424A6" w:rsidR="004229B3" w:rsidRPr="004229B3" w:rsidRDefault="004229B3" w:rsidP="004229B3">
      <w:pPr>
        <w:spacing w:line="480" w:lineRule="auto"/>
        <w:jc w:val="both"/>
        <w:rPr>
          <w:rFonts w:ascii="Times" w:hAnsi="Times"/>
        </w:rPr>
      </w:pPr>
    </w:p>
    <w:p w14:paraId="2A5760D9" w14:textId="77777777" w:rsidR="004229B3" w:rsidRPr="004229B3" w:rsidRDefault="004229B3" w:rsidP="004229B3">
      <w:pPr>
        <w:spacing w:line="480" w:lineRule="auto"/>
        <w:jc w:val="both"/>
        <w:rPr>
          <w:rFonts w:ascii="Times" w:hAnsi="Times"/>
        </w:rPr>
      </w:pPr>
      <w:r w:rsidRPr="004229B3">
        <w:rPr>
          <w:rFonts w:ascii="Times" w:hAnsi="Times" w:cs="Arial"/>
          <w:noProof/>
          <w:lang w:val="en-US"/>
        </w:rPr>
        <w:t>This type of</w:t>
      </w:r>
      <w:r w:rsidRPr="004229B3">
        <w:rPr>
          <w:rFonts w:ascii="Times" w:hAnsi="Times"/>
        </w:rPr>
        <w:t xml:space="preserve"> interaction between brain stimulation and cognitive load has only previously been reported in the context of working memory, to our knowledge </w:t>
      </w:r>
      <w:r w:rsidRPr="004229B3">
        <w:rPr>
          <w:rFonts w:ascii="Times" w:hAnsi="Times"/>
        </w:rPr>
        <w:fldChar w:fldCharType="begin" w:fldLock="1"/>
      </w:r>
      <w:r w:rsidRPr="004229B3">
        <w:rPr>
          <w:rFonts w:ascii="Times" w:hAnsi="Times"/>
        </w:rPr>
        <w:instrText>ADDIN CSL_CITATION { "citationItems" : [ { "id" : "ITEM-1", "itemData" : { "DOI" : "10.1016/j.bandc.2014.09.002", "ISSN" : "1090-2147 (Electronic)", "PMID" : "25265321", "abstract" : "Spatial working memory (SWM) is the ability to temporarily store and manipulate spatial information. It has a limited capacity and is quite vulnerable to interference. Dorsolateral prefrontal cortex (DLPFC) has been shown to be a part of the SWM network but its specific functional role still remains unknown. Here we applied transcranial direct current stimulation (tDCS), a noninvasive brain stimulation technique that provides polarity-specific stimulation over the targeted region, to investigate the specific role of the right DLPFC in resolving interference in SWM. A forward- and backward-recall computerized Corsi Block Tapping task (CBT), both with and without a concurrent motor interference task (the modified Luria manual sequencing task) was used to measure SWM capacity and reaction time. The results showed that motor interference impeded accuracy and prolonged reaction time in forward and backward recall for SWM. Anodal tDCS over right DLPFC yielded the tendency to shorten participants' reaction time in the conditions with interference (forward with interference, and backward with interference). Most importantly, anodal tDCS significantly improved participants' SWM span when cognitive demand was the highest (the \"backward-recall with motor interference\" condition). These results suggest that (1) the right DLPFC plays a crucial role in dealing with the cross-domain motor interference for spatial working memory and (2) the anodal tDCS over right DLPFC improved SWM capacity particularly when task difficulty demands more complex mental manipulations that could be due to the facilitatory effect of anodal tDCS which enhanced the DLPFC function within central executive system at the top-down attentional level.", "author" : [ { "dropping-particle" : "", "family" : "Wu", "given" : "Yi-Jen", "non-dropping-particle" : "", "parse-names" : false, "suffix" : "" }, { "dropping-particle" : "", "family" : "Tseng", "given" : "Philip", "non-dropping-particle" : "", "parse-names" : false, "suffix" : "" }, { "dropping-particle" : "", "family" : "Chang", "given" : "Chi-Fu", "non-dropping-particle" : "", "parse-names" : false, "suffix" : "" }, { "dropping-particle" : "", "family" : "Pai", "given" : "Ming-Chyi", "non-dropping-particle" : "", "parse-names" : false, "suffix" : "" }, { "dropping-particle" : "", "family" : "Hsu", "given" : "Kuei-Sen", "non-dropping-particle" : "", "parse-names" : false, "suffix" : "" }, { "dropping-particle" : "", "family" : "Lin", "given" : "Chou-Ching", "non-dropping-particle" : "", "parse-names" : false, "suffix" : "" }, { "dropping-particle" : "", "family" : "Juan", "given" : "Chi-Hung", "non-dropping-particle" : "", "parse-names" : false, "suffix" : "" } ], "container-title" : "Brain and cognition", "id" : "ITEM-1", "issued" : { "date-parts" : [ [ "2014" ] ] }, "page" : "87-94", "publisher" : "Elsevier Inc.", "title" : "Modulating the interference effect on spatial working memory by applying transcranial direct current stimulation over the right dorsolateral prefrontal cortex.", "type" : "article-journal", "volume" : "91" }, "uris" : [ "http://www.mendeley.com/documents/?uuid=90692291-1d13-4381-8936-8cd9d0a5bbb5" ] }, { "id" : "ITEM-2", "itemData" : { "DOI" : "10.3389/fpsyt.2012.00081", "author" : [ { "dropping-particle" : "", "family" : "Jones", "given" : "Kevin T", "non-dropping-particle" : "", "parse-names" : false, "suffix" : "" }, { "dropping-particle" : "", "family" : "Berryhill", "given" : "Marian E", "non-dropping-particle" : "", "parse-names" : false, "suffix" : "" } ], "id" : "ITEM-2", "issue" : "September", "issued" : { "date-parts" : [ [ "2012" ] ] }, "page" : "1-11", "title" : "Parietal contributions to visual working memory depend on task difficulty", "type" : "article-journal", "volume" : "3" }, "uris" : [ "http://www.mendeley.com/documents/?uuid=3b0133e3-81e1-4714-96ec-46f82a4947c8" ] }, { "id" : "ITEM-3", "itemData" : { "DOI" : "10.1016/j.neuropsychologia.2011.12.011", "ISBN" : "1873-3514 (Electronic)\\n0028-3932 (Linking)", "ISSN" : "00283932", "PMID" : "22223077", "abstract" : "Transcranial magnetic stimulation and neuroimaging data have revealed bilateral posterior parietal cortex (PPC) involvement during verbal n-back working memory (WM). In this task as n (i.e., WM load) increases, subjects show poorer behavioral performance as well as greater activation of this brain area. Moreover, there is evidence that a brief period of practice or even increased familiarity with the task can improve WM performance and lead to activation changes in the PPC. The aim of this study was to investigate, using transcranial direct current stimulation (tDCS), the effects on WM load performance induced by different PPC modulation after increased familiarity with the task. After a short practice, we tested verbal WM using an n-back task (1-back vs. 2-back) before and after the application of bilateral tDCS over PPCs (left anodal-right cathodal, left cathodal-right anodal or sham). ANOVA showed a significant interaction between tDCS and task. In the 1-back task, left anodal-right cathodal modulation abolished improvement in reaction times observed in the other two modulation conditions. Conversely, in the 2-back task the same effect was observed after left cathodal-right anodal modulation relative to the other two modulation conditions. This double dissociation demonstrates either a differential engagement of each PPC or changes in the interhemispheric balance of activity across this brain region. Neuroimaging studies show parametric activation of the PPC as difficulty increases, but activation does not switch sides. Thus, our observed effects cannot be attributed to increased task difficulty, the stimuli used, or the response requirements. Rather, we suggest that these findings reflect the use of different processing strategies to perform these two tasks. In conclusion, after increased familiarity with the task, different tDCS modulations lead to changes in a task-related region depending on differences in processing strategies in 1-back vs. 2-back. ?? 2011 Elsevier Ltd.", "author" : [ { "dropping-particle" : "", "family" : "Sandrini", "given" : "Marco", "non-dropping-particle" : "", "parse-names" : false, "suffix" : "" }, { "dropping-particle" : "", "family" : "Fertonani", "given" : "Anna", "non-dropping-particle" : "", "parse-names" : false, "suffix" : "" }, { "dropping-particle" : "", "family" : "Cohen", "given" : "Leonardo G.", "non-dropping-particle" : "", "parse-names" : false, "suffix" : "" }, { "dropping-particle" : "", "family" : "Miniussi", "given" : "Carlo", "non-dropping-particle" : "", "parse-names" : false, "suffix" : "" } ], "container-title" : "Neuropsychologia", "id" : "ITEM-3", "issue" : "3", "issued" : { "date-parts" : [ [ "2012" ] ] }, "page" : "396-402", "publisher" : "Elsevier Ltd", "title" : "Double dissociation of working memory load effects induced by bilateral parietal modulation", "type" : "article-journal", "volume" : "50" }, "uris" : [ "http://www.mendeley.com/documents/?uuid=21007acc-920d-4fa2-929b-d0efc5db529c" ] } ], "mendeley" : { "formattedCitation" : "(Wu et al. 2014; Jones &amp; Berryhill 2012; Sandrini et al. 2012)", "plainTextFormattedCitation" : "(Wu et al. 2014; Jones &amp; Berryhill 2012; Sandrini et al. 2012)", "previouslyFormattedCitation" : "(Wu et al. 2014; Jones &amp; Berryhill 2012; Sandrini et al. 2012)" }, "properties" : { "noteIndex" : 0 }, "schema" : "https://github.com/citation-style-language/schema/raw/master/csl-citation.json" }</w:instrText>
      </w:r>
      <w:r w:rsidRPr="004229B3">
        <w:rPr>
          <w:rFonts w:ascii="Times" w:hAnsi="Times"/>
        </w:rPr>
        <w:fldChar w:fldCharType="separate"/>
      </w:r>
      <w:r w:rsidRPr="004229B3">
        <w:rPr>
          <w:rFonts w:ascii="Times" w:hAnsi="Times"/>
          <w:noProof/>
        </w:rPr>
        <w:t>(Wu et al. 2014; Jones &amp; Berryhill 2012; Sandrini et al. 2012)</w:t>
      </w:r>
      <w:r w:rsidRPr="004229B3">
        <w:rPr>
          <w:rFonts w:ascii="Times" w:hAnsi="Times"/>
        </w:rPr>
        <w:fldChar w:fldCharType="end"/>
      </w:r>
      <w:r w:rsidRPr="004229B3">
        <w:rPr>
          <w:rFonts w:ascii="Times" w:hAnsi="Times"/>
        </w:rPr>
        <w:t xml:space="preserve">. For example, using an oppositional montage, Sandrini and colleagues showed that the electrode polarity that RA/LC stimulation abolished the effect of familiarity on working memory performance when the task was difficult </w:t>
      </w:r>
      <w:r w:rsidRPr="004229B3">
        <w:rPr>
          <w:rFonts w:ascii="Times" w:hAnsi="Times"/>
        </w:rPr>
        <w:fldChar w:fldCharType="begin" w:fldLock="1"/>
      </w:r>
      <w:r w:rsidRPr="004229B3">
        <w:rPr>
          <w:rFonts w:ascii="Times" w:hAnsi="Times"/>
        </w:rPr>
        <w:instrText>ADDIN CSL_CITATION { "citationItems" : [ { "id" : "ITEM-1", "itemData" : { "DOI" : "10.1016/j.neuropsychologia.2011.12.011", "ISBN" : "1873-3514 (Electronic)\\n0028-3932 (Linking)", "ISSN" : "00283932", "PMID" : "22223077", "abstract" : "Transcranial magnetic stimulation and neuroimaging data have revealed bilateral posterior parietal cortex (PPC) involvement during verbal n-back working memory (WM). In this task as n (i.e., WM load) increases, subjects show poorer behavioral performance as well as greater activation of this brain area. Moreover, there is evidence that a brief period of practice or even increased familiarity with the task can improve WM performance and lead to activation changes in the PPC. The aim of this study was to investigate, using transcranial direct current stimulation (tDCS), the effects on WM load performance induced by different PPC modulation after increased familiarity with the task. After a short practice, we tested verbal WM using an n-back task (1-back vs. 2-back) before and after the application of bilateral tDCS over PPCs (left anodal-right cathodal, left cathodal-right anodal or sham). ANOVA showed a significant interaction between tDCS and task. In the 1-back task, left anodal-right cathodal modulation abolished improvement in reaction times observed in the other two modulation conditions. Conversely, in the 2-back task the same effect was observed after left cathodal-right anodal modulation relative to the other two modulation conditions. This double dissociation demonstrates either a differential engagement of each PPC or changes in the interhemispheric balance of activity across this brain region. Neuroimaging studies show parametric activation of the PPC as difficulty increases, but activation does not switch sides. Thus, our observed effects cannot be attributed to increased task difficulty, the stimuli used, or the response requirements. Rather, we suggest that these findings reflect the use of different processing strategies to perform these two tasks. In conclusion, after increased familiarity with the task, different tDCS modulations lead to changes in a task-related region depending on differences in processing strategies in 1-back vs. 2-back. ?? 2011 Elsevier Ltd.", "author" : [ { "dropping-particle" : "", "family" : "Sandrini", "given" : "Marco", "non-dropping-particle" : "", "parse-names" : false, "suffix" : "" }, { "dropping-particle" : "", "family" : "Fertonani", "given" : "Anna", "non-dropping-particle" : "", "parse-names" : false, "suffix" : "" }, { "dropping-particle" : "", "family" : "Cohen", "given" : "Leonardo G.", "non-dropping-particle" : "", "parse-names" : false, "suffix" : "" }, { "dropping-particle" : "", "family" : "Miniussi", "given" : "Carlo", "non-dropping-particle" : "", "parse-names" : false, "suffix" : "" } ], "container-title" : "Neuropsychologia", "id" : "ITEM-1", "issue" : "3", "issued" : { "date-parts" : [ [ "2012" ] ] }, "page" : "396-402", "publisher" : "Elsevier Ltd", "title" : "Double dissociation of working memory load effects induced by bilateral parietal modulation", "type" : "article-journal", "volume" : "50" }, "uris" : [ "http://www.mendeley.com/documents/?uuid=21007acc-920d-4fa2-929b-d0efc5db529c" ] } ], "mendeley" : { "formattedCitation" : "(Sandrini et al. 2012)", "plainTextFormattedCitation" : "(Sandrini et al. 2012)", "previouslyFormattedCitation" : "(Sandrini et al. 2012)" }, "properties" : { "noteIndex" : 0 }, "schema" : "https://github.com/citation-style-language/schema/raw/master/csl-citation.json" }</w:instrText>
      </w:r>
      <w:r w:rsidRPr="004229B3">
        <w:rPr>
          <w:rFonts w:ascii="Times" w:hAnsi="Times"/>
        </w:rPr>
        <w:fldChar w:fldCharType="separate"/>
      </w:r>
      <w:r w:rsidRPr="004229B3">
        <w:rPr>
          <w:rFonts w:ascii="Times" w:hAnsi="Times"/>
          <w:noProof/>
        </w:rPr>
        <w:t>(Sandrini et al. 2012)</w:t>
      </w:r>
      <w:r w:rsidRPr="004229B3">
        <w:rPr>
          <w:rFonts w:ascii="Times" w:hAnsi="Times"/>
        </w:rPr>
        <w:fldChar w:fldCharType="end"/>
      </w:r>
      <w:r w:rsidRPr="004229B3">
        <w:rPr>
          <w:rFonts w:ascii="Times" w:hAnsi="Times"/>
        </w:rPr>
        <w:t>. In contrast, the reverse effect (i.e. disruption of familiarity effect when the task was easy) was produced with opposite polarity stimulation (RC/LA). One possible interpretation of these findings is that hemispheric interactions, modulated by oppositional stimulation, may become particularly important under high task demands where the effects of activity in the other hemisphere may be more disruptive.</w:t>
      </w:r>
    </w:p>
    <w:p w14:paraId="752B32C1" w14:textId="77777777" w:rsidR="004229B3" w:rsidRPr="004229B3" w:rsidRDefault="004229B3" w:rsidP="004229B3">
      <w:pPr>
        <w:spacing w:line="480" w:lineRule="auto"/>
        <w:jc w:val="both"/>
        <w:rPr>
          <w:rFonts w:ascii="Times" w:hAnsi="Times"/>
        </w:rPr>
      </w:pPr>
    </w:p>
    <w:p w14:paraId="154712B9" w14:textId="3446174B" w:rsidR="004229B3" w:rsidRPr="004229B3" w:rsidRDefault="004229B3" w:rsidP="004229B3">
      <w:pPr>
        <w:spacing w:line="480" w:lineRule="auto"/>
        <w:jc w:val="both"/>
        <w:rPr>
          <w:rFonts w:ascii="Times" w:hAnsi="Times" w:cs="Arial"/>
          <w:noProof/>
          <w:u w:val="single"/>
          <w:lang w:val="en-US"/>
        </w:rPr>
      </w:pPr>
      <w:r w:rsidRPr="004229B3">
        <w:rPr>
          <w:rFonts w:ascii="Times" w:hAnsi="Times" w:cs="Arial"/>
          <w:noProof/>
          <w:lang w:val="en-US"/>
        </w:rPr>
        <w:t xml:space="preserve">An influence of cognitive load might partly explain why results of brain stimulation on cognitive tasks are so variable. A recent meta-analysis found that the probability of finding the anodal-facilitatory/ cathodal-inhibitory effect on behaviour in cognitive studies was low. In particular, cathodal-inhibitory effects were difficult to produce </w:t>
      </w:r>
      <w:r w:rsidRPr="004229B3">
        <w:rPr>
          <w:rFonts w:ascii="Times" w:hAnsi="Times" w:cs="Arial"/>
          <w:noProof/>
          <w:lang w:val="en-US"/>
        </w:rPr>
        <w:fldChar w:fldCharType="begin" w:fldLock="1"/>
      </w:r>
      <w:r w:rsidRPr="004229B3">
        <w:rPr>
          <w:rFonts w:ascii="Times" w:hAnsi="Times" w:cs="Arial"/>
          <w:noProof/>
          <w:lang w:val="en-US"/>
        </w:rPr>
        <w:instrText>ADDIN CSL_CITATION { "citationItems" : [ { "id" : "ITEM-1", "itemData" : { "DOI" : "10.1007/s00221-011-2891-9", "ISBN" : "0022101128919", "ISSN" : "1432-1106", "PMID" : "21989847", "abstract" : "In vivo effects of transcranial direct current stimulation (tDCS) have attracted much attention nowadays as this area of research spreads to both the motor and cognitive domains. The common assumption is that the anode electrode causes an enhancement of cortical excitability during stimulation, which then lasts for a few minutes thereafter, while the cathode electrode generates the opposite effect, i.e., anodal-excitation and cathodal-inhibition effects (AeCi). Yet, this dual-polarity effect has not been observed in all tDCS studies. Here, we conducted a meta-analytical review aimed to investigate the homogeneity/heterogeneity of the effect sizes of the AeCi dichotomy in both motor and cognitive functions. The AeCi effect was found to occur quite commonly with motor investigations and rarely in cognitive studies. When the anode electrode is applied over a non-motor area, in most cases, it will cause an excitation as measured by a relevant cognitive or perceptual task; however, the cathode electrode rarely causes an inhibition. We found homogeneity in motor studies and heterogeneity in cognitive studies with the electrode's polarity serving as a moderator that can explain the source of heterogeneity in cognitive studies. The lack of inhibitory cathodal effects might reflect compensation processes as cognitive functions are typically supported by rich brain networks. Further insights as to the polarity and domain interaction are offered, including subdivision to different classes of cognitive functions according to their likelihood of being affected by stimulation.", "author" : [ { "dropping-particle" : "", "family" : "Jacobson", "given" : "Liron", "non-dropping-particle" : "", "parse-names" : false, "suffix" : "" }, { "dropping-particle" : "", "family" : "Koslowsky", "given" : "Meni", "non-dropping-particle" : "", "parse-names" : false, "suffix" : "" }, { "dropping-particle" : "", "family" : "Lavidor", "given" : "Michal", "non-dropping-particle" : "", "parse-names" : false, "suffix" : "" } ], "container-title" : "Experimental Brain Research", "id" : "ITEM-1", "issue" : "1", "issued" : { "date-parts" : [ [ "2012", "1" ] ] }, "page" : "1-10", "title" : "TDCS polarity effects in motor and cognitive domains: A meta-analytical review", "type" : "article-journal", "volume" : "216" }, "uris" : [ "http://www.mendeley.com/documents/?uuid=329506d5-77a6-4160-8d07-fa00a4500e38" ] } ], "mendeley" : { "formattedCitation" : "(Jacobson, Koslowsky, et al. 2012)", "plainTextFormattedCitation" : "(Jacobson, Koslowsky, et al. 2012)", "previouslyFormattedCitation" : "(Jacobson, Koslowsky, et al. 2012)" }, "properties" : { "noteIndex" : 0 }, "schema" : "https://github.com/citation-style-language/schema/raw/master/csl-citation.json" }</w:instrText>
      </w:r>
      <w:r w:rsidRPr="004229B3">
        <w:rPr>
          <w:rFonts w:ascii="Times" w:hAnsi="Times" w:cs="Arial"/>
          <w:noProof/>
          <w:lang w:val="en-US"/>
        </w:rPr>
        <w:fldChar w:fldCharType="separate"/>
      </w:r>
      <w:r w:rsidRPr="004229B3">
        <w:rPr>
          <w:rFonts w:ascii="Times" w:hAnsi="Times" w:cs="Arial"/>
          <w:noProof/>
          <w:lang w:val="en-US"/>
        </w:rPr>
        <w:t>(Jacobson et al. 2012</w:t>
      </w:r>
      <w:r w:rsidR="00244D32">
        <w:rPr>
          <w:rFonts w:ascii="Times" w:hAnsi="Times" w:cs="Arial"/>
          <w:noProof/>
          <w:lang w:val="en-US"/>
        </w:rPr>
        <w:t>a</w:t>
      </w:r>
      <w:r w:rsidRPr="004229B3">
        <w:rPr>
          <w:rFonts w:ascii="Times" w:hAnsi="Times" w:cs="Arial"/>
          <w:noProof/>
          <w:lang w:val="en-US"/>
        </w:rPr>
        <w:t>)</w:t>
      </w:r>
      <w:r w:rsidRPr="004229B3">
        <w:rPr>
          <w:rFonts w:ascii="Times" w:hAnsi="Times" w:cs="Arial"/>
          <w:noProof/>
          <w:lang w:val="en-US"/>
        </w:rPr>
        <w:fldChar w:fldCharType="end"/>
      </w:r>
      <w:r w:rsidRPr="004229B3">
        <w:rPr>
          <w:rFonts w:ascii="Times" w:hAnsi="Times" w:cs="Arial"/>
          <w:noProof/>
          <w:lang w:val="en-US"/>
        </w:rPr>
        <w:t xml:space="preserve">. One reason for this is that inhibition of a single region by cathodal tDCS might usually be insufficient to impair functions that are supported by distributed cortical networks. However, by applying cathodal tDCS during a cognitively demanding task, the effects on the whole network might be enough to impair behaviour due to a baseline reduction of available cognitive resources. Our findings suggest that future studies should consider in more detail the </w:t>
      </w:r>
      <w:r w:rsidRPr="002F7F8D">
        <w:rPr>
          <w:rFonts w:ascii="Times" w:hAnsi="Times" w:cs="Arial"/>
          <w:noProof/>
          <w:lang w:val="en-US"/>
        </w:rPr>
        <w:t xml:space="preserve">relationship between task features, attentional demands and stimulation. Oppositional montages may be well-suited to investigate these effects, especially if hemispheric interactions are thought to be important </w:t>
      </w:r>
      <w:r w:rsidRPr="00881242">
        <w:rPr>
          <w:rFonts w:ascii="Times" w:hAnsi="Times" w:cs="Arial"/>
          <w:noProof/>
          <w:lang w:val="en-US"/>
        </w:rPr>
        <w:fldChar w:fldCharType="begin" w:fldLock="1"/>
      </w:r>
      <w:r w:rsidRPr="002F7F8D">
        <w:rPr>
          <w:rFonts w:ascii="Times" w:hAnsi="Times" w:cs="Arial"/>
          <w:noProof/>
          <w:lang w:val="en-US"/>
        </w:rPr>
        <w:instrText>ADDIN CSL_CITATION { "citationItems" : [ { "id" : "ITEM-1", "itemData" : { "DOI" : "10.1016/j.cub.2010.10.007", "ISSN" : "1879-0445", "PMID" : "21055945", "abstract" : "Around 20% of the population exhibits moderate to severe numerical disabilities [1-3], and a further percentage loses its numerical competence during the lifespan as a result of stroke or degenerative diseases [4]. In this work, we investigated the feasibility of using noninvasive stimulation to the parietal lobe during numerical learning to selectively improve numerical abilities. We used transcranial direct current stimulation (TDCS), a method that can selectively inhibit or excitate neuronal populations by modulating GABAergic (anodal stimulation) and glutamatergic (cathodal stimulation) activity [5, 6]. We trained subjects for 6 days with artificial numerical symbols, during which we applied concurrent TDCS to the parietal lobes. The polarity of the brain stimulation specifically enhanced or impaired the acquisition of automatic number processing and the mapping of number into space, both important indices of numerical proficiency [7-9]. The improvement was still present 6 months after the training. Control tasks revealed that the effect of brain stimulation was specific to the representation of artificial numerical symbols. The specificity and longevity of TDCS on numerical abilities establishes TDCS as a realistic tool for intervention in cases of atypical numerical development or loss of numerical abilities because of stroke or degenerative illnesses. ?? 2010 Elsevier Ltd All rights reserved.", "author" : [ { "dropping-particle" : "", "family" : "Cohen Kadosh", "given" : "Roi", "non-dropping-particle" : "", "parse-names" : false, "suffix" : "" }, { "dropping-particle" : "", "family" : "Soskic", "given" : "Sonja", "non-dropping-particle" : "", "parse-names" : false, "suffix" : "" }, { "dropping-particle" : "", "family" : "Iuculano", "given" : "Teresa", "non-dropping-particle" : "", "parse-names" : false, "suffix" : "" }, { "dropping-particle" : "", "family" : "Kanai", "given" : "Ryota", "non-dropping-particle" : "", "parse-names" : false, "suffix" : "" }, { "dropping-particle" : "", "family" : "Walsh", "given" : "Vincent", "non-dropping-particle" : "", "parse-names" : false, "suffix" : "" } ], "container-title" : "Current Biology", "id" : "ITEM-1", "issue" : "22", "issued" : { "date-parts" : [ [ "2010", "11", "23" ] ] }, "page" : "2016-2020", "publisher" : "Elsevier Ltd", "title" : "Modulating neuronal activity produces specific and long-lasting changes in numerical competence", "type" : "article-journal", "volume" : "20" }, "uris" : [ "http://www.mendeley.com/documents/?uuid=f53126a4-8d1c-4329-893a-ea729ee4b93a" ] }, { "id" : "ITEM-2", "itemData" : { "DOI" : "10.1016/j.cortex.2012.04.016", "ISSN" : "1973-8102", "PMID" : "22699023", "abstract" : "Data from neuropsychology and neuroimaging studies indicate hemispheric asymmetries in processing object's global form versus local parts. However the attentional mechanisms subtending visual selection of different levels of information are poorly understood. The classical left hemisphere/local-right hemisphere/global dichotomy has been recently challenged by studies linking the asymmetry of activation in the posterior parietal cortex (PPC) with the relative salience of the stimulus rather than with the local/global level. The present study aimed to assess hemispheric asymmetry in local-global and salience-based selection in hierarchical stimuli by using transcranial direct current stimulation (tDCS). To this end, tDCS has been applied to the PPC of both the hemispheres. Our data revealed that tDCS did affect the selection of the target on the basis of its relative salience in a manner that depended on the tDCS polarity applied to the two hemispheres. This result is in line with previous findings that the left PPC is critically involved in attention for low-salience stimuli in the presence of high-salience distractor information, while right PPC is involved in attending to more salient stimuli. Hemispheric asymmetries were also found in local/global selection. Overall the results suggest that neural activation in the PPC is related to both the salience and the level of stimulus representations mediating responses to hierarchical stimuli. The comparison of the results from Experiments 1 and 2 in local/global-based selection suggests that the effect of stimulation could be completely opposite depending on subtle differences in demands of attentional control (sustained attention vs task switching). ?? 2012 Elsevier Ltd.", "author" : [ { "dropping-particle" : "", "family" : "Bardi", "given" : "Lara", "non-dropping-particle" : "", "parse-names" : false, "suffix" : "" }, { "dropping-particle" : "", "family" : "Kanai", "given" : "Ryota", "non-dropping-particle" : "", "parse-names" : false, "suffix" : "" }, { "dropping-particle" : "", "family" : "Mapelli", "given" : "Daniela", "non-dropping-particle" : "", "parse-names" : false, "suffix" : "" }, { "dropping-particle" : "", "family" : "Walsh", "given" : "Vincent", "non-dropping-particle" : "", "parse-names" : false, "suffix" : "" } ], "container-title" : "Cortex", "id" : "ITEM-2", "issue" : "3", "issued" : { "date-parts" : [ [ "2013", "3" ] ] }, "page" : "850-860", "title" : "Direct current stimulation (tDCS) reveals parietal asymmetry in local/global and salience-based selection", "type" : "article-journal", "volume" : "49" }, "uris" : [ "http://www.mendeley.com/documents/?uuid=8b303fe3-22ca-4967-ac72-c82651286c34" ] }, { "id" : "ITEM-3", "itemData" : { "DOI" : "10.1523/JNEUROSCI.2924-09.2010", "ISSN" : "1529-2401", "PMID" : "20335459", "abstract" : "In a random sequence of binary events where one alternative occurs more often than the other, humans tend to guess which of the two alternatives will occur next by trying to match the frequencies of previous occurrences. Based on split-brain and unilaterally damaged patients' performances, it has been proposed that the left hemisphere (LH) tends to match the frequencies, while the right hemisphere (RH) tends toward maximizing and always choosing the most frequent alternative. The current study used transcranial direct current stimulation (tDCS) to test this hemispheric asymmetry hypothesis by stimulating the dorsolateral prefrontal cortex of each hemisphere and simultaneously inhibiting the corresponding region in the homotopic hemisphere, while participants were engaged in a probabilistic guessing task. Results showed no difference in strategy between the three groups (RH anodal/LH cathodal, LH anodal/RH cathodal, no stimulation) as participants predominantly matched the frequencies of the two alternatives. However, when anodal tDCS was applied to the LH and cathodal tDCS applied to the RH, participants became quicker to select the most frequent alternative. This finding is in line with previous evidence on the involvement of the LH in probabilistic learning and reasoning and adds to a number of demonstrations of anodal tDCS leading to some behavioral enhancement or change in bias.", "author" : [ { "dropping-particle" : "", "family" : "Hecht", "given" : "David", "non-dropping-particle" : "", "parse-names" : false, "suffix" : "" }, { "dropping-particle" : "", "family" : "Walsh", "given" : "Vincent", "non-dropping-particle" : "", "parse-names" : false, "suffix" : "" }, { "dropping-particle" : "", "family" : "Lavidor", "given" : "Michal", "non-dropping-particle" : "", "parse-names" : false, "suffix" : "" } ], "container-title" : "The Journal of neuroscience : the official journal of the Society for Neuroscience", "id" : "ITEM-3", "issue" : "12", "issued" : { "date-parts" : [ [ "2010", "3", "24" ] ] }, "page" : "4241-4245", "title" : "Transcranial direct current stimulation facilitates decision making in a probabilistic guessing task.", "type" : "article-journal", "volume" : "30" }, "uris" : [ "http://www.mendeley.com/documents/?uuid=eafcc280-14f4-488b-87d9-0dfe5ddef369" ] }, { "id" : "ITEM-4", "itemData" : { "DOI" : "10.1016/j.neuropsychologia.2011.12.011", "ISBN" : "1873-3514 (Electronic)\\n0028-3932 (Linking)", "ISSN" : "00283932", "PMID" : "22223077", "abstract" : "Transcranial magnetic stimulation and neuroimaging data have revealed bilateral posterior parietal cortex (PPC) involvement during verbal n-back working memory (WM). In this task as n (i.e., WM load) increases, subjects show poorer behavioral performance as well as greater activation of this brain area. Moreover, there is evidence that a brief period of practice or even increased familiarity with the task can improve WM performance and lead to activation changes in the PPC. The aim of this study was to investigate, using transcranial direct current stimulation (tDCS), the effects on WM load performance induced by different PPC modulation after increased familiarity with the task. After a short practice, we tested verbal WM using an n-back task (1-back vs. 2-back) before and after the application of bilateral tDCS over PPCs (left anodal-right cathodal, left cathodal-right anodal or sham). ANOVA showed a significant interaction between tDCS and task. In the 1-back task, left anodal-right cathodal modulation abolished improvement in reaction times observed in the other two modulation conditions. Conversely, in the 2-back task the same effect was observed after left cathodal-right anodal modulation relative to the other two modulation conditions. This double dissociation demonstrates either a differential engagement of each PPC or changes in the interhemispheric balance of activity across this brain region. Neuroimaging studies show parametric activation of the PPC as difficulty increases, but activation does not switch sides. Thus, our observed effects cannot be attributed to increased task difficulty, the stimuli used, or the response requirements. Rather, we suggest that these findings reflect the use of different processing strategies to perform these two tasks. In conclusion, after increased familiarity with the task, different tDCS modulations lead to changes in a task-related region depending on differences in processing strategies in 1-back vs. 2-back. ?? 2011 Elsevier Ltd.", "author" : [ { "dropping-particle" : "", "family" : "Sandrini", "given" : "Marco", "non-dropping-particle" : "", "parse-names" : false, "suffix" : "" }, { "dropping-particle" : "", "family" : "Fertonani", "given" : "Anna", "non-dropping-particle" : "", "parse-names" : false, "suffix" : "" }, { "dropping-particle" : "", "family" : "Cohen", "given" : "Leonardo G.", "non-dropping-particle" : "", "parse-names" : false, "suffix" : "" }, { "dropping-particle" : "", "family" : "Miniussi", "given" : "Carlo", "non-dropping-particle" : "", "parse-names" : false, "suffix" : "" } ], "container-title" : "Neuropsychologia", "id" : "ITEM-4", "issue" : "3", "issued" : { "date-parts" : [ [ "2012" ] ] }, "page" : "396-402", "publisher" : "Elsevier Ltd", "title" : "Double dissociation of working memory load effects induced by bilateral parietal modulation", "type" : "article-journal", "volume" : "50" }, "uris" : [ "http://www.mendeley.com/documents/?uuid=21007acc-920d-4fa2-929b-d0efc5db529c" ] } ], "mendeley" : { "formattedCitation" : "(Cohen Kadosh et al. 2010; Bardi et al. 2013; Hecht et al. 2010; Sandrini et al. 2012)", "plainTextFormattedCitation" : "(Cohen Kadosh et al. 2010; Bardi et al. 2013; Hecht et al. 2010; Sandrini et al. 2012)", "previouslyFormattedCitation" : "(Cohen Kadosh et al. 2010; Bardi et al. 2013; Hecht et al. 2010; Sandrini et al. 2012)" }, "properties" : { "noteIndex" : 0 }, "schema" : "https://github.com/citation-style-language/schema/raw/master/csl-citation.json" }</w:instrText>
      </w:r>
      <w:r w:rsidRPr="00881242">
        <w:rPr>
          <w:rFonts w:ascii="Times" w:hAnsi="Times" w:cs="Arial"/>
          <w:noProof/>
          <w:lang w:val="en-US"/>
        </w:rPr>
        <w:fldChar w:fldCharType="separate"/>
      </w:r>
      <w:r w:rsidRPr="002F7F8D">
        <w:rPr>
          <w:rFonts w:ascii="Times" w:hAnsi="Times" w:cs="Arial"/>
          <w:noProof/>
          <w:lang w:val="en-US"/>
        </w:rPr>
        <w:t>(Cohen Kadosh et al. 2010; Bardi et al. 2013; Hecht et al. 2010; Sandrini et al. 2012)</w:t>
      </w:r>
      <w:r w:rsidRPr="00881242">
        <w:rPr>
          <w:rFonts w:ascii="Times" w:hAnsi="Times" w:cs="Arial"/>
          <w:noProof/>
          <w:lang w:val="en-US"/>
        </w:rPr>
        <w:fldChar w:fldCharType="end"/>
      </w:r>
      <w:r w:rsidRPr="002F7F8D">
        <w:rPr>
          <w:rFonts w:ascii="Times" w:hAnsi="Times" w:cs="Arial"/>
          <w:noProof/>
          <w:lang w:val="en-US"/>
        </w:rPr>
        <w:t xml:space="preserve">. An extension of this study would be to investigate how baseline performance influences the response to stimulation, which has been seen in spatial attention amongst other motor and cognitive functions </w:t>
      </w:r>
      <w:r w:rsidRPr="00481B8B">
        <w:rPr>
          <w:rFonts w:ascii="Times" w:hAnsi="Times" w:cs="Arial"/>
          <w:noProof/>
          <w:lang w:val="en-US"/>
        </w:rPr>
        <w:fldChar w:fldCharType="begin" w:fldLock="1"/>
      </w:r>
      <w:r w:rsidRPr="00481B8B">
        <w:rPr>
          <w:rFonts w:ascii="Times" w:hAnsi="Times" w:cs="Arial"/>
          <w:noProof/>
          <w:lang w:val="en-US"/>
        </w:rPr>
        <w:instrText>ADDIN CSL_CITATION { "citationItems" : [ { "id" : "ITEM-1", "itemData" : { "DOI" : "10.1016/j.cortex.2015.05.007", "ISSN" : "00109452", "author" : [ { "dropping-particle" : "", "family" : "Benwell", "given" : "Christopher S.Y.", "non-dropping-particle" : "", "parse-names" : false, "suffix" : "" }, { "dropping-particle" : "", "family" : "Learmonth", "given" : "Gemma", "non-dropping-particle" : "", "parse-names" : false, "suffix" : "" }, { "dropping-particle" : "", "family" : "Miniussi", "given" : "Carlo", "non-dropping-particle" : "", "parse-names" : false, "suffix" : "" }, { "dropping-particle" : "", "family" : "Harvey", "given" : "Monika", "non-dropping-particle" : "", "parse-names" : false, "suffix" : "" }, { "dropping-particle" : "", "family" : "Thut", "given" : "Gregor", "non-dropping-particle" : "", "parse-names" : false, "suffix" : "" } ], "container-title" : "Cortex", "id" : "ITEM-1", "issued" : { "date-parts" : [ [ "2015" ] ] }, "page" : "152-165", "publisher" : "Elsevier Ltd", "title" : "Non-linear effects of transcranial direct current stimulation as a function of individual baseline performance: Evidence from biparietal tDCS influence on lateralized attention bias", "type" : "article-journal", "volume" : "69" }, "uris" : [ "http://www.mendeley.com/documents/?uuid=5c010fdb-1cbf-4d40-93e0-9545974cc8c4" ] }, { "id" : "ITEM-2", "itemData" : { "DOI" : "10.3389/fncel.2015.00181", "ISSN" : "1662-5102", "author" : [ { "dropping-particle" : "", "family" : "Li", "given" : "Lucia M.", "non-dropping-particle" : "", "parse-names" : false, "suffix" : "" }, { "dropping-particle" : "", "family" : "Uehara", "given" : "Kazumasa", "non-dropping-particle" : "", "parse-names" : false, "suffix" : "" }, { "dropping-particle" : "", "family" : "Hanakawa", "given" : "Takashi", "non-dropping-particle" : "", "parse-names" : false, "suffix" : "" } ], "container-title" : "Frontiers in Cellular Neuroscience", "id" : "ITEM-2", "issue" : "May", "issued" : { "date-parts" : [ [ "2015" ] ] }, "title" : "The contribution of interindividual factors to variability of response in transcranial direct current stimulation studies", "type" : "article-journal", "volume" : "9" }, "uris" : [ "http://www.mendeley.com/documents/?uuid=94970e58-4d3f-435d-9eeb-da59792b651b" ] } ], "mendeley" : { "formattedCitation" : "(Benwell et al. 2015; Li et al. 2015)", "plainTextFormattedCitation" : "(Benwell et al. 2015; Li et al. 2015)", "previouslyFormattedCitation" : "(Benwell et al. 2015; Li et al. 2015)" }, "properties" : { "noteIndex" : 0 }, "schema" : "https://github.com/citation-style-language/schema/raw/master/csl-citation.json" }</w:instrText>
      </w:r>
      <w:r w:rsidRPr="00481B8B">
        <w:rPr>
          <w:rFonts w:ascii="Times" w:hAnsi="Times" w:cs="Arial"/>
          <w:noProof/>
          <w:lang w:val="en-US"/>
        </w:rPr>
        <w:fldChar w:fldCharType="separate"/>
      </w:r>
      <w:r w:rsidRPr="00481B8B">
        <w:rPr>
          <w:rFonts w:ascii="Times" w:hAnsi="Times" w:cs="Arial"/>
          <w:noProof/>
          <w:lang w:val="en-US"/>
        </w:rPr>
        <w:t>(Benwell et al. 2015; Li et al. 2015)</w:t>
      </w:r>
      <w:r w:rsidRPr="00481B8B">
        <w:rPr>
          <w:rFonts w:ascii="Times" w:hAnsi="Times" w:cs="Arial"/>
          <w:noProof/>
          <w:lang w:val="en-US"/>
        </w:rPr>
        <w:fldChar w:fldCharType="end"/>
      </w:r>
      <w:r w:rsidRPr="00481B8B">
        <w:rPr>
          <w:rFonts w:ascii="Times" w:hAnsi="Times" w:cs="Arial"/>
          <w:noProof/>
          <w:lang w:val="en-US"/>
        </w:rPr>
        <w:t>, as one’s baseline performance may be related to how one handles cognitive load.</w:t>
      </w:r>
    </w:p>
    <w:p w14:paraId="62A5F961" w14:textId="77777777" w:rsidR="004229B3" w:rsidRPr="004229B3" w:rsidRDefault="004229B3" w:rsidP="004229B3">
      <w:pPr>
        <w:spacing w:line="480" w:lineRule="auto"/>
        <w:jc w:val="both"/>
        <w:rPr>
          <w:rFonts w:ascii="Times" w:hAnsi="Times"/>
        </w:rPr>
      </w:pPr>
    </w:p>
    <w:p w14:paraId="145CE498" w14:textId="77777777" w:rsidR="004229B3" w:rsidRPr="00F94975" w:rsidRDefault="004229B3" w:rsidP="004229B3">
      <w:pPr>
        <w:spacing w:line="480" w:lineRule="auto"/>
        <w:jc w:val="both"/>
        <w:rPr>
          <w:rFonts w:ascii="Times" w:hAnsi="Times"/>
        </w:rPr>
      </w:pPr>
      <w:r w:rsidRPr="002F7F8D">
        <w:rPr>
          <w:rFonts w:ascii="Times" w:hAnsi="Times"/>
        </w:rPr>
        <w:t xml:space="preserve">We did not show any effect on spatial attention measured using the Posner task. Within the parietal lobe, spatial attention is thought to involve interactions between the right superior parietal lobule and bilateral intraparietal sulci </w:t>
      </w:r>
      <w:r w:rsidRPr="00881242">
        <w:rPr>
          <w:rFonts w:ascii="Times" w:hAnsi="Times"/>
        </w:rPr>
        <w:fldChar w:fldCharType="begin" w:fldLock="1"/>
      </w:r>
      <w:r w:rsidRPr="002F7F8D">
        <w:rPr>
          <w:rFonts w:ascii="Times" w:hAnsi="Times"/>
        </w:rPr>
        <w:instrText>ADDIN CSL_CITATION { "citationItems" : [ { "id" : "ITEM-1", "itemData" : { "author" : [ { "dropping-particle" : "", "family" : "Corbetta", "given" : "Maurizio", "non-dropping-particle" : "", "parse-names" : false, "suffix" : "" }, { "dropping-particle" : "", "family" : "Shulman", "given" : "Gordon L", "non-dropping-particle" : "", "parse-names" : false, "suffix" : "" } ], "container-title" : "Nature reviews. Neuroscience", "id" : "ITEM-1", "issued" : { "date-parts" : [ [ "2002" ] ] }, "page" : "201-215", "title" : "Control of goal-directed and stimulus-driven attention in the brain", "type" : "article-journal", "volume" : "3" }, "uris" : [ "http://www.mendeley.com/documents/?uuid=68d83525-85b0-4be1-86ff-3677022aa38f" ] }, { "id" : "ITEM-2", "itemData" : { "DOI" : "10.1146/annurev-neuro-061010-113731", "ISBN" : "0610101137", "ISSN" : "1545-4126", "PMID" : "21692662", "abstract" : "Unilateral spatial neglect is a common neurological syndrome following predominantly right hemisphere injuries and is characterized by both spatial and non-spatial deficits. Core spatial deficits involve mechanisms for saliency coding, spatial attention, and short-term memory and occur in conjunction with nonspatial deficits that involve reorienting, target detection, and arousal/vigilance. We argue that neglect is better explained by the dysfunction of distributed cortical networks for the control of attention than by structural damage of specific brain regions. Ventral lesions in right parietal, temporal, and frontal cortex that cause neglect directly impair nonspatial functions partly mediated by a ventral frontoparietal attention network. Structural damage in ventral cortex also induces physiological abnormalities of task-evoked activity and functional connectivity in a dorsal frontoparietal network that controls spatial attention. The anatomy and right hemisphere dominance of neglect follow from the anatomy and laterality of the ventral regions that interact with the dorsal attention network.", "author" : [ { "dropping-particle" : "", "family" : "Corbetta", "given" : "Maurizio", "non-dropping-particle" : "", "parse-names" : false, "suffix" : "" }, { "dropping-particle" : "", "family" : "Shulman", "given" : "Gordon L", "non-dropping-particle" : "", "parse-names" : false, "suffix" : "" } ], "container-title" : "Annual review of neuroscience", "id" : "ITEM-2", "issued" : { "date-parts" : [ [ "2011", "1" ] ] }, "number-of-pages" : "569-599", "title" : "Spatial neglect and attention networks.", "type" : "book", "volume" : "34" }, "uris" : [ "http://www.mendeley.com/documents/?uuid=fc0aac46-da15-420b-bd97-b8a8867d89a4" ] } ], "mendeley" : { "formattedCitation" : "(Maurizio Corbetta &amp; Shulman 2002; Corbetta &amp; Shulman 2011)", "manualFormatting" : "(Corbetta &amp; Shulman 2002; Corbetta &amp; Shulman 2011)", "plainTextFormattedCitation" : "(Maurizio Corbetta &amp; Shulman 2002; Corbetta &amp; Shulman 2011)", "previouslyFormattedCitation" : "(Maurizio Corbetta &amp; Shulman 2002; Corbetta &amp; Shulman 2011)" }, "properties" : { "noteIndex" : 0 }, "schema" : "https://github.com/citation-style-language/schema/raw/master/csl-citation.json" }</w:instrText>
      </w:r>
      <w:r w:rsidRPr="00881242">
        <w:rPr>
          <w:rFonts w:ascii="Times" w:hAnsi="Times"/>
        </w:rPr>
        <w:fldChar w:fldCharType="separate"/>
      </w:r>
      <w:r w:rsidRPr="002F7F8D">
        <w:rPr>
          <w:rFonts w:ascii="Times" w:hAnsi="Times"/>
          <w:noProof/>
        </w:rPr>
        <w:t>(Corbetta &amp; Shulman 2002; Corbetta &amp; Shulman 2011)</w:t>
      </w:r>
      <w:r w:rsidRPr="00881242">
        <w:rPr>
          <w:rFonts w:ascii="Times" w:hAnsi="Times"/>
        </w:rPr>
        <w:fldChar w:fldCharType="end"/>
      </w:r>
      <w:r w:rsidRPr="002F7F8D">
        <w:rPr>
          <w:rFonts w:ascii="Times" w:hAnsi="Times"/>
        </w:rPr>
        <w:t xml:space="preserve">. The involvement of the right superior parietal lobule is why lesions of the right parietal lobe after stroke result in neglect. Interhemispheric competition between the bilateral IPS is also thought to underlie efficient coding of stimulus location, with each parietal hemisphere favouring processing of stimuli in the contralateral hemi-field </w:t>
      </w:r>
      <w:r w:rsidRPr="00E576CB">
        <w:rPr>
          <w:rFonts w:ascii="Times" w:hAnsi="Times"/>
        </w:rPr>
        <w:fldChar w:fldCharType="begin" w:fldLock="1"/>
      </w:r>
      <w:r w:rsidRPr="002F7F8D">
        <w:rPr>
          <w:rFonts w:ascii="Times" w:hAnsi="Times"/>
        </w:rPr>
        <w:instrText>ADDIN CSL_CITATION { "citationItems" : [ { "id" : "ITEM-1", "itemData" : { "DOI" : "10.1523/JNEUROSCI.3759-07.2007", "ISSN" : "1529-2401", "abstract" : "Humans can use advance information to direct spatial attention before stimulus presentation and respond more accurately to stimuli at the attended location compared with unattended locations. Likewise, spatially directed attention is associated with anticipatory activity in the portion of visual cortex representing the attended location. It is unknown, however, whether and how anticipatory signals predict the locus of spatial attention and perception. Here, we show that prestimulus, preparatory activity is highly correlated across regions representing attended and unattended locations. Comparing activity representing attended versus unattended locations, rather than measuring activity for only one location, dramatically improves the accuracy with which preparatory signals predict the locus of attention, largely by removing this positive correlation common across locations. In V3A, moreover, only the difference in activity between attended and unattended locations predicts whether upcoming visual stimuli will be accurately perceived. These results suggest that the locus of attention is coded in visual cortex by an asymmetry of anticipatory activity between attended and unattended locations and that this asymmetry predicts the accuracy of perception. This coding strategy may bias activity in downstream brain regions to represent the stimulus at the attended location.", "author" : [ { "dropping-particle" : "", "family" : "Sylvester", "given" : "C M", "non-dropping-particle" : "", "parse-names" : false, "suffix" : "" }, { "dropping-particle" : "", "family" : "Shulman", "given" : "G L", "non-dropping-particle" : "", "parse-names" : false, "suffix" : "" }, { "dropping-particle" : "", "family" : "Jack", "given" : "A I", "non-dropping-particle" : "", "parse-names" : false, "suffix" : "" }, { "dropping-particle" : "", "family" : "Corbetta", "given" : "M", "non-dropping-particle" : "", "parse-names" : false, "suffix" : "" } ], "container-title" : "J Neurosci", "id" : "ITEM-1", "issued" : { "date-parts" : [ [ "2007" ] ] }, "language" : "eng", "page" : "14424-14433", "title" : "Asymmetry of anticipatory activity in visual cortex predicts the locus of attention and perception", "type" : "article-journal", "volume" : "27" }, "uris" : [ "http://www.mendeley.com/documents/?uuid=236d659f-b759-4d36-a174-aa9a81a7d899" ] }, { "id" : "ITEM-2", "itemData" : { "author" : [ { "dropping-particle" : "", "family" : "Kinsbourne", "given" : "M", "non-dropping-particle" : "", "parse-names" : false, "suffix" : "" } ], "container-title" : "Neurophysiological and neuropsychological aspects of spatial neglect", "editor" : [ { "dropping-particle" : "", "family" : "Jeannerod", "given" : "M", "non-dropping-particle" : "", "parse-names" : false, "suffix" : "" } ], "id" : "ITEM-2", "issued" : { "date-parts" : [ [ "1987" ] ] }, "page" : "69-86", "publisher" : "Elsevier Sci.", "publisher-place" : "Amsterdam", "title" : "Mechanisms of unilateral neglect", "type" : "chapter" }, "uris" : [ "http://www.mendeley.com/documents/?uuid=b3a2e754-ebbb-4699-ae89-69f026ea0813" ] } ], "mendeley" : { "formattedCitation" : "(Sylvester et al. 2007; Kinsbourne 1987)", "plainTextFormattedCitation" : "(Sylvester et al. 2007; Kinsbourne 1987)", "previouslyFormattedCitation" : "(Sylvester et al. 2007; Kinsbourne 1987)" }, "properties" : { "noteIndex" : 0 }, "schema" : "https://github.com/citation-style-language/schema/raw/master/csl-citation.json" }</w:instrText>
      </w:r>
      <w:r w:rsidRPr="00E576CB">
        <w:rPr>
          <w:rFonts w:ascii="Times" w:hAnsi="Times"/>
        </w:rPr>
        <w:fldChar w:fldCharType="separate"/>
      </w:r>
      <w:r w:rsidRPr="002F7F8D">
        <w:rPr>
          <w:rFonts w:ascii="Times" w:hAnsi="Times"/>
          <w:noProof/>
        </w:rPr>
        <w:t>(Sylvester et al. 2007; Kinsbourne 1987)</w:t>
      </w:r>
      <w:r w:rsidRPr="00E576CB">
        <w:rPr>
          <w:rFonts w:ascii="Times" w:hAnsi="Times"/>
        </w:rPr>
        <w:fldChar w:fldCharType="end"/>
      </w:r>
      <w:r w:rsidRPr="002F7F8D">
        <w:rPr>
          <w:rFonts w:ascii="Times" w:hAnsi="Times"/>
        </w:rPr>
        <w:t xml:space="preserve">. We showed clear Posner and Alerting effects indicating that participants were performing the task appropriately </w:t>
      </w:r>
      <w:r w:rsidRPr="00D34A85">
        <w:rPr>
          <w:rFonts w:ascii="Times" w:hAnsi="Times"/>
        </w:rPr>
        <w:fldChar w:fldCharType="begin" w:fldLock="1"/>
      </w:r>
      <w:r w:rsidRPr="002F7F8D">
        <w:rPr>
          <w:rFonts w:ascii="Times" w:hAnsi="Times"/>
        </w:rPr>
        <w:instrText>ADDIN CSL_CITATION { "citationItems" : [ { "id" : "ITEM-1", "itemData" : { "abstract" : "In recent years, three attentional networks have been defined in anatomical and functional terms. These functions involve alerting, orienting, and executive attention. Reaction time measures can be used to quantify the processing efficiency within each of these three networks. The Attention Network Test (ANT) is designed to evaluate alerting, orienting, and executive attention within a single 30-min testing session that can be easily performed by children, patients, and monkeys. A study with 40 normal adult subjects indicates that the ANT produces reliable single subject estimates of alerting, orienting, and executive function, and further suggests that the efficiencies of these three networks are uncorrelated. There are, however, some interactions in which alerting and orienting can modulate the degree of interference from flankers. This procedure may prove to be convenient and useful in evaluating attentional abnormalities associated with cases of brain injury, stroke, schizophrenia, and attention-deficit disorder. The ANT may also serve as an activation task for neuroimaging studies and as a phenotype for the study of the influence of genes on attentional networks.", "author" : [ { "dropping-particle" : "", "family" : "Fan", "given" : "Jin", "non-dropping-particle" : "", "parse-names" : false, "suffix" : "" }, { "dropping-particle" : "", "family" : "McCandliss", "given" : "Bruce D", "non-dropping-particle" : "", "parse-names" : false, "suffix" : "" }, { "dropping-particle" : "", "family" : "Sommer", "given" : "Tobias", "non-dropping-particle" : "", "parse-names" : false, "suffix" : "" }, { "dropping-particle" : "", "family" : "Raz", "given" : "Amir", "non-dropping-particle" : "", "parse-names" : false, "suffix" : "" }, { "dropping-particle" : "", "family" : "Posner", "given" : "Michael I", "non-dropping-particle" : "", "parse-names" : false, "suffix" : "" } ], "container-title" : "Journal of cognitive neuroscience", "id" : "ITEM-1", "issue" : "3", "issued" : { "date-parts" : [ [ "2002" ] ] }, "page" : "340-347", "title" : "Testing the efficiency and independence of attentional networks.", "type" : "article-journal", "volume" : "14" }, "uris" : [ "http://www.mendeley.com/documents/?uuid=bba20a74-cc40-4abf-be87-42cb5d978642" ] }, { "id" : "ITEM-2", "itemData" : { "author" : [ { "dropping-particle" : "", "family" : "Posner", "given" : "Michael I", "non-dropping-particle" : "", "parse-names" : false, "suffix" : "" }, { "dropping-particle" : "", "family" : "Snyder", "given" : "Charles R R", "non-dropping-particle" : "", "parse-names" : false, "suffix" : "" }, { "dropping-particle" : "", "family" : "Davidson", "given" : "Brian J", "non-dropping-particle" : "", "parse-names" : false, "suffix" : "" } ], "id" : "ITEM-2", "issue" : "2", "issued" : { "date-parts" : [ [ "1980" ] ] }, "page" : "160-174", "title" : "Attention and the Detection of Signals", "type" : "article-journal", "volume" : "109" }, "uris" : [ "http://www.mendeley.com/documents/?uuid=c809987b-f380-4b36-844a-db7677de588d" ] } ], "mendeley" : { "formattedCitation" : "(Jin Fan et al. 2002; Posner et al. 1980)", "manualFormatting" : "(Fan et al. 2002; Posner et al. 1980)", "plainTextFormattedCitation" : "(Jin Fan et al. 2002; Posner et al. 1980)", "previouslyFormattedCitation" : "(Jin Fan et al. 2002; Posner et al. 1980)" }, "properties" : { "noteIndex" : 0 }, "schema" : "https://github.com/citation-style-language/schema/raw/master/csl-citation.json" }</w:instrText>
      </w:r>
      <w:r w:rsidRPr="00D34A85">
        <w:rPr>
          <w:rFonts w:ascii="Times" w:hAnsi="Times"/>
        </w:rPr>
        <w:fldChar w:fldCharType="separate"/>
      </w:r>
      <w:r w:rsidRPr="002F7F8D">
        <w:rPr>
          <w:rFonts w:ascii="Times" w:hAnsi="Times"/>
          <w:noProof/>
        </w:rPr>
        <w:t>(Fan et al. 2002; Posner et al. 1980)</w:t>
      </w:r>
      <w:r w:rsidRPr="00D34A85">
        <w:rPr>
          <w:rFonts w:ascii="Times" w:hAnsi="Times"/>
        </w:rPr>
        <w:fldChar w:fldCharType="end"/>
      </w:r>
      <w:r w:rsidRPr="002F7F8D">
        <w:rPr>
          <w:rFonts w:ascii="Times" w:hAnsi="Times"/>
        </w:rPr>
        <w:t xml:space="preserve">. Therefore, our finding that oppositional parietal </w:t>
      </w:r>
      <w:r w:rsidRPr="00F94975">
        <w:rPr>
          <w:rFonts w:ascii="Times" w:hAnsi="Times"/>
        </w:rPr>
        <w:t xml:space="preserve">tDCS had no effect on spatial attention was unexpected, particularly as previous studies have demonstrated that RC/LA parietal (P3/P4) stimulation produces a rightward bias in a centroid defining task </w:t>
      </w:r>
      <w:r w:rsidRPr="00F94975">
        <w:rPr>
          <w:rFonts w:ascii="Times" w:hAnsi="Times"/>
        </w:rPr>
        <w:fldChar w:fldCharType="begin" w:fldLock="1"/>
      </w:r>
      <w:r w:rsidRPr="00F94975">
        <w:rPr>
          <w:rFonts w:ascii="Times" w:hAnsi="Times"/>
        </w:rPr>
        <w:instrText>ADDIN CSL_CITATION { "citationItems" : [ { "id" : "ITEM-1", "itemData" : { "DOI" : "10.1167/14.9.5.doi", "author" : [ { "dropping-particle" : "", "family" : "Wright", "given" : "Jessica M", "non-dropping-particle" : "", "parse-names" : false, "suffix" : "" }, { "dropping-particle" : "", "family" : "Krekelberg", "given" : "Bart", "non-dropping-particle" : "", "parse-names" : false, "suffix" : "" } ], "container-title" : "Journal of Vision", "id" : "ITEM-1", "issued" : { "date-parts" : [ [ "2014" ] ] }, "page" : "1-15", "title" : "Transcranial direct current stimulation over posterior parietal cortex modulates visuospatial localization", "type" : "article-journal", "volume" : "14" }, "uris" : [ "http://www.mendeley.com/documents/?uuid=f951db05-e3eb-42e5-89d8-e2c49a46db92" ] } ], "mendeley" : { "formattedCitation" : "(Wright &amp; Krekelberg 2014)", "plainTextFormattedCitation" : "(Wright &amp; Krekelberg 2014)", "previouslyFormattedCitation" : "(Wright &amp; Krekelberg 2014)" }, "properties" : { "noteIndex" : 0 }, "schema" : "https://github.com/citation-style-language/schema/raw/master/csl-citation.json" }</w:instrText>
      </w:r>
      <w:r w:rsidRPr="00F94975">
        <w:rPr>
          <w:rFonts w:ascii="Times" w:hAnsi="Times"/>
        </w:rPr>
        <w:fldChar w:fldCharType="separate"/>
      </w:r>
      <w:r w:rsidRPr="00F94975">
        <w:rPr>
          <w:rFonts w:ascii="Times" w:hAnsi="Times"/>
          <w:noProof/>
        </w:rPr>
        <w:t>(Wright &amp; Krekelberg 2014)</w:t>
      </w:r>
      <w:r w:rsidRPr="00F94975">
        <w:rPr>
          <w:rFonts w:ascii="Times" w:hAnsi="Times"/>
        </w:rPr>
        <w:fldChar w:fldCharType="end"/>
      </w:r>
      <w:r w:rsidRPr="00F94975">
        <w:rPr>
          <w:rFonts w:ascii="Times" w:hAnsi="Times"/>
        </w:rPr>
        <w:t xml:space="preserve"> and non-manual line bisection tasks </w:t>
      </w:r>
      <w:r w:rsidRPr="00F94975">
        <w:rPr>
          <w:rFonts w:ascii="Times" w:hAnsi="Times"/>
        </w:rPr>
        <w:fldChar w:fldCharType="begin" w:fldLock="1"/>
      </w:r>
      <w:r w:rsidRPr="00F94975">
        <w:rPr>
          <w:rFonts w:ascii="Times" w:hAnsi="Times"/>
        </w:rPr>
        <w:instrText>ADDIN CSL_CITATION { "citationItems" : [ { "id" : "ITEM-1", "itemData" : { "DOI" : "10.1016/j.brs.2011.01.003", "ISBN" : "1935-861X (Print)", "ISSN" : "1935861X", "PMID" : "22032745", "abstract" : "Background: Repetitive transcranial magnetic stimulation (rTMS) over right posterior parietal cortex was shown to induce interference on visuospatial perception in healthy subjects. Transcranial direct current stimulation (tDCS) is another noninvasive brain stimulation technique that works modulating cortical activity. It is applied through easy to use, noncostly, and portable devices. Objective/Hypothesis: The aim of the current study was to investigate if the novel approach of \"dual\" stimulation over parietal cortices compared with the unilateral (right) cathodal one is able to induce greater and/or longer-lasting neglect-like effects in normal subjects performing a computerized visuospatial task. Methods: Eleven healthy subjects underwent a computerized visuospatial task requiring judgments about the symmetry of prebisected lines in baseline condition, during and after tDCS. Right cathodal and left anodal tDCS were simultaneously applied over homologue posterior parietal cortices in the \"dual\" approach, whereas right cathodal tDCS was used in the traditional unihemisphere stimulation. Results: A significant rightward bias in symmetry judgments as compared with baseline and sham conditions was observed in both the stimulation approaches. With \"dual\" tDCS compared with cathodal stimulation the effect was stronger and appeared earlier, but no longer-lasting after effects were found. Conclusions: We speculate that the resulting modulation of interhemispheric inhibition mediated the additional rightward bias in task performance for \"dual\" hemisphere compared with unihemisphere tDCS. If \"dual\" tDCS may better reproduce mechanisms underlying real lesions, it could provide a more suitable model for rehabilitation of negligent patients. ?? 2011 Elsevier Inc. All rights reserved.", "author" : [ { "dropping-particle" : "", "family" : "Giglia", "given" : "G.", "non-dropping-particle" : "", "parse-names" : false, "suffix" : "" }, { "dropping-particle" : "", "family" : "Mattaliano", "given" : "P.", "non-dropping-particle" : "", "parse-names" : false, "suffix" : "" }, { "dropping-particle" : "", "family" : "Puma", "given" : "a.", "non-dropping-particle" : "", "parse-names" : false, "suffix" : "" }, { "dropping-particle" : "", "family" : "Rizzo", "given" : "S.", "non-dropping-particle" : "", "parse-names" : false, "suffix" : "" }, { "dropping-particle" : "", "family" : "Fierro", "given" : "B.", "non-dropping-particle" : "", "parse-names" : false, "suffix" : "" }, { "dropping-particle" : "", "family" : "Brighina", "given" : "F.", "non-dropping-particle" : "", "parse-names" : false, "suffix" : "" } ], "container-title" : "Brain Stimulation", "id" : "ITEM-1", "issue" : "4", "issued" : { "date-parts" : [ [ "2011" ] ] }, "page" : "294-299", "publisher" : "Elsevier Inc", "title" : "Neglect-like effects induced by tDCS modulation of posterior parietal cortices in healthy subjects", "type" : "article-journal", "volume" : "4" }, "uris" : [ "http://www.mendeley.com/documents/?uuid=eaa5c30a-292d-481e-98c0-cd6d7c9dd520" ] }, { "id" : "ITEM-2", "itemData" : { "DOI" : "10.1016/j.cortex.2015.05.007", "ISSN" : "00109452", "author" : [ { "dropping-particle" : "", "family" : "Benwell", "given" : "Christopher S.Y.", "non-dropping-particle" : "", "parse-names" : false, "suffix" : "" }, { "dropping-particle" : "", "family" : "Learmonth", "given" : "Gemma", "non-dropping-particle" : "", "parse-names" : false, "suffix" : "" }, { "dropping-particle" : "", "family" : "Miniussi", "given" : "Carlo", "non-dropping-particle" : "", "parse-names" : false, "suffix" : "" }, { "dropping-particle" : "", "family" : "Harvey", "given" : "Monika", "non-dropping-particle" : "", "parse-names" : false, "suffix" : "" }, { "dropping-particle" : "", "family" : "Thut", "given" : "Gregor", "non-dropping-particle" : "", "parse-names" : false, "suffix" : "" } ], "container-title" : "Cortex", "id" : "ITEM-2", "issued" : { "date-parts" : [ [ "2015" ] ] }, "page" : "152-165", "publisher" : "Elsevier Ltd", "title" : "Non-linear effects of transcranial direct current stimulation as a function of individual baseline performance: Evidence from biparietal tDCS influence on lateralized attention bias", "type" : "article-journal", "volume" : "69" }, "uris" : [ "http://www.mendeley.com/documents/?uuid=5c010fdb-1cbf-4d40-93e0-9545974cc8c4" ] } ], "mendeley" : { "formattedCitation" : "(Giglia et al. 2011; Benwell et al. 2015)", "plainTextFormattedCitation" : "(Giglia et al. 2011; Benwell et al. 2015)", "previouslyFormattedCitation" : "(Giglia et al. 2011; Benwell et al. 2015)" }, "properties" : { "noteIndex" : 0 }, "schema" : "https://github.com/citation-style-language/schema/raw/master/csl-citation.json" }</w:instrText>
      </w:r>
      <w:r w:rsidRPr="00F94975">
        <w:rPr>
          <w:rFonts w:ascii="Times" w:hAnsi="Times"/>
        </w:rPr>
        <w:fldChar w:fldCharType="separate"/>
      </w:r>
      <w:r w:rsidRPr="00F94975">
        <w:rPr>
          <w:rFonts w:ascii="Times" w:hAnsi="Times"/>
          <w:noProof/>
        </w:rPr>
        <w:t>(Giglia et al. 2011; Benwell et al. 2015)</w:t>
      </w:r>
      <w:r w:rsidRPr="00F94975">
        <w:rPr>
          <w:rFonts w:ascii="Times" w:hAnsi="Times"/>
        </w:rPr>
        <w:fldChar w:fldCharType="end"/>
      </w:r>
      <w:r w:rsidRPr="00F94975">
        <w:rPr>
          <w:rFonts w:ascii="Times" w:hAnsi="Times"/>
        </w:rPr>
        <w:t xml:space="preserve">. This lack of effect of stimulation may be due to a lack of power. However, it may also be due to key differences in the attentional systems required when performing the Posner task compared to the line bisection or centroid finding tasks. A previous study which investigated clinical measures of neglect, including manual line bisection, did not find that performance in this correlated to performance in the Posner task </w:t>
      </w:r>
      <w:r w:rsidRPr="00F94975">
        <w:rPr>
          <w:rFonts w:ascii="Times" w:hAnsi="Times"/>
        </w:rPr>
        <w:fldChar w:fldCharType="begin" w:fldLock="1"/>
      </w:r>
      <w:r w:rsidRPr="00F94975">
        <w:rPr>
          <w:rFonts w:ascii="Times" w:hAnsi="Times"/>
        </w:rPr>
        <w:instrText>ADDIN CSL_CITATION { "citationItems" : [ { "id" : "ITEM-1", "itemData" : { "DOI" : "10.1037/0894-4105.21.1.94", "ISBN" : "0894-4105 (Print)\\r0894-4105 (Linking)", "ISSN" : "0894-4105", "PMID" : "17201533", "abstract" : "Twenty-six patients suffering from damage to the right side of the brain, 19 of whom exhibited signs of left neglect, as well as 32 matched controls, ran 3 spatial cuing tasks. Patients were also tested with 2 cancellation tests, a line-bisection test, the copy of a complex drawing, and a visual extinction procedure. Results first showed correlations between extinction and cancellation tests performance on one hand, and between line bisection and copy on the other hand. Second, results demonstrated that an engagement deficit toward contralesional targets appeared to be the most striking feature of neglect, and the engagement score was correlated with the cancellation score and extinction. Most patients with neglect also presented a deficit in disengagement, a deficit of inhibition of return, and probably a deficit of alertness. Deficits in engagement and in disengagement, as well as poor scores in cancellation tests, seemed to be related with posterior cortical and subcortical lesions. Most important, even if an endogenous deficit (frequently related with a thalamic lesion) could aggravate the neglect behavior, neglect syndrome was mainly explained by a deficit of exogenous attention.", "author" : [ { "dropping-particle" : "", "family" : "Si\u00e9roff", "given" : "Eric", "non-dropping-particle" : "", "parse-names" : false, "suffix" : "" }, { "dropping-particle" : "", "family" : "Decaix", "given" : "Caroline", "non-dropping-particle" : "", "parse-names" : false, "suffix" : "" }, { "dropping-particle" : "", "family" : "Chokron", "given" : "Sylvie", "non-dropping-particle" : "", "parse-names" : false, "suffix" : "" }, { "dropping-particle" : "", "family" : "Bartolomeo", "given" : "Paolo", "non-dropping-particle" : "", "parse-names" : false, "suffix" : "" } ], "container-title" : "Neuropsychology", "id" : "ITEM-1", "issue" : "1", "issued" : { "date-parts" : [ [ "2007" ] ] }, "page" : "94-113", "title" : "Impaired orienting of attention in left unilateral neglect: a componential analysis.", "type" : "article-journal", "volume" : "21" }, "uris" : [ "http://www.mendeley.com/documents/?uuid=7dda9086-efc7-4b20-9481-68bba1c9a717" ] } ], "mendeley" : { "formattedCitation" : "(Si\u00e9roff et al. 2007)", "plainTextFormattedCitation" : "(Si\u00e9roff et al. 2007)", "previouslyFormattedCitation" : "(Si\u00e9roff et al. 2007)" }, "properties" : { "noteIndex" : 0 }, "schema" : "https://github.com/citation-style-language/schema/raw/master/csl-citation.json" }</w:instrText>
      </w:r>
      <w:r w:rsidRPr="00F94975">
        <w:rPr>
          <w:rFonts w:ascii="Times" w:hAnsi="Times"/>
        </w:rPr>
        <w:fldChar w:fldCharType="separate"/>
      </w:r>
      <w:r w:rsidRPr="00F94975">
        <w:rPr>
          <w:rFonts w:ascii="Times" w:hAnsi="Times"/>
          <w:noProof/>
        </w:rPr>
        <w:t>(Siéroff et al. 2007)</w:t>
      </w:r>
      <w:r w:rsidRPr="00F94975">
        <w:rPr>
          <w:rFonts w:ascii="Times" w:hAnsi="Times"/>
        </w:rPr>
        <w:fldChar w:fldCharType="end"/>
      </w:r>
      <w:r w:rsidRPr="00F94975">
        <w:rPr>
          <w:rFonts w:ascii="Times" w:hAnsi="Times"/>
        </w:rPr>
        <w:t xml:space="preserve">. A key component in the Posner task is the </w:t>
      </w:r>
      <w:r w:rsidRPr="00F94975">
        <w:rPr>
          <w:rFonts w:ascii="Times" w:hAnsi="Times"/>
          <w:i/>
        </w:rPr>
        <w:t xml:space="preserve">re-orientation </w:t>
      </w:r>
      <w:r w:rsidRPr="00F94975">
        <w:rPr>
          <w:rFonts w:ascii="Times" w:hAnsi="Times"/>
        </w:rPr>
        <w:t xml:space="preserve">of attention, which may require bilateral parietal involvement </w:t>
      </w:r>
      <w:r w:rsidRPr="00F94975">
        <w:rPr>
          <w:rFonts w:ascii="Times" w:hAnsi="Times"/>
        </w:rPr>
        <w:fldChar w:fldCharType="begin" w:fldLock="1"/>
      </w:r>
      <w:r w:rsidRPr="00F94975">
        <w:rPr>
          <w:rFonts w:ascii="Times" w:hAnsi="Times"/>
        </w:rPr>
        <w:instrText>ADDIN CSL_CITATION { "citationItems" : [ { "id" : "ITEM-1", "itemData" : { "DOI" : "10.1093/cercor/bhp215", "ISBN" : "1460-2199 (Electronic)\\r1047-3211 (Linking)", "ISSN" : "10473211", "PMID" : "19846472", "abstract" : "Voluntary orienting of visual attention is conventionally measured in tasks with predictive central cues followed by frequent valid targets at the cued location and by infrequent invalid targets at the uncued location. This implies that invalid targets entail both spatial reorienting of attention and breaching of the expected spatial congruency between cues and targets. Here, we used event-related functional magnetic resonance imaging (fMRI) to separate the neural correlates of the spatial and expectancy components of both endogenous orienting and stimulus-driven reorienting of attention. We found that during endogenous orienting with predictive cues, there was a significant deactivation of the right Temporal-Parietal Junction (TPJ). We also discovered that the lack of an equivalent deactivation with nonpredictive cues was matched to drop in attentional costs and preservation of attentional benefits. The right TPJ showed equivalent responses to invalid targets following predictive and nonpredictive cues. On the contrary, infrequent-unexpected invalid targets following predictive cues specifically activated the right Middle and Inferior Frontal Gyrus (MFG-IFG). Additional comparisons with spatially neutral trials demonstrated that, independently of cue predictiveness, valid targets activate the left TPJ, whereas invalid targets activate both the left and right TPJs. These findings show that the selective right TPJ activation that is found in the comparison between invalid and valid trials results from the reciprocal cancelling of the different activations that in the left TPJ are related to the processing of valid and invalid targets. We propose that left and right TPJs provide \"matching and mismatching to attentional template\" signals. These signals enable reorienting of attention and play a crucial role in the updating of the statistical contingency between cues and targets.", "author" : [ { "dropping-particle" : "", "family" : "Doricchi", "given" : "Fabrizio", "non-dropping-particle" : "", "parse-names" : false, "suffix" : "" }, { "dropping-particle" : "", "family" : "MacCi", "given" : "Enrica", "non-dropping-particle" : "", "parse-names" : false, "suffix" : "" }, { "dropping-particle" : "", "family" : "Silvetti", "given" : "Massimo", "non-dropping-particle" : "", "parse-names" : false, "suffix" : "" }, { "dropping-particle" : "", "family" : "MacAluso", "given" : "Emiliano", "non-dropping-particle" : "", "parse-names" : false, "suffix" : "" } ], "container-title" : "Cerebral Cortex", "id" : "ITEM-1", "issue" : "7", "issued" : { "date-parts" : [ [ "2010" ] ] }, "page" : "1574-1585", "title" : "Neural correlates of the spatial and expectancy components of endogenous and stimulus-driven orienting of attention in the posner task", "type" : "article-journal", "volume" : "20" }, "uris" : [ "http://www.mendeley.com/documents/?uuid=dc5dd606-b1c1-4a60-bcf8-a3876de6d95d" ] }, { "id" : "ITEM-2", "itemData" : { "DOI" : "10.1162/jocn.2009.21003", "ISBN" : "0898929X", "ISSN" : "0898-929X", "PMID" : "18476756", "abstract" : "Within the parietal cortex, the temporo-parietal junction (TPJ) and the intraparietal sulcus (IPS) seem to be involved in both spatial and nonspatial functions: Both areas are activated when misleading information is provided by invalid spatial cues in Posner's location-cueing paradigm, but also when infrequent deviant stimuli are presented within a series of standard events. In the present study, we used functional magnetic resonance imaging to investigate the distinct and shared brain responses to (i) invalidly cued targets requiring attentional reorienting, and (ii) to target stimuli deviating in color and orientation leading to an oddball-like distraction effect. Both unexpected location and feature changes were accompanied by a significant slowing of manual reaction times. Bilateral TPJ and right superior parietal lobe (SPL) activation was observed in response to invalidly as compared to validly cued targets. In contrast, the bilateral inferior occipito-temporal cortex, the left inferior parietal cortex, right frontal areas, and the cerebellum showed stronger activation in response to deviant than to standard targets. Common activations were observed in the right angular gyrus along the IPS and in the right inferior frontal gyrus. We conclude that the superior parietal and temporo-parietal activations observed here as well as previously in location-cueing paradigms do not merely reflect the detection and processing of unexpected stimuli. Furthermore, our data suggest that the right IPS and the inferior frontal gyrus are involved in attentional selection and distractor processing of both spatial and nonspatial features.", "author" : [ { "dropping-particle" : "", "family" : "Vossel", "given" : "Simone", "non-dropping-particle" : "", "parse-names" : false, "suffix" : "" }, { "dropping-particle" : "", "family" : "Weidner", "given" : "Ralph", "non-dropping-particle" : "", "parse-names" : false, "suffix" : "" }, { "dropping-particle" : "", "family" : "Thiel", "given" : "Christiane M", "non-dropping-particle" : "", "parse-names" : false, "suffix" : "" }, { "dropping-particle" : "", "family" : "Fink", "given" : "Gereon R", "non-dropping-particle" : "", "parse-names" : false, "suffix" : "" } ], "container-title" : "Journal of cognitive neuroscience", "id" : "ITEM-2", "issue" : "1", "issued" : { "date-parts" : [ [ "2009" ] ] }, "page" : "30-41", "title" : "What is \"odd\" in Posner's location-cueing paradigm? Neural responses to unexpected location and feature changes compared.", "type" : "article-journal", "volume" : "21" }, "uris" : [ "http://www.mendeley.com/documents/?uuid=782bca96-4367-4fa3-8aee-ca85f8ea8fb9" ] } ], "mendeley" : { "formattedCitation" : "(Doricchi et al. 2010; Vossel et al. 2009)", "plainTextFormattedCitation" : "(Doricchi et al. 2010; Vossel et al. 2009)", "previouslyFormattedCitation" : "(Doricchi et al. 2010; Vossel et al. 2009)" }, "properties" : { "noteIndex" : 0 }, "schema" : "https://github.com/citation-style-language/schema/raw/master/csl-citation.json" }</w:instrText>
      </w:r>
      <w:r w:rsidRPr="00F94975">
        <w:rPr>
          <w:rFonts w:ascii="Times" w:hAnsi="Times"/>
        </w:rPr>
        <w:fldChar w:fldCharType="separate"/>
      </w:r>
      <w:r w:rsidRPr="00F94975">
        <w:rPr>
          <w:rFonts w:ascii="Times" w:hAnsi="Times"/>
          <w:noProof/>
        </w:rPr>
        <w:t>(Doricchi et al. 2010; Vossel et al. 2009)</w:t>
      </w:r>
      <w:r w:rsidRPr="00F94975">
        <w:rPr>
          <w:rFonts w:ascii="Times" w:hAnsi="Times"/>
        </w:rPr>
        <w:fldChar w:fldCharType="end"/>
      </w:r>
      <w:r w:rsidRPr="00F94975">
        <w:rPr>
          <w:rFonts w:ascii="Times" w:hAnsi="Times"/>
        </w:rPr>
        <w:t>. It is therefore possible that an oppositional montage in this task produced competing cortical effects within bilateral parietal areas, which reduced any overall effect, although future experiments would be needed to clarify this.</w:t>
      </w:r>
    </w:p>
    <w:p w14:paraId="4ABA5357" w14:textId="77777777" w:rsidR="004229B3" w:rsidRPr="004229B3" w:rsidRDefault="004229B3" w:rsidP="004229B3">
      <w:pPr>
        <w:spacing w:line="480" w:lineRule="auto"/>
        <w:jc w:val="both"/>
        <w:rPr>
          <w:rFonts w:ascii="Times" w:hAnsi="Times" w:cs="Arial"/>
          <w:noProof/>
          <w:sz w:val="22"/>
          <w:szCs w:val="22"/>
          <w:lang w:val="en-US"/>
        </w:rPr>
      </w:pPr>
    </w:p>
    <w:p w14:paraId="691C0C51" w14:textId="77777777" w:rsidR="004229B3" w:rsidRPr="002F7F8D" w:rsidRDefault="004229B3" w:rsidP="004229B3">
      <w:pPr>
        <w:spacing w:line="480" w:lineRule="auto"/>
        <w:jc w:val="both"/>
        <w:rPr>
          <w:rFonts w:ascii="Times" w:hAnsi="Times"/>
        </w:rPr>
      </w:pPr>
      <w:r w:rsidRPr="002F7F8D">
        <w:rPr>
          <w:rFonts w:ascii="Times" w:hAnsi="Times" w:cs="Arial"/>
          <w:noProof/>
          <w:lang w:val="en-US"/>
        </w:rPr>
        <w:t>Our study has a number of limitations. We have discuss</w:t>
      </w:r>
      <w:r w:rsidRPr="00AA4351">
        <w:rPr>
          <w:rFonts w:ascii="Times" w:hAnsi="Times" w:cs="Arial"/>
          <w:noProof/>
          <w:lang w:val="en-US"/>
        </w:rPr>
        <w:t>ed the challenges of interpreting the physiological basis of the effects of oppositional montages, and future studies could dissect these by including control conditions that include stimulation directed to only one hemisphere. In addition, although we wer</w:t>
      </w:r>
      <w:r w:rsidRPr="002F7F8D">
        <w:rPr>
          <w:rFonts w:ascii="Times" w:hAnsi="Times" w:cs="Arial"/>
          <w:noProof/>
          <w:lang w:val="en-US"/>
        </w:rPr>
        <w:t xml:space="preserve">e adequately powered to detect the effect of stimulation on some cognitive tasks, we may have been underpowered to detect the effect on all tasks because of different levels of test-retest variability across the tasks used. The order of tasks was the same throughout the study so a potential confound is the timing of tasks relative to stimulation onset. The potential for task timing to confound results presents an important question for future studies to address. To our knowledge this has not been investigated extensively in the literature, even in the motor system </w:t>
      </w:r>
      <w:r w:rsidRPr="00F94975">
        <w:rPr>
          <w:rFonts w:ascii="Times" w:hAnsi="Times" w:cs="Arial"/>
          <w:noProof/>
          <w:lang w:val="en-US"/>
        </w:rPr>
        <w:fldChar w:fldCharType="begin" w:fldLock="1"/>
      </w:r>
      <w:r w:rsidRPr="00F94975">
        <w:rPr>
          <w:rFonts w:ascii="Times" w:hAnsi="Times" w:cs="Arial"/>
          <w:noProof/>
          <w:lang w:val="en-US"/>
        </w:rPr>
        <w:instrText>ADDIN CSL_CITATION { "citationItems" : [ { "id" : "ITEM-1", "itemData" : { "DOI" : "10.1016/j.neuropsychologia.2011.02.009", "ISBN" : "1873-3514 (Electronic)\\r0028-3932 (Linking)", "ISSN" : "00283932", "PMID" : "21335013", "abstract" : "Transcranial direct current stimulation (tDCS) is attracting increasing interest as a therapeutic tool for neurorehabilitation, particularly after stroke, because of its potential to modulate local excitability and therefore promote functional plasticity. Previous studies suggest that timing is important in determining the behavioural effects of brain stimulation. Regulatory metaplastic mechanisms exist to modulate the effects of a stimulation intervention in a manner dependent on prior cortical excitability, thereby preventing destabilization of existing cortical networks. The importance of such timing dependence has not yet been fully explored for tDCS. Here, we describe the results of a series of behavioural experiments in healthy controls to determine the importance of the relative timing of tDCS for motor performance. Application of tDCS during an explicit sequence-learning task led to modulation of behaviour in a polarity specific manner: relative to sham stimulation, anodal tDCS was associated with faster learning and cathodal tDCS with slower learning. Application of tDCS prior to performance of the sequence-learning task led to slower learning after both anodal and cathodal tDCS. By contrast, regardless of the polarity of stimulation, tDCS had no significant effect on performance of a simple reaction time task. These results are consistent with the idea that anodal tDCS interacts with subsequent motor learning in a metaplastic manner and suggest that anodal stimulation modulates cortical excitability in a manner similar to motor learning. \u00a9 2011 Elsevier Ltd.", "author" : [ { "dropping-particle" : "", "family" : "Stagg", "given" : "C. J.", "non-dropping-particle" : "", "parse-names" : false, "suffix" : "" }, { "dropping-particle" : "", "family" : "Jayaram", "given" : "G.", "non-dropping-particle" : "", "parse-names" : false, "suffix" : "" }, { "dropping-particle" : "", "family" : "Pastor", "given" : "D.", "non-dropping-particle" : "", "parse-names" : false, "suffix" : "" }, { "dropping-particle" : "", "family" : "Kincses", "given" : "Z. T.", "non-dropping-particle" : "", "parse-names" : false, "suffix" : "" }, { "dropping-particle" : "", "family" : "Matthews", "given" : "P. M.", "non-dropping-particle" : "", "parse-names" : false, "suffix" : "" }, { "dropping-particle" : "", "family" : "Johansen-Berg", "given" : "H.", "non-dropping-particle" : "", "parse-names" : false, "suffix" : "" } ], "container-title" : "Neuropsychologia", "id" : "ITEM-1", "issue" : "5", "issued" : { "date-parts" : [ [ "2011" ] ] }, "page" : "800-804", "publisher" : "Elsevier Ltd", "title" : "Polarity and timing-dependent effects of transcranial direct current stimulation in explicit motor learning", "type" : "article-journal", "volume" : "49" }, "uris" : [ "http://www.mendeley.com/documents/?uuid=908323dc-2f6f-4f91-95dc-b573f0f7397c" ] } ], "mendeley" : { "formattedCitation" : "(Stagg et al. 2011)", "plainTextFormattedCitation" : "(Stagg et al. 2011)", "previouslyFormattedCitation" : "(Stagg et al. 2011)" }, "properties" : { "noteIndex" : 0 }, "schema" : "https://github.com/citation-style-language/schema/raw/master/csl-citation.json" }</w:instrText>
      </w:r>
      <w:r w:rsidRPr="00F94975">
        <w:rPr>
          <w:rFonts w:ascii="Times" w:hAnsi="Times" w:cs="Arial"/>
          <w:noProof/>
          <w:lang w:val="en-US"/>
        </w:rPr>
        <w:fldChar w:fldCharType="separate"/>
      </w:r>
      <w:r w:rsidRPr="00F94975">
        <w:rPr>
          <w:rFonts w:ascii="Times" w:hAnsi="Times" w:cs="Arial"/>
          <w:noProof/>
          <w:lang w:val="en-US"/>
        </w:rPr>
        <w:t>(Stagg et al. 2011)</w:t>
      </w:r>
      <w:r w:rsidRPr="00F94975">
        <w:rPr>
          <w:rFonts w:ascii="Times" w:hAnsi="Times" w:cs="Arial"/>
          <w:noProof/>
          <w:lang w:val="en-US"/>
        </w:rPr>
        <w:fldChar w:fldCharType="end"/>
      </w:r>
      <w:r w:rsidRPr="00F94975">
        <w:rPr>
          <w:rFonts w:ascii="Times" w:hAnsi="Times" w:cs="Arial"/>
          <w:noProof/>
          <w:lang w:val="en-US"/>
        </w:rPr>
        <w:t xml:space="preserve">, and so it is unclear how problematic this factor is. Another potential confound is task duration. It could be that a task did not show behavioural effect because it was not performed for sufficient duration for tDCS to modulate relevant networks. We did find an effect of stimulation on the shortest task (number comparison task) however it could be that the duration required for tDCS to be effective is task dependent, which is a question that merits further investiation. </w:t>
      </w:r>
      <w:r w:rsidRPr="002F7F8D">
        <w:rPr>
          <w:rFonts w:ascii="Times" w:hAnsi="Times" w:cs="Arial"/>
          <w:noProof/>
          <w:lang w:val="en-US"/>
        </w:rPr>
        <w:t xml:space="preserve">Finally, although we could impair cognitive performance, we failed to improve performance with tDCS of the opposite polarity. For some of the tasks this may have been due to a ceiling effect of performance and future studies might have more power to detect improvements by either using more difficult tasks or studying patient populations who show baseline cognitive impairments </w:t>
      </w:r>
      <w:r w:rsidRPr="00881242">
        <w:rPr>
          <w:rFonts w:ascii="Times" w:hAnsi="Times" w:cs="Arial"/>
          <w:noProof/>
          <w:lang w:val="en-US"/>
        </w:rPr>
        <w:fldChar w:fldCharType="begin" w:fldLock="1"/>
      </w:r>
      <w:r w:rsidRPr="002F7F8D">
        <w:rPr>
          <w:rFonts w:ascii="Times" w:hAnsi="Times" w:cs="Arial"/>
          <w:noProof/>
          <w:lang w:val="en-US"/>
        </w:rPr>
        <w:instrText>ADDIN CSL_CITATION { "citationItems" : [ { "id" : "ITEM-1", "itemData" : { "DOI" : "10.2340/16501977-0947", "ISSN" : "1651-2081", "PMID" : "22434324", "abstract" : "OBJECTIVE: To determine whether a single session of anodal transcranial direct current stimulation to the left dorsolateral prefrontal cortex improves attention in patients with traumatic brain injury.\n\nDESIGN: Double-blinded, cross-over design.\n\nPATIENTS: Nine patients with attention deficit after traumatic brain injury.\n\nMETHODS: Patients underwent a computerized contrast reaction time task before and after the administration of real transcranial direct current stimulation (2 mA for 20 min) or sham transcranial direct current stimulation (2 mA for 1 min) to the left dorsolateral prefrontal cortex in a double-blind, crossover manner.\n\nRESULTS: Immediately post-stimulation, the transcranial direct current stimulation group showed a tendency of shortened reaction time relative to baseline (87.3\u2009\u00b1\u20097.8%), whereas the sham stimulation group (122.4\u2009\u00b1\u2009715.5%) did not (p\u2009=\u20090.056). However, this difference was not significant 3 or 24 h after stimulation (p\u2009&gt;\u20090.05). The numbers of correct responses were not changed at any time after stimulation.\n\nCONCLUSION: Anodal transcranial direct current stimulation applied to the left dorsolateral prefrontal cortex improves attention compared with sham stimulation in patients with traumatic brain injury, which suggests a potential role for this intervention in improving attention during cognitive training after traumatic brain injury. A further prospective randomized trial is required to confirm the benefits conferred by transcranial direct current stimulation in this patient population.", "author" : [ { "dropping-particle" : "", "family" : "Kang", "given" : "Eun-Kyoung", "non-dropping-particle" : "", "parse-names" : false, "suffix" : "" }, { "dropping-particle" : "", "family" : "Kim", "given" : "Dae-Yul", "non-dropping-particle" : "", "parse-names" : false, "suffix" : "" }, { "dropping-particle" : "", "family" : "Paik", "given" : "Nam-Jong", "non-dropping-particle" : "", "parse-names" : false, "suffix" : "" } ], "container-title" : "Journal of rehabilitation medicine", "id" : "ITEM-1", "issue" : "4", "issued" : { "date-parts" : [ [ "2012", "4" ] ] }, "page" : "346-50", "title" : "Transcranial direct current stimulation of the left prefrontal cortex improves attention in patients with traumatic brain injury: a pilot study.", "type" : "article-journal", "volume" : "44" }, "uris" : [ "http://www.mendeley.com/documents/?uuid=1153de38-8aa6-41d8-8411-c35434308502" ] }, { "id" : "ITEM-2", "itemData" : { "DOI" : "10.1016/j.neuroimage.2012.11.061", "ISSN" : "1053-8119", "author" : [ { "dropping-particle" : "", "family" : "Nelson", "given" : "Jeremy T", "non-dropping-particle" : "", "parse-names" : false, "suffix" : "" }, { "dropping-particle" : "", "family" : "Mckinley", "given" : "R Andy", "non-dropping-particle" : "", "parse-names" : false, "suffix" : "" }, { "dropping-particle" : "", "family" : "Golob", "given" : "Edward J", "non-dropping-particle" : "", "parse-names" : false, "suffix" : "" }, { "dropping-particle" : "", "family" : "Warm", "given" : "Joel S", "non-dropping-particle" : "", "parse-names" : false, "suffix" : "" }, { "dropping-particle" : "", "family" : "Parasuraman", "given" : "Raja", "non-dropping-particle" : "", "parse-names" : false, "suffix" : "" } ], "container-title" : "NeuroImage", "id" : "ITEM-2", "issued" : { "date-parts" : [ [ "2013" ] ] }, "publisher" : "Elsevier B.V.", "title" : "Enhancing vigilance in operators with prefrontal cortex transcranial direct current stimulation ( tDCS )", "type" : "article-journal" }, "uris" : [ "http://www.mendeley.com/documents/?uuid=ad6bd73b-a0fb-435b-a7a3-d707dc8a3ea0" ] }, { "id" : "ITEM-3", "itemData" : { "DOI" : "10.1016/j.brs.2014.04.008", "ISSN" : "1935-861X", "author" : [ { "dropping-particle" : "", "family" : "Mcintire", "given" : "Lindsey K", "non-dropping-particle" : "", "parse-names" : false, "suffix" : "" }, { "dropping-particle" : "", "family" : "Mckinley", "given" : "R Andy", "non-dropping-particle" : "", "parse-names" : false, "suffix" : "" }, { "dropping-particle" : "", "family" : "Goodyear", "given" : "Chuck", "non-dropping-particle" : "", "parse-names" : false, "suffix" : "" }, { "dropping-particle" : "", "family" : "Nelson", "given" : "Justin", "non-dropping-particle" : "", "parse-names" : false, "suffix" : "" } ], "container-title" : "Brain Stimulation", "id" : "ITEM-3", "issue" : "4", "issued" : { "date-parts" : [ [ "2014" ] ] }, "page" : "499-507", "publisher" : "Elsevier Inc", "title" : "Brain Stimulation A Comparison of the Effects of Transcranial Direct Current Stimulation and Caffeine on Vigilance and Cognitive Performance During Extended Wakefulness", "type" : "article-journal", "volume" : "7" }, "uris" : [ "http://www.mendeley.com/documents/?uuid=52526ad7-3a00-4861-9387-496adf4c9a47" ] }, { "id" : "ITEM-4", "itemData" : { "DOI" : "10.1523/JNEUROSCI.1163-11.2011", "ISSN" : "1529-2401", "abstract" : "Traumatic brain injury (TBI) frequently produces impairments of attention in humans. These can result in a failure to maintain consistent goal-directed behavior. A predominantly right-lateralized frontoparietal network is often engaged during attentionally demanding tasks. However, lapses of attention have also been associated with increases in activation within the default mode network (DMN). Here, we study TBI patients with sustained attention impairment, defined on the basis of the consistency of their behavioral performance over time. We show that sustained attention impairments in patients are associated with an increase in DMN activation, particularly within the precuneus and posterior cingulate cortex. Furthermore, the interaction of the precuneus with the rest of the DMN at the start of the task, i.e., its functional connectivity, predicts which patients go on to show impairments of attention. Importantly, this predictive information is present before any behavioral evidence of sustained attention impairment, and the relationship is also found in a subgroup of patients without focal brain damage. TBI often results in diffuse axonal injury, which produces cognitive impairment by disconnecting nodes in distributed brain networks. Using diffusion tensor imaging, we demonstrate that structural disconnection within the DMN also correlates with the level of sustained attention. These results show that abnormalities in DMN function are a sensitive marker of impairments of attention and suggest that changes in connectivity within the DMN are central to the development of attentional impairment after TBI.", "author" : [ { "dropping-particle" : "", "family" : "Bonnelle", "given" : "V", "non-dropping-particle" : "", "parse-names" : false, "suffix" : "" }, { "dropping-particle" : "", "family" : "Leech", "given" : "R", "non-dropping-particle" : "", "parse-names" : false, "suffix" : "" }, { "dropping-particle" : "", "family" : "Kinnunen", "given" : "K M", "non-dropping-particle" : "", "parse-names" : false, "suffix" : "" }, { "dropping-particle" : "", "family" : "Ham", "given" : "T E", "non-dropping-particle" : "", "parse-names" : false, "suffix" : "" }, { "dropping-particle" : "", "family" : "Beckmann", "given" : "C F", "non-dropping-particle" : "", "parse-names" : false, "suffix" : "" }, { "dropping-particle" : "", "family" : "Boissezon", "given" : "X", "non-dropping-particle" : "De", "parse-names" : false, "suffix" : "" }, { "dropping-particle" : "", "family" : "Greenwood", "given" : "R J", "non-dropping-particle" : "", "parse-names" : false, "suffix" : "" }, { "dropping-particle" : "", "family" : "Sharp", "given" : "D J", "non-dropping-particle" : "", "parse-names" : false, "suffix" : "" } ], "container-title" : "J Neurosci", "id" : "ITEM-4", "issued" : { "date-parts" : [ [ "2011" ] ] }, "language" : "eng", "page" : "13442-13451", "title" : "Default mode network connectivity predicts sustained attention deficits after traumatic brain injury", "type" : "article-journal", "volume" : "31" }, "uris" : [ "http://www.mendeley.com/documents/?uuid=87b0e185-be14-4c58-bdee-f165265bc0d5" ] } ], "mendeley" : { "formattedCitation" : "(Kang et al. 2012; Nelson et al. 2013; Mcintire et al. 2014; Bonnelle et al. 2011)", "plainTextFormattedCitation" : "(Kang et al. 2012; Nelson et al. 2013; Mcintire et al. 2014; Bonnelle et al. 2011)", "previouslyFormattedCitation" : "(Kang et al. 2012; Nelson et al. 2013; Mcintire et al. 2014; Bonnelle et al. 2011)" }, "properties" : { "noteIndex" : 0 }, "schema" : "https://github.com/citation-style-language/schema/raw/master/csl-citation.json" }</w:instrText>
      </w:r>
      <w:r w:rsidRPr="00881242">
        <w:rPr>
          <w:rFonts w:ascii="Times" w:hAnsi="Times" w:cs="Arial"/>
          <w:noProof/>
          <w:lang w:val="en-US"/>
        </w:rPr>
        <w:fldChar w:fldCharType="separate"/>
      </w:r>
      <w:r w:rsidRPr="002F7F8D">
        <w:rPr>
          <w:rFonts w:ascii="Times" w:hAnsi="Times" w:cs="Arial"/>
          <w:noProof/>
          <w:lang w:val="en-US"/>
        </w:rPr>
        <w:t>(Kang et al. 2012; Nelson et al. 2013; Mcintire et al. 2014; Bonnelle et al. 2011)</w:t>
      </w:r>
      <w:r w:rsidRPr="00881242">
        <w:rPr>
          <w:rFonts w:ascii="Times" w:hAnsi="Times" w:cs="Arial"/>
          <w:noProof/>
          <w:lang w:val="en-US"/>
        </w:rPr>
        <w:fldChar w:fldCharType="end"/>
      </w:r>
      <w:r w:rsidRPr="002F7F8D">
        <w:rPr>
          <w:rFonts w:ascii="Times" w:hAnsi="Times" w:cs="Arial"/>
          <w:noProof/>
          <w:lang w:val="en-US"/>
        </w:rPr>
        <w:t>.</w:t>
      </w:r>
    </w:p>
    <w:p w14:paraId="741165DA" w14:textId="77777777" w:rsidR="004229B3" w:rsidRPr="004229B3" w:rsidRDefault="004229B3" w:rsidP="004229B3">
      <w:pPr>
        <w:spacing w:line="480" w:lineRule="auto"/>
        <w:jc w:val="both"/>
        <w:rPr>
          <w:rFonts w:ascii="Times" w:hAnsi="Times"/>
        </w:rPr>
      </w:pPr>
    </w:p>
    <w:p w14:paraId="5A7D41A6" w14:textId="77777777" w:rsidR="004229B3" w:rsidRPr="00AA4351" w:rsidRDefault="004229B3" w:rsidP="004229B3">
      <w:pPr>
        <w:spacing w:line="480" w:lineRule="auto"/>
        <w:jc w:val="both"/>
        <w:rPr>
          <w:rFonts w:ascii="Times" w:hAnsi="Times"/>
        </w:rPr>
      </w:pPr>
      <w:r w:rsidRPr="00AA4351">
        <w:rPr>
          <w:rFonts w:ascii="Times" w:hAnsi="Times"/>
        </w:rPr>
        <w:t xml:space="preserve">In summary, we demonstrate that oppositional parietal stimulation </w:t>
      </w:r>
      <w:r w:rsidRPr="00F94975">
        <w:rPr>
          <w:rFonts w:ascii="Times" w:hAnsi="Times"/>
        </w:rPr>
        <w:t xml:space="preserve">modulates </w:t>
      </w:r>
      <w:r w:rsidRPr="00AA4351">
        <w:rPr>
          <w:rFonts w:ascii="Times" w:hAnsi="Times"/>
        </w:rPr>
        <w:t xml:space="preserve">numerical processing and vigilance </w:t>
      </w:r>
      <w:r w:rsidRPr="00F94975">
        <w:rPr>
          <w:rFonts w:ascii="Times" w:hAnsi="Times"/>
        </w:rPr>
        <w:t>level in a polarity-dependent manner</w:t>
      </w:r>
      <w:r w:rsidRPr="00AA4351">
        <w:rPr>
          <w:rFonts w:ascii="Times" w:hAnsi="Times"/>
        </w:rPr>
        <w:t>. The effect was only observed in situations of relatively high cognitive load, suggesting that the impact of oppositional tDCS on hemispheric interactions depends on task difficulty as well as specific processing demands and attentional effects.</w:t>
      </w:r>
    </w:p>
    <w:p w14:paraId="5B63E5A9" w14:textId="77777777" w:rsidR="001A0D9F" w:rsidRDefault="001A0D9F" w:rsidP="005374CB">
      <w:pPr>
        <w:spacing w:line="480" w:lineRule="auto"/>
        <w:jc w:val="both"/>
        <w:rPr>
          <w:rFonts w:ascii="Times" w:hAnsi="Times"/>
        </w:rPr>
      </w:pPr>
    </w:p>
    <w:p w14:paraId="5F2BFF5F" w14:textId="77777777" w:rsidR="004C591F" w:rsidRDefault="004C591F">
      <w:pPr>
        <w:rPr>
          <w:rFonts w:ascii="Times" w:hAnsi="Times"/>
          <w:b/>
        </w:rPr>
      </w:pPr>
      <w:r>
        <w:rPr>
          <w:rFonts w:ascii="Times" w:hAnsi="Times"/>
          <w:b/>
        </w:rPr>
        <w:br w:type="page"/>
      </w:r>
    </w:p>
    <w:p w14:paraId="1F1E4214" w14:textId="3D14B9E3" w:rsidR="001A0D9F" w:rsidRDefault="001A0D9F" w:rsidP="005374CB">
      <w:pPr>
        <w:spacing w:line="480" w:lineRule="auto"/>
        <w:jc w:val="both"/>
        <w:rPr>
          <w:rFonts w:ascii="Times" w:hAnsi="Times"/>
        </w:rPr>
      </w:pPr>
      <w:r>
        <w:rPr>
          <w:rFonts w:ascii="Times" w:hAnsi="Times"/>
          <w:b/>
        </w:rPr>
        <w:t>ACKNOWLEDGEMENTS</w:t>
      </w:r>
    </w:p>
    <w:p w14:paraId="106576CF" w14:textId="2B34781F" w:rsidR="001A0D9F" w:rsidRDefault="00CF7F09" w:rsidP="005374CB">
      <w:pPr>
        <w:spacing w:line="480" w:lineRule="auto"/>
        <w:rPr>
          <w:rFonts w:ascii="Times" w:hAnsi="Times" w:cs="Arial"/>
        </w:rPr>
      </w:pPr>
      <w:r>
        <w:rPr>
          <w:rFonts w:ascii="Times" w:hAnsi="Times" w:cs="Arial"/>
        </w:rPr>
        <w:t xml:space="preserve">The authors have no conflicts of interest to declare. </w:t>
      </w:r>
      <w:r w:rsidR="00C87581">
        <w:rPr>
          <w:rFonts w:ascii="Times" w:hAnsi="Times" w:cs="Arial"/>
        </w:rPr>
        <w:t xml:space="preserve">The authors declare the following sources of funding: </w:t>
      </w:r>
      <w:r w:rsidR="00C87581" w:rsidRPr="006A7052">
        <w:rPr>
          <w:rFonts w:ascii="Times" w:hAnsi="Times" w:cs="Arial"/>
        </w:rPr>
        <w:t>National Institute for Health Research (NIHR) Professorship (NIHR-RP-011-048) (DJS); NIHR Academic Clinical Fellowship and Wellcome Trust (P49257 WMCR NG0355) (LML); Wellcome Trust and GlaxoSmithKline (GS); Academy of Medical Sciences Fellowship and Medical Research Council (MR/J004685/1) (BS); Higher Education Funding Council for England (PM). This work was supported by the NIHR Imperial Biomedical Research Centre.</w:t>
      </w:r>
    </w:p>
    <w:p w14:paraId="402B4DD1" w14:textId="77777777" w:rsidR="00B84639" w:rsidRDefault="00B84639" w:rsidP="005374CB">
      <w:pPr>
        <w:spacing w:line="480" w:lineRule="auto"/>
        <w:rPr>
          <w:rFonts w:ascii="Times" w:hAnsi="Times" w:cs="Arial"/>
          <w:b/>
        </w:rPr>
      </w:pPr>
    </w:p>
    <w:p w14:paraId="40A5041F" w14:textId="159BEF48" w:rsidR="004D4FE8" w:rsidRDefault="004D4FE8" w:rsidP="005374CB">
      <w:pPr>
        <w:spacing w:line="480" w:lineRule="auto"/>
        <w:rPr>
          <w:rFonts w:ascii="Times" w:hAnsi="Times" w:cs="Arial"/>
        </w:rPr>
      </w:pPr>
      <w:r>
        <w:rPr>
          <w:rFonts w:ascii="Times" w:hAnsi="Times" w:cs="Arial"/>
          <w:b/>
        </w:rPr>
        <w:t>ABBREVIATIONS</w:t>
      </w:r>
    </w:p>
    <w:p w14:paraId="1BE86A45" w14:textId="3E419A8E" w:rsidR="00A24D1A" w:rsidRDefault="00A24D1A" w:rsidP="005374CB">
      <w:pPr>
        <w:spacing w:line="480" w:lineRule="auto"/>
        <w:rPr>
          <w:rFonts w:ascii="Times" w:hAnsi="Times" w:cs="Arial"/>
        </w:rPr>
      </w:pPr>
      <w:r>
        <w:rPr>
          <w:rFonts w:ascii="Times" w:hAnsi="Times" w:cs="Arial"/>
        </w:rPr>
        <w:t>CRT = choice reaction task</w:t>
      </w:r>
    </w:p>
    <w:p w14:paraId="576E0531" w14:textId="32CA0EB4" w:rsidR="009109C1" w:rsidRDefault="009109C1" w:rsidP="005374CB">
      <w:pPr>
        <w:spacing w:line="480" w:lineRule="auto"/>
        <w:rPr>
          <w:rFonts w:ascii="Times" w:hAnsi="Times" w:cs="Arial"/>
        </w:rPr>
      </w:pPr>
      <w:r>
        <w:rPr>
          <w:rFonts w:ascii="Times" w:hAnsi="Times" w:cs="Arial"/>
        </w:rPr>
        <w:t>ISI = interstimulus interval</w:t>
      </w:r>
    </w:p>
    <w:p w14:paraId="02A0B177" w14:textId="69C4D029" w:rsidR="00AA4E8F" w:rsidRDefault="00AA4E8F" w:rsidP="005374CB">
      <w:pPr>
        <w:spacing w:line="480" w:lineRule="auto"/>
        <w:rPr>
          <w:rFonts w:ascii="Times" w:hAnsi="Times" w:cs="Arial"/>
        </w:rPr>
      </w:pPr>
      <w:r>
        <w:rPr>
          <w:rFonts w:ascii="Times" w:hAnsi="Times" w:cs="Arial"/>
        </w:rPr>
        <w:t>RA/LC = right anodal/ left cathodal</w:t>
      </w:r>
    </w:p>
    <w:p w14:paraId="3E729C00" w14:textId="5D8D196D" w:rsidR="00AA4E8F" w:rsidRDefault="00AA4E8F" w:rsidP="005374CB">
      <w:pPr>
        <w:spacing w:line="480" w:lineRule="auto"/>
        <w:rPr>
          <w:rFonts w:ascii="Times" w:hAnsi="Times" w:cs="Arial"/>
        </w:rPr>
      </w:pPr>
      <w:r>
        <w:rPr>
          <w:rFonts w:ascii="Times" w:hAnsi="Times" w:cs="Arial"/>
        </w:rPr>
        <w:t>RC/LA = right cathodal/left anodal</w:t>
      </w:r>
    </w:p>
    <w:p w14:paraId="4DD77415" w14:textId="09155599" w:rsidR="00AA4E8F" w:rsidRDefault="00AA4E8F" w:rsidP="005374CB">
      <w:pPr>
        <w:spacing w:line="480" w:lineRule="auto"/>
        <w:rPr>
          <w:rFonts w:ascii="Times" w:hAnsi="Times" w:cs="Arial"/>
        </w:rPr>
      </w:pPr>
      <w:r>
        <w:rPr>
          <w:rFonts w:ascii="Times" w:hAnsi="Times" w:cs="Arial"/>
        </w:rPr>
        <w:t>RVP = rapid visual processing task</w:t>
      </w:r>
    </w:p>
    <w:p w14:paraId="66AB0617" w14:textId="4A158522" w:rsidR="00C0159A" w:rsidRDefault="00C0159A" w:rsidP="005374CB">
      <w:pPr>
        <w:spacing w:line="480" w:lineRule="auto"/>
        <w:rPr>
          <w:rFonts w:ascii="Times" w:hAnsi="Times" w:cs="Arial"/>
        </w:rPr>
      </w:pPr>
      <w:r>
        <w:rPr>
          <w:rFonts w:ascii="Times" w:hAnsi="Times" w:cs="Arial"/>
        </w:rPr>
        <w:t>RT = reaction time</w:t>
      </w:r>
    </w:p>
    <w:p w14:paraId="1A3764B7" w14:textId="7CF29DE7" w:rsidR="004D4FE8" w:rsidRDefault="00AA4E8F" w:rsidP="005374CB">
      <w:pPr>
        <w:spacing w:line="480" w:lineRule="auto"/>
        <w:rPr>
          <w:rFonts w:ascii="Times" w:hAnsi="Times" w:cs="Arial"/>
        </w:rPr>
      </w:pPr>
      <w:r>
        <w:rPr>
          <w:rFonts w:ascii="Times" w:hAnsi="Times" w:cs="Arial"/>
        </w:rPr>
        <w:t>tDCS = transcranial direct current stimulation</w:t>
      </w:r>
    </w:p>
    <w:p w14:paraId="1A6F0F06" w14:textId="31A0217D" w:rsidR="002500BA" w:rsidRPr="004D4FE8" w:rsidRDefault="002500BA" w:rsidP="005374CB">
      <w:pPr>
        <w:spacing w:line="480" w:lineRule="auto"/>
        <w:rPr>
          <w:rFonts w:ascii="Times" w:hAnsi="Times" w:cs="Arial"/>
        </w:rPr>
      </w:pPr>
      <w:r>
        <w:rPr>
          <w:rFonts w:ascii="Times" w:hAnsi="Times" w:cs="Arial"/>
        </w:rPr>
        <w:t>TMS = transcranial magnetic stimulation</w:t>
      </w:r>
    </w:p>
    <w:p w14:paraId="5F34FD27" w14:textId="7E22F9FE" w:rsidR="00A96F13" w:rsidRPr="00023C48" w:rsidRDefault="00131AA5" w:rsidP="004D6437">
      <w:pPr>
        <w:pageBreakBefore/>
        <w:spacing w:line="360" w:lineRule="auto"/>
        <w:jc w:val="both"/>
        <w:rPr>
          <w:rFonts w:ascii="Times" w:hAnsi="Times" w:cs="Arial"/>
          <w:b/>
        </w:rPr>
      </w:pPr>
      <w:r w:rsidRPr="00023C48">
        <w:rPr>
          <w:rFonts w:ascii="Times" w:hAnsi="Times" w:cs="Arial"/>
          <w:b/>
        </w:rPr>
        <w:t>REFERENCES</w:t>
      </w:r>
    </w:p>
    <w:p w14:paraId="287AF44B" w14:textId="7D28A569" w:rsidR="00244D32" w:rsidRPr="00244D32" w:rsidRDefault="00244D32">
      <w:pPr>
        <w:pStyle w:val="NormalWeb"/>
        <w:ind w:left="480" w:hanging="480"/>
        <w:divId w:val="1629242513"/>
        <w:rPr>
          <w:noProof/>
          <w:sz w:val="24"/>
        </w:rPr>
      </w:pPr>
      <w:r>
        <w:rPr>
          <w:lang w:val="en-US"/>
        </w:rPr>
        <w:fldChar w:fldCharType="begin" w:fldLock="1"/>
      </w:r>
      <w:r>
        <w:rPr>
          <w:lang w:val="en-US"/>
        </w:rPr>
        <w:instrText xml:space="preserve">ADDIN Mendeley Bibliography CSL_BIBLIOGRAPHY </w:instrText>
      </w:r>
      <w:r>
        <w:rPr>
          <w:lang w:val="en-US"/>
        </w:rPr>
        <w:fldChar w:fldCharType="separate"/>
      </w:r>
      <w:r w:rsidRPr="00244D32">
        <w:rPr>
          <w:noProof/>
          <w:sz w:val="24"/>
        </w:rPr>
        <w:t xml:space="preserve">Alexander, M.P. et al., 2005. Impaired concentration due to frontal lobe damage from two distinct lesion sites. </w:t>
      </w:r>
      <w:r w:rsidRPr="00244D32">
        <w:rPr>
          <w:i/>
          <w:iCs/>
          <w:noProof/>
          <w:sz w:val="24"/>
        </w:rPr>
        <w:t>Neurology</w:t>
      </w:r>
      <w:r w:rsidRPr="00244D32">
        <w:rPr>
          <w:noProof/>
          <w:sz w:val="24"/>
        </w:rPr>
        <w:t>, 65, pp.572–579.</w:t>
      </w:r>
    </w:p>
    <w:p w14:paraId="0FFAA0B7" w14:textId="27BD457A" w:rsidR="00244D32" w:rsidRPr="00244D32" w:rsidRDefault="00244D32">
      <w:pPr>
        <w:pStyle w:val="NormalWeb"/>
        <w:ind w:left="480" w:hanging="480"/>
        <w:divId w:val="1629242513"/>
        <w:rPr>
          <w:noProof/>
          <w:sz w:val="24"/>
        </w:rPr>
      </w:pPr>
      <w:r w:rsidRPr="00244D32">
        <w:rPr>
          <w:noProof/>
          <w:sz w:val="24"/>
        </w:rPr>
        <w:t xml:space="preserve">Andres, M., Seron, X. &amp; Olivier, E., 2005. Hemispheric lateralization of number comparison. </w:t>
      </w:r>
      <w:r w:rsidRPr="00244D32">
        <w:rPr>
          <w:i/>
          <w:iCs/>
          <w:noProof/>
          <w:sz w:val="24"/>
        </w:rPr>
        <w:t>Brain Res Cogn Brain Res</w:t>
      </w:r>
      <w:r w:rsidRPr="00244D32">
        <w:rPr>
          <w:noProof/>
          <w:sz w:val="24"/>
        </w:rPr>
        <w:t>, 25, pp.283–290.</w:t>
      </w:r>
    </w:p>
    <w:p w14:paraId="1CF43A30" w14:textId="77777777" w:rsidR="00244D32" w:rsidRPr="00244D32" w:rsidRDefault="00244D32">
      <w:pPr>
        <w:pStyle w:val="NormalWeb"/>
        <w:ind w:left="480" w:hanging="480"/>
        <w:divId w:val="1629242513"/>
        <w:rPr>
          <w:noProof/>
          <w:sz w:val="24"/>
        </w:rPr>
      </w:pPr>
      <w:r w:rsidRPr="00244D32">
        <w:rPr>
          <w:noProof/>
          <w:sz w:val="24"/>
        </w:rPr>
        <w:t xml:space="preserve">Anobile, G., Stievano, P. &amp; Burr, D.C., 2013. Visual sustained attention and numerosity sensitivity correlate with math achievement in children. </w:t>
      </w:r>
      <w:r w:rsidRPr="00244D32">
        <w:rPr>
          <w:i/>
          <w:iCs/>
          <w:noProof/>
          <w:sz w:val="24"/>
        </w:rPr>
        <w:t>Journal of Experimental Child Psychology</w:t>
      </w:r>
      <w:r w:rsidRPr="00244D32">
        <w:rPr>
          <w:noProof/>
          <w:sz w:val="24"/>
        </w:rPr>
        <w:t>, 116(2), pp.380–391.</w:t>
      </w:r>
    </w:p>
    <w:p w14:paraId="606915A2" w14:textId="77777777" w:rsidR="00244D32" w:rsidRPr="00244D32" w:rsidRDefault="00244D32">
      <w:pPr>
        <w:pStyle w:val="NormalWeb"/>
        <w:ind w:left="480" w:hanging="480"/>
        <w:divId w:val="1629242513"/>
        <w:rPr>
          <w:noProof/>
          <w:sz w:val="24"/>
        </w:rPr>
      </w:pPr>
      <w:r w:rsidRPr="00244D32">
        <w:rPr>
          <w:noProof/>
          <w:sz w:val="24"/>
        </w:rPr>
        <w:t xml:space="preserve">Ansari, D., Dhital, B. &amp; Siong, S.C., 2006. Parametric effects of numerical distance on the intraparietal sulcus during passive viewing of rapid numerosity changes. </w:t>
      </w:r>
      <w:r w:rsidRPr="00244D32">
        <w:rPr>
          <w:i/>
          <w:iCs/>
          <w:noProof/>
          <w:sz w:val="24"/>
        </w:rPr>
        <w:t>Brain Research</w:t>
      </w:r>
      <w:r w:rsidRPr="00244D32">
        <w:rPr>
          <w:noProof/>
          <w:sz w:val="24"/>
        </w:rPr>
        <w:t>, 1067(1), pp.181–188.</w:t>
      </w:r>
    </w:p>
    <w:p w14:paraId="3A6FCBA8" w14:textId="7B73E62C" w:rsidR="00244D32" w:rsidRPr="00244D32" w:rsidRDefault="00244D32">
      <w:pPr>
        <w:pStyle w:val="NormalWeb"/>
        <w:ind w:left="480" w:hanging="480"/>
        <w:divId w:val="1629242513"/>
        <w:rPr>
          <w:noProof/>
          <w:sz w:val="24"/>
        </w:rPr>
      </w:pPr>
      <w:r w:rsidRPr="00244D32">
        <w:rPr>
          <w:noProof/>
          <w:sz w:val="24"/>
        </w:rPr>
        <w:t xml:space="preserve">Askenazi, S. &amp; Henik, A., 2010. Attentional networks in developmental dyscalculia. </w:t>
      </w:r>
      <w:r w:rsidRPr="00244D32">
        <w:rPr>
          <w:i/>
          <w:iCs/>
          <w:noProof/>
          <w:sz w:val="24"/>
        </w:rPr>
        <w:t>Behavioral and brain functions</w:t>
      </w:r>
      <w:r>
        <w:rPr>
          <w:i/>
          <w:iCs/>
          <w:noProof/>
          <w:sz w:val="24"/>
        </w:rPr>
        <w:t>,</w:t>
      </w:r>
      <w:r w:rsidRPr="00244D32">
        <w:rPr>
          <w:rFonts w:ascii="Times New Roman" w:hAnsi="Times New Roman"/>
          <w:i/>
          <w:iCs/>
          <w:noProof/>
          <w:sz w:val="24"/>
        </w:rPr>
        <w:t> </w:t>
      </w:r>
      <w:r w:rsidRPr="00244D32">
        <w:rPr>
          <w:noProof/>
          <w:sz w:val="24"/>
        </w:rPr>
        <w:t xml:space="preserve"> 6, p.2.</w:t>
      </w:r>
    </w:p>
    <w:p w14:paraId="6DE4C3C5" w14:textId="28521B66" w:rsidR="00244D32" w:rsidRPr="00244D32" w:rsidRDefault="00244D32">
      <w:pPr>
        <w:pStyle w:val="NormalWeb"/>
        <w:ind w:left="480" w:hanging="480"/>
        <w:divId w:val="1629242513"/>
        <w:rPr>
          <w:noProof/>
          <w:sz w:val="24"/>
        </w:rPr>
      </w:pPr>
      <w:r w:rsidRPr="00244D32">
        <w:rPr>
          <w:noProof/>
          <w:sz w:val="24"/>
        </w:rPr>
        <w:t xml:space="preserve">Bardi, L. et al., 2013. Direct current stimulation (tDCS) reveals parietal asymmetry in local/global and salience-based selection. </w:t>
      </w:r>
      <w:r w:rsidRPr="00244D32">
        <w:rPr>
          <w:i/>
          <w:iCs/>
          <w:noProof/>
          <w:sz w:val="24"/>
        </w:rPr>
        <w:t>Cortex</w:t>
      </w:r>
      <w:r w:rsidRPr="00244D32">
        <w:rPr>
          <w:noProof/>
          <w:sz w:val="24"/>
        </w:rPr>
        <w:t>, 49(3), pp.850–860</w:t>
      </w:r>
    </w:p>
    <w:p w14:paraId="7C37514D" w14:textId="77777777" w:rsidR="00244D32" w:rsidRPr="00244D32" w:rsidRDefault="00244D32">
      <w:pPr>
        <w:pStyle w:val="NormalWeb"/>
        <w:ind w:left="480" w:hanging="480"/>
        <w:divId w:val="1629242513"/>
        <w:rPr>
          <w:noProof/>
          <w:sz w:val="24"/>
        </w:rPr>
      </w:pPr>
      <w:r w:rsidRPr="00244D32">
        <w:rPr>
          <w:noProof/>
          <w:sz w:val="24"/>
        </w:rPr>
        <w:t xml:space="preserve">Barnes, M.A. &amp; Raghubar, K.P., 2014. Mathematics Development and Difficulties: the role of visual-spatial perception and other cognitive skills. </w:t>
      </w:r>
      <w:r w:rsidRPr="00244D32">
        <w:rPr>
          <w:i/>
          <w:iCs/>
          <w:noProof/>
          <w:sz w:val="24"/>
        </w:rPr>
        <w:t>Pediatric Blood Cancer</w:t>
      </w:r>
      <w:r w:rsidRPr="00244D32">
        <w:rPr>
          <w:noProof/>
          <w:sz w:val="24"/>
        </w:rPr>
        <w:t>, 61, pp.1729–1733.</w:t>
      </w:r>
    </w:p>
    <w:p w14:paraId="7136F72C" w14:textId="70F1E3CE" w:rsidR="00244D32" w:rsidRPr="00244D32" w:rsidRDefault="00244D32">
      <w:pPr>
        <w:pStyle w:val="NormalWeb"/>
        <w:ind w:left="480" w:hanging="480"/>
        <w:divId w:val="1629242513"/>
        <w:rPr>
          <w:noProof/>
          <w:sz w:val="24"/>
        </w:rPr>
      </w:pPr>
      <w:r w:rsidRPr="00244D32">
        <w:rPr>
          <w:noProof/>
          <w:sz w:val="24"/>
        </w:rPr>
        <w:t xml:space="preserve">Benwell, C.S.Y. et al., 2015. Non-linear effects of transcranial direct current stimulation as a function of individual baseline performance: Evidence from biparietal tDCS influence on lateralized attention bias. </w:t>
      </w:r>
      <w:r w:rsidRPr="00244D32">
        <w:rPr>
          <w:i/>
          <w:iCs/>
          <w:noProof/>
          <w:sz w:val="24"/>
        </w:rPr>
        <w:t>Cortex</w:t>
      </w:r>
      <w:r w:rsidRPr="00244D32">
        <w:rPr>
          <w:noProof/>
          <w:sz w:val="24"/>
        </w:rPr>
        <w:t xml:space="preserve">, 69, pp.152–165. </w:t>
      </w:r>
    </w:p>
    <w:p w14:paraId="64B54B18" w14:textId="77777777" w:rsidR="00244D32" w:rsidRPr="00244D32" w:rsidRDefault="00244D32">
      <w:pPr>
        <w:pStyle w:val="NormalWeb"/>
        <w:ind w:left="480" w:hanging="480"/>
        <w:divId w:val="1629242513"/>
        <w:rPr>
          <w:noProof/>
          <w:sz w:val="24"/>
        </w:rPr>
      </w:pPr>
      <w:r w:rsidRPr="00244D32">
        <w:rPr>
          <w:noProof/>
          <w:sz w:val="24"/>
        </w:rPr>
        <w:t xml:space="preserve">Berryhill, M.E. et al., 2010. A selective working memory impairment after transcranial direct current stimulation to the right parietal lobe. </w:t>
      </w:r>
      <w:r w:rsidRPr="00244D32">
        <w:rPr>
          <w:i/>
          <w:iCs/>
          <w:noProof/>
          <w:sz w:val="24"/>
        </w:rPr>
        <w:t>Neuroscience Letters</w:t>
      </w:r>
      <w:r w:rsidRPr="00244D32">
        <w:rPr>
          <w:noProof/>
          <w:sz w:val="24"/>
        </w:rPr>
        <w:t>, 479, pp.312–316.</w:t>
      </w:r>
    </w:p>
    <w:p w14:paraId="1A0EB827" w14:textId="77777777" w:rsidR="00244D32" w:rsidRPr="00244D32" w:rsidRDefault="00244D32">
      <w:pPr>
        <w:pStyle w:val="NormalWeb"/>
        <w:ind w:left="480" w:hanging="480"/>
        <w:divId w:val="1629242513"/>
        <w:rPr>
          <w:noProof/>
          <w:sz w:val="24"/>
        </w:rPr>
      </w:pPr>
      <w:r w:rsidRPr="00244D32">
        <w:rPr>
          <w:noProof/>
          <w:sz w:val="24"/>
        </w:rPr>
        <w:t xml:space="preserve">Bird, C.M. et al., 2006. Visual neglect after right posterior cerebral artery infarction. </w:t>
      </w:r>
      <w:r w:rsidRPr="00244D32">
        <w:rPr>
          <w:i/>
          <w:iCs/>
          <w:noProof/>
          <w:sz w:val="24"/>
        </w:rPr>
        <w:t>Journal of neurology, neurosurgery, and psychiatry</w:t>
      </w:r>
      <w:r w:rsidRPr="00244D32">
        <w:rPr>
          <w:noProof/>
          <w:sz w:val="24"/>
        </w:rPr>
        <w:t>, 77, pp.1008–1012.</w:t>
      </w:r>
    </w:p>
    <w:p w14:paraId="41BB813E" w14:textId="0ABD482E" w:rsidR="00244D32" w:rsidRPr="00244D32" w:rsidRDefault="00244D32">
      <w:pPr>
        <w:pStyle w:val="NormalWeb"/>
        <w:ind w:left="480" w:hanging="480"/>
        <w:divId w:val="1629242513"/>
        <w:rPr>
          <w:noProof/>
          <w:sz w:val="24"/>
        </w:rPr>
      </w:pPr>
      <w:r w:rsidRPr="00244D32">
        <w:rPr>
          <w:noProof/>
          <w:sz w:val="24"/>
        </w:rPr>
        <w:t xml:space="preserve">Boggio, P.S. et al., 2006. Effects of transcranial direct current stimulation on working memory in patients with Parkinson’s disease. </w:t>
      </w:r>
      <w:r w:rsidRPr="00244D32">
        <w:rPr>
          <w:i/>
          <w:iCs/>
          <w:noProof/>
          <w:sz w:val="24"/>
        </w:rPr>
        <w:t>Journal of the Neurological Sciences</w:t>
      </w:r>
      <w:r w:rsidRPr="00244D32">
        <w:rPr>
          <w:noProof/>
          <w:sz w:val="24"/>
        </w:rPr>
        <w:t xml:space="preserve">, 249(1), pp.31–38. </w:t>
      </w:r>
    </w:p>
    <w:p w14:paraId="5159EF87" w14:textId="1A86C762" w:rsidR="00244D32" w:rsidRPr="00244D32" w:rsidRDefault="00244D32">
      <w:pPr>
        <w:pStyle w:val="NormalWeb"/>
        <w:ind w:left="480" w:hanging="480"/>
        <w:divId w:val="1629242513"/>
        <w:rPr>
          <w:noProof/>
          <w:sz w:val="24"/>
        </w:rPr>
      </w:pPr>
      <w:r w:rsidRPr="00244D32">
        <w:rPr>
          <w:noProof/>
          <w:sz w:val="24"/>
        </w:rPr>
        <w:t xml:space="preserve">Boggio, P.S. et al., 2007. Go-no-go task performance improvement after anodal transcranial DC stimulation of the left dorsolateral prefrontal cortex in major depression. </w:t>
      </w:r>
      <w:r w:rsidRPr="00244D32">
        <w:rPr>
          <w:i/>
          <w:iCs/>
          <w:noProof/>
          <w:sz w:val="24"/>
        </w:rPr>
        <w:t>Journal of Affective Disorders</w:t>
      </w:r>
      <w:r w:rsidRPr="00244D32">
        <w:rPr>
          <w:noProof/>
          <w:sz w:val="24"/>
        </w:rPr>
        <w:t xml:space="preserve">, 101(1-3), pp.91–98. </w:t>
      </w:r>
    </w:p>
    <w:p w14:paraId="0246FD3E" w14:textId="3F9BB6B2" w:rsidR="00244D32" w:rsidRPr="00244D32" w:rsidRDefault="00244D32">
      <w:pPr>
        <w:pStyle w:val="NormalWeb"/>
        <w:ind w:left="480" w:hanging="480"/>
        <w:divId w:val="1629242513"/>
        <w:rPr>
          <w:noProof/>
          <w:sz w:val="24"/>
        </w:rPr>
      </w:pPr>
      <w:r w:rsidRPr="00244D32">
        <w:rPr>
          <w:noProof/>
          <w:sz w:val="24"/>
        </w:rPr>
        <w:t xml:space="preserve">Boggio, P.S. et al., 2010. Modulation of decision-making in a gambling task in older adults with transcranial direct current stimulation. </w:t>
      </w:r>
      <w:r w:rsidRPr="00244D32">
        <w:rPr>
          <w:i/>
          <w:iCs/>
          <w:noProof/>
          <w:sz w:val="24"/>
        </w:rPr>
        <w:t>The European journal of neuroscience</w:t>
      </w:r>
      <w:r w:rsidRPr="00244D32">
        <w:rPr>
          <w:noProof/>
          <w:sz w:val="24"/>
        </w:rPr>
        <w:t xml:space="preserve">, 31(3), pp.593–597. </w:t>
      </w:r>
    </w:p>
    <w:p w14:paraId="786DD5EA" w14:textId="53BC9810" w:rsidR="00244D32" w:rsidRPr="00244D32" w:rsidRDefault="00244D32">
      <w:pPr>
        <w:pStyle w:val="NormalWeb"/>
        <w:ind w:left="480" w:hanging="480"/>
        <w:divId w:val="1629242513"/>
        <w:rPr>
          <w:noProof/>
          <w:sz w:val="24"/>
        </w:rPr>
      </w:pPr>
      <w:r w:rsidRPr="00244D32">
        <w:rPr>
          <w:noProof/>
          <w:sz w:val="24"/>
        </w:rPr>
        <w:t xml:space="preserve">Boggio, P.S. et al., 2007. Repeated sessions of noninvasive brain DC stimulation is associated with motor function improvement in stroke patients. </w:t>
      </w:r>
      <w:r w:rsidRPr="00244D32">
        <w:rPr>
          <w:i/>
          <w:iCs/>
          <w:noProof/>
          <w:sz w:val="24"/>
        </w:rPr>
        <w:t>Restor Neurol Neurosci</w:t>
      </w:r>
      <w:r w:rsidRPr="00244D32">
        <w:rPr>
          <w:noProof/>
          <w:sz w:val="24"/>
        </w:rPr>
        <w:t xml:space="preserve">, 25, pp.123–129. </w:t>
      </w:r>
    </w:p>
    <w:p w14:paraId="28B45A2A" w14:textId="05229002" w:rsidR="00244D32" w:rsidRPr="00244D32" w:rsidRDefault="00244D32">
      <w:pPr>
        <w:pStyle w:val="NormalWeb"/>
        <w:ind w:left="480" w:hanging="480"/>
        <w:divId w:val="1629242513"/>
        <w:rPr>
          <w:noProof/>
          <w:sz w:val="24"/>
        </w:rPr>
      </w:pPr>
      <w:r w:rsidRPr="00244D32">
        <w:rPr>
          <w:noProof/>
          <w:sz w:val="24"/>
        </w:rPr>
        <w:t xml:space="preserve">Bonnelle, V. et al., 2011. Default mode network connectivity predicts sustained attention deficits after traumatic brain injury. </w:t>
      </w:r>
      <w:r w:rsidRPr="00244D32">
        <w:rPr>
          <w:i/>
          <w:iCs/>
          <w:noProof/>
          <w:sz w:val="24"/>
        </w:rPr>
        <w:t>J Neurosci</w:t>
      </w:r>
      <w:r w:rsidRPr="00244D32">
        <w:rPr>
          <w:noProof/>
          <w:sz w:val="24"/>
        </w:rPr>
        <w:t xml:space="preserve">, 31, pp.13442–13451. </w:t>
      </w:r>
    </w:p>
    <w:p w14:paraId="29F3B3E2" w14:textId="7420668C" w:rsidR="00244D32" w:rsidRPr="00244D32" w:rsidRDefault="00244D32">
      <w:pPr>
        <w:pStyle w:val="NormalWeb"/>
        <w:ind w:left="480" w:hanging="480"/>
        <w:divId w:val="1629242513"/>
        <w:rPr>
          <w:noProof/>
          <w:sz w:val="24"/>
        </w:rPr>
      </w:pPr>
      <w:r w:rsidRPr="00244D32">
        <w:rPr>
          <w:noProof/>
          <w:sz w:val="24"/>
        </w:rPr>
        <w:t xml:space="preserve">Brunoni, A.R. et al., 2011. A systematic review on reporting and assessment of adverse effects associated with transcranial direct current stimulation. </w:t>
      </w:r>
      <w:r w:rsidRPr="00244D32">
        <w:rPr>
          <w:i/>
          <w:iCs/>
          <w:noProof/>
          <w:sz w:val="24"/>
        </w:rPr>
        <w:t>The international journal of neuropsychopharmacology</w:t>
      </w:r>
      <w:r w:rsidRPr="00244D32">
        <w:rPr>
          <w:noProof/>
          <w:sz w:val="24"/>
        </w:rPr>
        <w:t xml:space="preserve">, 14(8), pp.1133–45. </w:t>
      </w:r>
    </w:p>
    <w:p w14:paraId="0548A88A" w14:textId="77777777" w:rsidR="00244D32" w:rsidRPr="00244D32" w:rsidRDefault="00244D32">
      <w:pPr>
        <w:pStyle w:val="NormalWeb"/>
        <w:ind w:left="480" w:hanging="480"/>
        <w:divId w:val="1629242513"/>
        <w:rPr>
          <w:noProof/>
          <w:sz w:val="24"/>
        </w:rPr>
      </w:pPr>
      <w:r w:rsidRPr="00244D32">
        <w:rPr>
          <w:noProof/>
          <w:sz w:val="24"/>
        </w:rPr>
        <w:t xml:space="preserve">Cantlon, J.F. et al., 2006. Functional imaging of numerical processing in adults and 4-y-old children. </w:t>
      </w:r>
      <w:r w:rsidRPr="00244D32">
        <w:rPr>
          <w:i/>
          <w:iCs/>
          <w:noProof/>
          <w:sz w:val="24"/>
        </w:rPr>
        <w:t>PLoS Biology</w:t>
      </w:r>
      <w:r w:rsidRPr="00244D32">
        <w:rPr>
          <w:noProof/>
          <w:sz w:val="24"/>
        </w:rPr>
        <w:t>, 4(5), pp.844–854.</w:t>
      </w:r>
    </w:p>
    <w:p w14:paraId="4F767BE4" w14:textId="77777777" w:rsidR="00244D32" w:rsidRPr="00244D32" w:rsidRDefault="00244D32">
      <w:pPr>
        <w:pStyle w:val="NormalWeb"/>
        <w:ind w:left="480" w:hanging="480"/>
        <w:divId w:val="1629242513"/>
        <w:rPr>
          <w:noProof/>
          <w:sz w:val="24"/>
        </w:rPr>
      </w:pPr>
      <w:r w:rsidRPr="00244D32">
        <w:rPr>
          <w:noProof/>
          <w:sz w:val="24"/>
        </w:rPr>
        <w:t xml:space="preserve">Cappelletti, M., Barth, H. &amp; Spelke, E.S., 2008. rTMS over the intraparietal sulcus disrupts numerosity processing. </w:t>
      </w:r>
      <w:r w:rsidRPr="00244D32">
        <w:rPr>
          <w:i/>
          <w:iCs/>
          <w:noProof/>
          <w:sz w:val="24"/>
        </w:rPr>
        <w:t>Experimental brain research</w:t>
      </w:r>
      <w:r w:rsidRPr="00244D32">
        <w:rPr>
          <w:noProof/>
          <w:sz w:val="24"/>
        </w:rPr>
        <w:t>, 179(4), pp.631–642.</w:t>
      </w:r>
    </w:p>
    <w:p w14:paraId="0F7BB7CB" w14:textId="77777777" w:rsidR="00244D32" w:rsidRPr="00244D32" w:rsidRDefault="00244D32">
      <w:pPr>
        <w:pStyle w:val="NormalWeb"/>
        <w:ind w:left="480" w:hanging="480"/>
        <w:divId w:val="1629242513"/>
        <w:rPr>
          <w:noProof/>
          <w:sz w:val="24"/>
        </w:rPr>
      </w:pPr>
      <w:r w:rsidRPr="00244D32">
        <w:rPr>
          <w:noProof/>
          <w:sz w:val="24"/>
        </w:rPr>
        <w:t xml:space="preserve">Chochon, F. et al., 1999. Differential contributions of the left and right inferior parietal lobules to number processing. </w:t>
      </w:r>
      <w:r w:rsidRPr="00244D32">
        <w:rPr>
          <w:i/>
          <w:iCs/>
          <w:noProof/>
          <w:sz w:val="24"/>
        </w:rPr>
        <w:t>Journal of cognitive neuroscience</w:t>
      </w:r>
      <w:r w:rsidRPr="00244D32">
        <w:rPr>
          <w:noProof/>
          <w:sz w:val="24"/>
        </w:rPr>
        <w:t>, 11(6), pp.617–630.</w:t>
      </w:r>
    </w:p>
    <w:p w14:paraId="184691AF" w14:textId="5FB1E267" w:rsidR="00244D32" w:rsidRPr="00834616" w:rsidRDefault="00244D32">
      <w:pPr>
        <w:pStyle w:val="NormalWeb"/>
        <w:ind w:left="480" w:hanging="480"/>
        <w:divId w:val="1629242513"/>
        <w:rPr>
          <w:noProof/>
          <w:sz w:val="24"/>
        </w:rPr>
      </w:pPr>
      <w:r w:rsidRPr="00244D32">
        <w:rPr>
          <w:noProof/>
          <w:sz w:val="24"/>
        </w:rPr>
        <w:t>Coffman, B.A., Trumbo, M.C. &amp; Clark, V.P., 2012. Enhancement of object detection with transcranial direct current stimulation is associated with increased attention.</w:t>
      </w:r>
      <w:r w:rsidR="00834616">
        <w:rPr>
          <w:noProof/>
          <w:sz w:val="24"/>
        </w:rPr>
        <w:t xml:space="preserve"> </w:t>
      </w:r>
      <w:r w:rsidR="00834616">
        <w:rPr>
          <w:i/>
          <w:noProof/>
          <w:sz w:val="24"/>
        </w:rPr>
        <w:t>BMC Neuroscience</w:t>
      </w:r>
      <w:r w:rsidR="00834616">
        <w:rPr>
          <w:noProof/>
          <w:sz w:val="24"/>
        </w:rPr>
        <w:t>, 13(108)</w:t>
      </w:r>
    </w:p>
    <w:p w14:paraId="664F9D1F" w14:textId="2B3506BB" w:rsidR="00244D32" w:rsidRPr="00244D32" w:rsidRDefault="00244D32">
      <w:pPr>
        <w:pStyle w:val="NormalWeb"/>
        <w:ind w:left="480" w:hanging="480"/>
        <w:divId w:val="1629242513"/>
        <w:rPr>
          <w:noProof/>
          <w:sz w:val="24"/>
        </w:rPr>
      </w:pPr>
      <w:r w:rsidRPr="00244D32">
        <w:rPr>
          <w:noProof/>
          <w:sz w:val="24"/>
        </w:rPr>
        <w:t xml:space="preserve">Cohen Kadosh, R. et al., 2010. Modulating neuronal activity produces specific and long-lasting changes in numerical competence. </w:t>
      </w:r>
      <w:r w:rsidRPr="00244D32">
        <w:rPr>
          <w:i/>
          <w:iCs/>
          <w:noProof/>
          <w:sz w:val="24"/>
        </w:rPr>
        <w:t>Current Biology</w:t>
      </w:r>
      <w:r w:rsidRPr="00244D32">
        <w:rPr>
          <w:noProof/>
          <w:sz w:val="24"/>
        </w:rPr>
        <w:t xml:space="preserve">, 20(22), pp.2016–2020. </w:t>
      </w:r>
    </w:p>
    <w:p w14:paraId="174B9118" w14:textId="2C4FEB02" w:rsidR="00244D32" w:rsidRPr="00244D32" w:rsidRDefault="00244D32">
      <w:pPr>
        <w:pStyle w:val="NormalWeb"/>
        <w:ind w:left="480" w:hanging="480"/>
        <w:divId w:val="1629242513"/>
        <w:rPr>
          <w:noProof/>
          <w:sz w:val="24"/>
        </w:rPr>
      </w:pPr>
      <w:r w:rsidRPr="00244D32">
        <w:rPr>
          <w:noProof/>
          <w:sz w:val="24"/>
        </w:rPr>
        <w:t xml:space="preserve">Corbetta, M. &amp; Shulman, G.L., 2002. Control of goal-directed and stimulus-driven attention in the brain. </w:t>
      </w:r>
      <w:r w:rsidRPr="00244D32">
        <w:rPr>
          <w:i/>
          <w:iCs/>
          <w:noProof/>
          <w:sz w:val="24"/>
        </w:rPr>
        <w:t>Nat Rev Neurosci</w:t>
      </w:r>
      <w:r w:rsidRPr="00244D32">
        <w:rPr>
          <w:noProof/>
          <w:sz w:val="24"/>
        </w:rPr>
        <w:t xml:space="preserve">, 3, pp.201–215. </w:t>
      </w:r>
    </w:p>
    <w:p w14:paraId="490A0F99" w14:textId="7FF49E10" w:rsidR="00244D32" w:rsidRPr="00244D32" w:rsidRDefault="00244D32">
      <w:pPr>
        <w:pStyle w:val="NormalWeb"/>
        <w:ind w:left="480" w:hanging="480"/>
        <w:divId w:val="1629242513"/>
        <w:rPr>
          <w:noProof/>
          <w:sz w:val="24"/>
        </w:rPr>
      </w:pPr>
      <w:r w:rsidRPr="00244D32">
        <w:rPr>
          <w:noProof/>
          <w:sz w:val="24"/>
        </w:rPr>
        <w:t xml:space="preserve">Corbetta, M. &amp; Shulman, G.L., 2002. Control of goal-directed and stimulus-driven attention in the brain. </w:t>
      </w:r>
      <w:r w:rsidR="003C7C19">
        <w:rPr>
          <w:i/>
          <w:iCs/>
          <w:noProof/>
          <w:sz w:val="24"/>
        </w:rPr>
        <w:t>Nature reviews</w:t>
      </w:r>
      <w:r w:rsidRPr="00244D32">
        <w:rPr>
          <w:i/>
          <w:iCs/>
          <w:noProof/>
          <w:sz w:val="24"/>
        </w:rPr>
        <w:t xml:space="preserve"> Neuroscience</w:t>
      </w:r>
      <w:r w:rsidRPr="00244D32">
        <w:rPr>
          <w:noProof/>
          <w:sz w:val="24"/>
        </w:rPr>
        <w:t>, 3, pp.201–215.</w:t>
      </w:r>
    </w:p>
    <w:p w14:paraId="22053E2B" w14:textId="409EE3C9" w:rsidR="00244D32" w:rsidRPr="00244D32" w:rsidRDefault="00244D32">
      <w:pPr>
        <w:pStyle w:val="NormalWeb"/>
        <w:ind w:left="480" w:hanging="480"/>
        <w:divId w:val="1629242513"/>
        <w:rPr>
          <w:noProof/>
          <w:sz w:val="24"/>
        </w:rPr>
      </w:pPr>
      <w:r w:rsidRPr="00244D32">
        <w:rPr>
          <w:noProof/>
          <w:sz w:val="24"/>
        </w:rPr>
        <w:t xml:space="preserve">Corbetta, M. &amp; Shulman, G.L., 2011. </w:t>
      </w:r>
      <w:r w:rsidRPr="003C7C19">
        <w:rPr>
          <w:iCs/>
          <w:noProof/>
          <w:sz w:val="24"/>
        </w:rPr>
        <w:t>Spatial</w:t>
      </w:r>
      <w:r w:rsidR="003C7C19" w:rsidRPr="003C7C19">
        <w:rPr>
          <w:iCs/>
          <w:noProof/>
          <w:sz w:val="24"/>
        </w:rPr>
        <w:t xml:space="preserve"> neglect and attention networks</w:t>
      </w:r>
      <w:r w:rsidR="003C7C19">
        <w:rPr>
          <w:noProof/>
          <w:sz w:val="24"/>
        </w:rPr>
        <w:t xml:space="preserve">. </w:t>
      </w:r>
      <w:r w:rsidR="003C7C19">
        <w:rPr>
          <w:i/>
          <w:noProof/>
          <w:sz w:val="24"/>
        </w:rPr>
        <w:t xml:space="preserve">Annu Rev Neurosci, </w:t>
      </w:r>
      <w:r w:rsidR="003C7C19">
        <w:rPr>
          <w:noProof/>
          <w:sz w:val="24"/>
        </w:rPr>
        <w:t xml:space="preserve">34: pp569-599 </w:t>
      </w:r>
    </w:p>
    <w:p w14:paraId="3E2ECC71" w14:textId="77777777" w:rsidR="00244D32" w:rsidRPr="00244D32" w:rsidRDefault="00244D32">
      <w:pPr>
        <w:pStyle w:val="NormalWeb"/>
        <w:ind w:left="480" w:hanging="480"/>
        <w:divId w:val="1629242513"/>
        <w:rPr>
          <w:noProof/>
          <w:sz w:val="24"/>
        </w:rPr>
      </w:pPr>
      <w:r w:rsidRPr="00244D32">
        <w:rPr>
          <w:noProof/>
          <w:sz w:val="24"/>
        </w:rPr>
        <w:t xml:space="preserve">Dehaene, S. et al., 1996. Cerebral activations during number multiplication and comparison: A PET study. </w:t>
      </w:r>
      <w:r w:rsidRPr="00244D32">
        <w:rPr>
          <w:i/>
          <w:iCs/>
          <w:noProof/>
          <w:sz w:val="24"/>
        </w:rPr>
        <w:t>Neuropsychologia</w:t>
      </w:r>
      <w:r w:rsidRPr="00244D32">
        <w:rPr>
          <w:noProof/>
          <w:sz w:val="24"/>
        </w:rPr>
        <w:t>, 34(11), pp.1097–1106.</w:t>
      </w:r>
    </w:p>
    <w:p w14:paraId="2465D635" w14:textId="77777777" w:rsidR="00244D32" w:rsidRPr="00244D32" w:rsidRDefault="00244D32">
      <w:pPr>
        <w:pStyle w:val="NormalWeb"/>
        <w:ind w:left="480" w:hanging="480"/>
        <w:divId w:val="1629242513"/>
        <w:rPr>
          <w:noProof/>
          <w:sz w:val="24"/>
        </w:rPr>
      </w:pPr>
      <w:r w:rsidRPr="00244D32">
        <w:rPr>
          <w:noProof/>
          <w:sz w:val="24"/>
        </w:rPr>
        <w:t xml:space="preserve">Dehaene, S., 2001. Precis of the number sense. </w:t>
      </w:r>
      <w:r w:rsidRPr="00244D32">
        <w:rPr>
          <w:i/>
          <w:iCs/>
          <w:noProof/>
          <w:sz w:val="24"/>
        </w:rPr>
        <w:t>Mind and Language</w:t>
      </w:r>
      <w:r w:rsidRPr="00244D32">
        <w:rPr>
          <w:noProof/>
          <w:sz w:val="24"/>
        </w:rPr>
        <w:t>, 16, pp.16–36.</w:t>
      </w:r>
    </w:p>
    <w:p w14:paraId="71D769D8" w14:textId="77777777" w:rsidR="00244D32" w:rsidRPr="00244D32" w:rsidRDefault="00244D32">
      <w:pPr>
        <w:pStyle w:val="NormalWeb"/>
        <w:ind w:left="480" w:hanging="480"/>
        <w:divId w:val="1629242513"/>
        <w:rPr>
          <w:noProof/>
          <w:sz w:val="24"/>
        </w:rPr>
      </w:pPr>
      <w:r w:rsidRPr="00244D32">
        <w:rPr>
          <w:noProof/>
          <w:sz w:val="24"/>
        </w:rPr>
        <w:t xml:space="preserve">Dehaene, S., Dupoux, E. &amp; Mehler, J., 1990. Is numerical comparison digital? Analogical and symbolic effects in two-digit number comparison. </w:t>
      </w:r>
      <w:r w:rsidRPr="00244D32">
        <w:rPr>
          <w:i/>
          <w:iCs/>
          <w:noProof/>
          <w:sz w:val="24"/>
        </w:rPr>
        <w:t>Journal of experimental psychology. Human perception and performance</w:t>
      </w:r>
      <w:r w:rsidRPr="00244D32">
        <w:rPr>
          <w:noProof/>
          <w:sz w:val="24"/>
        </w:rPr>
        <w:t>, 16(3), pp.626–641.</w:t>
      </w:r>
    </w:p>
    <w:p w14:paraId="70048551" w14:textId="14478E55" w:rsidR="00244D32" w:rsidRPr="00244D32" w:rsidRDefault="00244D32">
      <w:pPr>
        <w:pStyle w:val="NormalWeb"/>
        <w:ind w:left="480" w:hanging="480"/>
        <w:divId w:val="1629242513"/>
        <w:rPr>
          <w:noProof/>
          <w:sz w:val="24"/>
        </w:rPr>
      </w:pPr>
      <w:r w:rsidRPr="00244D32">
        <w:rPr>
          <w:noProof/>
          <w:sz w:val="24"/>
        </w:rPr>
        <w:t xml:space="preserve">Desmond, J.E. et al., 1995. Functional MRI measurement of language lateralization in Wada-tested patients. </w:t>
      </w:r>
      <w:r w:rsidRPr="00244D32">
        <w:rPr>
          <w:i/>
          <w:iCs/>
          <w:noProof/>
          <w:sz w:val="24"/>
        </w:rPr>
        <w:t>Brain</w:t>
      </w:r>
      <w:r w:rsidR="003C7C19">
        <w:rPr>
          <w:rFonts w:ascii="Times New Roman" w:hAnsi="Times New Roman"/>
          <w:i/>
          <w:iCs/>
          <w:noProof/>
          <w:sz w:val="24"/>
        </w:rPr>
        <w:t>,</w:t>
      </w:r>
      <w:r w:rsidR="003C7C19">
        <w:rPr>
          <w:noProof/>
          <w:sz w:val="24"/>
        </w:rPr>
        <w:t xml:space="preserve"> 118 (</w:t>
      </w:r>
      <w:r w:rsidRPr="00244D32">
        <w:rPr>
          <w:noProof/>
          <w:sz w:val="24"/>
        </w:rPr>
        <w:t>6</w:t>
      </w:r>
      <w:r w:rsidR="003C7C19">
        <w:rPr>
          <w:noProof/>
          <w:sz w:val="24"/>
        </w:rPr>
        <w:t>)</w:t>
      </w:r>
      <w:r w:rsidRPr="00244D32">
        <w:rPr>
          <w:noProof/>
          <w:sz w:val="24"/>
        </w:rPr>
        <w:t>, pp.1411–1419.</w:t>
      </w:r>
    </w:p>
    <w:p w14:paraId="787B6C62" w14:textId="33FE7F11" w:rsidR="00244D32" w:rsidRPr="00244D32" w:rsidRDefault="00244D32">
      <w:pPr>
        <w:pStyle w:val="NormalWeb"/>
        <w:ind w:left="480" w:hanging="480"/>
        <w:divId w:val="1629242513"/>
        <w:rPr>
          <w:noProof/>
          <w:sz w:val="24"/>
        </w:rPr>
      </w:pPr>
      <w:r w:rsidRPr="00244D32">
        <w:rPr>
          <w:noProof/>
          <w:sz w:val="24"/>
        </w:rPr>
        <w:t xml:space="preserve">Dockery, C. a et al., 2009. Enhancement of planning ability by transcranial direct current stimulation. </w:t>
      </w:r>
      <w:r w:rsidR="003C7C19">
        <w:rPr>
          <w:i/>
          <w:iCs/>
          <w:noProof/>
          <w:sz w:val="24"/>
        </w:rPr>
        <w:t>J N</w:t>
      </w:r>
      <w:r w:rsidRPr="00244D32">
        <w:rPr>
          <w:i/>
          <w:iCs/>
          <w:noProof/>
          <w:sz w:val="24"/>
        </w:rPr>
        <w:t>eurosci</w:t>
      </w:r>
      <w:r w:rsidR="003C7C19">
        <w:rPr>
          <w:noProof/>
          <w:sz w:val="24"/>
        </w:rPr>
        <w:t>, 29(22), pp.7271–7277.</w:t>
      </w:r>
    </w:p>
    <w:p w14:paraId="31F9E476" w14:textId="77777777" w:rsidR="00244D32" w:rsidRPr="00244D32" w:rsidRDefault="00244D32">
      <w:pPr>
        <w:pStyle w:val="NormalWeb"/>
        <w:ind w:left="480" w:hanging="480"/>
        <w:divId w:val="1629242513"/>
        <w:rPr>
          <w:noProof/>
          <w:sz w:val="24"/>
        </w:rPr>
      </w:pPr>
      <w:r w:rsidRPr="00244D32">
        <w:rPr>
          <w:noProof/>
          <w:sz w:val="24"/>
        </w:rPr>
        <w:t xml:space="preserve">Doricchi, F. et al., 2010. Neural correlates of the spatial and expectancy components of endogenous and stimulus-driven orienting of attention in the posner task. </w:t>
      </w:r>
      <w:r w:rsidRPr="00244D32">
        <w:rPr>
          <w:i/>
          <w:iCs/>
          <w:noProof/>
          <w:sz w:val="24"/>
        </w:rPr>
        <w:t>Cerebral Cortex</w:t>
      </w:r>
      <w:r w:rsidRPr="00244D32">
        <w:rPr>
          <w:noProof/>
          <w:sz w:val="24"/>
        </w:rPr>
        <w:t>, 20(7), pp.1574–1585.</w:t>
      </w:r>
    </w:p>
    <w:p w14:paraId="5ABE5C41" w14:textId="455D91A2" w:rsidR="00244D32" w:rsidRPr="00244D32" w:rsidRDefault="00244D32">
      <w:pPr>
        <w:pStyle w:val="NormalWeb"/>
        <w:ind w:left="480" w:hanging="480"/>
        <w:divId w:val="1629242513"/>
        <w:rPr>
          <w:noProof/>
          <w:sz w:val="24"/>
        </w:rPr>
      </w:pPr>
      <w:r w:rsidRPr="00244D32">
        <w:rPr>
          <w:noProof/>
          <w:sz w:val="24"/>
        </w:rPr>
        <w:t xml:space="preserve">Fan, J. et al., 2002. Testing the efficiency and independence of attentional networks. </w:t>
      </w:r>
      <w:r w:rsidRPr="00244D32">
        <w:rPr>
          <w:i/>
          <w:iCs/>
          <w:noProof/>
          <w:sz w:val="24"/>
        </w:rPr>
        <w:t>J Cogn Neurosci</w:t>
      </w:r>
      <w:r w:rsidRPr="00244D32">
        <w:rPr>
          <w:noProof/>
          <w:sz w:val="24"/>
        </w:rPr>
        <w:t xml:space="preserve">, 14, pp.340–347. </w:t>
      </w:r>
    </w:p>
    <w:p w14:paraId="53E61E33" w14:textId="320AA671" w:rsidR="00244D32" w:rsidRPr="00244D32" w:rsidRDefault="00244D32">
      <w:pPr>
        <w:pStyle w:val="NormalWeb"/>
        <w:ind w:left="480" w:hanging="480"/>
        <w:divId w:val="1629242513"/>
        <w:rPr>
          <w:noProof/>
          <w:sz w:val="24"/>
        </w:rPr>
      </w:pPr>
      <w:r w:rsidRPr="00244D32">
        <w:rPr>
          <w:noProof/>
          <w:sz w:val="24"/>
        </w:rPr>
        <w:t xml:space="preserve">Fan, J. et al., 2002. Testing the efficiency and independence of attentional networks. </w:t>
      </w:r>
      <w:r w:rsidRPr="00244D32">
        <w:rPr>
          <w:i/>
          <w:iCs/>
          <w:noProof/>
          <w:sz w:val="24"/>
        </w:rPr>
        <w:t>J</w:t>
      </w:r>
      <w:r w:rsidR="003C7C19">
        <w:rPr>
          <w:i/>
          <w:iCs/>
          <w:noProof/>
          <w:sz w:val="24"/>
        </w:rPr>
        <w:t xml:space="preserve"> Cogn Neurosci</w:t>
      </w:r>
      <w:r w:rsidRPr="00244D32">
        <w:rPr>
          <w:noProof/>
          <w:sz w:val="24"/>
        </w:rPr>
        <w:t>, 14(3), pp.340–347.</w:t>
      </w:r>
    </w:p>
    <w:p w14:paraId="3E217CA5" w14:textId="1AAEFB67" w:rsidR="00244D32" w:rsidRPr="00244D32" w:rsidRDefault="00244D32">
      <w:pPr>
        <w:pStyle w:val="NormalWeb"/>
        <w:ind w:left="480" w:hanging="480"/>
        <w:divId w:val="1629242513"/>
        <w:rPr>
          <w:noProof/>
          <w:sz w:val="24"/>
        </w:rPr>
      </w:pPr>
      <w:r w:rsidRPr="00244D32">
        <w:rPr>
          <w:noProof/>
          <w:sz w:val="24"/>
        </w:rPr>
        <w:t xml:space="preserve">Fecteau, S. et al., 2007. Diminishing risk-taking behavior by modulating activity in the prefrontal cortex: a direct current stimulation study. </w:t>
      </w:r>
      <w:r w:rsidR="003C7C19">
        <w:rPr>
          <w:i/>
          <w:iCs/>
          <w:noProof/>
          <w:sz w:val="24"/>
        </w:rPr>
        <w:t>J Neurosci</w:t>
      </w:r>
      <w:r w:rsidRPr="00244D32">
        <w:rPr>
          <w:noProof/>
          <w:sz w:val="24"/>
        </w:rPr>
        <w:t xml:space="preserve">, 27(46), pp.12500–5. </w:t>
      </w:r>
    </w:p>
    <w:p w14:paraId="25B791EC" w14:textId="45EF54E4" w:rsidR="00244D32" w:rsidRPr="00244D32" w:rsidRDefault="00244D32">
      <w:pPr>
        <w:pStyle w:val="NormalWeb"/>
        <w:ind w:left="480" w:hanging="480"/>
        <w:divId w:val="1629242513"/>
        <w:rPr>
          <w:noProof/>
          <w:sz w:val="24"/>
        </w:rPr>
      </w:pPr>
      <w:r w:rsidRPr="00244D32">
        <w:rPr>
          <w:noProof/>
          <w:sz w:val="24"/>
        </w:rPr>
        <w:t xml:space="preserve">Fregni, F. et al., 2005. Anodal transcranial direct current stimulation of prefrontal cortex enhances working memory. </w:t>
      </w:r>
      <w:r w:rsidRPr="00244D32">
        <w:rPr>
          <w:i/>
          <w:iCs/>
          <w:noProof/>
          <w:sz w:val="24"/>
        </w:rPr>
        <w:t>Experimental Brain Research.</w:t>
      </w:r>
      <w:r w:rsidRPr="00244D32">
        <w:rPr>
          <w:noProof/>
          <w:sz w:val="24"/>
        </w:rPr>
        <w:t xml:space="preserve">, 166(1), pp.23–30. </w:t>
      </w:r>
    </w:p>
    <w:p w14:paraId="0E65C542" w14:textId="09988AB2" w:rsidR="00244D32" w:rsidRPr="00244D32" w:rsidRDefault="00244D32">
      <w:pPr>
        <w:pStyle w:val="NormalWeb"/>
        <w:ind w:left="480" w:hanging="480"/>
        <w:divId w:val="1629242513"/>
        <w:rPr>
          <w:noProof/>
          <w:sz w:val="24"/>
        </w:rPr>
      </w:pPr>
      <w:r w:rsidRPr="00244D32">
        <w:rPr>
          <w:noProof/>
          <w:sz w:val="24"/>
        </w:rPr>
        <w:t xml:space="preserve">Fregni, F. et al., 2005. Transcranial direct current stimulation of the unaffected hemisphere in stroke patients. </w:t>
      </w:r>
      <w:r w:rsidRPr="00244D32">
        <w:rPr>
          <w:i/>
          <w:iCs/>
          <w:noProof/>
          <w:sz w:val="24"/>
        </w:rPr>
        <w:t>Neuroreport</w:t>
      </w:r>
      <w:r w:rsidRPr="00244D32">
        <w:rPr>
          <w:noProof/>
          <w:sz w:val="24"/>
        </w:rPr>
        <w:t xml:space="preserve">, 16, pp.1551–1555. </w:t>
      </w:r>
    </w:p>
    <w:p w14:paraId="714D2321" w14:textId="3C0D764D" w:rsidR="00244D32" w:rsidRPr="00244D32" w:rsidRDefault="00244D32">
      <w:pPr>
        <w:pStyle w:val="NormalWeb"/>
        <w:ind w:left="480" w:hanging="480"/>
        <w:divId w:val="1629242513"/>
        <w:rPr>
          <w:noProof/>
          <w:sz w:val="24"/>
        </w:rPr>
      </w:pPr>
      <w:r w:rsidRPr="00244D32">
        <w:rPr>
          <w:noProof/>
          <w:sz w:val="24"/>
        </w:rPr>
        <w:t xml:space="preserve">Gau, S.S. &amp; Huang, W.L., 2014. Rapid visual information processing as a cognitive endophenotype of attention deficit hyperactivity disorder. </w:t>
      </w:r>
      <w:r w:rsidRPr="00244D32">
        <w:rPr>
          <w:i/>
          <w:iCs/>
          <w:noProof/>
          <w:sz w:val="24"/>
        </w:rPr>
        <w:t>Psychol Med</w:t>
      </w:r>
      <w:r w:rsidRPr="00244D32">
        <w:rPr>
          <w:noProof/>
          <w:sz w:val="24"/>
        </w:rPr>
        <w:t xml:space="preserve">, 44, pp.435–446. </w:t>
      </w:r>
    </w:p>
    <w:p w14:paraId="3749A4FF" w14:textId="6B80452E" w:rsidR="00244D32" w:rsidRPr="00244D32" w:rsidRDefault="00244D32">
      <w:pPr>
        <w:pStyle w:val="NormalWeb"/>
        <w:ind w:left="480" w:hanging="480"/>
        <w:divId w:val="1629242513"/>
        <w:rPr>
          <w:noProof/>
          <w:sz w:val="24"/>
        </w:rPr>
      </w:pPr>
      <w:r w:rsidRPr="00244D32">
        <w:rPr>
          <w:noProof/>
          <w:sz w:val="24"/>
        </w:rPr>
        <w:t xml:space="preserve">Gau, S.S.-F. &amp; Huang, W.-L., 2014. Rapid visual information processing as a cognitive endophenotype of attention deficit hyperactivity disorder. </w:t>
      </w:r>
      <w:r w:rsidRPr="00244D32">
        <w:rPr>
          <w:i/>
          <w:iCs/>
          <w:noProof/>
          <w:sz w:val="24"/>
        </w:rPr>
        <w:t>Psychological medicine</w:t>
      </w:r>
      <w:r w:rsidRPr="00244D32">
        <w:rPr>
          <w:noProof/>
          <w:sz w:val="24"/>
        </w:rPr>
        <w:t xml:space="preserve">, 44(2), pp.435–46. </w:t>
      </w:r>
    </w:p>
    <w:p w14:paraId="1F4B95CB" w14:textId="7AAF6656" w:rsidR="00244D32" w:rsidRPr="00244D32" w:rsidRDefault="00244D32">
      <w:pPr>
        <w:pStyle w:val="NormalWeb"/>
        <w:ind w:left="480" w:hanging="480"/>
        <w:divId w:val="1629242513"/>
        <w:rPr>
          <w:noProof/>
          <w:sz w:val="24"/>
        </w:rPr>
      </w:pPr>
      <w:r w:rsidRPr="00244D32">
        <w:rPr>
          <w:noProof/>
          <w:sz w:val="24"/>
        </w:rPr>
        <w:t xml:space="preserve">Gazzaniga, M.S., 2000. Cerebral specialization and interhemispheric communication: does the corpus callosum enable the human condition? </w:t>
      </w:r>
      <w:r w:rsidRPr="00244D32">
        <w:rPr>
          <w:i/>
          <w:iCs/>
          <w:noProof/>
          <w:sz w:val="24"/>
        </w:rPr>
        <w:t>Brain</w:t>
      </w:r>
      <w:r w:rsidRPr="00244D32">
        <w:rPr>
          <w:noProof/>
          <w:sz w:val="24"/>
        </w:rPr>
        <w:t>, 123 ( Pt 7, pp.1293–1326.</w:t>
      </w:r>
    </w:p>
    <w:p w14:paraId="31BE4757" w14:textId="35F5FDA9" w:rsidR="00244D32" w:rsidRPr="00244D32" w:rsidRDefault="00244D32">
      <w:pPr>
        <w:pStyle w:val="NormalWeb"/>
        <w:ind w:left="480" w:hanging="480"/>
        <w:divId w:val="1629242513"/>
        <w:rPr>
          <w:noProof/>
          <w:sz w:val="24"/>
        </w:rPr>
      </w:pPr>
      <w:r w:rsidRPr="00244D32">
        <w:rPr>
          <w:noProof/>
          <w:sz w:val="24"/>
        </w:rPr>
        <w:t xml:space="preserve">Giglia, G. et al., 2011. Neglect-like effects induced by tDCS modulation of posterior parietal cortices in healthy subjects. </w:t>
      </w:r>
      <w:r w:rsidRPr="00244D32">
        <w:rPr>
          <w:i/>
          <w:iCs/>
          <w:noProof/>
          <w:sz w:val="24"/>
        </w:rPr>
        <w:t>Brain Stimulation</w:t>
      </w:r>
      <w:r w:rsidRPr="00244D32">
        <w:rPr>
          <w:noProof/>
          <w:sz w:val="24"/>
        </w:rPr>
        <w:t xml:space="preserve">, 4(4), pp.294–299. </w:t>
      </w:r>
    </w:p>
    <w:p w14:paraId="6BC3B017" w14:textId="77777777" w:rsidR="00244D32" w:rsidRPr="00244D32" w:rsidRDefault="00244D32">
      <w:pPr>
        <w:pStyle w:val="NormalWeb"/>
        <w:ind w:left="480" w:hanging="480"/>
        <w:divId w:val="1629242513"/>
        <w:rPr>
          <w:noProof/>
          <w:sz w:val="24"/>
        </w:rPr>
      </w:pPr>
      <w:r w:rsidRPr="00244D32">
        <w:rPr>
          <w:noProof/>
          <w:sz w:val="24"/>
        </w:rPr>
        <w:t xml:space="preserve">Göbel, S., Walsh, V. &amp; Rushworth, M.F., 2001. The mental number line and the human angular gyrus. </w:t>
      </w:r>
      <w:r w:rsidRPr="00244D32">
        <w:rPr>
          <w:i/>
          <w:iCs/>
          <w:noProof/>
          <w:sz w:val="24"/>
        </w:rPr>
        <w:t>NeuroImage</w:t>
      </w:r>
      <w:r w:rsidRPr="00244D32">
        <w:rPr>
          <w:noProof/>
          <w:sz w:val="24"/>
        </w:rPr>
        <w:t>, 14, pp.1278–1289.</w:t>
      </w:r>
    </w:p>
    <w:p w14:paraId="4D475A3E" w14:textId="77777777" w:rsidR="00244D32" w:rsidRPr="00244D32" w:rsidRDefault="00244D32">
      <w:pPr>
        <w:pStyle w:val="NormalWeb"/>
        <w:ind w:left="480" w:hanging="480"/>
        <w:divId w:val="1629242513"/>
        <w:rPr>
          <w:noProof/>
          <w:sz w:val="24"/>
        </w:rPr>
      </w:pPr>
      <w:r w:rsidRPr="00244D32">
        <w:rPr>
          <w:noProof/>
          <w:sz w:val="24"/>
        </w:rPr>
        <w:t xml:space="preserve">Grabner, R.H. et al., 2007. Individual differences in mathematical competence predict parietal brain activation during mental calculation. </w:t>
      </w:r>
      <w:r w:rsidRPr="00244D32">
        <w:rPr>
          <w:i/>
          <w:iCs/>
          <w:noProof/>
          <w:sz w:val="24"/>
        </w:rPr>
        <w:t>NeuroImage</w:t>
      </w:r>
      <w:r w:rsidRPr="00244D32">
        <w:rPr>
          <w:noProof/>
          <w:sz w:val="24"/>
        </w:rPr>
        <w:t>, 38, pp.346–356.</w:t>
      </w:r>
    </w:p>
    <w:p w14:paraId="455DC7FA" w14:textId="77777777" w:rsidR="00244D32" w:rsidRPr="00244D32" w:rsidRDefault="00244D32">
      <w:pPr>
        <w:pStyle w:val="NormalWeb"/>
        <w:ind w:left="480" w:hanging="480"/>
        <w:divId w:val="1629242513"/>
        <w:rPr>
          <w:noProof/>
          <w:sz w:val="24"/>
        </w:rPr>
      </w:pPr>
      <w:r w:rsidRPr="00244D32">
        <w:rPr>
          <w:noProof/>
          <w:sz w:val="24"/>
        </w:rPr>
        <w:t xml:space="preserve">Gruber, O. et al., 2001. Dissociating neural correlates of cognitive components in mental calculation. </w:t>
      </w:r>
      <w:r w:rsidRPr="00244D32">
        <w:rPr>
          <w:i/>
          <w:iCs/>
          <w:noProof/>
          <w:sz w:val="24"/>
        </w:rPr>
        <w:t>Cerebral cortex (New York, N.Y.</w:t>
      </w:r>
      <w:r w:rsidRPr="00244D32">
        <w:rPr>
          <w:rFonts w:ascii="Times New Roman" w:hAnsi="Times New Roman"/>
          <w:i/>
          <w:iCs/>
          <w:noProof/>
          <w:sz w:val="24"/>
        </w:rPr>
        <w:t> </w:t>
      </w:r>
      <w:r w:rsidRPr="00244D32">
        <w:rPr>
          <w:i/>
          <w:iCs/>
          <w:noProof/>
          <w:sz w:val="24"/>
        </w:rPr>
        <w:t>: 1991)</w:t>
      </w:r>
      <w:r w:rsidRPr="00244D32">
        <w:rPr>
          <w:noProof/>
          <w:sz w:val="24"/>
        </w:rPr>
        <w:t>, 11, pp.350–359.</w:t>
      </w:r>
    </w:p>
    <w:p w14:paraId="39CD984A" w14:textId="3910FF28" w:rsidR="00244D32" w:rsidRPr="00244D32" w:rsidRDefault="00244D32">
      <w:pPr>
        <w:pStyle w:val="NormalWeb"/>
        <w:ind w:left="480" w:hanging="480"/>
        <w:divId w:val="1629242513"/>
        <w:rPr>
          <w:noProof/>
          <w:sz w:val="24"/>
        </w:rPr>
      </w:pPr>
      <w:r w:rsidRPr="00244D32">
        <w:rPr>
          <w:noProof/>
          <w:sz w:val="24"/>
        </w:rPr>
        <w:t xml:space="preserve">Hauser, T.U. et al., 2013. Enhancing performance in numerical magnitude processing and mental arithmetic using transcranial Direct Current Stimulation (tDCS). </w:t>
      </w:r>
      <w:r w:rsidRPr="00244D32">
        <w:rPr>
          <w:i/>
          <w:iCs/>
          <w:noProof/>
          <w:sz w:val="24"/>
        </w:rPr>
        <w:t>Frontiers in human neuroscience</w:t>
      </w:r>
      <w:r w:rsidRPr="00244D32">
        <w:rPr>
          <w:noProof/>
          <w:sz w:val="24"/>
        </w:rPr>
        <w:t xml:space="preserve">, 7(June), p.244. </w:t>
      </w:r>
    </w:p>
    <w:p w14:paraId="1F5819E3" w14:textId="7C411B70" w:rsidR="00244D32" w:rsidRPr="00244D32" w:rsidRDefault="00244D32">
      <w:pPr>
        <w:pStyle w:val="NormalWeb"/>
        <w:ind w:left="480" w:hanging="480"/>
        <w:divId w:val="1629242513"/>
        <w:rPr>
          <w:noProof/>
          <w:sz w:val="24"/>
        </w:rPr>
      </w:pPr>
      <w:r w:rsidRPr="00244D32">
        <w:rPr>
          <w:noProof/>
          <w:sz w:val="24"/>
        </w:rPr>
        <w:t xml:space="preserve">Hecht, D., Walsh, V. &amp; Lavidor, M., 2010. Transcranial direct current stimulation facilitates decision making in a probabilistic guessing task. </w:t>
      </w:r>
      <w:r w:rsidRPr="00244D32">
        <w:rPr>
          <w:i/>
          <w:iCs/>
          <w:noProof/>
          <w:sz w:val="24"/>
        </w:rPr>
        <w:t>J</w:t>
      </w:r>
      <w:r w:rsidR="003C7C19">
        <w:rPr>
          <w:i/>
          <w:iCs/>
          <w:noProof/>
          <w:sz w:val="24"/>
        </w:rPr>
        <w:t xml:space="preserve"> Neurosci,</w:t>
      </w:r>
      <w:r w:rsidRPr="00244D32">
        <w:rPr>
          <w:noProof/>
          <w:sz w:val="24"/>
        </w:rPr>
        <w:t xml:space="preserve"> 30(12), pp.4241–4245. </w:t>
      </w:r>
    </w:p>
    <w:p w14:paraId="11E5EC7D" w14:textId="68C6A467" w:rsidR="00244D32" w:rsidRPr="00244D32" w:rsidRDefault="00244D32">
      <w:pPr>
        <w:pStyle w:val="NormalWeb"/>
        <w:ind w:left="480" w:hanging="480"/>
        <w:divId w:val="1629242513"/>
        <w:rPr>
          <w:noProof/>
          <w:sz w:val="24"/>
        </w:rPr>
      </w:pPr>
      <w:r w:rsidRPr="00244D32">
        <w:rPr>
          <w:noProof/>
          <w:sz w:val="24"/>
        </w:rPr>
        <w:t xml:space="preserve">Helton, W.S. et al., 2010. Cerebral lateralization of vigilance: A function of task difficulty. </w:t>
      </w:r>
      <w:r w:rsidRPr="00244D32">
        <w:rPr>
          <w:i/>
          <w:iCs/>
          <w:noProof/>
          <w:sz w:val="24"/>
        </w:rPr>
        <w:t>Neuropsychologia</w:t>
      </w:r>
      <w:r w:rsidRPr="00244D32">
        <w:rPr>
          <w:noProof/>
          <w:sz w:val="24"/>
        </w:rPr>
        <w:t xml:space="preserve">, 48(6), pp.1683–1688. </w:t>
      </w:r>
    </w:p>
    <w:p w14:paraId="3CAE34C7" w14:textId="279DE20E" w:rsidR="00244D32" w:rsidRPr="00244D32" w:rsidRDefault="00244D32">
      <w:pPr>
        <w:pStyle w:val="NormalWeb"/>
        <w:ind w:left="480" w:hanging="480"/>
        <w:divId w:val="1629242513"/>
        <w:rPr>
          <w:noProof/>
          <w:sz w:val="24"/>
        </w:rPr>
      </w:pPr>
      <w:r w:rsidRPr="00244D32">
        <w:rPr>
          <w:noProof/>
          <w:sz w:val="24"/>
        </w:rPr>
        <w:t xml:space="preserve">Hummel, F. et al., 2005. Effects of non-invasive cortical stimulation on skilled motor function in chronic stroke. </w:t>
      </w:r>
      <w:r w:rsidRPr="00244D32">
        <w:rPr>
          <w:i/>
          <w:iCs/>
          <w:noProof/>
          <w:sz w:val="24"/>
        </w:rPr>
        <w:t>Brain</w:t>
      </w:r>
      <w:r w:rsidRPr="00244D32">
        <w:rPr>
          <w:noProof/>
          <w:sz w:val="24"/>
        </w:rPr>
        <w:t xml:space="preserve">, 128(3), pp.490–499. </w:t>
      </w:r>
    </w:p>
    <w:p w14:paraId="022B8712" w14:textId="6EF5F65E" w:rsidR="00244D32" w:rsidRPr="00244D32" w:rsidRDefault="00244D32">
      <w:pPr>
        <w:pStyle w:val="NormalWeb"/>
        <w:ind w:left="480" w:hanging="480"/>
        <w:divId w:val="1629242513"/>
        <w:rPr>
          <w:noProof/>
          <w:sz w:val="24"/>
        </w:rPr>
      </w:pPr>
      <w:r w:rsidRPr="00244D32">
        <w:rPr>
          <w:noProof/>
          <w:sz w:val="24"/>
        </w:rPr>
        <w:t xml:space="preserve">Husain, M. et al., 1997. Abnormal temporal dynamics of visual attention in spatial neglect patients. </w:t>
      </w:r>
      <w:r w:rsidRPr="00244D32">
        <w:rPr>
          <w:i/>
          <w:iCs/>
          <w:noProof/>
          <w:sz w:val="24"/>
        </w:rPr>
        <w:t>Nature</w:t>
      </w:r>
      <w:r w:rsidRPr="00244D32">
        <w:rPr>
          <w:noProof/>
          <w:sz w:val="24"/>
        </w:rPr>
        <w:t xml:space="preserve">, 385, pp.154–156. </w:t>
      </w:r>
    </w:p>
    <w:p w14:paraId="5AE969AC" w14:textId="39982AF1" w:rsidR="00244D32" w:rsidRPr="00244D32" w:rsidRDefault="00244D32">
      <w:pPr>
        <w:pStyle w:val="NormalWeb"/>
        <w:ind w:left="480" w:hanging="480"/>
        <w:divId w:val="1629242513"/>
        <w:rPr>
          <w:noProof/>
          <w:sz w:val="24"/>
        </w:rPr>
      </w:pPr>
      <w:r w:rsidRPr="00244D32">
        <w:rPr>
          <w:noProof/>
          <w:sz w:val="24"/>
        </w:rPr>
        <w:t xml:space="preserve">Husain, M. &amp; Rorden, C., 2003. Nonspatially lateralized mechanisms in hemispatial neglect. </w:t>
      </w:r>
      <w:r w:rsidR="003C7C19">
        <w:rPr>
          <w:i/>
          <w:iCs/>
          <w:noProof/>
          <w:sz w:val="24"/>
        </w:rPr>
        <w:t>Nature reviews</w:t>
      </w:r>
      <w:r w:rsidRPr="00244D32">
        <w:rPr>
          <w:i/>
          <w:iCs/>
          <w:noProof/>
          <w:sz w:val="24"/>
        </w:rPr>
        <w:t xml:space="preserve"> Neuroscience</w:t>
      </w:r>
      <w:r w:rsidRPr="00244D32">
        <w:rPr>
          <w:noProof/>
          <w:sz w:val="24"/>
        </w:rPr>
        <w:t>, 4(January), pp.25–36.</w:t>
      </w:r>
    </w:p>
    <w:p w14:paraId="3C6FCAA1" w14:textId="1DB43725" w:rsidR="00244D32" w:rsidRPr="00244D32" w:rsidRDefault="00244D32" w:rsidP="00244D32">
      <w:pPr>
        <w:pStyle w:val="NormalWeb"/>
        <w:ind w:left="480" w:hanging="480"/>
        <w:divId w:val="1629242513"/>
        <w:rPr>
          <w:noProof/>
          <w:sz w:val="24"/>
        </w:rPr>
      </w:pPr>
      <w:r w:rsidRPr="00244D32">
        <w:rPr>
          <w:noProof/>
          <w:sz w:val="24"/>
        </w:rPr>
        <w:t>Jacobson, L., Koslowsky, M. &amp; Lavidor, M., 2012</w:t>
      </w:r>
      <w:r>
        <w:rPr>
          <w:noProof/>
          <w:sz w:val="24"/>
        </w:rPr>
        <w:t>a</w:t>
      </w:r>
      <w:r w:rsidRPr="00244D32">
        <w:rPr>
          <w:noProof/>
          <w:sz w:val="24"/>
        </w:rPr>
        <w:t xml:space="preserve">. TDCS polarity effects in motor and cognitive domains: A meta-analytical review. </w:t>
      </w:r>
      <w:r w:rsidRPr="00244D32">
        <w:rPr>
          <w:i/>
          <w:iCs/>
          <w:noProof/>
          <w:sz w:val="24"/>
        </w:rPr>
        <w:t>Experimental Brain Research</w:t>
      </w:r>
      <w:r w:rsidRPr="00244D32">
        <w:rPr>
          <w:noProof/>
          <w:sz w:val="24"/>
        </w:rPr>
        <w:t xml:space="preserve">, 216(1), pp.1–10. </w:t>
      </w:r>
    </w:p>
    <w:p w14:paraId="4787C4CD" w14:textId="25B446E2" w:rsidR="00244D32" w:rsidRPr="00244D32" w:rsidRDefault="00244D32">
      <w:pPr>
        <w:pStyle w:val="NormalWeb"/>
        <w:ind w:left="480" w:hanging="480"/>
        <w:divId w:val="1629242513"/>
        <w:rPr>
          <w:noProof/>
          <w:sz w:val="24"/>
        </w:rPr>
      </w:pPr>
      <w:r w:rsidRPr="00244D32">
        <w:rPr>
          <w:noProof/>
          <w:sz w:val="24"/>
        </w:rPr>
        <w:t>Jacobson, L., Goren, N., et al., 2012</w:t>
      </w:r>
      <w:r>
        <w:rPr>
          <w:noProof/>
          <w:sz w:val="24"/>
        </w:rPr>
        <w:t>b</w:t>
      </w:r>
      <w:r w:rsidRPr="00244D32">
        <w:rPr>
          <w:noProof/>
          <w:sz w:val="24"/>
        </w:rPr>
        <w:t xml:space="preserve">. Oppositional transcranial direct current stimulation (tDCS) of parietal substrates of attention during encoding modulates episodic memory. </w:t>
      </w:r>
      <w:r w:rsidRPr="00244D32">
        <w:rPr>
          <w:i/>
          <w:iCs/>
          <w:noProof/>
          <w:sz w:val="24"/>
        </w:rPr>
        <w:t>Brain research</w:t>
      </w:r>
      <w:r w:rsidRPr="00244D32">
        <w:rPr>
          <w:noProof/>
          <w:sz w:val="24"/>
        </w:rPr>
        <w:t xml:space="preserve">, 1439, pp.66–72. </w:t>
      </w:r>
    </w:p>
    <w:p w14:paraId="138F551B" w14:textId="101007AC" w:rsidR="00244D32" w:rsidRPr="00244D32" w:rsidRDefault="00244D32">
      <w:pPr>
        <w:pStyle w:val="NormalWeb"/>
        <w:ind w:left="480" w:hanging="480"/>
        <w:divId w:val="1629242513"/>
        <w:rPr>
          <w:noProof/>
          <w:sz w:val="24"/>
        </w:rPr>
      </w:pPr>
      <w:r w:rsidRPr="00244D32">
        <w:rPr>
          <w:noProof/>
          <w:sz w:val="24"/>
        </w:rPr>
        <w:t xml:space="preserve">Jang, S.H. et al., 2009. The effect of transcranial direct current stimulation on the cortical activation by motor task in the human brain: an fMRI study. </w:t>
      </w:r>
      <w:r w:rsidRPr="00244D32">
        <w:rPr>
          <w:i/>
          <w:iCs/>
          <w:noProof/>
          <w:sz w:val="24"/>
        </w:rPr>
        <w:t>Neurosci Lett</w:t>
      </w:r>
      <w:r w:rsidRPr="00244D32">
        <w:rPr>
          <w:noProof/>
          <w:sz w:val="24"/>
        </w:rPr>
        <w:t xml:space="preserve">, 460, pp.117–120. </w:t>
      </w:r>
    </w:p>
    <w:p w14:paraId="7CC0B93B" w14:textId="52031478" w:rsidR="00244D32" w:rsidRPr="00244D32" w:rsidRDefault="00244D32">
      <w:pPr>
        <w:pStyle w:val="NormalWeb"/>
        <w:ind w:left="480" w:hanging="480"/>
        <w:divId w:val="1629242513"/>
        <w:rPr>
          <w:noProof/>
          <w:sz w:val="24"/>
        </w:rPr>
      </w:pPr>
      <w:r w:rsidRPr="00244D32">
        <w:rPr>
          <w:noProof/>
          <w:sz w:val="24"/>
        </w:rPr>
        <w:t xml:space="preserve">Jones, G.M. et al., 1992. Effects of acute subcutaneous nicotine on attention, information processing and short-term memory in Alzheimer’s disease. </w:t>
      </w:r>
      <w:r w:rsidRPr="00244D32">
        <w:rPr>
          <w:i/>
          <w:iCs/>
          <w:noProof/>
          <w:sz w:val="24"/>
        </w:rPr>
        <w:t>Psychopharmacology (Berl)</w:t>
      </w:r>
      <w:r w:rsidRPr="00244D32">
        <w:rPr>
          <w:noProof/>
          <w:sz w:val="24"/>
        </w:rPr>
        <w:t xml:space="preserve">, 108, pp.485–494. </w:t>
      </w:r>
    </w:p>
    <w:p w14:paraId="088F1721" w14:textId="61B04E61" w:rsidR="00244D32" w:rsidRPr="00244D32" w:rsidRDefault="00244D32">
      <w:pPr>
        <w:pStyle w:val="NormalWeb"/>
        <w:ind w:left="480" w:hanging="480"/>
        <w:divId w:val="1629242513"/>
        <w:rPr>
          <w:noProof/>
          <w:sz w:val="24"/>
        </w:rPr>
      </w:pPr>
      <w:r w:rsidRPr="00244D32">
        <w:rPr>
          <w:noProof/>
          <w:sz w:val="24"/>
        </w:rPr>
        <w:t xml:space="preserve">Jones, K.T. &amp; Berryhill, M.E., 2012. Parietal contributions to visual working memory depend on task difficulty. </w:t>
      </w:r>
      <w:r w:rsidR="00935197">
        <w:rPr>
          <w:i/>
          <w:noProof/>
          <w:sz w:val="24"/>
        </w:rPr>
        <w:t>Frontiers in Psychiatry</w:t>
      </w:r>
      <w:r w:rsidRPr="00244D32">
        <w:rPr>
          <w:noProof/>
          <w:sz w:val="24"/>
        </w:rPr>
        <w:t>, 3(September), pp.1–11.</w:t>
      </w:r>
    </w:p>
    <w:p w14:paraId="747708DA" w14:textId="5C2ACE01" w:rsidR="00244D32" w:rsidRPr="00244D32" w:rsidRDefault="00244D32">
      <w:pPr>
        <w:pStyle w:val="NormalWeb"/>
        <w:ind w:left="480" w:hanging="480"/>
        <w:divId w:val="1629242513"/>
        <w:rPr>
          <w:noProof/>
          <w:sz w:val="24"/>
        </w:rPr>
      </w:pPr>
      <w:r w:rsidRPr="00244D32">
        <w:rPr>
          <w:noProof/>
          <w:sz w:val="24"/>
        </w:rPr>
        <w:t xml:space="preserve">Kang, E.-K., Kim, D.-Y. &amp; Paik, N.-J., 2012. Transcranial direct current stimulation of the left prefrontal cortex improves attention in patients with traumatic brain injury: a pilot study. </w:t>
      </w:r>
      <w:r w:rsidRPr="00244D32">
        <w:rPr>
          <w:i/>
          <w:iCs/>
          <w:noProof/>
          <w:sz w:val="24"/>
        </w:rPr>
        <w:t>Journal of rehabilitation medicine</w:t>
      </w:r>
      <w:r w:rsidRPr="00244D32">
        <w:rPr>
          <w:noProof/>
          <w:sz w:val="24"/>
        </w:rPr>
        <w:t xml:space="preserve">, 44(4), pp.346–50. </w:t>
      </w:r>
    </w:p>
    <w:p w14:paraId="159B986C" w14:textId="77777777" w:rsidR="00244D32" w:rsidRPr="00244D32" w:rsidRDefault="00244D32">
      <w:pPr>
        <w:pStyle w:val="NormalWeb"/>
        <w:ind w:left="480" w:hanging="480"/>
        <w:divId w:val="1629242513"/>
        <w:rPr>
          <w:noProof/>
          <w:sz w:val="24"/>
        </w:rPr>
      </w:pPr>
      <w:r w:rsidRPr="00244D32">
        <w:rPr>
          <w:noProof/>
          <w:sz w:val="24"/>
        </w:rPr>
        <w:t xml:space="preserve">Kim, D., Kim, S.W. &amp; Joo, E.Y., 2007. Cortical localization of scalp electrodes on three-dimensional brain surface using frameless stereotactic image guidance system. </w:t>
      </w:r>
      <w:r w:rsidRPr="00244D32">
        <w:rPr>
          <w:i/>
          <w:iCs/>
          <w:noProof/>
          <w:sz w:val="24"/>
        </w:rPr>
        <w:t>Neurology Asia</w:t>
      </w:r>
      <w:r w:rsidRPr="00244D32">
        <w:rPr>
          <w:noProof/>
          <w:sz w:val="24"/>
        </w:rPr>
        <w:t>, 12(Supplement 1), p.2195.</w:t>
      </w:r>
    </w:p>
    <w:p w14:paraId="0D331937" w14:textId="77777777" w:rsidR="00244D32" w:rsidRPr="00244D32" w:rsidRDefault="00244D32">
      <w:pPr>
        <w:pStyle w:val="NormalWeb"/>
        <w:ind w:left="480" w:hanging="480"/>
        <w:divId w:val="1629242513"/>
        <w:rPr>
          <w:noProof/>
          <w:sz w:val="24"/>
        </w:rPr>
      </w:pPr>
      <w:r w:rsidRPr="00244D32">
        <w:rPr>
          <w:noProof/>
          <w:sz w:val="24"/>
        </w:rPr>
        <w:t xml:space="preserve">Kinsbourne, M., 1987. Mechanisms of unilateral neglect. In M. Jeannerod, ed. </w:t>
      </w:r>
      <w:r w:rsidRPr="00244D32">
        <w:rPr>
          <w:i/>
          <w:iCs/>
          <w:noProof/>
          <w:sz w:val="24"/>
        </w:rPr>
        <w:t>Neurophysiological and neuropsychological aspects of spatial neglect</w:t>
      </w:r>
      <w:r w:rsidRPr="00244D32">
        <w:rPr>
          <w:noProof/>
          <w:sz w:val="24"/>
        </w:rPr>
        <w:t>. Amsterdam: Elsevier Sci., pp. 69–86.</w:t>
      </w:r>
    </w:p>
    <w:p w14:paraId="7C5B0C5F" w14:textId="712DED94" w:rsidR="00244D32" w:rsidRPr="00244D32" w:rsidRDefault="00244D32">
      <w:pPr>
        <w:pStyle w:val="NormalWeb"/>
        <w:ind w:left="480" w:hanging="480"/>
        <w:divId w:val="1629242513"/>
        <w:rPr>
          <w:noProof/>
          <w:sz w:val="24"/>
        </w:rPr>
      </w:pPr>
      <w:r w:rsidRPr="00244D32">
        <w:rPr>
          <w:noProof/>
          <w:sz w:val="24"/>
        </w:rPr>
        <w:t xml:space="preserve">Langner, R. &amp; Eickhoff, S.B., 2013. Sustaining attention to simple tasks: a meta-analytic review of the neural mechanisms of vigilant attention. </w:t>
      </w:r>
      <w:r w:rsidRPr="00244D32">
        <w:rPr>
          <w:i/>
          <w:iCs/>
          <w:noProof/>
          <w:sz w:val="24"/>
        </w:rPr>
        <w:t>Psychological bulletin</w:t>
      </w:r>
      <w:r w:rsidRPr="00244D32">
        <w:rPr>
          <w:noProof/>
          <w:sz w:val="24"/>
        </w:rPr>
        <w:t xml:space="preserve">, 139(4), pp.870–900. </w:t>
      </w:r>
    </w:p>
    <w:p w14:paraId="4BF69DF5" w14:textId="5D4E899E" w:rsidR="00244D32" w:rsidRPr="00244D32" w:rsidRDefault="00244D32">
      <w:pPr>
        <w:pStyle w:val="NormalWeb"/>
        <w:ind w:left="480" w:hanging="480"/>
        <w:divId w:val="1629242513"/>
        <w:rPr>
          <w:noProof/>
          <w:sz w:val="24"/>
        </w:rPr>
      </w:pPr>
      <w:r w:rsidRPr="00244D32">
        <w:rPr>
          <w:noProof/>
          <w:sz w:val="24"/>
        </w:rPr>
        <w:t xml:space="preserve">Lee, J. et al., 2013. rTMS over bilateral inferior parietal cortex induces decrement of spatial sustained attention. </w:t>
      </w:r>
      <w:r w:rsidRPr="00244D32">
        <w:rPr>
          <w:i/>
          <w:iCs/>
          <w:noProof/>
          <w:sz w:val="24"/>
        </w:rPr>
        <w:t>Frontiers in human neuroscience</w:t>
      </w:r>
      <w:r w:rsidR="00C33855">
        <w:rPr>
          <w:noProof/>
          <w:sz w:val="24"/>
        </w:rPr>
        <w:t>, 7(February), pp</w:t>
      </w:r>
      <w:r w:rsidRPr="00244D32">
        <w:rPr>
          <w:noProof/>
          <w:sz w:val="24"/>
        </w:rPr>
        <w:t xml:space="preserve">26. </w:t>
      </w:r>
    </w:p>
    <w:p w14:paraId="4F16AD2D" w14:textId="29026A10" w:rsidR="00244D32" w:rsidRPr="00244D32" w:rsidRDefault="00244D32">
      <w:pPr>
        <w:pStyle w:val="NormalWeb"/>
        <w:ind w:left="480" w:hanging="480"/>
        <w:divId w:val="1629242513"/>
        <w:rPr>
          <w:noProof/>
          <w:sz w:val="24"/>
        </w:rPr>
      </w:pPr>
      <w:r w:rsidRPr="00244D32">
        <w:rPr>
          <w:noProof/>
          <w:sz w:val="24"/>
        </w:rPr>
        <w:t xml:space="preserve">Leśniak, M. et al., 2014. Effects of repeated anodal tDCS coupled with cognitive training for patients with severe traumatic brain injury: a pilot randomized controlled trial. </w:t>
      </w:r>
      <w:r w:rsidRPr="00244D32">
        <w:rPr>
          <w:i/>
          <w:iCs/>
          <w:noProof/>
          <w:sz w:val="24"/>
        </w:rPr>
        <w:t>J Head Trauma Rehabil</w:t>
      </w:r>
      <w:r w:rsidRPr="00244D32">
        <w:rPr>
          <w:noProof/>
          <w:sz w:val="24"/>
        </w:rPr>
        <w:t>, 29, pp.E20–9</w:t>
      </w:r>
    </w:p>
    <w:p w14:paraId="33FE63C7" w14:textId="5CAB9E5C" w:rsidR="00244D32" w:rsidRPr="00244D32" w:rsidRDefault="00244D32">
      <w:pPr>
        <w:pStyle w:val="NormalWeb"/>
        <w:ind w:left="480" w:hanging="480"/>
        <w:divId w:val="1629242513"/>
        <w:rPr>
          <w:noProof/>
          <w:sz w:val="24"/>
        </w:rPr>
      </w:pPr>
      <w:r w:rsidRPr="00244D32">
        <w:rPr>
          <w:noProof/>
          <w:sz w:val="24"/>
        </w:rPr>
        <w:t xml:space="preserve">Li, L.M., Uehara, K. &amp; Hanakawa, T., 2015. The contribution of interindividual factors to variability of response in transcranial direct current stimulation studies. </w:t>
      </w:r>
      <w:r w:rsidRPr="00244D32">
        <w:rPr>
          <w:i/>
          <w:iCs/>
          <w:noProof/>
          <w:sz w:val="24"/>
        </w:rPr>
        <w:t>Frontiers in Cellular Neuroscience</w:t>
      </w:r>
      <w:r w:rsidRPr="00244D32">
        <w:rPr>
          <w:noProof/>
          <w:sz w:val="24"/>
        </w:rPr>
        <w:t xml:space="preserve">, 9(May). </w:t>
      </w:r>
    </w:p>
    <w:p w14:paraId="41468742" w14:textId="77777777" w:rsidR="00244D32" w:rsidRPr="00244D32" w:rsidRDefault="00244D32">
      <w:pPr>
        <w:pStyle w:val="NormalWeb"/>
        <w:ind w:left="480" w:hanging="480"/>
        <w:divId w:val="1629242513"/>
        <w:rPr>
          <w:noProof/>
          <w:sz w:val="24"/>
        </w:rPr>
      </w:pPr>
      <w:r w:rsidRPr="00244D32">
        <w:rPr>
          <w:noProof/>
          <w:sz w:val="24"/>
        </w:rPr>
        <w:t xml:space="preserve">Malhotra, P., Coulthard, E.J. &amp; Husain, M., 2009. Role of right posterior parietal cortex in maintaining attention to spatial locations over time. </w:t>
      </w:r>
      <w:r w:rsidRPr="00244D32">
        <w:rPr>
          <w:i/>
          <w:iCs/>
          <w:noProof/>
          <w:sz w:val="24"/>
        </w:rPr>
        <w:t>Brain</w:t>
      </w:r>
      <w:r w:rsidRPr="00244D32">
        <w:rPr>
          <w:noProof/>
          <w:sz w:val="24"/>
        </w:rPr>
        <w:t>, 132, pp.645–660.</w:t>
      </w:r>
    </w:p>
    <w:p w14:paraId="49BFD122" w14:textId="1CF1C7AE" w:rsidR="00244D32" w:rsidRPr="00244D32" w:rsidRDefault="00244D32">
      <w:pPr>
        <w:pStyle w:val="NormalWeb"/>
        <w:ind w:left="480" w:hanging="480"/>
        <w:divId w:val="1629242513"/>
        <w:rPr>
          <w:noProof/>
          <w:sz w:val="24"/>
        </w:rPr>
      </w:pPr>
      <w:r w:rsidRPr="00244D32">
        <w:rPr>
          <w:noProof/>
          <w:sz w:val="24"/>
        </w:rPr>
        <w:t xml:space="preserve">Marshall, L. et al., 2005. Bifrontal transcranial direct current stimulation slows reaction time in a working memory task. </w:t>
      </w:r>
      <w:r w:rsidR="000F61EA">
        <w:rPr>
          <w:i/>
          <w:noProof/>
          <w:sz w:val="24"/>
        </w:rPr>
        <w:t>BMC Neurosci</w:t>
      </w:r>
      <w:r w:rsidRPr="00244D32">
        <w:rPr>
          <w:noProof/>
          <w:sz w:val="24"/>
        </w:rPr>
        <w:t>, 7, pp.1–7.</w:t>
      </w:r>
    </w:p>
    <w:p w14:paraId="5EC6DD3E" w14:textId="280BD39C" w:rsidR="00244D32" w:rsidRPr="00244D32" w:rsidRDefault="00244D32">
      <w:pPr>
        <w:pStyle w:val="NormalWeb"/>
        <w:ind w:left="480" w:hanging="480"/>
        <w:divId w:val="1629242513"/>
        <w:rPr>
          <w:noProof/>
          <w:sz w:val="24"/>
        </w:rPr>
      </w:pPr>
      <w:r w:rsidRPr="00244D32">
        <w:rPr>
          <w:noProof/>
          <w:sz w:val="24"/>
        </w:rPr>
        <w:t xml:space="preserve">Mcintire, L.K. et al., 2014. Brain Stimulation A Comparison of the Effects of Transcranial Direct Current Stimulation and Caffeine on Vigilance and Cognitive Performance During Extended Wakefulness. </w:t>
      </w:r>
      <w:r w:rsidRPr="00244D32">
        <w:rPr>
          <w:i/>
          <w:iCs/>
          <w:noProof/>
          <w:sz w:val="24"/>
        </w:rPr>
        <w:t>Brain Stimulation</w:t>
      </w:r>
      <w:r w:rsidRPr="00244D32">
        <w:rPr>
          <w:noProof/>
          <w:sz w:val="24"/>
        </w:rPr>
        <w:t xml:space="preserve">, 7(4), pp.499–507. </w:t>
      </w:r>
    </w:p>
    <w:p w14:paraId="0E226FD7" w14:textId="77777777" w:rsidR="00244D32" w:rsidRPr="00244D32" w:rsidRDefault="00244D32">
      <w:pPr>
        <w:pStyle w:val="NormalWeb"/>
        <w:ind w:left="480" w:hanging="480"/>
        <w:divId w:val="1629242513"/>
        <w:rPr>
          <w:noProof/>
          <w:sz w:val="24"/>
        </w:rPr>
      </w:pPr>
      <w:r w:rsidRPr="00244D32">
        <w:rPr>
          <w:noProof/>
          <w:sz w:val="24"/>
        </w:rPr>
        <w:t xml:space="preserve">Milner, B., 1971. Interhemispheric differences in the localization of psychological processes in man. </w:t>
      </w:r>
      <w:r w:rsidRPr="00244D32">
        <w:rPr>
          <w:i/>
          <w:iCs/>
          <w:noProof/>
          <w:sz w:val="24"/>
        </w:rPr>
        <w:t>British medical bulletin</w:t>
      </w:r>
      <w:r w:rsidRPr="00244D32">
        <w:rPr>
          <w:noProof/>
          <w:sz w:val="24"/>
        </w:rPr>
        <w:t>, 27, pp.272–277.</w:t>
      </w:r>
    </w:p>
    <w:p w14:paraId="5A293630" w14:textId="77777777" w:rsidR="00244D32" w:rsidRPr="00244D32" w:rsidRDefault="00244D32">
      <w:pPr>
        <w:pStyle w:val="NormalWeb"/>
        <w:ind w:left="480" w:hanging="480"/>
        <w:divId w:val="1629242513"/>
        <w:rPr>
          <w:noProof/>
          <w:sz w:val="24"/>
        </w:rPr>
      </w:pPr>
      <w:r w:rsidRPr="00244D32">
        <w:rPr>
          <w:noProof/>
          <w:sz w:val="24"/>
        </w:rPr>
        <w:t xml:space="preserve">Mort, D.J. et al., 2003. The anatomy of visual neglect. </w:t>
      </w:r>
      <w:r w:rsidRPr="00244D32">
        <w:rPr>
          <w:i/>
          <w:iCs/>
          <w:noProof/>
          <w:sz w:val="24"/>
        </w:rPr>
        <w:t>Brain</w:t>
      </w:r>
      <w:r w:rsidRPr="00244D32">
        <w:rPr>
          <w:noProof/>
          <w:sz w:val="24"/>
        </w:rPr>
        <w:t>, 126(9), pp.1986–1997.</w:t>
      </w:r>
    </w:p>
    <w:p w14:paraId="7A10BA48" w14:textId="77777777" w:rsidR="00244D32" w:rsidRPr="00244D32" w:rsidRDefault="00244D32">
      <w:pPr>
        <w:pStyle w:val="NormalWeb"/>
        <w:ind w:left="480" w:hanging="480"/>
        <w:divId w:val="1629242513"/>
        <w:rPr>
          <w:noProof/>
          <w:sz w:val="24"/>
        </w:rPr>
      </w:pPr>
      <w:r w:rsidRPr="00244D32">
        <w:rPr>
          <w:noProof/>
          <w:sz w:val="24"/>
        </w:rPr>
        <w:t xml:space="preserve">Moyer, R.S. &amp; Landauer, T.K., 1967. Time required for judgements of numerical inequality. </w:t>
      </w:r>
      <w:r w:rsidRPr="00244D32">
        <w:rPr>
          <w:i/>
          <w:iCs/>
          <w:noProof/>
          <w:sz w:val="24"/>
        </w:rPr>
        <w:t>Nature</w:t>
      </w:r>
      <w:r w:rsidRPr="00244D32">
        <w:rPr>
          <w:noProof/>
          <w:sz w:val="24"/>
        </w:rPr>
        <w:t>, 215(5109), pp.1519–1520.</w:t>
      </w:r>
    </w:p>
    <w:p w14:paraId="6EC75D1B" w14:textId="68C1CF60" w:rsidR="00244D32" w:rsidRPr="00244D32" w:rsidRDefault="00244D32">
      <w:pPr>
        <w:pStyle w:val="NormalWeb"/>
        <w:ind w:left="480" w:hanging="480"/>
        <w:divId w:val="1629242513"/>
        <w:rPr>
          <w:noProof/>
          <w:sz w:val="24"/>
        </w:rPr>
      </w:pPr>
      <w:r w:rsidRPr="00244D32">
        <w:rPr>
          <w:noProof/>
          <w:sz w:val="24"/>
        </w:rPr>
        <w:t xml:space="preserve">Mussolin, C. et al., 2013. Neural correlates of the numerical distance effect in children. </w:t>
      </w:r>
      <w:r w:rsidRPr="00244D32">
        <w:rPr>
          <w:i/>
          <w:iCs/>
          <w:noProof/>
          <w:sz w:val="24"/>
        </w:rPr>
        <w:t>Frontiers in psychology</w:t>
      </w:r>
      <w:r w:rsidRPr="00244D32">
        <w:rPr>
          <w:noProof/>
          <w:sz w:val="24"/>
        </w:rPr>
        <w:t xml:space="preserve">, 4(October), p.663. </w:t>
      </w:r>
    </w:p>
    <w:p w14:paraId="714BC5DF" w14:textId="05DDAEC0" w:rsidR="00244D32" w:rsidRPr="00244D32" w:rsidRDefault="00244D32">
      <w:pPr>
        <w:pStyle w:val="NormalWeb"/>
        <w:ind w:left="480" w:hanging="480"/>
        <w:divId w:val="1629242513"/>
        <w:rPr>
          <w:noProof/>
          <w:sz w:val="24"/>
        </w:rPr>
      </w:pPr>
      <w:r w:rsidRPr="00244D32">
        <w:rPr>
          <w:noProof/>
          <w:sz w:val="24"/>
        </w:rPr>
        <w:t xml:space="preserve">Nelson, J.T. et al., 2013. Enhancing vigilance in operators with prefrontal cortex transcranial direct current stimulation ( tDCS ). </w:t>
      </w:r>
      <w:r w:rsidRPr="00244D32">
        <w:rPr>
          <w:i/>
          <w:iCs/>
          <w:noProof/>
          <w:sz w:val="24"/>
        </w:rPr>
        <w:t>NeuroImage</w:t>
      </w:r>
      <w:r w:rsidR="0030421A">
        <w:rPr>
          <w:noProof/>
          <w:sz w:val="24"/>
        </w:rPr>
        <w:t>, 85(3), pp909-917</w:t>
      </w:r>
      <w:r w:rsidR="0030421A">
        <w:rPr>
          <w:i/>
          <w:noProof/>
          <w:sz w:val="24"/>
        </w:rPr>
        <w:t xml:space="preserve"> </w:t>
      </w:r>
      <w:r w:rsidRPr="00244D32">
        <w:rPr>
          <w:noProof/>
          <w:sz w:val="24"/>
        </w:rPr>
        <w:t xml:space="preserve"> </w:t>
      </w:r>
    </w:p>
    <w:p w14:paraId="02F2FFF7" w14:textId="77777777" w:rsidR="00244D32" w:rsidRPr="00244D32" w:rsidRDefault="00244D32">
      <w:pPr>
        <w:pStyle w:val="NormalWeb"/>
        <w:ind w:left="480" w:hanging="480"/>
        <w:divId w:val="1629242513"/>
        <w:rPr>
          <w:noProof/>
          <w:sz w:val="24"/>
        </w:rPr>
      </w:pPr>
      <w:r w:rsidRPr="00244D32">
        <w:rPr>
          <w:noProof/>
          <w:sz w:val="24"/>
        </w:rPr>
        <w:t xml:space="preserve">Nitsche, M.A. &amp; Paulus, W., 2000. Excitability changes induced in the human motor cortex by weak transcranial direct current stimulation. </w:t>
      </w:r>
      <w:r w:rsidRPr="00244D32">
        <w:rPr>
          <w:i/>
          <w:iCs/>
          <w:noProof/>
          <w:sz w:val="24"/>
        </w:rPr>
        <w:t>Journal of Physiology</w:t>
      </w:r>
      <w:r w:rsidRPr="00244D32">
        <w:rPr>
          <w:noProof/>
          <w:sz w:val="24"/>
        </w:rPr>
        <w:t>, 527(3), pp.633–639.</w:t>
      </w:r>
    </w:p>
    <w:p w14:paraId="3F525543" w14:textId="12348630" w:rsidR="00244D32" w:rsidRPr="00244D32" w:rsidRDefault="00244D32">
      <w:pPr>
        <w:pStyle w:val="NormalWeb"/>
        <w:ind w:left="480" w:hanging="480"/>
        <w:divId w:val="1629242513"/>
        <w:rPr>
          <w:noProof/>
          <w:sz w:val="24"/>
        </w:rPr>
      </w:pPr>
      <w:r w:rsidRPr="00244D32">
        <w:rPr>
          <w:noProof/>
          <w:sz w:val="24"/>
        </w:rPr>
        <w:t xml:space="preserve">Nitsche, M.A. &amp; Paulus, W., 2000. Excitability changes induced in the human motor cortex by weak transcranial direct current stimulation. </w:t>
      </w:r>
      <w:r w:rsidRPr="00244D32">
        <w:rPr>
          <w:i/>
          <w:iCs/>
          <w:noProof/>
          <w:sz w:val="24"/>
        </w:rPr>
        <w:t>J Physiol</w:t>
      </w:r>
      <w:r w:rsidRPr="00244D32">
        <w:rPr>
          <w:noProof/>
          <w:sz w:val="24"/>
        </w:rPr>
        <w:t xml:space="preserve">, 527 Pt 3, pp.633–639. </w:t>
      </w:r>
    </w:p>
    <w:p w14:paraId="549DBD76" w14:textId="77777777" w:rsidR="00244D32" w:rsidRPr="00244D32" w:rsidRDefault="00244D32">
      <w:pPr>
        <w:pStyle w:val="NormalWeb"/>
        <w:ind w:left="480" w:hanging="480"/>
        <w:divId w:val="1629242513"/>
        <w:rPr>
          <w:noProof/>
          <w:sz w:val="24"/>
        </w:rPr>
      </w:pPr>
      <w:r w:rsidRPr="00244D32">
        <w:rPr>
          <w:noProof/>
          <w:sz w:val="24"/>
        </w:rPr>
        <w:t xml:space="preserve">Notebaert, K., Pesenti, M. &amp; Reynvoet, B., 2010. The neural origin of the priming distance effect: Distance-dependent recovery of parietal activation using symbolic magnitudes. </w:t>
      </w:r>
      <w:r w:rsidRPr="00244D32">
        <w:rPr>
          <w:i/>
          <w:iCs/>
          <w:noProof/>
          <w:sz w:val="24"/>
        </w:rPr>
        <w:t>Human Brain Mapping</w:t>
      </w:r>
      <w:r w:rsidRPr="00244D32">
        <w:rPr>
          <w:noProof/>
          <w:sz w:val="24"/>
        </w:rPr>
        <w:t>, 31(5), pp.669–677.</w:t>
      </w:r>
    </w:p>
    <w:p w14:paraId="427A4BB5" w14:textId="040C88BA" w:rsidR="00244D32" w:rsidRPr="00244D32" w:rsidRDefault="00244D32">
      <w:pPr>
        <w:pStyle w:val="NormalWeb"/>
        <w:ind w:left="480" w:hanging="480"/>
        <w:divId w:val="1629242513"/>
        <w:rPr>
          <w:noProof/>
          <w:sz w:val="24"/>
        </w:rPr>
      </w:pPr>
      <w:r w:rsidRPr="00244D32">
        <w:rPr>
          <w:noProof/>
          <w:sz w:val="24"/>
        </w:rPr>
        <w:t xml:space="preserve">Oldfield, R.C., 1971. The assessment and analysis of handedness: the Edinburgh inventory. </w:t>
      </w:r>
      <w:r w:rsidRPr="00244D32">
        <w:rPr>
          <w:i/>
          <w:iCs/>
          <w:noProof/>
          <w:sz w:val="24"/>
        </w:rPr>
        <w:t>Neuropsychologia</w:t>
      </w:r>
      <w:r w:rsidRPr="00244D32">
        <w:rPr>
          <w:noProof/>
          <w:sz w:val="24"/>
        </w:rPr>
        <w:t xml:space="preserve">, 9, pp.97–113. </w:t>
      </w:r>
    </w:p>
    <w:p w14:paraId="68B7318C" w14:textId="77777777" w:rsidR="00244D32" w:rsidRPr="00244D32" w:rsidRDefault="00244D32">
      <w:pPr>
        <w:pStyle w:val="NormalWeb"/>
        <w:ind w:left="480" w:hanging="480"/>
        <w:divId w:val="1629242513"/>
        <w:rPr>
          <w:noProof/>
          <w:sz w:val="24"/>
        </w:rPr>
      </w:pPr>
      <w:r w:rsidRPr="00244D32">
        <w:rPr>
          <w:noProof/>
          <w:sz w:val="24"/>
        </w:rPr>
        <w:t xml:space="preserve">Parasuraman, R., 1979. Memory load and event rate control sensitivity decrements in sustained attention. </w:t>
      </w:r>
      <w:r w:rsidRPr="00244D32">
        <w:rPr>
          <w:i/>
          <w:iCs/>
          <w:noProof/>
          <w:sz w:val="24"/>
        </w:rPr>
        <w:t>Science</w:t>
      </w:r>
      <w:r w:rsidRPr="00244D32">
        <w:rPr>
          <w:noProof/>
          <w:sz w:val="24"/>
        </w:rPr>
        <w:t>, 205(4409), pp.924–927.</w:t>
      </w:r>
    </w:p>
    <w:p w14:paraId="56F4BD0C" w14:textId="77777777" w:rsidR="00244D32" w:rsidRPr="00244D32" w:rsidRDefault="00244D32">
      <w:pPr>
        <w:pStyle w:val="NormalWeb"/>
        <w:ind w:left="480" w:hanging="480"/>
        <w:divId w:val="1629242513"/>
        <w:rPr>
          <w:noProof/>
          <w:sz w:val="24"/>
        </w:rPr>
      </w:pPr>
      <w:r w:rsidRPr="00244D32">
        <w:rPr>
          <w:noProof/>
          <w:sz w:val="24"/>
        </w:rPr>
        <w:t xml:space="preserve">Parasuraman, R., 1998. The attentive brain: issues and prospects. In </w:t>
      </w:r>
      <w:r w:rsidRPr="00244D32">
        <w:rPr>
          <w:i/>
          <w:iCs/>
          <w:noProof/>
          <w:sz w:val="24"/>
        </w:rPr>
        <w:t>The attentive brain</w:t>
      </w:r>
      <w:r w:rsidRPr="00244D32">
        <w:rPr>
          <w:noProof/>
          <w:sz w:val="24"/>
        </w:rPr>
        <w:t>. Cambridge, MA: MIT Press, pp. 3–15.</w:t>
      </w:r>
    </w:p>
    <w:p w14:paraId="06055280" w14:textId="77777777" w:rsidR="00244D32" w:rsidRPr="00244D32" w:rsidRDefault="00244D32">
      <w:pPr>
        <w:pStyle w:val="NormalWeb"/>
        <w:ind w:left="480" w:hanging="480"/>
        <w:divId w:val="1629242513"/>
        <w:rPr>
          <w:noProof/>
          <w:sz w:val="24"/>
        </w:rPr>
      </w:pPr>
      <w:r w:rsidRPr="00244D32">
        <w:rPr>
          <w:noProof/>
          <w:sz w:val="24"/>
        </w:rPr>
        <w:t xml:space="preserve">Penfield, W. &amp; Jasper, H., 1954. Epilepsy and the Functional Anatomy of the Human Brain. In </w:t>
      </w:r>
      <w:r w:rsidRPr="00244D32">
        <w:rPr>
          <w:i/>
          <w:iCs/>
          <w:noProof/>
          <w:sz w:val="24"/>
        </w:rPr>
        <w:t>Epilepsy and the functional anatomy of the human brain</w:t>
      </w:r>
      <w:r w:rsidRPr="00244D32">
        <w:rPr>
          <w:noProof/>
          <w:sz w:val="24"/>
        </w:rPr>
        <w:t>.</w:t>
      </w:r>
    </w:p>
    <w:p w14:paraId="153AA383" w14:textId="77777777" w:rsidR="00244D32" w:rsidRPr="00244D32" w:rsidRDefault="00244D32">
      <w:pPr>
        <w:pStyle w:val="NormalWeb"/>
        <w:ind w:left="480" w:hanging="480"/>
        <w:divId w:val="1629242513"/>
        <w:rPr>
          <w:noProof/>
          <w:sz w:val="24"/>
        </w:rPr>
      </w:pPr>
      <w:r w:rsidRPr="00244D32">
        <w:rPr>
          <w:noProof/>
          <w:sz w:val="24"/>
        </w:rPr>
        <w:t xml:space="preserve">Piazza, M. et al., 2004. Tuning curves for approximate numerosity in the human intraparietal sulcus. </w:t>
      </w:r>
      <w:r w:rsidRPr="00244D32">
        <w:rPr>
          <w:i/>
          <w:iCs/>
          <w:noProof/>
          <w:sz w:val="24"/>
        </w:rPr>
        <w:t>Neuron</w:t>
      </w:r>
      <w:r w:rsidRPr="00244D32">
        <w:rPr>
          <w:noProof/>
          <w:sz w:val="24"/>
        </w:rPr>
        <w:t>, 44(3), pp.547–555.</w:t>
      </w:r>
    </w:p>
    <w:p w14:paraId="059F961C" w14:textId="77777777" w:rsidR="00244D32" w:rsidRPr="00244D32" w:rsidRDefault="00244D32">
      <w:pPr>
        <w:pStyle w:val="NormalWeb"/>
        <w:ind w:left="480" w:hanging="480"/>
        <w:divId w:val="1629242513"/>
        <w:rPr>
          <w:noProof/>
          <w:sz w:val="24"/>
        </w:rPr>
      </w:pPr>
      <w:r w:rsidRPr="00244D32">
        <w:rPr>
          <w:noProof/>
          <w:sz w:val="24"/>
        </w:rPr>
        <w:t xml:space="preserve">Pinel, P. et al., 2001. Modulation of parietal activation by semantic distance in a number comparison task. </w:t>
      </w:r>
      <w:r w:rsidRPr="00244D32">
        <w:rPr>
          <w:i/>
          <w:iCs/>
          <w:noProof/>
          <w:sz w:val="24"/>
        </w:rPr>
        <w:t>NeuroImage</w:t>
      </w:r>
      <w:r w:rsidRPr="00244D32">
        <w:rPr>
          <w:noProof/>
          <w:sz w:val="24"/>
        </w:rPr>
        <w:t>, 14(5), pp.1013–1026.</w:t>
      </w:r>
    </w:p>
    <w:p w14:paraId="564E6884" w14:textId="77777777" w:rsidR="00244D32" w:rsidRPr="00244D32" w:rsidRDefault="00244D32">
      <w:pPr>
        <w:pStyle w:val="NormalWeb"/>
        <w:ind w:left="480" w:hanging="480"/>
        <w:divId w:val="1629242513"/>
        <w:rPr>
          <w:noProof/>
          <w:sz w:val="24"/>
        </w:rPr>
      </w:pPr>
      <w:r w:rsidRPr="00244D32">
        <w:rPr>
          <w:noProof/>
          <w:sz w:val="24"/>
        </w:rPr>
        <w:t>Posner, M.I., Nissen, M.J. &amp; Ogden, W.C., 1978. Attended and Unattended Processing Modes</w:t>
      </w:r>
      <w:r w:rsidRPr="00244D32">
        <w:rPr>
          <w:rFonts w:ascii="Times New Roman" w:hAnsi="Times New Roman"/>
          <w:noProof/>
          <w:sz w:val="24"/>
        </w:rPr>
        <w:t> </w:t>
      </w:r>
      <w:r w:rsidRPr="00244D32">
        <w:rPr>
          <w:noProof/>
          <w:sz w:val="24"/>
        </w:rPr>
        <w:t xml:space="preserve">: The Role of Set for Spatial Location. In E. Saltzman &amp; H. L. Pick Jr., eds. </w:t>
      </w:r>
      <w:r w:rsidRPr="00244D32">
        <w:rPr>
          <w:i/>
          <w:iCs/>
          <w:noProof/>
          <w:sz w:val="24"/>
        </w:rPr>
        <w:t>Modes of Perceiving and Processing Information</w:t>
      </w:r>
      <w:r w:rsidRPr="00244D32">
        <w:rPr>
          <w:noProof/>
          <w:sz w:val="24"/>
        </w:rPr>
        <w:t>. Hillsdale, New Jersey: Lawrence Erlbaum Associates, pp. 137–156.</w:t>
      </w:r>
    </w:p>
    <w:p w14:paraId="190C8093" w14:textId="15E2AE41" w:rsidR="00244D32" w:rsidRPr="00244D32" w:rsidRDefault="00244D32">
      <w:pPr>
        <w:pStyle w:val="NormalWeb"/>
        <w:ind w:left="480" w:hanging="480"/>
        <w:divId w:val="1629242513"/>
        <w:rPr>
          <w:noProof/>
          <w:sz w:val="24"/>
        </w:rPr>
      </w:pPr>
      <w:r w:rsidRPr="00244D32">
        <w:rPr>
          <w:noProof/>
          <w:sz w:val="24"/>
        </w:rPr>
        <w:t xml:space="preserve">Posner, M.I., Snyder, C.R.R. &amp; Davidson, B.J., 1980. Attention and the Detection of Signals. </w:t>
      </w:r>
      <w:r w:rsidR="00863A84">
        <w:rPr>
          <w:i/>
          <w:noProof/>
          <w:sz w:val="24"/>
        </w:rPr>
        <w:t>Journal of Experimental Psychology</w:t>
      </w:r>
      <w:r w:rsidRPr="00244D32">
        <w:rPr>
          <w:noProof/>
          <w:sz w:val="24"/>
        </w:rPr>
        <w:t>, 109(2), pp.160–174.</w:t>
      </w:r>
    </w:p>
    <w:p w14:paraId="0FAD3B1B" w14:textId="6DF80EE6" w:rsidR="00244D32" w:rsidRPr="00244D32" w:rsidRDefault="00244D32">
      <w:pPr>
        <w:pStyle w:val="NormalWeb"/>
        <w:ind w:left="480" w:hanging="480"/>
        <w:divId w:val="1629242513"/>
        <w:rPr>
          <w:noProof/>
          <w:sz w:val="24"/>
        </w:rPr>
      </w:pPr>
      <w:r w:rsidRPr="00244D32">
        <w:rPr>
          <w:noProof/>
          <w:sz w:val="24"/>
        </w:rPr>
        <w:t xml:space="preserve">Price, G.R. &amp; Ansari, D., 2011. Symbol processing in the left angular gyrus: Evidence from passive perception of digits. </w:t>
      </w:r>
      <w:r w:rsidRPr="00244D32">
        <w:rPr>
          <w:i/>
          <w:iCs/>
          <w:noProof/>
          <w:sz w:val="24"/>
        </w:rPr>
        <w:t>NeuroImage</w:t>
      </w:r>
      <w:r w:rsidRPr="00244D32">
        <w:rPr>
          <w:noProof/>
          <w:sz w:val="24"/>
        </w:rPr>
        <w:t>, 57(3), pp.1205–1211.</w:t>
      </w:r>
    </w:p>
    <w:p w14:paraId="03C13B07" w14:textId="77777777" w:rsidR="00244D32" w:rsidRPr="00244D32" w:rsidRDefault="00244D32">
      <w:pPr>
        <w:pStyle w:val="NormalWeb"/>
        <w:ind w:left="480" w:hanging="480"/>
        <w:divId w:val="1629242513"/>
        <w:rPr>
          <w:noProof/>
          <w:sz w:val="24"/>
        </w:rPr>
      </w:pPr>
      <w:r w:rsidRPr="00244D32">
        <w:rPr>
          <w:noProof/>
          <w:sz w:val="24"/>
        </w:rPr>
        <w:t xml:space="preserve">Rivera, S.M. et al., 2005. Developmental changes in mental arithmetic: Evidence for increased functional specialization in the left inferior parietal cortex. </w:t>
      </w:r>
      <w:r w:rsidRPr="00244D32">
        <w:rPr>
          <w:i/>
          <w:iCs/>
          <w:noProof/>
          <w:sz w:val="24"/>
        </w:rPr>
        <w:t>Cerebral Cortex</w:t>
      </w:r>
      <w:r w:rsidRPr="00244D32">
        <w:rPr>
          <w:noProof/>
          <w:sz w:val="24"/>
        </w:rPr>
        <w:t>, 15(November), pp.1779–1790.</w:t>
      </w:r>
    </w:p>
    <w:p w14:paraId="27022235" w14:textId="77777777" w:rsidR="00244D32" w:rsidRPr="00244D32" w:rsidRDefault="00244D32">
      <w:pPr>
        <w:pStyle w:val="NormalWeb"/>
        <w:ind w:left="480" w:hanging="480"/>
        <w:divId w:val="1629242513"/>
        <w:rPr>
          <w:noProof/>
          <w:sz w:val="24"/>
        </w:rPr>
      </w:pPr>
      <w:r w:rsidRPr="00244D32">
        <w:rPr>
          <w:noProof/>
          <w:sz w:val="24"/>
        </w:rPr>
        <w:t xml:space="preserve">Robertson, I.H. et al., 1997. “Oops!”: Performance correlates of everyday attentional failures in traumatic brain injured and normal subjects. </w:t>
      </w:r>
      <w:r w:rsidRPr="00244D32">
        <w:rPr>
          <w:i/>
          <w:iCs/>
          <w:noProof/>
          <w:sz w:val="24"/>
        </w:rPr>
        <w:t>Neuropsychologia</w:t>
      </w:r>
      <w:r w:rsidRPr="00244D32">
        <w:rPr>
          <w:noProof/>
          <w:sz w:val="24"/>
        </w:rPr>
        <w:t>, 35(6), pp.747–758.</w:t>
      </w:r>
    </w:p>
    <w:p w14:paraId="17E71A9B" w14:textId="77777777" w:rsidR="00244D32" w:rsidRPr="00244D32" w:rsidRDefault="00244D32">
      <w:pPr>
        <w:pStyle w:val="NormalWeb"/>
        <w:ind w:left="480" w:hanging="480"/>
        <w:divId w:val="1629242513"/>
        <w:rPr>
          <w:noProof/>
          <w:sz w:val="24"/>
        </w:rPr>
      </w:pPr>
      <w:r w:rsidRPr="00244D32">
        <w:rPr>
          <w:noProof/>
          <w:sz w:val="24"/>
        </w:rPr>
        <w:t>Sahgal, A., 1987. Some limitations of indices derived from signal detection theory</w:t>
      </w:r>
      <w:r w:rsidRPr="00244D32">
        <w:rPr>
          <w:rFonts w:ascii="Times New Roman" w:hAnsi="Times New Roman"/>
          <w:noProof/>
          <w:sz w:val="24"/>
        </w:rPr>
        <w:t> </w:t>
      </w:r>
      <w:r w:rsidRPr="00244D32">
        <w:rPr>
          <w:noProof/>
          <w:sz w:val="24"/>
        </w:rPr>
        <w:t xml:space="preserve">: evaluation of an alternative index for measuring bias in memory tasks. </w:t>
      </w:r>
      <w:r w:rsidRPr="00244D32">
        <w:rPr>
          <w:i/>
          <w:iCs/>
          <w:noProof/>
          <w:sz w:val="24"/>
        </w:rPr>
        <w:t>Psychopharmacology</w:t>
      </w:r>
      <w:r w:rsidRPr="00244D32">
        <w:rPr>
          <w:noProof/>
          <w:sz w:val="24"/>
        </w:rPr>
        <w:t>, 91, pp.517–520.</w:t>
      </w:r>
    </w:p>
    <w:p w14:paraId="17F46D80" w14:textId="60607FD2" w:rsidR="00244D32" w:rsidRPr="00244D32" w:rsidRDefault="00244D32">
      <w:pPr>
        <w:pStyle w:val="NormalWeb"/>
        <w:ind w:left="480" w:hanging="480"/>
        <w:divId w:val="1629242513"/>
        <w:rPr>
          <w:noProof/>
          <w:sz w:val="24"/>
        </w:rPr>
      </w:pPr>
      <w:r w:rsidRPr="00244D32">
        <w:rPr>
          <w:noProof/>
          <w:sz w:val="24"/>
        </w:rPr>
        <w:t xml:space="preserve">Sandrini, M. et al., 2012. Double dissociation of working memory load effects induced by bilateral parietal modulation. </w:t>
      </w:r>
      <w:r w:rsidRPr="00244D32">
        <w:rPr>
          <w:i/>
          <w:iCs/>
          <w:noProof/>
          <w:sz w:val="24"/>
        </w:rPr>
        <w:t>Neuropsychologia</w:t>
      </w:r>
      <w:r w:rsidRPr="00244D32">
        <w:rPr>
          <w:noProof/>
          <w:sz w:val="24"/>
        </w:rPr>
        <w:t xml:space="preserve">, 50(3), pp.396–402. </w:t>
      </w:r>
    </w:p>
    <w:p w14:paraId="17197C07" w14:textId="71147546" w:rsidR="00244D32" w:rsidRPr="00244D32" w:rsidRDefault="00244D32">
      <w:pPr>
        <w:pStyle w:val="NormalWeb"/>
        <w:ind w:left="480" w:hanging="480"/>
        <w:divId w:val="1629242513"/>
        <w:rPr>
          <w:noProof/>
          <w:sz w:val="24"/>
        </w:rPr>
      </w:pPr>
      <w:r w:rsidRPr="00244D32">
        <w:rPr>
          <w:noProof/>
          <w:sz w:val="24"/>
        </w:rPr>
        <w:t xml:space="preserve">Sandrini, M., Rossini, P.M. &amp; Miniussi, C., 2004. The differential involvement of inferior parietal lobule in number comparison: a rTMS study. </w:t>
      </w:r>
      <w:r w:rsidRPr="00244D32">
        <w:rPr>
          <w:i/>
          <w:iCs/>
          <w:noProof/>
          <w:sz w:val="24"/>
        </w:rPr>
        <w:t>Neuropsychologia</w:t>
      </w:r>
      <w:r w:rsidRPr="00244D32">
        <w:rPr>
          <w:noProof/>
          <w:sz w:val="24"/>
        </w:rPr>
        <w:t xml:space="preserve">, 42, pp.1902–1909. </w:t>
      </w:r>
    </w:p>
    <w:p w14:paraId="47B7D8AE" w14:textId="77777777" w:rsidR="00244D32" w:rsidRPr="00244D32" w:rsidRDefault="00244D32">
      <w:pPr>
        <w:pStyle w:val="NormalWeb"/>
        <w:ind w:left="480" w:hanging="480"/>
        <w:divId w:val="1629242513"/>
        <w:rPr>
          <w:noProof/>
          <w:sz w:val="24"/>
        </w:rPr>
      </w:pPr>
      <w:r w:rsidRPr="00244D32">
        <w:rPr>
          <w:noProof/>
          <w:sz w:val="24"/>
        </w:rPr>
        <w:t xml:space="preserve">Sarter, M., Givens, B. &amp; Bruno, J.P., 2001. The cognitive neuroscience of sustained attention: Where top-down meets bottom-up. </w:t>
      </w:r>
      <w:r w:rsidRPr="00244D32">
        <w:rPr>
          <w:i/>
          <w:iCs/>
          <w:noProof/>
          <w:sz w:val="24"/>
        </w:rPr>
        <w:t>Brain Research Reviews</w:t>
      </w:r>
      <w:r w:rsidRPr="00244D32">
        <w:rPr>
          <w:noProof/>
          <w:sz w:val="24"/>
        </w:rPr>
        <w:t>, 35, pp.146–160.</w:t>
      </w:r>
    </w:p>
    <w:p w14:paraId="730077A1" w14:textId="77777777" w:rsidR="00244D32" w:rsidRPr="00244D32" w:rsidRDefault="00244D32">
      <w:pPr>
        <w:pStyle w:val="NormalWeb"/>
        <w:ind w:left="480" w:hanging="480"/>
        <w:divId w:val="1629242513"/>
        <w:rPr>
          <w:noProof/>
          <w:sz w:val="24"/>
        </w:rPr>
      </w:pPr>
      <w:r w:rsidRPr="00244D32">
        <w:rPr>
          <w:noProof/>
          <w:sz w:val="24"/>
        </w:rPr>
        <w:t xml:space="preserve">Siéroff, E. et al., 2007. Impaired orienting of attention in left unilateral neglect: a componential analysis. </w:t>
      </w:r>
      <w:r w:rsidRPr="00244D32">
        <w:rPr>
          <w:i/>
          <w:iCs/>
          <w:noProof/>
          <w:sz w:val="24"/>
        </w:rPr>
        <w:t>Neuropsychology</w:t>
      </w:r>
      <w:r w:rsidRPr="00244D32">
        <w:rPr>
          <w:noProof/>
          <w:sz w:val="24"/>
        </w:rPr>
        <w:t>, 21(1), pp.94–113.</w:t>
      </w:r>
    </w:p>
    <w:p w14:paraId="73FA5552" w14:textId="38E40467" w:rsidR="00244D32" w:rsidRPr="00244D32" w:rsidRDefault="00244D32">
      <w:pPr>
        <w:pStyle w:val="NormalWeb"/>
        <w:ind w:left="480" w:hanging="480"/>
        <w:divId w:val="1629242513"/>
        <w:rPr>
          <w:noProof/>
          <w:sz w:val="24"/>
        </w:rPr>
      </w:pPr>
      <w:r w:rsidRPr="00244D32">
        <w:rPr>
          <w:noProof/>
          <w:sz w:val="24"/>
        </w:rPr>
        <w:t xml:space="preserve">Singh-Curry, V. &amp; Husain, M., 2009. The functional role of the inferior parietal lobe in the dorsal and ventral stream dichotomy. </w:t>
      </w:r>
      <w:r w:rsidRPr="00244D32">
        <w:rPr>
          <w:i/>
          <w:iCs/>
          <w:noProof/>
          <w:sz w:val="24"/>
        </w:rPr>
        <w:t>Neuropsychologia</w:t>
      </w:r>
      <w:r w:rsidRPr="00244D32">
        <w:rPr>
          <w:noProof/>
          <w:sz w:val="24"/>
        </w:rPr>
        <w:t xml:space="preserve">, 47(6), pp.1434–1448. </w:t>
      </w:r>
    </w:p>
    <w:p w14:paraId="65A8121D" w14:textId="77777777" w:rsidR="00244D32" w:rsidRPr="00244D32" w:rsidRDefault="00244D32">
      <w:pPr>
        <w:pStyle w:val="NormalWeb"/>
        <w:ind w:left="480" w:hanging="480"/>
        <w:divId w:val="1629242513"/>
        <w:rPr>
          <w:noProof/>
          <w:sz w:val="24"/>
        </w:rPr>
      </w:pPr>
      <w:r w:rsidRPr="00244D32">
        <w:rPr>
          <w:noProof/>
          <w:sz w:val="24"/>
        </w:rPr>
        <w:t xml:space="preserve">Sparing, R. et al., 2009. Bidirectional alterations of interhemispheric parietal balance by non-invasive cortical. </w:t>
      </w:r>
      <w:r w:rsidRPr="00244D32">
        <w:rPr>
          <w:i/>
          <w:iCs/>
          <w:noProof/>
          <w:sz w:val="24"/>
        </w:rPr>
        <w:t>Brain</w:t>
      </w:r>
      <w:r w:rsidRPr="00244D32">
        <w:rPr>
          <w:noProof/>
          <w:sz w:val="24"/>
        </w:rPr>
        <w:t>.</w:t>
      </w:r>
    </w:p>
    <w:p w14:paraId="7BCBCEF4" w14:textId="1E89B491" w:rsidR="00244D32" w:rsidRPr="00244D32" w:rsidRDefault="00244D32">
      <w:pPr>
        <w:pStyle w:val="NormalWeb"/>
        <w:ind w:left="480" w:hanging="480"/>
        <w:divId w:val="1629242513"/>
        <w:rPr>
          <w:noProof/>
          <w:sz w:val="24"/>
        </w:rPr>
      </w:pPr>
      <w:r w:rsidRPr="00244D32">
        <w:rPr>
          <w:noProof/>
          <w:sz w:val="24"/>
        </w:rPr>
        <w:t xml:space="preserve">Stagg, C.J. et al., 2012. Cortical activation changes underlying stimulation-induced behavioural gains in chronic stroke. </w:t>
      </w:r>
      <w:r w:rsidRPr="00244D32">
        <w:rPr>
          <w:i/>
          <w:iCs/>
          <w:noProof/>
          <w:sz w:val="24"/>
        </w:rPr>
        <w:t>Brain</w:t>
      </w:r>
      <w:r w:rsidRPr="00244D32">
        <w:rPr>
          <w:noProof/>
          <w:sz w:val="24"/>
        </w:rPr>
        <w:t xml:space="preserve">, 135, pp.276–284. </w:t>
      </w:r>
    </w:p>
    <w:p w14:paraId="32B4E949" w14:textId="0709E462" w:rsidR="00244D32" w:rsidRPr="00244D32" w:rsidRDefault="00244D32">
      <w:pPr>
        <w:pStyle w:val="NormalWeb"/>
        <w:ind w:left="480" w:hanging="480"/>
        <w:divId w:val="1629242513"/>
        <w:rPr>
          <w:noProof/>
          <w:sz w:val="24"/>
        </w:rPr>
      </w:pPr>
      <w:r w:rsidRPr="00244D32">
        <w:rPr>
          <w:noProof/>
          <w:sz w:val="24"/>
        </w:rPr>
        <w:t xml:space="preserve">Stagg, C.J. et al., 2011. Polarity and timing-dependent effects of transcranial direct current stimulation in explicit motor learning. </w:t>
      </w:r>
      <w:r w:rsidRPr="00244D32">
        <w:rPr>
          <w:i/>
          <w:iCs/>
          <w:noProof/>
          <w:sz w:val="24"/>
        </w:rPr>
        <w:t>Neuropsychologia</w:t>
      </w:r>
      <w:r w:rsidRPr="00244D32">
        <w:rPr>
          <w:noProof/>
          <w:sz w:val="24"/>
        </w:rPr>
        <w:t xml:space="preserve">, 49(5), pp.800–804. </w:t>
      </w:r>
    </w:p>
    <w:p w14:paraId="61665B80" w14:textId="0C8F767C" w:rsidR="00244D32" w:rsidRPr="00244D32" w:rsidRDefault="00244D32">
      <w:pPr>
        <w:pStyle w:val="NormalWeb"/>
        <w:ind w:left="480" w:hanging="480"/>
        <w:divId w:val="1629242513"/>
        <w:rPr>
          <w:noProof/>
          <w:sz w:val="24"/>
        </w:rPr>
      </w:pPr>
      <w:r w:rsidRPr="00244D32">
        <w:rPr>
          <w:noProof/>
          <w:sz w:val="24"/>
        </w:rPr>
        <w:t xml:space="preserve">Stagg, C.J. &amp; Johansen-berg, H., 2013. Studying the effects of transcranial direct-current stimulation in stroke recovery using magnetic resonance imaging. </w:t>
      </w:r>
      <w:r w:rsidR="006136EE">
        <w:rPr>
          <w:i/>
          <w:noProof/>
          <w:sz w:val="24"/>
        </w:rPr>
        <w:t>Frontiers in Human Neuroscience</w:t>
      </w:r>
      <w:r w:rsidRPr="00244D32">
        <w:rPr>
          <w:noProof/>
          <w:sz w:val="24"/>
        </w:rPr>
        <w:t>, 7(December), pp.1–8.</w:t>
      </w:r>
    </w:p>
    <w:p w14:paraId="2ED1305E" w14:textId="77777777" w:rsidR="00244D32" w:rsidRPr="00244D32" w:rsidRDefault="00244D32">
      <w:pPr>
        <w:pStyle w:val="NormalWeb"/>
        <w:ind w:left="480" w:hanging="480"/>
        <w:divId w:val="1629242513"/>
        <w:rPr>
          <w:noProof/>
          <w:sz w:val="24"/>
        </w:rPr>
      </w:pPr>
      <w:r w:rsidRPr="00244D32">
        <w:rPr>
          <w:noProof/>
          <w:sz w:val="24"/>
        </w:rPr>
        <w:t xml:space="preserve">Stanislaw, H. &amp; Todorov, N., 1999. Calculation of signal detection theory measures. </w:t>
      </w:r>
      <w:r w:rsidRPr="00244D32">
        <w:rPr>
          <w:i/>
          <w:iCs/>
          <w:noProof/>
          <w:sz w:val="24"/>
        </w:rPr>
        <w:t>Behavior Research Methods, Instruments and Computers</w:t>
      </w:r>
      <w:r w:rsidRPr="00244D32">
        <w:rPr>
          <w:noProof/>
          <w:sz w:val="24"/>
        </w:rPr>
        <w:t>, 31(1), pp.137–149.</w:t>
      </w:r>
    </w:p>
    <w:p w14:paraId="2A394B16" w14:textId="77777777" w:rsidR="00244D32" w:rsidRPr="00244D32" w:rsidRDefault="00244D32">
      <w:pPr>
        <w:pStyle w:val="NormalWeb"/>
        <w:ind w:left="480" w:hanging="480"/>
        <w:divId w:val="1629242513"/>
        <w:rPr>
          <w:noProof/>
          <w:sz w:val="24"/>
        </w:rPr>
      </w:pPr>
      <w:r w:rsidRPr="00244D32">
        <w:rPr>
          <w:noProof/>
          <w:sz w:val="24"/>
        </w:rPr>
        <w:t xml:space="preserve">Steinborn, M.B. et al., 2009. Differential effects of prolonged work on performance measures in self-paced speed tests. </w:t>
      </w:r>
      <w:r w:rsidRPr="00244D32">
        <w:rPr>
          <w:i/>
          <w:iCs/>
          <w:noProof/>
          <w:sz w:val="24"/>
        </w:rPr>
        <w:t>Advances in Cognitive Psychology</w:t>
      </w:r>
      <w:r w:rsidRPr="00244D32">
        <w:rPr>
          <w:noProof/>
          <w:sz w:val="24"/>
        </w:rPr>
        <w:t>, 5, pp.105–113.</w:t>
      </w:r>
    </w:p>
    <w:p w14:paraId="730242A9" w14:textId="125D5BAF" w:rsidR="00244D32" w:rsidRPr="00244D32" w:rsidRDefault="00244D32">
      <w:pPr>
        <w:pStyle w:val="NormalWeb"/>
        <w:ind w:left="480" w:hanging="480"/>
        <w:divId w:val="1629242513"/>
        <w:rPr>
          <w:noProof/>
          <w:sz w:val="24"/>
        </w:rPr>
      </w:pPr>
      <w:r w:rsidRPr="00244D32">
        <w:rPr>
          <w:noProof/>
          <w:sz w:val="24"/>
        </w:rPr>
        <w:t xml:space="preserve">Sylvester, C.M. et al., 2007. Asymmetry of anticipatory activity in visual cortex predicts the locus of attention and perception. </w:t>
      </w:r>
      <w:r w:rsidRPr="00244D32">
        <w:rPr>
          <w:i/>
          <w:iCs/>
          <w:noProof/>
          <w:sz w:val="24"/>
        </w:rPr>
        <w:t>J Neurosci</w:t>
      </w:r>
      <w:r w:rsidRPr="00244D32">
        <w:rPr>
          <w:noProof/>
          <w:sz w:val="24"/>
        </w:rPr>
        <w:t xml:space="preserve">, 27, pp.14424–14433. </w:t>
      </w:r>
    </w:p>
    <w:p w14:paraId="38C44C06" w14:textId="2292F948" w:rsidR="00244D32" w:rsidRPr="00244D32" w:rsidRDefault="00244D32">
      <w:pPr>
        <w:pStyle w:val="NormalWeb"/>
        <w:ind w:left="480" w:hanging="480"/>
        <w:divId w:val="1629242513"/>
        <w:rPr>
          <w:noProof/>
          <w:sz w:val="24"/>
        </w:rPr>
      </w:pPr>
      <w:r w:rsidRPr="00244D32">
        <w:rPr>
          <w:noProof/>
          <w:sz w:val="24"/>
        </w:rPr>
        <w:t>Tseng, P. et al., 2012. Unleashing Potential</w:t>
      </w:r>
      <w:r w:rsidRPr="00244D32">
        <w:rPr>
          <w:rFonts w:ascii="Times New Roman" w:hAnsi="Times New Roman"/>
          <w:noProof/>
          <w:sz w:val="24"/>
        </w:rPr>
        <w:t> </w:t>
      </w:r>
      <w:r w:rsidRPr="00244D32">
        <w:rPr>
          <w:noProof/>
          <w:sz w:val="24"/>
        </w:rPr>
        <w:t xml:space="preserve">: Transcranial Direct Current Stimulation over the Right Posterior Parietal Cortex Improves Change Detection in Low-Performing Individuals. </w:t>
      </w:r>
      <w:r w:rsidR="00F366E4">
        <w:rPr>
          <w:i/>
          <w:noProof/>
          <w:sz w:val="24"/>
        </w:rPr>
        <w:t>J Neurosci</w:t>
      </w:r>
      <w:r w:rsidRPr="00244D32">
        <w:rPr>
          <w:noProof/>
          <w:sz w:val="24"/>
        </w:rPr>
        <w:t>, 32(31), pp.10554–10561.</w:t>
      </w:r>
    </w:p>
    <w:p w14:paraId="5DA55B1E" w14:textId="77777777" w:rsidR="00244D32" w:rsidRPr="00244D32" w:rsidRDefault="00244D32">
      <w:pPr>
        <w:pStyle w:val="NormalWeb"/>
        <w:ind w:left="480" w:hanging="480"/>
        <w:divId w:val="1629242513"/>
        <w:rPr>
          <w:noProof/>
          <w:sz w:val="24"/>
        </w:rPr>
      </w:pPr>
      <w:r w:rsidRPr="00244D32">
        <w:rPr>
          <w:noProof/>
          <w:sz w:val="24"/>
        </w:rPr>
        <w:t xml:space="preserve">Vossel, S. et al., 2009. What is “odd” in Posner’s location-cueing paradigm? Neural responses to unexpected location and feature changes compared. </w:t>
      </w:r>
      <w:r w:rsidRPr="00244D32">
        <w:rPr>
          <w:i/>
          <w:iCs/>
          <w:noProof/>
          <w:sz w:val="24"/>
        </w:rPr>
        <w:t>Journal of cognitive neuroscience</w:t>
      </w:r>
      <w:r w:rsidRPr="00244D32">
        <w:rPr>
          <w:noProof/>
          <w:sz w:val="24"/>
        </w:rPr>
        <w:t>, 21(1), pp.30–41.</w:t>
      </w:r>
    </w:p>
    <w:p w14:paraId="2BA57F0B" w14:textId="77777777" w:rsidR="00244D32" w:rsidRPr="00244D32" w:rsidRDefault="00244D32">
      <w:pPr>
        <w:pStyle w:val="NormalWeb"/>
        <w:ind w:left="480" w:hanging="480"/>
        <w:divId w:val="1629242513"/>
        <w:rPr>
          <w:noProof/>
          <w:sz w:val="24"/>
        </w:rPr>
      </w:pPr>
      <w:r w:rsidRPr="00244D32">
        <w:rPr>
          <w:noProof/>
          <w:sz w:val="24"/>
        </w:rPr>
        <w:t xml:space="preserve">Wada, J. &amp; Rasmussen, T., 1960. Intracarotid injectin of sodium amytal for the lateralization of cerebral speech dominance. </w:t>
      </w:r>
      <w:r w:rsidRPr="00244D32">
        <w:rPr>
          <w:i/>
          <w:iCs/>
          <w:noProof/>
          <w:sz w:val="24"/>
        </w:rPr>
        <w:t>Journal of Neurosurgery</w:t>
      </w:r>
      <w:r w:rsidRPr="00244D32">
        <w:rPr>
          <w:noProof/>
          <w:sz w:val="24"/>
        </w:rPr>
        <w:t>, 17, pp.266–282.</w:t>
      </w:r>
    </w:p>
    <w:p w14:paraId="0707871E" w14:textId="77972D80" w:rsidR="00244D32" w:rsidRPr="00244D32" w:rsidRDefault="00244D32">
      <w:pPr>
        <w:pStyle w:val="NormalWeb"/>
        <w:ind w:left="480" w:hanging="480"/>
        <w:divId w:val="1629242513"/>
        <w:rPr>
          <w:noProof/>
          <w:sz w:val="24"/>
        </w:rPr>
      </w:pPr>
      <w:r w:rsidRPr="00244D32">
        <w:rPr>
          <w:noProof/>
          <w:sz w:val="24"/>
        </w:rPr>
        <w:t xml:space="preserve">Wang, D., Buckner, R.L. &amp; Liu, X.H., 2014. Functional Specialization in the Human Brain Estimated By Intrinsic Hemispheric Interaction. </w:t>
      </w:r>
      <w:r w:rsidR="00A5489D">
        <w:rPr>
          <w:i/>
          <w:noProof/>
          <w:sz w:val="24"/>
        </w:rPr>
        <w:t>J Neurosci</w:t>
      </w:r>
      <w:r w:rsidRPr="00244D32">
        <w:rPr>
          <w:noProof/>
          <w:sz w:val="24"/>
        </w:rPr>
        <w:t>, 34(37), pp.12341–12352.</w:t>
      </w:r>
    </w:p>
    <w:p w14:paraId="46D72D44" w14:textId="231F6347" w:rsidR="00244D32" w:rsidRPr="00244D32" w:rsidRDefault="00244D32">
      <w:pPr>
        <w:pStyle w:val="NormalWeb"/>
        <w:ind w:left="480" w:hanging="480"/>
        <w:divId w:val="1629242513"/>
        <w:rPr>
          <w:noProof/>
          <w:sz w:val="24"/>
        </w:rPr>
      </w:pPr>
      <w:r w:rsidRPr="00244D32">
        <w:rPr>
          <w:noProof/>
          <w:sz w:val="24"/>
        </w:rPr>
        <w:t xml:space="preserve">Ward, N.S. et al., 2003. Neural correlates of motor recovery after stroke: a longitudinal fMRI study. </w:t>
      </w:r>
      <w:r w:rsidRPr="00244D32">
        <w:rPr>
          <w:i/>
          <w:iCs/>
          <w:noProof/>
          <w:sz w:val="24"/>
        </w:rPr>
        <w:t>Brain</w:t>
      </w:r>
      <w:r w:rsidR="003D6A17">
        <w:rPr>
          <w:noProof/>
          <w:sz w:val="24"/>
        </w:rPr>
        <w:t>, 126(</w:t>
      </w:r>
      <w:r w:rsidRPr="00244D32">
        <w:rPr>
          <w:noProof/>
          <w:sz w:val="24"/>
        </w:rPr>
        <w:t>11), pp.2476–96.</w:t>
      </w:r>
    </w:p>
    <w:p w14:paraId="47F0595A" w14:textId="766992C2" w:rsidR="00244D32" w:rsidRPr="00244D32" w:rsidRDefault="00244D32">
      <w:pPr>
        <w:pStyle w:val="NormalWeb"/>
        <w:ind w:left="480" w:hanging="480"/>
        <w:divId w:val="1629242513"/>
        <w:rPr>
          <w:noProof/>
          <w:sz w:val="24"/>
        </w:rPr>
      </w:pPr>
      <w:r w:rsidRPr="00244D32">
        <w:rPr>
          <w:noProof/>
          <w:sz w:val="24"/>
        </w:rPr>
        <w:t>Weiss, M. &amp; Lavidor, M., 2012. When Less Is More</w:t>
      </w:r>
      <w:r w:rsidRPr="00244D32">
        <w:rPr>
          <w:rFonts w:ascii="Times New Roman" w:hAnsi="Times New Roman"/>
          <w:noProof/>
          <w:sz w:val="24"/>
        </w:rPr>
        <w:t> </w:t>
      </w:r>
      <w:r w:rsidRPr="00244D32">
        <w:rPr>
          <w:noProof/>
          <w:sz w:val="24"/>
        </w:rPr>
        <w:t xml:space="preserve">: Evidence for a Facilitative Cathodal tDCS Effect in Attentional Abilities. </w:t>
      </w:r>
      <w:r w:rsidR="00F829C7">
        <w:rPr>
          <w:i/>
          <w:noProof/>
          <w:sz w:val="24"/>
        </w:rPr>
        <w:t>J Cogn Neurosci</w:t>
      </w:r>
      <w:r w:rsidRPr="00244D32">
        <w:rPr>
          <w:noProof/>
          <w:sz w:val="24"/>
        </w:rPr>
        <w:t>, pp.1826–1833.</w:t>
      </w:r>
    </w:p>
    <w:p w14:paraId="6AA0AEC1" w14:textId="77777777" w:rsidR="00244D32" w:rsidRPr="00244D32" w:rsidRDefault="00244D32">
      <w:pPr>
        <w:pStyle w:val="NormalWeb"/>
        <w:ind w:left="480" w:hanging="480"/>
        <w:divId w:val="1629242513"/>
        <w:rPr>
          <w:noProof/>
          <w:sz w:val="24"/>
        </w:rPr>
      </w:pPr>
      <w:r w:rsidRPr="00244D32">
        <w:rPr>
          <w:noProof/>
          <w:sz w:val="24"/>
        </w:rPr>
        <w:t xml:space="preserve">World Medical Association, 2004. World Medical Association Declaration of Helsinki: ethical principles for medical research involving human subjects. </w:t>
      </w:r>
      <w:r w:rsidRPr="00244D32">
        <w:rPr>
          <w:i/>
          <w:iCs/>
          <w:noProof/>
          <w:sz w:val="24"/>
        </w:rPr>
        <w:t>JAMA</w:t>
      </w:r>
      <w:r w:rsidRPr="00244D32">
        <w:rPr>
          <w:noProof/>
          <w:sz w:val="24"/>
        </w:rPr>
        <w:t>, 15(1), pp.124–129.</w:t>
      </w:r>
    </w:p>
    <w:p w14:paraId="315D12E2" w14:textId="77777777" w:rsidR="00244D32" w:rsidRPr="00244D32" w:rsidRDefault="00244D32">
      <w:pPr>
        <w:pStyle w:val="NormalWeb"/>
        <w:ind w:left="480" w:hanging="480"/>
        <w:divId w:val="1629242513"/>
        <w:rPr>
          <w:noProof/>
          <w:sz w:val="24"/>
        </w:rPr>
      </w:pPr>
      <w:r w:rsidRPr="00244D32">
        <w:rPr>
          <w:noProof/>
          <w:sz w:val="24"/>
        </w:rPr>
        <w:t xml:space="preserve">Wright, J.M. &amp; Krekelberg, B., 2014. Transcranial direct current stimulation over posterior parietal cortex modulates visuospatial localization. </w:t>
      </w:r>
      <w:r w:rsidRPr="00244D32">
        <w:rPr>
          <w:i/>
          <w:iCs/>
          <w:noProof/>
          <w:sz w:val="24"/>
        </w:rPr>
        <w:t>Journal of Vision</w:t>
      </w:r>
      <w:r w:rsidRPr="00244D32">
        <w:rPr>
          <w:noProof/>
          <w:sz w:val="24"/>
        </w:rPr>
        <w:t>, 14, pp.1–15.</w:t>
      </w:r>
    </w:p>
    <w:p w14:paraId="5AAA29BD" w14:textId="08B04C44" w:rsidR="00244D32" w:rsidRPr="00244D32" w:rsidRDefault="00244D32">
      <w:pPr>
        <w:pStyle w:val="NormalWeb"/>
        <w:ind w:left="480" w:hanging="480"/>
        <w:divId w:val="1629242513"/>
        <w:rPr>
          <w:noProof/>
          <w:sz w:val="24"/>
        </w:rPr>
      </w:pPr>
      <w:r w:rsidRPr="00244D32">
        <w:rPr>
          <w:noProof/>
          <w:sz w:val="24"/>
        </w:rPr>
        <w:t xml:space="preserve">Wu, Y.-J. et al., 2014. Modulating the interference effect on spatial working memory by applying transcranial direct current stimulation over the right dorsolateral prefrontal cortex. </w:t>
      </w:r>
      <w:r w:rsidRPr="00244D32">
        <w:rPr>
          <w:i/>
          <w:iCs/>
          <w:noProof/>
          <w:sz w:val="24"/>
        </w:rPr>
        <w:t>Brain and cognition</w:t>
      </w:r>
      <w:r w:rsidRPr="00244D32">
        <w:rPr>
          <w:noProof/>
          <w:sz w:val="24"/>
        </w:rPr>
        <w:t xml:space="preserve">, 91, pp.87–94. </w:t>
      </w:r>
    </w:p>
    <w:p w14:paraId="4D1015FF" w14:textId="5B1B5B3C" w:rsidR="00244D32" w:rsidRPr="00244D32" w:rsidRDefault="00244D32">
      <w:pPr>
        <w:pStyle w:val="NormalWeb"/>
        <w:ind w:left="480" w:hanging="480"/>
        <w:divId w:val="1629242513"/>
        <w:rPr>
          <w:noProof/>
          <w:sz w:val="24"/>
        </w:rPr>
      </w:pPr>
      <w:r w:rsidRPr="00244D32">
        <w:rPr>
          <w:noProof/>
          <w:sz w:val="24"/>
        </w:rPr>
        <w:t>Zukic, S. et al., 2012. Gerstmann</w:t>
      </w:r>
      <w:r w:rsidR="00A300FE">
        <w:rPr>
          <w:noProof/>
          <w:sz w:val="24"/>
        </w:rPr>
        <w:t>'</w:t>
      </w:r>
      <w:r w:rsidRPr="00244D32">
        <w:rPr>
          <w:noProof/>
          <w:sz w:val="24"/>
        </w:rPr>
        <w:t xml:space="preserve">s Syndrome in Acute Stroke Patients. </w:t>
      </w:r>
      <w:r w:rsidRPr="00244D32">
        <w:rPr>
          <w:i/>
          <w:iCs/>
          <w:noProof/>
          <w:sz w:val="24"/>
        </w:rPr>
        <w:t>Acta Informatica Medica</w:t>
      </w:r>
      <w:r w:rsidRPr="00244D32">
        <w:rPr>
          <w:noProof/>
          <w:sz w:val="24"/>
        </w:rPr>
        <w:t>, 20(September), p.242.</w:t>
      </w:r>
    </w:p>
    <w:p w14:paraId="66BF14AA" w14:textId="0ABE351D" w:rsidR="007750DA" w:rsidRPr="007004E0" w:rsidRDefault="00244D32" w:rsidP="001C0CB4">
      <w:pPr>
        <w:rPr>
          <w:rFonts w:ascii="Times" w:hAnsi="Times" w:cs="Times New Roman"/>
          <w:lang w:val="en-US"/>
        </w:rPr>
      </w:pPr>
      <w:r>
        <w:rPr>
          <w:rFonts w:ascii="Times" w:hAnsi="Times" w:cs="Times New Roman"/>
          <w:lang w:val="en-US"/>
        </w:rPr>
        <w:fldChar w:fldCharType="end"/>
      </w:r>
    </w:p>
    <w:sectPr w:rsidR="007750DA" w:rsidRPr="007004E0" w:rsidSect="002A4BFC">
      <w:pgSz w:w="11900" w:h="16840"/>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C65644" w14:textId="77777777" w:rsidR="00596890" w:rsidRDefault="00596890" w:rsidP="00422201">
      <w:r>
        <w:separator/>
      </w:r>
    </w:p>
  </w:endnote>
  <w:endnote w:type="continuationSeparator" w:id="0">
    <w:p w14:paraId="6E93E122" w14:textId="77777777" w:rsidR="00596890" w:rsidRDefault="00596890" w:rsidP="00422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AE88F9" w14:textId="77777777" w:rsidR="00596890" w:rsidRDefault="00596890" w:rsidP="00422201">
      <w:r>
        <w:separator/>
      </w:r>
    </w:p>
  </w:footnote>
  <w:footnote w:type="continuationSeparator" w:id="0">
    <w:p w14:paraId="6EFE29D9" w14:textId="77777777" w:rsidR="00596890" w:rsidRDefault="00596890" w:rsidP="0042220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E789F"/>
    <w:multiLevelType w:val="hybridMultilevel"/>
    <w:tmpl w:val="F52EA542"/>
    <w:lvl w:ilvl="0" w:tplc="7B9C878E">
      <w:start w:val="5"/>
      <w:numFmt w:val="bullet"/>
      <w:lvlText w:val="-"/>
      <w:lvlJc w:val="left"/>
      <w:pPr>
        <w:ind w:left="720" w:hanging="360"/>
      </w:pPr>
      <w:rPr>
        <w:rFonts w:ascii="Cambria" w:eastAsia="ＭＳ 明朝" w:hAnsi="Cambri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F3397A"/>
    <w:multiLevelType w:val="hybridMultilevel"/>
    <w:tmpl w:val="C0E6AA88"/>
    <w:lvl w:ilvl="0" w:tplc="32764A16">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EC874E9"/>
    <w:multiLevelType w:val="hybridMultilevel"/>
    <w:tmpl w:val="CEAAD526"/>
    <w:lvl w:ilvl="0" w:tplc="C4EC4260">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3F622C8"/>
    <w:multiLevelType w:val="multilevel"/>
    <w:tmpl w:val="07161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6F92288"/>
    <w:multiLevelType w:val="hybridMultilevel"/>
    <w:tmpl w:val="6A06009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C260B7A"/>
    <w:multiLevelType w:val="hybridMultilevel"/>
    <w:tmpl w:val="DE502ACA"/>
    <w:lvl w:ilvl="0" w:tplc="9F0069DE">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A73451F"/>
    <w:multiLevelType w:val="hybridMultilevel"/>
    <w:tmpl w:val="4E54432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655E0FB8"/>
    <w:multiLevelType w:val="hybridMultilevel"/>
    <w:tmpl w:val="1D20B0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C3E45AA"/>
    <w:multiLevelType w:val="hybridMultilevel"/>
    <w:tmpl w:val="2EE8ED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1B27FAF"/>
    <w:multiLevelType w:val="hybridMultilevel"/>
    <w:tmpl w:val="DCFEA91E"/>
    <w:lvl w:ilvl="0" w:tplc="BA084C84">
      <w:start w:val="2"/>
      <w:numFmt w:val="bullet"/>
      <w:lvlText w:val="-"/>
      <w:lvlJc w:val="left"/>
      <w:pPr>
        <w:ind w:left="720" w:hanging="360"/>
      </w:pPr>
      <w:rPr>
        <w:rFonts w:ascii="Cambria" w:eastAsia="ＭＳ 明朝" w:hAnsi="Cambri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1"/>
  </w:num>
  <w:num w:numId="4">
    <w:abstractNumId w:val="6"/>
  </w:num>
  <w:num w:numId="5">
    <w:abstractNumId w:val="7"/>
  </w:num>
  <w:num w:numId="6">
    <w:abstractNumId w:val="2"/>
  </w:num>
  <w:num w:numId="7">
    <w:abstractNumId w:val="4"/>
  </w:num>
  <w:num w:numId="8">
    <w:abstractNumId w:val="3"/>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TrackMoves/>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5CB2"/>
    <w:rsid w:val="00000D36"/>
    <w:rsid w:val="0000191B"/>
    <w:rsid w:val="00001A70"/>
    <w:rsid w:val="00001ABD"/>
    <w:rsid w:val="00001C3B"/>
    <w:rsid w:val="00002AEB"/>
    <w:rsid w:val="00003494"/>
    <w:rsid w:val="000043AD"/>
    <w:rsid w:val="00005125"/>
    <w:rsid w:val="00005FD9"/>
    <w:rsid w:val="000071A9"/>
    <w:rsid w:val="00007E63"/>
    <w:rsid w:val="000102BD"/>
    <w:rsid w:val="0001058C"/>
    <w:rsid w:val="00010B0A"/>
    <w:rsid w:val="00011673"/>
    <w:rsid w:val="00011988"/>
    <w:rsid w:val="000123AC"/>
    <w:rsid w:val="000129F6"/>
    <w:rsid w:val="00012C09"/>
    <w:rsid w:val="00013AD0"/>
    <w:rsid w:val="00013B98"/>
    <w:rsid w:val="0001402A"/>
    <w:rsid w:val="000143B0"/>
    <w:rsid w:val="00014AAA"/>
    <w:rsid w:val="00014FFD"/>
    <w:rsid w:val="00015350"/>
    <w:rsid w:val="000157EB"/>
    <w:rsid w:val="00016235"/>
    <w:rsid w:val="000170F9"/>
    <w:rsid w:val="00017A59"/>
    <w:rsid w:val="00017E2B"/>
    <w:rsid w:val="00020450"/>
    <w:rsid w:val="00020512"/>
    <w:rsid w:val="0002071E"/>
    <w:rsid w:val="00020A0E"/>
    <w:rsid w:val="00020B9E"/>
    <w:rsid w:val="000215B0"/>
    <w:rsid w:val="00022E49"/>
    <w:rsid w:val="00022ECB"/>
    <w:rsid w:val="00023174"/>
    <w:rsid w:val="00023697"/>
    <w:rsid w:val="00023C02"/>
    <w:rsid w:val="00023C48"/>
    <w:rsid w:val="0002424B"/>
    <w:rsid w:val="00025639"/>
    <w:rsid w:val="0002565D"/>
    <w:rsid w:val="00025806"/>
    <w:rsid w:val="000270E5"/>
    <w:rsid w:val="00027B39"/>
    <w:rsid w:val="00027FC0"/>
    <w:rsid w:val="00030235"/>
    <w:rsid w:val="00030F6C"/>
    <w:rsid w:val="00030FF1"/>
    <w:rsid w:val="000317FC"/>
    <w:rsid w:val="000319C1"/>
    <w:rsid w:val="00031A29"/>
    <w:rsid w:val="00031D6F"/>
    <w:rsid w:val="0003325E"/>
    <w:rsid w:val="0003432A"/>
    <w:rsid w:val="0003479E"/>
    <w:rsid w:val="00034A17"/>
    <w:rsid w:val="00034EE6"/>
    <w:rsid w:val="00036C68"/>
    <w:rsid w:val="00036CC2"/>
    <w:rsid w:val="00036DEF"/>
    <w:rsid w:val="00037BD8"/>
    <w:rsid w:val="00037DA0"/>
    <w:rsid w:val="00037E74"/>
    <w:rsid w:val="00040AF7"/>
    <w:rsid w:val="00042AE0"/>
    <w:rsid w:val="00042DC2"/>
    <w:rsid w:val="00043C9D"/>
    <w:rsid w:val="0004482D"/>
    <w:rsid w:val="0004559F"/>
    <w:rsid w:val="000460EE"/>
    <w:rsid w:val="000464B1"/>
    <w:rsid w:val="000466F4"/>
    <w:rsid w:val="00047A43"/>
    <w:rsid w:val="00047D35"/>
    <w:rsid w:val="00050099"/>
    <w:rsid w:val="00050E19"/>
    <w:rsid w:val="00051234"/>
    <w:rsid w:val="0005162E"/>
    <w:rsid w:val="0005435C"/>
    <w:rsid w:val="0005476C"/>
    <w:rsid w:val="00054C1E"/>
    <w:rsid w:val="00054C55"/>
    <w:rsid w:val="00055014"/>
    <w:rsid w:val="000553D0"/>
    <w:rsid w:val="000559A6"/>
    <w:rsid w:val="000561B7"/>
    <w:rsid w:val="00056685"/>
    <w:rsid w:val="00057853"/>
    <w:rsid w:val="000578FB"/>
    <w:rsid w:val="000601D1"/>
    <w:rsid w:val="0006037A"/>
    <w:rsid w:val="0006107A"/>
    <w:rsid w:val="00061547"/>
    <w:rsid w:val="00061CE1"/>
    <w:rsid w:val="00062296"/>
    <w:rsid w:val="000623AB"/>
    <w:rsid w:val="00062A29"/>
    <w:rsid w:val="0006323B"/>
    <w:rsid w:val="00064B7A"/>
    <w:rsid w:val="00064D19"/>
    <w:rsid w:val="00066BC3"/>
    <w:rsid w:val="00066DA5"/>
    <w:rsid w:val="0006737F"/>
    <w:rsid w:val="000700B5"/>
    <w:rsid w:val="0007040F"/>
    <w:rsid w:val="00071431"/>
    <w:rsid w:val="00072169"/>
    <w:rsid w:val="0007279D"/>
    <w:rsid w:val="0007285B"/>
    <w:rsid w:val="00072DE7"/>
    <w:rsid w:val="00073BC1"/>
    <w:rsid w:val="00074675"/>
    <w:rsid w:val="00075538"/>
    <w:rsid w:val="00075C5E"/>
    <w:rsid w:val="0007626A"/>
    <w:rsid w:val="000801F5"/>
    <w:rsid w:val="00080490"/>
    <w:rsid w:val="00080E4D"/>
    <w:rsid w:val="00081011"/>
    <w:rsid w:val="00081398"/>
    <w:rsid w:val="00081DE5"/>
    <w:rsid w:val="00082621"/>
    <w:rsid w:val="00082F65"/>
    <w:rsid w:val="00083CB7"/>
    <w:rsid w:val="00085905"/>
    <w:rsid w:val="000860DD"/>
    <w:rsid w:val="00086431"/>
    <w:rsid w:val="000868BA"/>
    <w:rsid w:val="0008698D"/>
    <w:rsid w:val="00087D4E"/>
    <w:rsid w:val="00087D5D"/>
    <w:rsid w:val="000901B9"/>
    <w:rsid w:val="00090658"/>
    <w:rsid w:val="000920CC"/>
    <w:rsid w:val="000931DA"/>
    <w:rsid w:val="000937DA"/>
    <w:rsid w:val="00093A37"/>
    <w:rsid w:val="00093A3D"/>
    <w:rsid w:val="00093F40"/>
    <w:rsid w:val="00094047"/>
    <w:rsid w:val="0009417E"/>
    <w:rsid w:val="000947F5"/>
    <w:rsid w:val="000948FB"/>
    <w:rsid w:val="00094D46"/>
    <w:rsid w:val="00094EF3"/>
    <w:rsid w:val="00096102"/>
    <w:rsid w:val="0009681C"/>
    <w:rsid w:val="000974BB"/>
    <w:rsid w:val="000977FD"/>
    <w:rsid w:val="000A0305"/>
    <w:rsid w:val="000A0528"/>
    <w:rsid w:val="000A1ED0"/>
    <w:rsid w:val="000A2C71"/>
    <w:rsid w:val="000A5168"/>
    <w:rsid w:val="000A558F"/>
    <w:rsid w:val="000A5A7B"/>
    <w:rsid w:val="000A5DF3"/>
    <w:rsid w:val="000A6F66"/>
    <w:rsid w:val="000A7825"/>
    <w:rsid w:val="000B1087"/>
    <w:rsid w:val="000B1C01"/>
    <w:rsid w:val="000B24F4"/>
    <w:rsid w:val="000B27D4"/>
    <w:rsid w:val="000B292E"/>
    <w:rsid w:val="000B3447"/>
    <w:rsid w:val="000B3D23"/>
    <w:rsid w:val="000B3F82"/>
    <w:rsid w:val="000B4E4E"/>
    <w:rsid w:val="000B505C"/>
    <w:rsid w:val="000B5196"/>
    <w:rsid w:val="000B689D"/>
    <w:rsid w:val="000B6F62"/>
    <w:rsid w:val="000B7EAA"/>
    <w:rsid w:val="000C036D"/>
    <w:rsid w:val="000C0C87"/>
    <w:rsid w:val="000C1911"/>
    <w:rsid w:val="000C1B61"/>
    <w:rsid w:val="000C1F1C"/>
    <w:rsid w:val="000C2D32"/>
    <w:rsid w:val="000C3ABD"/>
    <w:rsid w:val="000C3CD6"/>
    <w:rsid w:val="000C43E2"/>
    <w:rsid w:val="000C466B"/>
    <w:rsid w:val="000C4689"/>
    <w:rsid w:val="000C5D2B"/>
    <w:rsid w:val="000C6019"/>
    <w:rsid w:val="000C71A1"/>
    <w:rsid w:val="000C74D7"/>
    <w:rsid w:val="000C7D70"/>
    <w:rsid w:val="000D0B49"/>
    <w:rsid w:val="000D1532"/>
    <w:rsid w:val="000D1D97"/>
    <w:rsid w:val="000D2303"/>
    <w:rsid w:val="000D33F2"/>
    <w:rsid w:val="000D38C5"/>
    <w:rsid w:val="000D3CC0"/>
    <w:rsid w:val="000D47FC"/>
    <w:rsid w:val="000D4B27"/>
    <w:rsid w:val="000D4C74"/>
    <w:rsid w:val="000D578C"/>
    <w:rsid w:val="000D59FD"/>
    <w:rsid w:val="000D6721"/>
    <w:rsid w:val="000D6733"/>
    <w:rsid w:val="000D695A"/>
    <w:rsid w:val="000E0041"/>
    <w:rsid w:val="000E09AC"/>
    <w:rsid w:val="000E0F6F"/>
    <w:rsid w:val="000E12BC"/>
    <w:rsid w:val="000E1B05"/>
    <w:rsid w:val="000E1D9F"/>
    <w:rsid w:val="000E2F75"/>
    <w:rsid w:val="000E31BB"/>
    <w:rsid w:val="000E372A"/>
    <w:rsid w:val="000E43B9"/>
    <w:rsid w:val="000E5DE1"/>
    <w:rsid w:val="000E7A3F"/>
    <w:rsid w:val="000F0288"/>
    <w:rsid w:val="000F09BF"/>
    <w:rsid w:val="000F0C03"/>
    <w:rsid w:val="000F1163"/>
    <w:rsid w:val="000F29F1"/>
    <w:rsid w:val="000F30A0"/>
    <w:rsid w:val="000F37E6"/>
    <w:rsid w:val="000F3C95"/>
    <w:rsid w:val="000F41EA"/>
    <w:rsid w:val="000F438A"/>
    <w:rsid w:val="000F4BBC"/>
    <w:rsid w:val="000F525F"/>
    <w:rsid w:val="000F5761"/>
    <w:rsid w:val="000F61EA"/>
    <w:rsid w:val="000F6619"/>
    <w:rsid w:val="000F6BD4"/>
    <w:rsid w:val="000F7EC8"/>
    <w:rsid w:val="00100555"/>
    <w:rsid w:val="001008BD"/>
    <w:rsid w:val="001008F2"/>
    <w:rsid w:val="00101A27"/>
    <w:rsid w:val="00102308"/>
    <w:rsid w:val="001026AF"/>
    <w:rsid w:val="00102873"/>
    <w:rsid w:val="00102BE3"/>
    <w:rsid w:val="00105E67"/>
    <w:rsid w:val="00106A66"/>
    <w:rsid w:val="001073D7"/>
    <w:rsid w:val="001103C3"/>
    <w:rsid w:val="00110808"/>
    <w:rsid w:val="00110A69"/>
    <w:rsid w:val="00110E1A"/>
    <w:rsid w:val="00111135"/>
    <w:rsid w:val="00111CDA"/>
    <w:rsid w:val="00114EC6"/>
    <w:rsid w:val="001169EC"/>
    <w:rsid w:val="00120557"/>
    <w:rsid w:val="00120E37"/>
    <w:rsid w:val="00120F23"/>
    <w:rsid w:val="00121D80"/>
    <w:rsid w:val="00121F60"/>
    <w:rsid w:val="0012295C"/>
    <w:rsid w:val="00123A8E"/>
    <w:rsid w:val="00124264"/>
    <w:rsid w:val="001242EE"/>
    <w:rsid w:val="001253A1"/>
    <w:rsid w:val="001255F8"/>
    <w:rsid w:val="0012574C"/>
    <w:rsid w:val="001264FB"/>
    <w:rsid w:val="0012673B"/>
    <w:rsid w:val="00126B5F"/>
    <w:rsid w:val="00126FF0"/>
    <w:rsid w:val="001279D9"/>
    <w:rsid w:val="00130E1C"/>
    <w:rsid w:val="00131AA5"/>
    <w:rsid w:val="00132505"/>
    <w:rsid w:val="00132DC7"/>
    <w:rsid w:val="00132E34"/>
    <w:rsid w:val="001352FD"/>
    <w:rsid w:val="001358DC"/>
    <w:rsid w:val="00135F29"/>
    <w:rsid w:val="00136DE7"/>
    <w:rsid w:val="00137162"/>
    <w:rsid w:val="00137256"/>
    <w:rsid w:val="0013772B"/>
    <w:rsid w:val="0014082C"/>
    <w:rsid w:val="00140FBC"/>
    <w:rsid w:val="0014118D"/>
    <w:rsid w:val="00141939"/>
    <w:rsid w:val="00142D43"/>
    <w:rsid w:val="00143330"/>
    <w:rsid w:val="00143396"/>
    <w:rsid w:val="00144596"/>
    <w:rsid w:val="00146481"/>
    <w:rsid w:val="00147535"/>
    <w:rsid w:val="001501DC"/>
    <w:rsid w:val="001509D9"/>
    <w:rsid w:val="001526B0"/>
    <w:rsid w:val="00152C8F"/>
    <w:rsid w:val="00153C4B"/>
    <w:rsid w:val="00155568"/>
    <w:rsid w:val="001558CB"/>
    <w:rsid w:val="001559AF"/>
    <w:rsid w:val="001559F7"/>
    <w:rsid w:val="00155BFC"/>
    <w:rsid w:val="0015650C"/>
    <w:rsid w:val="00156940"/>
    <w:rsid w:val="00156AF1"/>
    <w:rsid w:val="00156BFA"/>
    <w:rsid w:val="00157DB2"/>
    <w:rsid w:val="00160C7E"/>
    <w:rsid w:val="00160D96"/>
    <w:rsid w:val="001619BD"/>
    <w:rsid w:val="001632A5"/>
    <w:rsid w:val="00164075"/>
    <w:rsid w:val="0016408F"/>
    <w:rsid w:val="0016433F"/>
    <w:rsid w:val="00164D81"/>
    <w:rsid w:val="00166129"/>
    <w:rsid w:val="001663F2"/>
    <w:rsid w:val="00166744"/>
    <w:rsid w:val="00166AF7"/>
    <w:rsid w:val="001677D4"/>
    <w:rsid w:val="00167D91"/>
    <w:rsid w:val="00170AE5"/>
    <w:rsid w:val="00171C34"/>
    <w:rsid w:val="00172747"/>
    <w:rsid w:val="0017346F"/>
    <w:rsid w:val="00173585"/>
    <w:rsid w:val="00173852"/>
    <w:rsid w:val="00174457"/>
    <w:rsid w:val="001759CC"/>
    <w:rsid w:val="00175F71"/>
    <w:rsid w:val="0017677C"/>
    <w:rsid w:val="00176B6A"/>
    <w:rsid w:val="00176DC1"/>
    <w:rsid w:val="00177D6B"/>
    <w:rsid w:val="00180546"/>
    <w:rsid w:val="00180CFA"/>
    <w:rsid w:val="00181E34"/>
    <w:rsid w:val="0018250D"/>
    <w:rsid w:val="001829BE"/>
    <w:rsid w:val="001839A1"/>
    <w:rsid w:val="001842F3"/>
    <w:rsid w:val="0018446D"/>
    <w:rsid w:val="00184DF9"/>
    <w:rsid w:val="001851B9"/>
    <w:rsid w:val="00185D68"/>
    <w:rsid w:val="0018654D"/>
    <w:rsid w:val="00187359"/>
    <w:rsid w:val="001877D9"/>
    <w:rsid w:val="00187A99"/>
    <w:rsid w:val="00187EB6"/>
    <w:rsid w:val="00190501"/>
    <w:rsid w:val="00190847"/>
    <w:rsid w:val="00190D08"/>
    <w:rsid w:val="00190D5D"/>
    <w:rsid w:val="00190E46"/>
    <w:rsid w:val="0019109E"/>
    <w:rsid w:val="00191426"/>
    <w:rsid w:val="00191507"/>
    <w:rsid w:val="00191B2E"/>
    <w:rsid w:val="00195598"/>
    <w:rsid w:val="00195EF1"/>
    <w:rsid w:val="00196E91"/>
    <w:rsid w:val="001972D8"/>
    <w:rsid w:val="00197620"/>
    <w:rsid w:val="00197654"/>
    <w:rsid w:val="001A01C2"/>
    <w:rsid w:val="001A0D9F"/>
    <w:rsid w:val="001A1093"/>
    <w:rsid w:val="001A20F2"/>
    <w:rsid w:val="001A3A5A"/>
    <w:rsid w:val="001A4083"/>
    <w:rsid w:val="001A44B1"/>
    <w:rsid w:val="001A46BD"/>
    <w:rsid w:val="001A4E88"/>
    <w:rsid w:val="001A5158"/>
    <w:rsid w:val="001A56A9"/>
    <w:rsid w:val="001A5C93"/>
    <w:rsid w:val="001A706D"/>
    <w:rsid w:val="001A70E0"/>
    <w:rsid w:val="001B0AE2"/>
    <w:rsid w:val="001B0B0A"/>
    <w:rsid w:val="001B24F5"/>
    <w:rsid w:val="001B25E8"/>
    <w:rsid w:val="001B2E24"/>
    <w:rsid w:val="001B3C1B"/>
    <w:rsid w:val="001B4238"/>
    <w:rsid w:val="001B451D"/>
    <w:rsid w:val="001B480C"/>
    <w:rsid w:val="001B4E8D"/>
    <w:rsid w:val="001B50A2"/>
    <w:rsid w:val="001B5115"/>
    <w:rsid w:val="001B6F1F"/>
    <w:rsid w:val="001C0365"/>
    <w:rsid w:val="001C068F"/>
    <w:rsid w:val="001C082B"/>
    <w:rsid w:val="001C0CB4"/>
    <w:rsid w:val="001C184B"/>
    <w:rsid w:val="001C1E24"/>
    <w:rsid w:val="001C1E75"/>
    <w:rsid w:val="001C26E3"/>
    <w:rsid w:val="001C2A73"/>
    <w:rsid w:val="001C3918"/>
    <w:rsid w:val="001C552A"/>
    <w:rsid w:val="001C5D7C"/>
    <w:rsid w:val="001D00C1"/>
    <w:rsid w:val="001D02AA"/>
    <w:rsid w:val="001D02E0"/>
    <w:rsid w:val="001D16D2"/>
    <w:rsid w:val="001D1D3B"/>
    <w:rsid w:val="001D1E33"/>
    <w:rsid w:val="001D1F96"/>
    <w:rsid w:val="001D2561"/>
    <w:rsid w:val="001D3D03"/>
    <w:rsid w:val="001D4CF6"/>
    <w:rsid w:val="001D5D09"/>
    <w:rsid w:val="001D625F"/>
    <w:rsid w:val="001D7170"/>
    <w:rsid w:val="001D7D47"/>
    <w:rsid w:val="001E1298"/>
    <w:rsid w:val="001E134E"/>
    <w:rsid w:val="001E15C9"/>
    <w:rsid w:val="001E3098"/>
    <w:rsid w:val="001E321E"/>
    <w:rsid w:val="001E4500"/>
    <w:rsid w:val="001E49D9"/>
    <w:rsid w:val="001E4A9A"/>
    <w:rsid w:val="001E5EFE"/>
    <w:rsid w:val="001E60A6"/>
    <w:rsid w:val="001E6122"/>
    <w:rsid w:val="001F0926"/>
    <w:rsid w:val="001F14E4"/>
    <w:rsid w:val="001F1507"/>
    <w:rsid w:val="001F1CD7"/>
    <w:rsid w:val="001F2E3E"/>
    <w:rsid w:val="001F32F7"/>
    <w:rsid w:val="001F3447"/>
    <w:rsid w:val="001F3CDF"/>
    <w:rsid w:val="001F466C"/>
    <w:rsid w:val="001F4D11"/>
    <w:rsid w:val="001F5449"/>
    <w:rsid w:val="001F557D"/>
    <w:rsid w:val="001F565B"/>
    <w:rsid w:val="001F6F45"/>
    <w:rsid w:val="001F7A60"/>
    <w:rsid w:val="001F7EB5"/>
    <w:rsid w:val="00200D80"/>
    <w:rsid w:val="00201E86"/>
    <w:rsid w:val="002025D2"/>
    <w:rsid w:val="00202659"/>
    <w:rsid w:val="00203623"/>
    <w:rsid w:val="00204A48"/>
    <w:rsid w:val="00205B97"/>
    <w:rsid w:val="00207224"/>
    <w:rsid w:val="002072C1"/>
    <w:rsid w:val="00207DF6"/>
    <w:rsid w:val="0021061B"/>
    <w:rsid w:val="00210817"/>
    <w:rsid w:val="00210B24"/>
    <w:rsid w:val="00210DD9"/>
    <w:rsid w:val="00211B53"/>
    <w:rsid w:val="00211CD7"/>
    <w:rsid w:val="00211E04"/>
    <w:rsid w:val="00212244"/>
    <w:rsid w:val="00212EA0"/>
    <w:rsid w:val="00214364"/>
    <w:rsid w:val="00214499"/>
    <w:rsid w:val="0021498F"/>
    <w:rsid w:val="00215132"/>
    <w:rsid w:val="002151E1"/>
    <w:rsid w:val="002155CA"/>
    <w:rsid w:val="00215714"/>
    <w:rsid w:val="00215AF7"/>
    <w:rsid w:val="00215B62"/>
    <w:rsid w:val="00216E17"/>
    <w:rsid w:val="00216F31"/>
    <w:rsid w:val="0021780E"/>
    <w:rsid w:val="00217D12"/>
    <w:rsid w:val="002206B4"/>
    <w:rsid w:val="002211E9"/>
    <w:rsid w:val="002215CC"/>
    <w:rsid w:val="00223160"/>
    <w:rsid w:val="00223A6E"/>
    <w:rsid w:val="00223C73"/>
    <w:rsid w:val="00223C79"/>
    <w:rsid w:val="00224018"/>
    <w:rsid w:val="00224A3D"/>
    <w:rsid w:val="002255C6"/>
    <w:rsid w:val="00225A8A"/>
    <w:rsid w:val="0022600D"/>
    <w:rsid w:val="0022644C"/>
    <w:rsid w:val="002272DA"/>
    <w:rsid w:val="00227581"/>
    <w:rsid w:val="002278B2"/>
    <w:rsid w:val="00227C3E"/>
    <w:rsid w:val="002301C3"/>
    <w:rsid w:val="002302AF"/>
    <w:rsid w:val="0023067C"/>
    <w:rsid w:val="00230750"/>
    <w:rsid w:val="00230AB8"/>
    <w:rsid w:val="00230D77"/>
    <w:rsid w:val="002315CE"/>
    <w:rsid w:val="00231C2E"/>
    <w:rsid w:val="00232249"/>
    <w:rsid w:val="00232B96"/>
    <w:rsid w:val="00233506"/>
    <w:rsid w:val="002347CF"/>
    <w:rsid w:val="00234EA8"/>
    <w:rsid w:val="00235876"/>
    <w:rsid w:val="00235883"/>
    <w:rsid w:val="00236CA8"/>
    <w:rsid w:val="00236CF8"/>
    <w:rsid w:val="0023756B"/>
    <w:rsid w:val="002401AF"/>
    <w:rsid w:val="00241B6F"/>
    <w:rsid w:val="00241DA7"/>
    <w:rsid w:val="00242678"/>
    <w:rsid w:val="002430D1"/>
    <w:rsid w:val="002430D2"/>
    <w:rsid w:val="00243956"/>
    <w:rsid w:val="00243CF3"/>
    <w:rsid w:val="00243D1F"/>
    <w:rsid w:val="00243FF9"/>
    <w:rsid w:val="0024403C"/>
    <w:rsid w:val="0024434E"/>
    <w:rsid w:val="00244D32"/>
    <w:rsid w:val="0024718E"/>
    <w:rsid w:val="00247B13"/>
    <w:rsid w:val="00247FAF"/>
    <w:rsid w:val="002500BA"/>
    <w:rsid w:val="00251871"/>
    <w:rsid w:val="00251DCA"/>
    <w:rsid w:val="002520E3"/>
    <w:rsid w:val="00252214"/>
    <w:rsid w:val="002526DF"/>
    <w:rsid w:val="002533E2"/>
    <w:rsid w:val="00253682"/>
    <w:rsid w:val="002547F6"/>
    <w:rsid w:val="00254A85"/>
    <w:rsid w:val="0025511C"/>
    <w:rsid w:val="00255BB8"/>
    <w:rsid w:val="00255EE1"/>
    <w:rsid w:val="00255F1F"/>
    <w:rsid w:val="00256960"/>
    <w:rsid w:val="00257F9C"/>
    <w:rsid w:val="00260C99"/>
    <w:rsid w:val="00261203"/>
    <w:rsid w:val="002612E4"/>
    <w:rsid w:val="00261733"/>
    <w:rsid w:val="002617ED"/>
    <w:rsid w:val="0026186A"/>
    <w:rsid w:val="0026253C"/>
    <w:rsid w:val="0026289D"/>
    <w:rsid w:val="002628E8"/>
    <w:rsid w:val="002631BF"/>
    <w:rsid w:val="0026346A"/>
    <w:rsid w:val="0026382A"/>
    <w:rsid w:val="00265000"/>
    <w:rsid w:val="0026511B"/>
    <w:rsid w:val="002657ED"/>
    <w:rsid w:val="0026614B"/>
    <w:rsid w:val="002666E6"/>
    <w:rsid w:val="00266F6E"/>
    <w:rsid w:val="0026704D"/>
    <w:rsid w:val="002673F4"/>
    <w:rsid w:val="002676C6"/>
    <w:rsid w:val="002679AD"/>
    <w:rsid w:val="00267F33"/>
    <w:rsid w:val="00270BEA"/>
    <w:rsid w:val="00271680"/>
    <w:rsid w:val="0027191A"/>
    <w:rsid w:val="00271989"/>
    <w:rsid w:val="00273D4E"/>
    <w:rsid w:val="002742D0"/>
    <w:rsid w:val="00276945"/>
    <w:rsid w:val="00276F2B"/>
    <w:rsid w:val="00277057"/>
    <w:rsid w:val="002770C2"/>
    <w:rsid w:val="00277A1A"/>
    <w:rsid w:val="00280244"/>
    <w:rsid w:val="002804BE"/>
    <w:rsid w:val="0028103A"/>
    <w:rsid w:val="00281382"/>
    <w:rsid w:val="0028161C"/>
    <w:rsid w:val="00281A88"/>
    <w:rsid w:val="0028205B"/>
    <w:rsid w:val="002831E0"/>
    <w:rsid w:val="0028351E"/>
    <w:rsid w:val="00284F0E"/>
    <w:rsid w:val="002865EF"/>
    <w:rsid w:val="002866B7"/>
    <w:rsid w:val="002876A0"/>
    <w:rsid w:val="00290185"/>
    <w:rsid w:val="002901BF"/>
    <w:rsid w:val="00290A21"/>
    <w:rsid w:val="00291529"/>
    <w:rsid w:val="002930DA"/>
    <w:rsid w:val="0029312A"/>
    <w:rsid w:val="002933D4"/>
    <w:rsid w:val="00294117"/>
    <w:rsid w:val="002944BA"/>
    <w:rsid w:val="00294649"/>
    <w:rsid w:val="00294809"/>
    <w:rsid w:val="002955C9"/>
    <w:rsid w:val="002969B4"/>
    <w:rsid w:val="00296A11"/>
    <w:rsid w:val="00296CA5"/>
    <w:rsid w:val="0029728A"/>
    <w:rsid w:val="002A0095"/>
    <w:rsid w:val="002A073F"/>
    <w:rsid w:val="002A1481"/>
    <w:rsid w:val="002A2A0F"/>
    <w:rsid w:val="002A2A3C"/>
    <w:rsid w:val="002A3FED"/>
    <w:rsid w:val="002A44CA"/>
    <w:rsid w:val="002A46CE"/>
    <w:rsid w:val="002A4759"/>
    <w:rsid w:val="002A4BFC"/>
    <w:rsid w:val="002A5DBC"/>
    <w:rsid w:val="002A7695"/>
    <w:rsid w:val="002B00EE"/>
    <w:rsid w:val="002B048F"/>
    <w:rsid w:val="002B062B"/>
    <w:rsid w:val="002B0D4C"/>
    <w:rsid w:val="002B0E37"/>
    <w:rsid w:val="002B12B9"/>
    <w:rsid w:val="002B1363"/>
    <w:rsid w:val="002B17D2"/>
    <w:rsid w:val="002B1C53"/>
    <w:rsid w:val="002B1DE9"/>
    <w:rsid w:val="002B280B"/>
    <w:rsid w:val="002B2CBA"/>
    <w:rsid w:val="002B2F98"/>
    <w:rsid w:val="002B3293"/>
    <w:rsid w:val="002B3FCD"/>
    <w:rsid w:val="002B4049"/>
    <w:rsid w:val="002B5538"/>
    <w:rsid w:val="002B6B14"/>
    <w:rsid w:val="002B6F38"/>
    <w:rsid w:val="002B700E"/>
    <w:rsid w:val="002B708E"/>
    <w:rsid w:val="002B79EE"/>
    <w:rsid w:val="002C00FC"/>
    <w:rsid w:val="002C0A1A"/>
    <w:rsid w:val="002C0E97"/>
    <w:rsid w:val="002C1566"/>
    <w:rsid w:val="002C1C5F"/>
    <w:rsid w:val="002C1C77"/>
    <w:rsid w:val="002C25A0"/>
    <w:rsid w:val="002C26EC"/>
    <w:rsid w:val="002C30AD"/>
    <w:rsid w:val="002C347A"/>
    <w:rsid w:val="002C3589"/>
    <w:rsid w:val="002C3793"/>
    <w:rsid w:val="002C37A5"/>
    <w:rsid w:val="002C3890"/>
    <w:rsid w:val="002C3AE8"/>
    <w:rsid w:val="002C406F"/>
    <w:rsid w:val="002C43A9"/>
    <w:rsid w:val="002C568A"/>
    <w:rsid w:val="002C61C8"/>
    <w:rsid w:val="002C6950"/>
    <w:rsid w:val="002C71EE"/>
    <w:rsid w:val="002D14B9"/>
    <w:rsid w:val="002D3E44"/>
    <w:rsid w:val="002D465E"/>
    <w:rsid w:val="002D5398"/>
    <w:rsid w:val="002D5FDE"/>
    <w:rsid w:val="002D6035"/>
    <w:rsid w:val="002D605D"/>
    <w:rsid w:val="002D72A2"/>
    <w:rsid w:val="002E01CA"/>
    <w:rsid w:val="002E06DD"/>
    <w:rsid w:val="002E1D39"/>
    <w:rsid w:val="002E2427"/>
    <w:rsid w:val="002E2A5C"/>
    <w:rsid w:val="002E3023"/>
    <w:rsid w:val="002E3235"/>
    <w:rsid w:val="002E36D0"/>
    <w:rsid w:val="002E3E67"/>
    <w:rsid w:val="002E483A"/>
    <w:rsid w:val="002E4B5A"/>
    <w:rsid w:val="002E4F8F"/>
    <w:rsid w:val="002E53A6"/>
    <w:rsid w:val="002E6CE7"/>
    <w:rsid w:val="002E7A3D"/>
    <w:rsid w:val="002E7A50"/>
    <w:rsid w:val="002E7C27"/>
    <w:rsid w:val="002F0AF0"/>
    <w:rsid w:val="002F1C7A"/>
    <w:rsid w:val="002F1D10"/>
    <w:rsid w:val="002F2B97"/>
    <w:rsid w:val="002F48DA"/>
    <w:rsid w:val="002F511F"/>
    <w:rsid w:val="002F5325"/>
    <w:rsid w:val="002F585E"/>
    <w:rsid w:val="002F6149"/>
    <w:rsid w:val="002F61FA"/>
    <w:rsid w:val="002F7D18"/>
    <w:rsid w:val="002F7F8D"/>
    <w:rsid w:val="003023CC"/>
    <w:rsid w:val="00302B17"/>
    <w:rsid w:val="00302FA7"/>
    <w:rsid w:val="00303DEB"/>
    <w:rsid w:val="0030421A"/>
    <w:rsid w:val="003048FB"/>
    <w:rsid w:val="00304C8F"/>
    <w:rsid w:val="00304ECB"/>
    <w:rsid w:val="00305D6B"/>
    <w:rsid w:val="00306476"/>
    <w:rsid w:val="0030692D"/>
    <w:rsid w:val="003079B1"/>
    <w:rsid w:val="00310B7E"/>
    <w:rsid w:val="003110BB"/>
    <w:rsid w:val="00311373"/>
    <w:rsid w:val="00311392"/>
    <w:rsid w:val="0031179F"/>
    <w:rsid w:val="00311CFB"/>
    <w:rsid w:val="00312EAB"/>
    <w:rsid w:val="003130D4"/>
    <w:rsid w:val="00314CF1"/>
    <w:rsid w:val="003154E6"/>
    <w:rsid w:val="00316702"/>
    <w:rsid w:val="00316768"/>
    <w:rsid w:val="00317580"/>
    <w:rsid w:val="00317A31"/>
    <w:rsid w:val="00320CD2"/>
    <w:rsid w:val="0032128B"/>
    <w:rsid w:val="003217F5"/>
    <w:rsid w:val="0032458B"/>
    <w:rsid w:val="0032540F"/>
    <w:rsid w:val="003258E0"/>
    <w:rsid w:val="00326E02"/>
    <w:rsid w:val="00327526"/>
    <w:rsid w:val="00330098"/>
    <w:rsid w:val="003323C3"/>
    <w:rsid w:val="00332EB2"/>
    <w:rsid w:val="003333F1"/>
    <w:rsid w:val="003334A9"/>
    <w:rsid w:val="003349C6"/>
    <w:rsid w:val="00334BA0"/>
    <w:rsid w:val="0033519D"/>
    <w:rsid w:val="00336022"/>
    <w:rsid w:val="003370E9"/>
    <w:rsid w:val="003402A5"/>
    <w:rsid w:val="00340691"/>
    <w:rsid w:val="00341235"/>
    <w:rsid w:val="003422E7"/>
    <w:rsid w:val="00342445"/>
    <w:rsid w:val="00343AD8"/>
    <w:rsid w:val="00344E90"/>
    <w:rsid w:val="003460CE"/>
    <w:rsid w:val="00346C48"/>
    <w:rsid w:val="00350C78"/>
    <w:rsid w:val="00352538"/>
    <w:rsid w:val="00352874"/>
    <w:rsid w:val="00352E55"/>
    <w:rsid w:val="00353459"/>
    <w:rsid w:val="00354359"/>
    <w:rsid w:val="00354B9E"/>
    <w:rsid w:val="003551A2"/>
    <w:rsid w:val="003556A6"/>
    <w:rsid w:val="00355C6F"/>
    <w:rsid w:val="00355CB7"/>
    <w:rsid w:val="00356A17"/>
    <w:rsid w:val="00356B17"/>
    <w:rsid w:val="00357605"/>
    <w:rsid w:val="00360374"/>
    <w:rsid w:val="0036062C"/>
    <w:rsid w:val="00360CA4"/>
    <w:rsid w:val="003611A5"/>
    <w:rsid w:val="003632C9"/>
    <w:rsid w:val="003641A5"/>
    <w:rsid w:val="00364C32"/>
    <w:rsid w:val="00365A9A"/>
    <w:rsid w:val="0036714E"/>
    <w:rsid w:val="00367A1C"/>
    <w:rsid w:val="00367BD8"/>
    <w:rsid w:val="00371A6E"/>
    <w:rsid w:val="00371ADE"/>
    <w:rsid w:val="00372677"/>
    <w:rsid w:val="00372EFE"/>
    <w:rsid w:val="00373582"/>
    <w:rsid w:val="003746F9"/>
    <w:rsid w:val="00374B8B"/>
    <w:rsid w:val="00374CCE"/>
    <w:rsid w:val="00374F14"/>
    <w:rsid w:val="003751E9"/>
    <w:rsid w:val="003752F6"/>
    <w:rsid w:val="00375D10"/>
    <w:rsid w:val="00376757"/>
    <w:rsid w:val="00376E5A"/>
    <w:rsid w:val="003773C6"/>
    <w:rsid w:val="003776A4"/>
    <w:rsid w:val="00377C3F"/>
    <w:rsid w:val="00377E0D"/>
    <w:rsid w:val="00380052"/>
    <w:rsid w:val="00380718"/>
    <w:rsid w:val="0038079C"/>
    <w:rsid w:val="003816B2"/>
    <w:rsid w:val="003819B6"/>
    <w:rsid w:val="003827C5"/>
    <w:rsid w:val="00383308"/>
    <w:rsid w:val="00383D61"/>
    <w:rsid w:val="00383E5F"/>
    <w:rsid w:val="003843AC"/>
    <w:rsid w:val="0038463F"/>
    <w:rsid w:val="003846C7"/>
    <w:rsid w:val="00384C00"/>
    <w:rsid w:val="00384D6F"/>
    <w:rsid w:val="00385C79"/>
    <w:rsid w:val="00387106"/>
    <w:rsid w:val="00390833"/>
    <w:rsid w:val="00390DA4"/>
    <w:rsid w:val="00391768"/>
    <w:rsid w:val="003918A0"/>
    <w:rsid w:val="00391B2B"/>
    <w:rsid w:val="00392933"/>
    <w:rsid w:val="003929E4"/>
    <w:rsid w:val="00392EAC"/>
    <w:rsid w:val="003941CE"/>
    <w:rsid w:val="0039441E"/>
    <w:rsid w:val="00394A9A"/>
    <w:rsid w:val="0039554A"/>
    <w:rsid w:val="003969C7"/>
    <w:rsid w:val="00396C98"/>
    <w:rsid w:val="003971A7"/>
    <w:rsid w:val="003A2055"/>
    <w:rsid w:val="003A247D"/>
    <w:rsid w:val="003A2EAB"/>
    <w:rsid w:val="003A448F"/>
    <w:rsid w:val="003A52B4"/>
    <w:rsid w:val="003A600D"/>
    <w:rsid w:val="003A68B7"/>
    <w:rsid w:val="003B0D73"/>
    <w:rsid w:val="003B1C28"/>
    <w:rsid w:val="003B1C82"/>
    <w:rsid w:val="003B1FEF"/>
    <w:rsid w:val="003B2192"/>
    <w:rsid w:val="003B3768"/>
    <w:rsid w:val="003B44E2"/>
    <w:rsid w:val="003B57E9"/>
    <w:rsid w:val="003B582F"/>
    <w:rsid w:val="003B5CBC"/>
    <w:rsid w:val="003B5CDD"/>
    <w:rsid w:val="003B6AC2"/>
    <w:rsid w:val="003B6B70"/>
    <w:rsid w:val="003B719F"/>
    <w:rsid w:val="003B7255"/>
    <w:rsid w:val="003B7485"/>
    <w:rsid w:val="003C000B"/>
    <w:rsid w:val="003C0AEC"/>
    <w:rsid w:val="003C15B5"/>
    <w:rsid w:val="003C26ED"/>
    <w:rsid w:val="003C299E"/>
    <w:rsid w:val="003C2FAF"/>
    <w:rsid w:val="003C3227"/>
    <w:rsid w:val="003C3513"/>
    <w:rsid w:val="003C3A0C"/>
    <w:rsid w:val="003C67B7"/>
    <w:rsid w:val="003C7C19"/>
    <w:rsid w:val="003C7DBA"/>
    <w:rsid w:val="003D0003"/>
    <w:rsid w:val="003D05A9"/>
    <w:rsid w:val="003D0664"/>
    <w:rsid w:val="003D0763"/>
    <w:rsid w:val="003D12E7"/>
    <w:rsid w:val="003D28BB"/>
    <w:rsid w:val="003D3F16"/>
    <w:rsid w:val="003D4362"/>
    <w:rsid w:val="003D4849"/>
    <w:rsid w:val="003D4A44"/>
    <w:rsid w:val="003D543E"/>
    <w:rsid w:val="003D694B"/>
    <w:rsid w:val="003D69CA"/>
    <w:rsid w:val="003D6A17"/>
    <w:rsid w:val="003E0FD3"/>
    <w:rsid w:val="003E1628"/>
    <w:rsid w:val="003E1B06"/>
    <w:rsid w:val="003E30CE"/>
    <w:rsid w:val="003E315E"/>
    <w:rsid w:val="003E381D"/>
    <w:rsid w:val="003E4836"/>
    <w:rsid w:val="003E4EDB"/>
    <w:rsid w:val="003E5660"/>
    <w:rsid w:val="003E6D9A"/>
    <w:rsid w:val="003E78BC"/>
    <w:rsid w:val="003F185A"/>
    <w:rsid w:val="003F1F04"/>
    <w:rsid w:val="003F313D"/>
    <w:rsid w:val="003F37A7"/>
    <w:rsid w:val="003F47C2"/>
    <w:rsid w:val="003F50F6"/>
    <w:rsid w:val="003F5822"/>
    <w:rsid w:val="003F6047"/>
    <w:rsid w:val="00400D0E"/>
    <w:rsid w:val="00400E9A"/>
    <w:rsid w:val="00401706"/>
    <w:rsid w:val="004022F5"/>
    <w:rsid w:val="004034EC"/>
    <w:rsid w:val="00403D9E"/>
    <w:rsid w:val="004041F8"/>
    <w:rsid w:val="00404506"/>
    <w:rsid w:val="00406032"/>
    <w:rsid w:val="00406EAE"/>
    <w:rsid w:val="004074CC"/>
    <w:rsid w:val="00407EB3"/>
    <w:rsid w:val="00407ECF"/>
    <w:rsid w:val="00411123"/>
    <w:rsid w:val="00411D2B"/>
    <w:rsid w:val="004127CD"/>
    <w:rsid w:val="004129DB"/>
    <w:rsid w:val="00413049"/>
    <w:rsid w:val="004145CC"/>
    <w:rsid w:val="004153BA"/>
    <w:rsid w:val="004155C6"/>
    <w:rsid w:val="00415A72"/>
    <w:rsid w:val="00415B57"/>
    <w:rsid w:val="0041693A"/>
    <w:rsid w:val="00416E37"/>
    <w:rsid w:val="004172C9"/>
    <w:rsid w:val="004218B6"/>
    <w:rsid w:val="00421B69"/>
    <w:rsid w:val="00422201"/>
    <w:rsid w:val="004225EB"/>
    <w:rsid w:val="004229B3"/>
    <w:rsid w:val="00422A9E"/>
    <w:rsid w:val="00422CBC"/>
    <w:rsid w:val="00423199"/>
    <w:rsid w:val="00423878"/>
    <w:rsid w:val="00423C41"/>
    <w:rsid w:val="00426595"/>
    <w:rsid w:val="0042711B"/>
    <w:rsid w:val="004308CF"/>
    <w:rsid w:val="00431B92"/>
    <w:rsid w:val="00431D1D"/>
    <w:rsid w:val="00432069"/>
    <w:rsid w:val="004321E7"/>
    <w:rsid w:val="00432DB1"/>
    <w:rsid w:val="00434B0A"/>
    <w:rsid w:val="00435180"/>
    <w:rsid w:val="0043629A"/>
    <w:rsid w:val="00436803"/>
    <w:rsid w:val="00437A58"/>
    <w:rsid w:val="00437B9F"/>
    <w:rsid w:val="00440390"/>
    <w:rsid w:val="00440975"/>
    <w:rsid w:val="00441FB0"/>
    <w:rsid w:val="00442211"/>
    <w:rsid w:val="004422C2"/>
    <w:rsid w:val="0044468B"/>
    <w:rsid w:val="0044551E"/>
    <w:rsid w:val="004457C4"/>
    <w:rsid w:val="00446042"/>
    <w:rsid w:val="0044629B"/>
    <w:rsid w:val="004462C3"/>
    <w:rsid w:val="00446A62"/>
    <w:rsid w:val="00446B26"/>
    <w:rsid w:val="00446B9A"/>
    <w:rsid w:val="00447078"/>
    <w:rsid w:val="0044732F"/>
    <w:rsid w:val="00447741"/>
    <w:rsid w:val="00450AD3"/>
    <w:rsid w:val="00450B18"/>
    <w:rsid w:val="00451CEA"/>
    <w:rsid w:val="00452231"/>
    <w:rsid w:val="00452DF4"/>
    <w:rsid w:val="0045348F"/>
    <w:rsid w:val="004534FF"/>
    <w:rsid w:val="00454984"/>
    <w:rsid w:val="00455B78"/>
    <w:rsid w:val="00455DF5"/>
    <w:rsid w:val="00455E9F"/>
    <w:rsid w:val="00456738"/>
    <w:rsid w:val="00457111"/>
    <w:rsid w:val="004573AE"/>
    <w:rsid w:val="00457940"/>
    <w:rsid w:val="00457CBE"/>
    <w:rsid w:val="00460AB7"/>
    <w:rsid w:val="00460BA1"/>
    <w:rsid w:val="004611B9"/>
    <w:rsid w:val="004618A7"/>
    <w:rsid w:val="0046295A"/>
    <w:rsid w:val="00463095"/>
    <w:rsid w:val="00463916"/>
    <w:rsid w:val="00463D83"/>
    <w:rsid w:val="004650B9"/>
    <w:rsid w:val="00465D79"/>
    <w:rsid w:val="00466998"/>
    <w:rsid w:val="004671E7"/>
    <w:rsid w:val="004678C8"/>
    <w:rsid w:val="00470E37"/>
    <w:rsid w:val="00472347"/>
    <w:rsid w:val="0047239A"/>
    <w:rsid w:val="00472890"/>
    <w:rsid w:val="0047310E"/>
    <w:rsid w:val="004736D2"/>
    <w:rsid w:val="00473E7E"/>
    <w:rsid w:val="00474F8E"/>
    <w:rsid w:val="00477201"/>
    <w:rsid w:val="004773C2"/>
    <w:rsid w:val="004776D3"/>
    <w:rsid w:val="00480370"/>
    <w:rsid w:val="00481B65"/>
    <w:rsid w:val="00481B8B"/>
    <w:rsid w:val="00482B84"/>
    <w:rsid w:val="00482F01"/>
    <w:rsid w:val="0048317E"/>
    <w:rsid w:val="0048456D"/>
    <w:rsid w:val="004846F9"/>
    <w:rsid w:val="004849B9"/>
    <w:rsid w:val="00484E25"/>
    <w:rsid w:val="00485021"/>
    <w:rsid w:val="004857D2"/>
    <w:rsid w:val="00486490"/>
    <w:rsid w:val="00487274"/>
    <w:rsid w:val="004873F5"/>
    <w:rsid w:val="00487601"/>
    <w:rsid w:val="00490CED"/>
    <w:rsid w:val="00493BB0"/>
    <w:rsid w:val="00495974"/>
    <w:rsid w:val="00496601"/>
    <w:rsid w:val="004966D9"/>
    <w:rsid w:val="00496E9C"/>
    <w:rsid w:val="0049719D"/>
    <w:rsid w:val="00497293"/>
    <w:rsid w:val="0049753D"/>
    <w:rsid w:val="00497FDC"/>
    <w:rsid w:val="004A0001"/>
    <w:rsid w:val="004A0952"/>
    <w:rsid w:val="004A0AB9"/>
    <w:rsid w:val="004A1111"/>
    <w:rsid w:val="004A135B"/>
    <w:rsid w:val="004A13AB"/>
    <w:rsid w:val="004A26FA"/>
    <w:rsid w:val="004A2C5C"/>
    <w:rsid w:val="004A2E95"/>
    <w:rsid w:val="004A3200"/>
    <w:rsid w:val="004A44DE"/>
    <w:rsid w:val="004A4EE3"/>
    <w:rsid w:val="004A5AA6"/>
    <w:rsid w:val="004A5E99"/>
    <w:rsid w:val="004A685E"/>
    <w:rsid w:val="004A686F"/>
    <w:rsid w:val="004A6A36"/>
    <w:rsid w:val="004A6B80"/>
    <w:rsid w:val="004A7518"/>
    <w:rsid w:val="004A7C88"/>
    <w:rsid w:val="004A7D1C"/>
    <w:rsid w:val="004A7E4C"/>
    <w:rsid w:val="004A7F3D"/>
    <w:rsid w:val="004B033C"/>
    <w:rsid w:val="004B09EA"/>
    <w:rsid w:val="004B19DB"/>
    <w:rsid w:val="004B2454"/>
    <w:rsid w:val="004B2DA2"/>
    <w:rsid w:val="004B36D3"/>
    <w:rsid w:val="004B39FF"/>
    <w:rsid w:val="004B4061"/>
    <w:rsid w:val="004B5201"/>
    <w:rsid w:val="004B5456"/>
    <w:rsid w:val="004B5498"/>
    <w:rsid w:val="004B5C97"/>
    <w:rsid w:val="004B5DC3"/>
    <w:rsid w:val="004B6198"/>
    <w:rsid w:val="004B67AD"/>
    <w:rsid w:val="004B6B79"/>
    <w:rsid w:val="004B6E29"/>
    <w:rsid w:val="004B6F4B"/>
    <w:rsid w:val="004C031F"/>
    <w:rsid w:val="004C0CA8"/>
    <w:rsid w:val="004C156C"/>
    <w:rsid w:val="004C1ABE"/>
    <w:rsid w:val="004C1AD8"/>
    <w:rsid w:val="004C1C8A"/>
    <w:rsid w:val="004C2B16"/>
    <w:rsid w:val="004C2B8D"/>
    <w:rsid w:val="004C3D88"/>
    <w:rsid w:val="004C4204"/>
    <w:rsid w:val="004C4213"/>
    <w:rsid w:val="004C52C6"/>
    <w:rsid w:val="004C591F"/>
    <w:rsid w:val="004C658C"/>
    <w:rsid w:val="004C6807"/>
    <w:rsid w:val="004C6E8C"/>
    <w:rsid w:val="004C7B39"/>
    <w:rsid w:val="004D1386"/>
    <w:rsid w:val="004D1706"/>
    <w:rsid w:val="004D19C4"/>
    <w:rsid w:val="004D1DBD"/>
    <w:rsid w:val="004D2BDE"/>
    <w:rsid w:val="004D2CF4"/>
    <w:rsid w:val="004D3791"/>
    <w:rsid w:val="004D3C28"/>
    <w:rsid w:val="004D43D2"/>
    <w:rsid w:val="004D4F83"/>
    <w:rsid w:val="004D4FE8"/>
    <w:rsid w:val="004D53F4"/>
    <w:rsid w:val="004D5857"/>
    <w:rsid w:val="004D5947"/>
    <w:rsid w:val="004D59D9"/>
    <w:rsid w:val="004D6437"/>
    <w:rsid w:val="004D6741"/>
    <w:rsid w:val="004D72F6"/>
    <w:rsid w:val="004D77EC"/>
    <w:rsid w:val="004D7B11"/>
    <w:rsid w:val="004D7DC9"/>
    <w:rsid w:val="004E022D"/>
    <w:rsid w:val="004E02C4"/>
    <w:rsid w:val="004E0443"/>
    <w:rsid w:val="004E18A0"/>
    <w:rsid w:val="004E1C63"/>
    <w:rsid w:val="004E1E91"/>
    <w:rsid w:val="004E275A"/>
    <w:rsid w:val="004E2BCC"/>
    <w:rsid w:val="004E3625"/>
    <w:rsid w:val="004E4712"/>
    <w:rsid w:val="004E4FB7"/>
    <w:rsid w:val="004E568B"/>
    <w:rsid w:val="004E63B7"/>
    <w:rsid w:val="004E68D4"/>
    <w:rsid w:val="004E6BA0"/>
    <w:rsid w:val="004E6E21"/>
    <w:rsid w:val="004E7A76"/>
    <w:rsid w:val="004F0076"/>
    <w:rsid w:val="004F07C2"/>
    <w:rsid w:val="004F19FF"/>
    <w:rsid w:val="004F1B19"/>
    <w:rsid w:val="004F2129"/>
    <w:rsid w:val="004F34EF"/>
    <w:rsid w:val="004F54A5"/>
    <w:rsid w:val="004F635D"/>
    <w:rsid w:val="004F65DC"/>
    <w:rsid w:val="004F7D1B"/>
    <w:rsid w:val="004F7D5D"/>
    <w:rsid w:val="00500142"/>
    <w:rsid w:val="005007B1"/>
    <w:rsid w:val="00500AB1"/>
    <w:rsid w:val="00500C79"/>
    <w:rsid w:val="005015B6"/>
    <w:rsid w:val="00502302"/>
    <w:rsid w:val="0050281D"/>
    <w:rsid w:val="00502848"/>
    <w:rsid w:val="005029F1"/>
    <w:rsid w:val="00503024"/>
    <w:rsid w:val="00503B66"/>
    <w:rsid w:val="00503C32"/>
    <w:rsid w:val="00503E3B"/>
    <w:rsid w:val="005059F7"/>
    <w:rsid w:val="00505FF7"/>
    <w:rsid w:val="00506027"/>
    <w:rsid w:val="00506402"/>
    <w:rsid w:val="00506B86"/>
    <w:rsid w:val="005072E3"/>
    <w:rsid w:val="00507A59"/>
    <w:rsid w:val="0051055B"/>
    <w:rsid w:val="005109C3"/>
    <w:rsid w:val="00511979"/>
    <w:rsid w:val="00512442"/>
    <w:rsid w:val="005159B8"/>
    <w:rsid w:val="00516669"/>
    <w:rsid w:val="00516768"/>
    <w:rsid w:val="00517E83"/>
    <w:rsid w:val="00517FA6"/>
    <w:rsid w:val="00520B86"/>
    <w:rsid w:val="005211B2"/>
    <w:rsid w:val="00521974"/>
    <w:rsid w:val="00521C05"/>
    <w:rsid w:val="00521EFB"/>
    <w:rsid w:val="00522858"/>
    <w:rsid w:val="005229BA"/>
    <w:rsid w:val="00522AF2"/>
    <w:rsid w:val="00523234"/>
    <w:rsid w:val="0052328D"/>
    <w:rsid w:val="0052386E"/>
    <w:rsid w:val="00523F95"/>
    <w:rsid w:val="0052434F"/>
    <w:rsid w:val="005244C5"/>
    <w:rsid w:val="00524588"/>
    <w:rsid w:val="00524B8F"/>
    <w:rsid w:val="00524F18"/>
    <w:rsid w:val="00526E1C"/>
    <w:rsid w:val="00527246"/>
    <w:rsid w:val="0052740B"/>
    <w:rsid w:val="005275AE"/>
    <w:rsid w:val="00530153"/>
    <w:rsid w:val="0053098F"/>
    <w:rsid w:val="0053101F"/>
    <w:rsid w:val="0053172A"/>
    <w:rsid w:val="00532262"/>
    <w:rsid w:val="005322A6"/>
    <w:rsid w:val="00532AC2"/>
    <w:rsid w:val="0053366C"/>
    <w:rsid w:val="00533C08"/>
    <w:rsid w:val="00533FFB"/>
    <w:rsid w:val="00535DA5"/>
    <w:rsid w:val="005362EA"/>
    <w:rsid w:val="00536D99"/>
    <w:rsid w:val="00537021"/>
    <w:rsid w:val="00537186"/>
    <w:rsid w:val="005374CB"/>
    <w:rsid w:val="00537DC1"/>
    <w:rsid w:val="00537E9A"/>
    <w:rsid w:val="00540185"/>
    <w:rsid w:val="00540ADC"/>
    <w:rsid w:val="005431A8"/>
    <w:rsid w:val="0054387B"/>
    <w:rsid w:val="005439D7"/>
    <w:rsid w:val="00543C0C"/>
    <w:rsid w:val="00544368"/>
    <w:rsid w:val="00544432"/>
    <w:rsid w:val="00544882"/>
    <w:rsid w:val="00544B8D"/>
    <w:rsid w:val="0054526E"/>
    <w:rsid w:val="0054549A"/>
    <w:rsid w:val="00546250"/>
    <w:rsid w:val="00546487"/>
    <w:rsid w:val="005468AF"/>
    <w:rsid w:val="005470CE"/>
    <w:rsid w:val="0054729F"/>
    <w:rsid w:val="00547A9B"/>
    <w:rsid w:val="00547FDD"/>
    <w:rsid w:val="00550805"/>
    <w:rsid w:val="00551030"/>
    <w:rsid w:val="005518C7"/>
    <w:rsid w:val="00552654"/>
    <w:rsid w:val="00552793"/>
    <w:rsid w:val="00554138"/>
    <w:rsid w:val="00555043"/>
    <w:rsid w:val="005558AD"/>
    <w:rsid w:val="005559D6"/>
    <w:rsid w:val="00555FC7"/>
    <w:rsid w:val="00556ADB"/>
    <w:rsid w:val="0055713F"/>
    <w:rsid w:val="0056025F"/>
    <w:rsid w:val="005602CA"/>
    <w:rsid w:val="005605F6"/>
    <w:rsid w:val="005612E9"/>
    <w:rsid w:val="005618A5"/>
    <w:rsid w:val="00561E0F"/>
    <w:rsid w:val="00562337"/>
    <w:rsid w:val="00562690"/>
    <w:rsid w:val="005638FC"/>
    <w:rsid w:val="00564940"/>
    <w:rsid w:val="0056696F"/>
    <w:rsid w:val="005670DC"/>
    <w:rsid w:val="00567914"/>
    <w:rsid w:val="00567B23"/>
    <w:rsid w:val="005704A4"/>
    <w:rsid w:val="0057058A"/>
    <w:rsid w:val="00571033"/>
    <w:rsid w:val="00571150"/>
    <w:rsid w:val="00572E56"/>
    <w:rsid w:val="00572FBD"/>
    <w:rsid w:val="00573B08"/>
    <w:rsid w:val="00573E94"/>
    <w:rsid w:val="00573EC8"/>
    <w:rsid w:val="0057532A"/>
    <w:rsid w:val="00576144"/>
    <w:rsid w:val="005765A5"/>
    <w:rsid w:val="00577328"/>
    <w:rsid w:val="00580272"/>
    <w:rsid w:val="00580749"/>
    <w:rsid w:val="00580BC9"/>
    <w:rsid w:val="00580EEF"/>
    <w:rsid w:val="005811C4"/>
    <w:rsid w:val="005812D2"/>
    <w:rsid w:val="00581312"/>
    <w:rsid w:val="00581416"/>
    <w:rsid w:val="00581A03"/>
    <w:rsid w:val="00582414"/>
    <w:rsid w:val="0058277B"/>
    <w:rsid w:val="00582874"/>
    <w:rsid w:val="00583480"/>
    <w:rsid w:val="00583829"/>
    <w:rsid w:val="005840C2"/>
    <w:rsid w:val="00584713"/>
    <w:rsid w:val="00585E00"/>
    <w:rsid w:val="0058672A"/>
    <w:rsid w:val="00586C36"/>
    <w:rsid w:val="00587A09"/>
    <w:rsid w:val="00587ABD"/>
    <w:rsid w:val="00587D0F"/>
    <w:rsid w:val="005908C8"/>
    <w:rsid w:val="00590A7F"/>
    <w:rsid w:val="00590FF7"/>
    <w:rsid w:val="0059172F"/>
    <w:rsid w:val="00591881"/>
    <w:rsid w:val="005918C5"/>
    <w:rsid w:val="00592536"/>
    <w:rsid w:val="00592CE7"/>
    <w:rsid w:val="00593C40"/>
    <w:rsid w:val="005949B1"/>
    <w:rsid w:val="00594CCC"/>
    <w:rsid w:val="00595018"/>
    <w:rsid w:val="00595562"/>
    <w:rsid w:val="00596890"/>
    <w:rsid w:val="00597CF3"/>
    <w:rsid w:val="005A071F"/>
    <w:rsid w:val="005A0DA9"/>
    <w:rsid w:val="005A15E4"/>
    <w:rsid w:val="005A16DB"/>
    <w:rsid w:val="005A1BF6"/>
    <w:rsid w:val="005A2409"/>
    <w:rsid w:val="005A29EE"/>
    <w:rsid w:val="005A2A3B"/>
    <w:rsid w:val="005A2A74"/>
    <w:rsid w:val="005A2AA5"/>
    <w:rsid w:val="005A3488"/>
    <w:rsid w:val="005A3F4D"/>
    <w:rsid w:val="005A4E49"/>
    <w:rsid w:val="005A5346"/>
    <w:rsid w:val="005A55A2"/>
    <w:rsid w:val="005A599C"/>
    <w:rsid w:val="005A6008"/>
    <w:rsid w:val="005A600A"/>
    <w:rsid w:val="005A6323"/>
    <w:rsid w:val="005A6915"/>
    <w:rsid w:val="005A6ECB"/>
    <w:rsid w:val="005B017A"/>
    <w:rsid w:val="005B0192"/>
    <w:rsid w:val="005B0651"/>
    <w:rsid w:val="005B16A9"/>
    <w:rsid w:val="005B22E3"/>
    <w:rsid w:val="005B3809"/>
    <w:rsid w:val="005B3B47"/>
    <w:rsid w:val="005B43CB"/>
    <w:rsid w:val="005B447B"/>
    <w:rsid w:val="005B4F27"/>
    <w:rsid w:val="005B52CB"/>
    <w:rsid w:val="005B5FBD"/>
    <w:rsid w:val="005B672A"/>
    <w:rsid w:val="005B687F"/>
    <w:rsid w:val="005B69AA"/>
    <w:rsid w:val="005B72DF"/>
    <w:rsid w:val="005C0246"/>
    <w:rsid w:val="005C19F1"/>
    <w:rsid w:val="005C2063"/>
    <w:rsid w:val="005C3BAF"/>
    <w:rsid w:val="005C3F36"/>
    <w:rsid w:val="005C4AD1"/>
    <w:rsid w:val="005C4EF2"/>
    <w:rsid w:val="005C584A"/>
    <w:rsid w:val="005C6628"/>
    <w:rsid w:val="005C66A2"/>
    <w:rsid w:val="005C679A"/>
    <w:rsid w:val="005C6BF2"/>
    <w:rsid w:val="005C6EDC"/>
    <w:rsid w:val="005C7152"/>
    <w:rsid w:val="005C7865"/>
    <w:rsid w:val="005C7CEA"/>
    <w:rsid w:val="005C7DA3"/>
    <w:rsid w:val="005C7F39"/>
    <w:rsid w:val="005D26E4"/>
    <w:rsid w:val="005D2C2A"/>
    <w:rsid w:val="005D3B1F"/>
    <w:rsid w:val="005D4562"/>
    <w:rsid w:val="005D483C"/>
    <w:rsid w:val="005D4E14"/>
    <w:rsid w:val="005D5A72"/>
    <w:rsid w:val="005D625F"/>
    <w:rsid w:val="005D68C7"/>
    <w:rsid w:val="005D6A30"/>
    <w:rsid w:val="005D77D0"/>
    <w:rsid w:val="005D78C8"/>
    <w:rsid w:val="005E05C6"/>
    <w:rsid w:val="005E0938"/>
    <w:rsid w:val="005E15A8"/>
    <w:rsid w:val="005E162F"/>
    <w:rsid w:val="005E1D52"/>
    <w:rsid w:val="005E246B"/>
    <w:rsid w:val="005E3526"/>
    <w:rsid w:val="005E42C4"/>
    <w:rsid w:val="005E5E38"/>
    <w:rsid w:val="005E6C26"/>
    <w:rsid w:val="005F18C2"/>
    <w:rsid w:val="005F1FD2"/>
    <w:rsid w:val="005F217A"/>
    <w:rsid w:val="005F37D8"/>
    <w:rsid w:val="005F3B64"/>
    <w:rsid w:val="005F3C1B"/>
    <w:rsid w:val="005F40CB"/>
    <w:rsid w:val="005F580D"/>
    <w:rsid w:val="005F67B8"/>
    <w:rsid w:val="005F7A79"/>
    <w:rsid w:val="00600FFF"/>
    <w:rsid w:val="0060121D"/>
    <w:rsid w:val="006014E9"/>
    <w:rsid w:val="0060220B"/>
    <w:rsid w:val="00603AEC"/>
    <w:rsid w:val="00605A44"/>
    <w:rsid w:val="00605ABA"/>
    <w:rsid w:val="00606590"/>
    <w:rsid w:val="00606CBA"/>
    <w:rsid w:val="00606DA4"/>
    <w:rsid w:val="00606FD5"/>
    <w:rsid w:val="00607188"/>
    <w:rsid w:val="00611286"/>
    <w:rsid w:val="006119A0"/>
    <w:rsid w:val="00611A60"/>
    <w:rsid w:val="00611BF3"/>
    <w:rsid w:val="0061247F"/>
    <w:rsid w:val="006130F4"/>
    <w:rsid w:val="00613257"/>
    <w:rsid w:val="006136EE"/>
    <w:rsid w:val="0061380B"/>
    <w:rsid w:val="00613917"/>
    <w:rsid w:val="00613BF6"/>
    <w:rsid w:val="00614869"/>
    <w:rsid w:val="00614C59"/>
    <w:rsid w:val="00614D46"/>
    <w:rsid w:val="006154D1"/>
    <w:rsid w:val="00616341"/>
    <w:rsid w:val="00616B9D"/>
    <w:rsid w:val="00617C36"/>
    <w:rsid w:val="00617EAF"/>
    <w:rsid w:val="0062117C"/>
    <w:rsid w:val="00621425"/>
    <w:rsid w:val="00621761"/>
    <w:rsid w:val="00621BE4"/>
    <w:rsid w:val="00621E1D"/>
    <w:rsid w:val="00622011"/>
    <w:rsid w:val="00622B78"/>
    <w:rsid w:val="00623A94"/>
    <w:rsid w:val="00626112"/>
    <w:rsid w:val="006273C2"/>
    <w:rsid w:val="006309FC"/>
    <w:rsid w:val="0063514A"/>
    <w:rsid w:val="00635F1D"/>
    <w:rsid w:val="006363ED"/>
    <w:rsid w:val="006366CD"/>
    <w:rsid w:val="006366DD"/>
    <w:rsid w:val="00636BBC"/>
    <w:rsid w:val="00641920"/>
    <w:rsid w:val="00642C1F"/>
    <w:rsid w:val="00642CEE"/>
    <w:rsid w:val="00643993"/>
    <w:rsid w:val="00644168"/>
    <w:rsid w:val="006448BA"/>
    <w:rsid w:val="00644D60"/>
    <w:rsid w:val="00644DC8"/>
    <w:rsid w:val="00644FBF"/>
    <w:rsid w:val="00645864"/>
    <w:rsid w:val="00646FBD"/>
    <w:rsid w:val="006475D2"/>
    <w:rsid w:val="00650393"/>
    <w:rsid w:val="0065086E"/>
    <w:rsid w:val="0065175F"/>
    <w:rsid w:val="006526A9"/>
    <w:rsid w:val="006527F5"/>
    <w:rsid w:val="00652C8A"/>
    <w:rsid w:val="00652FF4"/>
    <w:rsid w:val="00653D95"/>
    <w:rsid w:val="006562E0"/>
    <w:rsid w:val="0065664E"/>
    <w:rsid w:val="006605A8"/>
    <w:rsid w:val="00660B40"/>
    <w:rsid w:val="00661129"/>
    <w:rsid w:val="00662769"/>
    <w:rsid w:val="006631DB"/>
    <w:rsid w:val="0066355E"/>
    <w:rsid w:val="00664068"/>
    <w:rsid w:val="0066436E"/>
    <w:rsid w:val="006646DF"/>
    <w:rsid w:val="006651B6"/>
    <w:rsid w:val="00666192"/>
    <w:rsid w:val="00666326"/>
    <w:rsid w:val="00666B6F"/>
    <w:rsid w:val="00666F99"/>
    <w:rsid w:val="006677CB"/>
    <w:rsid w:val="00670584"/>
    <w:rsid w:val="00670D65"/>
    <w:rsid w:val="0067278B"/>
    <w:rsid w:val="00672972"/>
    <w:rsid w:val="0067312C"/>
    <w:rsid w:val="00673706"/>
    <w:rsid w:val="00673BA6"/>
    <w:rsid w:val="0067411F"/>
    <w:rsid w:val="00674C33"/>
    <w:rsid w:val="006753B0"/>
    <w:rsid w:val="00675654"/>
    <w:rsid w:val="006761DD"/>
    <w:rsid w:val="006765D2"/>
    <w:rsid w:val="00677937"/>
    <w:rsid w:val="00677A39"/>
    <w:rsid w:val="00677D09"/>
    <w:rsid w:val="00680F55"/>
    <w:rsid w:val="00681151"/>
    <w:rsid w:val="00681401"/>
    <w:rsid w:val="00681ABD"/>
    <w:rsid w:val="00682504"/>
    <w:rsid w:val="0068378D"/>
    <w:rsid w:val="00683AA9"/>
    <w:rsid w:val="00683FDF"/>
    <w:rsid w:val="0068445F"/>
    <w:rsid w:val="00684C35"/>
    <w:rsid w:val="00684EE3"/>
    <w:rsid w:val="006863CA"/>
    <w:rsid w:val="00686967"/>
    <w:rsid w:val="00687D6D"/>
    <w:rsid w:val="00687DD2"/>
    <w:rsid w:val="00691887"/>
    <w:rsid w:val="006918CB"/>
    <w:rsid w:val="00691E3A"/>
    <w:rsid w:val="00691FC1"/>
    <w:rsid w:val="0069269E"/>
    <w:rsid w:val="00693A87"/>
    <w:rsid w:val="0069430A"/>
    <w:rsid w:val="00694429"/>
    <w:rsid w:val="00694AE2"/>
    <w:rsid w:val="00695957"/>
    <w:rsid w:val="00695AA3"/>
    <w:rsid w:val="00695C6D"/>
    <w:rsid w:val="00696147"/>
    <w:rsid w:val="00696319"/>
    <w:rsid w:val="006A0936"/>
    <w:rsid w:val="006A1960"/>
    <w:rsid w:val="006A56ED"/>
    <w:rsid w:val="006A652C"/>
    <w:rsid w:val="006A652D"/>
    <w:rsid w:val="006A6E70"/>
    <w:rsid w:val="006A7052"/>
    <w:rsid w:val="006B037C"/>
    <w:rsid w:val="006B0D23"/>
    <w:rsid w:val="006B10A8"/>
    <w:rsid w:val="006B140F"/>
    <w:rsid w:val="006B27D0"/>
    <w:rsid w:val="006B2905"/>
    <w:rsid w:val="006B2E28"/>
    <w:rsid w:val="006B2F1C"/>
    <w:rsid w:val="006B30EB"/>
    <w:rsid w:val="006B34BF"/>
    <w:rsid w:val="006B3626"/>
    <w:rsid w:val="006B3FE3"/>
    <w:rsid w:val="006B44B1"/>
    <w:rsid w:val="006B5276"/>
    <w:rsid w:val="006B6CED"/>
    <w:rsid w:val="006B6ECE"/>
    <w:rsid w:val="006B7109"/>
    <w:rsid w:val="006B7B4B"/>
    <w:rsid w:val="006C020D"/>
    <w:rsid w:val="006C03EE"/>
    <w:rsid w:val="006C180C"/>
    <w:rsid w:val="006C1A75"/>
    <w:rsid w:val="006C1A96"/>
    <w:rsid w:val="006C3591"/>
    <w:rsid w:val="006C371A"/>
    <w:rsid w:val="006C44B2"/>
    <w:rsid w:val="006C56B9"/>
    <w:rsid w:val="006C6529"/>
    <w:rsid w:val="006C6902"/>
    <w:rsid w:val="006C6E9B"/>
    <w:rsid w:val="006D246E"/>
    <w:rsid w:val="006D2B0F"/>
    <w:rsid w:val="006D3346"/>
    <w:rsid w:val="006D3F82"/>
    <w:rsid w:val="006D3FDF"/>
    <w:rsid w:val="006D5121"/>
    <w:rsid w:val="006D5469"/>
    <w:rsid w:val="006D6429"/>
    <w:rsid w:val="006D67DF"/>
    <w:rsid w:val="006D7351"/>
    <w:rsid w:val="006D7B91"/>
    <w:rsid w:val="006E007B"/>
    <w:rsid w:val="006E07E3"/>
    <w:rsid w:val="006E0D1A"/>
    <w:rsid w:val="006E108B"/>
    <w:rsid w:val="006E1830"/>
    <w:rsid w:val="006E1BC5"/>
    <w:rsid w:val="006E1DB6"/>
    <w:rsid w:val="006E20A7"/>
    <w:rsid w:val="006E2E0E"/>
    <w:rsid w:val="006E42E0"/>
    <w:rsid w:val="006E4FAB"/>
    <w:rsid w:val="006E5289"/>
    <w:rsid w:val="006E528A"/>
    <w:rsid w:val="006E5705"/>
    <w:rsid w:val="006E6EC8"/>
    <w:rsid w:val="006E75AE"/>
    <w:rsid w:val="006E76F4"/>
    <w:rsid w:val="006F0B12"/>
    <w:rsid w:val="006F1ECA"/>
    <w:rsid w:val="006F2A06"/>
    <w:rsid w:val="006F3167"/>
    <w:rsid w:val="006F384B"/>
    <w:rsid w:val="006F443A"/>
    <w:rsid w:val="006F452D"/>
    <w:rsid w:val="006F5236"/>
    <w:rsid w:val="006F53FF"/>
    <w:rsid w:val="006F5606"/>
    <w:rsid w:val="006F5697"/>
    <w:rsid w:val="006F572D"/>
    <w:rsid w:val="006F58EB"/>
    <w:rsid w:val="006F6836"/>
    <w:rsid w:val="007004E0"/>
    <w:rsid w:val="007013E2"/>
    <w:rsid w:val="007018B1"/>
    <w:rsid w:val="00701963"/>
    <w:rsid w:val="00701A67"/>
    <w:rsid w:val="00701B0A"/>
    <w:rsid w:val="00701E17"/>
    <w:rsid w:val="007021C1"/>
    <w:rsid w:val="007032A6"/>
    <w:rsid w:val="0070479A"/>
    <w:rsid w:val="00704B74"/>
    <w:rsid w:val="007050BC"/>
    <w:rsid w:val="007057AD"/>
    <w:rsid w:val="0070655D"/>
    <w:rsid w:val="00706646"/>
    <w:rsid w:val="007068C0"/>
    <w:rsid w:val="0071044D"/>
    <w:rsid w:val="00710A09"/>
    <w:rsid w:val="00711693"/>
    <w:rsid w:val="00711EFF"/>
    <w:rsid w:val="00713A25"/>
    <w:rsid w:val="00713F97"/>
    <w:rsid w:val="00714729"/>
    <w:rsid w:val="00714DF7"/>
    <w:rsid w:val="00714F5C"/>
    <w:rsid w:val="007151E3"/>
    <w:rsid w:val="00715FDB"/>
    <w:rsid w:val="007160F9"/>
    <w:rsid w:val="00717F45"/>
    <w:rsid w:val="00720962"/>
    <w:rsid w:val="007217EF"/>
    <w:rsid w:val="0072247A"/>
    <w:rsid w:val="007226B1"/>
    <w:rsid w:val="00723326"/>
    <w:rsid w:val="00723440"/>
    <w:rsid w:val="007239A2"/>
    <w:rsid w:val="00723DDB"/>
    <w:rsid w:val="00723EFD"/>
    <w:rsid w:val="007252AD"/>
    <w:rsid w:val="007261CB"/>
    <w:rsid w:val="00727091"/>
    <w:rsid w:val="007275F9"/>
    <w:rsid w:val="0073070D"/>
    <w:rsid w:val="00731C7D"/>
    <w:rsid w:val="00732E54"/>
    <w:rsid w:val="007344AE"/>
    <w:rsid w:val="007345DC"/>
    <w:rsid w:val="00734A33"/>
    <w:rsid w:val="007371BE"/>
    <w:rsid w:val="00737738"/>
    <w:rsid w:val="00737D7F"/>
    <w:rsid w:val="00737D98"/>
    <w:rsid w:val="00737FD2"/>
    <w:rsid w:val="00740197"/>
    <w:rsid w:val="007403EC"/>
    <w:rsid w:val="0074065C"/>
    <w:rsid w:val="0074118C"/>
    <w:rsid w:val="007411B1"/>
    <w:rsid w:val="00741507"/>
    <w:rsid w:val="0074264B"/>
    <w:rsid w:val="00742822"/>
    <w:rsid w:val="007446EF"/>
    <w:rsid w:val="00744ADE"/>
    <w:rsid w:val="0074590A"/>
    <w:rsid w:val="00745E38"/>
    <w:rsid w:val="00745FA1"/>
    <w:rsid w:val="007461BE"/>
    <w:rsid w:val="00746409"/>
    <w:rsid w:val="0074672D"/>
    <w:rsid w:val="00746BE4"/>
    <w:rsid w:val="007506B9"/>
    <w:rsid w:val="00750CEB"/>
    <w:rsid w:val="007514F6"/>
    <w:rsid w:val="00751503"/>
    <w:rsid w:val="0075272B"/>
    <w:rsid w:val="00753596"/>
    <w:rsid w:val="00753824"/>
    <w:rsid w:val="00753BF9"/>
    <w:rsid w:val="00754B0D"/>
    <w:rsid w:val="0075524B"/>
    <w:rsid w:val="0075535D"/>
    <w:rsid w:val="00755444"/>
    <w:rsid w:val="00756277"/>
    <w:rsid w:val="007579F0"/>
    <w:rsid w:val="007613A2"/>
    <w:rsid w:val="00761EF7"/>
    <w:rsid w:val="00762BB4"/>
    <w:rsid w:val="00765339"/>
    <w:rsid w:val="0076594F"/>
    <w:rsid w:val="0076599E"/>
    <w:rsid w:val="007663CE"/>
    <w:rsid w:val="007664CA"/>
    <w:rsid w:val="00767688"/>
    <w:rsid w:val="00767F68"/>
    <w:rsid w:val="00770128"/>
    <w:rsid w:val="00770E01"/>
    <w:rsid w:val="00771825"/>
    <w:rsid w:val="00774E5F"/>
    <w:rsid w:val="007750DA"/>
    <w:rsid w:val="00777F32"/>
    <w:rsid w:val="00780D3B"/>
    <w:rsid w:val="00781463"/>
    <w:rsid w:val="00781AB7"/>
    <w:rsid w:val="00782098"/>
    <w:rsid w:val="00782168"/>
    <w:rsid w:val="00782633"/>
    <w:rsid w:val="00783634"/>
    <w:rsid w:val="00784801"/>
    <w:rsid w:val="00784F5F"/>
    <w:rsid w:val="007860FB"/>
    <w:rsid w:val="00787A0E"/>
    <w:rsid w:val="00787C5C"/>
    <w:rsid w:val="0079049D"/>
    <w:rsid w:val="00790CE7"/>
    <w:rsid w:val="00791105"/>
    <w:rsid w:val="007917DE"/>
    <w:rsid w:val="007930D5"/>
    <w:rsid w:val="00793465"/>
    <w:rsid w:val="00793A05"/>
    <w:rsid w:val="00793C2C"/>
    <w:rsid w:val="007952CF"/>
    <w:rsid w:val="00795D22"/>
    <w:rsid w:val="00796186"/>
    <w:rsid w:val="00796AFF"/>
    <w:rsid w:val="00797D5B"/>
    <w:rsid w:val="007A0103"/>
    <w:rsid w:val="007A08FF"/>
    <w:rsid w:val="007A276F"/>
    <w:rsid w:val="007A3F39"/>
    <w:rsid w:val="007A4C03"/>
    <w:rsid w:val="007A4CCE"/>
    <w:rsid w:val="007A4D32"/>
    <w:rsid w:val="007A5BF5"/>
    <w:rsid w:val="007A6BF1"/>
    <w:rsid w:val="007A74E1"/>
    <w:rsid w:val="007A74EA"/>
    <w:rsid w:val="007B09CE"/>
    <w:rsid w:val="007B10F1"/>
    <w:rsid w:val="007B3079"/>
    <w:rsid w:val="007B4F30"/>
    <w:rsid w:val="007B529A"/>
    <w:rsid w:val="007B5865"/>
    <w:rsid w:val="007B5ABF"/>
    <w:rsid w:val="007B5AD0"/>
    <w:rsid w:val="007B5E60"/>
    <w:rsid w:val="007C0005"/>
    <w:rsid w:val="007C03FC"/>
    <w:rsid w:val="007C0C8B"/>
    <w:rsid w:val="007C1CE3"/>
    <w:rsid w:val="007C2507"/>
    <w:rsid w:val="007C27AA"/>
    <w:rsid w:val="007C2C2B"/>
    <w:rsid w:val="007C31A7"/>
    <w:rsid w:val="007C33C1"/>
    <w:rsid w:val="007C4415"/>
    <w:rsid w:val="007C5B79"/>
    <w:rsid w:val="007C5D69"/>
    <w:rsid w:val="007C5E98"/>
    <w:rsid w:val="007C61DD"/>
    <w:rsid w:val="007D0260"/>
    <w:rsid w:val="007D27D5"/>
    <w:rsid w:val="007D28A6"/>
    <w:rsid w:val="007D2A3D"/>
    <w:rsid w:val="007D2F99"/>
    <w:rsid w:val="007D385A"/>
    <w:rsid w:val="007D456D"/>
    <w:rsid w:val="007D5BF4"/>
    <w:rsid w:val="007D6C23"/>
    <w:rsid w:val="007D7167"/>
    <w:rsid w:val="007E10E6"/>
    <w:rsid w:val="007E1B43"/>
    <w:rsid w:val="007E1F25"/>
    <w:rsid w:val="007E20AA"/>
    <w:rsid w:val="007E228F"/>
    <w:rsid w:val="007E28F0"/>
    <w:rsid w:val="007E3C6D"/>
    <w:rsid w:val="007E4231"/>
    <w:rsid w:val="007E4268"/>
    <w:rsid w:val="007E47F6"/>
    <w:rsid w:val="007E5222"/>
    <w:rsid w:val="007E5986"/>
    <w:rsid w:val="007E601D"/>
    <w:rsid w:val="007E63A5"/>
    <w:rsid w:val="007E6E39"/>
    <w:rsid w:val="007E6F1F"/>
    <w:rsid w:val="007E7AD3"/>
    <w:rsid w:val="007F048C"/>
    <w:rsid w:val="007F075E"/>
    <w:rsid w:val="007F0A74"/>
    <w:rsid w:val="007F0D73"/>
    <w:rsid w:val="007F113E"/>
    <w:rsid w:val="007F16BD"/>
    <w:rsid w:val="007F1AD9"/>
    <w:rsid w:val="007F4A9C"/>
    <w:rsid w:val="007F4C62"/>
    <w:rsid w:val="007F4E15"/>
    <w:rsid w:val="007F506F"/>
    <w:rsid w:val="007F52EE"/>
    <w:rsid w:val="007F5552"/>
    <w:rsid w:val="007F55B8"/>
    <w:rsid w:val="007F5689"/>
    <w:rsid w:val="007F5B01"/>
    <w:rsid w:val="007F6914"/>
    <w:rsid w:val="007F703A"/>
    <w:rsid w:val="007F7F21"/>
    <w:rsid w:val="007F7FB1"/>
    <w:rsid w:val="00800AC4"/>
    <w:rsid w:val="00800CD2"/>
    <w:rsid w:val="00800ED4"/>
    <w:rsid w:val="00800EFD"/>
    <w:rsid w:val="00801280"/>
    <w:rsid w:val="008029A0"/>
    <w:rsid w:val="00802A97"/>
    <w:rsid w:val="00805123"/>
    <w:rsid w:val="00805373"/>
    <w:rsid w:val="00806419"/>
    <w:rsid w:val="00806864"/>
    <w:rsid w:val="00810003"/>
    <w:rsid w:val="008106AE"/>
    <w:rsid w:val="008116C4"/>
    <w:rsid w:val="00811E48"/>
    <w:rsid w:val="0081214B"/>
    <w:rsid w:val="008128EE"/>
    <w:rsid w:val="00812BD2"/>
    <w:rsid w:val="00813340"/>
    <w:rsid w:val="00813B1C"/>
    <w:rsid w:val="00814644"/>
    <w:rsid w:val="008155CD"/>
    <w:rsid w:val="008159A7"/>
    <w:rsid w:val="00815D5D"/>
    <w:rsid w:val="008174FD"/>
    <w:rsid w:val="0081772D"/>
    <w:rsid w:val="0082008D"/>
    <w:rsid w:val="00820705"/>
    <w:rsid w:val="008213D1"/>
    <w:rsid w:val="008251E4"/>
    <w:rsid w:val="00825CDE"/>
    <w:rsid w:val="00826444"/>
    <w:rsid w:val="00826A22"/>
    <w:rsid w:val="00826DFD"/>
    <w:rsid w:val="0082703F"/>
    <w:rsid w:val="00827373"/>
    <w:rsid w:val="00827A34"/>
    <w:rsid w:val="00831835"/>
    <w:rsid w:val="008318CA"/>
    <w:rsid w:val="00831F70"/>
    <w:rsid w:val="00833138"/>
    <w:rsid w:val="008332FA"/>
    <w:rsid w:val="00833551"/>
    <w:rsid w:val="0083357A"/>
    <w:rsid w:val="00833707"/>
    <w:rsid w:val="00833CB7"/>
    <w:rsid w:val="008342FF"/>
    <w:rsid w:val="00834616"/>
    <w:rsid w:val="008347E7"/>
    <w:rsid w:val="00834A0F"/>
    <w:rsid w:val="00834A52"/>
    <w:rsid w:val="00835C3C"/>
    <w:rsid w:val="00836BF0"/>
    <w:rsid w:val="00841101"/>
    <w:rsid w:val="00841197"/>
    <w:rsid w:val="008417D8"/>
    <w:rsid w:val="00842576"/>
    <w:rsid w:val="0084298A"/>
    <w:rsid w:val="00843A9A"/>
    <w:rsid w:val="008446E9"/>
    <w:rsid w:val="008457BA"/>
    <w:rsid w:val="008467C7"/>
    <w:rsid w:val="0084680D"/>
    <w:rsid w:val="0084756D"/>
    <w:rsid w:val="00850654"/>
    <w:rsid w:val="00850DC3"/>
    <w:rsid w:val="008524E5"/>
    <w:rsid w:val="00852F6F"/>
    <w:rsid w:val="008534ED"/>
    <w:rsid w:val="0085367E"/>
    <w:rsid w:val="008559EA"/>
    <w:rsid w:val="00855A0B"/>
    <w:rsid w:val="00856B1D"/>
    <w:rsid w:val="00857AF9"/>
    <w:rsid w:val="00857D2C"/>
    <w:rsid w:val="00861275"/>
    <w:rsid w:val="00861782"/>
    <w:rsid w:val="00861EAB"/>
    <w:rsid w:val="0086211D"/>
    <w:rsid w:val="00862FB3"/>
    <w:rsid w:val="00863712"/>
    <w:rsid w:val="00863A84"/>
    <w:rsid w:val="00863AC2"/>
    <w:rsid w:val="00863B2F"/>
    <w:rsid w:val="0086427F"/>
    <w:rsid w:val="00864313"/>
    <w:rsid w:val="00864434"/>
    <w:rsid w:val="00865689"/>
    <w:rsid w:val="00867009"/>
    <w:rsid w:val="00867BED"/>
    <w:rsid w:val="00870AB0"/>
    <w:rsid w:val="00871464"/>
    <w:rsid w:val="00871B3D"/>
    <w:rsid w:val="008721BD"/>
    <w:rsid w:val="00872593"/>
    <w:rsid w:val="00872D4E"/>
    <w:rsid w:val="00874888"/>
    <w:rsid w:val="008749BF"/>
    <w:rsid w:val="008759F1"/>
    <w:rsid w:val="00875C09"/>
    <w:rsid w:val="00875F6C"/>
    <w:rsid w:val="008760C5"/>
    <w:rsid w:val="00876AE3"/>
    <w:rsid w:val="00876C9D"/>
    <w:rsid w:val="00877ABA"/>
    <w:rsid w:val="00880102"/>
    <w:rsid w:val="00880976"/>
    <w:rsid w:val="008809ED"/>
    <w:rsid w:val="00880C92"/>
    <w:rsid w:val="00881242"/>
    <w:rsid w:val="00881679"/>
    <w:rsid w:val="00881E16"/>
    <w:rsid w:val="00881ED8"/>
    <w:rsid w:val="0088357D"/>
    <w:rsid w:val="00883681"/>
    <w:rsid w:val="008848EC"/>
    <w:rsid w:val="00885436"/>
    <w:rsid w:val="00885706"/>
    <w:rsid w:val="00885E2D"/>
    <w:rsid w:val="00886A3F"/>
    <w:rsid w:val="00887352"/>
    <w:rsid w:val="008875FC"/>
    <w:rsid w:val="00887F57"/>
    <w:rsid w:val="008904D3"/>
    <w:rsid w:val="00890FA1"/>
    <w:rsid w:val="008923D9"/>
    <w:rsid w:val="008926BB"/>
    <w:rsid w:val="00892CD1"/>
    <w:rsid w:val="00893B27"/>
    <w:rsid w:val="008947AC"/>
    <w:rsid w:val="00894891"/>
    <w:rsid w:val="00894EA2"/>
    <w:rsid w:val="00894F93"/>
    <w:rsid w:val="008964A3"/>
    <w:rsid w:val="00897644"/>
    <w:rsid w:val="00897C15"/>
    <w:rsid w:val="00897F11"/>
    <w:rsid w:val="008A0026"/>
    <w:rsid w:val="008A00C9"/>
    <w:rsid w:val="008A170F"/>
    <w:rsid w:val="008A1AAB"/>
    <w:rsid w:val="008A1F6A"/>
    <w:rsid w:val="008A20CA"/>
    <w:rsid w:val="008A29AB"/>
    <w:rsid w:val="008A2C2D"/>
    <w:rsid w:val="008A2C34"/>
    <w:rsid w:val="008A462F"/>
    <w:rsid w:val="008A49F6"/>
    <w:rsid w:val="008A4CB8"/>
    <w:rsid w:val="008A7D71"/>
    <w:rsid w:val="008A7ECC"/>
    <w:rsid w:val="008B101F"/>
    <w:rsid w:val="008B10FA"/>
    <w:rsid w:val="008B163D"/>
    <w:rsid w:val="008B2591"/>
    <w:rsid w:val="008B40D9"/>
    <w:rsid w:val="008B4E9E"/>
    <w:rsid w:val="008B51B3"/>
    <w:rsid w:val="008B6F51"/>
    <w:rsid w:val="008B7154"/>
    <w:rsid w:val="008B76A3"/>
    <w:rsid w:val="008B7B28"/>
    <w:rsid w:val="008B7DA3"/>
    <w:rsid w:val="008C06E5"/>
    <w:rsid w:val="008C136B"/>
    <w:rsid w:val="008C18B7"/>
    <w:rsid w:val="008C1AE7"/>
    <w:rsid w:val="008C240E"/>
    <w:rsid w:val="008C267B"/>
    <w:rsid w:val="008C26C3"/>
    <w:rsid w:val="008C3502"/>
    <w:rsid w:val="008C350F"/>
    <w:rsid w:val="008C403F"/>
    <w:rsid w:val="008C40F1"/>
    <w:rsid w:val="008C4903"/>
    <w:rsid w:val="008C533F"/>
    <w:rsid w:val="008C58EE"/>
    <w:rsid w:val="008C6326"/>
    <w:rsid w:val="008C7327"/>
    <w:rsid w:val="008C7717"/>
    <w:rsid w:val="008D0879"/>
    <w:rsid w:val="008D0BEA"/>
    <w:rsid w:val="008D13FC"/>
    <w:rsid w:val="008D1A30"/>
    <w:rsid w:val="008D2007"/>
    <w:rsid w:val="008D2EE4"/>
    <w:rsid w:val="008D3516"/>
    <w:rsid w:val="008D3D9B"/>
    <w:rsid w:val="008D4DBF"/>
    <w:rsid w:val="008D4F76"/>
    <w:rsid w:val="008D5AF2"/>
    <w:rsid w:val="008D5B22"/>
    <w:rsid w:val="008D5B40"/>
    <w:rsid w:val="008D5C18"/>
    <w:rsid w:val="008D688F"/>
    <w:rsid w:val="008E05BD"/>
    <w:rsid w:val="008E094F"/>
    <w:rsid w:val="008E112F"/>
    <w:rsid w:val="008E134B"/>
    <w:rsid w:val="008E1F1D"/>
    <w:rsid w:val="008E3D77"/>
    <w:rsid w:val="008E4265"/>
    <w:rsid w:val="008E4F7F"/>
    <w:rsid w:val="008E5892"/>
    <w:rsid w:val="008E5BD9"/>
    <w:rsid w:val="008E60ED"/>
    <w:rsid w:val="008E640B"/>
    <w:rsid w:val="008E69FE"/>
    <w:rsid w:val="008E70BD"/>
    <w:rsid w:val="008E7C0F"/>
    <w:rsid w:val="008E7FFD"/>
    <w:rsid w:val="008F031B"/>
    <w:rsid w:val="008F1BB1"/>
    <w:rsid w:val="008F272C"/>
    <w:rsid w:val="008F2BBD"/>
    <w:rsid w:val="008F3F3F"/>
    <w:rsid w:val="008F4707"/>
    <w:rsid w:val="008F557D"/>
    <w:rsid w:val="008F59DC"/>
    <w:rsid w:val="008F6473"/>
    <w:rsid w:val="008F6AD6"/>
    <w:rsid w:val="008F7C5C"/>
    <w:rsid w:val="00900116"/>
    <w:rsid w:val="00900346"/>
    <w:rsid w:val="009009DF"/>
    <w:rsid w:val="00900D93"/>
    <w:rsid w:val="0090197D"/>
    <w:rsid w:val="00901AB3"/>
    <w:rsid w:val="00901ECA"/>
    <w:rsid w:val="00902648"/>
    <w:rsid w:val="0090298C"/>
    <w:rsid w:val="00902EEC"/>
    <w:rsid w:val="00903589"/>
    <w:rsid w:val="0090371F"/>
    <w:rsid w:val="00903F5E"/>
    <w:rsid w:val="0090418D"/>
    <w:rsid w:val="0090550B"/>
    <w:rsid w:val="00905AE0"/>
    <w:rsid w:val="00905C15"/>
    <w:rsid w:val="00906B98"/>
    <w:rsid w:val="00906E92"/>
    <w:rsid w:val="00907583"/>
    <w:rsid w:val="009104B4"/>
    <w:rsid w:val="0091079E"/>
    <w:rsid w:val="0091096D"/>
    <w:rsid w:val="009109C1"/>
    <w:rsid w:val="00911016"/>
    <w:rsid w:val="00911680"/>
    <w:rsid w:val="0091175C"/>
    <w:rsid w:val="009120EE"/>
    <w:rsid w:val="0091213D"/>
    <w:rsid w:val="00912820"/>
    <w:rsid w:val="00912C9D"/>
    <w:rsid w:val="00913094"/>
    <w:rsid w:val="009135E7"/>
    <w:rsid w:val="009136BE"/>
    <w:rsid w:val="009136CB"/>
    <w:rsid w:val="009147F9"/>
    <w:rsid w:val="00914C38"/>
    <w:rsid w:val="00914F14"/>
    <w:rsid w:val="0091599B"/>
    <w:rsid w:val="0091628A"/>
    <w:rsid w:val="00916478"/>
    <w:rsid w:val="00916A11"/>
    <w:rsid w:val="00917156"/>
    <w:rsid w:val="00917832"/>
    <w:rsid w:val="00917B44"/>
    <w:rsid w:val="00917EBB"/>
    <w:rsid w:val="00920A0E"/>
    <w:rsid w:val="00920AC3"/>
    <w:rsid w:val="00920EF3"/>
    <w:rsid w:val="00921211"/>
    <w:rsid w:val="00921B1D"/>
    <w:rsid w:val="009228F9"/>
    <w:rsid w:val="0092295E"/>
    <w:rsid w:val="00922A00"/>
    <w:rsid w:val="00923662"/>
    <w:rsid w:val="009236F8"/>
    <w:rsid w:val="00925326"/>
    <w:rsid w:val="00925EA1"/>
    <w:rsid w:val="009262F4"/>
    <w:rsid w:val="00926A37"/>
    <w:rsid w:val="009273C1"/>
    <w:rsid w:val="00927BA5"/>
    <w:rsid w:val="009302C6"/>
    <w:rsid w:val="00930D47"/>
    <w:rsid w:val="0093113C"/>
    <w:rsid w:val="009317E8"/>
    <w:rsid w:val="00933E1E"/>
    <w:rsid w:val="0093419A"/>
    <w:rsid w:val="009343F3"/>
    <w:rsid w:val="00934A8B"/>
    <w:rsid w:val="00935197"/>
    <w:rsid w:val="00935622"/>
    <w:rsid w:val="009356FC"/>
    <w:rsid w:val="00935BFA"/>
    <w:rsid w:val="00936181"/>
    <w:rsid w:val="00936712"/>
    <w:rsid w:val="00936FF4"/>
    <w:rsid w:val="00937170"/>
    <w:rsid w:val="00937E0E"/>
    <w:rsid w:val="009405F4"/>
    <w:rsid w:val="0094085D"/>
    <w:rsid w:val="00940D17"/>
    <w:rsid w:val="009415C3"/>
    <w:rsid w:val="00941732"/>
    <w:rsid w:val="00941D47"/>
    <w:rsid w:val="00941F49"/>
    <w:rsid w:val="009427D0"/>
    <w:rsid w:val="00944297"/>
    <w:rsid w:val="0094455C"/>
    <w:rsid w:val="00946B6E"/>
    <w:rsid w:val="00947C74"/>
    <w:rsid w:val="00951995"/>
    <w:rsid w:val="009543E9"/>
    <w:rsid w:val="00954CF3"/>
    <w:rsid w:val="00956248"/>
    <w:rsid w:val="0095649C"/>
    <w:rsid w:val="0095668D"/>
    <w:rsid w:val="00956CFA"/>
    <w:rsid w:val="00960283"/>
    <w:rsid w:val="0096133A"/>
    <w:rsid w:val="00962CA6"/>
    <w:rsid w:val="00963184"/>
    <w:rsid w:val="0096356D"/>
    <w:rsid w:val="00963F68"/>
    <w:rsid w:val="0096516D"/>
    <w:rsid w:val="00965726"/>
    <w:rsid w:val="009665D4"/>
    <w:rsid w:val="00966765"/>
    <w:rsid w:val="00967C78"/>
    <w:rsid w:val="009712D9"/>
    <w:rsid w:val="00971442"/>
    <w:rsid w:val="009716B3"/>
    <w:rsid w:val="00972C4E"/>
    <w:rsid w:val="00972DFE"/>
    <w:rsid w:val="00972EDA"/>
    <w:rsid w:val="00974276"/>
    <w:rsid w:val="00974E20"/>
    <w:rsid w:val="00974FBE"/>
    <w:rsid w:val="0097501B"/>
    <w:rsid w:val="0097571E"/>
    <w:rsid w:val="00975D88"/>
    <w:rsid w:val="0097667A"/>
    <w:rsid w:val="009767CA"/>
    <w:rsid w:val="009767ED"/>
    <w:rsid w:val="00980318"/>
    <w:rsid w:val="00981426"/>
    <w:rsid w:val="00981C29"/>
    <w:rsid w:val="00981D5D"/>
    <w:rsid w:val="00983060"/>
    <w:rsid w:val="0098308F"/>
    <w:rsid w:val="00983563"/>
    <w:rsid w:val="00983A3A"/>
    <w:rsid w:val="00983D09"/>
    <w:rsid w:val="00983D67"/>
    <w:rsid w:val="00983F17"/>
    <w:rsid w:val="0098506E"/>
    <w:rsid w:val="0098526A"/>
    <w:rsid w:val="009854E5"/>
    <w:rsid w:val="009862A4"/>
    <w:rsid w:val="00986375"/>
    <w:rsid w:val="0098642D"/>
    <w:rsid w:val="00987472"/>
    <w:rsid w:val="00987D30"/>
    <w:rsid w:val="00990DA1"/>
    <w:rsid w:val="009914BE"/>
    <w:rsid w:val="009943A0"/>
    <w:rsid w:val="00996F54"/>
    <w:rsid w:val="0099721F"/>
    <w:rsid w:val="009A1316"/>
    <w:rsid w:val="009A224D"/>
    <w:rsid w:val="009A2947"/>
    <w:rsid w:val="009A2E97"/>
    <w:rsid w:val="009A44BD"/>
    <w:rsid w:val="009A4D2F"/>
    <w:rsid w:val="009A4F77"/>
    <w:rsid w:val="009A53A4"/>
    <w:rsid w:val="009A547E"/>
    <w:rsid w:val="009A5AC1"/>
    <w:rsid w:val="009A620B"/>
    <w:rsid w:val="009B0EAD"/>
    <w:rsid w:val="009B14AB"/>
    <w:rsid w:val="009B28DB"/>
    <w:rsid w:val="009B2D6C"/>
    <w:rsid w:val="009B2DE6"/>
    <w:rsid w:val="009B3662"/>
    <w:rsid w:val="009B3A3C"/>
    <w:rsid w:val="009B3FEC"/>
    <w:rsid w:val="009B4528"/>
    <w:rsid w:val="009B52F4"/>
    <w:rsid w:val="009B5477"/>
    <w:rsid w:val="009B5E13"/>
    <w:rsid w:val="009B5E47"/>
    <w:rsid w:val="009B6860"/>
    <w:rsid w:val="009B6942"/>
    <w:rsid w:val="009B699F"/>
    <w:rsid w:val="009B72B8"/>
    <w:rsid w:val="009C1444"/>
    <w:rsid w:val="009C18AA"/>
    <w:rsid w:val="009C2BA2"/>
    <w:rsid w:val="009C3648"/>
    <w:rsid w:val="009C4476"/>
    <w:rsid w:val="009C4A34"/>
    <w:rsid w:val="009C68C5"/>
    <w:rsid w:val="009D1172"/>
    <w:rsid w:val="009D154F"/>
    <w:rsid w:val="009D2303"/>
    <w:rsid w:val="009D2CCB"/>
    <w:rsid w:val="009D2DDF"/>
    <w:rsid w:val="009D2EE5"/>
    <w:rsid w:val="009D3912"/>
    <w:rsid w:val="009D4122"/>
    <w:rsid w:val="009D4E08"/>
    <w:rsid w:val="009E0FD7"/>
    <w:rsid w:val="009E1210"/>
    <w:rsid w:val="009E1379"/>
    <w:rsid w:val="009E17CC"/>
    <w:rsid w:val="009E1CA0"/>
    <w:rsid w:val="009E1D14"/>
    <w:rsid w:val="009E2AC6"/>
    <w:rsid w:val="009E2DF3"/>
    <w:rsid w:val="009E3250"/>
    <w:rsid w:val="009E3DEB"/>
    <w:rsid w:val="009E45BC"/>
    <w:rsid w:val="009E6C15"/>
    <w:rsid w:val="009E7D18"/>
    <w:rsid w:val="009F0556"/>
    <w:rsid w:val="009F0BA6"/>
    <w:rsid w:val="009F1418"/>
    <w:rsid w:val="009F1523"/>
    <w:rsid w:val="009F215E"/>
    <w:rsid w:val="009F2AFD"/>
    <w:rsid w:val="009F471A"/>
    <w:rsid w:val="009F4BA9"/>
    <w:rsid w:val="009F5499"/>
    <w:rsid w:val="009F5608"/>
    <w:rsid w:val="009F577E"/>
    <w:rsid w:val="009F697C"/>
    <w:rsid w:val="009F6E01"/>
    <w:rsid w:val="009F7104"/>
    <w:rsid w:val="009F79B8"/>
    <w:rsid w:val="00A01078"/>
    <w:rsid w:val="00A01B2B"/>
    <w:rsid w:val="00A01C25"/>
    <w:rsid w:val="00A03766"/>
    <w:rsid w:val="00A0449A"/>
    <w:rsid w:val="00A05908"/>
    <w:rsid w:val="00A05B23"/>
    <w:rsid w:val="00A05CB2"/>
    <w:rsid w:val="00A06151"/>
    <w:rsid w:val="00A07E1B"/>
    <w:rsid w:val="00A10AC6"/>
    <w:rsid w:val="00A10BB3"/>
    <w:rsid w:val="00A1175B"/>
    <w:rsid w:val="00A12659"/>
    <w:rsid w:val="00A12E43"/>
    <w:rsid w:val="00A137D3"/>
    <w:rsid w:val="00A15D8D"/>
    <w:rsid w:val="00A16E61"/>
    <w:rsid w:val="00A17095"/>
    <w:rsid w:val="00A2067F"/>
    <w:rsid w:val="00A20907"/>
    <w:rsid w:val="00A20D1F"/>
    <w:rsid w:val="00A20E16"/>
    <w:rsid w:val="00A20EDD"/>
    <w:rsid w:val="00A22123"/>
    <w:rsid w:val="00A222BC"/>
    <w:rsid w:val="00A224CE"/>
    <w:rsid w:val="00A24165"/>
    <w:rsid w:val="00A248C5"/>
    <w:rsid w:val="00A24D1A"/>
    <w:rsid w:val="00A2511A"/>
    <w:rsid w:val="00A2547A"/>
    <w:rsid w:val="00A2618D"/>
    <w:rsid w:val="00A2682B"/>
    <w:rsid w:val="00A300FE"/>
    <w:rsid w:val="00A30EE8"/>
    <w:rsid w:val="00A31773"/>
    <w:rsid w:val="00A31874"/>
    <w:rsid w:val="00A32B8A"/>
    <w:rsid w:val="00A32F2F"/>
    <w:rsid w:val="00A3341C"/>
    <w:rsid w:val="00A33EBE"/>
    <w:rsid w:val="00A352F0"/>
    <w:rsid w:val="00A36362"/>
    <w:rsid w:val="00A40045"/>
    <w:rsid w:val="00A40655"/>
    <w:rsid w:val="00A4095E"/>
    <w:rsid w:val="00A409AB"/>
    <w:rsid w:val="00A41A9C"/>
    <w:rsid w:val="00A4203D"/>
    <w:rsid w:val="00A4264B"/>
    <w:rsid w:val="00A430E1"/>
    <w:rsid w:val="00A447BE"/>
    <w:rsid w:val="00A44806"/>
    <w:rsid w:val="00A45783"/>
    <w:rsid w:val="00A47A12"/>
    <w:rsid w:val="00A47A58"/>
    <w:rsid w:val="00A50CAC"/>
    <w:rsid w:val="00A50CE4"/>
    <w:rsid w:val="00A5187B"/>
    <w:rsid w:val="00A5489D"/>
    <w:rsid w:val="00A54CE7"/>
    <w:rsid w:val="00A5678F"/>
    <w:rsid w:val="00A5755C"/>
    <w:rsid w:val="00A57B47"/>
    <w:rsid w:val="00A57ED2"/>
    <w:rsid w:val="00A60DCE"/>
    <w:rsid w:val="00A62213"/>
    <w:rsid w:val="00A62661"/>
    <w:rsid w:val="00A629C5"/>
    <w:rsid w:val="00A63934"/>
    <w:rsid w:val="00A648B5"/>
    <w:rsid w:val="00A64E00"/>
    <w:rsid w:val="00A6511D"/>
    <w:rsid w:val="00A65357"/>
    <w:rsid w:val="00A6552A"/>
    <w:rsid w:val="00A65964"/>
    <w:rsid w:val="00A66321"/>
    <w:rsid w:val="00A6690A"/>
    <w:rsid w:val="00A7033C"/>
    <w:rsid w:val="00A706AF"/>
    <w:rsid w:val="00A72140"/>
    <w:rsid w:val="00A72E23"/>
    <w:rsid w:val="00A73A08"/>
    <w:rsid w:val="00A744FF"/>
    <w:rsid w:val="00A74B3E"/>
    <w:rsid w:val="00A75C54"/>
    <w:rsid w:val="00A75D27"/>
    <w:rsid w:val="00A76257"/>
    <w:rsid w:val="00A76408"/>
    <w:rsid w:val="00A76AEE"/>
    <w:rsid w:val="00A76B28"/>
    <w:rsid w:val="00A7765F"/>
    <w:rsid w:val="00A8061B"/>
    <w:rsid w:val="00A81327"/>
    <w:rsid w:val="00A83FF8"/>
    <w:rsid w:val="00A84D10"/>
    <w:rsid w:val="00A90013"/>
    <w:rsid w:val="00A905D6"/>
    <w:rsid w:val="00A910B5"/>
    <w:rsid w:val="00A916F7"/>
    <w:rsid w:val="00A92112"/>
    <w:rsid w:val="00A92168"/>
    <w:rsid w:val="00A92199"/>
    <w:rsid w:val="00A92209"/>
    <w:rsid w:val="00A9259F"/>
    <w:rsid w:val="00A931B3"/>
    <w:rsid w:val="00A93440"/>
    <w:rsid w:val="00A94CF9"/>
    <w:rsid w:val="00A94F49"/>
    <w:rsid w:val="00A954E4"/>
    <w:rsid w:val="00A957ED"/>
    <w:rsid w:val="00A959D8"/>
    <w:rsid w:val="00A96C6E"/>
    <w:rsid w:val="00A96F13"/>
    <w:rsid w:val="00A972A4"/>
    <w:rsid w:val="00A9756D"/>
    <w:rsid w:val="00A97BF1"/>
    <w:rsid w:val="00AA0477"/>
    <w:rsid w:val="00AA0691"/>
    <w:rsid w:val="00AA11D1"/>
    <w:rsid w:val="00AA1F2E"/>
    <w:rsid w:val="00AA225B"/>
    <w:rsid w:val="00AA2870"/>
    <w:rsid w:val="00AA2EE4"/>
    <w:rsid w:val="00AA3191"/>
    <w:rsid w:val="00AA3A19"/>
    <w:rsid w:val="00AA3A6C"/>
    <w:rsid w:val="00AA3FFE"/>
    <w:rsid w:val="00AA4230"/>
    <w:rsid w:val="00AA4351"/>
    <w:rsid w:val="00AA4E8F"/>
    <w:rsid w:val="00AA53C7"/>
    <w:rsid w:val="00AA53D9"/>
    <w:rsid w:val="00AA55BD"/>
    <w:rsid w:val="00AA59FD"/>
    <w:rsid w:val="00AA6208"/>
    <w:rsid w:val="00AA65BD"/>
    <w:rsid w:val="00AA6998"/>
    <w:rsid w:val="00AA6D8E"/>
    <w:rsid w:val="00AA7504"/>
    <w:rsid w:val="00AA7E7A"/>
    <w:rsid w:val="00AA7EB8"/>
    <w:rsid w:val="00AB0108"/>
    <w:rsid w:val="00AB0495"/>
    <w:rsid w:val="00AB054D"/>
    <w:rsid w:val="00AB1028"/>
    <w:rsid w:val="00AB10C6"/>
    <w:rsid w:val="00AB1409"/>
    <w:rsid w:val="00AB1552"/>
    <w:rsid w:val="00AB1945"/>
    <w:rsid w:val="00AB19E2"/>
    <w:rsid w:val="00AB23EF"/>
    <w:rsid w:val="00AB3B67"/>
    <w:rsid w:val="00AB3D89"/>
    <w:rsid w:val="00AB428E"/>
    <w:rsid w:val="00AB4849"/>
    <w:rsid w:val="00AB52E6"/>
    <w:rsid w:val="00AB5596"/>
    <w:rsid w:val="00AB60EB"/>
    <w:rsid w:val="00AB6D7D"/>
    <w:rsid w:val="00AB796A"/>
    <w:rsid w:val="00AB7BEB"/>
    <w:rsid w:val="00AC05C1"/>
    <w:rsid w:val="00AC0830"/>
    <w:rsid w:val="00AC104D"/>
    <w:rsid w:val="00AC1442"/>
    <w:rsid w:val="00AC18AE"/>
    <w:rsid w:val="00AC1AD7"/>
    <w:rsid w:val="00AC1C9B"/>
    <w:rsid w:val="00AC1EF1"/>
    <w:rsid w:val="00AC242F"/>
    <w:rsid w:val="00AC3BAA"/>
    <w:rsid w:val="00AC4BD1"/>
    <w:rsid w:val="00AC52AB"/>
    <w:rsid w:val="00AC52EA"/>
    <w:rsid w:val="00AC6F22"/>
    <w:rsid w:val="00AC7388"/>
    <w:rsid w:val="00AC75BF"/>
    <w:rsid w:val="00AD07D7"/>
    <w:rsid w:val="00AD0E9F"/>
    <w:rsid w:val="00AD1C20"/>
    <w:rsid w:val="00AD1DE4"/>
    <w:rsid w:val="00AD2762"/>
    <w:rsid w:val="00AD2F95"/>
    <w:rsid w:val="00AD346B"/>
    <w:rsid w:val="00AD3851"/>
    <w:rsid w:val="00AD3AD5"/>
    <w:rsid w:val="00AD4BAC"/>
    <w:rsid w:val="00AD50CC"/>
    <w:rsid w:val="00AD5721"/>
    <w:rsid w:val="00AD6607"/>
    <w:rsid w:val="00AD7421"/>
    <w:rsid w:val="00AD7C3F"/>
    <w:rsid w:val="00AE0608"/>
    <w:rsid w:val="00AE07DD"/>
    <w:rsid w:val="00AE0D68"/>
    <w:rsid w:val="00AE0EF9"/>
    <w:rsid w:val="00AE0F30"/>
    <w:rsid w:val="00AE1C7F"/>
    <w:rsid w:val="00AE1CFB"/>
    <w:rsid w:val="00AE2E1E"/>
    <w:rsid w:val="00AE3B93"/>
    <w:rsid w:val="00AE4A5A"/>
    <w:rsid w:val="00AE5386"/>
    <w:rsid w:val="00AE6D4E"/>
    <w:rsid w:val="00AF0AE9"/>
    <w:rsid w:val="00AF1552"/>
    <w:rsid w:val="00AF3AF3"/>
    <w:rsid w:val="00AF3D4F"/>
    <w:rsid w:val="00AF4201"/>
    <w:rsid w:val="00AF4BB7"/>
    <w:rsid w:val="00AF5345"/>
    <w:rsid w:val="00AF5804"/>
    <w:rsid w:val="00AF62AD"/>
    <w:rsid w:val="00AF6D38"/>
    <w:rsid w:val="00AF7023"/>
    <w:rsid w:val="00AF7920"/>
    <w:rsid w:val="00AF7997"/>
    <w:rsid w:val="00AF7D5C"/>
    <w:rsid w:val="00AF7D73"/>
    <w:rsid w:val="00B001B2"/>
    <w:rsid w:val="00B0050F"/>
    <w:rsid w:val="00B013A8"/>
    <w:rsid w:val="00B01980"/>
    <w:rsid w:val="00B02E84"/>
    <w:rsid w:val="00B03D58"/>
    <w:rsid w:val="00B04845"/>
    <w:rsid w:val="00B055A1"/>
    <w:rsid w:val="00B05943"/>
    <w:rsid w:val="00B0597A"/>
    <w:rsid w:val="00B05E04"/>
    <w:rsid w:val="00B0641D"/>
    <w:rsid w:val="00B07575"/>
    <w:rsid w:val="00B075C8"/>
    <w:rsid w:val="00B10C25"/>
    <w:rsid w:val="00B10E88"/>
    <w:rsid w:val="00B12374"/>
    <w:rsid w:val="00B13C01"/>
    <w:rsid w:val="00B14B31"/>
    <w:rsid w:val="00B15AAE"/>
    <w:rsid w:val="00B163E5"/>
    <w:rsid w:val="00B173FA"/>
    <w:rsid w:val="00B178A9"/>
    <w:rsid w:val="00B17A29"/>
    <w:rsid w:val="00B17FD0"/>
    <w:rsid w:val="00B2113D"/>
    <w:rsid w:val="00B22535"/>
    <w:rsid w:val="00B23425"/>
    <w:rsid w:val="00B25198"/>
    <w:rsid w:val="00B258E1"/>
    <w:rsid w:val="00B260BF"/>
    <w:rsid w:val="00B27A6C"/>
    <w:rsid w:val="00B31D79"/>
    <w:rsid w:val="00B32FB9"/>
    <w:rsid w:val="00B3304E"/>
    <w:rsid w:val="00B34C53"/>
    <w:rsid w:val="00B34FC9"/>
    <w:rsid w:val="00B35FEE"/>
    <w:rsid w:val="00B371CE"/>
    <w:rsid w:val="00B41011"/>
    <w:rsid w:val="00B41180"/>
    <w:rsid w:val="00B41BC5"/>
    <w:rsid w:val="00B42E1F"/>
    <w:rsid w:val="00B4330A"/>
    <w:rsid w:val="00B43412"/>
    <w:rsid w:val="00B438C3"/>
    <w:rsid w:val="00B43BE6"/>
    <w:rsid w:val="00B441C4"/>
    <w:rsid w:val="00B445C3"/>
    <w:rsid w:val="00B456D6"/>
    <w:rsid w:val="00B456E2"/>
    <w:rsid w:val="00B46CE3"/>
    <w:rsid w:val="00B510E7"/>
    <w:rsid w:val="00B5124A"/>
    <w:rsid w:val="00B51FF2"/>
    <w:rsid w:val="00B5217A"/>
    <w:rsid w:val="00B52CE4"/>
    <w:rsid w:val="00B53CB3"/>
    <w:rsid w:val="00B53E61"/>
    <w:rsid w:val="00B566E6"/>
    <w:rsid w:val="00B57897"/>
    <w:rsid w:val="00B60A29"/>
    <w:rsid w:val="00B60EB9"/>
    <w:rsid w:val="00B611B3"/>
    <w:rsid w:val="00B61474"/>
    <w:rsid w:val="00B614C1"/>
    <w:rsid w:val="00B62760"/>
    <w:rsid w:val="00B628CD"/>
    <w:rsid w:val="00B629C2"/>
    <w:rsid w:val="00B62C4C"/>
    <w:rsid w:val="00B62D44"/>
    <w:rsid w:val="00B64112"/>
    <w:rsid w:val="00B64D53"/>
    <w:rsid w:val="00B64DBA"/>
    <w:rsid w:val="00B65FBA"/>
    <w:rsid w:val="00B6600A"/>
    <w:rsid w:val="00B66151"/>
    <w:rsid w:val="00B66455"/>
    <w:rsid w:val="00B67013"/>
    <w:rsid w:val="00B67504"/>
    <w:rsid w:val="00B67A3D"/>
    <w:rsid w:val="00B67F13"/>
    <w:rsid w:val="00B7095D"/>
    <w:rsid w:val="00B70F14"/>
    <w:rsid w:val="00B723F9"/>
    <w:rsid w:val="00B72D4A"/>
    <w:rsid w:val="00B73715"/>
    <w:rsid w:val="00B73C13"/>
    <w:rsid w:val="00B7421E"/>
    <w:rsid w:val="00B74813"/>
    <w:rsid w:val="00B757AD"/>
    <w:rsid w:val="00B75A1A"/>
    <w:rsid w:val="00B76E28"/>
    <w:rsid w:val="00B77305"/>
    <w:rsid w:val="00B774C2"/>
    <w:rsid w:val="00B7753A"/>
    <w:rsid w:val="00B77A8D"/>
    <w:rsid w:val="00B803FD"/>
    <w:rsid w:val="00B80742"/>
    <w:rsid w:val="00B81EAA"/>
    <w:rsid w:val="00B82339"/>
    <w:rsid w:val="00B823FD"/>
    <w:rsid w:val="00B82B4D"/>
    <w:rsid w:val="00B83521"/>
    <w:rsid w:val="00B84639"/>
    <w:rsid w:val="00B84D4D"/>
    <w:rsid w:val="00B853B1"/>
    <w:rsid w:val="00B8656F"/>
    <w:rsid w:val="00B86E6A"/>
    <w:rsid w:val="00B86F8D"/>
    <w:rsid w:val="00B87BAF"/>
    <w:rsid w:val="00B87C07"/>
    <w:rsid w:val="00B90789"/>
    <w:rsid w:val="00B9101D"/>
    <w:rsid w:val="00B91E09"/>
    <w:rsid w:val="00B92C26"/>
    <w:rsid w:val="00B92C3A"/>
    <w:rsid w:val="00B9368A"/>
    <w:rsid w:val="00B94F78"/>
    <w:rsid w:val="00B950B4"/>
    <w:rsid w:val="00B95138"/>
    <w:rsid w:val="00B96E45"/>
    <w:rsid w:val="00B9723D"/>
    <w:rsid w:val="00BA002F"/>
    <w:rsid w:val="00BA05D7"/>
    <w:rsid w:val="00BA10C7"/>
    <w:rsid w:val="00BA10D2"/>
    <w:rsid w:val="00BA1797"/>
    <w:rsid w:val="00BA1F1E"/>
    <w:rsid w:val="00BA2698"/>
    <w:rsid w:val="00BA2968"/>
    <w:rsid w:val="00BA3A66"/>
    <w:rsid w:val="00BA44E8"/>
    <w:rsid w:val="00BA4ACE"/>
    <w:rsid w:val="00BA603B"/>
    <w:rsid w:val="00BA620B"/>
    <w:rsid w:val="00BA6F8F"/>
    <w:rsid w:val="00BA7287"/>
    <w:rsid w:val="00BA7C7D"/>
    <w:rsid w:val="00BB0574"/>
    <w:rsid w:val="00BB14AF"/>
    <w:rsid w:val="00BB1D26"/>
    <w:rsid w:val="00BB1E77"/>
    <w:rsid w:val="00BB22E5"/>
    <w:rsid w:val="00BB28CA"/>
    <w:rsid w:val="00BB3956"/>
    <w:rsid w:val="00BB3E49"/>
    <w:rsid w:val="00BB6AB0"/>
    <w:rsid w:val="00BB7C90"/>
    <w:rsid w:val="00BB7DFF"/>
    <w:rsid w:val="00BC0736"/>
    <w:rsid w:val="00BC07C4"/>
    <w:rsid w:val="00BC0873"/>
    <w:rsid w:val="00BC1B54"/>
    <w:rsid w:val="00BC1CD2"/>
    <w:rsid w:val="00BC23D3"/>
    <w:rsid w:val="00BC2A25"/>
    <w:rsid w:val="00BC3B51"/>
    <w:rsid w:val="00BC3BF9"/>
    <w:rsid w:val="00BC453A"/>
    <w:rsid w:val="00BC4B76"/>
    <w:rsid w:val="00BC53CE"/>
    <w:rsid w:val="00BC5DDF"/>
    <w:rsid w:val="00BC5E9D"/>
    <w:rsid w:val="00BC6B5A"/>
    <w:rsid w:val="00BC7187"/>
    <w:rsid w:val="00BC7ABA"/>
    <w:rsid w:val="00BC7BDB"/>
    <w:rsid w:val="00BD0862"/>
    <w:rsid w:val="00BD26AF"/>
    <w:rsid w:val="00BD2842"/>
    <w:rsid w:val="00BD2DB2"/>
    <w:rsid w:val="00BD3859"/>
    <w:rsid w:val="00BD385B"/>
    <w:rsid w:val="00BD39F5"/>
    <w:rsid w:val="00BD3D67"/>
    <w:rsid w:val="00BD43BD"/>
    <w:rsid w:val="00BD444E"/>
    <w:rsid w:val="00BD4829"/>
    <w:rsid w:val="00BD4842"/>
    <w:rsid w:val="00BD51A0"/>
    <w:rsid w:val="00BD5A50"/>
    <w:rsid w:val="00BD5B59"/>
    <w:rsid w:val="00BD60DA"/>
    <w:rsid w:val="00BD6335"/>
    <w:rsid w:val="00BD6752"/>
    <w:rsid w:val="00BD67D8"/>
    <w:rsid w:val="00BD6C52"/>
    <w:rsid w:val="00BE0819"/>
    <w:rsid w:val="00BE0945"/>
    <w:rsid w:val="00BE2D1C"/>
    <w:rsid w:val="00BE31C8"/>
    <w:rsid w:val="00BE32E8"/>
    <w:rsid w:val="00BE41A3"/>
    <w:rsid w:val="00BE4735"/>
    <w:rsid w:val="00BE4B67"/>
    <w:rsid w:val="00BE63C8"/>
    <w:rsid w:val="00BE686E"/>
    <w:rsid w:val="00BE6BC2"/>
    <w:rsid w:val="00BE7F59"/>
    <w:rsid w:val="00BF0465"/>
    <w:rsid w:val="00BF04EE"/>
    <w:rsid w:val="00BF0718"/>
    <w:rsid w:val="00BF1DD3"/>
    <w:rsid w:val="00BF1F03"/>
    <w:rsid w:val="00BF247D"/>
    <w:rsid w:val="00BF2688"/>
    <w:rsid w:val="00BF2D1F"/>
    <w:rsid w:val="00BF37BF"/>
    <w:rsid w:val="00BF53EA"/>
    <w:rsid w:val="00BF61C4"/>
    <w:rsid w:val="00BF673A"/>
    <w:rsid w:val="00BF756D"/>
    <w:rsid w:val="00C0031D"/>
    <w:rsid w:val="00C013E6"/>
    <w:rsid w:val="00C0159A"/>
    <w:rsid w:val="00C01E26"/>
    <w:rsid w:val="00C02B1A"/>
    <w:rsid w:val="00C04390"/>
    <w:rsid w:val="00C0489E"/>
    <w:rsid w:val="00C048FE"/>
    <w:rsid w:val="00C04F27"/>
    <w:rsid w:val="00C07282"/>
    <w:rsid w:val="00C07323"/>
    <w:rsid w:val="00C07E8F"/>
    <w:rsid w:val="00C109EA"/>
    <w:rsid w:val="00C10D1C"/>
    <w:rsid w:val="00C119E9"/>
    <w:rsid w:val="00C119FB"/>
    <w:rsid w:val="00C14699"/>
    <w:rsid w:val="00C14EE2"/>
    <w:rsid w:val="00C15B41"/>
    <w:rsid w:val="00C15C81"/>
    <w:rsid w:val="00C15CB2"/>
    <w:rsid w:val="00C15FF5"/>
    <w:rsid w:val="00C168D5"/>
    <w:rsid w:val="00C16969"/>
    <w:rsid w:val="00C16BBA"/>
    <w:rsid w:val="00C16C6E"/>
    <w:rsid w:val="00C16FB3"/>
    <w:rsid w:val="00C17C35"/>
    <w:rsid w:val="00C20B94"/>
    <w:rsid w:val="00C20C97"/>
    <w:rsid w:val="00C20D95"/>
    <w:rsid w:val="00C21BE0"/>
    <w:rsid w:val="00C2346C"/>
    <w:rsid w:val="00C237DC"/>
    <w:rsid w:val="00C2424B"/>
    <w:rsid w:val="00C243A4"/>
    <w:rsid w:val="00C25AE2"/>
    <w:rsid w:val="00C25F2D"/>
    <w:rsid w:val="00C27167"/>
    <w:rsid w:val="00C277AC"/>
    <w:rsid w:val="00C307C2"/>
    <w:rsid w:val="00C3102C"/>
    <w:rsid w:val="00C3248D"/>
    <w:rsid w:val="00C32641"/>
    <w:rsid w:val="00C3282E"/>
    <w:rsid w:val="00C32856"/>
    <w:rsid w:val="00C32A10"/>
    <w:rsid w:val="00C33244"/>
    <w:rsid w:val="00C335E1"/>
    <w:rsid w:val="00C33855"/>
    <w:rsid w:val="00C33D06"/>
    <w:rsid w:val="00C3559A"/>
    <w:rsid w:val="00C356C8"/>
    <w:rsid w:val="00C360AC"/>
    <w:rsid w:val="00C364CA"/>
    <w:rsid w:val="00C3685A"/>
    <w:rsid w:val="00C36B08"/>
    <w:rsid w:val="00C372E3"/>
    <w:rsid w:val="00C37CC3"/>
    <w:rsid w:val="00C37EE2"/>
    <w:rsid w:val="00C40EDE"/>
    <w:rsid w:val="00C40F55"/>
    <w:rsid w:val="00C40FCC"/>
    <w:rsid w:val="00C41444"/>
    <w:rsid w:val="00C414EF"/>
    <w:rsid w:val="00C43097"/>
    <w:rsid w:val="00C44B03"/>
    <w:rsid w:val="00C44DF5"/>
    <w:rsid w:val="00C44E27"/>
    <w:rsid w:val="00C451DF"/>
    <w:rsid w:val="00C45B04"/>
    <w:rsid w:val="00C45FBD"/>
    <w:rsid w:val="00C46BD6"/>
    <w:rsid w:val="00C46EDA"/>
    <w:rsid w:val="00C46FC0"/>
    <w:rsid w:val="00C470CA"/>
    <w:rsid w:val="00C477A2"/>
    <w:rsid w:val="00C51DED"/>
    <w:rsid w:val="00C522BB"/>
    <w:rsid w:val="00C52448"/>
    <w:rsid w:val="00C524E4"/>
    <w:rsid w:val="00C5269F"/>
    <w:rsid w:val="00C53A89"/>
    <w:rsid w:val="00C54919"/>
    <w:rsid w:val="00C55346"/>
    <w:rsid w:val="00C553B1"/>
    <w:rsid w:val="00C554CB"/>
    <w:rsid w:val="00C55EA4"/>
    <w:rsid w:val="00C563EA"/>
    <w:rsid w:val="00C5666F"/>
    <w:rsid w:val="00C56E6D"/>
    <w:rsid w:val="00C56F03"/>
    <w:rsid w:val="00C57166"/>
    <w:rsid w:val="00C6022A"/>
    <w:rsid w:val="00C61039"/>
    <w:rsid w:val="00C62227"/>
    <w:rsid w:val="00C62285"/>
    <w:rsid w:val="00C62AA8"/>
    <w:rsid w:val="00C63256"/>
    <w:rsid w:val="00C633CE"/>
    <w:rsid w:val="00C64604"/>
    <w:rsid w:val="00C659BB"/>
    <w:rsid w:val="00C6622D"/>
    <w:rsid w:val="00C67B20"/>
    <w:rsid w:val="00C71C53"/>
    <w:rsid w:val="00C7549D"/>
    <w:rsid w:val="00C75B31"/>
    <w:rsid w:val="00C769DA"/>
    <w:rsid w:val="00C7740B"/>
    <w:rsid w:val="00C77976"/>
    <w:rsid w:val="00C808E2"/>
    <w:rsid w:val="00C810E4"/>
    <w:rsid w:val="00C810E6"/>
    <w:rsid w:val="00C81C0D"/>
    <w:rsid w:val="00C81CB7"/>
    <w:rsid w:val="00C81D10"/>
    <w:rsid w:val="00C82248"/>
    <w:rsid w:val="00C82360"/>
    <w:rsid w:val="00C8258B"/>
    <w:rsid w:val="00C827CB"/>
    <w:rsid w:val="00C82A69"/>
    <w:rsid w:val="00C82F6B"/>
    <w:rsid w:val="00C83144"/>
    <w:rsid w:val="00C83460"/>
    <w:rsid w:val="00C83FB7"/>
    <w:rsid w:val="00C8471A"/>
    <w:rsid w:val="00C84C4A"/>
    <w:rsid w:val="00C84CBA"/>
    <w:rsid w:val="00C85056"/>
    <w:rsid w:val="00C85985"/>
    <w:rsid w:val="00C860D7"/>
    <w:rsid w:val="00C865DE"/>
    <w:rsid w:val="00C87581"/>
    <w:rsid w:val="00C879DB"/>
    <w:rsid w:val="00C87B2E"/>
    <w:rsid w:val="00C901CC"/>
    <w:rsid w:val="00C91043"/>
    <w:rsid w:val="00C91050"/>
    <w:rsid w:val="00C9114A"/>
    <w:rsid w:val="00C9127C"/>
    <w:rsid w:val="00C92185"/>
    <w:rsid w:val="00C92530"/>
    <w:rsid w:val="00C931D3"/>
    <w:rsid w:val="00C931F4"/>
    <w:rsid w:val="00C93288"/>
    <w:rsid w:val="00C932B7"/>
    <w:rsid w:val="00C93445"/>
    <w:rsid w:val="00C93917"/>
    <w:rsid w:val="00C93C79"/>
    <w:rsid w:val="00C944E4"/>
    <w:rsid w:val="00C94F2B"/>
    <w:rsid w:val="00C95870"/>
    <w:rsid w:val="00C96302"/>
    <w:rsid w:val="00C96793"/>
    <w:rsid w:val="00C96C48"/>
    <w:rsid w:val="00C97C31"/>
    <w:rsid w:val="00C97E22"/>
    <w:rsid w:val="00CA0BDA"/>
    <w:rsid w:val="00CA1001"/>
    <w:rsid w:val="00CA22E9"/>
    <w:rsid w:val="00CA2E0F"/>
    <w:rsid w:val="00CA3311"/>
    <w:rsid w:val="00CA48BB"/>
    <w:rsid w:val="00CA566E"/>
    <w:rsid w:val="00CA7332"/>
    <w:rsid w:val="00CA7432"/>
    <w:rsid w:val="00CA76E7"/>
    <w:rsid w:val="00CA77DB"/>
    <w:rsid w:val="00CA7B6F"/>
    <w:rsid w:val="00CA7D05"/>
    <w:rsid w:val="00CB050C"/>
    <w:rsid w:val="00CB0D64"/>
    <w:rsid w:val="00CB1548"/>
    <w:rsid w:val="00CB1701"/>
    <w:rsid w:val="00CB174E"/>
    <w:rsid w:val="00CB2AA6"/>
    <w:rsid w:val="00CB2BF2"/>
    <w:rsid w:val="00CB2FAB"/>
    <w:rsid w:val="00CB33B3"/>
    <w:rsid w:val="00CB37DB"/>
    <w:rsid w:val="00CB3EF2"/>
    <w:rsid w:val="00CB4649"/>
    <w:rsid w:val="00CB521E"/>
    <w:rsid w:val="00CB57DB"/>
    <w:rsid w:val="00CB583D"/>
    <w:rsid w:val="00CB6152"/>
    <w:rsid w:val="00CB62E1"/>
    <w:rsid w:val="00CB65E8"/>
    <w:rsid w:val="00CB67B8"/>
    <w:rsid w:val="00CB7135"/>
    <w:rsid w:val="00CB7364"/>
    <w:rsid w:val="00CB74D6"/>
    <w:rsid w:val="00CC063E"/>
    <w:rsid w:val="00CC16F8"/>
    <w:rsid w:val="00CC2082"/>
    <w:rsid w:val="00CC25DA"/>
    <w:rsid w:val="00CC3665"/>
    <w:rsid w:val="00CC447B"/>
    <w:rsid w:val="00CC5558"/>
    <w:rsid w:val="00CC583B"/>
    <w:rsid w:val="00CC60AD"/>
    <w:rsid w:val="00CC6DDD"/>
    <w:rsid w:val="00CC71FC"/>
    <w:rsid w:val="00CC7AB6"/>
    <w:rsid w:val="00CD1349"/>
    <w:rsid w:val="00CD1C3C"/>
    <w:rsid w:val="00CD2BD3"/>
    <w:rsid w:val="00CD3E42"/>
    <w:rsid w:val="00CD422B"/>
    <w:rsid w:val="00CD561E"/>
    <w:rsid w:val="00CD6166"/>
    <w:rsid w:val="00CD6A47"/>
    <w:rsid w:val="00CD6AA1"/>
    <w:rsid w:val="00CD729F"/>
    <w:rsid w:val="00CD7377"/>
    <w:rsid w:val="00CD7E84"/>
    <w:rsid w:val="00CE0389"/>
    <w:rsid w:val="00CE0832"/>
    <w:rsid w:val="00CE08A2"/>
    <w:rsid w:val="00CE097F"/>
    <w:rsid w:val="00CE0C2E"/>
    <w:rsid w:val="00CE1174"/>
    <w:rsid w:val="00CE1DD1"/>
    <w:rsid w:val="00CE3841"/>
    <w:rsid w:val="00CE43D8"/>
    <w:rsid w:val="00CE4561"/>
    <w:rsid w:val="00CE4791"/>
    <w:rsid w:val="00CE5920"/>
    <w:rsid w:val="00CE5A73"/>
    <w:rsid w:val="00CE6718"/>
    <w:rsid w:val="00CE694C"/>
    <w:rsid w:val="00CE69D6"/>
    <w:rsid w:val="00CE75DB"/>
    <w:rsid w:val="00CF0A0F"/>
    <w:rsid w:val="00CF0AD7"/>
    <w:rsid w:val="00CF1BE6"/>
    <w:rsid w:val="00CF1D28"/>
    <w:rsid w:val="00CF2F4E"/>
    <w:rsid w:val="00CF30F8"/>
    <w:rsid w:val="00CF3135"/>
    <w:rsid w:val="00CF4368"/>
    <w:rsid w:val="00CF4F3D"/>
    <w:rsid w:val="00CF51B6"/>
    <w:rsid w:val="00CF5717"/>
    <w:rsid w:val="00CF57BE"/>
    <w:rsid w:val="00CF5958"/>
    <w:rsid w:val="00CF5A1E"/>
    <w:rsid w:val="00CF5FD2"/>
    <w:rsid w:val="00CF61C9"/>
    <w:rsid w:val="00CF685B"/>
    <w:rsid w:val="00CF789A"/>
    <w:rsid w:val="00CF7F09"/>
    <w:rsid w:val="00CF7FE2"/>
    <w:rsid w:val="00D00350"/>
    <w:rsid w:val="00D0075B"/>
    <w:rsid w:val="00D020B8"/>
    <w:rsid w:val="00D022A5"/>
    <w:rsid w:val="00D02B21"/>
    <w:rsid w:val="00D02F31"/>
    <w:rsid w:val="00D032B6"/>
    <w:rsid w:val="00D0394E"/>
    <w:rsid w:val="00D05552"/>
    <w:rsid w:val="00D05B82"/>
    <w:rsid w:val="00D05E98"/>
    <w:rsid w:val="00D060FD"/>
    <w:rsid w:val="00D06182"/>
    <w:rsid w:val="00D06D94"/>
    <w:rsid w:val="00D071F1"/>
    <w:rsid w:val="00D11504"/>
    <w:rsid w:val="00D11843"/>
    <w:rsid w:val="00D125E4"/>
    <w:rsid w:val="00D125F8"/>
    <w:rsid w:val="00D139E8"/>
    <w:rsid w:val="00D14091"/>
    <w:rsid w:val="00D149EE"/>
    <w:rsid w:val="00D15A9A"/>
    <w:rsid w:val="00D15BB7"/>
    <w:rsid w:val="00D165C6"/>
    <w:rsid w:val="00D17E0F"/>
    <w:rsid w:val="00D2022C"/>
    <w:rsid w:val="00D20FBA"/>
    <w:rsid w:val="00D211B9"/>
    <w:rsid w:val="00D2305B"/>
    <w:rsid w:val="00D239BB"/>
    <w:rsid w:val="00D24755"/>
    <w:rsid w:val="00D25E74"/>
    <w:rsid w:val="00D26457"/>
    <w:rsid w:val="00D27539"/>
    <w:rsid w:val="00D3038D"/>
    <w:rsid w:val="00D305E2"/>
    <w:rsid w:val="00D30F77"/>
    <w:rsid w:val="00D313E0"/>
    <w:rsid w:val="00D315F3"/>
    <w:rsid w:val="00D317C6"/>
    <w:rsid w:val="00D33296"/>
    <w:rsid w:val="00D3376F"/>
    <w:rsid w:val="00D33A51"/>
    <w:rsid w:val="00D34A85"/>
    <w:rsid w:val="00D35407"/>
    <w:rsid w:val="00D3561F"/>
    <w:rsid w:val="00D36823"/>
    <w:rsid w:val="00D36C7F"/>
    <w:rsid w:val="00D37C9B"/>
    <w:rsid w:val="00D40B61"/>
    <w:rsid w:val="00D425F6"/>
    <w:rsid w:val="00D42A63"/>
    <w:rsid w:val="00D43462"/>
    <w:rsid w:val="00D4349D"/>
    <w:rsid w:val="00D43826"/>
    <w:rsid w:val="00D43C9B"/>
    <w:rsid w:val="00D446B9"/>
    <w:rsid w:val="00D448EA"/>
    <w:rsid w:val="00D44B72"/>
    <w:rsid w:val="00D452C1"/>
    <w:rsid w:val="00D453E7"/>
    <w:rsid w:val="00D457B2"/>
    <w:rsid w:val="00D466D5"/>
    <w:rsid w:val="00D475C0"/>
    <w:rsid w:val="00D4766C"/>
    <w:rsid w:val="00D51A85"/>
    <w:rsid w:val="00D52629"/>
    <w:rsid w:val="00D527BD"/>
    <w:rsid w:val="00D52949"/>
    <w:rsid w:val="00D556A9"/>
    <w:rsid w:val="00D5649D"/>
    <w:rsid w:val="00D57257"/>
    <w:rsid w:val="00D57906"/>
    <w:rsid w:val="00D57A69"/>
    <w:rsid w:val="00D603C4"/>
    <w:rsid w:val="00D619A8"/>
    <w:rsid w:val="00D61FEF"/>
    <w:rsid w:val="00D623C7"/>
    <w:rsid w:val="00D626EC"/>
    <w:rsid w:val="00D63695"/>
    <w:rsid w:val="00D641DC"/>
    <w:rsid w:val="00D64B85"/>
    <w:rsid w:val="00D64F70"/>
    <w:rsid w:val="00D65955"/>
    <w:rsid w:val="00D65CC9"/>
    <w:rsid w:val="00D669FA"/>
    <w:rsid w:val="00D66EA0"/>
    <w:rsid w:val="00D673B1"/>
    <w:rsid w:val="00D70132"/>
    <w:rsid w:val="00D702E0"/>
    <w:rsid w:val="00D710DB"/>
    <w:rsid w:val="00D71660"/>
    <w:rsid w:val="00D719D6"/>
    <w:rsid w:val="00D7237F"/>
    <w:rsid w:val="00D729A0"/>
    <w:rsid w:val="00D72BB9"/>
    <w:rsid w:val="00D72CE3"/>
    <w:rsid w:val="00D737AC"/>
    <w:rsid w:val="00D7388C"/>
    <w:rsid w:val="00D74B12"/>
    <w:rsid w:val="00D75884"/>
    <w:rsid w:val="00D758C1"/>
    <w:rsid w:val="00D75B3C"/>
    <w:rsid w:val="00D76409"/>
    <w:rsid w:val="00D7688C"/>
    <w:rsid w:val="00D770EC"/>
    <w:rsid w:val="00D774E1"/>
    <w:rsid w:val="00D77A88"/>
    <w:rsid w:val="00D806AE"/>
    <w:rsid w:val="00D814D9"/>
    <w:rsid w:val="00D81F98"/>
    <w:rsid w:val="00D83454"/>
    <w:rsid w:val="00D8456A"/>
    <w:rsid w:val="00D85A07"/>
    <w:rsid w:val="00D862E3"/>
    <w:rsid w:val="00D86495"/>
    <w:rsid w:val="00D86591"/>
    <w:rsid w:val="00D8661E"/>
    <w:rsid w:val="00D8709A"/>
    <w:rsid w:val="00D874F0"/>
    <w:rsid w:val="00D9014E"/>
    <w:rsid w:val="00D90242"/>
    <w:rsid w:val="00D90A7D"/>
    <w:rsid w:val="00D90C7A"/>
    <w:rsid w:val="00D91A43"/>
    <w:rsid w:val="00D9276A"/>
    <w:rsid w:val="00D92A06"/>
    <w:rsid w:val="00D9314E"/>
    <w:rsid w:val="00D947F3"/>
    <w:rsid w:val="00D95BAD"/>
    <w:rsid w:val="00D95E1F"/>
    <w:rsid w:val="00D965E9"/>
    <w:rsid w:val="00D96AA8"/>
    <w:rsid w:val="00D96D10"/>
    <w:rsid w:val="00D96DD2"/>
    <w:rsid w:val="00D976F4"/>
    <w:rsid w:val="00DA015C"/>
    <w:rsid w:val="00DA0FE4"/>
    <w:rsid w:val="00DA2056"/>
    <w:rsid w:val="00DA4648"/>
    <w:rsid w:val="00DA4A8F"/>
    <w:rsid w:val="00DA512B"/>
    <w:rsid w:val="00DA5417"/>
    <w:rsid w:val="00DA5761"/>
    <w:rsid w:val="00DA5C51"/>
    <w:rsid w:val="00DA5F4B"/>
    <w:rsid w:val="00DA6110"/>
    <w:rsid w:val="00DA66E7"/>
    <w:rsid w:val="00DA6AA9"/>
    <w:rsid w:val="00DA720D"/>
    <w:rsid w:val="00DA7890"/>
    <w:rsid w:val="00DB0792"/>
    <w:rsid w:val="00DB092D"/>
    <w:rsid w:val="00DB0B53"/>
    <w:rsid w:val="00DB11B3"/>
    <w:rsid w:val="00DB154B"/>
    <w:rsid w:val="00DB1B0A"/>
    <w:rsid w:val="00DB1BEE"/>
    <w:rsid w:val="00DB2875"/>
    <w:rsid w:val="00DB354C"/>
    <w:rsid w:val="00DB417E"/>
    <w:rsid w:val="00DB42EC"/>
    <w:rsid w:val="00DB4C45"/>
    <w:rsid w:val="00DB4DE7"/>
    <w:rsid w:val="00DB4FA2"/>
    <w:rsid w:val="00DB574A"/>
    <w:rsid w:val="00DB5B71"/>
    <w:rsid w:val="00DC0067"/>
    <w:rsid w:val="00DC04A6"/>
    <w:rsid w:val="00DC090F"/>
    <w:rsid w:val="00DC117B"/>
    <w:rsid w:val="00DC1484"/>
    <w:rsid w:val="00DC1935"/>
    <w:rsid w:val="00DC19E6"/>
    <w:rsid w:val="00DC2115"/>
    <w:rsid w:val="00DC22C4"/>
    <w:rsid w:val="00DC24B8"/>
    <w:rsid w:val="00DC27DD"/>
    <w:rsid w:val="00DC2C01"/>
    <w:rsid w:val="00DC4222"/>
    <w:rsid w:val="00DC487B"/>
    <w:rsid w:val="00DC4E6E"/>
    <w:rsid w:val="00DC5A10"/>
    <w:rsid w:val="00DC643F"/>
    <w:rsid w:val="00DD0354"/>
    <w:rsid w:val="00DD1613"/>
    <w:rsid w:val="00DD1723"/>
    <w:rsid w:val="00DD18A8"/>
    <w:rsid w:val="00DD231C"/>
    <w:rsid w:val="00DD25D9"/>
    <w:rsid w:val="00DD29AE"/>
    <w:rsid w:val="00DD2A02"/>
    <w:rsid w:val="00DD2A76"/>
    <w:rsid w:val="00DD3F2C"/>
    <w:rsid w:val="00DD4125"/>
    <w:rsid w:val="00DD4962"/>
    <w:rsid w:val="00DD4BA3"/>
    <w:rsid w:val="00DD4CCF"/>
    <w:rsid w:val="00DD52C7"/>
    <w:rsid w:val="00DD5D4A"/>
    <w:rsid w:val="00DD61FA"/>
    <w:rsid w:val="00DD6E54"/>
    <w:rsid w:val="00DD7817"/>
    <w:rsid w:val="00DD7E23"/>
    <w:rsid w:val="00DE16B3"/>
    <w:rsid w:val="00DE18BF"/>
    <w:rsid w:val="00DE27A3"/>
    <w:rsid w:val="00DE29FB"/>
    <w:rsid w:val="00DE3609"/>
    <w:rsid w:val="00DE3D4E"/>
    <w:rsid w:val="00DE4039"/>
    <w:rsid w:val="00DE4BA2"/>
    <w:rsid w:val="00DE4F25"/>
    <w:rsid w:val="00DE4F66"/>
    <w:rsid w:val="00DE5DC1"/>
    <w:rsid w:val="00DE62CE"/>
    <w:rsid w:val="00DE64A3"/>
    <w:rsid w:val="00DE669E"/>
    <w:rsid w:val="00DE66B3"/>
    <w:rsid w:val="00DE7B20"/>
    <w:rsid w:val="00DF0A8B"/>
    <w:rsid w:val="00DF0BE3"/>
    <w:rsid w:val="00DF0E38"/>
    <w:rsid w:val="00DF12CD"/>
    <w:rsid w:val="00DF2317"/>
    <w:rsid w:val="00DF2518"/>
    <w:rsid w:val="00DF26BF"/>
    <w:rsid w:val="00DF3666"/>
    <w:rsid w:val="00DF4E27"/>
    <w:rsid w:val="00DF5569"/>
    <w:rsid w:val="00DF7B06"/>
    <w:rsid w:val="00DF7C3E"/>
    <w:rsid w:val="00DF7EAF"/>
    <w:rsid w:val="00E00715"/>
    <w:rsid w:val="00E00D8D"/>
    <w:rsid w:val="00E01017"/>
    <w:rsid w:val="00E0247B"/>
    <w:rsid w:val="00E02D32"/>
    <w:rsid w:val="00E0324D"/>
    <w:rsid w:val="00E03603"/>
    <w:rsid w:val="00E055BF"/>
    <w:rsid w:val="00E06B2D"/>
    <w:rsid w:val="00E070B8"/>
    <w:rsid w:val="00E10C0D"/>
    <w:rsid w:val="00E10D1E"/>
    <w:rsid w:val="00E10F45"/>
    <w:rsid w:val="00E110E2"/>
    <w:rsid w:val="00E1127C"/>
    <w:rsid w:val="00E120D5"/>
    <w:rsid w:val="00E127C2"/>
    <w:rsid w:val="00E13816"/>
    <w:rsid w:val="00E1444F"/>
    <w:rsid w:val="00E14611"/>
    <w:rsid w:val="00E14B1E"/>
    <w:rsid w:val="00E14DF6"/>
    <w:rsid w:val="00E150A3"/>
    <w:rsid w:val="00E1623E"/>
    <w:rsid w:val="00E209AD"/>
    <w:rsid w:val="00E21ED0"/>
    <w:rsid w:val="00E22473"/>
    <w:rsid w:val="00E233D3"/>
    <w:rsid w:val="00E238CC"/>
    <w:rsid w:val="00E23E26"/>
    <w:rsid w:val="00E24AD2"/>
    <w:rsid w:val="00E24C25"/>
    <w:rsid w:val="00E24F7D"/>
    <w:rsid w:val="00E25899"/>
    <w:rsid w:val="00E25BA0"/>
    <w:rsid w:val="00E26256"/>
    <w:rsid w:val="00E264FF"/>
    <w:rsid w:val="00E269E3"/>
    <w:rsid w:val="00E274B3"/>
    <w:rsid w:val="00E2769A"/>
    <w:rsid w:val="00E277FD"/>
    <w:rsid w:val="00E3058E"/>
    <w:rsid w:val="00E30766"/>
    <w:rsid w:val="00E30791"/>
    <w:rsid w:val="00E30821"/>
    <w:rsid w:val="00E30BC2"/>
    <w:rsid w:val="00E30C0A"/>
    <w:rsid w:val="00E313DD"/>
    <w:rsid w:val="00E32302"/>
    <w:rsid w:val="00E32DB3"/>
    <w:rsid w:val="00E332AC"/>
    <w:rsid w:val="00E332D4"/>
    <w:rsid w:val="00E33310"/>
    <w:rsid w:val="00E3373E"/>
    <w:rsid w:val="00E345B0"/>
    <w:rsid w:val="00E357D5"/>
    <w:rsid w:val="00E3649D"/>
    <w:rsid w:val="00E367BF"/>
    <w:rsid w:val="00E3680E"/>
    <w:rsid w:val="00E371A5"/>
    <w:rsid w:val="00E37327"/>
    <w:rsid w:val="00E37EC2"/>
    <w:rsid w:val="00E40AD1"/>
    <w:rsid w:val="00E42092"/>
    <w:rsid w:val="00E42356"/>
    <w:rsid w:val="00E43507"/>
    <w:rsid w:val="00E4353F"/>
    <w:rsid w:val="00E43A9B"/>
    <w:rsid w:val="00E4419C"/>
    <w:rsid w:val="00E44543"/>
    <w:rsid w:val="00E44A1D"/>
    <w:rsid w:val="00E45108"/>
    <w:rsid w:val="00E4524F"/>
    <w:rsid w:val="00E45C3C"/>
    <w:rsid w:val="00E463EE"/>
    <w:rsid w:val="00E46A42"/>
    <w:rsid w:val="00E51113"/>
    <w:rsid w:val="00E515DE"/>
    <w:rsid w:val="00E525C4"/>
    <w:rsid w:val="00E52BC9"/>
    <w:rsid w:val="00E52C03"/>
    <w:rsid w:val="00E52CA9"/>
    <w:rsid w:val="00E53158"/>
    <w:rsid w:val="00E535E7"/>
    <w:rsid w:val="00E53DB4"/>
    <w:rsid w:val="00E5485B"/>
    <w:rsid w:val="00E55B01"/>
    <w:rsid w:val="00E55D16"/>
    <w:rsid w:val="00E5640D"/>
    <w:rsid w:val="00E56AEB"/>
    <w:rsid w:val="00E576CB"/>
    <w:rsid w:val="00E60511"/>
    <w:rsid w:val="00E61806"/>
    <w:rsid w:val="00E618B0"/>
    <w:rsid w:val="00E62310"/>
    <w:rsid w:val="00E62660"/>
    <w:rsid w:val="00E63CF1"/>
    <w:rsid w:val="00E6418B"/>
    <w:rsid w:val="00E650CE"/>
    <w:rsid w:val="00E663D1"/>
    <w:rsid w:val="00E66D5D"/>
    <w:rsid w:val="00E67937"/>
    <w:rsid w:val="00E67EA8"/>
    <w:rsid w:val="00E70624"/>
    <w:rsid w:val="00E724D2"/>
    <w:rsid w:val="00E72BB7"/>
    <w:rsid w:val="00E72DA5"/>
    <w:rsid w:val="00E72EBD"/>
    <w:rsid w:val="00E730DF"/>
    <w:rsid w:val="00E734D2"/>
    <w:rsid w:val="00E73B9F"/>
    <w:rsid w:val="00E73ECC"/>
    <w:rsid w:val="00E7495C"/>
    <w:rsid w:val="00E74B73"/>
    <w:rsid w:val="00E7500F"/>
    <w:rsid w:val="00E76782"/>
    <w:rsid w:val="00E76844"/>
    <w:rsid w:val="00E77B5E"/>
    <w:rsid w:val="00E817F2"/>
    <w:rsid w:val="00E81BAB"/>
    <w:rsid w:val="00E82262"/>
    <w:rsid w:val="00E82E37"/>
    <w:rsid w:val="00E83247"/>
    <w:rsid w:val="00E841A8"/>
    <w:rsid w:val="00E84E41"/>
    <w:rsid w:val="00E85CD4"/>
    <w:rsid w:val="00E862EB"/>
    <w:rsid w:val="00E86F1C"/>
    <w:rsid w:val="00E86FDC"/>
    <w:rsid w:val="00E9060A"/>
    <w:rsid w:val="00E90BDD"/>
    <w:rsid w:val="00E91EBF"/>
    <w:rsid w:val="00E92216"/>
    <w:rsid w:val="00E92E27"/>
    <w:rsid w:val="00E92F53"/>
    <w:rsid w:val="00E931BA"/>
    <w:rsid w:val="00E93730"/>
    <w:rsid w:val="00E93816"/>
    <w:rsid w:val="00E94E03"/>
    <w:rsid w:val="00E955DE"/>
    <w:rsid w:val="00E9569C"/>
    <w:rsid w:val="00E9583E"/>
    <w:rsid w:val="00E967B7"/>
    <w:rsid w:val="00EA09BE"/>
    <w:rsid w:val="00EA0BF3"/>
    <w:rsid w:val="00EA18DD"/>
    <w:rsid w:val="00EA1C27"/>
    <w:rsid w:val="00EA39F8"/>
    <w:rsid w:val="00EA3ADF"/>
    <w:rsid w:val="00EA3DC1"/>
    <w:rsid w:val="00EA4214"/>
    <w:rsid w:val="00EA4732"/>
    <w:rsid w:val="00EA497E"/>
    <w:rsid w:val="00EA4FD8"/>
    <w:rsid w:val="00EA5BFE"/>
    <w:rsid w:val="00EA6E6C"/>
    <w:rsid w:val="00EB0993"/>
    <w:rsid w:val="00EB1DF2"/>
    <w:rsid w:val="00EB285B"/>
    <w:rsid w:val="00EB28EF"/>
    <w:rsid w:val="00EB2932"/>
    <w:rsid w:val="00EB4FB1"/>
    <w:rsid w:val="00EB5D79"/>
    <w:rsid w:val="00EB5F63"/>
    <w:rsid w:val="00EB60BF"/>
    <w:rsid w:val="00EB6CCD"/>
    <w:rsid w:val="00EB7BA6"/>
    <w:rsid w:val="00EB7D27"/>
    <w:rsid w:val="00EC00B0"/>
    <w:rsid w:val="00EC058E"/>
    <w:rsid w:val="00EC0B52"/>
    <w:rsid w:val="00EC0C4F"/>
    <w:rsid w:val="00EC1E39"/>
    <w:rsid w:val="00EC31B8"/>
    <w:rsid w:val="00EC3E54"/>
    <w:rsid w:val="00EC3EC5"/>
    <w:rsid w:val="00EC4799"/>
    <w:rsid w:val="00EC4AC6"/>
    <w:rsid w:val="00EC599C"/>
    <w:rsid w:val="00EC6E86"/>
    <w:rsid w:val="00ED0B27"/>
    <w:rsid w:val="00ED3B00"/>
    <w:rsid w:val="00ED4DD8"/>
    <w:rsid w:val="00ED594A"/>
    <w:rsid w:val="00ED5E9A"/>
    <w:rsid w:val="00ED6018"/>
    <w:rsid w:val="00ED6D6D"/>
    <w:rsid w:val="00EE0B91"/>
    <w:rsid w:val="00EE198D"/>
    <w:rsid w:val="00EE1DD3"/>
    <w:rsid w:val="00EE27CF"/>
    <w:rsid w:val="00EE2D5D"/>
    <w:rsid w:val="00EE2E09"/>
    <w:rsid w:val="00EE4DB8"/>
    <w:rsid w:val="00EE4E7B"/>
    <w:rsid w:val="00EE53F4"/>
    <w:rsid w:val="00EE5956"/>
    <w:rsid w:val="00EE5C5C"/>
    <w:rsid w:val="00EE6568"/>
    <w:rsid w:val="00EE687A"/>
    <w:rsid w:val="00EE68C6"/>
    <w:rsid w:val="00EE70CE"/>
    <w:rsid w:val="00EE76D5"/>
    <w:rsid w:val="00EF0872"/>
    <w:rsid w:val="00EF138E"/>
    <w:rsid w:val="00EF1CCC"/>
    <w:rsid w:val="00EF329D"/>
    <w:rsid w:val="00EF3D44"/>
    <w:rsid w:val="00EF48F2"/>
    <w:rsid w:val="00EF51FD"/>
    <w:rsid w:val="00EF5492"/>
    <w:rsid w:val="00EF5518"/>
    <w:rsid w:val="00EF63E7"/>
    <w:rsid w:val="00EF6B31"/>
    <w:rsid w:val="00EF6E76"/>
    <w:rsid w:val="00EF6EF5"/>
    <w:rsid w:val="00EF732F"/>
    <w:rsid w:val="00EF77EB"/>
    <w:rsid w:val="00EF7896"/>
    <w:rsid w:val="00EF7CAD"/>
    <w:rsid w:val="00EF7E92"/>
    <w:rsid w:val="00EF7F67"/>
    <w:rsid w:val="00F00AE7"/>
    <w:rsid w:val="00F01BB4"/>
    <w:rsid w:val="00F020E6"/>
    <w:rsid w:val="00F02A5A"/>
    <w:rsid w:val="00F04675"/>
    <w:rsid w:val="00F04763"/>
    <w:rsid w:val="00F047A3"/>
    <w:rsid w:val="00F048A0"/>
    <w:rsid w:val="00F05A84"/>
    <w:rsid w:val="00F0613E"/>
    <w:rsid w:val="00F06E3A"/>
    <w:rsid w:val="00F06F2D"/>
    <w:rsid w:val="00F0713B"/>
    <w:rsid w:val="00F079AB"/>
    <w:rsid w:val="00F07E85"/>
    <w:rsid w:val="00F10E54"/>
    <w:rsid w:val="00F1170D"/>
    <w:rsid w:val="00F123C6"/>
    <w:rsid w:val="00F13836"/>
    <w:rsid w:val="00F139D4"/>
    <w:rsid w:val="00F15631"/>
    <w:rsid w:val="00F1659D"/>
    <w:rsid w:val="00F174A9"/>
    <w:rsid w:val="00F216ED"/>
    <w:rsid w:val="00F21838"/>
    <w:rsid w:val="00F21A36"/>
    <w:rsid w:val="00F21A59"/>
    <w:rsid w:val="00F21A5B"/>
    <w:rsid w:val="00F21BD6"/>
    <w:rsid w:val="00F22105"/>
    <w:rsid w:val="00F22145"/>
    <w:rsid w:val="00F22324"/>
    <w:rsid w:val="00F224A4"/>
    <w:rsid w:val="00F22593"/>
    <w:rsid w:val="00F22FF7"/>
    <w:rsid w:val="00F241E1"/>
    <w:rsid w:val="00F242BF"/>
    <w:rsid w:val="00F24996"/>
    <w:rsid w:val="00F26050"/>
    <w:rsid w:val="00F261E1"/>
    <w:rsid w:val="00F2705B"/>
    <w:rsid w:val="00F30103"/>
    <w:rsid w:val="00F3261D"/>
    <w:rsid w:val="00F32FFA"/>
    <w:rsid w:val="00F33509"/>
    <w:rsid w:val="00F33C1F"/>
    <w:rsid w:val="00F3454F"/>
    <w:rsid w:val="00F3489E"/>
    <w:rsid w:val="00F35280"/>
    <w:rsid w:val="00F3594F"/>
    <w:rsid w:val="00F35DE8"/>
    <w:rsid w:val="00F366E4"/>
    <w:rsid w:val="00F37B79"/>
    <w:rsid w:val="00F401AD"/>
    <w:rsid w:val="00F40AEA"/>
    <w:rsid w:val="00F40EDA"/>
    <w:rsid w:val="00F4171F"/>
    <w:rsid w:val="00F418D8"/>
    <w:rsid w:val="00F41B40"/>
    <w:rsid w:val="00F41DB8"/>
    <w:rsid w:val="00F43FEF"/>
    <w:rsid w:val="00F4402D"/>
    <w:rsid w:val="00F44542"/>
    <w:rsid w:val="00F46857"/>
    <w:rsid w:val="00F46BE5"/>
    <w:rsid w:val="00F47A10"/>
    <w:rsid w:val="00F47BB2"/>
    <w:rsid w:val="00F51129"/>
    <w:rsid w:val="00F52E1E"/>
    <w:rsid w:val="00F53706"/>
    <w:rsid w:val="00F54837"/>
    <w:rsid w:val="00F5596B"/>
    <w:rsid w:val="00F562FD"/>
    <w:rsid w:val="00F56800"/>
    <w:rsid w:val="00F573EC"/>
    <w:rsid w:val="00F60A07"/>
    <w:rsid w:val="00F61245"/>
    <w:rsid w:val="00F624FA"/>
    <w:rsid w:val="00F62A79"/>
    <w:rsid w:val="00F64170"/>
    <w:rsid w:val="00F6449F"/>
    <w:rsid w:val="00F651D8"/>
    <w:rsid w:val="00F656F6"/>
    <w:rsid w:val="00F658C3"/>
    <w:rsid w:val="00F65ABF"/>
    <w:rsid w:val="00F6683C"/>
    <w:rsid w:val="00F66ECA"/>
    <w:rsid w:val="00F67DF2"/>
    <w:rsid w:val="00F70853"/>
    <w:rsid w:val="00F71076"/>
    <w:rsid w:val="00F7175E"/>
    <w:rsid w:val="00F7396A"/>
    <w:rsid w:val="00F7479B"/>
    <w:rsid w:val="00F759A2"/>
    <w:rsid w:val="00F75F9E"/>
    <w:rsid w:val="00F76A1D"/>
    <w:rsid w:val="00F7744D"/>
    <w:rsid w:val="00F80468"/>
    <w:rsid w:val="00F807E2"/>
    <w:rsid w:val="00F81041"/>
    <w:rsid w:val="00F81546"/>
    <w:rsid w:val="00F81706"/>
    <w:rsid w:val="00F81A7A"/>
    <w:rsid w:val="00F81B17"/>
    <w:rsid w:val="00F821A0"/>
    <w:rsid w:val="00F829C7"/>
    <w:rsid w:val="00F82AEC"/>
    <w:rsid w:val="00F82CCB"/>
    <w:rsid w:val="00F83456"/>
    <w:rsid w:val="00F8468B"/>
    <w:rsid w:val="00F84D95"/>
    <w:rsid w:val="00F85518"/>
    <w:rsid w:val="00F86D45"/>
    <w:rsid w:val="00F9020D"/>
    <w:rsid w:val="00F90E1F"/>
    <w:rsid w:val="00F91275"/>
    <w:rsid w:val="00F92441"/>
    <w:rsid w:val="00F9313F"/>
    <w:rsid w:val="00F931C7"/>
    <w:rsid w:val="00F93F37"/>
    <w:rsid w:val="00F94235"/>
    <w:rsid w:val="00F94975"/>
    <w:rsid w:val="00F96466"/>
    <w:rsid w:val="00F9743F"/>
    <w:rsid w:val="00F97D26"/>
    <w:rsid w:val="00FA0028"/>
    <w:rsid w:val="00FA14EF"/>
    <w:rsid w:val="00FA5014"/>
    <w:rsid w:val="00FA5760"/>
    <w:rsid w:val="00FA5DA8"/>
    <w:rsid w:val="00FB0095"/>
    <w:rsid w:val="00FB1051"/>
    <w:rsid w:val="00FB1091"/>
    <w:rsid w:val="00FB10E2"/>
    <w:rsid w:val="00FB148B"/>
    <w:rsid w:val="00FB15B4"/>
    <w:rsid w:val="00FB1D1A"/>
    <w:rsid w:val="00FB2017"/>
    <w:rsid w:val="00FB4185"/>
    <w:rsid w:val="00FB4478"/>
    <w:rsid w:val="00FB490F"/>
    <w:rsid w:val="00FB58A5"/>
    <w:rsid w:val="00FB5A45"/>
    <w:rsid w:val="00FB5E65"/>
    <w:rsid w:val="00FB5ECA"/>
    <w:rsid w:val="00FB63CF"/>
    <w:rsid w:val="00FB7237"/>
    <w:rsid w:val="00FC0950"/>
    <w:rsid w:val="00FC135B"/>
    <w:rsid w:val="00FC1DF9"/>
    <w:rsid w:val="00FC1E50"/>
    <w:rsid w:val="00FC2C62"/>
    <w:rsid w:val="00FC3B47"/>
    <w:rsid w:val="00FC3C4D"/>
    <w:rsid w:val="00FC4769"/>
    <w:rsid w:val="00FC4A9F"/>
    <w:rsid w:val="00FC5328"/>
    <w:rsid w:val="00FC551C"/>
    <w:rsid w:val="00FC634F"/>
    <w:rsid w:val="00FC6DCF"/>
    <w:rsid w:val="00FC6F2A"/>
    <w:rsid w:val="00FC77E0"/>
    <w:rsid w:val="00FD0042"/>
    <w:rsid w:val="00FD03A6"/>
    <w:rsid w:val="00FD03DC"/>
    <w:rsid w:val="00FD08ED"/>
    <w:rsid w:val="00FD1639"/>
    <w:rsid w:val="00FD2068"/>
    <w:rsid w:val="00FD2604"/>
    <w:rsid w:val="00FD2BD5"/>
    <w:rsid w:val="00FD36A5"/>
    <w:rsid w:val="00FD3AF8"/>
    <w:rsid w:val="00FD533D"/>
    <w:rsid w:val="00FD551A"/>
    <w:rsid w:val="00FD7F83"/>
    <w:rsid w:val="00FE0092"/>
    <w:rsid w:val="00FE15A4"/>
    <w:rsid w:val="00FE1A71"/>
    <w:rsid w:val="00FE1CDE"/>
    <w:rsid w:val="00FE32E6"/>
    <w:rsid w:val="00FE35E0"/>
    <w:rsid w:val="00FE419A"/>
    <w:rsid w:val="00FE5579"/>
    <w:rsid w:val="00FE579E"/>
    <w:rsid w:val="00FE5C06"/>
    <w:rsid w:val="00FE5DD6"/>
    <w:rsid w:val="00FE682F"/>
    <w:rsid w:val="00FE68AC"/>
    <w:rsid w:val="00FE6A0C"/>
    <w:rsid w:val="00FE72A9"/>
    <w:rsid w:val="00FE7805"/>
    <w:rsid w:val="00FF0689"/>
    <w:rsid w:val="00FF0D1A"/>
    <w:rsid w:val="00FF0FA9"/>
    <w:rsid w:val="00FF123A"/>
    <w:rsid w:val="00FF1BF0"/>
    <w:rsid w:val="00FF344B"/>
    <w:rsid w:val="00FF3A80"/>
    <w:rsid w:val="00FF448D"/>
    <w:rsid w:val="00FF4927"/>
    <w:rsid w:val="00FF4FD0"/>
    <w:rsid w:val="00FF5CFC"/>
    <w:rsid w:val="00FF68AD"/>
    <w:rsid w:val="00FF6B72"/>
    <w:rsid w:val="00FF6C8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43E25A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524588"/>
    <w:rPr>
      <w:sz w:val="18"/>
      <w:szCs w:val="18"/>
    </w:rPr>
  </w:style>
  <w:style w:type="paragraph" w:styleId="CommentText">
    <w:name w:val="annotation text"/>
    <w:basedOn w:val="Normal"/>
    <w:link w:val="CommentTextChar"/>
    <w:uiPriority w:val="99"/>
    <w:unhideWhenUsed/>
    <w:rsid w:val="00524588"/>
    <w:rPr>
      <w:rFonts w:ascii="Cambria" w:eastAsia="ＭＳ 明朝" w:hAnsi="Cambria" w:cs="Times New Roman"/>
    </w:rPr>
  </w:style>
  <w:style w:type="character" w:customStyle="1" w:styleId="CommentTextChar">
    <w:name w:val="Comment Text Char"/>
    <w:basedOn w:val="DefaultParagraphFont"/>
    <w:link w:val="CommentText"/>
    <w:uiPriority w:val="99"/>
    <w:rsid w:val="00524588"/>
    <w:rPr>
      <w:rFonts w:ascii="Cambria" w:eastAsia="ＭＳ 明朝" w:hAnsi="Cambria" w:cs="Times New Roman"/>
    </w:rPr>
  </w:style>
  <w:style w:type="paragraph" w:styleId="BalloonText">
    <w:name w:val="Balloon Text"/>
    <w:basedOn w:val="Normal"/>
    <w:link w:val="BalloonTextChar"/>
    <w:uiPriority w:val="99"/>
    <w:semiHidden/>
    <w:unhideWhenUsed/>
    <w:rsid w:val="0052458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4588"/>
    <w:rPr>
      <w:rFonts w:ascii="Lucida Grande" w:hAnsi="Lucida Grande" w:cs="Lucida Grande"/>
      <w:sz w:val="18"/>
      <w:szCs w:val="18"/>
    </w:rPr>
  </w:style>
  <w:style w:type="paragraph" w:styleId="CommentSubject">
    <w:name w:val="annotation subject"/>
    <w:basedOn w:val="CommentText"/>
    <w:next w:val="CommentText"/>
    <w:link w:val="CommentSubjectChar"/>
    <w:uiPriority w:val="99"/>
    <w:semiHidden/>
    <w:unhideWhenUsed/>
    <w:rsid w:val="00F5596B"/>
    <w:rPr>
      <w:rFonts w:asciiTheme="minorHAnsi" w:eastAsiaTheme="minorEastAsia" w:hAnsiTheme="minorHAnsi" w:cstheme="minorBidi"/>
      <w:b/>
      <w:bCs/>
      <w:sz w:val="20"/>
      <w:szCs w:val="20"/>
    </w:rPr>
  </w:style>
  <w:style w:type="character" w:customStyle="1" w:styleId="CommentSubjectChar">
    <w:name w:val="Comment Subject Char"/>
    <w:basedOn w:val="CommentTextChar"/>
    <w:link w:val="CommentSubject"/>
    <w:uiPriority w:val="99"/>
    <w:semiHidden/>
    <w:rsid w:val="00F5596B"/>
    <w:rPr>
      <w:rFonts w:ascii="Cambria" w:eastAsia="ＭＳ 明朝" w:hAnsi="Cambria" w:cs="Times New Roman"/>
      <w:b/>
      <w:bCs/>
      <w:sz w:val="20"/>
      <w:szCs w:val="20"/>
    </w:rPr>
  </w:style>
  <w:style w:type="table" w:styleId="TableGrid">
    <w:name w:val="Table Grid"/>
    <w:basedOn w:val="TableNormal"/>
    <w:uiPriority w:val="59"/>
    <w:rsid w:val="00681A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C4213"/>
    <w:pPr>
      <w:ind w:left="720"/>
      <w:contextualSpacing/>
    </w:pPr>
  </w:style>
  <w:style w:type="paragraph" w:styleId="NormalWeb">
    <w:name w:val="Normal (Web)"/>
    <w:basedOn w:val="Normal"/>
    <w:uiPriority w:val="99"/>
    <w:unhideWhenUsed/>
    <w:rsid w:val="00A96F13"/>
    <w:pPr>
      <w:spacing w:before="100" w:beforeAutospacing="1" w:after="100" w:afterAutospacing="1"/>
    </w:pPr>
    <w:rPr>
      <w:rFonts w:ascii="Times" w:hAnsi="Times" w:cs="Times New Roman"/>
      <w:sz w:val="20"/>
      <w:szCs w:val="20"/>
    </w:rPr>
  </w:style>
  <w:style w:type="paragraph" w:styleId="Revision">
    <w:name w:val="Revision"/>
    <w:hidden/>
    <w:uiPriority w:val="99"/>
    <w:semiHidden/>
    <w:rsid w:val="006B30EB"/>
  </w:style>
  <w:style w:type="character" w:styleId="Hyperlink">
    <w:name w:val="Hyperlink"/>
    <w:basedOn w:val="DefaultParagraphFont"/>
    <w:uiPriority w:val="99"/>
    <w:unhideWhenUsed/>
    <w:rsid w:val="00F33509"/>
    <w:rPr>
      <w:color w:val="0000FF" w:themeColor="hyperlink"/>
      <w:u w:val="single"/>
    </w:rPr>
  </w:style>
  <w:style w:type="character" w:styleId="LineNumber">
    <w:name w:val="line number"/>
    <w:basedOn w:val="DefaultParagraphFont"/>
    <w:uiPriority w:val="99"/>
    <w:semiHidden/>
    <w:unhideWhenUsed/>
    <w:rsid w:val="00CF5717"/>
  </w:style>
  <w:style w:type="paragraph" w:styleId="Header">
    <w:name w:val="header"/>
    <w:basedOn w:val="Normal"/>
    <w:link w:val="HeaderChar"/>
    <w:uiPriority w:val="99"/>
    <w:unhideWhenUsed/>
    <w:rsid w:val="00422201"/>
    <w:pPr>
      <w:tabs>
        <w:tab w:val="center" w:pos="4320"/>
        <w:tab w:val="right" w:pos="8640"/>
      </w:tabs>
    </w:pPr>
  </w:style>
  <w:style w:type="character" w:customStyle="1" w:styleId="HeaderChar">
    <w:name w:val="Header Char"/>
    <w:basedOn w:val="DefaultParagraphFont"/>
    <w:link w:val="Header"/>
    <w:uiPriority w:val="99"/>
    <w:rsid w:val="00422201"/>
  </w:style>
  <w:style w:type="paragraph" w:styleId="Footer">
    <w:name w:val="footer"/>
    <w:basedOn w:val="Normal"/>
    <w:link w:val="FooterChar"/>
    <w:uiPriority w:val="99"/>
    <w:unhideWhenUsed/>
    <w:rsid w:val="00422201"/>
    <w:pPr>
      <w:tabs>
        <w:tab w:val="center" w:pos="4320"/>
        <w:tab w:val="right" w:pos="8640"/>
      </w:tabs>
    </w:pPr>
  </w:style>
  <w:style w:type="character" w:customStyle="1" w:styleId="FooterChar">
    <w:name w:val="Footer Char"/>
    <w:basedOn w:val="DefaultParagraphFont"/>
    <w:link w:val="Footer"/>
    <w:uiPriority w:val="99"/>
    <w:rsid w:val="0042220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524588"/>
    <w:rPr>
      <w:sz w:val="18"/>
      <w:szCs w:val="18"/>
    </w:rPr>
  </w:style>
  <w:style w:type="paragraph" w:styleId="CommentText">
    <w:name w:val="annotation text"/>
    <w:basedOn w:val="Normal"/>
    <w:link w:val="CommentTextChar"/>
    <w:uiPriority w:val="99"/>
    <w:unhideWhenUsed/>
    <w:rsid w:val="00524588"/>
    <w:rPr>
      <w:rFonts w:ascii="Cambria" w:eastAsia="ＭＳ 明朝" w:hAnsi="Cambria" w:cs="Times New Roman"/>
    </w:rPr>
  </w:style>
  <w:style w:type="character" w:customStyle="1" w:styleId="CommentTextChar">
    <w:name w:val="Comment Text Char"/>
    <w:basedOn w:val="DefaultParagraphFont"/>
    <w:link w:val="CommentText"/>
    <w:uiPriority w:val="99"/>
    <w:rsid w:val="00524588"/>
    <w:rPr>
      <w:rFonts w:ascii="Cambria" w:eastAsia="ＭＳ 明朝" w:hAnsi="Cambria" w:cs="Times New Roman"/>
    </w:rPr>
  </w:style>
  <w:style w:type="paragraph" w:styleId="BalloonText">
    <w:name w:val="Balloon Text"/>
    <w:basedOn w:val="Normal"/>
    <w:link w:val="BalloonTextChar"/>
    <w:uiPriority w:val="99"/>
    <w:semiHidden/>
    <w:unhideWhenUsed/>
    <w:rsid w:val="0052458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4588"/>
    <w:rPr>
      <w:rFonts w:ascii="Lucida Grande" w:hAnsi="Lucida Grande" w:cs="Lucida Grande"/>
      <w:sz w:val="18"/>
      <w:szCs w:val="18"/>
    </w:rPr>
  </w:style>
  <w:style w:type="paragraph" w:styleId="CommentSubject">
    <w:name w:val="annotation subject"/>
    <w:basedOn w:val="CommentText"/>
    <w:next w:val="CommentText"/>
    <w:link w:val="CommentSubjectChar"/>
    <w:uiPriority w:val="99"/>
    <w:semiHidden/>
    <w:unhideWhenUsed/>
    <w:rsid w:val="00F5596B"/>
    <w:rPr>
      <w:rFonts w:asciiTheme="minorHAnsi" w:eastAsiaTheme="minorEastAsia" w:hAnsiTheme="minorHAnsi" w:cstheme="minorBidi"/>
      <w:b/>
      <w:bCs/>
      <w:sz w:val="20"/>
      <w:szCs w:val="20"/>
    </w:rPr>
  </w:style>
  <w:style w:type="character" w:customStyle="1" w:styleId="CommentSubjectChar">
    <w:name w:val="Comment Subject Char"/>
    <w:basedOn w:val="CommentTextChar"/>
    <w:link w:val="CommentSubject"/>
    <w:uiPriority w:val="99"/>
    <w:semiHidden/>
    <w:rsid w:val="00F5596B"/>
    <w:rPr>
      <w:rFonts w:ascii="Cambria" w:eastAsia="ＭＳ 明朝" w:hAnsi="Cambria" w:cs="Times New Roman"/>
      <w:b/>
      <w:bCs/>
      <w:sz w:val="20"/>
      <w:szCs w:val="20"/>
    </w:rPr>
  </w:style>
  <w:style w:type="table" w:styleId="TableGrid">
    <w:name w:val="Table Grid"/>
    <w:basedOn w:val="TableNormal"/>
    <w:uiPriority w:val="59"/>
    <w:rsid w:val="00681A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C4213"/>
    <w:pPr>
      <w:ind w:left="720"/>
      <w:contextualSpacing/>
    </w:pPr>
  </w:style>
  <w:style w:type="paragraph" w:styleId="NormalWeb">
    <w:name w:val="Normal (Web)"/>
    <w:basedOn w:val="Normal"/>
    <w:uiPriority w:val="99"/>
    <w:unhideWhenUsed/>
    <w:rsid w:val="00A96F13"/>
    <w:pPr>
      <w:spacing w:before="100" w:beforeAutospacing="1" w:after="100" w:afterAutospacing="1"/>
    </w:pPr>
    <w:rPr>
      <w:rFonts w:ascii="Times" w:hAnsi="Times" w:cs="Times New Roman"/>
      <w:sz w:val="20"/>
      <w:szCs w:val="20"/>
    </w:rPr>
  </w:style>
  <w:style w:type="paragraph" w:styleId="Revision">
    <w:name w:val="Revision"/>
    <w:hidden/>
    <w:uiPriority w:val="99"/>
    <w:semiHidden/>
    <w:rsid w:val="006B30EB"/>
  </w:style>
  <w:style w:type="character" w:styleId="Hyperlink">
    <w:name w:val="Hyperlink"/>
    <w:basedOn w:val="DefaultParagraphFont"/>
    <w:uiPriority w:val="99"/>
    <w:unhideWhenUsed/>
    <w:rsid w:val="00F33509"/>
    <w:rPr>
      <w:color w:val="0000FF" w:themeColor="hyperlink"/>
      <w:u w:val="single"/>
    </w:rPr>
  </w:style>
  <w:style w:type="character" w:styleId="LineNumber">
    <w:name w:val="line number"/>
    <w:basedOn w:val="DefaultParagraphFont"/>
    <w:uiPriority w:val="99"/>
    <w:semiHidden/>
    <w:unhideWhenUsed/>
    <w:rsid w:val="00CF5717"/>
  </w:style>
  <w:style w:type="paragraph" w:styleId="Header">
    <w:name w:val="header"/>
    <w:basedOn w:val="Normal"/>
    <w:link w:val="HeaderChar"/>
    <w:uiPriority w:val="99"/>
    <w:unhideWhenUsed/>
    <w:rsid w:val="00422201"/>
    <w:pPr>
      <w:tabs>
        <w:tab w:val="center" w:pos="4320"/>
        <w:tab w:val="right" w:pos="8640"/>
      </w:tabs>
    </w:pPr>
  </w:style>
  <w:style w:type="character" w:customStyle="1" w:styleId="HeaderChar">
    <w:name w:val="Header Char"/>
    <w:basedOn w:val="DefaultParagraphFont"/>
    <w:link w:val="Header"/>
    <w:uiPriority w:val="99"/>
    <w:rsid w:val="00422201"/>
  </w:style>
  <w:style w:type="paragraph" w:styleId="Footer">
    <w:name w:val="footer"/>
    <w:basedOn w:val="Normal"/>
    <w:link w:val="FooterChar"/>
    <w:uiPriority w:val="99"/>
    <w:unhideWhenUsed/>
    <w:rsid w:val="00422201"/>
    <w:pPr>
      <w:tabs>
        <w:tab w:val="center" w:pos="4320"/>
        <w:tab w:val="right" w:pos="8640"/>
      </w:tabs>
    </w:pPr>
  </w:style>
  <w:style w:type="character" w:customStyle="1" w:styleId="FooterChar">
    <w:name w:val="Footer Char"/>
    <w:basedOn w:val="DefaultParagraphFont"/>
    <w:link w:val="Footer"/>
    <w:uiPriority w:val="99"/>
    <w:rsid w:val="004222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93861">
      <w:bodyDiv w:val="1"/>
      <w:marLeft w:val="0"/>
      <w:marRight w:val="0"/>
      <w:marTop w:val="0"/>
      <w:marBottom w:val="0"/>
      <w:divBdr>
        <w:top w:val="none" w:sz="0" w:space="0" w:color="auto"/>
        <w:left w:val="none" w:sz="0" w:space="0" w:color="auto"/>
        <w:bottom w:val="none" w:sz="0" w:space="0" w:color="auto"/>
        <w:right w:val="none" w:sz="0" w:space="0" w:color="auto"/>
      </w:divBdr>
    </w:div>
    <w:div w:id="64185472">
      <w:bodyDiv w:val="1"/>
      <w:marLeft w:val="0"/>
      <w:marRight w:val="0"/>
      <w:marTop w:val="0"/>
      <w:marBottom w:val="0"/>
      <w:divBdr>
        <w:top w:val="none" w:sz="0" w:space="0" w:color="auto"/>
        <w:left w:val="none" w:sz="0" w:space="0" w:color="auto"/>
        <w:bottom w:val="none" w:sz="0" w:space="0" w:color="auto"/>
        <w:right w:val="none" w:sz="0" w:space="0" w:color="auto"/>
      </w:divBdr>
    </w:div>
    <w:div w:id="105930393">
      <w:bodyDiv w:val="1"/>
      <w:marLeft w:val="0"/>
      <w:marRight w:val="0"/>
      <w:marTop w:val="0"/>
      <w:marBottom w:val="0"/>
      <w:divBdr>
        <w:top w:val="none" w:sz="0" w:space="0" w:color="auto"/>
        <w:left w:val="none" w:sz="0" w:space="0" w:color="auto"/>
        <w:bottom w:val="none" w:sz="0" w:space="0" w:color="auto"/>
        <w:right w:val="none" w:sz="0" w:space="0" w:color="auto"/>
      </w:divBdr>
      <w:divsChild>
        <w:div w:id="64036142">
          <w:marLeft w:val="0"/>
          <w:marRight w:val="0"/>
          <w:marTop w:val="0"/>
          <w:marBottom w:val="0"/>
          <w:divBdr>
            <w:top w:val="none" w:sz="0" w:space="0" w:color="auto"/>
            <w:left w:val="none" w:sz="0" w:space="0" w:color="auto"/>
            <w:bottom w:val="none" w:sz="0" w:space="0" w:color="auto"/>
            <w:right w:val="none" w:sz="0" w:space="0" w:color="auto"/>
          </w:divBdr>
        </w:div>
        <w:div w:id="2041003120">
          <w:marLeft w:val="0"/>
          <w:marRight w:val="0"/>
          <w:marTop w:val="0"/>
          <w:marBottom w:val="0"/>
          <w:divBdr>
            <w:top w:val="none" w:sz="0" w:space="0" w:color="auto"/>
            <w:left w:val="none" w:sz="0" w:space="0" w:color="auto"/>
            <w:bottom w:val="none" w:sz="0" w:space="0" w:color="auto"/>
            <w:right w:val="none" w:sz="0" w:space="0" w:color="auto"/>
          </w:divBdr>
        </w:div>
        <w:div w:id="963851076">
          <w:marLeft w:val="0"/>
          <w:marRight w:val="0"/>
          <w:marTop w:val="0"/>
          <w:marBottom w:val="0"/>
          <w:divBdr>
            <w:top w:val="none" w:sz="0" w:space="0" w:color="auto"/>
            <w:left w:val="none" w:sz="0" w:space="0" w:color="auto"/>
            <w:bottom w:val="none" w:sz="0" w:space="0" w:color="auto"/>
            <w:right w:val="none" w:sz="0" w:space="0" w:color="auto"/>
          </w:divBdr>
        </w:div>
        <w:div w:id="1236622445">
          <w:marLeft w:val="0"/>
          <w:marRight w:val="0"/>
          <w:marTop w:val="0"/>
          <w:marBottom w:val="0"/>
          <w:divBdr>
            <w:top w:val="none" w:sz="0" w:space="0" w:color="auto"/>
            <w:left w:val="none" w:sz="0" w:space="0" w:color="auto"/>
            <w:bottom w:val="none" w:sz="0" w:space="0" w:color="auto"/>
            <w:right w:val="none" w:sz="0" w:space="0" w:color="auto"/>
          </w:divBdr>
        </w:div>
        <w:div w:id="1702584332">
          <w:marLeft w:val="0"/>
          <w:marRight w:val="0"/>
          <w:marTop w:val="0"/>
          <w:marBottom w:val="0"/>
          <w:divBdr>
            <w:top w:val="none" w:sz="0" w:space="0" w:color="auto"/>
            <w:left w:val="none" w:sz="0" w:space="0" w:color="auto"/>
            <w:bottom w:val="none" w:sz="0" w:space="0" w:color="auto"/>
            <w:right w:val="none" w:sz="0" w:space="0" w:color="auto"/>
          </w:divBdr>
        </w:div>
        <w:div w:id="1654067625">
          <w:marLeft w:val="0"/>
          <w:marRight w:val="0"/>
          <w:marTop w:val="0"/>
          <w:marBottom w:val="0"/>
          <w:divBdr>
            <w:top w:val="none" w:sz="0" w:space="0" w:color="auto"/>
            <w:left w:val="none" w:sz="0" w:space="0" w:color="auto"/>
            <w:bottom w:val="none" w:sz="0" w:space="0" w:color="auto"/>
            <w:right w:val="none" w:sz="0" w:space="0" w:color="auto"/>
          </w:divBdr>
        </w:div>
      </w:divsChild>
    </w:div>
    <w:div w:id="146825346">
      <w:bodyDiv w:val="1"/>
      <w:marLeft w:val="0"/>
      <w:marRight w:val="0"/>
      <w:marTop w:val="0"/>
      <w:marBottom w:val="0"/>
      <w:divBdr>
        <w:top w:val="none" w:sz="0" w:space="0" w:color="auto"/>
        <w:left w:val="none" w:sz="0" w:space="0" w:color="auto"/>
        <w:bottom w:val="none" w:sz="0" w:space="0" w:color="auto"/>
        <w:right w:val="none" w:sz="0" w:space="0" w:color="auto"/>
      </w:divBdr>
    </w:div>
    <w:div w:id="259029740">
      <w:bodyDiv w:val="1"/>
      <w:marLeft w:val="0"/>
      <w:marRight w:val="0"/>
      <w:marTop w:val="0"/>
      <w:marBottom w:val="0"/>
      <w:divBdr>
        <w:top w:val="none" w:sz="0" w:space="0" w:color="auto"/>
        <w:left w:val="none" w:sz="0" w:space="0" w:color="auto"/>
        <w:bottom w:val="none" w:sz="0" w:space="0" w:color="auto"/>
        <w:right w:val="none" w:sz="0" w:space="0" w:color="auto"/>
      </w:divBdr>
    </w:div>
    <w:div w:id="355470986">
      <w:bodyDiv w:val="1"/>
      <w:marLeft w:val="0"/>
      <w:marRight w:val="0"/>
      <w:marTop w:val="0"/>
      <w:marBottom w:val="0"/>
      <w:divBdr>
        <w:top w:val="none" w:sz="0" w:space="0" w:color="auto"/>
        <w:left w:val="none" w:sz="0" w:space="0" w:color="auto"/>
        <w:bottom w:val="none" w:sz="0" w:space="0" w:color="auto"/>
        <w:right w:val="none" w:sz="0" w:space="0" w:color="auto"/>
      </w:divBdr>
    </w:div>
    <w:div w:id="402070578">
      <w:bodyDiv w:val="1"/>
      <w:marLeft w:val="0"/>
      <w:marRight w:val="0"/>
      <w:marTop w:val="0"/>
      <w:marBottom w:val="0"/>
      <w:divBdr>
        <w:top w:val="none" w:sz="0" w:space="0" w:color="auto"/>
        <w:left w:val="none" w:sz="0" w:space="0" w:color="auto"/>
        <w:bottom w:val="none" w:sz="0" w:space="0" w:color="auto"/>
        <w:right w:val="none" w:sz="0" w:space="0" w:color="auto"/>
      </w:divBdr>
    </w:div>
    <w:div w:id="449789325">
      <w:bodyDiv w:val="1"/>
      <w:marLeft w:val="0"/>
      <w:marRight w:val="0"/>
      <w:marTop w:val="0"/>
      <w:marBottom w:val="0"/>
      <w:divBdr>
        <w:top w:val="none" w:sz="0" w:space="0" w:color="auto"/>
        <w:left w:val="none" w:sz="0" w:space="0" w:color="auto"/>
        <w:bottom w:val="none" w:sz="0" w:space="0" w:color="auto"/>
        <w:right w:val="none" w:sz="0" w:space="0" w:color="auto"/>
      </w:divBdr>
    </w:div>
    <w:div w:id="540215425">
      <w:bodyDiv w:val="1"/>
      <w:marLeft w:val="0"/>
      <w:marRight w:val="0"/>
      <w:marTop w:val="0"/>
      <w:marBottom w:val="0"/>
      <w:divBdr>
        <w:top w:val="none" w:sz="0" w:space="0" w:color="auto"/>
        <w:left w:val="none" w:sz="0" w:space="0" w:color="auto"/>
        <w:bottom w:val="none" w:sz="0" w:space="0" w:color="auto"/>
        <w:right w:val="none" w:sz="0" w:space="0" w:color="auto"/>
      </w:divBdr>
    </w:div>
    <w:div w:id="576674579">
      <w:bodyDiv w:val="1"/>
      <w:marLeft w:val="0"/>
      <w:marRight w:val="0"/>
      <w:marTop w:val="0"/>
      <w:marBottom w:val="0"/>
      <w:divBdr>
        <w:top w:val="none" w:sz="0" w:space="0" w:color="auto"/>
        <w:left w:val="none" w:sz="0" w:space="0" w:color="auto"/>
        <w:bottom w:val="none" w:sz="0" w:space="0" w:color="auto"/>
        <w:right w:val="none" w:sz="0" w:space="0" w:color="auto"/>
      </w:divBdr>
    </w:div>
    <w:div w:id="596521301">
      <w:bodyDiv w:val="1"/>
      <w:marLeft w:val="0"/>
      <w:marRight w:val="0"/>
      <w:marTop w:val="0"/>
      <w:marBottom w:val="0"/>
      <w:divBdr>
        <w:top w:val="none" w:sz="0" w:space="0" w:color="auto"/>
        <w:left w:val="none" w:sz="0" w:space="0" w:color="auto"/>
        <w:bottom w:val="none" w:sz="0" w:space="0" w:color="auto"/>
        <w:right w:val="none" w:sz="0" w:space="0" w:color="auto"/>
      </w:divBdr>
    </w:div>
    <w:div w:id="609164237">
      <w:bodyDiv w:val="1"/>
      <w:marLeft w:val="0"/>
      <w:marRight w:val="0"/>
      <w:marTop w:val="0"/>
      <w:marBottom w:val="0"/>
      <w:divBdr>
        <w:top w:val="none" w:sz="0" w:space="0" w:color="auto"/>
        <w:left w:val="none" w:sz="0" w:space="0" w:color="auto"/>
        <w:bottom w:val="none" w:sz="0" w:space="0" w:color="auto"/>
        <w:right w:val="none" w:sz="0" w:space="0" w:color="auto"/>
      </w:divBdr>
    </w:div>
    <w:div w:id="828441067">
      <w:bodyDiv w:val="1"/>
      <w:marLeft w:val="0"/>
      <w:marRight w:val="0"/>
      <w:marTop w:val="0"/>
      <w:marBottom w:val="0"/>
      <w:divBdr>
        <w:top w:val="none" w:sz="0" w:space="0" w:color="auto"/>
        <w:left w:val="none" w:sz="0" w:space="0" w:color="auto"/>
        <w:bottom w:val="none" w:sz="0" w:space="0" w:color="auto"/>
        <w:right w:val="none" w:sz="0" w:space="0" w:color="auto"/>
      </w:divBdr>
    </w:div>
    <w:div w:id="838424268">
      <w:bodyDiv w:val="1"/>
      <w:marLeft w:val="0"/>
      <w:marRight w:val="0"/>
      <w:marTop w:val="0"/>
      <w:marBottom w:val="0"/>
      <w:divBdr>
        <w:top w:val="none" w:sz="0" w:space="0" w:color="auto"/>
        <w:left w:val="none" w:sz="0" w:space="0" w:color="auto"/>
        <w:bottom w:val="none" w:sz="0" w:space="0" w:color="auto"/>
        <w:right w:val="none" w:sz="0" w:space="0" w:color="auto"/>
      </w:divBdr>
    </w:div>
    <w:div w:id="1153568690">
      <w:bodyDiv w:val="1"/>
      <w:marLeft w:val="0"/>
      <w:marRight w:val="0"/>
      <w:marTop w:val="0"/>
      <w:marBottom w:val="0"/>
      <w:divBdr>
        <w:top w:val="none" w:sz="0" w:space="0" w:color="auto"/>
        <w:left w:val="none" w:sz="0" w:space="0" w:color="auto"/>
        <w:bottom w:val="none" w:sz="0" w:space="0" w:color="auto"/>
        <w:right w:val="none" w:sz="0" w:space="0" w:color="auto"/>
      </w:divBdr>
    </w:div>
    <w:div w:id="1177386099">
      <w:bodyDiv w:val="1"/>
      <w:marLeft w:val="0"/>
      <w:marRight w:val="0"/>
      <w:marTop w:val="0"/>
      <w:marBottom w:val="0"/>
      <w:divBdr>
        <w:top w:val="none" w:sz="0" w:space="0" w:color="auto"/>
        <w:left w:val="none" w:sz="0" w:space="0" w:color="auto"/>
        <w:bottom w:val="none" w:sz="0" w:space="0" w:color="auto"/>
        <w:right w:val="none" w:sz="0" w:space="0" w:color="auto"/>
      </w:divBdr>
    </w:div>
    <w:div w:id="1244418287">
      <w:bodyDiv w:val="1"/>
      <w:marLeft w:val="0"/>
      <w:marRight w:val="0"/>
      <w:marTop w:val="0"/>
      <w:marBottom w:val="0"/>
      <w:divBdr>
        <w:top w:val="none" w:sz="0" w:space="0" w:color="auto"/>
        <w:left w:val="none" w:sz="0" w:space="0" w:color="auto"/>
        <w:bottom w:val="none" w:sz="0" w:space="0" w:color="auto"/>
        <w:right w:val="none" w:sz="0" w:space="0" w:color="auto"/>
      </w:divBdr>
    </w:div>
    <w:div w:id="1468889472">
      <w:bodyDiv w:val="1"/>
      <w:marLeft w:val="0"/>
      <w:marRight w:val="0"/>
      <w:marTop w:val="0"/>
      <w:marBottom w:val="0"/>
      <w:divBdr>
        <w:top w:val="none" w:sz="0" w:space="0" w:color="auto"/>
        <w:left w:val="none" w:sz="0" w:space="0" w:color="auto"/>
        <w:bottom w:val="none" w:sz="0" w:space="0" w:color="auto"/>
        <w:right w:val="none" w:sz="0" w:space="0" w:color="auto"/>
      </w:divBdr>
    </w:div>
    <w:div w:id="1470635761">
      <w:bodyDiv w:val="1"/>
      <w:marLeft w:val="0"/>
      <w:marRight w:val="0"/>
      <w:marTop w:val="0"/>
      <w:marBottom w:val="0"/>
      <w:divBdr>
        <w:top w:val="none" w:sz="0" w:space="0" w:color="auto"/>
        <w:left w:val="none" w:sz="0" w:space="0" w:color="auto"/>
        <w:bottom w:val="none" w:sz="0" w:space="0" w:color="auto"/>
        <w:right w:val="none" w:sz="0" w:space="0" w:color="auto"/>
      </w:divBdr>
    </w:div>
    <w:div w:id="1545481394">
      <w:bodyDiv w:val="1"/>
      <w:marLeft w:val="0"/>
      <w:marRight w:val="0"/>
      <w:marTop w:val="0"/>
      <w:marBottom w:val="0"/>
      <w:divBdr>
        <w:top w:val="none" w:sz="0" w:space="0" w:color="auto"/>
        <w:left w:val="none" w:sz="0" w:space="0" w:color="auto"/>
        <w:bottom w:val="none" w:sz="0" w:space="0" w:color="auto"/>
        <w:right w:val="none" w:sz="0" w:space="0" w:color="auto"/>
      </w:divBdr>
    </w:div>
    <w:div w:id="1547911052">
      <w:bodyDiv w:val="1"/>
      <w:marLeft w:val="0"/>
      <w:marRight w:val="0"/>
      <w:marTop w:val="0"/>
      <w:marBottom w:val="0"/>
      <w:divBdr>
        <w:top w:val="none" w:sz="0" w:space="0" w:color="auto"/>
        <w:left w:val="none" w:sz="0" w:space="0" w:color="auto"/>
        <w:bottom w:val="none" w:sz="0" w:space="0" w:color="auto"/>
        <w:right w:val="none" w:sz="0" w:space="0" w:color="auto"/>
      </w:divBdr>
      <w:divsChild>
        <w:div w:id="1246107219">
          <w:marLeft w:val="0"/>
          <w:marRight w:val="0"/>
          <w:marTop w:val="0"/>
          <w:marBottom w:val="0"/>
          <w:divBdr>
            <w:top w:val="none" w:sz="0" w:space="0" w:color="auto"/>
            <w:left w:val="none" w:sz="0" w:space="0" w:color="auto"/>
            <w:bottom w:val="none" w:sz="0" w:space="0" w:color="auto"/>
            <w:right w:val="none" w:sz="0" w:space="0" w:color="auto"/>
          </w:divBdr>
          <w:divsChild>
            <w:div w:id="337194655">
              <w:marLeft w:val="0"/>
              <w:marRight w:val="0"/>
              <w:marTop w:val="0"/>
              <w:marBottom w:val="0"/>
              <w:divBdr>
                <w:top w:val="none" w:sz="0" w:space="0" w:color="auto"/>
                <w:left w:val="none" w:sz="0" w:space="0" w:color="auto"/>
                <w:bottom w:val="none" w:sz="0" w:space="0" w:color="auto"/>
                <w:right w:val="none" w:sz="0" w:space="0" w:color="auto"/>
              </w:divBdr>
              <w:divsChild>
                <w:div w:id="1013914915">
                  <w:marLeft w:val="0"/>
                  <w:marRight w:val="0"/>
                  <w:marTop w:val="0"/>
                  <w:marBottom w:val="0"/>
                  <w:divBdr>
                    <w:top w:val="none" w:sz="0" w:space="0" w:color="auto"/>
                    <w:left w:val="none" w:sz="0" w:space="0" w:color="auto"/>
                    <w:bottom w:val="none" w:sz="0" w:space="0" w:color="auto"/>
                    <w:right w:val="none" w:sz="0" w:space="0" w:color="auto"/>
                  </w:divBdr>
                  <w:divsChild>
                    <w:div w:id="1179200837">
                      <w:marLeft w:val="0"/>
                      <w:marRight w:val="0"/>
                      <w:marTop w:val="0"/>
                      <w:marBottom w:val="0"/>
                      <w:divBdr>
                        <w:top w:val="none" w:sz="0" w:space="0" w:color="auto"/>
                        <w:left w:val="none" w:sz="0" w:space="0" w:color="auto"/>
                        <w:bottom w:val="none" w:sz="0" w:space="0" w:color="auto"/>
                        <w:right w:val="none" w:sz="0" w:space="0" w:color="auto"/>
                      </w:divBdr>
                      <w:divsChild>
                        <w:div w:id="233784178">
                          <w:marLeft w:val="0"/>
                          <w:marRight w:val="0"/>
                          <w:marTop w:val="0"/>
                          <w:marBottom w:val="0"/>
                          <w:divBdr>
                            <w:top w:val="none" w:sz="0" w:space="0" w:color="auto"/>
                            <w:left w:val="none" w:sz="0" w:space="0" w:color="auto"/>
                            <w:bottom w:val="none" w:sz="0" w:space="0" w:color="auto"/>
                            <w:right w:val="none" w:sz="0" w:space="0" w:color="auto"/>
                          </w:divBdr>
                          <w:divsChild>
                            <w:div w:id="1377510331">
                              <w:marLeft w:val="0"/>
                              <w:marRight w:val="0"/>
                              <w:marTop w:val="0"/>
                              <w:marBottom w:val="0"/>
                              <w:divBdr>
                                <w:top w:val="none" w:sz="0" w:space="0" w:color="auto"/>
                                <w:left w:val="none" w:sz="0" w:space="0" w:color="auto"/>
                                <w:bottom w:val="none" w:sz="0" w:space="0" w:color="auto"/>
                                <w:right w:val="none" w:sz="0" w:space="0" w:color="auto"/>
                              </w:divBdr>
                              <w:divsChild>
                                <w:div w:id="1532302275">
                                  <w:marLeft w:val="0"/>
                                  <w:marRight w:val="0"/>
                                  <w:marTop w:val="0"/>
                                  <w:marBottom w:val="0"/>
                                  <w:divBdr>
                                    <w:top w:val="none" w:sz="0" w:space="0" w:color="auto"/>
                                    <w:left w:val="none" w:sz="0" w:space="0" w:color="auto"/>
                                    <w:bottom w:val="none" w:sz="0" w:space="0" w:color="auto"/>
                                    <w:right w:val="none" w:sz="0" w:space="0" w:color="auto"/>
                                  </w:divBdr>
                                  <w:divsChild>
                                    <w:div w:id="1080951063">
                                      <w:marLeft w:val="0"/>
                                      <w:marRight w:val="0"/>
                                      <w:marTop w:val="0"/>
                                      <w:marBottom w:val="0"/>
                                      <w:divBdr>
                                        <w:top w:val="none" w:sz="0" w:space="0" w:color="auto"/>
                                        <w:left w:val="none" w:sz="0" w:space="0" w:color="auto"/>
                                        <w:bottom w:val="none" w:sz="0" w:space="0" w:color="auto"/>
                                        <w:right w:val="none" w:sz="0" w:space="0" w:color="auto"/>
                                      </w:divBdr>
                                      <w:divsChild>
                                        <w:div w:id="299265558">
                                          <w:marLeft w:val="0"/>
                                          <w:marRight w:val="0"/>
                                          <w:marTop w:val="0"/>
                                          <w:marBottom w:val="0"/>
                                          <w:divBdr>
                                            <w:top w:val="none" w:sz="0" w:space="0" w:color="auto"/>
                                            <w:left w:val="none" w:sz="0" w:space="0" w:color="auto"/>
                                            <w:bottom w:val="none" w:sz="0" w:space="0" w:color="auto"/>
                                            <w:right w:val="none" w:sz="0" w:space="0" w:color="auto"/>
                                          </w:divBdr>
                                          <w:divsChild>
                                            <w:div w:id="1673289421">
                                              <w:marLeft w:val="0"/>
                                              <w:marRight w:val="0"/>
                                              <w:marTop w:val="0"/>
                                              <w:marBottom w:val="0"/>
                                              <w:divBdr>
                                                <w:top w:val="none" w:sz="0" w:space="0" w:color="auto"/>
                                                <w:left w:val="none" w:sz="0" w:space="0" w:color="auto"/>
                                                <w:bottom w:val="none" w:sz="0" w:space="0" w:color="auto"/>
                                                <w:right w:val="none" w:sz="0" w:space="0" w:color="auto"/>
                                              </w:divBdr>
                                              <w:divsChild>
                                                <w:div w:id="994410403">
                                                  <w:marLeft w:val="0"/>
                                                  <w:marRight w:val="0"/>
                                                  <w:marTop w:val="0"/>
                                                  <w:marBottom w:val="0"/>
                                                  <w:divBdr>
                                                    <w:top w:val="none" w:sz="0" w:space="0" w:color="auto"/>
                                                    <w:left w:val="none" w:sz="0" w:space="0" w:color="auto"/>
                                                    <w:bottom w:val="none" w:sz="0" w:space="0" w:color="auto"/>
                                                    <w:right w:val="none" w:sz="0" w:space="0" w:color="auto"/>
                                                  </w:divBdr>
                                                  <w:divsChild>
                                                    <w:div w:id="2081171049">
                                                      <w:marLeft w:val="0"/>
                                                      <w:marRight w:val="0"/>
                                                      <w:marTop w:val="0"/>
                                                      <w:marBottom w:val="0"/>
                                                      <w:divBdr>
                                                        <w:top w:val="none" w:sz="0" w:space="0" w:color="auto"/>
                                                        <w:left w:val="none" w:sz="0" w:space="0" w:color="auto"/>
                                                        <w:bottom w:val="none" w:sz="0" w:space="0" w:color="auto"/>
                                                        <w:right w:val="none" w:sz="0" w:space="0" w:color="auto"/>
                                                      </w:divBdr>
                                                      <w:divsChild>
                                                        <w:div w:id="596014914">
                                                          <w:marLeft w:val="0"/>
                                                          <w:marRight w:val="0"/>
                                                          <w:marTop w:val="0"/>
                                                          <w:marBottom w:val="0"/>
                                                          <w:divBdr>
                                                            <w:top w:val="none" w:sz="0" w:space="0" w:color="auto"/>
                                                            <w:left w:val="none" w:sz="0" w:space="0" w:color="auto"/>
                                                            <w:bottom w:val="none" w:sz="0" w:space="0" w:color="auto"/>
                                                            <w:right w:val="none" w:sz="0" w:space="0" w:color="auto"/>
                                                          </w:divBdr>
                                                          <w:divsChild>
                                                            <w:div w:id="822283368">
                                                              <w:marLeft w:val="0"/>
                                                              <w:marRight w:val="0"/>
                                                              <w:marTop w:val="0"/>
                                                              <w:marBottom w:val="0"/>
                                                              <w:divBdr>
                                                                <w:top w:val="none" w:sz="0" w:space="0" w:color="auto"/>
                                                                <w:left w:val="none" w:sz="0" w:space="0" w:color="auto"/>
                                                                <w:bottom w:val="none" w:sz="0" w:space="0" w:color="auto"/>
                                                                <w:right w:val="none" w:sz="0" w:space="0" w:color="auto"/>
                                                              </w:divBdr>
                                                              <w:divsChild>
                                                                <w:div w:id="152456137">
                                                                  <w:marLeft w:val="0"/>
                                                                  <w:marRight w:val="0"/>
                                                                  <w:marTop w:val="0"/>
                                                                  <w:marBottom w:val="0"/>
                                                                  <w:divBdr>
                                                                    <w:top w:val="none" w:sz="0" w:space="0" w:color="auto"/>
                                                                    <w:left w:val="none" w:sz="0" w:space="0" w:color="auto"/>
                                                                    <w:bottom w:val="none" w:sz="0" w:space="0" w:color="auto"/>
                                                                    <w:right w:val="none" w:sz="0" w:space="0" w:color="auto"/>
                                                                  </w:divBdr>
                                                                  <w:divsChild>
                                                                    <w:div w:id="1565022723">
                                                                      <w:marLeft w:val="0"/>
                                                                      <w:marRight w:val="0"/>
                                                                      <w:marTop w:val="0"/>
                                                                      <w:marBottom w:val="0"/>
                                                                      <w:divBdr>
                                                                        <w:top w:val="none" w:sz="0" w:space="0" w:color="auto"/>
                                                                        <w:left w:val="none" w:sz="0" w:space="0" w:color="auto"/>
                                                                        <w:bottom w:val="none" w:sz="0" w:space="0" w:color="auto"/>
                                                                        <w:right w:val="none" w:sz="0" w:space="0" w:color="auto"/>
                                                                      </w:divBdr>
                                                                      <w:divsChild>
                                                                        <w:div w:id="1180969457">
                                                                          <w:marLeft w:val="0"/>
                                                                          <w:marRight w:val="0"/>
                                                                          <w:marTop w:val="0"/>
                                                                          <w:marBottom w:val="0"/>
                                                                          <w:divBdr>
                                                                            <w:top w:val="none" w:sz="0" w:space="0" w:color="auto"/>
                                                                            <w:left w:val="none" w:sz="0" w:space="0" w:color="auto"/>
                                                                            <w:bottom w:val="none" w:sz="0" w:space="0" w:color="auto"/>
                                                                            <w:right w:val="none" w:sz="0" w:space="0" w:color="auto"/>
                                                                          </w:divBdr>
                                                                          <w:divsChild>
                                                                            <w:div w:id="942374411">
                                                                              <w:marLeft w:val="0"/>
                                                                              <w:marRight w:val="0"/>
                                                                              <w:marTop w:val="0"/>
                                                                              <w:marBottom w:val="0"/>
                                                                              <w:divBdr>
                                                                                <w:top w:val="none" w:sz="0" w:space="0" w:color="auto"/>
                                                                                <w:left w:val="none" w:sz="0" w:space="0" w:color="auto"/>
                                                                                <w:bottom w:val="none" w:sz="0" w:space="0" w:color="auto"/>
                                                                                <w:right w:val="none" w:sz="0" w:space="0" w:color="auto"/>
                                                                              </w:divBdr>
                                                                              <w:divsChild>
                                                                                <w:div w:id="1833720064">
                                                                                  <w:marLeft w:val="0"/>
                                                                                  <w:marRight w:val="0"/>
                                                                                  <w:marTop w:val="0"/>
                                                                                  <w:marBottom w:val="0"/>
                                                                                  <w:divBdr>
                                                                                    <w:top w:val="none" w:sz="0" w:space="0" w:color="auto"/>
                                                                                    <w:left w:val="none" w:sz="0" w:space="0" w:color="auto"/>
                                                                                    <w:bottom w:val="none" w:sz="0" w:space="0" w:color="auto"/>
                                                                                    <w:right w:val="none" w:sz="0" w:space="0" w:color="auto"/>
                                                                                  </w:divBdr>
                                                                                  <w:divsChild>
                                                                                    <w:div w:id="2111124659">
                                                                                      <w:marLeft w:val="0"/>
                                                                                      <w:marRight w:val="0"/>
                                                                                      <w:marTop w:val="0"/>
                                                                                      <w:marBottom w:val="0"/>
                                                                                      <w:divBdr>
                                                                                        <w:top w:val="none" w:sz="0" w:space="0" w:color="auto"/>
                                                                                        <w:left w:val="none" w:sz="0" w:space="0" w:color="auto"/>
                                                                                        <w:bottom w:val="none" w:sz="0" w:space="0" w:color="auto"/>
                                                                                        <w:right w:val="none" w:sz="0" w:space="0" w:color="auto"/>
                                                                                      </w:divBdr>
                                                                                      <w:divsChild>
                                                                                        <w:div w:id="1727293495">
                                                                                          <w:marLeft w:val="0"/>
                                                                                          <w:marRight w:val="0"/>
                                                                                          <w:marTop w:val="0"/>
                                                                                          <w:marBottom w:val="0"/>
                                                                                          <w:divBdr>
                                                                                            <w:top w:val="none" w:sz="0" w:space="0" w:color="auto"/>
                                                                                            <w:left w:val="none" w:sz="0" w:space="0" w:color="auto"/>
                                                                                            <w:bottom w:val="none" w:sz="0" w:space="0" w:color="auto"/>
                                                                                            <w:right w:val="none" w:sz="0" w:space="0" w:color="auto"/>
                                                                                          </w:divBdr>
                                                                                          <w:divsChild>
                                                                                            <w:div w:id="1568222373">
                                                                                              <w:marLeft w:val="0"/>
                                                                                              <w:marRight w:val="0"/>
                                                                                              <w:marTop w:val="0"/>
                                                                                              <w:marBottom w:val="0"/>
                                                                                              <w:divBdr>
                                                                                                <w:top w:val="none" w:sz="0" w:space="0" w:color="auto"/>
                                                                                                <w:left w:val="none" w:sz="0" w:space="0" w:color="auto"/>
                                                                                                <w:bottom w:val="none" w:sz="0" w:space="0" w:color="auto"/>
                                                                                                <w:right w:val="none" w:sz="0" w:space="0" w:color="auto"/>
                                                                                              </w:divBdr>
                                                                                              <w:divsChild>
                                                                                                <w:div w:id="389423136">
                                                                                                  <w:marLeft w:val="0"/>
                                                                                                  <w:marRight w:val="0"/>
                                                                                                  <w:marTop w:val="0"/>
                                                                                                  <w:marBottom w:val="0"/>
                                                                                                  <w:divBdr>
                                                                                                    <w:top w:val="none" w:sz="0" w:space="0" w:color="auto"/>
                                                                                                    <w:left w:val="none" w:sz="0" w:space="0" w:color="auto"/>
                                                                                                    <w:bottom w:val="none" w:sz="0" w:space="0" w:color="auto"/>
                                                                                                    <w:right w:val="none" w:sz="0" w:space="0" w:color="auto"/>
                                                                                                  </w:divBdr>
                                                                                                  <w:divsChild>
                                                                                                    <w:div w:id="611396947">
                                                                                                      <w:marLeft w:val="0"/>
                                                                                                      <w:marRight w:val="0"/>
                                                                                                      <w:marTop w:val="0"/>
                                                                                                      <w:marBottom w:val="0"/>
                                                                                                      <w:divBdr>
                                                                                                        <w:top w:val="none" w:sz="0" w:space="0" w:color="auto"/>
                                                                                                        <w:left w:val="none" w:sz="0" w:space="0" w:color="auto"/>
                                                                                                        <w:bottom w:val="none" w:sz="0" w:space="0" w:color="auto"/>
                                                                                                        <w:right w:val="none" w:sz="0" w:space="0" w:color="auto"/>
                                                                                                      </w:divBdr>
                                                                                                      <w:divsChild>
                                                                                                        <w:div w:id="318971552">
                                                                                                          <w:marLeft w:val="0"/>
                                                                                                          <w:marRight w:val="0"/>
                                                                                                          <w:marTop w:val="0"/>
                                                                                                          <w:marBottom w:val="0"/>
                                                                                                          <w:divBdr>
                                                                                                            <w:top w:val="none" w:sz="0" w:space="0" w:color="auto"/>
                                                                                                            <w:left w:val="none" w:sz="0" w:space="0" w:color="auto"/>
                                                                                                            <w:bottom w:val="none" w:sz="0" w:space="0" w:color="auto"/>
                                                                                                            <w:right w:val="none" w:sz="0" w:space="0" w:color="auto"/>
                                                                                                          </w:divBdr>
                                                                                                          <w:divsChild>
                                                                                                            <w:div w:id="936642579">
                                                                                                              <w:marLeft w:val="0"/>
                                                                                                              <w:marRight w:val="0"/>
                                                                                                              <w:marTop w:val="0"/>
                                                                                                              <w:marBottom w:val="0"/>
                                                                                                              <w:divBdr>
                                                                                                                <w:top w:val="none" w:sz="0" w:space="0" w:color="auto"/>
                                                                                                                <w:left w:val="none" w:sz="0" w:space="0" w:color="auto"/>
                                                                                                                <w:bottom w:val="none" w:sz="0" w:space="0" w:color="auto"/>
                                                                                                                <w:right w:val="none" w:sz="0" w:space="0" w:color="auto"/>
                                                                                                              </w:divBdr>
                                                                                                              <w:divsChild>
                                                                                                                <w:div w:id="1716274410">
                                                                                                                  <w:marLeft w:val="0"/>
                                                                                                                  <w:marRight w:val="0"/>
                                                                                                                  <w:marTop w:val="0"/>
                                                                                                                  <w:marBottom w:val="0"/>
                                                                                                                  <w:divBdr>
                                                                                                                    <w:top w:val="none" w:sz="0" w:space="0" w:color="auto"/>
                                                                                                                    <w:left w:val="none" w:sz="0" w:space="0" w:color="auto"/>
                                                                                                                    <w:bottom w:val="none" w:sz="0" w:space="0" w:color="auto"/>
                                                                                                                    <w:right w:val="none" w:sz="0" w:space="0" w:color="auto"/>
                                                                                                                  </w:divBdr>
                                                                                                                  <w:divsChild>
                                                                                                                    <w:div w:id="1551379654">
                                                                                                                      <w:marLeft w:val="0"/>
                                                                                                                      <w:marRight w:val="0"/>
                                                                                                                      <w:marTop w:val="0"/>
                                                                                                                      <w:marBottom w:val="0"/>
                                                                                                                      <w:divBdr>
                                                                                                                        <w:top w:val="none" w:sz="0" w:space="0" w:color="auto"/>
                                                                                                                        <w:left w:val="none" w:sz="0" w:space="0" w:color="auto"/>
                                                                                                                        <w:bottom w:val="none" w:sz="0" w:space="0" w:color="auto"/>
                                                                                                                        <w:right w:val="none" w:sz="0" w:space="0" w:color="auto"/>
                                                                                                                      </w:divBdr>
                                                                                                                      <w:divsChild>
                                                                                                                        <w:div w:id="1544832695">
                                                                                                                          <w:marLeft w:val="0"/>
                                                                                                                          <w:marRight w:val="0"/>
                                                                                                                          <w:marTop w:val="0"/>
                                                                                                                          <w:marBottom w:val="0"/>
                                                                                                                          <w:divBdr>
                                                                                                                            <w:top w:val="none" w:sz="0" w:space="0" w:color="auto"/>
                                                                                                                            <w:left w:val="none" w:sz="0" w:space="0" w:color="auto"/>
                                                                                                                            <w:bottom w:val="none" w:sz="0" w:space="0" w:color="auto"/>
                                                                                                                            <w:right w:val="none" w:sz="0" w:space="0" w:color="auto"/>
                                                                                                                          </w:divBdr>
                                                                                                                          <w:divsChild>
                                                                                                                            <w:div w:id="1049649347">
                                                                                                                              <w:marLeft w:val="0"/>
                                                                                                                              <w:marRight w:val="0"/>
                                                                                                                              <w:marTop w:val="0"/>
                                                                                                                              <w:marBottom w:val="0"/>
                                                                                                                              <w:divBdr>
                                                                                                                                <w:top w:val="none" w:sz="0" w:space="0" w:color="auto"/>
                                                                                                                                <w:left w:val="none" w:sz="0" w:space="0" w:color="auto"/>
                                                                                                                                <w:bottom w:val="none" w:sz="0" w:space="0" w:color="auto"/>
                                                                                                                                <w:right w:val="none" w:sz="0" w:space="0" w:color="auto"/>
                                                                                                                              </w:divBdr>
                                                                                                                              <w:divsChild>
                                                                                                                                <w:div w:id="939339493">
                                                                                                                                  <w:marLeft w:val="0"/>
                                                                                                                                  <w:marRight w:val="0"/>
                                                                                                                                  <w:marTop w:val="0"/>
                                                                                                                                  <w:marBottom w:val="0"/>
                                                                                                                                  <w:divBdr>
                                                                                                                                    <w:top w:val="none" w:sz="0" w:space="0" w:color="auto"/>
                                                                                                                                    <w:left w:val="none" w:sz="0" w:space="0" w:color="auto"/>
                                                                                                                                    <w:bottom w:val="none" w:sz="0" w:space="0" w:color="auto"/>
                                                                                                                                    <w:right w:val="none" w:sz="0" w:space="0" w:color="auto"/>
                                                                                                                                  </w:divBdr>
                                                                                                                                  <w:divsChild>
                                                                                                                                    <w:div w:id="907501911">
                                                                                                                                      <w:marLeft w:val="0"/>
                                                                                                                                      <w:marRight w:val="0"/>
                                                                                                                                      <w:marTop w:val="0"/>
                                                                                                                                      <w:marBottom w:val="0"/>
                                                                                                                                      <w:divBdr>
                                                                                                                                        <w:top w:val="none" w:sz="0" w:space="0" w:color="auto"/>
                                                                                                                                        <w:left w:val="none" w:sz="0" w:space="0" w:color="auto"/>
                                                                                                                                        <w:bottom w:val="none" w:sz="0" w:space="0" w:color="auto"/>
                                                                                                                                        <w:right w:val="none" w:sz="0" w:space="0" w:color="auto"/>
                                                                                                                                      </w:divBdr>
                                                                                                                                      <w:divsChild>
                                                                                                                                        <w:div w:id="1681198697">
                                                                                                                                          <w:marLeft w:val="0"/>
                                                                                                                                          <w:marRight w:val="0"/>
                                                                                                                                          <w:marTop w:val="0"/>
                                                                                                                                          <w:marBottom w:val="0"/>
                                                                                                                                          <w:divBdr>
                                                                                                                                            <w:top w:val="none" w:sz="0" w:space="0" w:color="auto"/>
                                                                                                                                            <w:left w:val="none" w:sz="0" w:space="0" w:color="auto"/>
                                                                                                                                            <w:bottom w:val="none" w:sz="0" w:space="0" w:color="auto"/>
                                                                                                                                            <w:right w:val="none" w:sz="0" w:space="0" w:color="auto"/>
                                                                                                                                          </w:divBdr>
                                                                                                                                          <w:divsChild>
                                                                                                                                            <w:div w:id="1967352915">
                                                                                                                                              <w:marLeft w:val="0"/>
                                                                                                                                              <w:marRight w:val="0"/>
                                                                                                                                              <w:marTop w:val="0"/>
                                                                                                                                              <w:marBottom w:val="0"/>
                                                                                                                                              <w:divBdr>
                                                                                                                                                <w:top w:val="none" w:sz="0" w:space="0" w:color="auto"/>
                                                                                                                                                <w:left w:val="none" w:sz="0" w:space="0" w:color="auto"/>
                                                                                                                                                <w:bottom w:val="none" w:sz="0" w:space="0" w:color="auto"/>
                                                                                                                                                <w:right w:val="none" w:sz="0" w:space="0" w:color="auto"/>
                                                                                                                                              </w:divBdr>
                                                                                                                                              <w:divsChild>
                                                                                                                                                <w:div w:id="517425753">
                                                                                                                                                  <w:marLeft w:val="0"/>
                                                                                                                                                  <w:marRight w:val="0"/>
                                                                                                                                                  <w:marTop w:val="0"/>
                                                                                                                                                  <w:marBottom w:val="0"/>
                                                                                                                                                  <w:divBdr>
                                                                                                                                                    <w:top w:val="none" w:sz="0" w:space="0" w:color="auto"/>
                                                                                                                                                    <w:left w:val="none" w:sz="0" w:space="0" w:color="auto"/>
                                                                                                                                                    <w:bottom w:val="none" w:sz="0" w:space="0" w:color="auto"/>
                                                                                                                                                    <w:right w:val="none" w:sz="0" w:space="0" w:color="auto"/>
                                                                                                                                                  </w:divBdr>
                                                                                                                                                  <w:divsChild>
                                                                                                                                                    <w:div w:id="1577088736">
                                                                                                                                                      <w:marLeft w:val="0"/>
                                                                                                                                                      <w:marRight w:val="0"/>
                                                                                                                                                      <w:marTop w:val="0"/>
                                                                                                                                                      <w:marBottom w:val="0"/>
                                                                                                                                                      <w:divBdr>
                                                                                                                                                        <w:top w:val="none" w:sz="0" w:space="0" w:color="auto"/>
                                                                                                                                                        <w:left w:val="none" w:sz="0" w:space="0" w:color="auto"/>
                                                                                                                                                        <w:bottom w:val="none" w:sz="0" w:space="0" w:color="auto"/>
                                                                                                                                                        <w:right w:val="none" w:sz="0" w:space="0" w:color="auto"/>
                                                                                                                                                      </w:divBdr>
                                                                                                                                                      <w:divsChild>
                                                                                                                                                        <w:div w:id="1573614068">
                                                                                                                                                          <w:marLeft w:val="0"/>
                                                                                                                                                          <w:marRight w:val="0"/>
                                                                                                                                                          <w:marTop w:val="0"/>
                                                                                                                                                          <w:marBottom w:val="0"/>
                                                                                                                                                          <w:divBdr>
                                                                                                                                                            <w:top w:val="none" w:sz="0" w:space="0" w:color="auto"/>
                                                                                                                                                            <w:left w:val="none" w:sz="0" w:space="0" w:color="auto"/>
                                                                                                                                                            <w:bottom w:val="none" w:sz="0" w:space="0" w:color="auto"/>
                                                                                                                                                            <w:right w:val="none" w:sz="0" w:space="0" w:color="auto"/>
                                                                                                                                                          </w:divBdr>
                                                                                                                                                          <w:divsChild>
                                                                                                                                                            <w:div w:id="1755083029">
                                                                                                                                                              <w:marLeft w:val="0"/>
                                                                                                                                                              <w:marRight w:val="0"/>
                                                                                                                                                              <w:marTop w:val="0"/>
                                                                                                                                                              <w:marBottom w:val="0"/>
                                                                                                                                                              <w:divBdr>
                                                                                                                                                                <w:top w:val="none" w:sz="0" w:space="0" w:color="auto"/>
                                                                                                                                                                <w:left w:val="none" w:sz="0" w:space="0" w:color="auto"/>
                                                                                                                                                                <w:bottom w:val="none" w:sz="0" w:space="0" w:color="auto"/>
                                                                                                                                                                <w:right w:val="none" w:sz="0" w:space="0" w:color="auto"/>
                                                                                                                                                              </w:divBdr>
                                                                                                                                                              <w:divsChild>
                                                                                                                                                                <w:div w:id="696739415">
                                                                                                                                                                  <w:marLeft w:val="0"/>
                                                                                                                                                                  <w:marRight w:val="0"/>
                                                                                                                                                                  <w:marTop w:val="0"/>
                                                                                                                                                                  <w:marBottom w:val="0"/>
                                                                                                                                                                  <w:divBdr>
                                                                                                                                                                    <w:top w:val="none" w:sz="0" w:space="0" w:color="auto"/>
                                                                                                                                                                    <w:left w:val="none" w:sz="0" w:space="0" w:color="auto"/>
                                                                                                                                                                    <w:bottom w:val="none" w:sz="0" w:space="0" w:color="auto"/>
                                                                                                                                                                    <w:right w:val="none" w:sz="0" w:space="0" w:color="auto"/>
                                                                                                                                                                  </w:divBdr>
                                                                                                                                                                  <w:divsChild>
                                                                                                                                                                    <w:div w:id="320352136">
                                                                                                                                                                      <w:marLeft w:val="0"/>
                                                                                                                                                                      <w:marRight w:val="0"/>
                                                                                                                                                                      <w:marTop w:val="0"/>
                                                                                                                                                                      <w:marBottom w:val="0"/>
                                                                                                                                                                      <w:divBdr>
                                                                                                                                                                        <w:top w:val="none" w:sz="0" w:space="0" w:color="auto"/>
                                                                                                                                                                        <w:left w:val="none" w:sz="0" w:space="0" w:color="auto"/>
                                                                                                                                                                        <w:bottom w:val="none" w:sz="0" w:space="0" w:color="auto"/>
                                                                                                                                                                        <w:right w:val="none" w:sz="0" w:space="0" w:color="auto"/>
                                                                                                                                                                      </w:divBdr>
                                                                                                                                                                      <w:divsChild>
                                                                                                                                                                        <w:div w:id="892424722">
                                                                                                                                                                          <w:marLeft w:val="0"/>
                                                                                                                                                                          <w:marRight w:val="0"/>
                                                                                                                                                                          <w:marTop w:val="0"/>
                                                                                                                                                                          <w:marBottom w:val="0"/>
                                                                                                                                                                          <w:divBdr>
                                                                                                                                                                            <w:top w:val="none" w:sz="0" w:space="0" w:color="auto"/>
                                                                                                                                                                            <w:left w:val="none" w:sz="0" w:space="0" w:color="auto"/>
                                                                                                                                                                            <w:bottom w:val="none" w:sz="0" w:space="0" w:color="auto"/>
                                                                                                                                                                            <w:right w:val="none" w:sz="0" w:space="0" w:color="auto"/>
                                                                                                                                                                          </w:divBdr>
                                                                                                                                                                          <w:divsChild>
                                                                                                                                                                            <w:div w:id="2103260127">
                                                                                                                                                                              <w:marLeft w:val="0"/>
                                                                                                                                                                              <w:marRight w:val="0"/>
                                                                                                                                                                              <w:marTop w:val="0"/>
                                                                                                                                                                              <w:marBottom w:val="0"/>
                                                                                                                                                                              <w:divBdr>
                                                                                                                                                                                <w:top w:val="none" w:sz="0" w:space="0" w:color="auto"/>
                                                                                                                                                                                <w:left w:val="none" w:sz="0" w:space="0" w:color="auto"/>
                                                                                                                                                                                <w:bottom w:val="none" w:sz="0" w:space="0" w:color="auto"/>
                                                                                                                                                                                <w:right w:val="none" w:sz="0" w:space="0" w:color="auto"/>
                                                                                                                                                                              </w:divBdr>
                                                                                                                                                                              <w:divsChild>
                                                                                                                                                                                <w:div w:id="22631878">
                                                                                                                                                                                  <w:marLeft w:val="0"/>
                                                                                                                                                                                  <w:marRight w:val="0"/>
                                                                                                                                                                                  <w:marTop w:val="0"/>
                                                                                                                                                                                  <w:marBottom w:val="0"/>
                                                                                                                                                                                  <w:divBdr>
                                                                                                                                                                                    <w:top w:val="none" w:sz="0" w:space="0" w:color="auto"/>
                                                                                                                                                                                    <w:left w:val="none" w:sz="0" w:space="0" w:color="auto"/>
                                                                                                                                                                                    <w:bottom w:val="none" w:sz="0" w:space="0" w:color="auto"/>
                                                                                                                                                                                    <w:right w:val="none" w:sz="0" w:space="0" w:color="auto"/>
                                                                                                                                                                                  </w:divBdr>
                                                                                                                                                                                  <w:divsChild>
                                                                                                                                                                                    <w:div w:id="506792085">
                                                                                                                                                                                      <w:marLeft w:val="0"/>
                                                                                                                                                                                      <w:marRight w:val="0"/>
                                                                                                                                                                                      <w:marTop w:val="0"/>
                                                                                                                                                                                      <w:marBottom w:val="0"/>
                                                                                                                                                                                      <w:divBdr>
                                                                                                                                                                                        <w:top w:val="none" w:sz="0" w:space="0" w:color="auto"/>
                                                                                                                                                                                        <w:left w:val="none" w:sz="0" w:space="0" w:color="auto"/>
                                                                                                                                                                                        <w:bottom w:val="none" w:sz="0" w:space="0" w:color="auto"/>
                                                                                                                                                                                        <w:right w:val="none" w:sz="0" w:space="0" w:color="auto"/>
                                                                                                                                                                                      </w:divBdr>
                                                                                                                                                                                      <w:divsChild>
                                                                                                                                                                                        <w:div w:id="588193640">
                                                                                                                                                                                          <w:marLeft w:val="0"/>
                                                                                                                                                                                          <w:marRight w:val="0"/>
                                                                                                                                                                                          <w:marTop w:val="0"/>
                                                                                                                                                                                          <w:marBottom w:val="0"/>
                                                                                                                                                                                          <w:divBdr>
                                                                                                                                                                                            <w:top w:val="none" w:sz="0" w:space="0" w:color="auto"/>
                                                                                                                                                                                            <w:left w:val="none" w:sz="0" w:space="0" w:color="auto"/>
                                                                                                                                                                                            <w:bottom w:val="none" w:sz="0" w:space="0" w:color="auto"/>
                                                                                                                                                                                            <w:right w:val="none" w:sz="0" w:space="0" w:color="auto"/>
                                                                                                                                                                                          </w:divBdr>
                                                                                                                                                                                          <w:divsChild>
                                                                                                                                                                                            <w:div w:id="1793859712">
                                                                                                                                                                                              <w:marLeft w:val="0"/>
                                                                                                                                                                                              <w:marRight w:val="0"/>
                                                                                                                                                                                              <w:marTop w:val="0"/>
                                                                                                                                                                                              <w:marBottom w:val="0"/>
                                                                                                                                                                                              <w:divBdr>
                                                                                                                                                                                                <w:top w:val="none" w:sz="0" w:space="0" w:color="auto"/>
                                                                                                                                                                                                <w:left w:val="none" w:sz="0" w:space="0" w:color="auto"/>
                                                                                                                                                                                                <w:bottom w:val="none" w:sz="0" w:space="0" w:color="auto"/>
                                                                                                                                                                                                <w:right w:val="none" w:sz="0" w:space="0" w:color="auto"/>
                                                                                                                                                                                              </w:divBdr>
                                                                                                                                                                                              <w:divsChild>
                                                                                                                                                                                                <w:div w:id="1555853022">
                                                                                                                                                                                                  <w:marLeft w:val="0"/>
                                                                                                                                                                                                  <w:marRight w:val="0"/>
                                                                                                                                                                                                  <w:marTop w:val="0"/>
                                                                                                                                                                                                  <w:marBottom w:val="0"/>
                                                                                                                                                                                                  <w:divBdr>
                                                                                                                                                                                                    <w:top w:val="none" w:sz="0" w:space="0" w:color="auto"/>
                                                                                                                                                                                                    <w:left w:val="none" w:sz="0" w:space="0" w:color="auto"/>
                                                                                                                                                                                                    <w:bottom w:val="none" w:sz="0" w:space="0" w:color="auto"/>
                                                                                                                                                                                                    <w:right w:val="none" w:sz="0" w:space="0" w:color="auto"/>
                                                                                                                                                                                                  </w:divBdr>
                                                                                                                                                                                                  <w:divsChild>
                                                                                                                                                                                                    <w:div w:id="1211268346">
                                                                                                                                                                                                      <w:marLeft w:val="0"/>
                                                                                                                                                                                                      <w:marRight w:val="0"/>
                                                                                                                                                                                                      <w:marTop w:val="0"/>
                                                                                                                                                                                                      <w:marBottom w:val="0"/>
                                                                                                                                                                                                      <w:divBdr>
                                                                                                                                                                                                        <w:top w:val="none" w:sz="0" w:space="0" w:color="auto"/>
                                                                                                                                                                                                        <w:left w:val="none" w:sz="0" w:space="0" w:color="auto"/>
                                                                                                                                                                                                        <w:bottom w:val="none" w:sz="0" w:space="0" w:color="auto"/>
                                                                                                                                                                                                        <w:right w:val="none" w:sz="0" w:space="0" w:color="auto"/>
                                                                                                                                                                                                      </w:divBdr>
                                                                                                                                                                                                      <w:divsChild>
                                                                                                                                                                                                        <w:div w:id="1355423452">
                                                                                                                                                                                                          <w:marLeft w:val="0"/>
                                                                                                                                                                                                          <w:marRight w:val="0"/>
                                                                                                                                                                                                          <w:marTop w:val="0"/>
                                                                                                                                                                                                          <w:marBottom w:val="0"/>
                                                                                                                                                                                                          <w:divBdr>
                                                                                                                                                                                                            <w:top w:val="none" w:sz="0" w:space="0" w:color="auto"/>
                                                                                                                                                                                                            <w:left w:val="none" w:sz="0" w:space="0" w:color="auto"/>
                                                                                                                                                                                                            <w:bottom w:val="none" w:sz="0" w:space="0" w:color="auto"/>
                                                                                                                                                                                                            <w:right w:val="none" w:sz="0" w:space="0" w:color="auto"/>
                                                                                                                                                                                                          </w:divBdr>
                                                                                                                                                                                                          <w:divsChild>
                                                                                                                                                                                                            <w:div w:id="1622032078">
                                                                                                                                                                                                              <w:marLeft w:val="0"/>
                                                                                                                                                                                                              <w:marRight w:val="0"/>
                                                                                                                                                                                                              <w:marTop w:val="0"/>
                                                                                                                                                                                                              <w:marBottom w:val="0"/>
                                                                                                                                                                                                              <w:divBdr>
                                                                                                                                                                                                                <w:top w:val="none" w:sz="0" w:space="0" w:color="auto"/>
                                                                                                                                                                                                                <w:left w:val="none" w:sz="0" w:space="0" w:color="auto"/>
                                                                                                                                                                                                                <w:bottom w:val="none" w:sz="0" w:space="0" w:color="auto"/>
                                                                                                                                                                                                                <w:right w:val="none" w:sz="0" w:space="0" w:color="auto"/>
                                                                                                                                                                                                              </w:divBdr>
                                                                                                                                                                                                              <w:divsChild>
                                                                                                                                                                                                                <w:div w:id="1265961552">
                                                                                                                                                                                                                  <w:marLeft w:val="0"/>
                                                                                                                                                                                                                  <w:marRight w:val="0"/>
                                                                                                                                                                                                                  <w:marTop w:val="0"/>
                                                                                                                                                                                                                  <w:marBottom w:val="0"/>
                                                                                                                                                                                                                  <w:divBdr>
                                                                                                                                                                                                                    <w:top w:val="none" w:sz="0" w:space="0" w:color="auto"/>
                                                                                                                                                                                                                    <w:left w:val="none" w:sz="0" w:space="0" w:color="auto"/>
                                                                                                                                                                                                                    <w:bottom w:val="none" w:sz="0" w:space="0" w:color="auto"/>
                                                                                                                                                                                                                    <w:right w:val="none" w:sz="0" w:space="0" w:color="auto"/>
                                                                                                                                                                                                                  </w:divBdr>
                                                                                                                                                                                                                  <w:divsChild>
                                                                                                                                                                                                                    <w:div w:id="1899365647">
                                                                                                                                                                                                                      <w:marLeft w:val="0"/>
                                                                                                                                                                                                                      <w:marRight w:val="0"/>
                                                                                                                                                                                                                      <w:marTop w:val="0"/>
                                                                                                                                                                                                                      <w:marBottom w:val="0"/>
                                                                                                                                                                                                                      <w:divBdr>
                                                                                                                                                                                                                        <w:top w:val="none" w:sz="0" w:space="0" w:color="auto"/>
                                                                                                                                                                                                                        <w:left w:val="none" w:sz="0" w:space="0" w:color="auto"/>
                                                                                                                                                                                                                        <w:bottom w:val="none" w:sz="0" w:space="0" w:color="auto"/>
                                                                                                                                                                                                                        <w:right w:val="none" w:sz="0" w:space="0" w:color="auto"/>
                                                                                                                                                                                                                      </w:divBdr>
                                                                                                                                                                                                                      <w:divsChild>
                                                                                                                                                                                                                        <w:div w:id="1638531604">
                                                                                                                                                                                                                          <w:marLeft w:val="0"/>
                                                                                                                                                                                                                          <w:marRight w:val="0"/>
                                                                                                                                                                                                                          <w:marTop w:val="0"/>
                                                                                                                                                                                                                          <w:marBottom w:val="0"/>
                                                                                                                                                                                                                          <w:divBdr>
                                                                                                                                                                                                                            <w:top w:val="none" w:sz="0" w:space="0" w:color="auto"/>
                                                                                                                                                                                                                            <w:left w:val="none" w:sz="0" w:space="0" w:color="auto"/>
                                                                                                                                                                                                                            <w:bottom w:val="none" w:sz="0" w:space="0" w:color="auto"/>
                                                                                                                                                                                                                            <w:right w:val="none" w:sz="0" w:space="0" w:color="auto"/>
                                                                                                                                                                                                                          </w:divBdr>
                                                                                                                                                                                                                          <w:divsChild>
                                                                                                                                                                                                                            <w:div w:id="294868185">
                                                                                                                                                                                                                              <w:marLeft w:val="0"/>
                                                                                                                                                                                                                              <w:marRight w:val="0"/>
                                                                                                                                                                                                                              <w:marTop w:val="0"/>
                                                                                                                                                                                                                              <w:marBottom w:val="0"/>
                                                                                                                                                                                                                              <w:divBdr>
                                                                                                                                                                                                                                <w:top w:val="none" w:sz="0" w:space="0" w:color="auto"/>
                                                                                                                                                                                                                                <w:left w:val="none" w:sz="0" w:space="0" w:color="auto"/>
                                                                                                                                                                                                                                <w:bottom w:val="none" w:sz="0" w:space="0" w:color="auto"/>
                                                                                                                                                                                                                                <w:right w:val="none" w:sz="0" w:space="0" w:color="auto"/>
                                                                                                                                                                                                                              </w:divBdr>
                                                                                                                                                                                                                              <w:divsChild>
                                                                                                                                                                                                                                <w:div w:id="195378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6226130">
                                                                                                                                                                                                              <w:marLeft w:val="0"/>
                                                                                                                                                                                                              <w:marRight w:val="0"/>
                                                                                                                                                                                                              <w:marTop w:val="0"/>
                                                                                                                                                                                                              <w:marBottom w:val="0"/>
                                                                                                                                                                                                              <w:divBdr>
                                                                                                                                                                                                                <w:top w:val="none" w:sz="0" w:space="0" w:color="auto"/>
                                                                                                                                                                                                                <w:left w:val="none" w:sz="0" w:space="0" w:color="auto"/>
                                                                                                                                                                                                                <w:bottom w:val="none" w:sz="0" w:space="0" w:color="auto"/>
                                                                                                                                                                                                                <w:right w:val="none" w:sz="0" w:space="0" w:color="auto"/>
                                                                                                                                                                                                              </w:divBdr>
                                                                                                                                                                                                              <w:divsChild>
                                                                                                                                                                                                                <w:div w:id="112290891">
                                                                                                                                                                                                                  <w:marLeft w:val="0"/>
                                                                                                                                                                                                                  <w:marRight w:val="0"/>
                                                                                                                                                                                                                  <w:marTop w:val="0"/>
                                                                                                                                                                                                                  <w:marBottom w:val="0"/>
                                                                                                                                                                                                                  <w:divBdr>
                                                                                                                                                                                                                    <w:top w:val="none" w:sz="0" w:space="0" w:color="auto"/>
                                                                                                                                                                                                                    <w:left w:val="none" w:sz="0" w:space="0" w:color="auto"/>
                                                                                                                                                                                                                    <w:bottom w:val="none" w:sz="0" w:space="0" w:color="auto"/>
                                                                                                                                                                                                                    <w:right w:val="none" w:sz="0" w:space="0" w:color="auto"/>
                                                                                                                                                                                                                  </w:divBdr>
                                                                                                                                                                                                                  <w:divsChild>
                                                                                                                                                                                                                    <w:div w:id="1657567501">
                                                                                                                                                                                                                      <w:marLeft w:val="0"/>
                                                                                                                                                                                                                      <w:marRight w:val="0"/>
                                                                                                                                                                                                                      <w:marTop w:val="0"/>
                                                                                                                                                                                                                      <w:marBottom w:val="0"/>
                                                                                                                                                                                                                      <w:divBdr>
                                                                                                                                                                                                                        <w:top w:val="none" w:sz="0" w:space="0" w:color="auto"/>
                                                                                                                                                                                                                        <w:left w:val="none" w:sz="0" w:space="0" w:color="auto"/>
                                                                                                                                                                                                                        <w:bottom w:val="none" w:sz="0" w:space="0" w:color="auto"/>
                                                                                                                                                                                                                        <w:right w:val="none" w:sz="0" w:space="0" w:color="auto"/>
                                                                                                                                                                                                                      </w:divBdr>
                                                                                                                                                                                                                      <w:divsChild>
                                                                                                                                                                                                                        <w:div w:id="457258896">
                                                                                                                                                                                                                          <w:marLeft w:val="0"/>
                                                                                                                                                                                                                          <w:marRight w:val="0"/>
                                                                                                                                                                                                                          <w:marTop w:val="0"/>
                                                                                                                                                                                                                          <w:marBottom w:val="0"/>
                                                                                                                                                                                                                          <w:divBdr>
                                                                                                                                                                                                                            <w:top w:val="none" w:sz="0" w:space="0" w:color="auto"/>
                                                                                                                                                                                                                            <w:left w:val="none" w:sz="0" w:space="0" w:color="auto"/>
                                                                                                                                                                                                                            <w:bottom w:val="none" w:sz="0" w:space="0" w:color="auto"/>
                                                                                                                                                                                                                            <w:right w:val="none" w:sz="0" w:space="0" w:color="auto"/>
                                                                                                                                                                                                                          </w:divBdr>
                                                                                                                                                                                                                          <w:divsChild>
                                                                                                                                                                                                                            <w:div w:id="2065518041">
                                                                                                                                                                                                                              <w:marLeft w:val="0"/>
                                                                                                                                                                                                                              <w:marRight w:val="0"/>
                                                                                                                                                                                                                              <w:marTop w:val="0"/>
                                                                                                                                                                                                                              <w:marBottom w:val="0"/>
                                                                                                                                                                                                                              <w:divBdr>
                                                                                                                                                                                                                                <w:top w:val="none" w:sz="0" w:space="0" w:color="auto"/>
                                                                                                                                                                                                                                <w:left w:val="none" w:sz="0" w:space="0" w:color="auto"/>
                                                                                                                                                                                                                                <w:bottom w:val="none" w:sz="0" w:space="0" w:color="auto"/>
                                                                                                                                                                                                                                <w:right w:val="none" w:sz="0" w:space="0" w:color="auto"/>
                                                                                                                                                                                                                              </w:divBdr>
                                                                                                                                                                                                                              <w:divsChild>
                                                                                                                                                                                                                                <w:div w:id="2132043179">
                                                                                                                                                                                                                                  <w:marLeft w:val="0"/>
                                                                                                                                                                                                                                  <w:marRight w:val="0"/>
                                                                                                                                                                                                                                  <w:marTop w:val="0"/>
                                                                                                                                                                                                                                  <w:marBottom w:val="0"/>
                                                                                                                                                                                                                                  <w:divBdr>
                                                                                                                                                                                                                                    <w:top w:val="none" w:sz="0" w:space="0" w:color="auto"/>
                                                                                                                                                                                                                                    <w:left w:val="none" w:sz="0" w:space="0" w:color="auto"/>
                                                                                                                                                                                                                                    <w:bottom w:val="none" w:sz="0" w:space="0" w:color="auto"/>
                                                                                                                                                                                                                                    <w:right w:val="none" w:sz="0" w:space="0" w:color="auto"/>
                                                                                                                                                                                                                                  </w:divBdr>
                                                                                                                                                                                                                                  <w:divsChild>
                                                                                                                                                                                                                                    <w:div w:id="1437097571">
                                                                                                                                                                                                                                      <w:marLeft w:val="0"/>
                                                                                                                                                                                                                                      <w:marRight w:val="0"/>
                                                                                                                                                                                                                                      <w:marTop w:val="0"/>
                                                                                                                                                                                                                                      <w:marBottom w:val="0"/>
                                                                                                                                                                                                                                      <w:divBdr>
                                                                                                                                                                                                                                        <w:top w:val="none" w:sz="0" w:space="0" w:color="auto"/>
                                                                                                                                                                                                                                        <w:left w:val="none" w:sz="0" w:space="0" w:color="auto"/>
                                                                                                                                                                                                                                        <w:bottom w:val="none" w:sz="0" w:space="0" w:color="auto"/>
                                                                                                                                                                                                                                        <w:right w:val="none" w:sz="0" w:space="0" w:color="auto"/>
                                                                                                                                                                                                                                      </w:divBdr>
                                                                                                                                                                                                                                      <w:divsChild>
                                                                                                                                                                                                                                        <w:div w:id="1405177712">
                                                                                                                                                                                                                                          <w:marLeft w:val="0"/>
                                                                                                                                                                                                                                          <w:marRight w:val="0"/>
                                                                                                                                                                                                                                          <w:marTop w:val="0"/>
                                                                                                                                                                                                                                          <w:marBottom w:val="0"/>
                                                                                                                                                                                                                                          <w:divBdr>
                                                                                                                                                                                                                                            <w:top w:val="none" w:sz="0" w:space="0" w:color="auto"/>
                                                                                                                                                                                                                                            <w:left w:val="none" w:sz="0" w:space="0" w:color="auto"/>
                                                                                                                                                                                                                                            <w:bottom w:val="none" w:sz="0" w:space="0" w:color="auto"/>
                                                                                                                                                                                                                                            <w:right w:val="none" w:sz="0" w:space="0" w:color="auto"/>
                                                                                                                                                                                                                                          </w:divBdr>
                                                                                                                                                                                                                                          <w:divsChild>
                                                                                                                                                                                                                                            <w:div w:id="1817063329">
                                                                                                                                                                                                                                              <w:marLeft w:val="0"/>
                                                                                                                                                                                                                                              <w:marRight w:val="0"/>
                                                                                                                                                                                                                                              <w:marTop w:val="0"/>
                                                                                                                                                                                                                                              <w:marBottom w:val="0"/>
                                                                                                                                                                                                                                              <w:divBdr>
                                                                                                                                                                                                                                                <w:top w:val="none" w:sz="0" w:space="0" w:color="auto"/>
                                                                                                                                                                                                                                                <w:left w:val="none" w:sz="0" w:space="0" w:color="auto"/>
                                                                                                                                                                                                                                                <w:bottom w:val="none" w:sz="0" w:space="0" w:color="auto"/>
                                                                                                                                                                                                                                                <w:right w:val="none" w:sz="0" w:space="0" w:color="auto"/>
                                                                                                                                                                                                                                              </w:divBdr>
                                                                                                                                                                                                                                              <w:divsChild>
                                                                                                                                                                                                                                                <w:div w:id="699744906">
                                                                                                                                                                                                                                                  <w:marLeft w:val="0"/>
                                                                                                                                                                                                                                                  <w:marRight w:val="0"/>
                                                                                                                                                                                                                                                  <w:marTop w:val="0"/>
                                                                                                                                                                                                                                                  <w:marBottom w:val="0"/>
                                                                                                                                                                                                                                                  <w:divBdr>
                                                                                                                                                                                                                                                    <w:top w:val="none" w:sz="0" w:space="0" w:color="auto"/>
                                                                                                                                                                                                                                                    <w:left w:val="none" w:sz="0" w:space="0" w:color="auto"/>
                                                                                                                                                                                                                                                    <w:bottom w:val="none" w:sz="0" w:space="0" w:color="auto"/>
                                                                                                                                                                                                                                                    <w:right w:val="none" w:sz="0" w:space="0" w:color="auto"/>
                                                                                                                                                                                                                                                  </w:divBdr>
                                                                                                                                                                                                                                                  <w:divsChild>
                                                                                                                                                                                                                                                    <w:div w:id="164325390">
                                                                                                                                                                                                                                                      <w:marLeft w:val="0"/>
                                                                                                                                                                                                                                                      <w:marRight w:val="0"/>
                                                                                                                                                                                                                                                      <w:marTop w:val="0"/>
                                                                                                                                                                                                                                                      <w:marBottom w:val="0"/>
                                                                                                                                                                                                                                                      <w:divBdr>
                                                                                                                                                                                                                                                        <w:top w:val="none" w:sz="0" w:space="0" w:color="auto"/>
                                                                                                                                                                                                                                                        <w:left w:val="none" w:sz="0" w:space="0" w:color="auto"/>
                                                                                                                                                                                                                                                        <w:bottom w:val="none" w:sz="0" w:space="0" w:color="auto"/>
                                                                                                                                                                                                                                                        <w:right w:val="none" w:sz="0" w:space="0" w:color="auto"/>
                                                                                                                                                                                                                                                      </w:divBdr>
                                                                                                                                                                                                                                                      <w:divsChild>
                                                                                                                                                                                                                                                        <w:div w:id="1176772834">
                                                                                                                                                                                                                                                          <w:marLeft w:val="0"/>
                                                                                                                                                                                                                                                          <w:marRight w:val="0"/>
                                                                                                                                                                                                                                                          <w:marTop w:val="0"/>
                                                                                                                                                                                                                                                          <w:marBottom w:val="0"/>
                                                                                                                                                                                                                                                          <w:divBdr>
                                                                                                                                                                                                                                                            <w:top w:val="none" w:sz="0" w:space="0" w:color="auto"/>
                                                                                                                                                                                                                                                            <w:left w:val="none" w:sz="0" w:space="0" w:color="auto"/>
                                                                                                                                                                                                                                                            <w:bottom w:val="none" w:sz="0" w:space="0" w:color="auto"/>
                                                                                                                                                                                                                                                            <w:right w:val="none" w:sz="0" w:space="0" w:color="auto"/>
                                                                                                                                                                                                                                                          </w:divBdr>
                                                                                                                                                                                                                                                          <w:divsChild>
                                                                                                                                                                                                                                                            <w:div w:id="684290206">
                                                                                                                                                                                                                                                              <w:marLeft w:val="0"/>
                                                                                                                                                                                                                                                              <w:marRight w:val="0"/>
                                                                                                                                                                                                                                                              <w:marTop w:val="0"/>
                                                                                                                                                                                                                                                              <w:marBottom w:val="0"/>
                                                                                                                                                                                                                                                              <w:divBdr>
                                                                                                                                                                                                                                                                <w:top w:val="none" w:sz="0" w:space="0" w:color="auto"/>
                                                                                                                                                                                                                                                                <w:left w:val="none" w:sz="0" w:space="0" w:color="auto"/>
                                                                                                                                                                                                                                                                <w:bottom w:val="none" w:sz="0" w:space="0" w:color="auto"/>
                                                                                                                                                                                                                                                                <w:right w:val="none" w:sz="0" w:space="0" w:color="auto"/>
                                                                                                                                                                                                                                                              </w:divBdr>
                                                                                                                                                                                                                                                              <w:divsChild>
                                                                                                                                                                                                                                                                <w:div w:id="1458719637">
                                                                                                                                                                                                                                                                  <w:marLeft w:val="0"/>
                                                                                                                                                                                                                                                                  <w:marRight w:val="0"/>
                                                                                                                                                                                                                                                                  <w:marTop w:val="0"/>
                                                                                                                                                                                                                                                                  <w:marBottom w:val="0"/>
                                                                                                                                                                                                                                                                  <w:divBdr>
                                                                                                                                                                                                                                                                    <w:top w:val="none" w:sz="0" w:space="0" w:color="auto"/>
                                                                                                                                                                                                                                                                    <w:left w:val="none" w:sz="0" w:space="0" w:color="auto"/>
                                                                                                                                                                                                                                                                    <w:bottom w:val="none" w:sz="0" w:space="0" w:color="auto"/>
                                                                                                                                                                                                                                                                    <w:right w:val="none" w:sz="0" w:space="0" w:color="auto"/>
                                                                                                                                                                                                                                                                  </w:divBdr>
                                                                                                                                                                                                                                                                  <w:divsChild>
                                                                                                                                                                                                                                                                    <w:div w:id="1488286590">
                                                                                                                                                                                                                                                                      <w:marLeft w:val="0"/>
                                                                                                                                                                                                                                                                      <w:marRight w:val="0"/>
                                                                                                                                                                                                                                                                      <w:marTop w:val="0"/>
                                                                                                                                                                                                                                                                      <w:marBottom w:val="0"/>
                                                                                                                                                                                                                                                                      <w:divBdr>
                                                                                                                                                                                                                                                                        <w:top w:val="none" w:sz="0" w:space="0" w:color="auto"/>
                                                                                                                                                                                                                                                                        <w:left w:val="none" w:sz="0" w:space="0" w:color="auto"/>
                                                                                                                                                                                                                                                                        <w:bottom w:val="none" w:sz="0" w:space="0" w:color="auto"/>
                                                                                                                                                                                                                                                                        <w:right w:val="none" w:sz="0" w:space="0" w:color="auto"/>
                                                                                                                                                                                                                                                                      </w:divBdr>
                                                                                                                                                                                                                                                                      <w:divsChild>
                                                                                                                                                                                                                                                                        <w:div w:id="564493981">
                                                                                                                                                                                                                                                                          <w:marLeft w:val="0"/>
                                                                                                                                                                                                                                                                          <w:marRight w:val="0"/>
                                                                                                                                                                                                                                                                          <w:marTop w:val="0"/>
                                                                                                                                                                                                                                                                          <w:marBottom w:val="0"/>
                                                                                                                                                                                                                                                                          <w:divBdr>
                                                                                                                                                                                                                                                                            <w:top w:val="none" w:sz="0" w:space="0" w:color="auto"/>
                                                                                                                                                                                                                                                                            <w:left w:val="none" w:sz="0" w:space="0" w:color="auto"/>
                                                                                                                                                                                                                                                                            <w:bottom w:val="none" w:sz="0" w:space="0" w:color="auto"/>
                                                                                                                                                                                                                                                                            <w:right w:val="none" w:sz="0" w:space="0" w:color="auto"/>
                                                                                                                                                                                                                                                                          </w:divBdr>
                                                                                                                                                                                                                                                                          <w:divsChild>
                                                                                                                                                                                                                                                                            <w:div w:id="1008293492">
                                                                                                                                                                                                                                                                              <w:marLeft w:val="0"/>
                                                                                                                                                                                                                                                                              <w:marRight w:val="0"/>
                                                                                                                                                                                                                                                                              <w:marTop w:val="0"/>
                                                                                                                                                                                                                                                                              <w:marBottom w:val="0"/>
                                                                                                                                                                                                                                                                              <w:divBdr>
                                                                                                                                                                                                                                                                                <w:top w:val="none" w:sz="0" w:space="0" w:color="auto"/>
                                                                                                                                                                                                                                                                                <w:left w:val="none" w:sz="0" w:space="0" w:color="auto"/>
                                                                                                                                                                                                                                                                                <w:bottom w:val="none" w:sz="0" w:space="0" w:color="auto"/>
                                                                                                                                                                                                                                                                                <w:right w:val="none" w:sz="0" w:space="0" w:color="auto"/>
                                                                                                                                                                                                                                                                              </w:divBdr>
                                                                                                                                                                                                                                                                              <w:divsChild>
                                                                                                                                                                                                                                                                                <w:div w:id="1852640553">
                                                                                                                                                                                                                                                                                  <w:marLeft w:val="0"/>
                                                                                                                                                                                                                                                                                  <w:marRight w:val="0"/>
                                                                                                                                                                                                                                                                                  <w:marTop w:val="0"/>
                                                                                                                                                                                                                                                                                  <w:marBottom w:val="0"/>
                                                                                                                                                                                                                                                                                  <w:divBdr>
                                                                                                                                                                                                                                                                                    <w:top w:val="none" w:sz="0" w:space="0" w:color="auto"/>
                                                                                                                                                                                                                                                                                    <w:left w:val="none" w:sz="0" w:space="0" w:color="auto"/>
                                                                                                                                                                                                                                                                                    <w:bottom w:val="none" w:sz="0" w:space="0" w:color="auto"/>
                                                                                                                                                                                                                                                                                    <w:right w:val="none" w:sz="0" w:space="0" w:color="auto"/>
                                                                                                                                                                                                                                                                                  </w:divBdr>
                                                                                                                                                                                                                                                                                  <w:divsChild>
                                                                                                                                                                                                                                                                                    <w:div w:id="1325401610">
                                                                                                                                                                                                                                                                                      <w:marLeft w:val="0"/>
                                                                                                                                                                                                                                                                                      <w:marRight w:val="0"/>
                                                                                                                                                                                                                                                                                      <w:marTop w:val="0"/>
                                                                                                                                                                                                                                                                                      <w:marBottom w:val="0"/>
                                                                                                                                                                                                                                                                                      <w:divBdr>
                                                                                                                                                                                                                                                                                        <w:top w:val="none" w:sz="0" w:space="0" w:color="auto"/>
                                                                                                                                                                                                                                                                                        <w:left w:val="none" w:sz="0" w:space="0" w:color="auto"/>
                                                                                                                                                                                                                                                                                        <w:bottom w:val="none" w:sz="0" w:space="0" w:color="auto"/>
                                                                                                                                                                                                                                                                                        <w:right w:val="none" w:sz="0" w:space="0" w:color="auto"/>
                                                                                                                                                                                                                                                                                      </w:divBdr>
                                                                                                                                                                                                                                                                                      <w:divsChild>
                                                                                                                                                                                                                                                                                        <w:div w:id="1743867202">
                                                                                                                                                                                                                                                                                          <w:marLeft w:val="0"/>
                                                                                                                                                                                                                                                                                          <w:marRight w:val="0"/>
                                                                                                                                                                                                                                                                                          <w:marTop w:val="0"/>
                                                                                                                                                                                                                                                                                          <w:marBottom w:val="0"/>
                                                                                                                                                                                                                                                                                          <w:divBdr>
                                                                                                                                                                                                                                                                                            <w:top w:val="none" w:sz="0" w:space="0" w:color="auto"/>
                                                                                                                                                                                                                                                                                            <w:left w:val="none" w:sz="0" w:space="0" w:color="auto"/>
                                                                                                                                                                                                                                                                                            <w:bottom w:val="none" w:sz="0" w:space="0" w:color="auto"/>
                                                                                                                                                                                                                                                                                            <w:right w:val="none" w:sz="0" w:space="0" w:color="auto"/>
                                                                                                                                                                                                                                                                                          </w:divBdr>
                                                                                                                                                                                                                                                                                          <w:divsChild>
                                                                                                                                                                                                                                                                                            <w:div w:id="98057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9242513">
      <w:bodyDiv w:val="1"/>
      <w:marLeft w:val="0"/>
      <w:marRight w:val="0"/>
      <w:marTop w:val="0"/>
      <w:marBottom w:val="0"/>
      <w:divBdr>
        <w:top w:val="none" w:sz="0" w:space="0" w:color="auto"/>
        <w:left w:val="none" w:sz="0" w:space="0" w:color="auto"/>
        <w:bottom w:val="none" w:sz="0" w:space="0" w:color="auto"/>
        <w:right w:val="none" w:sz="0" w:space="0" w:color="auto"/>
      </w:divBdr>
    </w:div>
    <w:div w:id="1772162783">
      <w:bodyDiv w:val="1"/>
      <w:marLeft w:val="0"/>
      <w:marRight w:val="0"/>
      <w:marTop w:val="0"/>
      <w:marBottom w:val="0"/>
      <w:divBdr>
        <w:top w:val="none" w:sz="0" w:space="0" w:color="auto"/>
        <w:left w:val="none" w:sz="0" w:space="0" w:color="auto"/>
        <w:bottom w:val="none" w:sz="0" w:space="0" w:color="auto"/>
        <w:right w:val="none" w:sz="0" w:space="0" w:color="auto"/>
      </w:divBdr>
    </w:div>
    <w:div w:id="1796408562">
      <w:bodyDiv w:val="1"/>
      <w:marLeft w:val="0"/>
      <w:marRight w:val="0"/>
      <w:marTop w:val="0"/>
      <w:marBottom w:val="0"/>
      <w:divBdr>
        <w:top w:val="none" w:sz="0" w:space="0" w:color="auto"/>
        <w:left w:val="none" w:sz="0" w:space="0" w:color="auto"/>
        <w:bottom w:val="none" w:sz="0" w:space="0" w:color="auto"/>
        <w:right w:val="none" w:sz="0" w:space="0" w:color="auto"/>
      </w:divBdr>
    </w:div>
    <w:div w:id="1880434449">
      <w:bodyDiv w:val="1"/>
      <w:marLeft w:val="0"/>
      <w:marRight w:val="0"/>
      <w:marTop w:val="0"/>
      <w:marBottom w:val="0"/>
      <w:divBdr>
        <w:top w:val="none" w:sz="0" w:space="0" w:color="auto"/>
        <w:left w:val="none" w:sz="0" w:space="0" w:color="auto"/>
        <w:bottom w:val="none" w:sz="0" w:space="0" w:color="auto"/>
        <w:right w:val="none" w:sz="0" w:space="0" w:color="auto"/>
      </w:divBdr>
      <w:divsChild>
        <w:div w:id="271717087">
          <w:marLeft w:val="0"/>
          <w:marRight w:val="0"/>
          <w:marTop w:val="0"/>
          <w:marBottom w:val="0"/>
          <w:divBdr>
            <w:top w:val="none" w:sz="0" w:space="0" w:color="auto"/>
            <w:left w:val="none" w:sz="0" w:space="0" w:color="auto"/>
            <w:bottom w:val="none" w:sz="0" w:space="0" w:color="auto"/>
            <w:right w:val="none" w:sz="0" w:space="0" w:color="auto"/>
          </w:divBdr>
          <w:divsChild>
            <w:div w:id="576089572">
              <w:marLeft w:val="0"/>
              <w:marRight w:val="0"/>
              <w:marTop w:val="0"/>
              <w:marBottom w:val="0"/>
              <w:divBdr>
                <w:top w:val="none" w:sz="0" w:space="0" w:color="auto"/>
                <w:left w:val="none" w:sz="0" w:space="0" w:color="auto"/>
                <w:bottom w:val="none" w:sz="0" w:space="0" w:color="auto"/>
                <w:right w:val="none" w:sz="0" w:space="0" w:color="auto"/>
              </w:divBdr>
              <w:divsChild>
                <w:div w:id="478033446">
                  <w:marLeft w:val="0"/>
                  <w:marRight w:val="0"/>
                  <w:marTop w:val="0"/>
                  <w:marBottom w:val="0"/>
                  <w:divBdr>
                    <w:top w:val="none" w:sz="0" w:space="0" w:color="auto"/>
                    <w:left w:val="none" w:sz="0" w:space="0" w:color="auto"/>
                    <w:bottom w:val="none" w:sz="0" w:space="0" w:color="auto"/>
                    <w:right w:val="none" w:sz="0" w:space="0" w:color="auto"/>
                  </w:divBdr>
                  <w:divsChild>
                    <w:div w:id="1463226324">
                      <w:marLeft w:val="0"/>
                      <w:marRight w:val="0"/>
                      <w:marTop w:val="0"/>
                      <w:marBottom w:val="0"/>
                      <w:divBdr>
                        <w:top w:val="none" w:sz="0" w:space="0" w:color="auto"/>
                        <w:left w:val="none" w:sz="0" w:space="0" w:color="auto"/>
                        <w:bottom w:val="none" w:sz="0" w:space="0" w:color="auto"/>
                        <w:right w:val="none" w:sz="0" w:space="0" w:color="auto"/>
                      </w:divBdr>
                      <w:divsChild>
                        <w:div w:id="1940479552">
                          <w:marLeft w:val="0"/>
                          <w:marRight w:val="0"/>
                          <w:marTop w:val="0"/>
                          <w:marBottom w:val="0"/>
                          <w:divBdr>
                            <w:top w:val="none" w:sz="0" w:space="0" w:color="auto"/>
                            <w:left w:val="none" w:sz="0" w:space="0" w:color="auto"/>
                            <w:bottom w:val="none" w:sz="0" w:space="0" w:color="auto"/>
                            <w:right w:val="none" w:sz="0" w:space="0" w:color="auto"/>
                          </w:divBdr>
                          <w:divsChild>
                            <w:div w:id="1005979824">
                              <w:marLeft w:val="0"/>
                              <w:marRight w:val="0"/>
                              <w:marTop w:val="0"/>
                              <w:marBottom w:val="0"/>
                              <w:divBdr>
                                <w:top w:val="none" w:sz="0" w:space="0" w:color="auto"/>
                                <w:left w:val="none" w:sz="0" w:space="0" w:color="auto"/>
                                <w:bottom w:val="none" w:sz="0" w:space="0" w:color="auto"/>
                                <w:right w:val="none" w:sz="0" w:space="0" w:color="auto"/>
                              </w:divBdr>
                              <w:divsChild>
                                <w:div w:id="91900273">
                                  <w:marLeft w:val="0"/>
                                  <w:marRight w:val="0"/>
                                  <w:marTop w:val="0"/>
                                  <w:marBottom w:val="0"/>
                                  <w:divBdr>
                                    <w:top w:val="none" w:sz="0" w:space="0" w:color="auto"/>
                                    <w:left w:val="none" w:sz="0" w:space="0" w:color="auto"/>
                                    <w:bottom w:val="none" w:sz="0" w:space="0" w:color="auto"/>
                                    <w:right w:val="none" w:sz="0" w:space="0" w:color="auto"/>
                                  </w:divBdr>
                                  <w:divsChild>
                                    <w:div w:id="1202205042">
                                      <w:marLeft w:val="0"/>
                                      <w:marRight w:val="0"/>
                                      <w:marTop w:val="0"/>
                                      <w:marBottom w:val="0"/>
                                      <w:divBdr>
                                        <w:top w:val="none" w:sz="0" w:space="0" w:color="auto"/>
                                        <w:left w:val="none" w:sz="0" w:space="0" w:color="auto"/>
                                        <w:bottom w:val="none" w:sz="0" w:space="0" w:color="auto"/>
                                        <w:right w:val="none" w:sz="0" w:space="0" w:color="auto"/>
                                      </w:divBdr>
                                      <w:divsChild>
                                        <w:div w:id="2139564340">
                                          <w:marLeft w:val="0"/>
                                          <w:marRight w:val="0"/>
                                          <w:marTop w:val="0"/>
                                          <w:marBottom w:val="0"/>
                                          <w:divBdr>
                                            <w:top w:val="none" w:sz="0" w:space="0" w:color="auto"/>
                                            <w:left w:val="none" w:sz="0" w:space="0" w:color="auto"/>
                                            <w:bottom w:val="none" w:sz="0" w:space="0" w:color="auto"/>
                                            <w:right w:val="none" w:sz="0" w:space="0" w:color="auto"/>
                                          </w:divBdr>
                                          <w:divsChild>
                                            <w:div w:id="1226841185">
                                              <w:marLeft w:val="0"/>
                                              <w:marRight w:val="0"/>
                                              <w:marTop w:val="0"/>
                                              <w:marBottom w:val="0"/>
                                              <w:divBdr>
                                                <w:top w:val="none" w:sz="0" w:space="0" w:color="auto"/>
                                                <w:left w:val="none" w:sz="0" w:space="0" w:color="auto"/>
                                                <w:bottom w:val="none" w:sz="0" w:space="0" w:color="auto"/>
                                                <w:right w:val="none" w:sz="0" w:space="0" w:color="auto"/>
                                              </w:divBdr>
                                              <w:divsChild>
                                                <w:div w:id="767776527">
                                                  <w:marLeft w:val="0"/>
                                                  <w:marRight w:val="0"/>
                                                  <w:marTop w:val="0"/>
                                                  <w:marBottom w:val="0"/>
                                                  <w:divBdr>
                                                    <w:top w:val="none" w:sz="0" w:space="0" w:color="auto"/>
                                                    <w:left w:val="none" w:sz="0" w:space="0" w:color="auto"/>
                                                    <w:bottom w:val="none" w:sz="0" w:space="0" w:color="auto"/>
                                                    <w:right w:val="none" w:sz="0" w:space="0" w:color="auto"/>
                                                  </w:divBdr>
                                                  <w:divsChild>
                                                    <w:div w:id="44446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58826611">
      <w:bodyDiv w:val="1"/>
      <w:marLeft w:val="0"/>
      <w:marRight w:val="0"/>
      <w:marTop w:val="0"/>
      <w:marBottom w:val="0"/>
      <w:divBdr>
        <w:top w:val="none" w:sz="0" w:space="0" w:color="auto"/>
        <w:left w:val="none" w:sz="0" w:space="0" w:color="auto"/>
        <w:bottom w:val="none" w:sz="0" w:space="0" w:color="auto"/>
        <w:right w:val="none" w:sz="0" w:space="0" w:color="auto"/>
      </w:divBdr>
    </w:div>
    <w:div w:id="2004313727">
      <w:bodyDiv w:val="1"/>
      <w:marLeft w:val="0"/>
      <w:marRight w:val="0"/>
      <w:marTop w:val="0"/>
      <w:marBottom w:val="0"/>
      <w:divBdr>
        <w:top w:val="none" w:sz="0" w:space="0" w:color="auto"/>
        <w:left w:val="none" w:sz="0" w:space="0" w:color="auto"/>
        <w:bottom w:val="none" w:sz="0" w:space="0" w:color="auto"/>
        <w:right w:val="none" w:sz="0" w:space="0" w:color="auto"/>
      </w:divBdr>
    </w:div>
    <w:div w:id="213493347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lucia.li@imperial.ac.uk"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EC6488-5989-C84D-ACC6-111B1E6D3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33</Pages>
  <Words>68663</Words>
  <Characters>391380</Characters>
  <Application>Microsoft Macintosh Word</Application>
  <DocSecurity>0</DocSecurity>
  <Lines>3261</Lines>
  <Paragraphs>918</Paragraphs>
  <ScaleCrop>false</ScaleCrop>
  <Company/>
  <LinksUpToDate>false</LinksUpToDate>
  <CharactersWithSpaces>459125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M Li</dc:creator>
  <cp:keywords/>
  <dc:description/>
  <cp:lastModifiedBy>Lucia M Li</cp:lastModifiedBy>
  <cp:revision>33</cp:revision>
  <dcterms:created xsi:type="dcterms:W3CDTF">2015-09-11T15:42:00Z</dcterms:created>
  <dcterms:modified xsi:type="dcterms:W3CDTF">2015-09-15T15:36:00Z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lml613@gmail.com@www.mendeley.com</vt:lpwstr>
  </property>
  <property fmtid="{D5CDD505-2E9C-101B-9397-08002B2CF9AE}" pid="4" name="Mendeley Citation Style_1">
    <vt:lpwstr>http://www.zotero.org/styles/harvard1</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