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108" w:rsidRDefault="00F43108">
      <w:bookmarkStart w:id="0" w:name="_GoBack"/>
      <w:bookmarkEnd w:id="0"/>
      <w:r w:rsidRPr="00D02ED8">
        <w:t xml:space="preserve">Pegylated Interferon </w:t>
      </w:r>
      <w:r>
        <w:t xml:space="preserve">α-2breduces corticosteroid requirement </w:t>
      </w:r>
      <w:r w:rsidRPr="00D02ED8">
        <w:t xml:space="preserve">in patients with Behcet’s disease </w:t>
      </w:r>
      <w:r>
        <w:t>with upregulation of circulating regulatory T cells and reduction of Th17</w:t>
      </w:r>
    </w:p>
    <w:p w:rsidR="00F43108" w:rsidRDefault="00F43108" w:rsidP="000411A9">
      <w:pPr>
        <w:jc w:val="both"/>
        <w:rPr>
          <w:rFonts w:cs="Calibri"/>
        </w:rPr>
      </w:pPr>
    </w:p>
    <w:p w:rsidR="00F43108" w:rsidRPr="00562CC4" w:rsidRDefault="00F43108" w:rsidP="000411A9">
      <w:pPr>
        <w:jc w:val="both"/>
        <w:rPr>
          <w:rFonts w:cs="Calibri"/>
          <w:vertAlign w:val="superscript"/>
        </w:rPr>
      </w:pPr>
      <w:r>
        <w:rPr>
          <w:rFonts w:cs="Calibri"/>
        </w:rPr>
        <w:t>S Lightman,</w:t>
      </w:r>
      <w:r>
        <w:rPr>
          <w:rFonts w:cs="Calibri"/>
          <w:vertAlign w:val="superscript"/>
        </w:rPr>
        <w:t>1,</w:t>
      </w:r>
      <w:r w:rsidRPr="00A17C0F">
        <w:rPr>
          <w:rFonts w:cs="Calibri"/>
          <w:vertAlign w:val="superscript"/>
        </w:rPr>
        <w:t>2</w:t>
      </w:r>
      <w:r w:rsidR="00662101">
        <w:rPr>
          <w:rFonts w:cs="Calibri"/>
          <w:vertAlign w:val="superscript"/>
        </w:rPr>
        <w:t xml:space="preserve"> </w:t>
      </w:r>
      <w:r w:rsidRPr="00A17C0F">
        <w:rPr>
          <w:rFonts w:cs="Calibri"/>
        </w:rPr>
        <w:t>S</w:t>
      </w:r>
      <w:r w:rsidRPr="009232ED">
        <w:rPr>
          <w:rFonts w:cs="Calibri"/>
        </w:rPr>
        <w:t xml:space="preserve"> RJ Taylor</w:t>
      </w:r>
      <w:r>
        <w:rPr>
          <w:rFonts w:cs="Calibri"/>
        </w:rPr>
        <w:t>,</w:t>
      </w:r>
      <w:r w:rsidRPr="009232ED">
        <w:rPr>
          <w:rFonts w:cs="Calibri"/>
          <w:vertAlign w:val="superscript"/>
        </w:rPr>
        <w:t>1</w:t>
      </w:r>
      <w:r>
        <w:rPr>
          <w:rFonts w:cs="Calibri"/>
          <w:vertAlign w:val="superscript"/>
        </w:rPr>
        <w:t>,3</w:t>
      </w:r>
      <w:r>
        <w:rPr>
          <w:rFonts w:cs="Calibri"/>
        </w:rPr>
        <w:t xml:space="preserve"> C Bunce,</w:t>
      </w:r>
      <w:r>
        <w:rPr>
          <w:rFonts w:cs="Calibri"/>
          <w:vertAlign w:val="superscript"/>
        </w:rPr>
        <w:t>1</w:t>
      </w:r>
      <w:r>
        <w:rPr>
          <w:rFonts w:cs="Calibri"/>
        </w:rPr>
        <w:t xml:space="preserve"> H Longhurst,</w:t>
      </w:r>
      <w:r>
        <w:rPr>
          <w:rFonts w:cs="Calibri"/>
          <w:vertAlign w:val="superscript"/>
        </w:rPr>
        <w:t>4</w:t>
      </w:r>
      <w:r>
        <w:rPr>
          <w:rFonts w:cs="Calibri"/>
        </w:rPr>
        <w:t xml:space="preserve"> W Lynn,</w:t>
      </w:r>
      <w:r>
        <w:rPr>
          <w:rFonts w:cs="Calibri"/>
          <w:vertAlign w:val="superscript"/>
        </w:rPr>
        <w:t>5</w:t>
      </w:r>
      <w:r>
        <w:rPr>
          <w:rFonts w:cs="Calibri"/>
        </w:rPr>
        <w:t xml:space="preserve"> R Moots,</w:t>
      </w:r>
      <w:r>
        <w:rPr>
          <w:rFonts w:cs="Calibri"/>
          <w:vertAlign w:val="superscript"/>
        </w:rPr>
        <w:t>6</w:t>
      </w:r>
      <w:r>
        <w:rPr>
          <w:rFonts w:cs="Calibri"/>
        </w:rPr>
        <w:t xml:space="preserve"> M Stanford,</w:t>
      </w:r>
      <w:r>
        <w:rPr>
          <w:rFonts w:cs="Calibri"/>
          <w:vertAlign w:val="superscript"/>
        </w:rPr>
        <w:t>7</w:t>
      </w:r>
      <w:r>
        <w:rPr>
          <w:rFonts w:cs="Calibri"/>
        </w:rPr>
        <w:t xml:space="preserve"> O Tomkins-Netzer,</w:t>
      </w:r>
      <w:r w:rsidRPr="00391C26">
        <w:rPr>
          <w:rFonts w:cs="Calibri"/>
          <w:vertAlign w:val="superscript"/>
        </w:rPr>
        <w:t>1,2</w:t>
      </w:r>
      <w:r>
        <w:rPr>
          <w:rFonts w:cs="Calibri"/>
        </w:rPr>
        <w:t xml:space="preserve"> D Yang,</w:t>
      </w:r>
      <w:r w:rsidRPr="00391C26">
        <w:rPr>
          <w:rFonts w:cs="Calibri"/>
          <w:vertAlign w:val="superscript"/>
        </w:rPr>
        <w:t>2</w:t>
      </w:r>
      <w:r>
        <w:rPr>
          <w:rFonts w:cs="Calibri"/>
        </w:rPr>
        <w:t xml:space="preserve"> V L Calder,</w:t>
      </w:r>
      <w:r w:rsidRPr="00A17C0F">
        <w:rPr>
          <w:rFonts w:cs="Calibri"/>
          <w:vertAlign w:val="superscript"/>
        </w:rPr>
        <w:t>2</w:t>
      </w:r>
      <w:r>
        <w:rPr>
          <w:rFonts w:cs="Calibri"/>
        </w:rPr>
        <w:t xml:space="preserve"> D O Haskard</w:t>
      </w:r>
      <w:r>
        <w:rPr>
          <w:rFonts w:cs="Calibri"/>
          <w:vertAlign w:val="superscript"/>
        </w:rPr>
        <w:t>3</w:t>
      </w:r>
    </w:p>
    <w:p w:rsidR="00F43108" w:rsidRDefault="00F43108" w:rsidP="000411A9">
      <w:pPr>
        <w:rPr>
          <w:rFonts w:cs="Calibri"/>
        </w:rPr>
      </w:pPr>
      <w:r w:rsidRPr="009232ED">
        <w:rPr>
          <w:rFonts w:cs="Calibri"/>
          <w:vertAlign w:val="superscript"/>
        </w:rPr>
        <w:t>1</w:t>
      </w:r>
      <w:r>
        <w:rPr>
          <w:rFonts w:cs="Calibri"/>
        </w:rPr>
        <w:t xml:space="preserve">Moorfields Eye Hospital NHS Foundation Trust, London, UK </w:t>
      </w:r>
    </w:p>
    <w:p w:rsidR="00F43108" w:rsidRPr="00562CC4" w:rsidRDefault="00F43108" w:rsidP="000411A9">
      <w:pPr>
        <w:rPr>
          <w:rFonts w:cs="Calibri"/>
        </w:rPr>
      </w:pPr>
      <w:r>
        <w:rPr>
          <w:rFonts w:cs="Calibri"/>
          <w:vertAlign w:val="superscript"/>
        </w:rPr>
        <w:t>2</w:t>
      </w:r>
      <w:r>
        <w:rPr>
          <w:rFonts w:cs="Calibri"/>
        </w:rPr>
        <w:t>UCL Institute of Ophthalmology, London, UK</w:t>
      </w:r>
    </w:p>
    <w:p w:rsidR="00F43108" w:rsidRDefault="00F43108" w:rsidP="000411A9">
      <w:pPr>
        <w:rPr>
          <w:rFonts w:cs="Calibri"/>
        </w:rPr>
      </w:pPr>
      <w:r w:rsidRPr="00B755BC">
        <w:rPr>
          <w:rFonts w:cs="Calibri"/>
          <w:vertAlign w:val="superscript"/>
        </w:rPr>
        <w:t>3</w:t>
      </w:r>
      <w:r w:rsidRPr="00B755BC">
        <w:rPr>
          <w:rFonts w:cs="Calibri"/>
        </w:rPr>
        <w:t xml:space="preserve"> Imperial College H</w:t>
      </w:r>
      <w:r>
        <w:rPr>
          <w:rFonts w:cs="Calibri"/>
        </w:rPr>
        <w:t>ealthcare NHS Trust, London, UK</w:t>
      </w:r>
    </w:p>
    <w:p w:rsidR="00F43108" w:rsidRDefault="00F43108" w:rsidP="000411A9">
      <w:pPr>
        <w:rPr>
          <w:rFonts w:cs="Calibri"/>
        </w:rPr>
      </w:pPr>
      <w:r>
        <w:rPr>
          <w:rFonts w:cs="Calibri"/>
          <w:vertAlign w:val="superscript"/>
        </w:rPr>
        <w:t>4</w:t>
      </w:r>
      <w:r>
        <w:rPr>
          <w:rFonts w:cs="Calibri"/>
        </w:rPr>
        <w:t xml:space="preserve">Barts Health NHS Trust, London, UK </w:t>
      </w:r>
    </w:p>
    <w:p w:rsidR="00F43108" w:rsidRDefault="00F43108" w:rsidP="000411A9">
      <w:pPr>
        <w:rPr>
          <w:rFonts w:cs="Calibri"/>
        </w:rPr>
      </w:pPr>
      <w:r w:rsidRPr="00391C26">
        <w:rPr>
          <w:rFonts w:cs="Calibri"/>
          <w:vertAlign w:val="superscript"/>
        </w:rPr>
        <w:t>5</w:t>
      </w:r>
      <w:r>
        <w:rPr>
          <w:rFonts w:cs="Calibri"/>
        </w:rPr>
        <w:t xml:space="preserve"> Ealing Hospital NHS Trust, London, UK</w:t>
      </w:r>
    </w:p>
    <w:p w:rsidR="00F43108" w:rsidRDefault="00F43108" w:rsidP="000411A9">
      <w:pPr>
        <w:rPr>
          <w:rFonts w:cs="Calibri"/>
          <w:vertAlign w:val="superscript"/>
        </w:rPr>
      </w:pPr>
      <w:r>
        <w:rPr>
          <w:rFonts w:cs="Calibri"/>
          <w:vertAlign w:val="superscript"/>
        </w:rPr>
        <w:t>6</w:t>
      </w:r>
      <w:r>
        <w:rPr>
          <w:rFonts w:cs="Calibri"/>
        </w:rPr>
        <w:t>Aintree Hospitals NHS Trust, Liverpool, UK</w:t>
      </w:r>
    </w:p>
    <w:p w:rsidR="00F43108" w:rsidRDefault="00F43108" w:rsidP="000411A9">
      <w:pPr>
        <w:rPr>
          <w:rFonts w:cs="Calibri"/>
        </w:rPr>
      </w:pPr>
      <w:r w:rsidRPr="00391C26">
        <w:rPr>
          <w:rFonts w:cs="Calibri"/>
          <w:vertAlign w:val="superscript"/>
        </w:rPr>
        <w:t>7</w:t>
      </w:r>
      <w:r>
        <w:rPr>
          <w:rFonts w:cs="Calibri"/>
        </w:rPr>
        <w:t xml:space="preserve"> GSTT NHS Foundation Trust, London, UK</w:t>
      </w:r>
    </w:p>
    <w:p w:rsidR="00F43108" w:rsidRDefault="00F43108" w:rsidP="000411A9">
      <w:pPr>
        <w:rPr>
          <w:rFonts w:cs="Calibri"/>
          <w:b/>
        </w:rPr>
      </w:pPr>
    </w:p>
    <w:p w:rsidR="00F43108" w:rsidRDefault="00F43108" w:rsidP="000411A9">
      <w:pPr>
        <w:rPr>
          <w:rFonts w:cs="Calibri"/>
          <w:b/>
        </w:rPr>
      </w:pPr>
    </w:p>
    <w:p w:rsidR="00F43108" w:rsidRDefault="00F43108" w:rsidP="000411A9">
      <w:pPr>
        <w:spacing w:line="360" w:lineRule="auto"/>
      </w:pPr>
      <w:r w:rsidRPr="009232ED">
        <w:rPr>
          <w:rFonts w:cs="Calibri"/>
          <w:b/>
        </w:rPr>
        <w:t>Corresponding author:</w:t>
      </w:r>
      <w:r>
        <w:rPr>
          <w:rFonts w:cs="Calibri"/>
          <w:b/>
        </w:rPr>
        <w:br/>
      </w:r>
      <w:r>
        <w:rPr>
          <w:rFonts w:cs="Calibri"/>
        </w:rPr>
        <w:t>Professor Sue Lightman</w:t>
      </w:r>
      <w:r>
        <w:rPr>
          <w:rFonts w:cs="Calibri"/>
        </w:rPr>
        <w:br/>
        <w:t>UCL Institute of Ophthalmology, Moorfields Eye Hospital</w:t>
      </w:r>
      <w:r>
        <w:rPr>
          <w:rFonts w:cs="Calibri"/>
        </w:rPr>
        <w:br/>
        <w:t>162-165 City Road</w:t>
      </w:r>
      <w:r>
        <w:rPr>
          <w:rFonts w:cs="Calibri"/>
        </w:rPr>
        <w:br/>
        <w:t>London EC1V 2PD</w:t>
      </w:r>
      <w:r>
        <w:rPr>
          <w:rFonts w:cs="Calibri"/>
        </w:rPr>
        <w:br/>
        <w:t>Tel: 020 7566 2266</w:t>
      </w:r>
      <w:r>
        <w:rPr>
          <w:rFonts w:cs="Calibri"/>
        </w:rPr>
        <w:br/>
        <w:t xml:space="preserve">Fax: 020 7251 9350  </w:t>
      </w:r>
      <w:r>
        <w:rPr>
          <w:rFonts w:cs="Calibri"/>
        </w:rPr>
        <w:br/>
        <w:t xml:space="preserve">Email: </w:t>
      </w:r>
      <w:hyperlink r:id="rId7" w:history="1">
        <w:r w:rsidRPr="00836A5E">
          <w:rPr>
            <w:rStyle w:val="Hyperlink"/>
            <w:rFonts w:cs="Calibri"/>
          </w:rPr>
          <w:t>s.lightman@ucl.ac.uk</w:t>
        </w:r>
      </w:hyperlink>
    </w:p>
    <w:p w:rsidR="00F43108" w:rsidRPr="00B755BC" w:rsidRDefault="00F43108" w:rsidP="000411A9"/>
    <w:p w:rsidR="00F43108" w:rsidRDefault="00F43108">
      <w:pPr>
        <w:spacing w:after="0" w:line="240" w:lineRule="auto"/>
        <w:rPr>
          <w:b/>
        </w:rPr>
      </w:pPr>
      <w:r>
        <w:rPr>
          <w:b/>
        </w:rPr>
        <w:br w:type="page"/>
      </w:r>
    </w:p>
    <w:p w:rsidR="00F43108" w:rsidRPr="00DC5D97" w:rsidRDefault="00F43108">
      <w:pPr>
        <w:rPr>
          <w:b/>
          <w:caps/>
        </w:rPr>
      </w:pPr>
      <w:r w:rsidRPr="00DC5D97">
        <w:rPr>
          <w:b/>
          <w:caps/>
        </w:rPr>
        <w:lastRenderedPageBreak/>
        <w:t>Abstract</w:t>
      </w:r>
    </w:p>
    <w:p w:rsidR="00F43108" w:rsidRPr="00B755BC" w:rsidRDefault="00F43108" w:rsidP="00025C0D">
      <w:r>
        <w:rPr>
          <w:b/>
        </w:rPr>
        <w:t xml:space="preserve">Objective </w:t>
      </w:r>
      <w:r>
        <w:t>T</w:t>
      </w:r>
      <w:r w:rsidRPr="00AC517A">
        <w:t xml:space="preserve">o determine whether the addition of </w:t>
      </w:r>
      <w:r>
        <w:t xml:space="preserve">26 </w:t>
      </w:r>
      <w:r w:rsidRPr="00AC517A">
        <w:t xml:space="preserve">weeks of subcutaneous </w:t>
      </w:r>
      <w:r>
        <w:t xml:space="preserve">peginterferon-α-2b </w:t>
      </w:r>
      <w:r w:rsidRPr="00AC517A">
        <w:t xml:space="preserve">could reduce the requirement for systemic corticosteroids and conventional immunosuppressive medication in patients with </w:t>
      </w:r>
      <w:r w:rsidRPr="00B755BC">
        <w:t>Beh</w:t>
      </w:r>
      <w:r w:rsidRPr="00B755BC">
        <w:rPr>
          <w:rFonts w:cs="Calibri"/>
        </w:rPr>
        <w:t>ç</w:t>
      </w:r>
      <w:r w:rsidRPr="00B755BC">
        <w:t>et’s</w:t>
      </w:r>
      <w:r w:rsidR="00025C0D">
        <w:t xml:space="preserve"> </w:t>
      </w:r>
      <w:r>
        <w:rPr>
          <w:color w:val="000000"/>
        </w:rPr>
        <w:t>disease (</w:t>
      </w:r>
      <w:r>
        <w:t>BD)</w:t>
      </w:r>
      <w:r w:rsidRPr="00AC517A">
        <w:t>.</w:t>
      </w:r>
    </w:p>
    <w:p w:rsidR="00F43108" w:rsidRDefault="00F43108" w:rsidP="000411A9">
      <w:r w:rsidRPr="00DC5D97">
        <w:rPr>
          <w:b/>
        </w:rPr>
        <w:t>Methods</w:t>
      </w:r>
      <w:r w:rsidR="00025C0D">
        <w:rPr>
          <w:b/>
        </w:rPr>
        <w:t xml:space="preserve"> </w:t>
      </w:r>
      <w:r w:rsidRPr="00B755BC">
        <w:t xml:space="preserve">We conducted </w:t>
      </w:r>
      <w:r>
        <w:t xml:space="preserve">a multicentre randomised </w:t>
      </w:r>
      <w:r w:rsidRPr="00B755BC">
        <w:t xml:space="preserve">trial in </w:t>
      </w:r>
      <w:r w:rsidRPr="00B755BC">
        <w:rPr>
          <w:color w:val="000000"/>
        </w:rPr>
        <w:t xml:space="preserve">patients with </w:t>
      </w:r>
      <w:r>
        <w:rPr>
          <w:color w:val="000000"/>
        </w:rPr>
        <w:t>BD</w:t>
      </w:r>
      <w:r w:rsidRPr="00B755BC">
        <w:rPr>
          <w:color w:val="000000"/>
        </w:rPr>
        <w:t xml:space="preserve"> requiring systemic therapy. Patients were randomised to </w:t>
      </w:r>
      <w:r>
        <w:rPr>
          <w:color w:val="000000"/>
        </w:rPr>
        <w:t xml:space="preserve">a 26 week of peginterferon-α-2b in addition to their standard care or to standard care only and </w:t>
      </w:r>
      <w:r w:rsidRPr="00B755BC">
        <w:rPr>
          <w:color w:val="000000"/>
        </w:rPr>
        <w:t>followed 6 monthly for 3 years</w:t>
      </w:r>
      <w:r w:rsidR="00025C0D">
        <w:rPr>
          <w:color w:val="000000"/>
        </w:rPr>
        <w:t xml:space="preserve"> </w:t>
      </w:r>
      <w:r>
        <w:t>with BD</w:t>
      </w:r>
      <w:r w:rsidRPr="00B755BC">
        <w:t xml:space="preserve"> activity scores and quality of life questionnaires</w:t>
      </w:r>
      <w:r w:rsidRPr="00B755BC">
        <w:rPr>
          <w:color w:val="000000"/>
        </w:rPr>
        <w:t xml:space="preserve">. </w:t>
      </w:r>
      <w:r w:rsidRPr="00B755BC">
        <w:t xml:space="preserve">Patients at one </w:t>
      </w:r>
      <w:r>
        <w:t>centre</w:t>
      </w:r>
      <w:r w:rsidRPr="00B755BC">
        <w:t xml:space="preserve"> had blood taken to </w:t>
      </w:r>
      <w:r>
        <w:t xml:space="preserve">measure </w:t>
      </w:r>
      <w:r w:rsidRPr="00B755BC">
        <w:t>regulatory T cell</w:t>
      </w:r>
      <w:r>
        <w:t>s (Tregs) and Th-17cells.</w:t>
      </w:r>
    </w:p>
    <w:p w:rsidR="00F43108" w:rsidRDefault="00F43108" w:rsidP="00652883">
      <w:pPr>
        <w:tabs>
          <w:tab w:val="left" w:pos="1930"/>
        </w:tabs>
      </w:pPr>
      <w:r w:rsidRPr="00DC5D97">
        <w:rPr>
          <w:b/>
        </w:rPr>
        <w:t>Results</w:t>
      </w:r>
      <w:r w:rsidR="00025C0D">
        <w:rPr>
          <w:b/>
        </w:rPr>
        <w:t xml:space="preserve"> </w:t>
      </w:r>
      <w:r>
        <w:t xml:space="preserve">72 patients </w:t>
      </w:r>
      <w:r w:rsidRPr="004407B3">
        <w:t>were included.</w:t>
      </w:r>
      <w:r>
        <w:t xml:space="preserve"> At </w:t>
      </w:r>
      <w:r w:rsidR="00E266D0">
        <w:t>months 10-12</w:t>
      </w:r>
      <w:r>
        <w:t xml:space="preserve">, </w:t>
      </w:r>
      <w:r w:rsidR="005B10C3">
        <w:t>while among the entire patient population there was no difference in the corticosteroid dose</w:t>
      </w:r>
      <w:r w:rsidR="008466CF">
        <w:t xml:space="preserve"> </w:t>
      </w:r>
      <w:r w:rsidR="00204FC1">
        <w:t xml:space="preserve">or immunosuppression use </w:t>
      </w:r>
      <w:r w:rsidR="005B10C3">
        <w:t>between the treatment groups</w:t>
      </w:r>
      <w:r w:rsidR="0032769C">
        <w:t xml:space="preserve"> (adjusted </w:t>
      </w:r>
      <w:r w:rsidR="0071192F">
        <w:t>OR</w:t>
      </w:r>
      <w:r w:rsidR="0032769C">
        <w:t xml:space="preserve"> 1.04</w:t>
      </w:r>
      <w:r w:rsidR="005B10C3">
        <w:t>,</w:t>
      </w:r>
      <w:r w:rsidR="0032769C">
        <w:t>95% CI, 0.34-3.19),</w:t>
      </w:r>
      <w:r w:rsidR="008466CF">
        <w:t xml:space="preserve"> </w:t>
      </w:r>
      <w:r w:rsidR="0005446F">
        <w:t xml:space="preserve">post hoc analysis revealed </w:t>
      </w:r>
      <w:r>
        <w:t xml:space="preserve">in patients who were on corticosteroids at baseline the corticosteroid requirement was significantly lower in </w:t>
      </w:r>
      <w:r w:rsidRPr="006C1795">
        <w:t xml:space="preserve">the </w:t>
      </w:r>
      <w:r>
        <w:t xml:space="preserve">peginterferon-α-2b </w:t>
      </w:r>
      <w:r w:rsidRPr="004407B3">
        <w:t xml:space="preserve">(6.5 </w:t>
      </w:r>
      <w:r w:rsidR="00652883">
        <w:t>{</w:t>
      </w:r>
      <w:r w:rsidRPr="004407B3">
        <w:t>5,15</w:t>
      </w:r>
      <w:r w:rsidR="00652883">
        <w:t>}</w:t>
      </w:r>
      <w:r w:rsidRPr="004407B3">
        <w:t xml:space="preserve"> mg/day) </w:t>
      </w:r>
      <w:r>
        <w:t xml:space="preserve">compared with the </w:t>
      </w:r>
      <w:r w:rsidRPr="006C1795">
        <w:t>non-interferon group</w:t>
      </w:r>
      <w:r>
        <w:t xml:space="preserve"> (10 </w:t>
      </w:r>
      <w:r w:rsidR="00652883">
        <w:t>{</w:t>
      </w:r>
      <w:r>
        <w:t>8.25, 16.5</w:t>
      </w:r>
      <w:r w:rsidR="00652883">
        <w:t>}</w:t>
      </w:r>
      <w:r>
        <w:t xml:space="preserve"> mg/day ,</w:t>
      </w:r>
      <w:r w:rsidRPr="004407B3">
        <w:t xml:space="preserve">p=0.039).  </w:t>
      </w:r>
      <w:r w:rsidR="00204FC1">
        <w:t>Furthermore, there was a trend towards an improved quality of life that became significant by 36 months (p= 0.008).</w:t>
      </w:r>
      <w:r w:rsidR="00B44F6B">
        <w:t xml:space="preserve"> </w:t>
      </w:r>
      <w:r>
        <w:t xml:space="preserve">This was associated with </w:t>
      </w:r>
      <w:r w:rsidRPr="004407B3">
        <w:t>a significant rise in Tregs</w:t>
      </w:r>
      <w:r>
        <w:t xml:space="preserve"> and a decrease in Th17 cells </w:t>
      </w:r>
      <w:r w:rsidRPr="004407B3">
        <w:t xml:space="preserve">which was still present at 1 year, 6 months after the interferon was stopped. </w:t>
      </w:r>
      <w:r>
        <w:t xml:space="preserve">The safety profile was similar with </w:t>
      </w:r>
      <w:r w:rsidRPr="004407B3">
        <w:t>adverse events in 10% in both groups</w:t>
      </w:r>
      <w:r>
        <w:t>.</w:t>
      </w:r>
    </w:p>
    <w:p w:rsidR="00F43108" w:rsidRDefault="00F43108" w:rsidP="00CE7A52">
      <w:r w:rsidRPr="00DC5D97">
        <w:rPr>
          <w:b/>
        </w:rPr>
        <w:t>Conclusions</w:t>
      </w:r>
      <w:r w:rsidR="00025C0D">
        <w:rPr>
          <w:b/>
        </w:rPr>
        <w:t xml:space="preserve"> </w:t>
      </w:r>
      <w:r w:rsidRPr="004407B3">
        <w:t xml:space="preserve">The addition of </w:t>
      </w:r>
      <w:r>
        <w:t xml:space="preserve">peginterferon-α-2b </w:t>
      </w:r>
      <w:r w:rsidRPr="004407B3">
        <w:t xml:space="preserve">to the drug regime of </w:t>
      </w:r>
      <w:r>
        <w:t xml:space="preserve">BD </w:t>
      </w:r>
      <w:r w:rsidRPr="004407B3">
        <w:t xml:space="preserve">patients </w:t>
      </w:r>
      <w:r w:rsidR="00CE7A52" w:rsidRPr="00216550">
        <w:t xml:space="preserve">did not significantly reduce corticosteroid dose. However in a post hoc analysis, the treatment </w:t>
      </w:r>
      <w:r>
        <w:t xml:space="preserve">resulted in a significant </w:t>
      </w:r>
      <w:r w:rsidRPr="004407B3">
        <w:t xml:space="preserve">reduction in corticosteroid dose </w:t>
      </w:r>
      <w:r>
        <w:t>with an improved quality of life and trend to reduce other required immunosuppressive agents</w:t>
      </w:r>
      <w:r w:rsidR="00CE7A52">
        <w:t xml:space="preserve"> among patients who were on corticosteroids at baseline</w:t>
      </w:r>
      <w:r w:rsidRPr="004407B3">
        <w:t xml:space="preserve">. The effect </w:t>
      </w:r>
      <w:r>
        <w:t xml:space="preserve">was seen at 1 </w:t>
      </w:r>
      <w:r w:rsidRPr="004407B3">
        <w:t xml:space="preserve">year and was associated with a rise in </w:t>
      </w:r>
      <w:r>
        <w:t>Tregs</w:t>
      </w:r>
      <w:r w:rsidRPr="004407B3">
        <w:t xml:space="preserve"> suggesting a possible mode </w:t>
      </w:r>
      <w:r>
        <w:t>for</w:t>
      </w:r>
      <w:r w:rsidRPr="004407B3">
        <w:t xml:space="preserve"> interferon action. </w:t>
      </w:r>
    </w:p>
    <w:p w:rsidR="00F43108" w:rsidRDefault="00F43108" w:rsidP="000411A9">
      <w:r w:rsidRPr="00DC5D97">
        <w:rPr>
          <w:b/>
        </w:rPr>
        <w:t>Trial registration number</w:t>
      </w:r>
      <w:r w:rsidR="00025C0D">
        <w:rPr>
          <w:b/>
        </w:rPr>
        <w:t xml:space="preserve"> </w:t>
      </w:r>
      <w:r>
        <w:t xml:space="preserve">The study is registered on the following trial registries: </w:t>
      </w:r>
      <w:r w:rsidRPr="005C3EF1">
        <w:rPr>
          <w:rFonts w:cs="Arial"/>
        </w:rPr>
        <w:t>ISRCTN 36354474</w:t>
      </w:r>
      <w:r>
        <w:rPr>
          <w:rFonts w:cs="Arial"/>
        </w:rPr>
        <w:t>;</w:t>
      </w:r>
      <w:r w:rsidR="003B2303">
        <w:rPr>
          <w:rFonts w:cs="Arial"/>
        </w:rPr>
        <w:t xml:space="preserve"> </w:t>
      </w:r>
      <w:r w:rsidRPr="005C3EF1">
        <w:rPr>
          <w:rFonts w:cs="Arial"/>
        </w:rPr>
        <w:t>EudraCT</w:t>
      </w:r>
      <w:r>
        <w:rPr>
          <w:rFonts w:cs="Arial"/>
        </w:rPr>
        <w:t xml:space="preserve"> 2004-004301-18.</w:t>
      </w:r>
    </w:p>
    <w:p w:rsidR="00F43108" w:rsidRDefault="007F43E7" w:rsidP="007F43E7">
      <w:pPr>
        <w:tabs>
          <w:tab w:val="left" w:pos="5955"/>
        </w:tabs>
      </w:pPr>
      <w:r>
        <w:tab/>
      </w:r>
    </w:p>
    <w:p w:rsidR="00F43108" w:rsidRDefault="00EC62B4" w:rsidP="00EC62B4">
      <w:pPr>
        <w:tabs>
          <w:tab w:val="left" w:pos="1965"/>
        </w:tabs>
      </w:pPr>
      <w:r>
        <w:tab/>
      </w:r>
    </w:p>
    <w:p w:rsidR="00F43108" w:rsidRDefault="00F43108" w:rsidP="000411A9">
      <w:r>
        <w:t xml:space="preserve">Keywords: </w:t>
      </w:r>
      <w:r w:rsidRPr="00B755BC">
        <w:t>Beh</w:t>
      </w:r>
      <w:r w:rsidRPr="00B755BC">
        <w:rPr>
          <w:rFonts w:cs="Calibri"/>
        </w:rPr>
        <w:t>ç</w:t>
      </w:r>
      <w:r w:rsidRPr="00B755BC">
        <w:t>et’s</w:t>
      </w:r>
      <w:r w:rsidR="00025C0D">
        <w:t xml:space="preserve"> </w:t>
      </w:r>
      <w:r>
        <w:rPr>
          <w:color w:val="000000"/>
        </w:rPr>
        <w:t xml:space="preserve">disease, </w:t>
      </w:r>
      <w:r>
        <w:t xml:space="preserve">peginterferon-α-2b, </w:t>
      </w:r>
      <w:r w:rsidRPr="00B755BC">
        <w:t>regulatory T cell</w:t>
      </w:r>
      <w:r>
        <w:t xml:space="preserve">s, </w:t>
      </w:r>
      <w:r w:rsidRPr="004407B3">
        <w:t>corticosteroid</w:t>
      </w:r>
      <w:r>
        <w:t>, immunosuppressive agents</w:t>
      </w:r>
    </w:p>
    <w:p w:rsidR="00F43108" w:rsidRDefault="00F43108">
      <w:pPr>
        <w:spacing w:after="0" w:line="240" w:lineRule="auto"/>
      </w:pPr>
      <w:r>
        <w:br w:type="page"/>
      </w:r>
    </w:p>
    <w:p w:rsidR="00F43108" w:rsidRPr="00AC517A" w:rsidRDefault="00F43108" w:rsidP="00EF58C1">
      <w:pPr>
        <w:rPr>
          <w:rFonts w:ascii="Arial" w:hAnsi="Arial" w:cs="Arial"/>
          <w:sz w:val="20"/>
          <w:szCs w:val="20"/>
          <w:lang w:eastAsia="en-GB"/>
        </w:rPr>
      </w:pPr>
      <w:r w:rsidRPr="00AC517A">
        <w:lastRenderedPageBreak/>
        <w:t>Beh</w:t>
      </w:r>
      <w:r w:rsidRPr="00AC517A">
        <w:rPr>
          <w:rFonts w:cs="Calibri"/>
        </w:rPr>
        <w:t>ç</w:t>
      </w:r>
      <w:r w:rsidRPr="00AC517A">
        <w:t>et’s</w:t>
      </w:r>
      <w:r>
        <w:t xml:space="preserve"> disease (BD) </w:t>
      </w:r>
      <w:r w:rsidRPr="00AC517A">
        <w:t>is a multisystem condition of unknown causation.</w:t>
      </w:r>
      <w:r>
        <w:rPr>
          <w:noProof/>
        </w:rPr>
        <w:t>[1]</w:t>
      </w:r>
      <w:r w:rsidRPr="00AC517A">
        <w:t xml:space="preserve"> Its severity varies, ranging from mucocutanous lesions to more severe manifestations – particularly ocular involvement, in which retinal isc</w:t>
      </w:r>
      <w:r>
        <w:t>haem</w:t>
      </w:r>
      <w:r w:rsidRPr="00AC517A">
        <w:t>ia can occur with permanent visual loss.</w:t>
      </w:r>
      <w:r>
        <w:rPr>
          <w:noProof/>
        </w:rPr>
        <w:t>[2]</w:t>
      </w:r>
      <w:r w:rsidRPr="00AC517A">
        <w:t xml:space="preserve">  Treatment of major organ involvement is with immunosuppressive agents and corticosteroids, </w:t>
      </w:r>
      <w:r>
        <w:t>and</w:t>
      </w:r>
      <w:r w:rsidRPr="00AC517A">
        <w:t xml:space="preserve"> is usually required for many years</w:t>
      </w:r>
      <w:r>
        <w:t>,</w:t>
      </w:r>
      <w:r>
        <w:rPr>
          <w:noProof/>
        </w:rPr>
        <w:t>[3, 4]</w:t>
      </w:r>
      <w:r>
        <w:t xml:space="preserve"> with r</w:t>
      </w:r>
      <w:r w:rsidRPr="00AC517A">
        <w:t>elapses occur</w:t>
      </w:r>
      <w:r>
        <w:t>ring</w:t>
      </w:r>
      <w:r w:rsidRPr="00AC517A">
        <w:t xml:space="preserve"> when drug doses are reduced.</w:t>
      </w:r>
      <w:r>
        <w:rPr>
          <w:noProof/>
        </w:rPr>
        <w:t>[2, 5]</w:t>
      </w:r>
      <w:r w:rsidRPr="00AC517A">
        <w:t xml:space="preserve">Biologics such as infliximab are increasingly used with and without corticosteroids, especially when other </w:t>
      </w:r>
      <w:r>
        <w:t>drugs</w:t>
      </w:r>
      <w:r w:rsidRPr="00AC517A">
        <w:t xml:space="preserve"> have failed or had to be discontinued because of adverse events.</w:t>
      </w:r>
      <w:r>
        <w:rPr>
          <w:noProof/>
        </w:rPr>
        <w:t>[6]</w:t>
      </w:r>
      <w:r w:rsidR="00B44F6B">
        <w:rPr>
          <w:noProof/>
        </w:rPr>
        <w:t xml:space="preserve"> </w:t>
      </w:r>
      <w:r w:rsidR="00EF58C1">
        <w:rPr>
          <w:noProof/>
        </w:rPr>
        <w:t xml:space="preserve">Use of </w:t>
      </w:r>
      <w:r w:rsidR="00EF58C1">
        <w:t>i</w:t>
      </w:r>
      <w:r w:rsidRPr="00AC517A">
        <w:t xml:space="preserve">nterferon alpha 2a and 2b </w:t>
      </w:r>
      <w:r w:rsidR="00EF58C1">
        <w:t xml:space="preserve">in BD </w:t>
      </w:r>
      <w:r w:rsidRPr="00AC517A">
        <w:t xml:space="preserve">have been reported in </w:t>
      </w:r>
      <w:r w:rsidR="00EF58C1">
        <w:t>several randomized studies as well as</w:t>
      </w:r>
      <w:r w:rsidR="008466CF">
        <w:t xml:space="preserve"> </w:t>
      </w:r>
      <w:r w:rsidRPr="00AC517A">
        <w:t>small case series .</w:t>
      </w:r>
      <w:r>
        <w:rPr>
          <w:noProof/>
        </w:rPr>
        <w:t>[7-10]</w:t>
      </w:r>
      <w:r w:rsidRPr="00AC517A">
        <w:t xml:space="preserve"> In some studies interferon alpha has been used continuously but in others a short course of the drug appears to induce prolonged disease remission allowing discontinuation of all medication without relapse. The mechanism of interferon in </w:t>
      </w:r>
      <w:r>
        <w:t>BD</w:t>
      </w:r>
      <w:r w:rsidRPr="00AC517A">
        <w:t xml:space="preserve"> is unknown, but in </w:t>
      </w:r>
      <w:r>
        <w:t xml:space="preserve">some </w:t>
      </w:r>
      <w:r w:rsidRPr="00AC517A">
        <w:t>patients treated for</w:t>
      </w:r>
      <w:r>
        <w:t xml:space="preserve"> hepatitis B infection, </w:t>
      </w:r>
      <w:r w:rsidRPr="00AC517A">
        <w:t>regulatory T cells (Tregs) are induced</w:t>
      </w:r>
      <w:r>
        <w:t>.</w:t>
      </w:r>
      <w:r>
        <w:rPr>
          <w:noProof/>
        </w:rPr>
        <w:t>[11]</w:t>
      </w:r>
    </w:p>
    <w:p w:rsidR="00F43108" w:rsidRDefault="00F43108" w:rsidP="000411A9">
      <w:r w:rsidRPr="00AC517A">
        <w:t xml:space="preserve">This study </w:t>
      </w:r>
      <w:r>
        <w:t>aimed</w:t>
      </w:r>
      <w:r w:rsidRPr="00AC517A">
        <w:t xml:space="preserve"> to determine whether the addition of </w:t>
      </w:r>
      <w:r>
        <w:t xml:space="preserve">26 </w:t>
      </w:r>
      <w:r w:rsidRPr="00AC517A">
        <w:t xml:space="preserve">weeks of subcutaneous </w:t>
      </w:r>
      <w:r>
        <w:t xml:space="preserve">peginterferon-α-2b </w:t>
      </w:r>
      <w:r w:rsidRPr="00AC517A">
        <w:t xml:space="preserve">at a standard dose of 0.3μg/kg/week could reduce the requirement for systemic corticosteroids and conventional immunosuppressive medication at one and three years in patients with </w:t>
      </w:r>
      <w:r>
        <w:t>BD</w:t>
      </w:r>
      <w:r w:rsidRPr="00AC517A">
        <w:t>. Tregs</w:t>
      </w:r>
      <w:r>
        <w:t xml:space="preserve"> and Th17 cells </w:t>
      </w:r>
      <w:r w:rsidRPr="00AC517A">
        <w:t xml:space="preserve">in peripheral blood were measured over the course of the first year in </w:t>
      </w:r>
      <w:r>
        <w:t xml:space="preserve">patients from </w:t>
      </w:r>
      <w:r w:rsidRPr="00AC517A">
        <w:t>both treatment groups attending one site.</w:t>
      </w:r>
    </w:p>
    <w:p w:rsidR="00F43108" w:rsidRDefault="00F43108"/>
    <w:p w:rsidR="00F43108" w:rsidRPr="00452F39" w:rsidRDefault="00F43108" w:rsidP="000411A9">
      <w:pPr>
        <w:rPr>
          <w:b/>
          <w:caps/>
        </w:rPr>
      </w:pPr>
      <w:r w:rsidRPr="00452F39">
        <w:rPr>
          <w:b/>
          <w:caps/>
        </w:rPr>
        <w:t>Methods</w:t>
      </w:r>
    </w:p>
    <w:p w:rsidR="00F43108" w:rsidRPr="00BE6CC2" w:rsidRDefault="00F43108" w:rsidP="000411A9">
      <w:pPr>
        <w:rPr>
          <w:b/>
        </w:rPr>
      </w:pPr>
      <w:r w:rsidRPr="00BE6CC2">
        <w:rPr>
          <w:b/>
        </w:rPr>
        <w:t>D</w:t>
      </w:r>
      <w:r>
        <w:rPr>
          <w:b/>
        </w:rPr>
        <w:t>esign</w:t>
      </w:r>
    </w:p>
    <w:p w:rsidR="00F43108" w:rsidRPr="00BE6CC2" w:rsidRDefault="00F43108" w:rsidP="00EF58C1">
      <w:r w:rsidRPr="00BE6CC2">
        <w:t>The study was a multi</w:t>
      </w:r>
      <w:r>
        <w:t>centre,</w:t>
      </w:r>
      <w:r w:rsidRPr="00BE6CC2">
        <w:t xml:space="preserve"> randomised</w:t>
      </w:r>
      <w:r>
        <w:t>,</w:t>
      </w:r>
      <w:r w:rsidRPr="00BE6CC2">
        <w:t xml:space="preserve"> controlled</w:t>
      </w:r>
      <w:r>
        <w:t>,</w:t>
      </w:r>
      <w:r w:rsidRPr="00BE6CC2">
        <w:t xml:space="preserve"> parallel group</w:t>
      </w:r>
      <w:r>
        <w:t>,</w:t>
      </w:r>
      <w:r w:rsidRPr="00BE6CC2">
        <w:t xml:space="preserve"> single-masked clinical trial of </w:t>
      </w:r>
      <w:r>
        <w:t xml:space="preserve">peginterferon-α-2b </w:t>
      </w:r>
      <w:r w:rsidRPr="00BE6CC2">
        <w:t xml:space="preserve">in </w:t>
      </w:r>
      <w:r>
        <w:t xml:space="preserve">BD </w:t>
      </w:r>
      <w:r w:rsidRPr="00BE6CC2">
        <w:t>patients on systemic treatment</w:t>
      </w:r>
      <w:r>
        <w:t>. Patients</w:t>
      </w:r>
      <w:r w:rsidRPr="00BE6CC2">
        <w:t xml:space="preserve"> were ra</w:t>
      </w:r>
      <w:r>
        <w:t xml:space="preserve">ndomly assigned in a 1:1 ratio, </w:t>
      </w:r>
      <w:r w:rsidRPr="00BE6CC2">
        <w:t xml:space="preserve">to one of two treatment groups and were stratified in blocks according to </w:t>
      </w:r>
      <w:r>
        <w:t>centre</w:t>
      </w:r>
      <w:r w:rsidRPr="00BE6CC2">
        <w:t xml:space="preserve">, </w:t>
      </w:r>
      <w:r>
        <w:t xml:space="preserve">disease </w:t>
      </w:r>
      <w:r w:rsidRPr="00BE6CC2">
        <w:t>duration (</w:t>
      </w:r>
      <w:r>
        <w:t>&lt;</w:t>
      </w:r>
      <w:r w:rsidRPr="00BE6CC2">
        <w:t xml:space="preserve"> three years, or </w:t>
      </w:r>
      <w:r>
        <w:t>≥</w:t>
      </w:r>
      <w:r w:rsidRPr="00BE6CC2">
        <w:t xml:space="preserve">three years) and the presence of ocular involvement.  </w:t>
      </w:r>
      <w:r w:rsidR="00EF58C1">
        <w:t>Stratification according to disease duration was based on an increased risk of ocular involvement among patients with disease over 3 years</w:t>
      </w:r>
      <w:r w:rsidR="00662101">
        <w:t xml:space="preserve"> because </w:t>
      </w:r>
      <w:r w:rsidRPr="00BE6CC2">
        <w:t>higher treatment doses are frequently required for sight-threatening disease.</w:t>
      </w:r>
      <w:r>
        <w:rPr>
          <w:noProof/>
        </w:rPr>
        <w:t>[12]</w:t>
      </w:r>
    </w:p>
    <w:p w:rsidR="00F43108" w:rsidRPr="00BE6CC2" w:rsidRDefault="00F43108" w:rsidP="00394026">
      <w:r w:rsidRPr="00BE6CC2">
        <w:t xml:space="preserve">The two treatment groups were as follows: systemic corticosteroids and/or immunosuppressive agents; or systemic corticosteroids and/or immunosuppressive agents plus </w:t>
      </w:r>
      <w:r>
        <w:t xml:space="preserve">peginterferon-α-2b </w:t>
      </w:r>
      <w:r w:rsidRPr="00BE6CC2">
        <w:t xml:space="preserve">at a dose of 0.3 μg/kg/week for </w:t>
      </w:r>
      <w:r>
        <w:t>26</w:t>
      </w:r>
      <w:r w:rsidRPr="00BE6CC2">
        <w:t xml:space="preserve"> weeks.  The study was masked with regard to treatment assignment </w:t>
      </w:r>
      <w:r w:rsidR="00394026">
        <w:t xml:space="preserve">only </w:t>
      </w:r>
      <w:r w:rsidRPr="00BE6CC2">
        <w:t xml:space="preserve">to the </w:t>
      </w:r>
      <w:r w:rsidR="00394026">
        <w:t>study assessors</w:t>
      </w:r>
      <w:r w:rsidR="00B44F6B">
        <w:t xml:space="preserve"> </w:t>
      </w:r>
      <w:r w:rsidRPr="00BE6CC2">
        <w:t xml:space="preserve">but unmasked to the patients, research nurse and the clinicians overseeing medical care of the patients. This was because the flu-like symptoms associated with interferon treatment made </w:t>
      </w:r>
      <w:r>
        <w:t xml:space="preserve">patient </w:t>
      </w:r>
      <w:r w:rsidRPr="00BE6CC2">
        <w:t xml:space="preserve">masking </w:t>
      </w:r>
      <w:r>
        <w:t>u</w:t>
      </w:r>
      <w:r w:rsidRPr="00BE6CC2">
        <w:t xml:space="preserve">nfeasible.  The study was approved by each </w:t>
      </w:r>
      <w:r>
        <w:t>centre</w:t>
      </w:r>
      <w:r w:rsidRPr="00BE6CC2">
        <w:t>’s institutional review board and was conducted in accordance with the provisions of the Declaration of Helsinki and Good Clinical Practice guidelines (</w:t>
      </w:r>
      <w:r w:rsidRPr="00BE6CC2">
        <w:rPr>
          <w:rFonts w:cs="Arial"/>
        </w:rPr>
        <w:t>ISRCTN 36354474 EudraCT number 2004-004301-18)</w:t>
      </w:r>
      <w:r w:rsidRPr="00BE6CC2">
        <w:t>.</w:t>
      </w:r>
    </w:p>
    <w:p w:rsidR="00F43108" w:rsidRDefault="00F43108" w:rsidP="000411A9">
      <w:pPr>
        <w:rPr>
          <w:b/>
        </w:rPr>
      </w:pPr>
    </w:p>
    <w:p w:rsidR="00F43108" w:rsidRPr="00BE6CC2" w:rsidRDefault="00F43108" w:rsidP="000411A9">
      <w:pPr>
        <w:rPr>
          <w:b/>
        </w:rPr>
      </w:pPr>
      <w:r>
        <w:rPr>
          <w:b/>
        </w:rPr>
        <w:t>Study oversight</w:t>
      </w:r>
    </w:p>
    <w:p w:rsidR="00F43108" w:rsidRPr="00BE6CC2" w:rsidRDefault="00F43108" w:rsidP="000411A9">
      <w:r w:rsidRPr="00BE6CC2">
        <w:lastRenderedPageBreak/>
        <w:t xml:space="preserve">The trial was conducted at </w:t>
      </w:r>
      <w:r>
        <w:t>five</w:t>
      </w:r>
      <w:r w:rsidRPr="00BE6CC2">
        <w:t xml:space="preserve"> sites in the UK with randomisation and pegylated interferon distribution for all sites undertaken by the study research nurse.  Schering Plough donated the </w:t>
      </w:r>
      <w:r>
        <w:t xml:space="preserve">peginterferon-α-2b </w:t>
      </w:r>
      <w:r w:rsidRPr="00BE6CC2">
        <w:t xml:space="preserve">at a </w:t>
      </w:r>
      <w:r>
        <w:t xml:space="preserve">concessionary cost </w:t>
      </w:r>
      <w:r w:rsidRPr="00BE6CC2">
        <w:t xml:space="preserve">but had no role in the design of the study, the collection or analysis of the data. The principal investigators and the study sponsor were jointly responsible for the study design, protocol, statistical analysis plan and data analysis.  </w:t>
      </w:r>
    </w:p>
    <w:p w:rsidR="00F43108" w:rsidRDefault="00F43108" w:rsidP="000411A9">
      <w:r w:rsidRPr="00BE6CC2">
        <w:t xml:space="preserve">The trial was managed by a Trial Steering Committee </w:t>
      </w:r>
      <w:r>
        <w:t xml:space="preserve">and </w:t>
      </w:r>
      <w:r w:rsidRPr="00BE6CC2">
        <w:t>had an independent Data Monitoring Committee. The audited data was inputted to the trial database by the sponsor’s staff and analysed by the trial statistician (CB).</w:t>
      </w:r>
    </w:p>
    <w:p w:rsidR="00F43108" w:rsidRDefault="00F43108" w:rsidP="000411A9">
      <w:pPr>
        <w:rPr>
          <w:b/>
        </w:rPr>
      </w:pPr>
    </w:p>
    <w:p w:rsidR="00F43108" w:rsidRPr="00BE6CC2" w:rsidRDefault="00F43108" w:rsidP="000411A9">
      <w:r>
        <w:rPr>
          <w:b/>
        </w:rPr>
        <w:t>Study participants</w:t>
      </w:r>
    </w:p>
    <w:p w:rsidR="00F43108" w:rsidRPr="00BE6CC2" w:rsidRDefault="00F43108" w:rsidP="000411A9">
      <w:r w:rsidRPr="00BE6CC2">
        <w:t xml:space="preserve">We enrolled 72 </w:t>
      </w:r>
      <w:r>
        <w:t xml:space="preserve">BD </w:t>
      </w:r>
      <w:r w:rsidRPr="00BE6CC2">
        <w:t>patients, who were 18 years of age or older, had been diagnosed on the basis of the International Study Group criteria,</w:t>
      </w:r>
      <w:r>
        <w:rPr>
          <w:noProof/>
        </w:rPr>
        <w:t>[13]</w:t>
      </w:r>
      <w:r w:rsidRPr="00BE6CC2">
        <w:t xml:space="preserve"> and required treatment with corticosteroids and/or systemic immunosuppressive agents for systemic and/or ocular disease.  Patients were excluded if they had severe renal or hepatic dysfunction, uncontrolled thyroid function or a severe psychiatric disorder.  Women were required to be taking effective contraceptive measures.  Patients were also required to be on stable levels of immunosuppressive therapy for four weeks before enrolment.  For a full list of inclusion and exclusion criteria see the study protocol (Appendix 1).</w:t>
      </w:r>
    </w:p>
    <w:p w:rsidR="00F43108" w:rsidRDefault="00F43108" w:rsidP="000411A9">
      <w:pPr>
        <w:rPr>
          <w:b/>
        </w:rPr>
      </w:pPr>
    </w:p>
    <w:p w:rsidR="00F43108" w:rsidRDefault="00F43108" w:rsidP="000411A9">
      <w:pPr>
        <w:rPr>
          <w:b/>
        </w:rPr>
      </w:pPr>
      <w:r>
        <w:rPr>
          <w:b/>
        </w:rPr>
        <w:t>Interventions</w:t>
      </w:r>
    </w:p>
    <w:p w:rsidR="00F43108" w:rsidRPr="001F2E22" w:rsidRDefault="00F43108" w:rsidP="000411A9">
      <w:r w:rsidRPr="001F2E22">
        <w:t xml:space="preserve">Patients continued to receive their medications at baseline.  </w:t>
      </w:r>
      <w:r>
        <w:t>As</w:t>
      </w:r>
      <w:r w:rsidRPr="001F2E22">
        <w:t xml:space="preserve"> azathioprine and </w:t>
      </w:r>
      <w:r>
        <w:t xml:space="preserve">peginterferon-α-2b may </w:t>
      </w:r>
      <w:r w:rsidRPr="001F2E22">
        <w:t>induc</w:t>
      </w:r>
      <w:r>
        <w:t>e</w:t>
      </w:r>
      <w:r w:rsidRPr="001F2E22">
        <w:t xml:space="preserve"> leukopenia, </w:t>
      </w:r>
      <w:r>
        <w:t xml:space="preserve">ALL </w:t>
      </w:r>
      <w:r w:rsidRPr="001F2E22">
        <w:t xml:space="preserve">patients taking azathioprine were initially required to stop this drug, although some patients randomised to standard therapy did not do so at their request. Participants who were assigned to the </w:t>
      </w:r>
      <w:r>
        <w:t xml:space="preserve">peginterferon-α-2b </w:t>
      </w:r>
      <w:r w:rsidRPr="001F2E22">
        <w:t xml:space="preserve">group were given packs of </w:t>
      </w:r>
      <w:r>
        <w:t>four</w:t>
      </w:r>
      <w:r w:rsidRPr="001F2E22">
        <w:t xml:space="preserve"> interferon injections monthly.  Study visits for all patients were at 6, 12, 18, 24, 30 and 36 months. </w:t>
      </w:r>
      <w:r>
        <w:t>Additionally, a</w:t>
      </w:r>
      <w:r w:rsidRPr="001F2E22">
        <w:t xml:space="preserve">ll patients were seen as required </w:t>
      </w:r>
      <w:r>
        <w:t>by</w:t>
      </w:r>
      <w:r w:rsidRPr="001F2E22">
        <w:t xml:space="preserve"> clinical need and for all immunosuppressive drug monitoring.  Systemic immunosuppression was adjusted according to the clinical findings and reduced where possible as per protocol</w:t>
      </w:r>
      <w:r>
        <w:t xml:space="preserve"> (Appendix 1)</w:t>
      </w:r>
      <w:r w:rsidRPr="001F2E22">
        <w:t xml:space="preserve">. </w:t>
      </w:r>
      <w:r w:rsidR="00394026">
        <w:t xml:space="preserve">The addition of biologic agents was based on clinical judgement according to either treatment efficacy or drug intolerance. </w:t>
      </w:r>
      <w:r w:rsidRPr="001F2E22">
        <w:t>Serious adverse events and adverse events were documented, reported and managed appropriately. The PI with expertise in interferon (WL) was consulted where necessary.</w:t>
      </w:r>
    </w:p>
    <w:p w:rsidR="00F43108" w:rsidRPr="001F2E22" w:rsidRDefault="00F43108" w:rsidP="000411A9">
      <w:r w:rsidRPr="001F2E22">
        <w:t>At the time of enrolment and at every study visit, validated interviewer</w:t>
      </w:r>
      <w:r w:rsidR="00025C0D">
        <w:t xml:space="preserve"> </w:t>
      </w:r>
      <w:r w:rsidRPr="001F2E22">
        <w:t xml:space="preserve">administered </w:t>
      </w:r>
      <w:r>
        <w:t>BD-</w:t>
      </w:r>
      <w:r w:rsidRPr="001F2E22">
        <w:t>QoL</w:t>
      </w:r>
      <w:hyperlink w:anchor="_ENREF_15" w:tooltip="Gilworth, 2004 #7074" w:history="1">
        <w:r w:rsidRPr="001F2E22">
          <w:rPr>
            <w:noProof/>
            <w:vertAlign w:val="superscript"/>
          </w:rPr>
          <w:t>15</w:t>
        </w:r>
      </w:hyperlink>
      <w:r w:rsidRPr="001F2E22">
        <w:t>and fatigue questionnaires</w:t>
      </w:r>
      <w:r>
        <w:rPr>
          <w:noProof/>
        </w:rPr>
        <w:t>[14]</w:t>
      </w:r>
      <w:r w:rsidRPr="001F2E22">
        <w:t xml:space="preserve">were undertaken. Systemic disease activity was measured clinically by masked observers using the </w:t>
      </w:r>
      <w:r w:rsidR="008E6838">
        <w:t xml:space="preserve">previously validated </w:t>
      </w:r>
      <w:r w:rsidRPr="001F2E22">
        <w:t xml:space="preserve">Leeds </w:t>
      </w:r>
      <w:r>
        <w:t>BD</w:t>
      </w:r>
      <w:r w:rsidRPr="001F2E22">
        <w:t xml:space="preserve"> Activity questionnaire (excluding the ocular disease section).</w:t>
      </w:r>
      <w:r>
        <w:rPr>
          <w:noProof/>
        </w:rPr>
        <w:t>[15, 16]</w:t>
      </w:r>
      <w:r w:rsidRPr="001F2E22">
        <w:t xml:space="preserve">  Ocular disease activity was measured separately by masked observers using the International Uveitis Study Group grading scales.</w:t>
      </w:r>
      <w:r>
        <w:rPr>
          <w:noProof/>
        </w:rPr>
        <w:t>[17]</w:t>
      </w:r>
      <w:r w:rsidRPr="001F2E22">
        <w:t xml:space="preserve">  As part of the trial protocol, a standardised definition of ocular and systemic relapses was used, </w:t>
      </w:r>
      <w:r>
        <w:t>and</w:t>
      </w:r>
      <w:r w:rsidRPr="001F2E22">
        <w:t xml:space="preserve"> were graded as mild, moderate or severe</w:t>
      </w:r>
      <w:r>
        <w:t xml:space="preserve"> (Appendix 1)</w:t>
      </w:r>
      <w:r w:rsidRPr="001F2E22">
        <w:t>.  For statistical analysis, mild and moderate relapses were combined</w:t>
      </w:r>
      <w:r>
        <w:t>,</w:t>
      </w:r>
      <w:r w:rsidRPr="001F2E22">
        <w:t xml:space="preserve"> a decision taken in advance of examining outcome data.  </w:t>
      </w:r>
    </w:p>
    <w:p w:rsidR="00F43108" w:rsidRPr="006A6A4C" w:rsidRDefault="00F43108" w:rsidP="000411A9">
      <w:pPr>
        <w:jc w:val="both"/>
        <w:rPr>
          <w:rFonts w:cs="Arial"/>
          <w:bCs/>
          <w:iCs/>
          <w:lang w:val="cy-GB"/>
        </w:rPr>
      </w:pPr>
      <w:r w:rsidRPr="001F2E22">
        <w:lastRenderedPageBreak/>
        <w:t xml:space="preserve">Patients attending the Moorfields Clinic (PI SL) had blood taken at study visits 0, 3, 6 and 12 months for measurement of </w:t>
      </w:r>
      <w:r>
        <w:t>Treg</w:t>
      </w:r>
      <w:r w:rsidRPr="001F2E22">
        <w:t xml:space="preserve"> subsets to see if these changed by the addition of </w:t>
      </w:r>
      <w:r>
        <w:t xml:space="preserve">peginterferon-α-2b </w:t>
      </w:r>
      <w:r w:rsidRPr="001F2E22">
        <w:t xml:space="preserve">and whether these correlated with the clinical outcome at 1 year. </w:t>
      </w:r>
      <w:r w:rsidRPr="006A6A4C">
        <w:rPr>
          <w:rFonts w:cs="Arial"/>
          <w:bCs/>
          <w:iCs/>
          <w:lang w:val="cy-GB"/>
        </w:rPr>
        <w:t xml:space="preserve">Full details of </w:t>
      </w:r>
      <w:r>
        <w:rPr>
          <w:rFonts w:cs="Arial"/>
          <w:bCs/>
          <w:iCs/>
          <w:lang w:val="cy-GB"/>
        </w:rPr>
        <w:t xml:space="preserve">laboratory analysis including </w:t>
      </w:r>
      <w:r w:rsidRPr="006A6A4C">
        <w:rPr>
          <w:rFonts w:cs="Arial"/>
          <w:bCs/>
          <w:iCs/>
          <w:lang w:val="cy-GB"/>
        </w:rPr>
        <w:t xml:space="preserve">cell phenotyping and flow cytometry can be found in </w:t>
      </w:r>
      <w:r>
        <w:rPr>
          <w:rFonts w:cs="Arial"/>
          <w:bCs/>
          <w:iCs/>
          <w:lang w:val="cy-GB"/>
        </w:rPr>
        <w:t>Appendix 2.</w:t>
      </w:r>
    </w:p>
    <w:p w:rsidR="00F43108" w:rsidRDefault="00F43108" w:rsidP="000411A9">
      <w:pPr>
        <w:contextualSpacing/>
        <w:jc w:val="both"/>
        <w:rPr>
          <w:rFonts w:cs="Arial"/>
        </w:rPr>
      </w:pPr>
    </w:p>
    <w:p w:rsidR="00F43108" w:rsidRPr="00D654D0" w:rsidRDefault="00F43108">
      <w:pPr>
        <w:rPr>
          <w:b/>
        </w:rPr>
      </w:pPr>
      <w:r>
        <w:rPr>
          <w:b/>
        </w:rPr>
        <w:t>Outcomes</w:t>
      </w:r>
    </w:p>
    <w:p w:rsidR="00F43108" w:rsidRDefault="00F43108" w:rsidP="000411A9">
      <w:r w:rsidRPr="00D654D0">
        <w:t xml:space="preserve">The primary </w:t>
      </w:r>
      <w:r>
        <w:t xml:space="preserve">outcome measure was whether a corticosteroid dose equivalent to no more than 10mg of prednisolone per day was required throughout months ten to twelve following treatment initiation. Secondary endpoints included the number of disease relapses, mean doses of corticosteroids and immunosuppressive agents required for disease control, and questionnaire scores up to 3 years.  Additionally the average daily amount of corticosteroid throughout months 25 to 36 following treatment initiation was calculated.  </w:t>
      </w:r>
    </w:p>
    <w:p w:rsidR="00F43108" w:rsidRDefault="00F43108">
      <w:pPr>
        <w:rPr>
          <w:b/>
        </w:rPr>
      </w:pPr>
    </w:p>
    <w:p w:rsidR="00F43108" w:rsidRPr="00D654D0" w:rsidRDefault="00F43108">
      <w:pPr>
        <w:rPr>
          <w:b/>
        </w:rPr>
      </w:pPr>
      <w:r>
        <w:rPr>
          <w:b/>
        </w:rPr>
        <w:t>Power calculation and statistical analysis</w:t>
      </w:r>
    </w:p>
    <w:p w:rsidR="00F43108" w:rsidRPr="00BF5750" w:rsidRDefault="00F43108" w:rsidP="00662101">
      <w:pPr>
        <w:rPr>
          <w:rFonts w:cs="Calibri"/>
          <w:color w:val="000000"/>
          <w:lang w:val="en-US"/>
        </w:rPr>
      </w:pPr>
      <w:bookmarkStart w:id="1" w:name="_msoanchor_1"/>
      <w:bookmarkEnd w:id="1"/>
      <w:r w:rsidRPr="00B91FF8">
        <w:rPr>
          <w:rFonts w:cs="Calibri"/>
          <w:color w:val="000000"/>
        </w:rPr>
        <w:t xml:space="preserve">Recent literature </w:t>
      </w:r>
      <w:r>
        <w:rPr>
          <w:rFonts w:cs="Calibri"/>
          <w:color w:val="000000"/>
        </w:rPr>
        <w:t xml:space="preserve">in BD patients </w:t>
      </w:r>
      <w:r w:rsidRPr="00B91FF8">
        <w:rPr>
          <w:rFonts w:cs="Calibri"/>
          <w:color w:val="000000"/>
        </w:rPr>
        <w:t xml:space="preserve">receiving interferon in </w:t>
      </w:r>
      <w:r w:rsidR="00662101">
        <w:rPr>
          <w:rFonts w:cs="Calibri"/>
          <w:color w:val="000000"/>
        </w:rPr>
        <w:t>published</w:t>
      </w:r>
      <w:r w:rsidR="00662101" w:rsidRPr="00B91FF8">
        <w:rPr>
          <w:rFonts w:cs="Calibri"/>
          <w:color w:val="000000"/>
        </w:rPr>
        <w:t xml:space="preserve"> </w:t>
      </w:r>
      <w:r w:rsidRPr="00B91FF8">
        <w:rPr>
          <w:rFonts w:cs="Calibri"/>
          <w:color w:val="000000"/>
        </w:rPr>
        <w:t xml:space="preserve">studies suggested </w:t>
      </w:r>
      <w:r>
        <w:rPr>
          <w:rFonts w:cs="Calibri"/>
          <w:color w:val="000000"/>
        </w:rPr>
        <w:t xml:space="preserve">a major reduction of corticosteroid dose of up </w:t>
      </w:r>
      <w:r w:rsidRPr="00B91FF8">
        <w:rPr>
          <w:rFonts w:cs="Calibri"/>
          <w:color w:val="000000"/>
        </w:rPr>
        <w:t xml:space="preserve">to 80%.  We calculated the sample size using a less optimistic </w:t>
      </w:r>
      <w:r>
        <w:rPr>
          <w:rFonts w:cs="Calibri"/>
          <w:color w:val="000000"/>
        </w:rPr>
        <w:t>steroid reduction</w:t>
      </w:r>
      <w:r w:rsidRPr="00B91FF8">
        <w:rPr>
          <w:rFonts w:cs="Calibri"/>
          <w:color w:val="000000"/>
        </w:rPr>
        <w:t xml:space="preserve"> but one that was still clinically significant.  Assuming a 10% loss to follow-up, 70 randomised subjects, yielding 31 followed-up patients in each arm, would have 87%</w:t>
      </w:r>
      <w:r w:rsidR="003E72C7">
        <w:rPr>
          <w:rFonts w:cs="Calibri"/>
          <w:color w:val="000000"/>
        </w:rPr>
        <w:t xml:space="preserve"> </w:t>
      </w:r>
      <w:r w:rsidRPr="00B91FF8">
        <w:rPr>
          <w:rFonts w:cs="Calibri"/>
          <w:color w:val="000000"/>
        </w:rPr>
        <w:t xml:space="preserve">power to detect a difference </w:t>
      </w:r>
      <w:r>
        <w:rPr>
          <w:rFonts w:cs="Calibri"/>
          <w:color w:val="000000"/>
        </w:rPr>
        <w:t xml:space="preserve">at 1 year </w:t>
      </w:r>
      <w:r w:rsidRPr="00B91FF8">
        <w:rPr>
          <w:rFonts w:cs="Calibri"/>
          <w:color w:val="000000"/>
        </w:rPr>
        <w:t xml:space="preserve">between 5% </w:t>
      </w:r>
      <w:r w:rsidR="00E02F71">
        <w:rPr>
          <w:rFonts w:cs="Calibri"/>
          <w:color w:val="000000"/>
        </w:rPr>
        <w:t xml:space="preserve">of patients </w:t>
      </w:r>
      <w:r w:rsidR="00E02F71">
        <w:rPr>
          <w:color w:val="1F497D"/>
        </w:rPr>
        <w:t>on a steroid dose of 10 mg</w:t>
      </w:r>
      <w:r w:rsidR="00025C0D">
        <w:rPr>
          <w:color w:val="1F497D"/>
        </w:rPr>
        <w:t xml:space="preserve"> </w:t>
      </w:r>
      <w:r w:rsidR="00E02F71">
        <w:rPr>
          <w:color w:val="1F497D"/>
        </w:rPr>
        <w:t>or less on every day</w:t>
      </w:r>
      <w:r w:rsidR="00025C0D">
        <w:rPr>
          <w:color w:val="1F497D"/>
        </w:rPr>
        <w:t xml:space="preserve"> </w:t>
      </w:r>
      <w:r>
        <w:rPr>
          <w:rFonts w:cs="Calibri"/>
          <w:color w:val="000000"/>
        </w:rPr>
        <w:t xml:space="preserve">in the non-interferon </w:t>
      </w:r>
      <w:r w:rsidRPr="00B91FF8">
        <w:rPr>
          <w:rFonts w:cs="Calibri"/>
          <w:color w:val="000000"/>
        </w:rPr>
        <w:t xml:space="preserve">arm and </w:t>
      </w:r>
      <w:r>
        <w:rPr>
          <w:rFonts w:cs="Calibri"/>
          <w:color w:val="000000"/>
        </w:rPr>
        <w:t xml:space="preserve">a </w:t>
      </w:r>
      <w:r w:rsidR="00E02F71">
        <w:rPr>
          <w:rFonts w:cs="Calibri"/>
          <w:color w:val="000000"/>
        </w:rPr>
        <w:t>6</w:t>
      </w:r>
      <w:r w:rsidR="00E02F71" w:rsidRPr="00B91FF8">
        <w:rPr>
          <w:rFonts w:cs="Calibri"/>
          <w:color w:val="000000"/>
        </w:rPr>
        <w:t>0</w:t>
      </w:r>
      <w:r w:rsidRPr="00B91FF8">
        <w:rPr>
          <w:rFonts w:cs="Calibri"/>
          <w:color w:val="000000"/>
        </w:rPr>
        <w:t xml:space="preserve">% </w:t>
      </w:r>
      <w:r>
        <w:rPr>
          <w:rFonts w:cs="Calibri"/>
          <w:color w:val="000000"/>
        </w:rPr>
        <w:t xml:space="preserve">in the </w:t>
      </w:r>
      <w:r w:rsidRPr="003244CF">
        <w:t>peginterferon alfa-2b</w:t>
      </w:r>
      <w:bookmarkStart w:id="2" w:name="_msoanchor_2"/>
      <w:bookmarkEnd w:id="2"/>
      <w:r w:rsidR="00652883">
        <w:t xml:space="preserve"> </w:t>
      </w:r>
      <w:r>
        <w:rPr>
          <w:rFonts w:cs="Calibri"/>
          <w:color w:val="000000"/>
        </w:rPr>
        <w:t>group</w:t>
      </w:r>
      <w:r w:rsidRPr="00B91FF8">
        <w:rPr>
          <w:rFonts w:cs="Calibri"/>
          <w:color w:val="000000"/>
        </w:rPr>
        <w:t xml:space="preserve"> with an alpha of 0.05 (using Fisher's exact test.)</w:t>
      </w:r>
      <w:r w:rsidRPr="00BF5750">
        <w:rPr>
          <w:rFonts w:cs="Calibri"/>
          <w:color w:val="000000"/>
          <w:lang w:val="en-US"/>
        </w:rPr>
        <w:t> </w:t>
      </w:r>
    </w:p>
    <w:p w:rsidR="00F43108" w:rsidRPr="00BF5750" w:rsidRDefault="002A4593" w:rsidP="00CA66C0">
      <w:pPr>
        <w:rPr>
          <w:rFonts w:cs="Calibri"/>
          <w:color w:val="000000"/>
          <w:lang w:val="en-US"/>
        </w:rPr>
      </w:pPr>
      <w:r>
        <w:t xml:space="preserve">Fisher's exact test was used to compare the outcome measures between treatment groups at one and 3 years.  </w:t>
      </w:r>
      <w:r w:rsidR="00F43108">
        <w:t xml:space="preserve">Since randomisation was stratified by centre, duration and ocular involvement, an adjusted analysis was conducted using logistic regression.  Analysis included data from all patients who underwent randomisation and was performed on an intention-to-treat basis.  </w:t>
      </w:r>
      <w:r>
        <w:t xml:space="preserve">A sensitivity analysis was conducted using best case and worse case scenarios for missing data to ensure that the findings were robust to loss to follow up.  </w:t>
      </w:r>
      <w:r w:rsidR="00F43108">
        <w:t xml:space="preserve">All analyses were conducted using Stata statistical software (StataCorp, TX, USA) and all statistical tests used a </w:t>
      </w:r>
      <w:r w:rsidR="00CA66C0" w:rsidRPr="00803D11">
        <w:rPr>
          <w:rFonts w:ascii="Arial" w:eastAsia="Times New Roman" w:hAnsi="Arial" w:cs="Arial"/>
          <w:color w:val="222222"/>
          <w:sz w:val="20"/>
          <w:szCs w:val="20"/>
        </w:rPr>
        <w:t>significance level</w:t>
      </w:r>
      <w:r w:rsidR="00025C0D">
        <w:rPr>
          <w:rFonts w:ascii="Arial" w:eastAsia="Times New Roman" w:hAnsi="Arial" w:cs="Arial"/>
          <w:color w:val="222222"/>
          <w:sz w:val="20"/>
          <w:szCs w:val="20"/>
        </w:rPr>
        <w:t xml:space="preserve"> </w:t>
      </w:r>
      <w:r w:rsidR="00F43108">
        <w:t xml:space="preserve">of 0.05.   Post hoc analysis of results of those patients grouped according to use of corticosteroids at baseline was also carried out. </w:t>
      </w:r>
      <w:r w:rsidR="00652883" w:rsidRPr="00652883">
        <w:t>Normally distributed data is presented as mean (standard deviation) and non-normally distributed data are presented as median {IQR}.</w:t>
      </w:r>
    </w:p>
    <w:p w:rsidR="00F43108" w:rsidRDefault="00F43108" w:rsidP="000411A9">
      <w:pPr>
        <w:rPr>
          <w:b/>
          <w:sz w:val="36"/>
          <w:szCs w:val="36"/>
        </w:rPr>
      </w:pPr>
    </w:p>
    <w:p w:rsidR="00F43108" w:rsidRPr="00452F39" w:rsidRDefault="00F43108" w:rsidP="000411A9">
      <w:pPr>
        <w:rPr>
          <w:b/>
          <w:caps/>
        </w:rPr>
      </w:pPr>
      <w:r w:rsidRPr="00452F39">
        <w:rPr>
          <w:b/>
          <w:caps/>
        </w:rPr>
        <w:t>Results</w:t>
      </w:r>
    </w:p>
    <w:p w:rsidR="00F43108" w:rsidRPr="001F60A3" w:rsidRDefault="00F43108">
      <w:pPr>
        <w:rPr>
          <w:b/>
        </w:rPr>
      </w:pPr>
      <w:r>
        <w:rPr>
          <w:b/>
        </w:rPr>
        <w:t>Participants</w:t>
      </w:r>
    </w:p>
    <w:p w:rsidR="00F43108" w:rsidRDefault="00F43108" w:rsidP="000411A9">
      <w:r>
        <w:t xml:space="preserve">Between June 2006 </w:t>
      </w:r>
      <w:r w:rsidRPr="00F23E46">
        <w:t xml:space="preserve">and </w:t>
      </w:r>
      <w:r>
        <w:t xml:space="preserve">April 2009, a total of 72 patients underwent randomisation and there were no significant differences at baseline between the 2 groups (Table 1).  After stratification on the basis of centre, duration of disease and presence or absence of ocular involvement, 36 of 72 patients </w:t>
      </w:r>
      <w:r>
        <w:lastRenderedPageBreak/>
        <w:t>(50%) were randomised to continue to receive systemic corticosteroids and/or 2</w:t>
      </w:r>
      <w:r w:rsidRPr="00945D61">
        <w:rPr>
          <w:vertAlign w:val="superscript"/>
        </w:rPr>
        <w:t>nd</w:t>
      </w:r>
      <w:r>
        <w:t>-line immunosuppressive agents and 36 (50%) to receive an addition of 26 weeks of subcutaneous peginterferon-α-2b to their drug regime.  27/36 patients (75%) completed the full 26 week course of peginterferon-α-2b.  One additional patient missed one injection only due to transiently-raised liver function tests; no patients were withdrawn from therapy with peginterferon-α-2b owing to adverse events. 11 patients self-withdrew and were equally divided between the two groups (Figure 1). 25 patients in each arm were on corticosteroids at baseline, 5 and 7 patients respectively were taking doses of less than 10 mg, 20 patients in the interferon arm were taking 10mg or more compared with 18 in the standard treatment arm. 23 patients in the peginterferon group and 28 in standard treatment arm were on 2</w:t>
      </w:r>
      <w:r w:rsidRPr="00945D61">
        <w:rPr>
          <w:vertAlign w:val="superscript"/>
        </w:rPr>
        <w:t>nd</w:t>
      </w:r>
      <w:r>
        <w:t>-line agents and no patients were on biologics at baseline (Table 1).</w:t>
      </w:r>
    </w:p>
    <w:p w:rsidR="00F43108" w:rsidRDefault="00F43108" w:rsidP="000411A9"/>
    <w:p w:rsidR="00F43108" w:rsidRDefault="00F43108" w:rsidP="000411A9">
      <w:pPr>
        <w:rPr>
          <w:b/>
        </w:rPr>
      </w:pPr>
      <w:r>
        <w:rPr>
          <w:b/>
        </w:rPr>
        <w:t xml:space="preserve">Table 1- </w:t>
      </w:r>
      <w:r w:rsidRPr="001B3132">
        <w:t>Baseline Demographic and Disease Characteristics of the Study Patients, in each treatment group (figures are mean ± SD, unless otherwise stated)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5"/>
        <w:gridCol w:w="1831"/>
        <w:gridCol w:w="1822"/>
      </w:tblGrid>
      <w:tr w:rsidR="00F43108" w:rsidRPr="00EE5A55" w:rsidTr="000411A9">
        <w:tc>
          <w:tcPr>
            <w:tcW w:w="3255" w:type="dxa"/>
          </w:tcPr>
          <w:p w:rsidR="00F43108" w:rsidRPr="00EE5A55" w:rsidRDefault="00F43108" w:rsidP="000411A9">
            <w:pPr>
              <w:spacing w:after="0" w:line="240" w:lineRule="auto"/>
              <w:rPr>
                <w:b/>
              </w:rPr>
            </w:pPr>
            <w:r w:rsidRPr="00EE5A55">
              <w:rPr>
                <w:b/>
              </w:rPr>
              <w:t>Characteristic</w:t>
            </w:r>
          </w:p>
        </w:tc>
        <w:tc>
          <w:tcPr>
            <w:tcW w:w="1831" w:type="dxa"/>
          </w:tcPr>
          <w:p w:rsidR="00F43108" w:rsidRPr="006103F6" w:rsidRDefault="00F43108" w:rsidP="000411A9">
            <w:pPr>
              <w:spacing w:after="0" w:line="240" w:lineRule="auto"/>
              <w:jc w:val="center"/>
              <w:rPr>
                <w:b/>
              </w:rPr>
            </w:pPr>
            <w:r w:rsidRPr="006103F6">
              <w:rPr>
                <w:b/>
                <w:sz w:val="20"/>
                <w:szCs w:val="20"/>
              </w:rPr>
              <w:t>Peginterferon</w:t>
            </w:r>
            <w:r>
              <w:rPr>
                <w:b/>
                <w:sz w:val="20"/>
                <w:szCs w:val="20"/>
              </w:rPr>
              <w:t>α-2b</w:t>
            </w:r>
          </w:p>
          <w:p w:rsidR="00F43108" w:rsidRPr="00EE5A55" w:rsidRDefault="00F43108" w:rsidP="000411A9">
            <w:pPr>
              <w:spacing w:after="0" w:line="240" w:lineRule="auto"/>
              <w:jc w:val="center"/>
              <w:rPr>
                <w:b/>
              </w:rPr>
            </w:pPr>
            <w:r>
              <w:rPr>
                <w:b/>
              </w:rPr>
              <w:t>n = 36</w:t>
            </w:r>
          </w:p>
        </w:tc>
        <w:tc>
          <w:tcPr>
            <w:tcW w:w="1822" w:type="dxa"/>
          </w:tcPr>
          <w:p w:rsidR="00F43108" w:rsidRDefault="00F43108" w:rsidP="000411A9">
            <w:pPr>
              <w:spacing w:after="0" w:line="240" w:lineRule="auto"/>
              <w:jc w:val="center"/>
              <w:rPr>
                <w:b/>
              </w:rPr>
            </w:pPr>
            <w:r w:rsidRPr="00EE5A55">
              <w:rPr>
                <w:b/>
              </w:rPr>
              <w:t>Non-interferon</w:t>
            </w:r>
          </w:p>
          <w:p w:rsidR="00F43108" w:rsidRPr="00EE5A55" w:rsidRDefault="00F43108" w:rsidP="000411A9">
            <w:pPr>
              <w:spacing w:after="0" w:line="240" w:lineRule="auto"/>
              <w:jc w:val="center"/>
              <w:rPr>
                <w:b/>
              </w:rPr>
            </w:pPr>
            <w:r>
              <w:rPr>
                <w:b/>
              </w:rPr>
              <w:t>n = 36</w:t>
            </w:r>
          </w:p>
        </w:tc>
      </w:tr>
      <w:tr w:rsidR="00F43108" w:rsidRPr="00EE5A55" w:rsidTr="000411A9">
        <w:tc>
          <w:tcPr>
            <w:tcW w:w="3255" w:type="dxa"/>
          </w:tcPr>
          <w:p w:rsidR="00F43108" w:rsidRPr="00EE5A55" w:rsidRDefault="00F43108" w:rsidP="000411A9">
            <w:pPr>
              <w:spacing w:after="0" w:line="240" w:lineRule="auto"/>
            </w:pPr>
            <w:r>
              <w:t>Age in years</w:t>
            </w:r>
          </w:p>
        </w:tc>
        <w:tc>
          <w:tcPr>
            <w:tcW w:w="1831" w:type="dxa"/>
          </w:tcPr>
          <w:p w:rsidR="00F43108" w:rsidRPr="00EE5A55" w:rsidRDefault="00F43108" w:rsidP="000411A9">
            <w:pPr>
              <w:spacing w:after="0" w:line="240" w:lineRule="auto"/>
              <w:jc w:val="center"/>
            </w:pPr>
            <w:r w:rsidRPr="00EE5A55">
              <w:t>40.4 ± 9.6</w:t>
            </w:r>
          </w:p>
        </w:tc>
        <w:tc>
          <w:tcPr>
            <w:tcW w:w="1822" w:type="dxa"/>
          </w:tcPr>
          <w:p w:rsidR="00F43108" w:rsidRPr="00EE5A55" w:rsidRDefault="00F43108" w:rsidP="000411A9">
            <w:pPr>
              <w:spacing w:after="0" w:line="240" w:lineRule="auto"/>
              <w:jc w:val="center"/>
            </w:pPr>
            <w:r w:rsidRPr="00EE5A55">
              <w:t>41.9 ±9.4</w:t>
            </w:r>
          </w:p>
        </w:tc>
      </w:tr>
      <w:tr w:rsidR="00F43108" w:rsidRPr="00EE5A55" w:rsidTr="000411A9">
        <w:tc>
          <w:tcPr>
            <w:tcW w:w="3255" w:type="dxa"/>
          </w:tcPr>
          <w:p w:rsidR="00F43108" w:rsidRPr="00EE5A55" w:rsidRDefault="00F43108" w:rsidP="000411A9">
            <w:pPr>
              <w:spacing w:after="0" w:line="240" w:lineRule="auto"/>
            </w:pPr>
            <w:r w:rsidRPr="00EE5A55">
              <w:t>Male sex – no. (%)</w:t>
            </w:r>
          </w:p>
        </w:tc>
        <w:tc>
          <w:tcPr>
            <w:tcW w:w="1831" w:type="dxa"/>
          </w:tcPr>
          <w:p w:rsidR="00F43108" w:rsidRPr="00EE5A55" w:rsidRDefault="00F43108" w:rsidP="000411A9">
            <w:pPr>
              <w:spacing w:after="0" w:line="240" w:lineRule="auto"/>
              <w:jc w:val="center"/>
            </w:pPr>
            <w:r w:rsidRPr="00EE5A55">
              <w:t>14/36 (39%)</w:t>
            </w:r>
          </w:p>
        </w:tc>
        <w:tc>
          <w:tcPr>
            <w:tcW w:w="1822" w:type="dxa"/>
          </w:tcPr>
          <w:p w:rsidR="00F43108" w:rsidRPr="00EE5A55" w:rsidRDefault="00F43108" w:rsidP="000411A9">
            <w:pPr>
              <w:spacing w:after="0" w:line="240" w:lineRule="auto"/>
              <w:jc w:val="center"/>
            </w:pPr>
            <w:r w:rsidRPr="00EE5A55">
              <w:t>16/36 (44%)</w:t>
            </w:r>
          </w:p>
        </w:tc>
      </w:tr>
      <w:tr w:rsidR="00F43108" w:rsidRPr="00EE5A55" w:rsidTr="000411A9">
        <w:tc>
          <w:tcPr>
            <w:tcW w:w="3255" w:type="dxa"/>
          </w:tcPr>
          <w:p w:rsidR="00F43108" w:rsidRPr="00EE5A55" w:rsidRDefault="00F43108" w:rsidP="000411A9">
            <w:pPr>
              <w:spacing w:after="0" w:line="240" w:lineRule="auto"/>
            </w:pPr>
            <w:r w:rsidRPr="00EE5A55">
              <w:t>Race or ethnic group – no. (%)</w:t>
            </w:r>
          </w:p>
          <w:p w:rsidR="00F43108" w:rsidRPr="00EE5A55" w:rsidRDefault="00F43108" w:rsidP="000411A9">
            <w:pPr>
              <w:pStyle w:val="ListParagraph"/>
              <w:numPr>
                <w:ilvl w:val="0"/>
                <w:numId w:val="1"/>
              </w:numPr>
              <w:spacing w:after="0" w:line="240" w:lineRule="auto"/>
            </w:pPr>
            <w:r w:rsidRPr="00EE5A55">
              <w:t>White</w:t>
            </w:r>
          </w:p>
          <w:p w:rsidR="00F43108" w:rsidRPr="00EE5A55" w:rsidRDefault="00F43108" w:rsidP="000411A9">
            <w:pPr>
              <w:pStyle w:val="ListParagraph"/>
              <w:numPr>
                <w:ilvl w:val="0"/>
                <w:numId w:val="1"/>
              </w:numPr>
              <w:spacing w:after="0" w:line="240" w:lineRule="auto"/>
            </w:pPr>
            <w:r>
              <w:t>Asian</w:t>
            </w:r>
          </w:p>
          <w:p w:rsidR="00F43108" w:rsidRPr="00EE5A55" w:rsidRDefault="00F43108" w:rsidP="000411A9">
            <w:pPr>
              <w:pStyle w:val="ListParagraph"/>
              <w:numPr>
                <w:ilvl w:val="0"/>
                <w:numId w:val="1"/>
              </w:numPr>
              <w:spacing w:after="0" w:line="240" w:lineRule="auto"/>
            </w:pPr>
            <w:r w:rsidRPr="00EE5A55">
              <w:t>Other</w:t>
            </w:r>
            <w:r>
              <w:t>/ Unknown</w:t>
            </w:r>
          </w:p>
        </w:tc>
        <w:tc>
          <w:tcPr>
            <w:tcW w:w="1831" w:type="dxa"/>
          </w:tcPr>
          <w:p w:rsidR="00F43108" w:rsidRPr="00EE5A55" w:rsidRDefault="00F43108" w:rsidP="000411A9">
            <w:pPr>
              <w:spacing w:after="0" w:line="240" w:lineRule="auto"/>
              <w:jc w:val="center"/>
            </w:pPr>
          </w:p>
          <w:p w:rsidR="00F43108" w:rsidRPr="00EE5A55" w:rsidRDefault="00F43108" w:rsidP="000411A9">
            <w:pPr>
              <w:spacing w:after="0" w:line="240" w:lineRule="auto"/>
              <w:jc w:val="center"/>
            </w:pPr>
            <w:r>
              <w:t>27 (75</w:t>
            </w:r>
            <w:r w:rsidRPr="00EE5A55">
              <w:t>%)</w:t>
            </w:r>
          </w:p>
          <w:p w:rsidR="00F43108" w:rsidRPr="00EE5A55" w:rsidRDefault="00F43108" w:rsidP="000411A9">
            <w:pPr>
              <w:spacing w:after="0" w:line="240" w:lineRule="auto"/>
              <w:jc w:val="center"/>
            </w:pPr>
            <w:r>
              <w:t xml:space="preserve">  4(11 % )</w:t>
            </w:r>
          </w:p>
          <w:p w:rsidR="00F43108" w:rsidRPr="00EE5A55" w:rsidRDefault="00F43108" w:rsidP="000411A9">
            <w:pPr>
              <w:spacing w:after="0" w:line="240" w:lineRule="auto"/>
              <w:jc w:val="center"/>
            </w:pPr>
            <w:r>
              <w:t>5</w:t>
            </w:r>
            <w:r w:rsidRPr="00EE5A55">
              <w:t xml:space="preserve"> (</w:t>
            </w:r>
            <w:r>
              <w:t>14</w:t>
            </w:r>
            <w:r w:rsidRPr="00EE5A55">
              <w:t>%)</w:t>
            </w:r>
          </w:p>
        </w:tc>
        <w:tc>
          <w:tcPr>
            <w:tcW w:w="1822" w:type="dxa"/>
          </w:tcPr>
          <w:p w:rsidR="00F43108" w:rsidRPr="00EE5A55" w:rsidRDefault="00F43108" w:rsidP="000411A9">
            <w:pPr>
              <w:spacing w:after="0" w:line="240" w:lineRule="auto"/>
              <w:jc w:val="center"/>
            </w:pPr>
          </w:p>
          <w:p w:rsidR="00F43108" w:rsidRPr="00EE5A55" w:rsidRDefault="00F43108" w:rsidP="000411A9">
            <w:pPr>
              <w:spacing w:after="0" w:line="240" w:lineRule="auto"/>
              <w:jc w:val="center"/>
            </w:pPr>
            <w:r w:rsidRPr="00EE5A55">
              <w:t>27 (75%)</w:t>
            </w:r>
          </w:p>
          <w:p w:rsidR="00F43108" w:rsidRPr="00EE5A55" w:rsidRDefault="00F43108" w:rsidP="000411A9">
            <w:pPr>
              <w:spacing w:after="0" w:line="240" w:lineRule="auto"/>
              <w:jc w:val="center"/>
            </w:pPr>
            <w:r>
              <w:t>1</w:t>
            </w:r>
            <w:r w:rsidRPr="00EE5A55">
              <w:t xml:space="preserve"> (</w:t>
            </w:r>
            <w:r>
              <w:t>3</w:t>
            </w:r>
            <w:r w:rsidRPr="00EE5A55">
              <w:t>%)</w:t>
            </w:r>
          </w:p>
          <w:p w:rsidR="00F43108" w:rsidRPr="00EE5A55" w:rsidRDefault="00F43108" w:rsidP="00B66093">
            <w:pPr>
              <w:spacing w:after="0" w:line="240" w:lineRule="auto"/>
              <w:jc w:val="center"/>
            </w:pPr>
            <w:r>
              <w:t xml:space="preserve">8 </w:t>
            </w:r>
            <w:r w:rsidRPr="00EE5A55">
              <w:t>(2</w:t>
            </w:r>
            <w:r>
              <w:t>2</w:t>
            </w:r>
            <w:r w:rsidRPr="00EE5A55">
              <w:t>%)</w:t>
            </w:r>
          </w:p>
        </w:tc>
      </w:tr>
      <w:tr w:rsidR="00F43108" w:rsidRPr="00EE5A55" w:rsidTr="000411A9">
        <w:tc>
          <w:tcPr>
            <w:tcW w:w="3255" w:type="dxa"/>
          </w:tcPr>
          <w:p w:rsidR="00F43108" w:rsidRPr="00EE5A55" w:rsidRDefault="00F43108" w:rsidP="004F026D">
            <w:pPr>
              <w:spacing w:after="0" w:line="240" w:lineRule="auto"/>
            </w:pPr>
            <w:r w:rsidRPr="00EE5A55">
              <w:t xml:space="preserve">Weight – kg  median </w:t>
            </w:r>
            <w:r w:rsidR="004F026D">
              <w:t>{</w:t>
            </w:r>
            <w:r w:rsidRPr="00EE5A55">
              <w:t>IQR</w:t>
            </w:r>
            <w:r w:rsidR="004F026D">
              <w:t>}</w:t>
            </w:r>
          </w:p>
        </w:tc>
        <w:tc>
          <w:tcPr>
            <w:tcW w:w="1831" w:type="dxa"/>
          </w:tcPr>
          <w:p w:rsidR="00F43108" w:rsidRPr="00EE5A55" w:rsidRDefault="00F43108" w:rsidP="004F026D">
            <w:pPr>
              <w:spacing w:after="0" w:line="240" w:lineRule="auto"/>
              <w:jc w:val="center"/>
            </w:pPr>
            <w:r w:rsidRPr="00EE5A55">
              <w:t xml:space="preserve">80 </w:t>
            </w:r>
            <w:r w:rsidR="004F026D">
              <w:t>{</w:t>
            </w:r>
            <w:r w:rsidRPr="00EE5A55">
              <w:t>65,92</w:t>
            </w:r>
            <w:r w:rsidR="004F026D">
              <w:t>}</w:t>
            </w:r>
          </w:p>
        </w:tc>
        <w:tc>
          <w:tcPr>
            <w:tcW w:w="1822" w:type="dxa"/>
          </w:tcPr>
          <w:p w:rsidR="00F43108" w:rsidRPr="00EE5A55" w:rsidRDefault="00F43108" w:rsidP="004F026D">
            <w:pPr>
              <w:spacing w:after="0" w:line="240" w:lineRule="auto"/>
              <w:jc w:val="center"/>
            </w:pPr>
            <w:r w:rsidRPr="00EE5A55">
              <w:t xml:space="preserve">69.9 </w:t>
            </w:r>
            <w:r w:rsidR="004F026D">
              <w:t>{</w:t>
            </w:r>
            <w:r w:rsidRPr="00EE5A55">
              <w:t>64, 82</w:t>
            </w:r>
            <w:r w:rsidR="004F026D">
              <w:t>}</w:t>
            </w:r>
          </w:p>
        </w:tc>
      </w:tr>
      <w:tr w:rsidR="00F43108" w:rsidRPr="00EE5A55" w:rsidTr="000411A9">
        <w:tc>
          <w:tcPr>
            <w:tcW w:w="3255" w:type="dxa"/>
          </w:tcPr>
          <w:p w:rsidR="00F43108" w:rsidRPr="00EE5A55" w:rsidRDefault="00F43108" w:rsidP="000411A9">
            <w:pPr>
              <w:spacing w:after="0" w:line="240" w:lineRule="auto"/>
            </w:pPr>
            <w:r w:rsidRPr="00EE5A55">
              <w:t>Diabetes mellitus – no. (%)</w:t>
            </w:r>
          </w:p>
        </w:tc>
        <w:tc>
          <w:tcPr>
            <w:tcW w:w="1831" w:type="dxa"/>
          </w:tcPr>
          <w:p w:rsidR="00F43108" w:rsidRPr="00EE5A55" w:rsidRDefault="00F43108" w:rsidP="000411A9">
            <w:pPr>
              <w:spacing w:after="0" w:line="240" w:lineRule="auto"/>
              <w:jc w:val="center"/>
            </w:pPr>
            <w:r w:rsidRPr="00EE5A55">
              <w:t>2/34 (5.9%)</w:t>
            </w:r>
          </w:p>
        </w:tc>
        <w:tc>
          <w:tcPr>
            <w:tcW w:w="1822" w:type="dxa"/>
          </w:tcPr>
          <w:p w:rsidR="00F43108" w:rsidRPr="00EE5A55" w:rsidRDefault="00F43108" w:rsidP="000411A9">
            <w:pPr>
              <w:spacing w:after="0" w:line="240" w:lineRule="auto"/>
              <w:jc w:val="center"/>
            </w:pPr>
            <w:r w:rsidRPr="00EE5A55">
              <w:t>2/34 (5.9%)</w:t>
            </w:r>
          </w:p>
        </w:tc>
      </w:tr>
      <w:tr w:rsidR="00F43108" w:rsidRPr="00EE5A55" w:rsidTr="000411A9">
        <w:tc>
          <w:tcPr>
            <w:tcW w:w="3255" w:type="dxa"/>
          </w:tcPr>
          <w:p w:rsidR="00F43108" w:rsidRPr="00EE5A55" w:rsidRDefault="00F43108" w:rsidP="000411A9">
            <w:pPr>
              <w:spacing w:after="0" w:line="240" w:lineRule="auto"/>
            </w:pPr>
            <w:r w:rsidRPr="00EE5A55">
              <w:t>Systolic BP – mm Hg</w:t>
            </w:r>
          </w:p>
        </w:tc>
        <w:tc>
          <w:tcPr>
            <w:tcW w:w="1831" w:type="dxa"/>
          </w:tcPr>
          <w:p w:rsidR="00F43108" w:rsidRPr="00EE5A55" w:rsidRDefault="00F43108" w:rsidP="000411A9">
            <w:pPr>
              <w:spacing w:after="0" w:line="240" w:lineRule="auto"/>
              <w:jc w:val="center"/>
            </w:pPr>
            <w:r w:rsidRPr="00EE5A55">
              <w:t>120.7 ± 13.3</w:t>
            </w:r>
          </w:p>
        </w:tc>
        <w:tc>
          <w:tcPr>
            <w:tcW w:w="1822" w:type="dxa"/>
          </w:tcPr>
          <w:p w:rsidR="00F43108" w:rsidRPr="00EE5A55" w:rsidRDefault="00F43108" w:rsidP="000411A9">
            <w:pPr>
              <w:spacing w:after="0" w:line="240" w:lineRule="auto"/>
              <w:jc w:val="center"/>
            </w:pPr>
            <w:r w:rsidRPr="00EE5A55">
              <w:t>124.9 ± 12.9</w:t>
            </w:r>
          </w:p>
        </w:tc>
      </w:tr>
      <w:tr w:rsidR="00F43108" w:rsidRPr="00EE5A55" w:rsidTr="000411A9">
        <w:tc>
          <w:tcPr>
            <w:tcW w:w="3255" w:type="dxa"/>
          </w:tcPr>
          <w:p w:rsidR="00F43108" w:rsidRPr="00EE5A55" w:rsidRDefault="00F43108" w:rsidP="000411A9">
            <w:pPr>
              <w:spacing w:after="0" w:line="240" w:lineRule="auto"/>
            </w:pPr>
            <w:r w:rsidRPr="00EE5A55">
              <w:t>Diastolic BP – mm Hg</w:t>
            </w:r>
          </w:p>
        </w:tc>
        <w:tc>
          <w:tcPr>
            <w:tcW w:w="1831" w:type="dxa"/>
          </w:tcPr>
          <w:p w:rsidR="00F43108" w:rsidRPr="00EE5A55" w:rsidRDefault="00F43108" w:rsidP="000411A9">
            <w:pPr>
              <w:spacing w:after="0" w:line="240" w:lineRule="auto"/>
              <w:jc w:val="center"/>
            </w:pPr>
            <w:r w:rsidRPr="00EE5A55">
              <w:t>77.6 ± 9.4</w:t>
            </w:r>
          </w:p>
        </w:tc>
        <w:tc>
          <w:tcPr>
            <w:tcW w:w="1822" w:type="dxa"/>
          </w:tcPr>
          <w:p w:rsidR="00F43108" w:rsidRPr="00EE5A55" w:rsidRDefault="00F43108" w:rsidP="000411A9">
            <w:pPr>
              <w:spacing w:after="0" w:line="240" w:lineRule="auto"/>
              <w:jc w:val="center"/>
            </w:pPr>
            <w:r w:rsidRPr="00EE5A55">
              <w:t>76.9 ± 12.6</w:t>
            </w:r>
          </w:p>
        </w:tc>
      </w:tr>
      <w:tr w:rsidR="00F43108" w:rsidRPr="00EE5A55" w:rsidTr="000411A9">
        <w:tc>
          <w:tcPr>
            <w:tcW w:w="3255" w:type="dxa"/>
          </w:tcPr>
          <w:p w:rsidR="00F43108" w:rsidRPr="00EE5A55" w:rsidRDefault="00F43108" w:rsidP="000411A9">
            <w:pPr>
              <w:spacing w:after="0" w:line="240" w:lineRule="auto"/>
            </w:pPr>
            <w:r w:rsidRPr="00EE5A55">
              <w:t>Disease location – no. (%)</w:t>
            </w:r>
          </w:p>
          <w:p w:rsidR="00F43108" w:rsidRPr="00EE5A55" w:rsidRDefault="00F43108" w:rsidP="000411A9">
            <w:pPr>
              <w:pStyle w:val="ListParagraph"/>
              <w:numPr>
                <w:ilvl w:val="0"/>
                <w:numId w:val="1"/>
              </w:numPr>
              <w:spacing w:after="0" w:line="240" w:lineRule="auto"/>
            </w:pPr>
            <w:r w:rsidRPr="00EE5A55">
              <w:t>Ocular</w:t>
            </w:r>
          </w:p>
          <w:p w:rsidR="00F43108" w:rsidRPr="00EE5A55" w:rsidRDefault="00F43108" w:rsidP="000411A9">
            <w:pPr>
              <w:pStyle w:val="ListParagraph"/>
              <w:numPr>
                <w:ilvl w:val="0"/>
                <w:numId w:val="1"/>
              </w:numPr>
              <w:spacing w:after="0" w:line="240" w:lineRule="auto"/>
            </w:pPr>
            <w:r w:rsidRPr="00EE5A55">
              <w:t>Systemic</w:t>
            </w:r>
          </w:p>
          <w:p w:rsidR="00F43108" w:rsidRPr="00EE5A55" w:rsidRDefault="00F43108" w:rsidP="000411A9">
            <w:pPr>
              <w:pStyle w:val="ListParagraph"/>
              <w:numPr>
                <w:ilvl w:val="0"/>
                <w:numId w:val="1"/>
              </w:numPr>
              <w:spacing w:after="0" w:line="240" w:lineRule="auto"/>
            </w:pPr>
            <w:r w:rsidRPr="00EE5A55">
              <w:t>Both</w:t>
            </w:r>
          </w:p>
        </w:tc>
        <w:tc>
          <w:tcPr>
            <w:tcW w:w="1831" w:type="dxa"/>
          </w:tcPr>
          <w:p w:rsidR="00F43108" w:rsidRPr="00EE5A55" w:rsidRDefault="00F43108" w:rsidP="000411A9">
            <w:pPr>
              <w:spacing w:after="0" w:line="240" w:lineRule="auto"/>
              <w:jc w:val="center"/>
            </w:pPr>
          </w:p>
          <w:p w:rsidR="00F43108" w:rsidRPr="00EE5A55" w:rsidRDefault="00F43108" w:rsidP="000411A9">
            <w:pPr>
              <w:spacing w:after="0" w:line="240" w:lineRule="auto"/>
              <w:jc w:val="center"/>
            </w:pPr>
            <w:r w:rsidRPr="00EE5A55">
              <w:t>15 (42%)</w:t>
            </w:r>
          </w:p>
          <w:p w:rsidR="00F43108" w:rsidRPr="00EE5A55" w:rsidRDefault="00F43108" w:rsidP="000411A9">
            <w:pPr>
              <w:spacing w:after="0" w:line="240" w:lineRule="auto"/>
              <w:jc w:val="center"/>
            </w:pPr>
            <w:r w:rsidRPr="00EE5A55">
              <w:t>18 (50%)</w:t>
            </w:r>
          </w:p>
          <w:p w:rsidR="00F43108" w:rsidRPr="00EE5A55" w:rsidRDefault="00F43108" w:rsidP="000411A9">
            <w:pPr>
              <w:spacing w:after="0" w:line="240" w:lineRule="auto"/>
              <w:jc w:val="center"/>
            </w:pPr>
            <w:r w:rsidRPr="00EE5A55">
              <w:t>3 (8%)</w:t>
            </w:r>
          </w:p>
        </w:tc>
        <w:tc>
          <w:tcPr>
            <w:tcW w:w="1822" w:type="dxa"/>
          </w:tcPr>
          <w:p w:rsidR="00F43108" w:rsidRPr="00EE5A55" w:rsidRDefault="00F43108" w:rsidP="000411A9">
            <w:pPr>
              <w:spacing w:after="0" w:line="240" w:lineRule="auto"/>
              <w:jc w:val="center"/>
            </w:pPr>
          </w:p>
          <w:p w:rsidR="00F43108" w:rsidRPr="00EE5A55" w:rsidRDefault="00F43108" w:rsidP="000411A9">
            <w:pPr>
              <w:spacing w:after="0" w:line="240" w:lineRule="auto"/>
              <w:jc w:val="center"/>
            </w:pPr>
            <w:r w:rsidRPr="00EE5A55">
              <w:t>21 (58</w:t>
            </w:r>
            <w:r>
              <w:t>%</w:t>
            </w:r>
            <w:r w:rsidRPr="00EE5A55">
              <w:t>)</w:t>
            </w:r>
          </w:p>
          <w:p w:rsidR="00F43108" w:rsidRPr="00EE5A55" w:rsidRDefault="00F43108" w:rsidP="000411A9">
            <w:pPr>
              <w:spacing w:after="0" w:line="240" w:lineRule="auto"/>
              <w:jc w:val="center"/>
            </w:pPr>
            <w:r w:rsidRPr="00EE5A55">
              <w:t>14 (39%)</w:t>
            </w:r>
          </w:p>
          <w:p w:rsidR="00F43108" w:rsidRPr="00EE5A55" w:rsidRDefault="00F43108" w:rsidP="000411A9">
            <w:pPr>
              <w:spacing w:after="0" w:line="240" w:lineRule="auto"/>
              <w:jc w:val="center"/>
            </w:pPr>
            <w:r w:rsidRPr="00EE5A55">
              <w:t>1 (3%)</w:t>
            </w:r>
          </w:p>
        </w:tc>
      </w:tr>
      <w:tr w:rsidR="00F43108" w:rsidRPr="00EE5A55" w:rsidTr="000411A9">
        <w:tc>
          <w:tcPr>
            <w:tcW w:w="3255" w:type="dxa"/>
          </w:tcPr>
          <w:p w:rsidR="00F43108" w:rsidRPr="00EE5A55" w:rsidRDefault="00F43108" w:rsidP="004F026D">
            <w:pPr>
              <w:spacing w:after="0" w:line="240" w:lineRule="auto"/>
            </w:pPr>
            <w:r w:rsidRPr="00EE5A55">
              <w:t>Duration of disease – y</w:t>
            </w:r>
            <w:r>
              <w:t>ea</w:t>
            </w:r>
            <w:r w:rsidRPr="00EE5A55">
              <w:t xml:space="preserve">r  median </w:t>
            </w:r>
            <w:r w:rsidR="004F026D">
              <w:t>{</w:t>
            </w:r>
            <w:r w:rsidRPr="00EE5A55">
              <w:t>IQR</w:t>
            </w:r>
            <w:r w:rsidR="004F026D">
              <w:t>}</w:t>
            </w:r>
          </w:p>
        </w:tc>
        <w:tc>
          <w:tcPr>
            <w:tcW w:w="1831" w:type="dxa"/>
          </w:tcPr>
          <w:p w:rsidR="00F43108" w:rsidRPr="00EE5A55" w:rsidRDefault="00F43108" w:rsidP="004F026D">
            <w:pPr>
              <w:spacing w:after="0" w:line="240" w:lineRule="auto"/>
              <w:jc w:val="center"/>
            </w:pPr>
            <w:r w:rsidRPr="00EE5A55">
              <w:t xml:space="preserve">9 </w:t>
            </w:r>
            <w:r w:rsidR="004F026D">
              <w:t>{</w:t>
            </w:r>
            <w:r w:rsidRPr="00EE5A55">
              <w:t>4.5, 12.5</w:t>
            </w:r>
            <w:r w:rsidR="004F026D">
              <w:t>}</w:t>
            </w:r>
          </w:p>
        </w:tc>
        <w:tc>
          <w:tcPr>
            <w:tcW w:w="1822" w:type="dxa"/>
          </w:tcPr>
          <w:p w:rsidR="00F43108" w:rsidRPr="00EE5A55" w:rsidRDefault="00F43108" w:rsidP="004F026D">
            <w:pPr>
              <w:spacing w:after="0" w:line="240" w:lineRule="auto"/>
              <w:jc w:val="center"/>
            </w:pPr>
            <w:r w:rsidRPr="00EE5A55">
              <w:t xml:space="preserve">12 </w:t>
            </w:r>
            <w:r w:rsidR="004F026D">
              <w:t>{</w:t>
            </w:r>
            <w:r w:rsidRPr="00EE5A55">
              <w:t>7, 17</w:t>
            </w:r>
            <w:r w:rsidR="004F026D">
              <w:t>}</w:t>
            </w:r>
          </w:p>
        </w:tc>
      </w:tr>
      <w:tr w:rsidR="00F43108" w:rsidRPr="00EE5A55" w:rsidTr="000411A9">
        <w:tc>
          <w:tcPr>
            <w:tcW w:w="3255" w:type="dxa"/>
          </w:tcPr>
          <w:p w:rsidR="00F43108" w:rsidRPr="00EE5A55" w:rsidRDefault="00F43108" w:rsidP="000411A9">
            <w:pPr>
              <w:spacing w:after="0" w:line="240" w:lineRule="auto"/>
            </w:pPr>
            <w:r w:rsidRPr="00EE5A55">
              <w:t>Requiring immunosuppressive agents – n</w:t>
            </w:r>
            <w:r>
              <w:t>umber</w:t>
            </w:r>
          </w:p>
          <w:p w:rsidR="00F43108" w:rsidRPr="00EE5A55" w:rsidRDefault="00F43108" w:rsidP="000411A9">
            <w:pPr>
              <w:pStyle w:val="ListParagraph"/>
              <w:numPr>
                <w:ilvl w:val="0"/>
                <w:numId w:val="1"/>
              </w:numPr>
              <w:spacing w:after="0" w:line="240" w:lineRule="auto"/>
            </w:pPr>
            <w:r>
              <w:t>Corticosteroids</w:t>
            </w:r>
          </w:p>
          <w:p w:rsidR="00F43108" w:rsidRPr="00EE5A55" w:rsidRDefault="00F43108" w:rsidP="000411A9">
            <w:pPr>
              <w:pStyle w:val="ListParagraph"/>
              <w:numPr>
                <w:ilvl w:val="0"/>
                <w:numId w:val="1"/>
              </w:numPr>
              <w:spacing w:after="0" w:line="240" w:lineRule="auto"/>
            </w:pPr>
            <w:r w:rsidRPr="00EE5A55">
              <w:t>Conventional second-line agents*</w:t>
            </w:r>
          </w:p>
          <w:p w:rsidR="00F43108" w:rsidRPr="00EE5A55" w:rsidRDefault="00F43108" w:rsidP="000411A9">
            <w:pPr>
              <w:pStyle w:val="ListParagraph"/>
              <w:numPr>
                <w:ilvl w:val="0"/>
                <w:numId w:val="1"/>
              </w:numPr>
              <w:spacing w:after="0" w:line="240" w:lineRule="auto"/>
            </w:pPr>
            <w:r w:rsidRPr="00EE5A55">
              <w:t>Biological agents</w:t>
            </w:r>
          </w:p>
        </w:tc>
        <w:tc>
          <w:tcPr>
            <w:tcW w:w="1831" w:type="dxa"/>
          </w:tcPr>
          <w:p w:rsidR="00F43108" w:rsidRPr="00EE5A55" w:rsidRDefault="00F43108" w:rsidP="000411A9">
            <w:pPr>
              <w:spacing w:after="0" w:line="240" w:lineRule="auto"/>
              <w:jc w:val="center"/>
            </w:pPr>
          </w:p>
          <w:p w:rsidR="00F43108" w:rsidRPr="00EE5A55" w:rsidRDefault="00F43108" w:rsidP="000411A9">
            <w:pPr>
              <w:spacing w:after="0" w:line="240" w:lineRule="auto"/>
              <w:jc w:val="center"/>
            </w:pPr>
          </w:p>
          <w:p w:rsidR="00F43108" w:rsidRPr="00EE5A55" w:rsidRDefault="00F43108" w:rsidP="000411A9">
            <w:pPr>
              <w:spacing w:after="0" w:line="240" w:lineRule="auto"/>
              <w:jc w:val="center"/>
            </w:pPr>
            <w:r w:rsidRPr="00EE5A55">
              <w:t>25/36</w:t>
            </w:r>
          </w:p>
          <w:p w:rsidR="00F43108" w:rsidRPr="00EE5A55" w:rsidRDefault="00F43108" w:rsidP="000411A9">
            <w:pPr>
              <w:spacing w:after="0" w:line="240" w:lineRule="auto"/>
              <w:jc w:val="center"/>
            </w:pPr>
            <w:r w:rsidRPr="00EE5A55">
              <w:t>2</w:t>
            </w:r>
            <w:r>
              <w:t>3</w:t>
            </w:r>
            <w:r w:rsidRPr="00EE5A55">
              <w:t>/36</w:t>
            </w:r>
          </w:p>
          <w:p w:rsidR="00F43108" w:rsidRDefault="00F43108" w:rsidP="000411A9">
            <w:pPr>
              <w:spacing w:after="0" w:line="240" w:lineRule="auto"/>
              <w:jc w:val="center"/>
            </w:pPr>
          </w:p>
          <w:p w:rsidR="00F43108" w:rsidRPr="00EE5A55" w:rsidRDefault="00F43108" w:rsidP="000411A9">
            <w:pPr>
              <w:spacing w:after="0" w:line="240" w:lineRule="auto"/>
              <w:jc w:val="center"/>
            </w:pPr>
            <w:r w:rsidRPr="00EE5A55">
              <w:t>0/36</w:t>
            </w:r>
          </w:p>
        </w:tc>
        <w:tc>
          <w:tcPr>
            <w:tcW w:w="1822" w:type="dxa"/>
          </w:tcPr>
          <w:p w:rsidR="00F43108" w:rsidRPr="00EE5A55" w:rsidRDefault="00F43108" w:rsidP="000411A9">
            <w:pPr>
              <w:spacing w:after="0" w:line="240" w:lineRule="auto"/>
              <w:jc w:val="center"/>
            </w:pPr>
          </w:p>
          <w:p w:rsidR="00F43108" w:rsidRPr="00EE5A55" w:rsidRDefault="00F43108" w:rsidP="000411A9">
            <w:pPr>
              <w:spacing w:after="0" w:line="240" w:lineRule="auto"/>
              <w:jc w:val="center"/>
            </w:pPr>
          </w:p>
          <w:p w:rsidR="00F43108" w:rsidRPr="00EE5A55" w:rsidRDefault="00F43108" w:rsidP="000411A9">
            <w:pPr>
              <w:spacing w:after="0" w:line="240" w:lineRule="auto"/>
              <w:jc w:val="center"/>
            </w:pPr>
            <w:r w:rsidRPr="00EE5A55">
              <w:t>25/36</w:t>
            </w:r>
          </w:p>
          <w:p w:rsidR="00F43108" w:rsidRPr="00EE5A55" w:rsidRDefault="00F43108" w:rsidP="000411A9">
            <w:pPr>
              <w:spacing w:after="0" w:line="240" w:lineRule="auto"/>
              <w:jc w:val="center"/>
            </w:pPr>
            <w:r w:rsidRPr="00EE5A55">
              <w:t>2</w:t>
            </w:r>
            <w:r>
              <w:t>8</w:t>
            </w:r>
            <w:r w:rsidRPr="00EE5A55">
              <w:t>/36</w:t>
            </w:r>
          </w:p>
          <w:p w:rsidR="00F43108" w:rsidRDefault="00F43108" w:rsidP="000411A9">
            <w:pPr>
              <w:spacing w:after="0" w:line="240" w:lineRule="auto"/>
              <w:jc w:val="center"/>
            </w:pPr>
          </w:p>
          <w:p w:rsidR="00F43108" w:rsidRPr="00EE5A55" w:rsidRDefault="00F43108" w:rsidP="000411A9">
            <w:pPr>
              <w:spacing w:after="0" w:line="240" w:lineRule="auto"/>
              <w:jc w:val="center"/>
            </w:pPr>
            <w:r w:rsidRPr="00EE5A55">
              <w:t>0/36</w:t>
            </w:r>
          </w:p>
        </w:tc>
      </w:tr>
      <w:tr w:rsidR="00F43108" w:rsidRPr="00EE5A55" w:rsidTr="000411A9">
        <w:tc>
          <w:tcPr>
            <w:tcW w:w="3255" w:type="dxa"/>
          </w:tcPr>
          <w:p w:rsidR="00F43108" w:rsidRPr="00EE5A55" w:rsidRDefault="00F43108" w:rsidP="000411A9">
            <w:pPr>
              <w:spacing w:after="0" w:line="240" w:lineRule="auto"/>
            </w:pPr>
            <w:r w:rsidRPr="00EE5A55">
              <w:t xml:space="preserve">Dose of </w:t>
            </w:r>
            <w:r>
              <w:t>corticosteroid</w:t>
            </w:r>
            <w:r w:rsidRPr="00EE5A55">
              <w:t xml:space="preserve"> at baseline in patients taking</w:t>
            </w:r>
            <w:r>
              <w:t xml:space="preserve"> corticosteroid </w:t>
            </w:r>
            <w:r w:rsidRPr="00EE5A55">
              <w:t xml:space="preserve"> at baseline – mg/day</w:t>
            </w:r>
          </w:p>
        </w:tc>
        <w:tc>
          <w:tcPr>
            <w:tcW w:w="1831" w:type="dxa"/>
          </w:tcPr>
          <w:p w:rsidR="00F43108" w:rsidRPr="00EE5A55" w:rsidRDefault="00F43108" w:rsidP="000411A9">
            <w:pPr>
              <w:spacing w:after="0" w:line="240" w:lineRule="auto"/>
              <w:jc w:val="center"/>
            </w:pPr>
            <w:r w:rsidRPr="00EE5A55">
              <w:t xml:space="preserve">11.5 </w:t>
            </w:r>
            <w:r>
              <w:t>(</w:t>
            </w:r>
            <w:r w:rsidRPr="00EE5A55">
              <w:t>5.3</w:t>
            </w:r>
            <w:r>
              <w:t>)</w:t>
            </w:r>
          </w:p>
        </w:tc>
        <w:tc>
          <w:tcPr>
            <w:tcW w:w="1822" w:type="dxa"/>
          </w:tcPr>
          <w:p w:rsidR="00F43108" w:rsidRPr="00EE5A55" w:rsidRDefault="00F43108" w:rsidP="000411A9">
            <w:pPr>
              <w:pStyle w:val="ListParagraph"/>
              <w:spacing w:after="0" w:line="240" w:lineRule="auto"/>
              <w:ind w:left="392"/>
            </w:pPr>
            <w:r>
              <w:t>16.1 (16.4)</w:t>
            </w:r>
          </w:p>
        </w:tc>
      </w:tr>
    </w:tbl>
    <w:p w:rsidR="00F43108" w:rsidRPr="00FE18AE" w:rsidRDefault="00F43108" w:rsidP="000411A9">
      <w:pPr>
        <w:pStyle w:val="Caption"/>
        <w:rPr>
          <w:b w:val="0"/>
          <w:color w:val="auto"/>
          <w:sz w:val="22"/>
          <w:szCs w:val="22"/>
        </w:rPr>
      </w:pPr>
      <w:r w:rsidRPr="00FE18AE">
        <w:rPr>
          <w:b w:val="0"/>
          <w:color w:val="auto"/>
          <w:sz w:val="22"/>
          <w:szCs w:val="22"/>
        </w:rPr>
        <w:t>*indicates either azathioprine, mycophenolate, ciclosporin, tacrolimus, methotrexate, but excludes concomitant use of colchicine</w:t>
      </w:r>
    </w:p>
    <w:p w:rsidR="00F43108" w:rsidRDefault="00F43108"/>
    <w:p w:rsidR="00F43108" w:rsidRPr="004E3835" w:rsidRDefault="00F43108">
      <w:pPr>
        <w:rPr>
          <w:b/>
        </w:rPr>
      </w:pPr>
      <w:r>
        <w:rPr>
          <w:b/>
        </w:rPr>
        <w:t>Primary outcome</w:t>
      </w:r>
    </w:p>
    <w:p w:rsidR="00F43108" w:rsidRPr="00FE18AE" w:rsidRDefault="00E60534" w:rsidP="00652883">
      <w:r>
        <w:lastRenderedPageBreak/>
        <w:t xml:space="preserve">The primary outcome for this study was whether a corticosteroid dose equivalent to no more than 10mg of prednisolone per day was required throughout months ten to twelve following treatment initiation. </w:t>
      </w:r>
      <w:r w:rsidR="00F43108">
        <w:t>Looking at the whole group, t</w:t>
      </w:r>
      <w:r w:rsidR="00F43108" w:rsidRPr="006C1795">
        <w:t>here was no difference in the number of patients receiving 10mg or less</w:t>
      </w:r>
      <w:r w:rsidR="00F43108">
        <w:t xml:space="preserve"> per day</w:t>
      </w:r>
      <w:r w:rsidR="00F43108" w:rsidRPr="006C1795">
        <w:t xml:space="preserve"> of </w:t>
      </w:r>
      <w:r w:rsidR="00F43108">
        <w:t>corticosteroids</w:t>
      </w:r>
      <w:r w:rsidR="00F43108" w:rsidRPr="006C1795">
        <w:t xml:space="preserve"> at months 10 -12 - 66% </w:t>
      </w:r>
      <w:r w:rsidR="00F43108">
        <w:t xml:space="preserve">(95% CI, 46%-82%) </w:t>
      </w:r>
      <w:r w:rsidR="00F43108" w:rsidRPr="006C1795">
        <w:t xml:space="preserve">for </w:t>
      </w:r>
      <w:r w:rsidR="00F43108">
        <w:t xml:space="preserve">the peginterferon-α-2b </w:t>
      </w:r>
      <w:r w:rsidR="00F43108" w:rsidRPr="006C1795">
        <w:t xml:space="preserve">group  and 62%  for the non-interferon group </w:t>
      </w:r>
      <w:r w:rsidR="00F43108">
        <w:t xml:space="preserve">(44%-79%, </w:t>
      </w:r>
      <w:r w:rsidR="00F43108" w:rsidRPr="006C1795">
        <w:t>p=1.00</w:t>
      </w:r>
      <w:r w:rsidR="00F43108">
        <w:t xml:space="preserve">, </w:t>
      </w:r>
      <w:r w:rsidR="0071192F">
        <w:t xml:space="preserve">adjusted OR 1.04,95% CI, 0.34-3.19), </w:t>
      </w:r>
      <w:r w:rsidR="00F43108">
        <w:t>Table 2</w:t>
      </w:r>
      <w:r w:rsidR="0071192F">
        <w:t xml:space="preserve">, </w:t>
      </w:r>
      <w:r w:rsidR="00DB79F7" w:rsidRPr="00812771">
        <w:rPr>
          <w:rFonts w:asciiTheme="minorHAnsi" w:hAnsiTheme="minorHAnsi" w:cs="Arial"/>
        </w:rPr>
        <w:t>online supplementary</w:t>
      </w:r>
      <w:r w:rsidR="00DB79F7">
        <w:rPr>
          <w:rFonts w:ascii="Arial" w:hAnsi="Arial" w:cs="Arial"/>
        </w:rPr>
        <w:t xml:space="preserve"> </w:t>
      </w:r>
      <w:r w:rsidR="0071192F" w:rsidRPr="00CA1CFE">
        <w:t xml:space="preserve">Table </w:t>
      </w:r>
      <w:r w:rsidR="00DB79F7">
        <w:t>S1</w:t>
      </w:r>
      <w:r w:rsidR="00F43108">
        <w:t xml:space="preserve">). </w:t>
      </w:r>
      <w:r w:rsidR="00F43108" w:rsidRPr="006C1795">
        <w:t xml:space="preserve"> The me</w:t>
      </w:r>
      <w:r w:rsidR="00F43108">
        <w:t xml:space="preserve">dian </w:t>
      </w:r>
      <w:r w:rsidR="00652883">
        <w:t>{</w:t>
      </w:r>
      <w:r w:rsidR="00F43108">
        <w:t>IQR</w:t>
      </w:r>
      <w:r w:rsidR="00652883">
        <w:t xml:space="preserve">} </w:t>
      </w:r>
      <w:r w:rsidR="00F43108" w:rsidRPr="006C1795">
        <w:t>dose of prednisolone measured by the mean dose over months 10-12</w:t>
      </w:r>
      <w:r w:rsidR="00F43108">
        <w:t>inclusive</w:t>
      </w:r>
      <w:r w:rsidR="00F43108" w:rsidRPr="006C1795">
        <w:t xml:space="preserve">, was </w:t>
      </w:r>
      <w:r w:rsidR="00F43108">
        <w:t>5.00</w:t>
      </w:r>
      <w:r w:rsidR="00F43108" w:rsidRPr="006C1795">
        <w:t xml:space="preserve">mg/day </w:t>
      </w:r>
      <w:r w:rsidR="00652883">
        <w:t>{</w:t>
      </w:r>
      <w:r w:rsidR="00F43108">
        <w:t>1-10</w:t>
      </w:r>
      <w:r w:rsidR="00652883">
        <w:t xml:space="preserve">} </w:t>
      </w:r>
      <w:r w:rsidR="00F43108" w:rsidRPr="006C1795">
        <w:t xml:space="preserve">in the </w:t>
      </w:r>
      <w:r w:rsidR="00F43108">
        <w:t xml:space="preserve">peginterferon-α-2b </w:t>
      </w:r>
      <w:r w:rsidR="00F43108" w:rsidRPr="006C1795">
        <w:t>group and 10</w:t>
      </w:r>
      <w:r w:rsidR="00F43108">
        <w:t>.00</w:t>
      </w:r>
      <w:r w:rsidR="00F43108" w:rsidRPr="006C1795">
        <w:t xml:space="preserve">mg/day </w:t>
      </w:r>
      <w:r w:rsidR="00F43108">
        <w:t>(</w:t>
      </w:r>
      <w:r w:rsidR="00652883">
        <w:t>{</w:t>
      </w:r>
      <w:r w:rsidR="00F43108">
        <w:t>2.5-15</w:t>
      </w:r>
      <w:r w:rsidR="00652883">
        <w:t xml:space="preserve">} </w:t>
      </w:r>
      <w:r w:rsidR="00F43108" w:rsidRPr="006C1795">
        <w:t>i</w:t>
      </w:r>
      <w:r w:rsidR="00F43108">
        <w:t xml:space="preserve">n the non-interferon group. </w:t>
      </w:r>
      <w:r w:rsidR="00F43108" w:rsidRPr="006C1795">
        <w:t xml:space="preserve"> The number of additional immunosuppressive</w:t>
      </w:r>
      <w:r w:rsidR="00025C0D">
        <w:t xml:space="preserve"> </w:t>
      </w:r>
      <w:r w:rsidR="00F43108" w:rsidRPr="006C1795">
        <w:t>agents</w:t>
      </w:r>
      <w:r w:rsidR="00F43108">
        <w:t xml:space="preserve"> and the number of </w:t>
      </w:r>
      <w:r w:rsidR="00F43108" w:rsidRPr="006C1795">
        <w:t>patients using biologics were a</w:t>
      </w:r>
      <w:r w:rsidR="00F43108">
        <w:t xml:space="preserve">lso not significantly different. </w:t>
      </w:r>
      <w:r w:rsidR="00F43108" w:rsidRPr="006C1795">
        <w:t xml:space="preserve">Additionally there was no difference in the </w:t>
      </w:r>
      <w:r w:rsidR="00F43108">
        <w:t xml:space="preserve">corticosteroid dose of 10mg or more  </w:t>
      </w:r>
      <w:r w:rsidR="00F43108" w:rsidRPr="006C1795">
        <w:t>in</w:t>
      </w:r>
      <w:r w:rsidR="00F43108">
        <w:t xml:space="preserve"> the last</w:t>
      </w:r>
      <w:r w:rsidR="00F43108" w:rsidRPr="006C1795">
        <w:t xml:space="preserve"> year of the study between the treatment groups </w:t>
      </w:r>
      <w:r w:rsidR="00F43108">
        <w:t xml:space="preserve"> - </w:t>
      </w:r>
      <w:r w:rsidR="00F43108" w:rsidRPr="006C1795">
        <w:t xml:space="preserve">50% for the </w:t>
      </w:r>
      <w:r w:rsidR="00F43108">
        <w:t xml:space="preserve">peginterferon-α-2b </w:t>
      </w:r>
      <w:r w:rsidR="00F43108" w:rsidRPr="006C1795">
        <w:t>group and 58% for the non-interferon group (</w:t>
      </w:r>
      <w:r w:rsidR="00F43108">
        <w:t>p</w:t>
      </w:r>
      <w:r w:rsidR="00F43108" w:rsidRPr="006C1795">
        <w:t xml:space="preserve">=0.78). </w:t>
      </w:r>
      <w:r w:rsidR="00F43108">
        <w:t xml:space="preserve"> At three years, the median daily doses of prednisolone were 5.1mg/day </w:t>
      </w:r>
      <w:r w:rsidR="00652883">
        <w:t>{</w:t>
      </w:r>
      <w:r w:rsidR="00F43108">
        <w:t>0-10</w:t>
      </w:r>
      <w:r w:rsidR="00652883">
        <w:t xml:space="preserve">} </w:t>
      </w:r>
      <w:r w:rsidR="00F43108">
        <w:t xml:space="preserve">and 7.5mg/day </w:t>
      </w:r>
      <w:r w:rsidR="00652883">
        <w:t>{</w:t>
      </w:r>
      <w:r w:rsidR="00F43108">
        <w:t>0-11.5</w:t>
      </w:r>
      <w:r w:rsidR="00652883">
        <w:t xml:space="preserve">} </w:t>
      </w:r>
      <w:r w:rsidR="00F43108">
        <w:t>respectively.  There was no difference in the relapse rates recorded between the two groups.</w:t>
      </w:r>
      <w:r w:rsidR="00025C0D">
        <w:t xml:space="preserve"> </w:t>
      </w:r>
      <w:r w:rsidR="00F43108">
        <w:t>T</w:t>
      </w:r>
      <w:r w:rsidR="00F43108" w:rsidRPr="00475383">
        <w:t xml:space="preserve">here was no significant difference in </w:t>
      </w:r>
      <w:r w:rsidR="00F43108">
        <w:t>BD-</w:t>
      </w:r>
      <w:r w:rsidR="00F43108" w:rsidRPr="001F2E22">
        <w:t>QoL</w:t>
      </w:r>
      <w:r w:rsidR="00F43108" w:rsidRPr="00475383">
        <w:t xml:space="preserve"> scores at the primary endpoint of 12 months, </w:t>
      </w:r>
      <w:r w:rsidR="00F43108">
        <w:t xml:space="preserve">although </w:t>
      </w:r>
      <w:r w:rsidR="00F43108" w:rsidRPr="00475383">
        <w:t>there was a tendency for the interferon treated group to have better scores throughout the trial</w:t>
      </w:r>
      <w:r w:rsidR="00F43108">
        <w:t xml:space="preserve"> and a</w:t>
      </w:r>
      <w:r w:rsidR="00F43108" w:rsidRPr="00475383">
        <w:t>t 36 months this difference was statistically significant (P = 0.008</w:t>
      </w:r>
      <w:r w:rsidR="00812771">
        <w:t xml:space="preserve">, </w:t>
      </w:r>
      <w:r w:rsidR="00812771" w:rsidRPr="00812771">
        <w:rPr>
          <w:rFonts w:asciiTheme="minorHAnsi" w:hAnsiTheme="minorHAnsi" w:cs="Arial"/>
        </w:rPr>
        <w:t>online supplementary</w:t>
      </w:r>
      <w:r w:rsidR="00812771">
        <w:rPr>
          <w:rFonts w:ascii="Arial" w:hAnsi="Arial" w:cs="Arial"/>
        </w:rPr>
        <w:t xml:space="preserve"> </w:t>
      </w:r>
      <w:r w:rsidR="00812771">
        <w:t>Figure S1</w:t>
      </w:r>
      <w:r w:rsidR="00F43108" w:rsidRPr="00475383">
        <w:t xml:space="preserve">).  Higher fatigue scores were observed in the standard treatment arm, </w:t>
      </w:r>
      <w:r w:rsidR="00F43108">
        <w:t>though</w:t>
      </w:r>
      <w:r w:rsidR="00F43108" w:rsidRPr="00475383">
        <w:t xml:space="preserve"> not statistical</w:t>
      </w:r>
      <w:r w:rsidR="00F43108">
        <w:t>ly significant</w:t>
      </w:r>
      <w:r w:rsidR="00F43108" w:rsidRPr="00475383">
        <w:t>.</w:t>
      </w:r>
    </w:p>
    <w:p w:rsidR="00F43108" w:rsidRDefault="00F43108" w:rsidP="000411A9"/>
    <w:p w:rsidR="00F43108" w:rsidRDefault="00F43108" w:rsidP="000411A9">
      <w:pPr>
        <w:rPr>
          <w:b/>
        </w:rPr>
      </w:pPr>
      <w:r>
        <w:rPr>
          <w:b/>
        </w:rPr>
        <w:t xml:space="preserve">Table 2- </w:t>
      </w:r>
      <w:r>
        <w:t>Outcome</w:t>
      </w:r>
      <w:r w:rsidRPr="0079335F">
        <w:t xml:space="preserve"> measures in whole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489"/>
        <w:gridCol w:w="1559"/>
        <w:gridCol w:w="1332"/>
      </w:tblGrid>
      <w:tr w:rsidR="00F43108" w:rsidRPr="00237DD3" w:rsidTr="000411A9">
        <w:tc>
          <w:tcPr>
            <w:tcW w:w="3085" w:type="dxa"/>
          </w:tcPr>
          <w:p w:rsidR="00F43108" w:rsidRPr="00237DD3" w:rsidRDefault="00F43108" w:rsidP="000411A9">
            <w:pPr>
              <w:rPr>
                <w:b/>
              </w:rPr>
            </w:pPr>
            <w:r>
              <w:rPr>
                <w:b/>
              </w:rPr>
              <w:t>Measure</w:t>
            </w:r>
          </w:p>
        </w:tc>
        <w:tc>
          <w:tcPr>
            <w:tcW w:w="1489" w:type="dxa"/>
          </w:tcPr>
          <w:p w:rsidR="00F43108" w:rsidRPr="00237DD3" w:rsidRDefault="00F43108" w:rsidP="000411A9">
            <w:pPr>
              <w:jc w:val="center"/>
              <w:rPr>
                <w:b/>
              </w:rPr>
            </w:pPr>
            <w:r>
              <w:rPr>
                <w:b/>
              </w:rPr>
              <w:t>Peginterferon α-2b</w:t>
            </w:r>
          </w:p>
        </w:tc>
        <w:tc>
          <w:tcPr>
            <w:tcW w:w="1559" w:type="dxa"/>
          </w:tcPr>
          <w:p w:rsidR="00F43108" w:rsidRPr="00237DD3" w:rsidRDefault="00F43108" w:rsidP="000411A9">
            <w:pPr>
              <w:jc w:val="center"/>
              <w:rPr>
                <w:b/>
              </w:rPr>
            </w:pPr>
            <w:r>
              <w:rPr>
                <w:b/>
              </w:rPr>
              <w:t>Non-interferon</w:t>
            </w:r>
          </w:p>
        </w:tc>
        <w:tc>
          <w:tcPr>
            <w:tcW w:w="1332" w:type="dxa"/>
          </w:tcPr>
          <w:p w:rsidR="00F43108" w:rsidRPr="00237DD3" w:rsidRDefault="00F43108" w:rsidP="000411A9">
            <w:pPr>
              <w:jc w:val="center"/>
              <w:rPr>
                <w:b/>
              </w:rPr>
            </w:pPr>
            <w:r>
              <w:rPr>
                <w:b/>
              </w:rPr>
              <w:t>P value</w:t>
            </w:r>
          </w:p>
        </w:tc>
      </w:tr>
      <w:tr w:rsidR="00F43108" w:rsidRPr="00237DD3" w:rsidTr="000411A9">
        <w:tc>
          <w:tcPr>
            <w:tcW w:w="3085" w:type="dxa"/>
          </w:tcPr>
          <w:p w:rsidR="00F43108" w:rsidRPr="00F01E7A" w:rsidRDefault="00F43108" w:rsidP="000411A9">
            <w:pPr>
              <w:spacing w:after="0" w:line="240" w:lineRule="auto"/>
            </w:pPr>
            <w:r>
              <w:t xml:space="preserve">Patients on 10mg corticosteroid  or less – no/total no </w:t>
            </w:r>
            <w:r w:rsidRPr="00F01E7A">
              <w:t>(%, 95 % CI)</w:t>
            </w:r>
            <w:r>
              <w:t xml:space="preserve"> at year 1</w:t>
            </w:r>
            <w:r>
              <w:br/>
            </w:r>
          </w:p>
          <w:p w:rsidR="00F43108" w:rsidRPr="00F01E7A" w:rsidRDefault="00F43108" w:rsidP="000411A9">
            <w:pPr>
              <w:pStyle w:val="ListParagraph"/>
              <w:numPr>
                <w:ilvl w:val="0"/>
                <w:numId w:val="1"/>
              </w:numPr>
              <w:spacing w:after="0" w:line="240" w:lineRule="auto"/>
            </w:pPr>
            <w:r w:rsidRPr="00F01E7A">
              <w:t>Ocular patients</w:t>
            </w:r>
          </w:p>
          <w:p w:rsidR="00F43108" w:rsidRPr="00F01E7A" w:rsidRDefault="00F43108" w:rsidP="000411A9">
            <w:pPr>
              <w:pStyle w:val="ListParagraph"/>
              <w:numPr>
                <w:ilvl w:val="0"/>
                <w:numId w:val="1"/>
              </w:numPr>
              <w:spacing w:after="0" w:line="240" w:lineRule="auto"/>
            </w:pPr>
            <w:r w:rsidRPr="00F01E7A">
              <w:t>Systemic patients</w:t>
            </w:r>
          </w:p>
        </w:tc>
        <w:tc>
          <w:tcPr>
            <w:tcW w:w="1489" w:type="dxa"/>
          </w:tcPr>
          <w:p w:rsidR="00F43108" w:rsidRPr="00F01E7A" w:rsidRDefault="00F43108" w:rsidP="000411A9">
            <w:pPr>
              <w:spacing w:after="0" w:line="240" w:lineRule="auto"/>
              <w:jc w:val="center"/>
            </w:pPr>
            <w:r w:rsidRPr="00F01E7A">
              <w:t>19/29 (66%</w:t>
            </w:r>
            <w:r>
              <w:t>) {46 %, 82 %} mAbs</w:t>
            </w:r>
          </w:p>
          <w:p w:rsidR="00F43108" w:rsidRDefault="00F43108" w:rsidP="000411A9">
            <w:pPr>
              <w:spacing w:after="0" w:line="240" w:lineRule="auto"/>
              <w:jc w:val="center"/>
            </w:pPr>
          </w:p>
          <w:p w:rsidR="00F43108" w:rsidRPr="00F01E7A" w:rsidRDefault="00F43108" w:rsidP="000411A9">
            <w:pPr>
              <w:spacing w:after="0" w:line="240" w:lineRule="auto"/>
              <w:jc w:val="center"/>
            </w:pPr>
            <w:r w:rsidRPr="00F01E7A">
              <w:t>7/13 (54%)</w:t>
            </w:r>
          </w:p>
          <w:p w:rsidR="00F43108" w:rsidRPr="00F01E7A" w:rsidRDefault="00F43108" w:rsidP="000411A9">
            <w:pPr>
              <w:spacing w:after="0" w:line="240" w:lineRule="auto"/>
              <w:jc w:val="center"/>
            </w:pPr>
            <w:r w:rsidRPr="00F01E7A">
              <w:t>12/16 (75%)</w:t>
            </w:r>
          </w:p>
        </w:tc>
        <w:tc>
          <w:tcPr>
            <w:tcW w:w="1559" w:type="dxa"/>
          </w:tcPr>
          <w:p w:rsidR="00F43108" w:rsidRPr="00F01E7A" w:rsidRDefault="00F43108" w:rsidP="000411A9">
            <w:pPr>
              <w:spacing w:after="0" w:line="240" w:lineRule="auto"/>
              <w:jc w:val="center"/>
            </w:pPr>
            <w:r w:rsidRPr="00F01E7A">
              <w:t xml:space="preserve">20/32 </w:t>
            </w:r>
            <w:r>
              <w:t>(</w:t>
            </w:r>
            <w:r w:rsidRPr="00F01E7A">
              <w:t>62%</w:t>
            </w:r>
            <w:r>
              <w:t>) {44 %, 79 %}</w:t>
            </w:r>
          </w:p>
          <w:p w:rsidR="00F43108" w:rsidRDefault="00F43108" w:rsidP="000411A9">
            <w:pPr>
              <w:spacing w:after="0" w:line="240" w:lineRule="auto"/>
              <w:jc w:val="center"/>
            </w:pPr>
          </w:p>
          <w:p w:rsidR="00F43108" w:rsidRPr="00F01E7A" w:rsidRDefault="00F43108" w:rsidP="000411A9">
            <w:pPr>
              <w:spacing w:after="0" w:line="240" w:lineRule="auto"/>
              <w:jc w:val="center"/>
            </w:pPr>
            <w:r>
              <w:br/>
            </w:r>
            <w:r w:rsidRPr="00F01E7A">
              <w:t>12/19 (63%)</w:t>
            </w:r>
          </w:p>
          <w:p w:rsidR="00F43108" w:rsidRPr="00F01E7A" w:rsidRDefault="00F43108" w:rsidP="000411A9">
            <w:pPr>
              <w:spacing w:after="0" w:line="240" w:lineRule="auto"/>
              <w:jc w:val="center"/>
            </w:pPr>
            <w:r w:rsidRPr="00F01E7A">
              <w:t>8/13 (61%)</w:t>
            </w:r>
          </w:p>
        </w:tc>
        <w:tc>
          <w:tcPr>
            <w:tcW w:w="1332" w:type="dxa"/>
          </w:tcPr>
          <w:p w:rsidR="00F43108" w:rsidRPr="00F01E7A" w:rsidRDefault="00F43108" w:rsidP="000411A9">
            <w:pPr>
              <w:spacing w:after="0" w:line="240" w:lineRule="auto"/>
              <w:jc w:val="center"/>
            </w:pPr>
            <w:r w:rsidRPr="00F01E7A">
              <w:t>1.000</w:t>
            </w:r>
          </w:p>
        </w:tc>
      </w:tr>
      <w:tr w:rsidR="00F43108" w:rsidRPr="00237DD3" w:rsidTr="000411A9">
        <w:tc>
          <w:tcPr>
            <w:tcW w:w="3085" w:type="dxa"/>
          </w:tcPr>
          <w:p w:rsidR="00F43108" w:rsidRPr="00EE5A55" w:rsidRDefault="00F43108" w:rsidP="000411A9">
            <w:pPr>
              <w:spacing w:after="0" w:line="240" w:lineRule="auto"/>
            </w:pPr>
            <w:r w:rsidRPr="00EE5A55">
              <w:t xml:space="preserve">Ocular patients rate of relapse at </w:t>
            </w:r>
            <w:r>
              <w:t>year 1</w:t>
            </w:r>
          </w:p>
        </w:tc>
        <w:tc>
          <w:tcPr>
            <w:tcW w:w="1489" w:type="dxa"/>
          </w:tcPr>
          <w:p w:rsidR="00F43108" w:rsidRPr="00237DD3" w:rsidRDefault="00F43108" w:rsidP="000411A9">
            <w:pPr>
              <w:jc w:val="center"/>
              <w:rPr>
                <w:b/>
              </w:rPr>
            </w:pPr>
            <w:r w:rsidRPr="00EE5A55">
              <w:t>4/13 (31%)</w:t>
            </w:r>
          </w:p>
        </w:tc>
        <w:tc>
          <w:tcPr>
            <w:tcW w:w="1559" w:type="dxa"/>
          </w:tcPr>
          <w:p w:rsidR="00F43108" w:rsidRPr="00237DD3" w:rsidRDefault="00F43108" w:rsidP="000411A9">
            <w:pPr>
              <w:jc w:val="center"/>
              <w:rPr>
                <w:b/>
              </w:rPr>
            </w:pPr>
            <w:r w:rsidRPr="00EE5A55">
              <w:t>5/19 (26%)</w:t>
            </w:r>
          </w:p>
        </w:tc>
        <w:tc>
          <w:tcPr>
            <w:tcW w:w="1332" w:type="dxa"/>
          </w:tcPr>
          <w:p w:rsidR="00F43108" w:rsidRPr="00237DD3" w:rsidRDefault="00F43108" w:rsidP="000411A9">
            <w:pPr>
              <w:jc w:val="center"/>
              <w:rPr>
                <w:b/>
              </w:rPr>
            </w:pPr>
            <w:r w:rsidRPr="00EE5A55">
              <w:t>1.000</w:t>
            </w:r>
          </w:p>
        </w:tc>
      </w:tr>
      <w:tr w:rsidR="00F43108" w:rsidRPr="00237DD3" w:rsidTr="000411A9">
        <w:tc>
          <w:tcPr>
            <w:tcW w:w="3085" w:type="dxa"/>
          </w:tcPr>
          <w:p w:rsidR="00F43108" w:rsidRDefault="00F43108" w:rsidP="000411A9">
            <w:pPr>
              <w:pStyle w:val="NoSpacing"/>
              <w:rPr>
                <w:b/>
              </w:rPr>
            </w:pPr>
            <w:r w:rsidRPr="00EE5A55">
              <w:t xml:space="preserve">Systemic patients rate of relapse at </w:t>
            </w:r>
            <w:r>
              <w:t>year 1</w:t>
            </w:r>
          </w:p>
        </w:tc>
        <w:tc>
          <w:tcPr>
            <w:tcW w:w="1489" w:type="dxa"/>
          </w:tcPr>
          <w:p w:rsidR="00F43108" w:rsidRPr="00237DD3" w:rsidRDefault="00F43108" w:rsidP="000411A9">
            <w:pPr>
              <w:jc w:val="center"/>
              <w:rPr>
                <w:b/>
              </w:rPr>
            </w:pPr>
            <w:r w:rsidRPr="00EE5A55">
              <w:t>2/16 (13%)</w:t>
            </w:r>
          </w:p>
        </w:tc>
        <w:tc>
          <w:tcPr>
            <w:tcW w:w="1559" w:type="dxa"/>
          </w:tcPr>
          <w:p w:rsidR="00F43108" w:rsidRPr="00237DD3" w:rsidRDefault="00F43108" w:rsidP="000411A9">
            <w:pPr>
              <w:jc w:val="center"/>
              <w:rPr>
                <w:b/>
              </w:rPr>
            </w:pPr>
            <w:r w:rsidRPr="00EE5A55">
              <w:t>5/13 (38%)</w:t>
            </w:r>
          </w:p>
        </w:tc>
        <w:tc>
          <w:tcPr>
            <w:tcW w:w="1332" w:type="dxa"/>
          </w:tcPr>
          <w:p w:rsidR="00F43108" w:rsidRPr="00237DD3" w:rsidRDefault="00F43108" w:rsidP="000411A9">
            <w:pPr>
              <w:jc w:val="center"/>
              <w:rPr>
                <w:b/>
              </w:rPr>
            </w:pPr>
            <w:r w:rsidRPr="00EE5A55">
              <w:t>0.1</w:t>
            </w:r>
            <w:r>
              <w:t>92</w:t>
            </w:r>
          </w:p>
        </w:tc>
      </w:tr>
      <w:tr w:rsidR="00F43108" w:rsidRPr="00237DD3" w:rsidTr="000411A9">
        <w:tc>
          <w:tcPr>
            <w:tcW w:w="3085" w:type="dxa"/>
          </w:tcPr>
          <w:p w:rsidR="00F43108" w:rsidRPr="00F01E7A" w:rsidRDefault="00F43108" w:rsidP="00B66093">
            <w:pPr>
              <w:spacing w:after="0" w:line="240" w:lineRule="auto"/>
            </w:pPr>
            <w:r>
              <w:t>Severe r</w:t>
            </w:r>
            <w:r w:rsidRPr="00F01E7A">
              <w:t xml:space="preserve">elapse rate in year </w:t>
            </w:r>
            <w:r>
              <w:t xml:space="preserve">1 </w:t>
            </w:r>
            <w:r w:rsidRPr="00F01E7A">
              <w:t>– no./total no. (%)</w:t>
            </w:r>
          </w:p>
        </w:tc>
        <w:tc>
          <w:tcPr>
            <w:tcW w:w="1489" w:type="dxa"/>
          </w:tcPr>
          <w:p w:rsidR="00F43108" w:rsidRPr="00F01E7A" w:rsidRDefault="00F43108" w:rsidP="000411A9">
            <w:pPr>
              <w:spacing w:after="0" w:line="240" w:lineRule="auto"/>
              <w:jc w:val="center"/>
            </w:pPr>
            <w:r w:rsidRPr="00F01E7A">
              <w:t>6/29 (21%)</w:t>
            </w:r>
          </w:p>
        </w:tc>
        <w:tc>
          <w:tcPr>
            <w:tcW w:w="1559" w:type="dxa"/>
          </w:tcPr>
          <w:p w:rsidR="00F43108" w:rsidRPr="00F01E7A" w:rsidRDefault="00F43108" w:rsidP="000411A9">
            <w:pPr>
              <w:spacing w:after="0" w:line="240" w:lineRule="auto"/>
              <w:jc w:val="center"/>
            </w:pPr>
            <w:r w:rsidRPr="00F01E7A">
              <w:t>10/32 (31%)</w:t>
            </w:r>
          </w:p>
        </w:tc>
        <w:tc>
          <w:tcPr>
            <w:tcW w:w="1332" w:type="dxa"/>
          </w:tcPr>
          <w:p w:rsidR="00F43108" w:rsidRPr="00F01E7A" w:rsidRDefault="00F43108" w:rsidP="000411A9">
            <w:pPr>
              <w:spacing w:after="0" w:line="240" w:lineRule="auto"/>
              <w:jc w:val="center"/>
            </w:pPr>
            <w:r w:rsidRPr="00F01E7A">
              <w:t>0.395</w:t>
            </w:r>
          </w:p>
        </w:tc>
      </w:tr>
      <w:tr w:rsidR="00F43108" w:rsidRPr="00237DD3" w:rsidTr="000411A9">
        <w:tc>
          <w:tcPr>
            <w:tcW w:w="3085" w:type="dxa"/>
          </w:tcPr>
          <w:p w:rsidR="00F43108" w:rsidRDefault="00F43108" w:rsidP="000411A9">
            <w:pPr>
              <w:pStyle w:val="NoSpacing"/>
            </w:pPr>
            <w:r>
              <w:t>Severe relapses in year  1</w:t>
            </w:r>
          </w:p>
          <w:p w:rsidR="00F43108" w:rsidRDefault="00F43108" w:rsidP="000411A9">
            <w:pPr>
              <w:pStyle w:val="NoSpacing"/>
            </w:pPr>
            <w:r>
              <w:t>0</w:t>
            </w:r>
          </w:p>
          <w:p w:rsidR="00F43108" w:rsidRDefault="00F43108" w:rsidP="000411A9">
            <w:pPr>
              <w:pStyle w:val="NoSpacing"/>
            </w:pPr>
            <w:r>
              <w:t>1</w:t>
            </w:r>
          </w:p>
          <w:p w:rsidR="00F43108" w:rsidRDefault="00F43108" w:rsidP="000411A9">
            <w:pPr>
              <w:pStyle w:val="NoSpacing"/>
            </w:pPr>
            <w:r>
              <w:t>2</w:t>
            </w:r>
          </w:p>
          <w:p w:rsidR="00F43108" w:rsidRPr="00237DD3" w:rsidRDefault="00F43108" w:rsidP="000411A9">
            <w:pPr>
              <w:pStyle w:val="NoSpacing"/>
            </w:pPr>
            <w:r>
              <w:t>3 or &gt;3</w:t>
            </w:r>
          </w:p>
        </w:tc>
        <w:tc>
          <w:tcPr>
            <w:tcW w:w="1489" w:type="dxa"/>
          </w:tcPr>
          <w:p w:rsidR="00F43108" w:rsidRPr="00EE5A55" w:rsidRDefault="00F43108" w:rsidP="000411A9">
            <w:pPr>
              <w:spacing w:after="0" w:line="240" w:lineRule="auto"/>
              <w:jc w:val="center"/>
              <w:rPr>
                <w:b/>
              </w:rPr>
            </w:pPr>
          </w:p>
          <w:p w:rsidR="00F43108" w:rsidRPr="00EE5A55" w:rsidRDefault="00F43108" w:rsidP="000411A9">
            <w:pPr>
              <w:spacing w:after="0" w:line="240" w:lineRule="auto"/>
              <w:jc w:val="center"/>
            </w:pPr>
            <w:r w:rsidRPr="00EE5A55">
              <w:t>23</w:t>
            </w:r>
          </w:p>
          <w:p w:rsidR="00F43108" w:rsidRPr="00EE5A55" w:rsidRDefault="00F43108" w:rsidP="000411A9">
            <w:pPr>
              <w:spacing w:after="0" w:line="240" w:lineRule="auto"/>
              <w:jc w:val="center"/>
            </w:pPr>
            <w:r w:rsidRPr="00EE5A55">
              <w:t>3</w:t>
            </w:r>
          </w:p>
          <w:p w:rsidR="00F43108" w:rsidRPr="00EE5A55" w:rsidRDefault="00F43108" w:rsidP="000411A9">
            <w:pPr>
              <w:spacing w:after="0" w:line="240" w:lineRule="auto"/>
              <w:jc w:val="center"/>
            </w:pPr>
            <w:r w:rsidRPr="00EE5A55">
              <w:t>3</w:t>
            </w:r>
          </w:p>
          <w:p w:rsidR="00F43108" w:rsidRPr="00EE5A55" w:rsidRDefault="00F43108" w:rsidP="000411A9">
            <w:pPr>
              <w:spacing w:after="0" w:line="240" w:lineRule="auto"/>
              <w:jc w:val="center"/>
              <w:rPr>
                <w:b/>
              </w:rPr>
            </w:pPr>
            <w:r w:rsidRPr="00EE5A55">
              <w:t>0</w:t>
            </w:r>
          </w:p>
        </w:tc>
        <w:tc>
          <w:tcPr>
            <w:tcW w:w="1559" w:type="dxa"/>
          </w:tcPr>
          <w:p w:rsidR="00F43108" w:rsidRPr="00EE5A55" w:rsidRDefault="00F43108" w:rsidP="000411A9">
            <w:pPr>
              <w:spacing w:after="0" w:line="240" w:lineRule="auto"/>
              <w:jc w:val="center"/>
              <w:rPr>
                <w:b/>
              </w:rPr>
            </w:pPr>
          </w:p>
          <w:p w:rsidR="00F43108" w:rsidRPr="00EE5A55" w:rsidRDefault="00F43108" w:rsidP="000411A9">
            <w:pPr>
              <w:spacing w:after="0" w:line="240" w:lineRule="auto"/>
              <w:jc w:val="center"/>
            </w:pPr>
            <w:r w:rsidRPr="00EE5A55">
              <w:t>22</w:t>
            </w:r>
          </w:p>
          <w:p w:rsidR="00F43108" w:rsidRPr="00EE5A55" w:rsidRDefault="00F43108" w:rsidP="000411A9">
            <w:pPr>
              <w:spacing w:after="0" w:line="240" w:lineRule="auto"/>
              <w:jc w:val="center"/>
            </w:pPr>
            <w:r w:rsidRPr="00EE5A55">
              <w:t>6</w:t>
            </w:r>
          </w:p>
          <w:p w:rsidR="00F43108" w:rsidRPr="00EE5A55" w:rsidRDefault="00F43108" w:rsidP="000411A9">
            <w:pPr>
              <w:spacing w:after="0" w:line="240" w:lineRule="auto"/>
              <w:jc w:val="center"/>
            </w:pPr>
            <w:r w:rsidRPr="00EE5A55">
              <w:t>1</w:t>
            </w:r>
          </w:p>
          <w:p w:rsidR="00F43108" w:rsidRPr="00EE5A55" w:rsidRDefault="00F43108" w:rsidP="000411A9">
            <w:pPr>
              <w:spacing w:after="0" w:line="240" w:lineRule="auto"/>
              <w:jc w:val="center"/>
              <w:rPr>
                <w:b/>
              </w:rPr>
            </w:pPr>
            <w:r>
              <w:t>3</w:t>
            </w:r>
          </w:p>
        </w:tc>
        <w:tc>
          <w:tcPr>
            <w:tcW w:w="1332" w:type="dxa"/>
          </w:tcPr>
          <w:p w:rsidR="00F43108" w:rsidRPr="00EE5A55" w:rsidRDefault="00884A4B" w:rsidP="000411A9">
            <w:pPr>
              <w:spacing w:after="0" w:line="240" w:lineRule="auto"/>
              <w:jc w:val="center"/>
              <w:rPr>
                <w:b/>
              </w:rPr>
            </w:pPr>
            <w:r>
              <w:rPr>
                <w:color w:val="1F497D"/>
                <w:sz w:val="23"/>
                <w:szCs w:val="23"/>
                <w:shd w:val="clear" w:color="auto" w:fill="FFFFFF"/>
              </w:rPr>
              <w:t>0.189</w:t>
            </w:r>
          </w:p>
        </w:tc>
      </w:tr>
      <w:tr w:rsidR="00F43108" w:rsidRPr="00237DD3" w:rsidTr="000411A9">
        <w:tc>
          <w:tcPr>
            <w:tcW w:w="3085" w:type="dxa"/>
          </w:tcPr>
          <w:p w:rsidR="00F43108" w:rsidRPr="002467C7" w:rsidRDefault="00F43108" w:rsidP="000411A9">
            <w:pPr>
              <w:spacing w:after="0" w:line="240" w:lineRule="auto"/>
            </w:pPr>
            <w:r w:rsidRPr="002467C7">
              <w:t xml:space="preserve">Patients on 10mg </w:t>
            </w:r>
            <w:r>
              <w:t>corticosteroid</w:t>
            </w:r>
            <w:r w:rsidRPr="002467C7">
              <w:t xml:space="preserve"> or less – no/total no (%,95 % CI)at year 3</w:t>
            </w:r>
          </w:p>
          <w:p w:rsidR="00F43108" w:rsidRPr="002467C7" w:rsidRDefault="00F43108" w:rsidP="000411A9">
            <w:pPr>
              <w:pStyle w:val="ListParagraph"/>
              <w:numPr>
                <w:ilvl w:val="0"/>
                <w:numId w:val="1"/>
              </w:numPr>
              <w:spacing w:after="0" w:line="240" w:lineRule="auto"/>
            </w:pPr>
            <w:r w:rsidRPr="002467C7">
              <w:t>Ocular patients</w:t>
            </w:r>
          </w:p>
          <w:p w:rsidR="00F43108" w:rsidRPr="002467C7" w:rsidRDefault="00F43108" w:rsidP="000411A9">
            <w:pPr>
              <w:pStyle w:val="ListParagraph"/>
              <w:spacing w:after="0" w:line="240" w:lineRule="auto"/>
            </w:pPr>
            <w:r w:rsidRPr="002467C7">
              <w:t xml:space="preserve">Systemic patients </w:t>
            </w:r>
          </w:p>
        </w:tc>
        <w:tc>
          <w:tcPr>
            <w:tcW w:w="1489" w:type="dxa"/>
          </w:tcPr>
          <w:p w:rsidR="00F43108" w:rsidRPr="002467C7" w:rsidRDefault="00F43108" w:rsidP="000411A9">
            <w:pPr>
              <w:spacing w:after="0" w:line="240" w:lineRule="auto"/>
              <w:jc w:val="center"/>
            </w:pPr>
            <w:r>
              <w:t>12/24 (50%) {29%, 71%</w:t>
            </w:r>
            <w:r w:rsidRPr="002467C7">
              <w:t>}</w:t>
            </w:r>
          </w:p>
          <w:p w:rsidR="00F43108" w:rsidRDefault="00F43108" w:rsidP="000411A9">
            <w:pPr>
              <w:spacing w:after="0" w:line="240" w:lineRule="auto"/>
              <w:jc w:val="center"/>
            </w:pPr>
          </w:p>
          <w:p w:rsidR="00F43108" w:rsidRPr="002467C7" w:rsidRDefault="00F43108" w:rsidP="000411A9">
            <w:pPr>
              <w:spacing w:after="0" w:line="240" w:lineRule="auto"/>
              <w:jc w:val="center"/>
            </w:pPr>
            <w:r w:rsidRPr="002467C7">
              <w:t>4/10 (40%)</w:t>
            </w:r>
          </w:p>
          <w:p w:rsidR="00F43108" w:rsidRPr="002467C7" w:rsidRDefault="00F43108" w:rsidP="000411A9">
            <w:pPr>
              <w:spacing w:after="0" w:line="240" w:lineRule="auto"/>
              <w:jc w:val="center"/>
            </w:pPr>
            <w:r w:rsidRPr="002467C7">
              <w:t>8/14 (57%)</w:t>
            </w:r>
          </w:p>
        </w:tc>
        <w:tc>
          <w:tcPr>
            <w:tcW w:w="1559" w:type="dxa"/>
          </w:tcPr>
          <w:p w:rsidR="00F43108" w:rsidRPr="002467C7" w:rsidRDefault="00F43108" w:rsidP="000411A9">
            <w:pPr>
              <w:spacing w:after="0" w:line="240" w:lineRule="auto"/>
              <w:jc w:val="center"/>
            </w:pPr>
            <w:r>
              <w:t>15/26 (58%) {37%, 77</w:t>
            </w:r>
            <w:r w:rsidRPr="002467C7">
              <w:t>%}</w:t>
            </w:r>
          </w:p>
          <w:p w:rsidR="00F43108" w:rsidRDefault="00F43108" w:rsidP="000411A9">
            <w:pPr>
              <w:spacing w:after="0" w:line="240" w:lineRule="auto"/>
              <w:jc w:val="center"/>
            </w:pPr>
          </w:p>
          <w:p w:rsidR="00F43108" w:rsidRPr="002467C7" w:rsidRDefault="00F43108" w:rsidP="000411A9">
            <w:pPr>
              <w:spacing w:after="0" w:line="240" w:lineRule="auto"/>
              <w:jc w:val="center"/>
            </w:pPr>
            <w:r w:rsidRPr="002467C7">
              <w:t>9/16 (56%)</w:t>
            </w:r>
          </w:p>
          <w:p w:rsidR="00F43108" w:rsidRPr="002467C7" w:rsidRDefault="00F43108" w:rsidP="000411A9">
            <w:pPr>
              <w:spacing w:after="0" w:line="240" w:lineRule="auto"/>
              <w:jc w:val="center"/>
            </w:pPr>
            <w:r w:rsidRPr="002467C7">
              <w:t>6/10 (60%)</w:t>
            </w:r>
          </w:p>
        </w:tc>
        <w:tc>
          <w:tcPr>
            <w:tcW w:w="1332" w:type="dxa"/>
          </w:tcPr>
          <w:p w:rsidR="00F43108" w:rsidRPr="002467C7" w:rsidRDefault="00F43108" w:rsidP="000411A9">
            <w:pPr>
              <w:spacing w:after="0" w:line="240" w:lineRule="auto"/>
              <w:jc w:val="center"/>
            </w:pPr>
            <w:r w:rsidRPr="002467C7">
              <w:t>0.777</w:t>
            </w:r>
          </w:p>
        </w:tc>
      </w:tr>
      <w:tr w:rsidR="00F43108" w:rsidRPr="00237DD3" w:rsidTr="000411A9">
        <w:tc>
          <w:tcPr>
            <w:tcW w:w="3085" w:type="dxa"/>
          </w:tcPr>
          <w:p w:rsidR="00F43108" w:rsidRPr="00EE5A55" w:rsidRDefault="00F43108" w:rsidP="000411A9">
            <w:pPr>
              <w:spacing w:after="0" w:line="240" w:lineRule="auto"/>
            </w:pPr>
            <w:r w:rsidRPr="00EE5A55">
              <w:lastRenderedPageBreak/>
              <w:t xml:space="preserve">Ocular patients rate of relapse at </w:t>
            </w:r>
            <w:r>
              <w:t>year 3</w:t>
            </w:r>
          </w:p>
        </w:tc>
        <w:tc>
          <w:tcPr>
            <w:tcW w:w="1489" w:type="dxa"/>
          </w:tcPr>
          <w:p w:rsidR="00F43108" w:rsidRPr="00EE5A55" w:rsidRDefault="00F43108" w:rsidP="000411A9">
            <w:pPr>
              <w:spacing w:after="0" w:line="240" w:lineRule="auto"/>
              <w:jc w:val="center"/>
            </w:pPr>
            <w:r>
              <w:t>1/10</w:t>
            </w:r>
            <w:r w:rsidRPr="00EE5A55">
              <w:t xml:space="preserve"> (</w:t>
            </w:r>
            <w:r>
              <w:t>10</w:t>
            </w:r>
            <w:r w:rsidRPr="00EE5A55">
              <w:t>%)</w:t>
            </w:r>
          </w:p>
        </w:tc>
        <w:tc>
          <w:tcPr>
            <w:tcW w:w="1559" w:type="dxa"/>
          </w:tcPr>
          <w:p w:rsidR="00F43108" w:rsidRPr="00EE5A55" w:rsidRDefault="00F43108" w:rsidP="000411A9">
            <w:pPr>
              <w:spacing w:after="0" w:line="240" w:lineRule="auto"/>
              <w:jc w:val="center"/>
            </w:pPr>
            <w:r w:rsidRPr="00EE5A55">
              <w:t>2/1</w:t>
            </w:r>
            <w:r>
              <w:t>6</w:t>
            </w:r>
            <w:r w:rsidRPr="00EE5A55">
              <w:t xml:space="preserve"> (1</w:t>
            </w:r>
            <w:r>
              <w:t>2.5</w:t>
            </w:r>
            <w:r w:rsidRPr="00EE5A55">
              <w:t>%)</w:t>
            </w:r>
          </w:p>
        </w:tc>
        <w:tc>
          <w:tcPr>
            <w:tcW w:w="1332" w:type="dxa"/>
          </w:tcPr>
          <w:p w:rsidR="00F43108" w:rsidRPr="00EE5A55" w:rsidRDefault="00F43108" w:rsidP="000411A9">
            <w:pPr>
              <w:spacing w:after="0" w:line="240" w:lineRule="auto"/>
              <w:jc w:val="center"/>
            </w:pPr>
            <w:r w:rsidRPr="00EE5A55">
              <w:t>1.000</w:t>
            </w:r>
          </w:p>
        </w:tc>
      </w:tr>
      <w:tr w:rsidR="00F43108" w:rsidRPr="00237DD3" w:rsidTr="000411A9">
        <w:tc>
          <w:tcPr>
            <w:tcW w:w="3085" w:type="dxa"/>
          </w:tcPr>
          <w:p w:rsidR="00F43108" w:rsidRPr="00EE5A55" w:rsidRDefault="00F43108" w:rsidP="000411A9">
            <w:pPr>
              <w:spacing w:after="0" w:line="240" w:lineRule="auto"/>
            </w:pPr>
            <w:r w:rsidRPr="00EE5A55">
              <w:t xml:space="preserve">Systemic patients rate of relapse at </w:t>
            </w:r>
            <w:r>
              <w:t>year 3</w:t>
            </w:r>
          </w:p>
        </w:tc>
        <w:tc>
          <w:tcPr>
            <w:tcW w:w="1489" w:type="dxa"/>
          </w:tcPr>
          <w:p w:rsidR="00F43108" w:rsidRPr="00EE5A55" w:rsidRDefault="00F43108" w:rsidP="000411A9">
            <w:pPr>
              <w:spacing w:after="0" w:line="240" w:lineRule="auto"/>
              <w:jc w:val="center"/>
            </w:pPr>
            <w:r w:rsidRPr="00EE5A55">
              <w:t>2/14 (14%)</w:t>
            </w:r>
          </w:p>
        </w:tc>
        <w:tc>
          <w:tcPr>
            <w:tcW w:w="1559" w:type="dxa"/>
          </w:tcPr>
          <w:p w:rsidR="00F43108" w:rsidRPr="00EE5A55" w:rsidRDefault="00F43108" w:rsidP="000411A9">
            <w:pPr>
              <w:spacing w:after="0" w:line="240" w:lineRule="auto"/>
              <w:jc w:val="center"/>
            </w:pPr>
            <w:r w:rsidRPr="00EE5A55">
              <w:t>3/1</w:t>
            </w:r>
            <w:r>
              <w:t>0</w:t>
            </w:r>
            <w:r w:rsidRPr="00EE5A55">
              <w:t xml:space="preserve"> (</w:t>
            </w:r>
            <w:r>
              <w:t>30</w:t>
            </w:r>
            <w:r w:rsidRPr="00EE5A55">
              <w:t>%)</w:t>
            </w:r>
          </w:p>
        </w:tc>
        <w:tc>
          <w:tcPr>
            <w:tcW w:w="1332" w:type="dxa"/>
          </w:tcPr>
          <w:p w:rsidR="00F43108" w:rsidRPr="00EE5A55" w:rsidRDefault="00F43108" w:rsidP="000411A9">
            <w:pPr>
              <w:spacing w:after="0" w:line="240" w:lineRule="auto"/>
              <w:jc w:val="center"/>
            </w:pPr>
            <w:r w:rsidRPr="00EE5A55">
              <w:t>0.6</w:t>
            </w:r>
            <w:r>
              <w:t>15</w:t>
            </w:r>
          </w:p>
        </w:tc>
      </w:tr>
      <w:tr w:rsidR="00F43108" w:rsidRPr="00237DD3" w:rsidTr="000411A9">
        <w:tc>
          <w:tcPr>
            <w:tcW w:w="3085" w:type="dxa"/>
          </w:tcPr>
          <w:p w:rsidR="00F43108" w:rsidRPr="00420A11" w:rsidRDefault="00F43108" w:rsidP="000411A9">
            <w:pPr>
              <w:spacing w:after="0" w:line="240" w:lineRule="auto"/>
            </w:pPr>
            <w:r>
              <w:t xml:space="preserve">Severe </w:t>
            </w:r>
            <w:r w:rsidRPr="00420A11">
              <w:t xml:space="preserve">Relapse rate in year </w:t>
            </w:r>
            <w:r>
              <w:t>3</w:t>
            </w:r>
            <w:r w:rsidRPr="00420A11">
              <w:t xml:space="preserve"> – no./total no. (%)</w:t>
            </w:r>
          </w:p>
        </w:tc>
        <w:tc>
          <w:tcPr>
            <w:tcW w:w="1489" w:type="dxa"/>
          </w:tcPr>
          <w:p w:rsidR="00F43108" w:rsidRPr="00420A11" w:rsidRDefault="00F43108" w:rsidP="000411A9">
            <w:pPr>
              <w:spacing w:after="0" w:line="240" w:lineRule="auto"/>
              <w:jc w:val="center"/>
            </w:pPr>
            <w:r w:rsidRPr="00420A11">
              <w:t>3/24 (12.5%)</w:t>
            </w:r>
          </w:p>
        </w:tc>
        <w:tc>
          <w:tcPr>
            <w:tcW w:w="1559" w:type="dxa"/>
          </w:tcPr>
          <w:p w:rsidR="00F43108" w:rsidRPr="00420A11" w:rsidRDefault="00F43108" w:rsidP="000411A9">
            <w:pPr>
              <w:spacing w:after="0" w:line="240" w:lineRule="auto"/>
              <w:jc w:val="center"/>
            </w:pPr>
            <w:r w:rsidRPr="00420A11">
              <w:t>5/26 (19%)</w:t>
            </w:r>
          </w:p>
        </w:tc>
        <w:tc>
          <w:tcPr>
            <w:tcW w:w="1332" w:type="dxa"/>
          </w:tcPr>
          <w:p w:rsidR="00F43108" w:rsidRPr="00420A11" w:rsidRDefault="00F43108" w:rsidP="000411A9">
            <w:pPr>
              <w:spacing w:after="0" w:line="240" w:lineRule="auto"/>
              <w:jc w:val="center"/>
            </w:pPr>
            <w:r w:rsidRPr="00420A11">
              <w:t>0.704</w:t>
            </w:r>
          </w:p>
        </w:tc>
      </w:tr>
      <w:tr w:rsidR="00F43108" w:rsidRPr="00237DD3" w:rsidTr="000411A9">
        <w:tc>
          <w:tcPr>
            <w:tcW w:w="3085" w:type="dxa"/>
          </w:tcPr>
          <w:p w:rsidR="00F43108" w:rsidRDefault="00F43108" w:rsidP="000411A9">
            <w:pPr>
              <w:pStyle w:val="NoSpacing"/>
            </w:pPr>
            <w:r>
              <w:t>Severe relapses in year 3</w:t>
            </w:r>
          </w:p>
          <w:p w:rsidR="00F43108" w:rsidRDefault="00F43108" w:rsidP="000411A9">
            <w:pPr>
              <w:pStyle w:val="NoSpacing"/>
            </w:pPr>
            <w:r>
              <w:t>0</w:t>
            </w:r>
          </w:p>
          <w:p w:rsidR="00F43108" w:rsidRDefault="00F43108" w:rsidP="000411A9">
            <w:pPr>
              <w:pStyle w:val="NoSpacing"/>
            </w:pPr>
            <w:r>
              <w:t>1</w:t>
            </w:r>
          </w:p>
          <w:p w:rsidR="00F43108" w:rsidRDefault="00F43108" w:rsidP="000411A9">
            <w:pPr>
              <w:pStyle w:val="NoSpacing"/>
            </w:pPr>
            <w:r>
              <w:t>2</w:t>
            </w:r>
          </w:p>
          <w:p w:rsidR="00F43108" w:rsidRPr="00237DD3" w:rsidRDefault="00F43108" w:rsidP="000411A9">
            <w:pPr>
              <w:pStyle w:val="NoSpacing"/>
              <w:rPr>
                <w:b/>
              </w:rPr>
            </w:pPr>
            <w:r>
              <w:t>3 or &gt;3</w:t>
            </w:r>
          </w:p>
        </w:tc>
        <w:tc>
          <w:tcPr>
            <w:tcW w:w="1489" w:type="dxa"/>
          </w:tcPr>
          <w:p w:rsidR="00F43108" w:rsidRPr="00420A11" w:rsidRDefault="00F43108" w:rsidP="000411A9">
            <w:pPr>
              <w:spacing w:after="0" w:line="240" w:lineRule="auto"/>
              <w:jc w:val="center"/>
            </w:pPr>
          </w:p>
          <w:p w:rsidR="00F43108" w:rsidRPr="00420A11" w:rsidRDefault="00F43108" w:rsidP="000411A9">
            <w:pPr>
              <w:spacing w:after="0" w:line="240" w:lineRule="auto"/>
              <w:jc w:val="center"/>
            </w:pPr>
            <w:r>
              <w:t>21</w:t>
            </w:r>
          </w:p>
          <w:p w:rsidR="00F43108" w:rsidRPr="00420A11" w:rsidRDefault="00F43108" w:rsidP="000411A9">
            <w:pPr>
              <w:spacing w:after="0" w:line="240" w:lineRule="auto"/>
              <w:jc w:val="center"/>
            </w:pPr>
            <w:r w:rsidRPr="00420A11">
              <w:t>2</w:t>
            </w:r>
          </w:p>
          <w:p w:rsidR="00F43108" w:rsidRPr="00420A11" w:rsidRDefault="00F43108" w:rsidP="000411A9">
            <w:pPr>
              <w:spacing w:after="0" w:line="240" w:lineRule="auto"/>
              <w:jc w:val="center"/>
            </w:pPr>
            <w:r w:rsidRPr="00420A11">
              <w:t>0</w:t>
            </w:r>
          </w:p>
          <w:p w:rsidR="00F43108" w:rsidRPr="00420A11" w:rsidRDefault="00F43108" w:rsidP="000411A9">
            <w:pPr>
              <w:spacing w:after="0" w:line="240" w:lineRule="auto"/>
              <w:jc w:val="center"/>
            </w:pPr>
            <w:r w:rsidRPr="00420A11">
              <w:t>1</w:t>
            </w:r>
          </w:p>
        </w:tc>
        <w:tc>
          <w:tcPr>
            <w:tcW w:w="1559" w:type="dxa"/>
          </w:tcPr>
          <w:p w:rsidR="00F43108" w:rsidRDefault="00F43108" w:rsidP="000411A9">
            <w:pPr>
              <w:spacing w:after="0" w:line="240" w:lineRule="auto"/>
              <w:jc w:val="center"/>
            </w:pPr>
          </w:p>
          <w:p w:rsidR="00F43108" w:rsidRPr="00420A11" w:rsidRDefault="00F43108" w:rsidP="000411A9">
            <w:pPr>
              <w:spacing w:after="0" w:line="240" w:lineRule="auto"/>
              <w:jc w:val="center"/>
            </w:pPr>
            <w:r>
              <w:t>21</w:t>
            </w:r>
          </w:p>
          <w:p w:rsidR="00F43108" w:rsidRPr="00420A11" w:rsidRDefault="00F43108" w:rsidP="000411A9">
            <w:pPr>
              <w:spacing w:after="0" w:line="240" w:lineRule="auto"/>
              <w:jc w:val="center"/>
            </w:pPr>
            <w:r>
              <w:t>4</w:t>
            </w:r>
          </w:p>
          <w:p w:rsidR="00F43108" w:rsidRPr="00420A11" w:rsidRDefault="00F43108" w:rsidP="000411A9">
            <w:pPr>
              <w:spacing w:after="0" w:line="240" w:lineRule="auto"/>
              <w:jc w:val="center"/>
            </w:pPr>
            <w:r w:rsidRPr="00420A11">
              <w:t>1</w:t>
            </w:r>
          </w:p>
          <w:p w:rsidR="00F43108" w:rsidRPr="00420A11" w:rsidRDefault="00F43108" w:rsidP="000411A9">
            <w:pPr>
              <w:spacing w:after="0" w:line="240" w:lineRule="auto"/>
              <w:jc w:val="center"/>
            </w:pPr>
            <w:r w:rsidRPr="00420A11">
              <w:t>0</w:t>
            </w:r>
          </w:p>
        </w:tc>
        <w:tc>
          <w:tcPr>
            <w:tcW w:w="1332" w:type="dxa"/>
          </w:tcPr>
          <w:p w:rsidR="00F43108" w:rsidRPr="00420A11" w:rsidRDefault="00884A4B" w:rsidP="000411A9">
            <w:pPr>
              <w:spacing w:after="0" w:line="240" w:lineRule="auto"/>
              <w:jc w:val="center"/>
            </w:pPr>
            <w:r>
              <w:rPr>
                <w:color w:val="1F497D"/>
                <w:sz w:val="23"/>
                <w:szCs w:val="23"/>
                <w:shd w:val="clear" w:color="auto" w:fill="FFFFFF"/>
              </w:rPr>
              <w:t>0.658</w:t>
            </w:r>
          </w:p>
        </w:tc>
      </w:tr>
    </w:tbl>
    <w:p w:rsidR="00F43108" w:rsidRDefault="00F43108" w:rsidP="000411A9"/>
    <w:p w:rsidR="00F43108" w:rsidRPr="004E3835" w:rsidRDefault="00F43108">
      <w:pPr>
        <w:rPr>
          <w:b/>
        </w:rPr>
      </w:pPr>
      <w:r>
        <w:rPr>
          <w:b/>
        </w:rPr>
        <w:t>Outcomes for patients on corticosteroids at baseline</w:t>
      </w:r>
    </w:p>
    <w:p w:rsidR="00F43108" w:rsidRDefault="000F5926" w:rsidP="004F026D">
      <w:pPr>
        <w:pStyle w:val="NoSpacing"/>
        <w:spacing w:line="276" w:lineRule="auto"/>
      </w:pPr>
      <w:r>
        <w:t xml:space="preserve">The secondary analysis included evaluation of treatment effect among patient receiving corticosteroids at baseline. </w:t>
      </w:r>
      <w:r w:rsidR="00F43108" w:rsidRPr="00CA1CFE">
        <w:t xml:space="preserve">The baseline characteristics of </w:t>
      </w:r>
      <w:r>
        <w:t xml:space="preserve">these </w:t>
      </w:r>
      <w:r w:rsidR="00F43108" w:rsidRPr="00CA1CFE">
        <w:t>patients (25/36 in each arm)</w:t>
      </w:r>
      <w:r w:rsidR="00F43108">
        <w:t xml:space="preserve"> were the same between </w:t>
      </w:r>
      <w:r w:rsidR="00F43108" w:rsidRPr="00CA1CFE">
        <w:t>t</w:t>
      </w:r>
      <w:r w:rsidR="00F43108">
        <w:t>he two treatment groups (</w:t>
      </w:r>
      <w:r w:rsidR="00DB79F7" w:rsidRPr="00812771">
        <w:rPr>
          <w:rFonts w:asciiTheme="minorHAnsi" w:hAnsiTheme="minorHAnsi" w:cs="Arial"/>
        </w:rPr>
        <w:t>online supplementary</w:t>
      </w:r>
      <w:r w:rsidR="00DB79F7">
        <w:rPr>
          <w:rFonts w:ascii="Arial" w:hAnsi="Arial" w:cs="Arial"/>
        </w:rPr>
        <w:t xml:space="preserve"> </w:t>
      </w:r>
      <w:r w:rsidR="00F43108" w:rsidRPr="00CA1CFE">
        <w:t>Table</w:t>
      </w:r>
      <w:r w:rsidR="00DB79F7">
        <w:t xml:space="preserve"> S2</w:t>
      </w:r>
      <w:r w:rsidR="00F43108">
        <w:t>).  However at 1 year</w:t>
      </w:r>
      <w:r w:rsidR="00F43108" w:rsidRPr="00CA1CFE">
        <w:t xml:space="preserve">, the corticosteroid </w:t>
      </w:r>
      <w:r w:rsidR="00F43108">
        <w:t xml:space="preserve">dose </w:t>
      </w:r>
      <w:r w:rsidR="00F43108" w:rsidRPr="00CA1CFE">
        <w:t xml:space="preserve">required to control the disease was significantly </w:t>
      </w:r>
      <w:r w:rsidR="00F43108">
        <w:t>lower</w:t>
      </w:r>
      <w:r w:rsidR="00F43108" w:rsidRPr="00CA1CFE">
        <w:t xml:space="preserve"> in the </w:t>
      </w:r>
      <w:r w:rsidR="00F43108">
        <w:t xml:space="preserve">peginterferon-α-2b </w:t>
      </w:r>
      <w:r w:rsidR="00F43108" w:rsidRPr="00CA1CFE">
        <w:t>group (6.5mg/day</w:t>
      </w:r>
      <w:r w:rsidR="00DB79F7">
        <w:t xml:space="preserve"> </w:t>
      </w:r>
      <w:r w:rsidR="00652883">
        <w:t>{</w:t>
      </w:r>
      <w:r w:rsidR="00F43108" w:rsidRPr="00CA1CFE">
        <w:t>5</w:t>
      </w:r>
      <w:r w:rsidR="00F43108">
        <w:t>-</w:t>
      </w:r>
      <w:r w:rsidR="00F43108" w:rsidRPr="00CA1CFE">
        <w:t>15</w:t>
      </w:r>
      <w:r w:rsidR="00652883">
        <w:t>}</w:t>
      </w:r>
      <w:r w:rsidR="00F43108">
        <w:t>) compared with the non-interferon group (10</w:t>
      </w:r>
      <w:r w:rsidR="00F43108" w:rsidRPr="00CA1CFE">
        <w:t xml:space="preserve">mg/day </w:t>
      </w:r>
      <w:r w:rsidR="00652883">
        <w:t>{</w:t>
      </w:r>
      <w:r w:rsidR="00F43108">
        <w:t>8.25-16.5</w:t>
      </w:r>
      <w:r w:rsidR="00652883">
        <w:t>}</w:t>
      </w:r>
      <w:r w:rsidR="00F43108">
        <w:t xml:space="preserve">, </w:t>
      </w:r>
      <w:r w:rsidR="00F43108" w:rsidRPr="00CA1CFE">
        <w:t xml:space="preserve">p=0.039).  This effect was lost by </w:t>
      </w:r>
      <w:r w:rsidR="00F43108">
        <w:t>three</w:t>
      </w:r>
      <w:r w:rsidR="00F43108" w:rsidRPr="00CA1CFE">
        <w:t xml:space="preserve"> years whe</w:t>
      </w:r>
      <w:r w:rsidR="00F43108">
        <w:t>n</w:t>
      </w:r>
      <w:r w:rsidR="00F43108" w:rsidRPr="00CA1CFE">
        <w:t xml:space="preserve"> the amount of corticosteroid was</w:t>
      </w:r>
      <w:r w:rsidR="00F43108">
        <w:t xml:space="preserve"> the same in both groups at 8.8</w:t>
      </w:r>
      <w:r w:rsidR="00F43108" w:rsidRPr="00CA1CFE">
        <w:t xml:space="preserve">mg/day </w:t>
      </w:r>
      <w:r w:rsidR="004F026D">
        <w:t>{</w:t>
      </w:r>
      <w:r w:rsidR="00F43108" w:rsidRPr="00CA1CFE">
        <w:t>0.4</w:t>
      </w:r>
      <w:r w:rsidR="00F43108">
        <w:t>-</w:t>
      </w:r>
      <w:r w:rsidR="00F43108" w:rsidRPr="00CA1CFE">
        <w:t>10</w:t>
      </w:r>
      <w:r w:rsidR="004F026D">
        <w:t>}</w:t>
      </w:r>
      <w:r w:rsidR="00F43108" w:rsidRPr="00CA1CFE">
        <w:t xml:space="preserve"> in the non-interferon group versus 8.8mg/day </w:t>
      </w:r>
      <w:r w:rsidR="004F026D">
        <w:t>{</w:t>
      </w:r>
      <w:r w:rsidR="00F43108" w:rsidRPr="00CA1CFE">
        <w:t>6.7</w:t>
      </w:r>
      <w:r w:rsidR="00F43108">
        <w:t>-</w:t>
      </w:r>
      <w:r w:rsidR="00F43108" w:rsidRPr="00CA1CFE">
        <w:t>14.6</w:t>
      </w:r>
      <w:r w:rsidR="004F026D">
        <w:t>}</w:t>
      </w:r>
      <w:r w:rsidR="00F43108" w:rsidRPr="00CA1CFE">
        <w:t xml:space="preserve"> in the </w:t>
      </w:r>
      <w:r w:rsidR="00F43108">
        <w:t xml:space="preserve">peginterferon-α-2b </w:t>
      </w:r>
      <w:r w:rsidR="00F43108" w:rsidRPr="00CA1CFE">
        <w:t>group (</w:t>
      </w:r>
      <w:r w:rsidR="00F43108">
        <w:t>p</w:t>
      </w:r>
      <w:r w:rsidR="00F43108" w:rsidRPr="00CA1CFE">
        <w:t xml:space="preserve">=0.309).  Additionally there was a </w:t>
      </w:r>
      <w:r w:rsidR="00F43108">
        <w:t xml:space="preserve">non-significant </w:t>
      </w:r>
      <w:r w:rsidR="00F43108" w:rsidRPr="00CA1CFE">
        <w:t xml:space="preserve">trend for less use of </w:t>
      </w:r>
      <w:r w:rsidR="00F43108">
        <w:t xml:space="preserve">2nd-line immunosuppressive agents, </w:t>
      </w:r>
      <w:r w:rsidR="00F43108" w:rsidRPr="00CA1CFE">
        <w:t xml:space="preserve">use of biologics and a decreased severe relapse rate in the peginterferon treated group at 1 year </w:t>
      </w:r>
      <w:r w:rsidR="00F43108">
        <w:t>that</w:t>
      </w:r>
      <w:r w:rsidR="00F43108" w:rsidRPr="00CA1CFE">
        <w:t xml:space="preserve"> was also less apparent by 3 years (Table </w:t>
      </w:r>
      <w:r w:rsidR="00DB79F7">
        <w:t>3</w:t>
      </w:r>
      <w:r w:rsidR="00F43108" w:rsidRPr="00CA1CFE">
        <w:t>)</w:t>
      </w:r>
      <w:r w:rsidR="00F43108">
        <w:t>.</w:t>
      </w:r>
      <w:r w:rsidR="00E266D0">
        <w:t xml:space="preserve"> </w:t>
      </w:r>
      <w:r w:rsidR="00F43108">
        <w:t>R</w:t>
      </w:r>
      <w:r w:rsidR="00F43108" w:rsidRPr="00CA1CFE">
        <w:t xml:space="preserve">esponse </w:t>
      </w:r>
      <w:r w:rsidR="00F43108">
        <w:t xml:space="preserve">was unaffected by the duration of </w:t>
      </w:r>
      <w:r w:rsidR="00F43108" w:rsidRPr="00CA1CFE">
        <w:t>disease</w:t>
      </w:r>
      <w:r w:rsidR="00F43108">
        <w:t>, location (</w:t>
      </w:r>
      <w:r w:rsidR="00F43108" w:rsidRPr="00CA1CFE">
        <w:t xml:space="preserve">ocular </w:t>
      </w:r>
      <w:r w:rsidR="00F43108">
        <w:t>or</w:t>
      </w:r>
      <w:r w:rsidR="00F43108" w:rsidRPr="00CA1CFE">
        <w:t xml:space="preserve"> systemic</w:t>
      </w:r>
      <w:r w:rsidR="00F43108">
        <w:t>), age</w:t>
      </w:r>
      <w:r w:rsidR="00025C0D">
        <w:t xml:space="preserve"> </w:t>
      </w:r>
      <w:r w:rsidR="009A6AAC">
        <w:t>or</w:t>
      </w:r>
      <w:r w:rsidR="00025C0D">
        <w:t xml:space="preserve"> </w:t>
      </w:r>
      <w:r w:rsidR="00F43108" w:rsidRPr="00CA1CFE">
        <w:t>gender.</w:t>
      </w:r>
    </w:p>
    <w:p w:rsidR="00F43108" w:rsidRDefault="00F43108">
      <w:pPr>
        <w:rPr>
          <w:b/>
        </w:rPr>
      </w:pPr>
    </w:p>
    <w:p w:rsidR="00F43108" w:rsidRDefault="00F43108" w:rsidP="00DB79F7">
      <w:pPr>
        <w:rPr>
          <w:b/>
        </w:rPr>
      </w:pPr>
      <w:r>
        <w:rPr>
          <w:b/>
        </w:rPr>
        <w:t xml:space="preserve">Table </w:t>
      </w:r>
      <w:r w:rsidR="00DB79F7">
        <w:rPr>
          <w:b/>
        </w:rPr>
        <w:t>3</w:t>
      </w:r>
      <w:r>
        <w:rPr>
          <w:b/>
        </w:rPr>
        <w:t xml:space="preserve">- </w:t>
      </w:r>
      <w:r w:rsidRPr="00D064F2">
        <w:t>Change from Baseline in patients on corticosteroids at baseline</w:t>
      </w:r>
    </w:p>
    <w:tbl>
      <w:tblPr>
        <w:tblpPr w:leftFromText="180" w:rightFromText="180" w:vertAnchor="text" w:horzAnchor="margin" w:tblpY="3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560"/>
        <w:gridCol w:w="1701"/>
        <w:gridCol w:w="1134"/>
      </w:tblGrid>
      <w:tr w:rsidR="00F43108" w:rsidRPr="00F10CF7" w:rsidTr="000411A9">
        <w:trPr>
          <w:trHeight w:val="433"/>
        </w:trPr>
        <w:tc>
          <w:tcPr>
            <w:tcW w:w="2943" w:type="dxa"/>
          </w:tcPr>
          <w:p w:rsidR="00F43108" w:rsidRPr="00237DD3" w:rsidRDefault="00F43108" w:rsidP="000411A9">
            <w:pPr>
              <w:rPr>
                <w:b/>
              </w:rPr>
            </w:pPr>
            <w:r>
              <w:rPr>
                <w:b/>
              </w:rPr>
              <w:t>Measure</w:t>
            </w:r>
          </w:p>
        </w:tc>
        <w:tc>
          <w:tcPr>
            <w:tcW w:w="1560" w:type="dxa"/>
          </w:tcPr>
          <w:p w:rsidR="00F43108" w:rsidRPr="00237DD3" w:rsidRDefault="00F43108" w:rsidP="000411A9">
            <w:pPr>
              <w:jc w:val="center"/>
              <w:rPr>
                <w:b/>
              </w:rPr>
            </w:pPr>
            <w:r>
              <w:rPr>
                <w:b/>
              </w:rPr>
              <w:t>Peginterferon</w:t>
            </w:r>
          </w:p>
        </w:tc>
        <w:tc>
          <w:tcPr>
            <w:tcW w:w="1701" w:type="dxa"/>
          </w:tcPr>
          <w:p w:rsidR="00F43108" w:rsidRPr="00237DD3" w:rsidRDefault="00F43108" w:rsidP="000411A9">
            <w:pPr>
              <w:jc w:val="center"/>
              <w:rPr>
                <w:b/>
              </w:rPr>
            </w:pPr>
            <w:r>
              <w:rPr>
                <w:b/>
              </w:rPr>
              <w:t>Non- interferon</w:t>
            </w:r>
          </w:p>
        </w:tc>
        <w:tc>
          <w:tcPr>
            <w:tcW w:w="1134" w:type="dxa"/>
          </w:tcPr>
          <w:p w:rsidR="00F43108" w:rsidRPr="00237DD3" w:rsidRDefault="00F43108" w:rsidP="000411A9">
            <w:pPr>
              <w:jc w:val="center"/>
              <w:rPr>
                <w:b/>
              </w:rPr>
            </w:pPr>
            <w:r>
              <w:rPr>
                <w:b/>
              </w:rPr>
              <w:t>P value</w:t>
            </w:r>
          </w:p>
        </w:tc>
      </w:tr>
      <w:tr w:rsidR="00F43108" w:rsidRPr="00F10CF7" w:rsidTr="000411A9">
        <w:trPr>
          <w:trHeight w:val="433"/>
        </w:trPr>
        <w:tc>
          <w:tcPr>
            <w:tcW w:w="2943" w:type="dxa"/>
          </w:tcPr>
          <w:p w:rsidR="00F43108" w:rsidRDefault="00F43108" w:rsidP="000411A9">
            <w:pPr>
              <w:pStyle w:val="NoSpacing"/>
            </w:pPr>
            <w:r>
              <w:t>Corticosteroid dose mg/day</w:t>
            </w:r>
          </w:p>
          <w:p w:rsidR="00F43108" w:rsidRDefault="00F43108" w:rsidP="000411A9">
            <w:pPr>
              <w:pStyle w:val="NoSpacing"/>
            </w:pPr>
            <w:r>
              <w:t>at 1 year</w:t>
            </w:r>
          </w:p>
        </w:tc>
        <w:tc>
          <w:tcPr>
            <w:tcW w:w="1560" w:type="dxa"/>
          </w:tcPr>
          <w:p w:rsidR="00F43108" w:rsidRDefault="00F43108" w:rsidP="000411A9">
            <w:pPr>
              <w:pStyle w:val="NoSpacing"/>
              <w:jc w:val="center"/>
            </w:pPr>
            <w:r>
              <w:t>6.5 (5,</w:t>
            </w:r>
            <w:r w:rsidR="00B66093">
              <w:t xml:space="preserve"> </w:t>
            </w:r>
            <w:r>
              <w:t>15)</w:t>
            </w:r>
          </w:p>
        </w:tc>
        <w:tc>
          <w:tcPr>
            <w:tcW w:w="1701" w:type="dxa"/>
          </w:tcPr>
          <w:p w:rsidR="00F43108" w:rsidRDefault="00F43108" w:rsidP="000411A9">
            <w:pPr>
              <w:pStyle w:val="NoSpacing"/>
              <w:jc w:val="center"/>
            </w:pPr>
            <w:r>
              <w:t>10 (8.25, 16.5)</w:t>
            </w:r>
          </w:p>
        </w:tc>
        <w:tc>
          <w:tcPr>
            <w:tcW w:w="1134" w:type="dxa"/>
          </w:tcPr>
          <w:p w:rsidR="00F43108" w:rsidRPr="007D50B3" w:rsidRDefault="00F43108" w:rsidP="000411A9">
            <w:pPr>
              <w:jc w:val="center"/>
              <w:rPr>
                <w:bCs/>
              </w:rPr>
            </w:pPr>
            <w:r w:rsidRPr="007D50B3">
              <w:rPr>
                <w:bCs/>
              </w:rPr>
              <w:t>0.039</w:t>
            </w:r>
          </w:p>
        </w:tc>
      </w:tr>
      <w:tr w:rsidR="00F43108" w:rsidRPr="00C44C39" w:rsidTr="000411A9">
        <w:tc>
          <w:tcPr>
            <w:tcW w:w="2943" w:type="dxa"/>
          </w:tcPr>
          <w:p w:rsidR="00F43108" w:rsidRDefault="00F43108" w:rsidP="000411A9">
            <w:pPr>
              <w:pStyle w:val="NoSpacing"/>
            </w:pPr>
            <w:r>
              <w:t>Corticosteroid dose mg/day</w:t>
            </w:r>
          </w:p>
          <w:p w:rsidR="00F43108" w:rsidRDefault="00F43108" w:rsidP="000411A9">
            <w:pPr>
              <w:pStyle w:val="NoSpacing"/>
            </w:pPr>
            <w:r>
              <w:t>at 3 years</w:t>
            </w:r>
          </w:p>
        </w:tc>
        <w:tc>
          <w:tcPr>
            <w:tcW w:w="1560" w:type="dxa"/>
          </w:tcPr>
          <w:p w:rsidR="00F43108" w:rsidRPr="00904380" w:rsidRDefault="00F43108" w:rsidP="000411A9">
            <w:pPr>
              <w:pStyle w:val="NoSpacing"/>
              <w:jc w:val="center"/>
            </w:pPr>
            <w:r>
              <w:t>8.8 (0.4,</w:t>
            </w:r>
            <w:r w:rsidR="00B66093">
              <w:t xml:space="preserve"> </w:t>
            </w:r>
            <w:r>
              <w:t>10)</w:t>
            </w:r>
          </w:p>
        </w:tc>
        <w:tc>
          <w:tcPr>
            <w:tcW w:w="1701" w:type="dxa"/>
          </w:tcPr>
          <w:p w:rsidR="00F43108" w:rsidRPr="00904380" w:rsidRDefault="00F43108" w:rsidP="000411A9">
            <w:pPr>
              <w:pStyle w:val="NoSpacing"/>
              <w:jc w:val="center"/>
            </w:pPr>
            <w:r>
              <w:t>8.8 (6.7, 14.6)</w:t>
            </w:r>
          </w:p>
        </w:tc>
        <w:tc>
          <w:tcPr>
            <w:tcW w:w="1134" w:type="dxa"/>
          </w:tcPr>
          <w:p w:rsidR="00F43108" w:rsidRPr="00C44C39" w:rsidRDefault="00F43108" w:rsidP="000411A9">
            <w:pPr>
              <w:tabs>
                <w:tab w:val="center" w:pos="4513"/>
                <w:tab w:val="right" w:pos="9026"/>
              </w:tabs>
              <w:jc w:val="center"/>
            </w:pPr>
            <w:r>
              <w:t>0.309</w:t>
            </w:r>
          </w:p>
        </w:tc>
      </w:tr>
      <w:tr w:rsidR="00F43108" w:rsidRPr="00C44C39" w:rsidTr="000411A9">
        <w:tc>
          <w:tcPr>
            <w:tcW w:w="2943" w:type="dxa"/>
          </w:tcPr>
          <w:p w:rsidR="00F43108" w:rsidRDefault="00F43108" w:rsidP="00884A4B">
            <w:pPr>
              <w:pStyle w:val="NoSpacing"/>
              <w:spacing w:after="200" w:line="276" w:lineRule="auto"/>
            </w:pPr>
            <w:r w:rsidRPr="00233417">
              <w:t>Change from baseline in number of 2</w:t>
            </w:r>
            <w:r w:rsidRPr="00233417">
              <w:rPr>
                <w:vertAlign w:val="superscript"/>
              </w:rPr>
              <w:t>nd</w:t>
            </w:r>
            <w:r w:rsidRPr="00233417">
              <w:t xml:space="preserve"> line agents, mean (SD)</w:t>
            </w:r>
          </w:p>
          <w:p w:rsidR="00F43108" w:rsidRPr="002F4EC2" w:rsidRDefault="00F43108" w:rsidP="000411A9">
            <w:pPr>
              <w:pStyle w:val="NoSpacing"/>
              <w:spacing w:after="200" w:line="276" w:lineRule="auto"/>
            </w:pPr>
            <w:r>
              <w:t>A</w:t>
            </w:r>
            <w:r w:rsidRPr="00233417">
              <w:t>t Year 1</w:t>
            </w:r>
          </w:p>
          <w:p w:rsidR="00F43108" w:rsidRPr="002F4EC2" w:rsidRDefault="00F43108" w:rsidP="000411A9">
            <w:pPr>
              <w:pStyle w:val="NoSpacing"/>
              <w:spacing w:after="200" w:line="276" w:lineRule="auto"/>
            </w:pPr>
            <w:r w:rsidRPr="00233417">
              <w:t>At Year 3</w:t>
            </w:r>
          </w:p>
          <w:p w:rsidR="00F43108" w:rsidRPr="002F4EC2" w:rsidRDefault="00F43108" w:rsidP="000411A9">
            <w:pPr>
              <w:pStyle w:val="NoSpacing"/>
              <w:spacing w:after="200" w:line="276" w:lineRule="auto"/>
            </w:pPr>
          </w:p>
        </w:tc>
        <w:tc>
          <w:tcPr>
            <w:tcW w:w="1560" w:type="dxa"/>
          </w:tcPr>
          <w:p w:rsidR="00F43108" w:rsidRPr="002F4EC2" w:rsidRDefault="00F43108" w:rsidP="000411A9">
            <w:pPr>
              <w:pStyle w:val="NoSpacing"/>
              <w:spacing w:after="200" w:line="276" w:lineRule="auto"/>
              <w:jc w:val="center"/>
            </w:pPr>
          </w:p>
          <w:p w:rsidR="00F43108" w:rsidRDefault="00F43108" w:rsidP="000411A9">
            <w:pPr>
              <w:pStyle w:val="NoSpacing"/>
              <w:jc w:val="center"/>
            </w:pPr>
          </w:p>
          <w:p w:rsidR="00F43108" w:rsidRDefault="00F43108" w:rsidP="000411A9">
            <w:pPr>
              <w:pStyle w:val="NoSpacing"/>
              <w:jc w:val="center"/>
            </w:pPr>
          </w:p>
          <w:p w:rsidR="00F43108" w:rsidRDefault="00F43108" w:rsidP="000411A9">
            <w:pPr>
              <w:pStyle w:val="NoSpacing"/>
              <w:jc w:val="center"/>
            </w:pPr>
            <w:r w:rsidRPr="00233417">
              <w:t>-0.29 (0.85)</w:t>
            </w:r>
          </w:p>
          <w:p w:rsidR="00F43108" w:rsidRDefault="00F43108" w:rsidP="000411A9">
            <w:pPr>
              <w:pStyle w:val="NoSpacing"/>
              <w:jc w:val="center"/>
            </w:pPr>
          </w:p>
          <w:p w:rsidR="00F43108" w:rsidRDefault="00F43108" w:rsidP="000411A9">
            <w:pPr>
              <w:pStyle w:val="NoSpacing"/>
              <w:jc w:val="center"/>
            </w:pPr>
            <w:r>
              <w:t>-0.24 (1.25)</w:t>
            </w:r>
          </w:p>
          <w:p w:rsidR="00F43108" w:rsidRDefault="00F43108" w:rsidP="000411A9">
            <w:pPr>
              <w:pStyle w:val="NoSpacing"/>
              <w:jc w:val="center"/>
            </w:pPr>
          </w:p>
        </w:tc>
        <w:tc>
          <w:tcPr>
            <w:tcW w:w="1701" w:type="dxa"/>
          </w:tcPr>
          <w:p w:rsidR="00F43108" w:rsidRPr="002F4EC2" w:rsidRDefault="00F43108" w:rsidP="000411A9">
            <w:pPr>
              <w:pStyle w:val="NoSpacing"/>
              <w:spacing w:after="200" w:line="276" w:lineRule="auto"/>
              <w:jc w:val="center"/>
            </w:pPr>
          </w:p>
          <w:p w:rsidR="00F43108" w:rsidRDefault="00F43108" w:rsidP="000411A9">
            <w:pPr>
              <w:pStyle w:val="NoSpacing"/>
              <w:spacing w:after="200" w:line="276" w:lineRule="auto"/>
              <w:jc w:val="center"/>
            </w:pPr>
          </w:p>
          <w:p w:rsidR="00F43108" w:rsidRPr="002F4EC2" w:rsidRDefault="00F43108" w:rsidP="000411A9">
            <w:pPr>
              <w:pStyle w:val="NoSpacing"/>
              <w:spacing w:after="200" w:line="276" w:lineRule="auto"/>
              <w:jc w:val="center"/>
            </w:pPr>
            <w:r w:rsidRPr="00233417">
              <w:t>0 (0.58)</w:t>
            </w:r>
          </w:p>
          <w:p w:rsidR="00F43108" w:rsidRPr="002F4EC2" w:rsidRDefault="00F43108" w:rsidP="000411A9">
            <w:pPr>
              <w:pStyle w:val="NoSpacing"/>
              <w:spacing w:after="200" w:line="276" w:lineRule="auto"/>
              <w:jc w:val="center"/>
            </w:pPr>
            <w:r w:rsidRPr="00233417">
              <w:t>0 (0.73)</w:t>
            </w:r>
          </w:p>
        </w:tc>
        <w:tc>
          <w:tcPr>
            <w:tcW w:w="1134" w:type="dxa"/>
          </w:tcPr>
          <w:p w:rsidR="00F43108" w:rsidRPr="002F4EC2" w:rsidRDefault="00F43108" w:rsidP="000411A9">
            <w:pPr>
              <w:pStyle w:val="NoSpacing"/>
              <w:spacing w:after="200" w:line="276" w:lineRule="auto"/>
              <w:jc w:val="center"/>
            </w:pPr>
          </w:p>
          <w:p w:rsidR="00F43108" w:rsidRDefault="00F43108" w:rsidP="000411A9">
            <w:pPr>
              <w:pStyle w:val="NoSpacing"/>
              <w:spacing w:after="200" w:line="276" w:lineRule="auto"/>
              <w:jc w:val="center"/>
            </w:pPr>
          </w:p>
          <w:p w:rsidR="00F43108" w:rsidRPr="002F4EC2" w:rsidRDefault="00F43108" w:rsidP="000411A9">
            <w:pPr>
              <w:pStyle w:val="NoSpacing"/>
              <w:spacing w:after="200" w:line="276" w:lineRule="auto"/>
              <w:jc w:val="center"/>
            </w:pPr>
            <w:r w:rsidRPr="00233417">
              <w:t>0.24</w:t>
            </w:r>
          </w:p>
          <w:p w:rsidR="00F43108" w:rsidRPr="002F4EC2" w:rsidRDefault="00F43108" w:rsidP="000411A9">
            <w:pPr>
              <w:pStyle w:val="NoSpacing"/>
              <w:spacing w:after="200" w:line="276" w:lineRule="auto"/>
              <w:jc w:val="center"/>
            </w:pPr>
            <w:r w:rsidRPr="00233417">
              <w:t>0.55</w:t>
            </w:r>
          </w:p>
          <w:p w:rsidR="00F43108" w:rsidRPr="002F4EC2" w:rsidRDefault="00F43108" w:rsidP="000411A9">
            <w:pPr>
              <w:pStyle w:val="NoSpacing"/>
              <w:spacing w:after="200" w:line="276" w:lineRule="auto"/>
              <w:jc w:val="center"/>
            </w:pPr>
          </w:p>
        </w:tc>
      </w:tr>
      <w:tr w:rsidR="00F43108" w:rsidRPr="00C44C39" w:rsidTr="000411A9">
        <w:tc>
          <w:tcPr>
            <w:tcW w:w="2943" w:type="dxa"/>
          </w:tcPr>
          <w:p w:rsidR="00F43108" w:rsidRDefault="00F43108" w:rsidP="000411A9">
            <w:pPr>
              <w:pStyle w:val="NoSpacing"/>
            </w:pPr>
            <w:r w:rsidRPr="00F10CF7">
              <w:t>% of pts. using biologic agents, % (n)</w:t>
            </w:r>
            <w:r>
              <w:t xml:space="preserve"> Year 1</w:t>
            </w:r>
          </w:p>
          <w:p w:rsidR="00F43108" w:rsidRPr="00C44C39" w:rsidRDefault="00F43108" w:rsidP="000411A9">
            <w:pPr>
              <w:pStyle w:val="NoSpacing"/>
            </w:pPr>
            <w:r>
              <w:lastRenderedPageBreak/>
              <w:t xml:space="preserve">                        Year 3</w:t>
            </w:r>
          </w:p>
        </w:tc>
        <w:tc>
          <w:tcPr>
            <w:tcW w:w="1560" w:type="dxa"/>
          </w:tcPr>
          <w:p w:rsidR="00F43108" w:rsidRDefault="00F43108" w:rsidP="000411A9">
            <w:pPr>
              <w:pStyle w:val="NoSpacing"/>
              <w:jc w:val="center"/>
            </w:pPr>
          </w:p>
          <w:p w:rsidR="00F43108" w:rsidRDefault="00F43108" w:rsidP="000411A9">
            <w:pPr>
              <w:pStyle w:val="NoSpacing"/>
              <w:jc w:val="center"/>
            </w:pPr>
            <w:r w:rsidRPr="00C44C39">
              <w:t>0 (0)</w:t>
            </w:r>
          </w:p>
          <w:p w:rsidR="00F43108" w:rsidRPr="00C44C39" w:rsidRDefault="00F43108" w:rsidP="000411A9">
            <w:pPr>
              <w:pStyle w:val="NoSpacing"/>
              <w:jc w:val="center"/>
            </w:pPr>
            <w:r>
              <w:lastRenderedPageBreak/>
              <w:t>23.5</w:t>
            </w:r>
            <w:r w:rsidRPr="00C44C39">
              <w:t xml:space="preserve"> (</w:t>
            </w:r>
            <w:r>
              <w:t>4</w:t>
            </w:r>
            <w:r w:rsidRPr="00C44C39">
              <w:t>)</w:t>
            </w:r>
          </w:p>
        </w:tc>
        <w:tc>
          <w:tcPr>
            <w:tcW w:w="1701" w:type="dxa"/>
          </w:tcPr>
          <w:p w:rsidR="00F43108" w:rsidRDefault="00F43108" w:rsidP="000411A9">
            <w:pPr>
              <w:pStyle w:val="NoSpacing"/>
              <w:jc w:val="center"/>
            </w:pPr>
          </w:p>
          <w:p w:rsidR="00F43108" w:rsidRDefault="00F43108" w:rsidP="000411A9">
            <w:pPr>
              <w:pStyle w:val="NoSpacing"/>
              <w:jc w:val="center"/>
            </w:pPr>
            <w:r>
              <w:t>15.8</w:t>
            </w:r>
            <w:r w:rsidRPr="00C44C39">
              <w:t xml:space="preserve"> (3)</w:t>
            </w:r>
          </w:p>
          <w:p w:rsidR="00F43108" w:rsidRPr="00C44C39" w:rsidRDefault="00F43108" w:rsidP="000411A9">
            <w:pPr>
              <w:pStyle w:val="NoSpacing"/>
              <w:jc w:val="center"/>
            </w:pPr>
            <w:r>
              <w:lastRenderedPageBreak/>
              <w:t>18.7</w:t>
            </w:r>
            <w:r w:rsidRPr="00C44C39">
              <w:t xml:space="preserve"> (</w:t>
            </w:r>
            <w:r>
              <w:t>3</w:t>
            </w:r>
            <w:r w:rsidRPr="00C44C39">
              <w:t>)</w:t>
            </w:r>
          </w:p>
        </w:tc>
        <w:tc>
          <w:tcPr>
            <w:tcW w:w="1134" w:type="dxa"/>
          </w:tcPr>
          <w:p w:rsidR="00F43108" w:rsidRDefault="00F43108" w:rsidP="000411A9">
            <w:pPr>
              <w:pStyle w:val="NoSpacing"/>
              <w:jc w:val="center"/>
            </w:pPr>
          </w:p>
          <w:p w:rsidR="00F43108" w:rsidRDefault="00F43108" w:rsidP="000411A9">
            <w:pPr>
              <w:pStyle w:val="NoSpacing"/>
              <w:jc w:val="center"/>
            </w:pPr>
            <w:r w:rsidRPr="00C44C39">
              <w:t>0.</w:t>
            </w:r>
            <w:r>
              <w:t>23</w:t>
            </w:r>
          </w:p>
          <w:p w:rsidR="00F43108" w:rsidRPr="00C44C39" w:rsidRDefault="00F43108" w:rsidP="000411A9">
            <w:pPr>
              <w:pStyle w:val="NoSpacing"/>
              <w:jc w:val="center"/>
            </w:pPr>
            <w:r w:rsidRPr="00C44C39">
              <w:lastRenderedPageBreak/>
              <w:t>0.</w:t>
            </w:r>
            <w:r>
              <w:t>54</w:t>
            </w:r>
          </w:p>
        </w:tc>
      </w:tr>
      <w:tr w:rsidR="00884A4B" w:rsidRPr="00C44C39" w:rsidTr="000411A9">
        <w:tc>
          <w:tcPr>
            <w:tcW w:w="2943" w:type="dxa"/>
          </w:tcPr>
          <w:p w:rsidR="00884A4B" w:rsidRPr="008F46F2" w:rsidRDefault="00884A4B" w:rsidP="00884A4B">
            <w:pPr>
              <w:spacing w:after="0" w:line="240" w:lineRule="auto"/>
            </w:pPr>
            <w:r>
              <w:lastRenderedPageBreak/>
              <w:t>Severe r</w:t>
            </w:r>
            <w:r w:rsidRPr="008F46F2">
              <w:t>elapse rate in year 1 – no./total no. (%)</w:t>
            </w:r>
          </w:p>
          <w:p w:rsidR="00884A4B" w:rsidRDefault="00884A4B" w:rsidP="000411A9">
            <w:pPr>
              <w:spacing w:after="0" w:line="240" w:lineRule="auto"/>
            </w:pPr>
          </w:p>
        </w:tc>
        <w:tc>
          <w:tcPr>
            <w:tcW w:w="1560" w:type="dxa"/>
          </w:tcPr>
          <w:p w:rsidR="00884A4B" w:rsidRPr="00BB73F7" w:rsidRDefault="00884A4B" w:rsidP="00884A4B">
            <w:pPr>
              <w:spacing w:after="0" w:line="240" w:lineRule="auto"/>
              <w:jc w:val="center"/>
            </w:pPr>
            <w:r w:rsidRPr="008F46F2">
              <w:t>5/21 (23.8%)</w:t>
            </w:r>
          </w:p>
          <w:p w:rsidR="00884A4B" w:rsidRDefault="00884A4B" w:rsidP="000411A9">
            <w:pPr>
              <w:spacing w:after="0" w:line="240" w:lineRule="auto"/>
              <w:jc w:val="center"/>
            </w:pPr>
          </w:p>
        </w:tc>
        <w:tc>
          <w:tcPr>
            <w:tcW w:w="1701" w:type="dxa"/>
          </w:tcPr>
          <w:p w:rsidR="00884A4B" w:rsidRDefault="00884A4B" w:rsidP="00884A4B">
            <w:pPr>
              <w:spacing w:after="0" w:line="240" w:lineRule="auto"/>
              <w:jc w:val="center"/>
            </w:pPr>
            <w:r>
              <w:t xml:space="preserve">9/24  </w:t>
            </w:r>
            <w:r w:rsidRPr="008F46F2">
              <w:t>(37.5%)</w:t>
            </w:r>
          </w:p>
          <w:p w:rsidR="00884A4B" w:rsidRDefault="00884A4B" w:rsidP="000411A9">
            <w:pPr>
              <w:spacing w:after="0" w:line="240" w:lineRule="auto"/>
              <w:jc w:val="center"/>
            </w:pPr>
          </w:p>
        </w:tc>
        <w:tc>
          <w:tcPr>
            <w:tcW w:w="1134" w:type="dxa"/>
          </w:tcPr>
          <w:p w:rsidR="00884A4B" w:rsidRDefault="00884A4B" w:rsidP="000411A9">
            <w:pPr>
              <w:pStyle w:val="NoSpacing"/>
              <w:jc w:val="center"/>
            </w:pPr>
            <w:r>
              <w:t>0.36</w:t>
            </w:r>
          </w:p>
        </w:tc>
      </w:tr>
      <w:tr w:rsidR="00F43108" w:rsidRPr="00C44C39" w:rsidTr="000411A9">
        <w:tc>
          <w:tcPr>
            <w:tcW w:w="2943" w:type="dxa"/>
          </w:tcPr>
          <w:p w:rsidR="00F43108" w:rsidRPr="008F46F2" w:rsidRDefault="00F43108" w:rsidP="000411A9">
            <w:pPr>
              <w:spacing w:after="0" w:line="240" w:lineRule="auto"/>
            </w:pPr>
            <w:r>
              <w:t>N</w:t>
            </w:r>
            <w:r w:rsidRPr="008F46F2">
              <w:t>umber of Severe relapses during year 1</w:t>
            </w:r>
          </w:p>
          <w:p w:rsidR="00F43108" w:rsidRPr="008F46F2" w:rsidRDefault="00F43108" w:rsidP="000411A9">
            <w:pPr>
              <w:pStyle w:val="ListParagraph"/>
              <w:numPr>
                <w:ilvl w:val="0"/>
                <w:numId w:val="1"/>
              </w:numPr>
              <w:spacing w:after="0" w:line="240" w:lineRule="auto"/>
            </w:pPr>
            <w:r w:rsidRPr="008F46F2">
              <w:t>0</w:t>
            </w:r>
          </w:p>
          <w:p w:rsidR="00F43108" w:rsidRPr="008F46F2" w:rsidRDefault="00F43108" w:rsidP="000411A9">
            <w:pPr>
              <w:pStyle w:val="ListParagraph"/>
              <w:numPr>
                <w:ilvl w:val="0"/>
                <w:numId w:val="1"/>
              </w:numPr>
              <w:spacing w:after="0" w:line="240" w:lineRule="auto"/>
            </w:pPr>
            <w:r w:rsidRPr="008F46F2">
              <w:t>1</w:t>
            </w:r>
          </w:p>
          <w:p w:rsidR="00F43108" w:rsidRPr="008F46F2" w:rsidRDefault="00F43108" w:rsidP="000411A9">
            <w:pPr>
              <w:pStyle w:val="ListParagraph"/>
              <w:numPr>
                <w:ilvl w:val="0"/>
                <w:numId w:val="1"/>
              </w:numPr>
              <w:spacing w:after="0" w:line="240" w:lineRule="auto"/>
            </w:pPr>
            <w:r w:rsidRPr="008F46F2">
              <w:t>2</w:t>
            </w:r>
          </w:p>
          <w:p w:rsidR="00F43108" w:rsidRPr="008F46F2" w:rsidRDefault="00F43108" w:rsidP="000411A9">
            <w:pPr>
              <w:pStyle w:val="ListParagraph"/>
              <w:numPr>
                <w:ilvl w:val="0"/>
                <w:numId w:val="1"/>
              </w:numPr>
              <w:spacing w:after="0" w:line="240" w:lineRule="auto"/>
            </w:pPr>
            <w:r w:rsidRPr="008F46F2">
              <w:t>3</w:t>
            </w:r>
          </w:p>
          <w:p w:rsidR="00F43108" w:rsidRPr="008F46F2" w:rsidRDefault="00F43108" w:rsidP="000411A9">
            <w:pPr>
              <w:pStyle w:val="ListParagraph"/>
              <w:numPr>
                <w:ilvl w:val="0"/>
                <w:numId w:val="1"/>
              </w:numPr>
              <w:spacing w:after="0" w:line="240" w:lineRule="auto"/>
            </w:pPr>
            <w:r w:rsidRPr="008F46F2">
              <w:t>4</w:t>
            </w:r>
          </w:p>
          <w:p w:rsidR="00F43108" w:rsidRPr="008F46F2" w:rsidRDefault="00F43108" w:rsidP="000411A9">
            <w:pPr>
              <w:pStyle w:val="ListParagraph"/>
              <w:numPr>
                <w:ilvl w:val="0"/>
                <w:numId w:val="1"/>
              </w:numPr>
              <w:spacing w:after="0" w:line="240" w:lineRule="auto"/>
            </w:pPr>
            <w:r w:rsidRPr="008F46F2">
              <w:t>5</w:t>
            </w:r>
          </w:p>
        </w:tc>
        <w:tc>
          <w:tcPr>
            <w:tcW w:w="1560" w:type="dxa"/>
          </w:tcPr>
          <w:p w:rsidR="00F43108" w:rsidRDefault="00F43108" w:rsidP="000411A9">
            <w:pPr>
              <w:spacing w:after="0" w:line="240" w:lineRule="auto"/>
              <w:jc w:val="center"/>
            </w:pPr>
          </w:p>
          <w:p w:rsidR="00F43108" w:rsidRDefault="00F43108" w:rsidP="000411A9">
            <w:pPr>
              <w:spacing w:after="0" w:line="240" w:lineRule="auto"/>
              <w:jc w:val="center"/>
            </w:pPr>
          </w:p>
          <w:p w:rsidR="00F43108" w:rsidRDefault="00F43108" w:rsidP="000411A9">
            <w:pPr>
              <w:spacing w:after="0" w:line="240" w:lineRule="auto"/>
              <w:jc w:val="center"/>
            </w:pPr>
          </w:p>
          <w:p w:rsidR="00F43108" w:rsidRPr="00BB73F7" w:rsidRDefault="00F43108" w:rsidP="000411A9">
            <w:pPr>
              <w:spacing w:after="0" w:line="240" w:lineRule="auto"/>
              <w:jc w:val="center"/>
            </w:pPr>
            <w:r w:rsidRPr="00BB73F7">
              <w:t>16</w:t>
            </w:r>
          </w:p>
          <w:p w:rsidR="00F43108" w:rsidRDefault="00F43108" w:rsidP="000411A9">
            <w:pPr>
              <w:spacing w:after="0" w:line="240" w:lineRule="auto"/>
              <w:jc w:val="center"/>
            </w:pPr>
            <w:r>
              <w:t>2</w:t>
            </w:r>
          </w:p>
          <w:p w:rsidR="00F43108" w:rsidRDefault="00F43108" w:rsidP="000411A9">
            <w:pPr>
              <w:spacing w:after="0" w:line="240" w:lineRule="auto"/>
              <w:jc w:val="center"/>
            </w:pPr>
            <w:r>
              <w:t>3</w:t>
            </w:r>
          </w:p>
          <w:p w:rsidR="00F43108" w:rsidRDefault="00F43108" w:rsidP="000411A9">
            <w:pPr>
              <w:spacing w:after="0" w:line="240" w:lineRule="auto"/>
              <w:jc w:val="center"/>
            </w:pPr>
            <w:r>
              <w:t>0</w:t>
            </w:r>
          </w:p>
          <w:p w:rsidR="00F43108" w:rsidRDefault="00F43108" w:rsidP="000411A9">
            <w:pPr>
              <w:spacing w:after="0" w:line="240" w:lineRule="auto"/>
              <w:jc w:val="center"/>
            </w:pPr>
            <w:r>
              <w:t>0</w:t>
            </w:r>
          </w:p>
          <w:p w:rsidR="00F43108" w:rsidRPr="00BB73F7" w:rsidRDefault="00F43108" w:rsidP="000411A9">
            <w:pPr>
              <w:spacing w:after="0" w:line="240" w:lineRule="auto"/>
              <w:jc w:val="center"/>
            </w:pPr>
            <w:r>
              <w:t>0</w:t>
            </w:r>
          </w:p>
        </w:tc>
        <w:tc>
          <w:tcPr>
            <w:tcW w:w="1701" w:type="dxa"/>
          </w:tcPr>
          <w:p w:rsidR="00F43108" w:rsidRDefault="00F43108" w:rsidP="000411A9">
            <w:pPr>
              <w:spacing w:after="0" w:line="240" w:lineRule="auto"/>
              <w:jc w:val="center"/>
            </w:pPr>
          </w:p>
          <w:p w:rsidR="00F43108" w:rsidRDefault="00F43108" w:rsidP="000411A9">
            <w:pPr>
              <w:spacing w:after="0" w:line="240" w:lineRule="auto"/>
              <w:jc w:val="center"/>
            </w:pPr>
          </w:p>
          <w:p w:rsidR="00F43108" w:rsidRDefault="00F43108" w:rsidP="000411A9">
            <w:pPr>
              <w:spacing w:after="0" w:line="240" w:lineRule="auto"/>
              <w:jc w:val="center"/>
            </w:pPr>
          </w:p>
          <w:p w:rsidR="00F43108" w:rsidRDefault="00F43108" w:rsidP="000411A9">
            <w:pPr>
              <w:spacing w:after="0" w:line="240" w:lineRule="auto"/>
              <w:jc w:val="center"/>
            </w:pPr>
            <w:r>
              <w:t>15</w:t>
            </w:r>
          </w:p>
          <w:p w:rsidR="00F43108" w:rsidRDefault="00F43108" w:rsidP="000411A9">
            <w:pPr>
              <w:spacing w:after="0" w:line="240" w:lineRule="auto"/>
              <w:jc w:val="center"/>
            </w:pPr>
            <w:r>
              <w:t>6</w:t>
            </w:r>
          </w:p>
          <w:p w:rsidR="00F43108" w:rsidRDefault="00F43108" w:rsidP="000411A9">
            <w:pPr>
              <w:spacing w:after="0" w:line="240" w:lineRule="auto"/>
              <w:jc w:val="center"/>
            </w:pPr>
            <w:r>
              <w:t>0</w:t>
            </w:r>
          </w:p>
          <w:p w:rsidR="00F43108" w:rsidRDefault="00F43108" w:rsidP="000411A9">
            <w:pPr>
              <w:spacing w:after="0" w:line="240" w:lineRule="auto"/>
              <w:jc w:val="center"/>
            </w:pPr>
            <w:r>
              <w:t>2</w:t>
            </w:r>
          </w:p>
          <w:p w:rsidR="00F43108" w:rsidRDefault="00F43108" w:rsidP="000411A9">
            <w:pPr>
              <w:spacing w:after="0" w:line="240" w:lineRule="auto"/>
              <w:jc w:val="center"/>
            </w:pPr>
            <w:r>
              <w:t>0</w:t>
            </w:r>
          </w:p>
          <w:p w:rsidR="00F43108" w:rsidRPr="00BB73F7" w:rsidRDefault="00F43108" w:rsidP="000411A9">
            <w:pPr>
              <w:spacing w:after="0" w:line="240" w:lineRule="auto"/>
              <w:jc w:val="center"/>
            </w:pPr>
            <w:r>
              <w:t>1</w:t>
            </w:r>
          </w:p>
        </w:tc>
        <w:tc>
          <w:tcPr>
            <w:tcW w:w="1134" w:type="dxa"/>
          </w:tcPr>
          <w:p w:rsidR="00F43108" w:rsidRDefault="00F43108" w:rsidP="000411A9">
            <w:pPr>
              <w:pStyle w:val="NoSpacing"/>
              <w:jc w:val="center"/>
            </w:pPr>
          </w:p>
          <w:p w:rsidR="00F43108" w:rsidRDefault="00F43108" w:rsidP="000411A9">
            <w:pPr>
              <w:tabs>
                <w:tab w:val="center" w:pos="4513"/>
                <w:tab w:val="right" w:pos="9026"/>
              </w:tabs>
              <w:jc w:val="center"/>
            </w:pPr>
          </w:p>
          <w:p w:rsidR="00884A4B" w:rsidRPr="00C44C39" w:rsidRDefault="00884A4B" w:rsidP="000411A9">
            <w:pPr>
              <w:tabs>
                <w:tab w:val="center" w:pos="4513"/>
                <w:tab w:val="right" w:pos="9026"/>
              </w:tabs>
              <w:jc w:val="center"/>
            </w:pPr>
            <w:r>
              <w:rPr>
                <w:color w:val="1F497D"/>
                <w:sz w:val="23"/>
                <w:szCs w:val="23"/>
                <w:shd w:val="clear" w:color="auto" w:fill="FFFFFF"/>
              </w:rPr>
              <w:t>0.293</w:t>
            </w:r>
          </w:p>
        </w:tc>
      </w:tr>
      <w:tr w:rsidR="00F43108" w:rsidRPr="00C44C39" w:rsidTr="000411A9">
        <w:tc>
          <w:tcPr>
            <w:tcW w:w="2943" w:type="dxa"/>
          </w:tcPr>
          <w:p w:rsidR="00F43108" w:rsidRDefault="00F43108" w:rsidP="000411A9">
            <w:pPr>
              <w:spacing w:after="0" w:line="240" w:lineRule="auto"/>
            </w:pPr>
            <w:r>
              <w:t>Severe r</w:t>
            </w:r>
            <w:r w:rsidRPr="008F46F2">
              <w:t xml:space="preserve">elapse rate in year </w:t>
            </w:r>
            <w:r>
              <w:t>3</w:t>
            </w:r>
            <w:r w:rsidRPr="008F46F2">
              <w:t>– no./total no. (%)</w:t>
            </w:r>
          </w:p>
          <w:p w:rsidR="00F43108" w:rsidRDefault="00F43108" w:rsidP="000411A9">
            <w:pPr>
              <w:spacing w:after="0" w:line="240" w:lineRule="auto"/>
            </w:pPr>
          </w:p>
        </w:tc>
        <w:tc>
          <w:tcPr>
            <w:tcW w:w="1560" w:type="dxa"/>
          </w:tcPr>
          <w:p w:rsidR="00F43108" w:rsidRPr="008F46F2" w:rsidRDefault="00F43108" w:rsidP="000411A9">
            <w:pPr>
              <w:spacing w:after="0" w:line="240" w:lineRule="auto"/>
              <w:jc w:val="center"/>
            </w:pPr>
            <w:r w:rsidRPr="008F46F2">
              <w:t>3/18</w:t>
            </w:r>
          </w:p>
          <w:p w:rsidR="00F43108" w:rsidRDefault="00F43108" w:rsidP="000411A9">
            <w:pPr>
              <w:spacing w:after="0" w:line="240" w:lineRule="auto"/>
              <w:jc w:val="center"/>
            </w:pPr>
            <w:r w:rsidRPr="008F46F2">
              <w:t>(16.7%)</w:t>
            </w:r>
          </w:p>
          <w:p w:rsidR="00F43108" w:rsidRDefault="00F43108" w:rsidP="000411A9">
            <w:pPr>
              <w:spacing w:after="0" w:line="240" w:lineRule="auto"/>
              <w:jc w:val="center"/>
            </w:pPr>
          </w:p>
        </w:tc>
        <w:tc>
          <w:tcPr>
            <w:tcW w:w="1701" w:type="dxa"/>
          </w:tcPr>
          <w:p w:rsidR="00F43108" w:rsidRDefault="00F43108" w:rsidP="000411A9">
            <w:pPr>
              <w:spacing w:after="0" w:line="240" w:lineRule="auto"/>
              <w:jc w:val="center"/>
            </w:pPr>
            <w:r w:rsidRPr="008F46F2">
              <w:t>4/18</w:t>
            </w:r>
          </w:p>
          <w:p w:rsidR="00F43108" w:rsidRDefault="00F43108" w:rsidP="000411A9">
            <w:pPr>
              <w:spacing w:after="0" w:line="240" w:lineRule="auto"/>
              <w:jc w:val="center"/>
            </w:pPr>
            <w:r w:rsidRPr="008F46F2">
              <w:t>(22.2%)</w:t>
            </w:r>
          </w:p>
          <w:p w:rsidR="00F43108" w:rsidRDefault="00F43108" w:rsidP="000411A9">
            <w:pPr>
              <w:spacing w:after="0" w:line="240" w:lineRule="auto"/>
              <w:jc w:val="center"/>
            </w:pPr>
          </w:p>
        </w:tc>
        <w:tc>
          <w:tcPr>
            <w:tcW w:w="1134" w:type="dxa"/>
          </w:tcPr>
          <w:p w:rsidR="00F43108" w:rsidRDefault="00F43108" w:rsidP="000411A9">
            <w:pPr>
              <w:pStyle w:val="NoSpacing"/>
              <w:jc w:val="center"/>
            </w:pPr>
            <w:r>
              <w:t>1.0</w:t>
            </w:r>
          </w:p>
        </w:tc>
      </w:tr>
      <w:tr w:rsidR="00F43108" w:rsidRPr="00C44C39" w:rsidTr="000411A9">
        <w:tc>
          <w:tcPr>
            <w:tcW w:w="2943" w:type="dxa"/>
          </w:tcPr>
          <w:p w:rsidR="00F43108" w:rsidRPr="008F46F2" w:rsidRDefault="00F43108" w:rsidP="000411A9">
            <w:pPr>
              <w:spacing w:after="0" w:line="240" w:lineRule="auto"/>
            </w:pPr>
            <w:r>
              <w:t>Number of s</w:t>
            </w:r>
            <w:r w:rsidRPr="008F46F2">
              <w:t>evere relapses during year 1</w:t>
            </w:r>
          </w:p>
          <w:p w:rsidR="00F43108" w:rsidRPr="008F46F2" w:rsidRDefault="00F43108" w:rsidP="000411A9">
            <w:pPr>
              <w:pStyle w:val="ListParagraph"/>
              <w:numPr>
                <w:ilvl w:val="0"/>
                <w:numId w:val="1"/>
              </w:numPr>
              <w:spacing w:after="0" w:line="240" w:lineRule="auto"/>
            </w:pPr>
            <w:r w:rsidRPr="008F46F2">
              <w:t>0</w:t>
            </w:r>
          </w:p>
          <w:p w:rsidR="00F43108" w:rsidRPr="008F46F2" w:rsidRDefault="00F43108" w:rsidP="000411A9">
            <w:pPr>
              <w:pStyle w:val="ListParagraph"/>
              <w:numPr>
                <w:ilvl w:val="0"/>
                <w:numId w:val="1"/>
              </w:numPr>
              <w:spacing w:after="0" w:line="240" w:lineRule="auto"/>
            </w:pPr>
            <w:r w:rsidRPr="008F46F2">
              <w:t>1</w:t>
            </w:r>
          </w:p>
          <w:p w:rsidR="00F43108" w:rsidRPr="008F46F2" w:rsidRDefault="00F43108" w:rsidP="000411A9">
            <w:pPr>
              <w:pStyle w:val="ListParagraph"/>
              <w:numPr>
                <w:ilvl w:val="0"/>
                <w:numId w:val="1"/>
              </w:numPr>
              <w:spacing w:after="0" w:line="240" w:lineRule="auto"/>
            </w:pPr>
            <w:r w:rsidRPr="008F46F2">
              <w:t>2</w:t>
            </w:r>
          </w:p>
          <w:p w:rsidR="00F43108" w:rsidRPr="008F46F2" w:rsidRDefault="00F43108" w:rsidP="000411A9">
            <w:pPr>
              <w:pStyle w:val="ListParagraph"/>
              <w:numPr>
                <w:ilvl w:val="0"/>
                <w:numId w:val="1"/>
              </w:numPr>
              <w:spacing w:after="0" w:line="240" w:lineRule="auto"/>
            </w:pPr>
            <w:r w:rsidRPr="008F46F2">
              <w:t>3</w:t>
            </w:r>
          </w:p>
        </w:tc>
        <w:tc>
          <w:tcPr>
            <w:tcW w:w="1560" w:type="dxa"/>
          </w:tcPr>
          <w:p w:rsidR="00F43108" w:rsidRDefault="00F43108" w:rsidP="000411A9">
            <w:pPr>
              <w:spacing w:after="0" w:line="240" w:lineRule="auto"/>
              <w:jc w:val="center"/>
            </w:pPr>
          </w:p>
          <w:p w:rsidR="00F43108" w:rsidRDefault="00F43108" w:rsidP="000411A9">
            <w:pPr>
              <w:spacing w:after="0" w:line="240" w:lineRule="auto"/>
              <w:jc w:val="center"/>
            </w:pPr>
          </w:p>
          <w:p w:rsidR="00F43108" w:rsidRDefault="00F43108" w:rsidP="000411A9">
            <w:pPr>
              <w:spacing w:after="0" w:line="240" w:lineRule="auto"/>
              <w:jc w:val="center"/>
            </w:pPr>
            <w:r>
              <w:t>15</w:t>
            </w:r>
          </w:p>
          <w:p w:rsidR="00F43108" w:rsidRDefault="00F43108" w:rsidP="000411A9">
            <w:pPr>
              <w:spacing w:after="0" w:line="240" w:lineRule="auto"/>
              <w:jc w:val="center"/>
            </w:pPr>
            <w:r>
              <w:t>2</w:t>
            </w:r>
          </w:p>
          <w:p w:rsidR="00F43108" w:rsidRDefault="00F43108" w:rsidP="000411A9">
            <w:pPr>
              <w:spacing w:after="0" w:line="240" w:lineRule="auto"/>
              <w:jc w:val="center"/>
            </w:pPr>
            <w:r>
              <w:t>0</w:t>
            </w:r>
          </w:p>
          <w:p w:rsidR="00F43108" w:rsidRPr="00EE5A55" w:rsidRDefault="00F43108" w:rsidP="000411A9">
            <w:pPr>
              <w:spacing w:after="0" w:line="240" w:lineRule="auto"/>
              <w:jc w:val="center"/>
            </w:pPr>
            <w:r>
              <w:t>1</w:t>
            </w:r>
          </w:p>
        </w:tc>
        <w:tc>
          <w:tcPr>
            <w:tcW w:w="1701" w:type="dxa"/>
          </w:tcPr>
          <w:p w:rsidR="00F43108" w:rsidRDefault="00F43108" w:rsidP="000411A9">
            <w:pPr>
              <w:spacing w:after="0" w:line="240" w:lineRule="auto"/>
              <w:jc w:val="center"/>
            </w:pPr>
          </w:p>
          <w:p w:rsidR="00F43108" w:rsidRDefault="00F43108" w:rsidP="000411A9">
            <w:pPr>
              <w:spacing w:after="0" w:line="240" w:lineRule="auto"/>
              <w:jc w:val="center"/>
            </w:pPr>
          </w:p>
          <w:p w:rsidR="00F43108" w:rsidRDefault="00F43108" w:rsidP="000411A9">
            <w:pPr>
              <w:spacing w:after="0" w:line="240" w:lineRule="auto"/>
              <w:jc w:val="center"/>
            </w:pPr>
            <w:r>
              <w:t>14</w:t>
            </w:r>
          </w:p>
          <w:p w:rsidR="00F43108" w:rsidRDefault="00F43108" w:rsidP="000411A9">
            <w:pPr>
              <w:spacing w:after="0" w:line="240" w:lineRule="auto"/>
              <w:jc w:val="center"/>
            </w:pPr>
            <w:r>
              <w:t>3</w:t>
            </w:r>
          </w:p>
          <w:p w:rsidR="00F43108" w:rsidRDefault="00F43108" w:rsidP="000411A9">
            <w:pPr>
              <w:spacing w:after="0" w:line="240" w:lineRule="auto"/>
              <w:jc w:val="center"/>
            </w:pPr>
            <w:r>
              <w:t>1</w:t>
            </w:r>
          </w:p>
          <w:p w:rsidR="00F43108" w:rsidRPr="00EE5A55" w:rsidRDefault="00F43108" w:rsidP="000411A9">
            <w:pPr>
              <w:spacing w:after="0" w:line="240" w:lineRule="auto"/>
              <w:jc w:val="center"/>
            </w:pPr>
            <w:r>
              <w:t>0</w:t>
            </w:r>
          </w:p>
        </w:tc>
        <w:tc>
          <w:tcPr>
            <w:tcW w:w="1134" w:type="dxa"/>
          </w:tcPr>
          <w:p w:rsidR="00F43108" w:rsidRPr="00C44C39" w:rsidRDefault="00884A4B" w:rsidP="000411A9">
            <w:pPr>
              <w:tabs>
                <w:tab w:val="center" w:pos="4513"/>
                <w:tab w:val="right" w:pos="9026"/>
              </w:tabs>
              <w:jc w:val="center"/>
            </w:pPr>
            <w:r>
              <w:rPr>
                <w:color w:val="1F497D"/>
                <w:sz w:val="23"/>
                <w:szCs w:val="23"/>
                <w:shd w:val="clear" w:color="auto" w:fill="FFFFFF"/>
              </w:rPr>
              <w:t>0.713</w:t>
            </w:r>
          </w:p>
        </w:tc>
      </w:tr>
    </w:tbl>
    <w:p w:rsidR="00F43108" w:rsidRDefault="00F43108">
      <w:pPr>
        <w:rPr>
          <w:b/>
        </w:rPr>
      </w:pPr>
    </w:p>
    <w:p w:rsidR="00F43108" w:rsidRDefault="00F43108">
      <w:pPr>
        <w:rPr>
          <w:b/>
        </w:rPr>
      </w:pPr>
    </w:p>
    <w:p w:rsidR="00F43108" w:rsidRDefault="00F43108">
      <w:pPr>
        <w:rPr>
          <w:b/>
        </w:rPr>
      </w:pPr>
    </w:p>
    <w:p w:rsidR="00F43108" w:rsidRDefault="00F43108">
      <w:pPr>
        <w:rPr>
          <w:b/>
        </w:rPr>
      </w:pPr>
    </w:p>
    <w:p w:rsidR="00F43108" w:rsidRDefault="00F43108">
      <w:pPr>
        <w:rPr>
          <w:b/>
        </w:rPr>
      </w:pPr>
    </w:p>
    <w:p w:rsidR="00F43108" w:rsidRDefault="00F43108">
      <w:pPr>
        <w:rPr>
          <w:b/>
        </w:rPr>
      </w:pPr>
    </w:p>
    <w:p w:rsidR="00F43108" w:rsidRDefault="00F43108">
      <w:pPr>
        <w:rPr>
          <w:b/>
        </w:rPr>
      </w:pPr>
    </w:p>
    <w:p w:rsidR="008F662D" w:rsidRDefault="008F662D">
      <w:pPr>
        <w:rPr>
          <w:b/>
        </w:rPr>
      </w:pPr>
    </w:p>
    <w:p w:rsidR="008F662D" w:rsidRDefault="008F662D">
      <w:pPr>
        <w:rPr>
          <w:b/>
        </w:rPr>
      </w:pPr>
    </w:p>
    <w:p w:rsidR="008F662D" w:rsidRDefault="008F662D">
      <w:pPr>
        <w:rPr>
          <w:b/>
        </w:rPr>
      </w:pPr>
    </w:p>
    <w:p w:rsidR="000C0813" w:rsidRDefault="000C0813">
      <w:pPr>
        <w:rPr>
          <w:b/>
        </w:rPr>
      </w:pPr>
    </w:p>
    <w:p w:rsidR="00025C0D" w:rsidRDefault="00025C0D">
      <w:pPr>
        <w:rPr>
          <w:b/>
        </w:rPr>
      </w:pPr>
    </w:p>
    <w:p w:rsidR="00025C0D" w:rsidRDefault="00025C0D">
      <w:pPr>
        <w:rPr>
          <w:b/>
        </w:rPr>
      </w:pPr>
    </w:p>
    <w:p w:rsidR="00025C0D" w:rsidRDefault="00025C0D">
      <w:pPr>
        <w:rPr>
          <w:b/>
        </w:rPr>
      </w:pPr>
    </w:p>
    <w:p w:rsidR="00DF60B0" w:rsidRDefault="00DF60B0">
      <w:pPr>
        <w:rPr>
          <w:b/>
        </w:rPr>
      </w:pPr>
    </w:p>
    <w:p w:rsidR="00F43108" w:rsidRPr="00273C61" w:rsidRDefault="00F43108">
      <w:pPr>
        <w:rPr>
          <w:b/>
        </w:rPr>
      </w:pPr>
      <w:r>
        <w:rPr>
          <w:b/>
        </w:rPr>
        <w:t>Adverse events</w:t>
      </w:r>
    </w:p>
    <w:p w:rsidR="00F43108" w:rsidRDefault="00F43108" w:rsidP="00DB79F7">
      <w:r w:rsidRPr="00273C61">
        <w:t>The types and frequency of ocular and systemic adverse events were different, as expected, among the two groups (</w:t>
      </w:r>
      <w:r w:rsidR="00DB79F7" w:rsidRPr="00812771">
        <w:rPr>
          <w:rFonts w:asciiTheme="minorHAnsi" w:hAnsiTheme="minorHAnsi" w:cs="Arial"/>
        </w:rPr>
        <w:t>online supplementary</w:t>
      </w:r>
      <w:r w:rsidR="00DB79F7">
        <w:rPr>
          <w:rFonts w:ascii="Arial" w:hAnsi="Arial" w:cs="Arial"/>
        </w:rPr>
        <w:t xml:space="preserve"> </w:t>
      </w:r>
      <w:r w:rsidRPr="00273C61">
        <w:t>Table</w:t>
      </w:r>
      <w:r w:rsidR="00DB79F7">
        <w:t xml:space="preserve"> S3</w:t>
      </w:r>
      <w:r>
        <w:t xml:space="preserve">). </w:t>
      </w:r>
      <w:r w:rsidRPr="00273C61">
        <w:t xml:space="preserve">There were </w:t>
      </w:r>
      <w:r w:rsidR="00F51E31">
        <w:t>63</w:t>
      </w:r>
      <w:r w:rsidR="00F51E31" w:rsidRPr="00273C61">
        <w:t xml:space="preserve"> </w:t>
      </w:r>
      <w:r w:rsidRPr="00273C61">
        <w:t xml:space="preserve">adverse events, including recurrent pulmonary embolism and septicaemia, but there was no difference </w:t>
      </w:r>
      <w:r w:rsidR="00C716FA">
        <w:t xml:space="preserve">between the two groups </w:t>
      </w:r>
      <w:r w:rsidRPr="00273C61">
        <w:t xml:space="preserve">in </w:t>
      </w:r>
      <w:r>
        <w:t xml:space="preserve">their </w:t>
      </w:r>
      <w:r w:rsidRPr="00273C61">
        <w:t>frequency during the course of the trial.</w:t>
      </w:r>
      <w:r w:rsidR="00F51E31">
        <w:t xml:space="preserve"> Even though more patients in the </w:t>
      </w:r>
      <w:r w:rsidR="005B2A74">
        <w:t>non-</w:t>
      </w:r>
      <w:r w:rsidR="00F51E31">
        <w:t>peginterferon-α-2b group had haematological abnormalities this was not statistically significant (p=0.305).</w:t>
      </w:r>
      <w:r w:rsidRPr="00273C61">
        <w:t xml:space="preserve"> The severe relapse rate was similar in both groups </w:t>
      </w:r>
      <w:r>
        <w:t>(Table 2).</w:t>
      </w:r>
    </w:p>
    <w:p w:rsidR="00F43108" w:rsidRDefault="00F43108">
      <w:pPr>
        <w:rPr>
          <w:b/>
        </w:rPr>
      </w:pPr>
    </w:p>
    <w:p w:rsidR="00F43108" w:rsidRPr="00F325A8" w:rsidRDefault="00F43108" w:rsidP="000411A9">
      <w:pPr>
        <w:rPr>
          <w:b/>
        </w:rPr>
      </w:pPr>
      <w:r>
        <w:rPr>
          <w:b/>
        </w:rPr>
        <w:t>Regulatory cells</w:t>
      </w:r>
    </w:p>
    <w:p w:rsidR="00F43108" w:rsidRDefault="00F43108" w:rsidP="00E203C9">
      <w:pPr>
        <w:rPr>
          <w:rStyle w:val="f1791"/>
          <w:rFonts w:ascii="Calibri" w:hAnsi="Calibri"/>
        </w:rPr>
      </w:pPr>
      <w:r w:rsidRPr="00F325A8">
        <w:rPr>
          <w:rStyle w:val="f1791"/>
          <w:rFonts w:ascii="Calibri" w:hAnsi="Calibri"/>
        </w:rPr>
        <w:t xml:space="preserve">In the </w:t>
      </w:r>
      <w:r>
        <w:rPr>
          <w:rStyle w:val="f1791"/>
          <w:rFonts w:ascii="Calibri" w:hAnsi="Calibri"/>
        </w:rPr>
        <w:t>33</w:t>
      </w:r>
      <w:r w:rsidRPr="00F325A8">
        <w:rPr>
          <w:rStyle w:val="f1791"/>
          <w:rFonts w:ascii="Calibri" w:hAnsi="Calibri"/>
        </w:rPr>
        <w:t xml:space="preserve"> patients on corticosteroids at bas</w:t>
      </w:r>
      <w:r>
        <w:rPr>
          <w:rStyle w:val="f1791"/>
          <w:rFonts w:ascii="Calibri" w:hAnsi="Calibri"/>
        </w:rPr>
        <w:t>eline who had Tregs measured, there was no difference at baseline between the 2 treatment groups</w:t>
      </w:r>
      <w:r w:rsidR="00076BC2">
        <w:rPr>
          <w:rStyle w:val="f1791"/>
          <w:rFonts w:ascii="Calibri" w:hAnsi="Calibri"/>
        </w:rPr>
        <w:t xml:space="preserve"> (p=0.41)</w:t>
      </w:r>
      <w:r>
        <w:rPr>
          <w:rStyle w:val="f1791"/>
          <w:rFonts w:ascii="Calibri" w:hAnsi="Calibri"/>
        </w:rPr>
        <w:t xml:space="preserve">. However, </w:t>
      </w:r>
      <w:r w:rsidRPr="00F325A8">
        <w:rPr>
          <w:rStyle w:val="f1791"/>
          <w:rFonts w:ascii="Calibri" w:hAnsi="Calibri"/>
        </w:rPr>
        <w:t>Tregs (CD4</w:t>
      </w:r>
      <w:r w:rsidRPr="00F325A8">
        <w:rPr>
          <w:rStyle w:val="f1791"/>
          <w:rFonts w:ascii="Calibri" w:hAnsi="Calibri"/>
          <w:vertAlign w:val="superscript"/>
        </w:rPr>
        <w:t>+</w:t>
      </w:r>
      <w:r w:rsidRPr="00F325A8">
        <w:rPr>
          <w:rStyle w:val="f1791"/>
          <w:rFonts w:ascii="Calibri" w:hAnsi="Calibri"/>
        </w:rPr>
        <w:t>CD25</w:t>
      </w:r>
      <w:r w:rsidRPr="00F325A8">
        <w:rPr>
          <w:rStyle w:val="f1791"/>
          <w:rFonts w:ascii="Calibri" w:hAnsi="Calibri"/>
          <w:vertAlign w:val="superscript"/>
        </w:rPr>
        <w:t>hi</w:t>
      </w:r>
      <w:r w:rsidRPr="00F325A8">
        <w:rPr>
          <w:rStyle w:val="f1791"/>
          <w:rFonts w:ascii="Calibri" w:hAnsi="Calibri"/>
        </w:rPr>
        <w:t>, FoxP3</w:t>
      </w:r>
      <w:r w:rsidRPr="00F325A8">
        <w:rPr>
          <w:rStyle w:val="f1791"/>
          <w:rFonts w:ascii="Calibri" w:hAnsi="Calibri"/>
          <w:vertAlign w:val="superscript"/>
        </w:rPr>
        <w:t>+</w:t>
      </w:r>
      <w:r w:rsidRPr="00F325A8">
        <w:rPr>
          <w:rStyle w:val="f1791"/>
          <w:rFonts w:ascii="Calibri" w:hAnsi="Calibri"/>
        </w:rPr>
        <w:t xml:space="preserve">) were found to be significantly increased by 3 months’ treatment with </w:t>
      </w:r>
      <w:r>
        <w:rPr>
          <w:rStyle w:val="f1791"/>
          <w:rFonts w:ascii="Calibri" w:hAnsi="Calibri"/>
        </w:rPr>
        <w:t xml:space="preserve">peginterferon-α-2b </w:t>
      </w:r>
      <w:r w:rsidRPr="00F325A8">
        <w:t>(</w:t>
      </w:r>
      <w:r>
        <w:rPr>
          <w:iCs/>
        </w:rPr>
        <w:t>p</w:t>
      </w:r>
      <w:r w:rsidR="00076BC2">
        <w:t>=0.0</w:t>
      </w:r>
      <w:r w:rsidR="00E203C9">
        <w:t>5</w:t>
      </w:r>
      <w:r w:rsidRPr="00F325A8">
        <w:t>)</w:t>
      </w:r>
      <w:r w:rsidRPr="00F325A8">
        <w:rPr>
          <w:rStyle w:val="f1791"/>
          <w:rFonts w:ascii="Calibri" w:hAnsi="Calibri"/>
        </w:rPr>
        <w:t xml:space="preserve">, and </w:t>
      </w:r>
      <w:r>
        <w:rPr>
          <w:rStyle w:val="f1791"/>
          <w:rFonts w:ascii="Calibri" w:hAnsi="Calibri"/>
        </w:rPr>
        <w:t>remained</w:t>
      </w:r>
      <w:r w:rsidRPr="00F325A8">
        <w:rPr>
          <w:rStyle w:val="f1791"/>
          <w:rFonts w:ascii="Calibri" w:hAnsi="Calibri"/>
        </w:rPr>
        <w:t xml:space="preserve"> increased at 6 months (</w:t>
      </w:r>
      <w:r>
        <w:rPr>
          <w:rStyle w:val="f1791"/>
          <w:rFonts w:ascii="Calibri" w:hAnsi="Calibri"/>
          <w:iCs/>
        </w:rPr>
        <w:t>p</w:t>
      </w:r>
      <w:r w:rsidR="00076BC2">
        <w:rPr>
          <w:rStyle w:val="f1791"/>
          <w:rFonts w:ascii="Calibri" w:hAnsi="Calibri"/>
        </w:rPr>
        <w:t>=0.0</w:t>
      </w:r>
      <w:r w:rsidR="00E203C9">
        <w:rPr>
          <w:rStyle w:val="f1791"/>
          <w:rFonts w:ascii="Calibri" w:hAnsi="Calibri"/>
        </w:rPr>
        <w:t>1</w:t>
      </w:r>
      <w:r w:rsidRPr="00F325A8">
        <w:rPr>
          <w:rStyle w:val="f1791"/>
          <w:rFonts w:ascii="Calibri" w:hAnsi="Calibri"/>
        </w:rPr>
        <w:t>) and at 12 months (</w:t>
      </w:r>
      <w:r>
        <w:rPr>
          <w:rStyle w:val="f1791"/>
          <w:rFonts w:ascii="Calibri" w:hAnsi="Calibri"/>
          <w:iCs/>
        </w:rPr>
        <w:t>p</w:t>
      </w:r>
      <w:r w:rsidR="00076BC2">
        <w:rPr>
          <w:rStyle w:val="f1791"/>
          <w:rFonts w:ascii="Calibri" w:hAnsi="Calibri"/>
        </w:rPr>
        <w:t>=0.01</w:t>
      </w:r>
      <w:r w:rsidRPr="00F325A8">
        <w:rPr>
          <w:rStyle w:val="f1791"/>
          <w:rFonts w:ascii="Calibri" w:hAnsi="Calibri"/>
        </w:rPr>
        <w:t xml:space="preserve">), </w:t>
      </w:r>
      <w:r>
        <w:rPr>
          <w:rStyle w:val="f1791"/>
          <w:rFonts w:ascii="Calibri" w:hAnsi="Calibri"/>
        </w:rPr>
        <w:t>six</w:t>
      </w:r>
      <w:r w:rsidRPr="00F325A8">
        <w:rPr>
          <w:rStyle w:val="f1791"/>
          <w:rFonts w:ascii="Calibri" w:hAnsi="Calibri"/>
        </w:rPr>
        <w:t xml:space="preserve"> months after ceasing </w:t>
      </w:r>
      <w:r>
        <w:rPr>
          <w:rStyle w:val="f1791"/>
          <w:rFonts w:ascii="Calibri" w:hAnsi="Calibri"/>
        </w:rPr>
        <w:t xml:space="preserve">peginterferon-α-2b </w:t>
      </w:r>
      <w:r w:rsidRPr="00F325A8">
        <w:rPr>
          <w:rStyle w:val="f1791"/>
          <w:rFonts w:ascii="Calibri" w:hAnsi="Calibri" w:cs="Calibri"/>
        </w:rPr>
        <w:t xml:space="preserve">therapy. No such increases were seen in the non-interferon treated group of 17 patients (Figure </w:t>
      </w:r>
      <w:r>
        <w:rPr>
          <w:rStyle w:val="f1791"/>
          <w:rFonts w:ascii="Calibri" w:hAnsi="Calibri" w:cs="Calibri"/>
        </w:rPr>
        <w:t>2</w:t>
      </w:r>
      <w:r w:rsidRPr="00F325A8">
        <w:rPr>
          <w:rStyle w:val="f1791"/>
          <w:rFonts w:ascii="Calibri" w:hAnsi="Calibri" w:cs="Calibri"/>
        </w:rPr>
        <w:t xml:space="preserve">). </w:t>
      </w:r>
    </w:p>
    <w:p w:rsidR="00F43108" w:rsidRDefault="00F43108" w:rsidP="00E203C9">
      <w:pPr>
        <w:rPr>
          <w:rFonts w:eastAsia="PMingLiU" w:cs="Arial"/>
          <w:lang w:val="cy-GB" w:eastAsia="zh-TW"/>
        </w:rPr>
      </w:pPr>
      <w:r>
        <w:rPr>
          <w:rFonts w:eastAsia="PMingLiU" w:cs="Arial"/>
          <w:lang w:val="cy-GB" w:eastAsia="zh-TW"/>
        </w:rPr>
        <w:lastRenderedPageBreak/>
        <w:t>There was</w:t>
      </w:r>
      <w:r w:rsidRPr="00233417">
        <w:rPr>
          <w:rFonts w:eastAsia="PMingLiU" w:cs="Arial"/>
          <w:lang w:val="cy-GB" w:eastAsia="zh-TW"/>
        </w:rPr>
        <w:t xml:space="preserve"> a significant downregulation of Th17 cells in the </w:t>
      </w:r>
      <w:r w:rsidRPr="00F325A8">
        <w:rPr>
          <w:rStyle w:val="f1791"/>
          <w:rFonts w:ascii="Calibri" w:hAnsi="Calibri"/>
        </w:rPr>
        <w:t>peginterferon</w:t>
      </w:r>
      <w:r>
        <w:rPr>
          <w:rStyle w:val="f1791"/>
          <w:rFonts w:ascii="Calibri" w:hAnsi="Calibri"/>
        </w:rPr>
        <w:t>-</w:t>
      </w:r>
      <w:r>
        <w:t>α-2b</w:t>
      </w:r>
      <w:r w:rsidR="00E203C9">
        <w:t xml:space="preserve"> </w:t>
      </w:r>
      <w:r w:rsidRPr="00233417">
        <w:rPr>
          <w:rFonts w:eastAsia="PMingLiU" w:cs="Arial"/>
          <w:lang w:val="cy-GB" w:eastAsia="zh-TW"/>
        </w:rPr>
        <w:t xml:space="preserve">treated group </w:t>
      </w:r>
      <w:r>
        <w:rPr>
          <w:rFonts w:eastAsia="PMingLiU" w:cs="Arial"/>
          <w:lang w:val="cy-GB" w:eastAsia="zh-TW"/>
        </w:rPr>
        <w:t>at all timepoints to</w:t>
      </w:r>
      <w:r w:rsidRPr="00233417">
        <w:rPr>
          <w:rFonts w:eastAsia="PMingLiU" w:cs="Arial"/>
          <w:lang w:val="cy-GB" w:eastAsia="zh-TW"/>
        </w:rPr>
        <w:t xml:space="preserve"> 12 month</w:t>
      </w:r>
      <w:r>
        <w:rPr>
          <w:rFonts w:eastAsia="PMingLiU" w:cs="Arial"/>
          <w:lang w:val="cy-GB" w:eastAsia="zh-TW"/>
        </w:rPr>
        <w:t xml:space="preserve">s </w:t>
      </w:r>
      <w:r w:rsidRPr="00233417">
        <w:rPr>
          <w:rFonts w:eastAsia="PMingLiU" w:cs="Arial"/>
          <w:lang w:val="cy-GB" w:eastAsia="zh-TW"/>
        </w:rPr>
        <w:t xml:space="preserve">in cultures stimulated with PMA/ionomycin (Figure </w:t>
      </w:r>
      <w:r>
        <w:rPr>
          <w:rFonts w:eastAsia="PMingLiU" w:cs="Arial"/>
          <w:lang w:val="cy-GB" w:eastAsia="zh-TW"/>
        </w:rPr>
        <w:t>3</w:t>
      </w:r>
      <w:r w:rsidRPr="00233417">
        <w:rPr>
          <w:rFonts w:eastAsia="PMingLiU" w:cs="Arial"/>
          <w:lang w:val="cy-GB" w:eastAsia="zh-TW"/>
        </w:rPr>
        <w:t xml:space="preserve">). As early as 3 months after initiation of </w:t>
      </w:r>
      <w:r w:rsidRPr="00F325A8">
        <w:rPr>
          <w:rStyle w:val="f1791"/>
          <w:rFonts w:ascii="Calibri" w:hAnsi="Calibri"/>
        </w:rPr>
        <w:t>peginterferon</w:t>
      </w:r>
      <w:r>
        <w:rPr>
          <w:rStyle w:val="f1791"/>
          <w:rFonts w:ascii="Calibri" w:hAnsi="Calibri"/>
        </w:rPr>
        <w:t>-</w:t>
      </w:r>
      <w:r>
        <w:t>α-2b</w:t>
      </w:r>
      <w:r w:rsidR="00E203C9">
        <w:t xml:space="preserve"> </w:t>
      </w:r>
      <w:r w:rsidRPr="00233417">
        <w:rPr>
          <w:rFonts w:eastAsia="PMingLiU" w:cs="Arial"/>
          <w:lang w:val="cy-GB" w:eastAsia="zh-TW"/>
        </w:rPr>
        <w:t xml:space="preserve">therapy, the </w:t>
      </w:r>
      <w:r>
        <w:rPr>
          <w:rFonts w:eastAsia="PMingLiU" w:cs="Arial"/>
          <w:lang w:val="cy-GB" w:eastAsia="zh-TW"/>
        </w:rPr>
        <w:t xml:space="preserve">median </w:t>
      </w:r>
      <w:r w:rsidRPr="00233417">
        <w:rPr>
          <w:rFonts w:eastAsia="PMingLiU" w:cs="Arial"/>
          <w:lang w:val="cy-GB" w:eastAsia="zh-TW"/>
        </w:rPr>
        <w:t>percentage of IL-17</w:t>
      </w:r>
      <w:r w:rsidRPr="00233417">
        <w:rPr>
          <w:rFonts w:eastAsia="PMingLiU" w:cs="Arial"/>
          <w:vertAlign w:val="superscript"/>
          <w:lang w:val="cy-GB" w:eastAsia="zh-TW"/>
        </w:rPr>
        <w:t>+</w:t>
      </w:r>
      <w:r w:rsidRPr="00233417">
        <w:rPr>
          <w:rFonts w:eastAsia="PMingLiU" w:cs="Arial"/>
          <w:lang w:val="cy-GB" w:eastAsia="zh-TW"/>
        </w:rPr>
        <w:t xml:space="preserve"> expression by CD4</w:t>
      </w:r>
      <w:r w:rsidRPr="00233417">
        <w:rPr>
          <w:rFonts w:eastAsia="PMingLiU" w:cs="Arial"/>
          <w:vertAlign w:val="superscript"/>
          <w:lang w:val="cy-GB" w:eastAsia="zh-TW"/>
        </w:rPr>
        <w:t>+</w:t>
      </w:r>
      <w:r w:rsidRPr="00233417">
        <w:rPr>
          <w:rFonts w:eastAsia="PMingLiU" w:cs="Arial"/>
          <w:lang w:val="cy-GB" w:eastAsia="zh-TW"/>
        </w:rPr>
        <w:t xml:space="preserve"> T cells decreased (0.8% </w:t>
      </w:r>
      <w:r>
        <w:rPr>
          <w:rFonts w:eastAsia="PMingLiU" w:cs="Arial"/>
          <w:lang w:val="cy-GB" w:eastAsia="zh-TW"/>
        </w:rPr>
        <w:t>(</w:t>
      </w:r>
      <w:r w:rsidRPr="00233417">
        <w:rPr>
          <w:rFonts w:eastAsia="PMingLiU" w:cs="Arial"/>
          <w:lang w:val="cy-GB" w:eastAsia="zh-TW"/>
        </w:rPr>
        <w:t>0.3-1.9%</w:t>
      </w:r>
      <w:r>
        <w:rPr>
          <w:rFonts w:eastAsia="PMingLiU" w:cs="Arial"/>
          <w:lang w:val="cy-GB" w:eastAsia="zh-TW"/>
        </w:rPr>
        <w:t>),p</w:t>
      </w:r>
      <w:r w:rsidRPr="00233417">
        <w:rPr>
          <w:rFonts w:eastAsia="PMingLiU" w:cs="Arial"/>
          <w:lang w:val="cy-GB" w:eastAsia="zh-TW"/>
        </w:rPr>
        <w:t>=0.</w:t>
      </w:r>
      <w:r w:rsidR="00E203C9" w:rsidRPr="00233417">
        <w:rPr>
          <w:rFonts w:eastAsia="PMingLiU" w:cs="Arial"/>
          <w:lang w:val="cy-GB" w:eastAsia="zh-TW"/>
        </w:rPr>
        <w:t>0</w:t>
      </w:r>
      <w:r w:rsidR="00E203C9">
        <w:rPr>
          <w:rFonts w:eastAsia="PMingLiU" w:cs="Arial"/>
          <w:lang w:val="cy-GB" w:eastAsia="zh-TW"/>
        </w:rPr>
        <w:t>3</w:t>
      </w:r>
      <w:r w:rsidRPr="00233417">
        <w:rPr>
          <w:rFonts w:eastAsia="PMingLiU" w:cs="Arial"/>
          <w:lang w:val="cy-GB" w:eastAsia="zh-TW"/>
        </w:rPr>
        <w:t xml:space="preserve">) compared to baseline (2.0% </w:t>
      </w:r>
      <w:r>
        <w:rPr>
          <w:rFonts w:eastAsia="PMingLiU" w:cs="Arial"/>
          <w:lang w:val="cy-GB" w:eastAsia="zh-TW"/>
        </w:rPr>
        <w:t>(</w:t>
      </w:r>
      <w:r w:rsidRPr="00233417">
        <w:rPr>
          <w:rFonts w:eastAsia="PMingLiU" w:cs="Arial"/>
          <w:lang w:val="cy-GB" w:eastAsia="zh-TW"/>
        </w:rPr>
        <w:t>1.</w:t>
      </w:r>
      <w:r>
        <w:rPr>
          <w:rFonts w:eastAsia="PMingLiU" w:cs="Arial"/>
          <w:lang w:val="cy-GB" w:eastAsia="zh-TW"/>
        </w:rPr>
        <w:t>7</w:t>
      </w:r>
      <w:r w:rsidRPr="00233417">
        <w:rPr>
          <w:rFonts w:eastAsia="PMingLiU" w:cs="Arial"/>
          <w:lang w:val="cy-GB" w:eastAsia="zh-TW"/>
        </w:rPr>
        <w:t>-2.6%</w:t>
      </w:r>
      <w:r>
        <w:rPr>
          <w:rFonts w:eastAsia="PMingLiU" w:cs="Arial"/>
          <w:lang w:val="cy-GB" w:eastAsia="zh-TW"/>
        </w:rPr>
        <w:t>)</w:t>
      </w:r>
      <w:r w:rsidRPr="00233417">
        <w:rPr>
          <w:rFonts w:eastAsia="PMingLiU" w:cs="Arial"/>
          <w:lang w:val="cy-GB" w:eastAsia="zh-TW"/>
        </w:rPr>
        <w:t xml:space="preserve">).  Th17 cells remained low at 6 months (0.8% </w:t>
      </w:r>
      <w:r>
        <w:rPr>
          <w:rFonts w:eastAsia="PMingLiU" w:cs="Arial"/>
          <w:lang w:val="cy-GB" w:eastAsia="zh-TW"/>
        </w:rPr>
        <w:t>(</w:t>
      </w:r>
      <w:r w:rsidRPr="00233417">
        <w:rPr>
          <w:rFonts w:eastAsia="PMingLiU" w:cs="Arial"/>
          <w:lang w:val="cy-GB" w:eastAsia="zh-TW"/>
        </w:rPr>
        <w:t>0.7-1.</w:t>
      </w:r>
      <w:r>
        <w:rPr>
          <w:rFonts w:eastAsia="PMingLiU" w:cs="Arial"/>
          <w:lang w:val="cy-GB" w:eastAsia="zh-TW"/>
        </w:rPr>
        <w:t>2</w:t>
      </w:r>
      <w:r w:rsidRPr="00233417">
        <w:rPr>
          <w:rFonts w:eastAsia="PMingLiU" w:cs="Arial"/>
          <w:lang w:val="cy-GB" w:eastAsia="zh-TW"/>
        </w:rPr>
        <w:t>%</w:t>
      </w:r>
      <w:r>
        <w:rPr>
          <w:rFonts w:eastAsia="PMingLiU" w:cs="Arial"/>
          <w:lang w:val="cy-GB" w:eastAsia="zh-TW"/>
        </w:rPr>
        <w:t>), p=</w:t>
      </w:r>
      <w:r w:rsidRPr="00233417">
        <w:rPr>
          <w:rFonts w:eastAsia="PMingLiU" w:cs="Arial"/>
          <w:lang w:val="cy-GB" w:eastAsia="zh-TW"/>
        </w:rPr>
        <w:t>0.</w:t>
      </w:r>
      <w:r w:rsidR="00E203C9" w:rsidRPr="00233417">
        <w:rPr>
          <w:rFonts w:eastAsia="PMingLiU" w:cs="Arial"/>
          <w:lang w:val="cy-GB" w:eastAsia="zh-TW"/>
        </w:rPr>
        <w:t>0</w:t>
      </w:r>
      <w:r w:rsidR="00E203C9">
        <w:rPr>
          <w:rFonts w:eastAsia="PMingLiU" w:cs="Arial"/>
          <w:lang w:val="cy-GB" w:eastAsia="zh-TW"/>
        </w:rPr>
        <w:t>3</w:t>
      </w:r>
      <w:r w:rsidRPr="00233417">
        <w:rPr>
          <w:rFonts w:eastAsia="PMingLiU" w:cs="Arial"/>
          <w:lang w:val="cy-GB" w:eastAsia="zh-TW"/>
        </w:rPr>
        <w:t xml:space="preserve">) and at 12 months (1.0% </w:t>
      </w:r>
      <w:r>
        <w:rPr>
          <w:rFonts w:eastAsia="PMingLiU" w:cs="Arial"/>
          <w:lang w:val="cy-GB" w:eastAsia="zh-TW"/>
        </w:rPr>
        <w:t>(</w:t>
      </w:r>
      <w:r w:rsidRPr="00233417">
        <w:rPr>
          <w:rFonts w:eastAsia="PMingLiU" w:cs="Arial"/>
          <w:lang w:val="cy-GB" w:eastAsia="zh-TW"/>
        </w:rPr>
        <w:t>0.7-1.</w:t>
      </w:r>
      <w:r>
        <w:rPr>
          <w:rFonts w:eastAsia="PMingLiU" w:cs="Arial"/>
          <w:lang w:val="cy-GB" w:eastAsia="zh-TW"/>
        </w:rPr>
        <w:t>8</w:t>
      </w:r>
      <w:r w:rsidRPr="00233417">
        <w:rPr>
          <w:rFonts w:eastAsia="PMingLiU" w:cs="Arial"/>
          <w:lang w:val="cy-GB" w:eastAsia="zh-TW"/>
        </w:rPr>
        <w:t>%</w:t>
      </w:r>
      <w:r>
        <w:rPr>
          <w:rFonts w:eastAsia="PMingLiU" w:cs="Arial"/>
          <w:lang w:val="cy-GB" w:eastAsia="zh-TW"/>
        </w:rPr>
        <w:t>),p=</w:t>
      </w:r>
      <w:r w:rsidRPr="00233417">
        <w:rPr>
          <w:rFonts w:eastAsia="PMingLiU" w:cs="Arial"/>
          <w:lang w:val="cy-GB" w:eastAsia="zh-TW"/>
        </w:rPr>
        <w:t>0.</w:t>
      </w:r>
      <w:r w:rsidR="00E203C9" w:rsidRPr="00233417">
        <w:rPr>
          <w:rFonts w:eastAsia="PMingLiU" w:cs="Arial"/>
          <w:lang w:val="cy-GB" w:eastAsia="zh-TW"/>
        </w:rPr>
        <w:t>0</w:t>
      </w:r>
      <w:r w:rsidR="00E203C9">
        <w:rPr>
          <w:rFonts w:eastAsia="PMingLiU" w:cs="Arial"/>
          <w:lang w:val="cy-GB" w:eastAsia="zh-TW"/>
        </w:rPr>
        <w:t>3</w:t>
      </w:r>
      <w:r w:rsidRPr="00233417">
        <w:rPr>
          <w:rFonts w:eastAsia="PMingLiU" w:cs="Arial"/>
          <w:lang w:val="cy-GB" w:eastAsia="zh-TW"/>
        </w:rPr>
        <w:t>)</w:t>
      </w:r>
      <w:r>
        <w:rPr>
          <w:rFonts w:eastAsia="PMingLiU" w:cs="Arial"/>
          <w:lang w:val="cy-GB" w:eastAsia="zh-TW"/>
        </w:rPr>
        <w:t xml:space="preserve">, six months after cessation of </w:t>
      </w:r>
      <w:r w:rsidRPr="00F325A8">
        <w:rPr>
          <w:rStyle w:val="f1791"/>
          <w:rFonts w:ascii="Calibri" w:hAnsi="Calibri"/>
        </w:rPr>
        <w:t>peginterferon</w:t>
      </w:r>
      <w:r>
        <w:rPr>
          <w:rStyle w:val="f1791"/>
          <w:rFonts w:ascii="Calibri" w:hAnsi="Calibri"/>
        </w:rPr>
        <w:t>-</w:t>
      </w:r>
      <w:r>
        <w:t>α-2b</w:t>
      </w:r>
      <w:r w:rsidR="00E203C9">
        <w:t xml:space="preserve"> </w:t>
      </w:r>
      <w:r w:rsidRPr="00233417">
        <w:rPr>
          <w:rFonts w:eastAsia="PMingLiU" w:cs="Arial"/>
          <w:lang w:val="cy-GB" w:eastAsia="zh-TW"/>
        </w:rPr>
        <w:t>therapy.  Th</w:t>
      </w:r>
      <w:r>
        <w:rPr>
          <w:rFonts w:eastAsia="PMingLiU" w:cs="Arial"/>
          <w:lang w:val="cy-GB" w:eastAsia="zh-TW"/>
        </w:rPr>
        <w:t xml:space="preserve">is </w:t>
      </w:r>
      <w:r w:rsidRPr="00233417">
        <w:rPr>
          <w:rFonts w:eastAsia="PMingLiU" w:cs="Arial"/>
          <w:lang w:val="cy-GB" w:eastAsia="zh-TW"/>
        </w:rPr>
        <w:t>effect on Th17</w:t>
      </w:r>
      <w:r>
        <w:rPr>
          <w:rFonts w:eastAsia="PMingLiU" w:cs="Arial"/>
          <w:lang w:val="cy-GB" w:eastAsia="zh-TW"/>
        </w:rPr>
        <w:t xml:space="preserve"> cells</w:t>
      </w:r>
      <w:r w:rsidRPr="00233417">
        <w:rPr>
          <w:rFonts w:eastAsia="PMingLiU" w:cs="Arial"/>
          <w:lang w:val="cy-GB" w:eastAsia="zh-TW"/>
        </w:rPr>
        <w:t xml:space="preserve"> was detected </w:t>
      </w:r>
      <w:r>
        <w:rPr>
          <w:rFonts w:eastAsia="PMingLiU" w:cs="Arial"/>
          <w:lang w:val="cy-GB" w:eastAsia="zh-TW"/>
        </w:rPr>
        <w:t xml:space="preserve">at 6 months </w:t>
      </w:r>
      <w:r w:rsidRPr="00233417">
        <w:rPr>
          <w:rFonts w:eastAsia="PMingLiU" w:cs="Arial"/>
          <w:lang w:val="cy-GB" w:eastAsia="zh-TW"/>
        </w:rPr>
        <w:t>in the conventional treatment</w:t>
      </w:r>
      <w:r>
        <w:rPr>
          <w:rFonts w:eastAsia="PMingLiU" w:cs="Arial"/>
          <w:lang w:val="cy-GB" w:eastAsia="zh-TW"/>
        </w:rPr>
        <w:t xml:space="preserve"> group, but was not found at the other timepoints</w:t>
      </w:r>
      <w:r w:rsidRPr="00233417">
        <w:rPr>
          <w:rFonts w:eastAsia="PMingLiU" w:cs="Arial"/>
          <w:lang w:val="cy-GB" w:eastAsia="zh-TW"/>
        </w:rPr>
        <w:t>.</w:t>
      </w:r>
    </w:p>
    <w:p w:rsidR="00F43108" w:rsidRDefault="00F43108" w:rsidP="000411A9">
      <w:pPr>
        <w:rPr>
          <w:b/>
          <w:caps/>
        </w:rPr>
      </w:pPr>
    </w:p>
    <w:p w:rsidR="00F43108" w:rsidRPr="00452F39" w:rsidRDefault="00F43108" w:rsidP="000411A9">
      <w:pPr>
        <w:rPr>
          <w:b/>
          <w:caps/>
        </w:rPr>
      </w:pPr>
      <w:r w:rsidRPr="00452F39">
        <w:rPr>
          <w:b/>
          <w:caps/>
        </w:rPr>
        <w:t>Discussion</w:t>
      </w:r>
    </w:p>
    <w:p w:rsidR="00F43108" w:rsidRPr="00273C61" w:rsidRDefault="00F43108" w:rsidP="00430525">
      <w:r w:rsidRPr="00273C61">
        <w:t xml:space="preserve">This study primarily aimed to see if treatment with </w:t>
      </w:r>
      <w:r>
        <w:rPr>
          <w:rStyle w:val="f1791"/>
          <w:rFonts w:ascii="Calibri" w:hAnsi="Calibri"/>
        </w:rPr>
        <w:t xml:space="preserve">peginterferon-α-2b </w:t>
      </w:r>
      <w:r w:rsidRPr="00273C61">
        <w:t xml:space="preserve">for </w:t>
      </w:r>
      <w:r>
        <w:t>six</w:t>
      </w:r>
      <w:r w:rsidRPr="00273C61">
        <w:t xml:space="preserve"> months allowed significant corticosteroid reduction</w:t>
      </w:r>
      <w:r>
        <w:t xml:space="preserve"> in BD patients</w:t>
      </w:r>
      <w:r w:rsidRPr="00273C61">
        <w:t xml:space="preserve">. </w:t>
      </w:r>
      <w:r w:rsidR="00430525">
        <w:t>While among the entire patient population there was no difference in the corticosteroid dose between the treatment groups, i</w:t>
      </w:r>
      <w:r>
        <w:t xml:space="preserve">n </w:t>
      </w:r>
      <w:r w:rsidRPr="00273C61">
        <w:t xml:space="preserve">those </w:t>
      </w:r>
      <w:r>
        <w:t xml:space="preserve">patients </w:t>
      </w:r>
      <w:r w:rsidRPr="00273C61">
        <w:t xml:space="preserve">already on corticosteroids at baseline there was a significant decrease </w:t>
      </w:r>
      <w:r w:rsidR="009A6AAC">
        <w:t xml:space="preserve">in the dose of corticosteroids </w:t>
      </w:r>
      <w:r w:rsidRPr="00273C61">
        <w:t xml:space="preserve">required to control the disease. In addition there was a trend for </w:t>
      </w:r>
      <w:r>
        <w:t xml:space="preserve">less use of </w:t>
      </w:r>
      <w:r w:rsidR="008F662D">
        <w:t xml:space="preserve">corticosteroids and </w:t>
      </w:r>
      <w:r w:rsidRPr="00273C61">
        <w:t xml:space="preserve">other immunosuppressive agents and biologics </w:t>
      </w:r>
      <w:r>
        <w:t xml:space="preserve">(anti-tumour necrosis factor inhibitors) </w:t>
      </w:r>
      <w:r w:rsidRPr="00273C61">
        <w:t xml:space="preserve">without an increase in the severe relapse rate and a </w:t>
      </w:r>
      <w:r w:rsidR="00204FC1">
        <w:t xml:space="preserve">relatively </w:t>
      </w:r>
      <w:r w:rsidRPr="00273C61">
        <w:t xml:space="preserve">better quality of life score.  This was associated </w:t>
      </w:r>
      <w:r>
        <w:t>with</w:t>
      </w:r>
      <w:r w:rsidRPr="00273C61">
        <w:t xml:space="preserve"> an increase in the number of circulating Tregs</w:t>
      </w:r>
      <w:r w:rsidR="00025C0D">
        <w:t xml:space="preserve"> </w:t>
      </w:r>
      <w:r w:rsidRPr="00273C61">
        <w:t>which was still present at 1 year and not present in those on conventional therapy.</w:t>
      </w:r>
    </w:p>
    <w:p w:rsidR="00F43108" w:rsidRDefault="00F43108" w:rsidP="000411A9">
      <w:r>
        <w:t>BD</w:t>
      </w:r>
      <w:r w:rsidRPr="00273C61">
        <w:t xml:space="preserve"> is heterogeneous with different phenotypes so a heterogeneous response to therapies </w:t>
      </w:r>
      <w:r>
        <w:t>could</w:t>
      </w:r>
      <w:r w:rsidRPr="00273C61">
        <w:t xml:space="preserve"> be anticipated. A major role in</w:t>
      </w:r>
      <w:r w:rsidR="00025C0D">
        <w:t xml:space="preserve"> </w:t>
      </w:r>
      <w:r w:rsidRPr="00273C61">
        <w:t xml:space="preserve">pathogenesis </w:t>
      </w:r>
      <w:r>
        <w:t>is</w:t>
      </w:r>
      <w:r w:rsidRPr="00273C61">
        <w:t xml:space="preserve"> suggested for Th1 and Th2 cells and more recently for Th17 cells.</w:t>
      </w:r>
      <w:r>
        <w:rPr>
          <w:noProof/>
        </w:rPr>
        <w:t>[18]</w:t>
      </w:r>
      <w:r w:rsidRPr="00273C61">
        <w:t>Individual susceptibility seems to be modulated by genetic variants in genes codifying these cytokines.</w:t>
      </w:r>
      <w:r>
        <w:rPr>
          <w:noProof/>
        </w:rPr>
        <w:t>[18, 19]</w:t>
      </w:r>
      <w:r w:rsidRPr="00273C61">
        <w:t xml:space="preserve"> Th1 and Th17 cells are thought to be involved in active disease phases </w:t>
      </w:r>
      <w:r>
        <w:t>whereas</w:t>
      </w:r>
      <w:r w:rsidRPr="00273C61">
        <w:t>Th2 cells affect the development or severity of the disease.</w:t>
      </w:r>
      <w:r>
        <w:rPr>
          <w:noProof/>
        </w:rPr>
        <w:t>[20]</w:t>
      </w:r>
      <w:r w:rsidRPr="00273C61">
        <w:t xml:space="preserve"> Th17 responses were controlled by Tregs in </w:t>
      </w:r>
      <w:r>
        <w:t>rheumatoid arthritis (</w:t>
      </w:r>
      <w:r w:rsidRPr="00273C61">
        <w:t>RA</w:t>
      </w:r>
      <w:r>
        <w:t>)</w:t>
      </w:r>
      <w:r w:rsidRPr="00273C61">
        <w:t xml:space="preserve"> patients on infliximab</w:t>
      </w:r>
      <w:r w:rsidR="00025C0D">
        <w:t xml:space="preserve"> </w:t>
      </w:r>
      <w:r>
        <w:rPr>
          <w:noProof/>
        </w:rPr>
        <w:t>[21]</w:t>
      </w:r>
      <w:r w:rsidRPr="00273C61">
        <w:t xml:space="preserve"> and anti-TNF therapy was found to induce Tregs in RA patients.</w:t>
      </w:r>
      <w:r>
        <w:rPr>
          <w:noProof/>
        </w:rPr>
        <w:t>[22]</w:t>
      </w:r>
      <w:r w:rsidRPr="00273C61">
        <w:t xml:space="preserve"> In ocular fluids, infliximab inhibited Th17 differentiation by CD4+</w:t>
      </w:r>
      <w:r>
        <w:t xml:space="preserve"> cells</w:t>
      </w:r>
      <w:r w:rsidRPr="00273C61">
        <w:t>.</w:t>
      </w:r>
      <w:r>
        <w:rPr>
          <w:noProof/>
        </w:rPr>
        <w:t>[23]</w:t>
      </w:r>
      <w:r>
        <w:t xml:space="preserve">This </w:t>
      </w:r>
      <w:r w:rsidRPr="00273C61">
        <w:t>suggest</w:t>
      </w:r>
      <w:r>
        <w:t>s</w:t>
      </w:r>
      <w:r w:rsidRPr="00273C61">
        <w:t xml:space="preserve"> that Tregs are able to modulate Th17 responses and therefore can decrease inflammatory activity in disease settings. IL-17 is also thought to co-ordinate the cross talk between lymphocytes and neutrophils in </w:t>
      </w:r>
      <w:r>
        <w:t>BD,</w:t>
      </w:r>
      <w:r w:rsidRPr="00273C61">
        <w:t xml:space="preserve"> so the related cytokines could be potential targets for therapy.</w:t>
      </w:r>
      <w:r>
        <w:rPr>
          <w:noProof/>
        </w:rPr>
        <w:t>[24, 25]</w:t>
      </w:r>
      <w:hyperlink w:anchor="_ENREF_25" w:tooltip="Wright, 2011 #4309" w:history="1"/>
    </w:p>
    <w:p w:rsidR="00F43108" w:rsidRDefault="00F43108" w:rsidP="00204FC1">
      <w:pPr>
        <w:shd w:val="clear" w:color="auto" w:fill="FFFFFF"/>
        <w:spacing w:line="336" w:lineRule="atLeast"/>
        <w:ind w:right="180"/>
      </w:pPr>
      <w:r>
        <w:t xml:space="preserve">In this study, </w:t>
      </w:r>
      <w:r w:rsidR="00430525">
        <w:t>a</w:t>
      </w:r>
      <w:r>
        <w:t xml:space="preserve"> beneficial effect </w:t>
      </w:r>
      <w:r w:rsidR="008F662D">
        <w:t xml:space="preserve">of peginterferon-α-2b </w:t>
      </w:r>
      <w:r>
        <w:t xml:space="preserve">was seen </w:t>
      </w:r>
      <w:r w:rsidR="00430525">
        <w:t xml:space="preserve">only </w:t>
      </w:r>
      <w:r>
        <w:t xml:space="preserve">in those patients already on corticosteroids at baseline, possibly those with more severe disease manifestations. </w:t>
      </w:r>
      <w:r w:rsidR="00204FC1">
        <w:t xml:space="preserve">This was accompanied by an increase in quality of life, despite the negative effect interferon has on patients quality of life. </w:t>
      </w:r>
      <w:r>
        <w:t>Others have suggested that interferon only works when corticosteroids and other immunosuppressive agents have been discontinued as its effect is mitigated by these agents.</w:t>
      </w:r>
      <w:r>
        <w:rPr>
          <w:noProof/>
        </w:rPr>
        <w:t>[7]</w:t>
      </w:r>
      <w:r>
        <w:t xml:space="preserve"> We did not confirm this in our study and indeed those on minimal systemic therapy did not have any benefit from the addition of </w:t>
      </w:r>
      <w:r>
        <w:rPr>
          <w:rStyle w:val="f1791"/>
          <w:rFonts w:ascii="Calibri" w:hAnsi="Calibri"/>
        </w:rPr>
        <w:t xml:space="preserve">peginterferon-α-2b </w:t>
      </w:r>
      <w:r>
        <w:t>at least in the parameters measured.  The mode of action of interferon may depend on the dose used, as at very high doses, such as those used in treating melanoma, an immunostimulatory mechanism has been suggested</w:t>
      </w:r>
      <w:r>
        <w:rPr>
          <w:noProof/>
        </w:rPr>
        <w:t>[26]</w:t>
      </w:r>
      <w:r>
        <w:t xml:space="preserve"> although others have found an increase in Tregs.</w:t>
      </w:r>
      <w:r>
        <w:rPr>
          <w:noProof/>
        </w:rPr>
        <w:t>[27]</w:t>
      </w:r>
      <w:r>
        <w:t xml:space="preserve"> In patients undergoing interferon therapy for liver fibrosis, upregulated</w:t>
      </w:r>
      <w:r w:rsidR="00025C0D">
        <w:t xml:space="preserve"> </w:t>
      </w:r>
      <w:r>
        <w:t>Tregs have also been detected.</w:t>
      </w:r>
      <w:r>
        <w:rPr>
          <w:noProof/>
        </w:rPr>
        <w:t>[28]</w:t>
      </w:r>
      <w:r>
        <w:t xml:space="preserve">  It is possible that corticosteroids </w:t>
      </w:r>
      <w:r>
        <w:lastRenderedPageBreak/>
        <w:t>themselves can increase the number of Treg cells that are then further upregulated by the interferon.</w:t>
      </w:r>
      <w:r>
        <w:rPr>
          <w:noProof/>
        </w:rPr>
        <w:t>[29, 30]</w:t>
      </w:r>
      <w:r>
        <w:t>Tregs control immune responses to self antigens and can modulate the effect of many immune cells by blocking proliferation, differentiation and effector functions.</w:t>
      </w:r>
      <w:r>
        <w:rPr>
          <w:noProof/>
        </w:rPr>
        <w:t>[31]</w:t>
      </w:r>
      <w:r>
        <w:t xml:space="preserve"> It remains unknown whether persistence of some Tregs is responsible for the reduced relapse rate with time seen in some studies where Infliximab and interferon-α were compared to conventional immunosuppressive agents such as ciclosporine and azathioprine. In addition to the potentiating effect on Tregs, there was a concomitant decrease in the percentages of Th17 cells in the paired blood specimens that were obtained at all time</w:t>
      </w:r>
      <w:r w:rsidR="00025C0D">
        <w:t xml:space="preserve"> </w:t>
      </w:r>
      <w:r>
        <w:t>points. Th17 cells have been proposed as effector cells in active BD, and their downregulation by interferon-α could be a reflection of the upregulation of Tregs, although this requires further study.</w:t>
      </w:r>
    </w:p>
    <w:p w:rsidR="00F43108" w:rsidRDefault="00F43108" w:rsidP="000411A9">
      <w:pPr>
        <w:shd w:val="clear" w:color="auto" w:fill="FFFFFF"/>
        <w:spacing w:line="336" w:lineRule="atLeast"/>
        <w:ind w:right="180"/>
      </w:pPr>
    </w:p>
    <w:p w:rsidR="00F43108" w:rsidRDefault="00F43108" w:rsidP="000411A9">
      <w:pPr>
        <w:shd w:val="clear" w:color="auto" w:fill="FFFFFF"/>
        <w:spacing w:line="336" w:lineRule="atLeast"/>
        <w:ind w:right="180"/>
      </w:pPr>
      <w:r>
        <w:t>Interferon-α has been used in BD patients since the mid-1980s and there is no consensus about the ideal dose or duration of treatment. Anti-TNF drugs, particularly infliximab are also very effective in rapidly resolving inflammatory episodes in patients with BD</w:t>
      </w:r>
      <w:r>
        <w:rPr>
          <w:noProof/>
        </w:rPr>
        <w:t>[32, 33]</w:t>
      </w:r>
      <w:r>
        <w:t xml:space="preserve"> and recently have been shown in open label trials to reduce the relapse rate.</w:t>
      </w:r>
      <w:r>
        <w:rPr>
          <w:noProof/>
        </w:rPr>
        <w:t>[34, 35]</w:t>
      </w:r>
      <w:r>
        <w:t xml:space="preserve"> Infliximab therapy confers an increased risk of infection, particularly reactivation of latent </w:t>
      </w:r>
      <w:r w:rsidRPr="00BF2B5E">
        <w:t xml:space="preserve">tuberculosis </w:t>
      </w:r>
      <w:r>
        <w:rPr>
          <w:noProof/>
        </w:rPr>
        <w:t>[36]</w:t>
      </w:r>
      <w:r>
        <w:t xml:space="preserve"> which is not seen with interferon-α. Other biologics and anti-interleukin therapies have been reported as effective in small series of BD patients.</w:t>
      </w:r>
      <w:r>
        <w:rPr>
          <w:noProof/>
        </w:rPr>
        <w:t>[37]</w:t>
      </w:r>
    </w:p>
    <w:p w:rsidR="00F43108" w:rsidRDefault="00F43108" w:rsidP="000411A9">
      <w:pPr>
        <w:pStyle w:val="NoSpacing"/>
        <w:spacing w:line="276" w:lineRule="auto"/>
      </w:pPr>
      <w:r>
        <w:t xml:space="preserve">Previously reported studies have involved treating patients with varying levels of disease activity whereas in this study all patients had to have stable disease with no change in medication for at least 1 month prior to the trial. BD is also very heterogenous in terms of disease severity so that reported studies may not be comparable for this reason. </w:t>
      </w:r>
    </w:p>
    <w:p w:rsidR="00F43108" w:rsidRDefault="00F43108" w:rsidP="000411A9">
      <w:pPr>
        <w:pStyle w:val="NoSpacing"/>
        <w:spacing w:line="276" w:lineRule="auto"/>
      </w:pPr>
    </w:p>
    <w:p w:rsidR="00F43108" w:rsidRDefault="00F43108" w:rsidP="000411A9">
      <w:pPr>
        <w:shd w:val="clear" w:color="auto" w:fill="FFFFFF"/>
        <w:spacing w:line="336" w:lineRule="atLeast"/>
        <w:ind w:right="180"/>
      </w:pPr>
      <w:r>
        <w:t xml:space="preserve">In summary, six months of </w:t>
      </w:r>
      <w:r w:rsidRPr="00273C61">
        <w:rPr>
          <w:rStyle w:val="f1791"/>
          <w:rFonts w:ascii="Calibri" w:hAnsi="Calibri"/>
        </w:rPr>
        <w:t>peginterferon</w:t>
      </w:r>
      <w:r>
        <w:rPr>
          <w:rStyle w:val="f1791"/>
          <w:rFonts w:ascii="Calibri" w:hAnsi="Calibri"/>
        </w:rPr>
        <w:t>-</w:t>
      </w:r>
      <w:r>
        <w:t xml:space="preserve">α-2bhad a significant effect on corticosteroid reduction which lasted for a further six months after treatment was stopped. This occurred when the </w:t>
      </w:r>
      <w:r>
        <w:rPr>
          <w:rStyle w:val="f1791"/>
          <w:rFonts w:ascii="Calibri" w:hAnsi="Calibri"/>
        </w:rPr>
        <w:t xml:space="preserve">peginterferon-α-2b </w:t>
      </w:r>
      <w:r>
        <w:t xml:space="preserve">was added into the systemic treatment regime and did not require the other drugs to be discontinued first. The rise in Tregs and Th17 reduction, occurring in the </w:t>
      </w:r>
      <w:r>
        <w:rPr>
          <w:rStyle w:val="f1791"/>
          <w:rFonts w:ascii="Calibri" w:hAnsi="Calibri"/>
        </w:rPr>
        <w:t xml:space="preserve">peginterferon-α-2b </w:t>
      </w:r>
      <w:r>
        <w:t>group, may have contributed to disease suppression.</w:t>
      </w:r>
    </w:p>
    <w:p w:rsidR="00F43108" w:rsidRDefault="00F43108">
      <w:pPr>
        <w:spacing w:after="0" w:line="240" w:lineRule="auto"/>
      </w:pPr>
      <w:r>
        <w:br w:type="page"/>
      </w:r>
    </w:p>
    <w:p w:rsidR="00F43108" w:rsidRDefault="00F43108" w:rsidP="000411A9">
      <w:pPr>
        <w:rPr>
          <w:lang w:eastAsia="en-GB"/>
        </w:rPr>
      </w:pPr>
      <w:r w:rsidRPr="00452F39">
        <w:rPr>
          <w:b/>
        </w:rPr>
        <w:lastRenderedPageBreak/>
        <w:t>Acknowledgements</w:t>
      </w:r>
      <w:r w:rsidR="00025C0D">
        <w:rPr>
          <w:b/>
        </w:rPr>
        <w:t xml:space="preserve"> </w:t>
      </w:r>
      <w:r w:rsidRPr="00452F39">
        <w:t>The</w:t>
      </w:r>
      <w:r w:rsidR="00025C0D">
        <w:t xml:space="preserve"> </w:t>
      </w:r>
      <w:r w:rsidRPr="00452F39">
        <w:t>authors</w:t>
      </w:r>
      <w:r w:rsidR="00025C0D">
        <w:t xml:space="preserve"> </w:t>
      </w:r>
      <w:r w:rsidRPr="00B755BC">
        <w:t xml:space="preserve">would like to thank </w:t>
      </w:r>
      <w:r w:rsidRPr="00B755BC">
        <w:rPr>
          <w:lang w:eastAsia="en-GB"/>
        </w:rPr>
        <w:t xml:space="preserve">Dr Colin Barnes and Professor Richard Powell for chairing the Trial Steering Committee and the Data Monitoring Committee respectively and for the help of the research fellows and nurses. </w:t>
      </w:r>
      <w:r>
        <w:rPr>
          <w:lang w:eastAsia="en-GB"/>
        </w:rPr>
        <w:t>The Behcet’s syndrome society assisted greatly by helping fund patients travel expenses and also by assisting with data audit prior to the analysis</w:t>
      </w:r>
    </w:p>
    <w:p w:rsidR="00F43108" w:rsidRDefault="00F43108" w:rsidP="000411A9">
      <w:pPr>
        <w:rPr>
          <w:lang w:eastAsia="en-GB"/>
        </w:rPr>
      </w:pPr>
    </w:p>
    <w:p w:rsidR="00F43108" w:rsidRPr="00452F39" w:rsidRDefault="00F43108" w:rsidP="000411A9">
      <w:pPr>
        <w:rPr>
          <w:b/>
          <w:lang w:eastAsia="en-GB"/>
        </w:rPr>
      </w:pPr>
      <w:r w:rsidRPr="00452F39">
        <w:rPr>
          <w:b/>
          <w:lang w:eastAsia="en-GB"/>
        </w:rPr>
        <w:t>Funding</w:t>
      </w:r>
      <w:r w:rsidR="00025C0D">
        <w:rPr>
          <w:b/>
          <w:lang w:eastAsia="en-GB"/>
        </w:rPr>
        <w:t xml:space="preserve"> </w:t>
      </w:r>
      <w:r w:rsidRPr="00F74D12">
        <w:rPr>
          <w:lang w:eastAsia="en-GB"/>
        </w:rPr>
        <w:t>This study was funded by the Moulton Trust. Patient travel expenses were funded by the Behcet’s syndrome society.</w:t>
      </w:r>
    </w:p>
    <w:p w:rsidR="00F43108" w:rsidRDefault="00F43108" w:rsidP="000411A9">
      <w:pPr>
        <w:rPr>
          <w:b/>
          <w:lang w:eastAsia="en-GB"/>
        </w:rPr>
      </w:pPr>
    </w:p>
    <w:p w:rsidR="00F43108" w:rsidRDefault="00F43108" w:rsidP="007F526E">
      <w:pPr>
        <w:rPr>
          <w:lang w:eastAsia="en-GB"/>
        </w:rPr>
      </w:pPr>
      <w:r w:rsidRPr="00452F39">
        <w:rPr>
          <w:b/>
          <w:lang w:eastAsia="en-GB"/>
        </w:rPr>
        <w:t>Competing interests</w:t>
      </w:r>
      <w:r w:rsidR="00025C0D">
        <w:rPr>
          <w:b/>
          <w:lang w:eastAsia="en-GB"/>
        </w:rPr>
        <w:t xml:space="preserve"> </w:t>
      </w:r>
      <w:r w:rsidR="007A484E" w:rsidRPr="007A484E">
        <w:rPr>
          <w:lang w:eastAsia="en-GB"/>
        </w:rPr>
        <w:t>SL</w:t>
      </w:r>
      <w:r w:rsidR="007A484E" w:rsidRPr="007F526E">
        <w:rPr>
          <w:lang w:eastAsia="en-GB"/>
        </w:rPr>
        <w:t>has received consultancy fees, research grants, received payment for development of</w:t>
      </w:r>
      <w:r w:rsidR="00025C0D">
        <w:rPr>
          <w:lang w:eastAsia="en-GB"/>
        </w:rPr>
        <w:t xml:space="preserve"> </w:t>
      </w:r>
      <w:r w:rsidR="007A484E" w:rsidRPr="007F526E">
        <w:rPr>
          <w:lang w:eastAsia="en-GB"/>
        </w:rPr>
        <w:t>educational presentations</w:t>
      </w:r>
      <w:r w:rsidR="002112FD">
        <w:rPr>
          <w:lang w:eastAsia="en-GB"/>
        </w:rPr>
        <w:t>,</w:t>
      </w:r>
      <w:r w:rsidR="007A484E" w:rsidRPr="007F526E">
        <w:rPr>
          <w:lang w:eastAsia="en-GB"/>
        </w:rPr>
        <w:t xml:space="preserve"> done speakers bureaus </w:t>
      </w:r>
      <w:r w:rsidR="002112FD" w:rsidRPr="007F526E">
        <w:rPr>
          <w:lang w:eastAsia="en-GB"/>
        </w:rPr>
        <w:t xml:space="preserve">and/or </w:t>
      </w:r>
      <w:r w:rsidR="002112FD">
        <w:rPr>
          <w:lang w:eastAsia="en-GB"/>
        </w:rPr>
        <w:t>been on the advisory board</w:t>
      </w:r>
      <w:r w:rsidR="00025C0D">
        <w:rPr>
          <w:lang w:eastAsia="en-GB"/>
        </w:rPr>
        <w:t xml:space="preserve"> </w:t>
      </w:r>
      <w:r w:rsidR="002112FD">
        <w:rPr>
          <w:lang w:eastAsia="en-GB"/>
        </w:rPr>
        <w:t>of</w:t>
      </w:r>
      <w:r w:rsidR="00025C0D">
        <w:rPr>
          <w:lang w:eastAsia="en-GB"/>
        </w:rPr>
        <w:t xml:space="preserve"> </w:t>
      </w:r>
      <w:r w:rsidR="007A484E">
        <w:rPr>
          <w:lang w:eastAsia="en-GB"/>
        </w:rPr>
        <w:t>GSK, BBRS and Allergan</w:t>
      </w:r>
      <w:r w:rsidR="002112FD">
        <w:rPr>
          <w:lang w:eastAsia="en-GB"/>
        </w:rPr>
        <w:t xml:space="preserve">. </w:t>
      </w:r>
      <w:r w:rsidR="007A484E">
        <w:rPr>
          <w:lang w:eastAsia="en-GB"/>
        </w:rPr>
        <w:t>H</w:t>
      </w:r>
      <w:r w:rsidR="000411A9" w:rsidRPr="007F526E">
        <w:rPr>
          <w:lang w:eastAsia="en-GB"/>
        </w:rPr>
        <w:t>L has received consultancy fees</w:t>
      </w:r>
      <w:r w:rsidR="007F526E" w:rsidRPr="007F526E">
        <w:rPr>
          <w:lang w:eastAsia="en-GB"/>
        </w:rPr>
        <w:t>, research grants, received payment for development of</w:t>
      </w:r>
      <w:r w:rsidR="00025C0D">
        <w:rPr>
          <w:lang w:eastAsia="en-GB"/>
        </w:rPr>
        <w:t xml:space="preserve"> </w:t>
      </w:r>
      <w:r w:rsidR="007F526E" w:rsidRPr="007F526E">
        <w:rPr>
          <w:lang w:eastAsia="en-GB"/>
        </w:rPr>
        <w:t>educational presentations and/or done speakers bureaus</w:t>
      </w:r>
      <w:r w:rsidR="000411A9" w:rsidRPr="007F526E">
        <w:rPr>
          <w:lang w:eastAsia="en-GB"/>
        </w:rPr>
        <w:t xml:space="preserve"> from CSL Behring, Shire, Viropharma, Baxter, Dyax</w:t>
      </w:r>
      <w:r w:rsidR="007F526E">
        <w:rPr>
          <w:lang w:eastAsia="en-GB"/>
        </w:rPr>
        <w:t>and</w:t>
      </w:r>
      <w:r w:rsidR="00025C0D">
        <w:rPr>
          <w:lang w:eastAsia="en-GB"/>
        </w:rPr>
        <w:t xml:space="preserve"> </w:t>
      </w:r>
      <w:r w:rsidR="000411A9" w:rsidRPr="007F526E">
        <w:rPr>
          <w:lang w:eastAsia="en-GB"/>
        </w:rPr>
        <w:t>Biocryst</w:t>
      </w:r>
      <w:r w:rsidR="007F526E">
        <w:rPr>
          <w:lang w:eastAsia="en-GB"/>
        </w:rPr>
        <w:t>. S</w:t>
      </w:r>
      <w:r w:rsidR="00315DDD">
        <w:rPr>
          <w:lang w:eastAsia="en-GB"/>
        </w:rPr>
        <w:t>RJ</w:t>
      </w:r>
      <w:r w:rsidR="007F526E">
        <w:rPr>
          <w:lang w:eastAsia="en-GB"/>
        </w:rPr>
        <w:t xml:space="preserve">T has received </w:t>
      </w:r>
      <w:r w:rsidR="007F526E" w:rsidRPr="007F526E">
        <w:rPr>
          <w:lang w:eastAsia="en-GB"/>
        </w:rPr>
        <w:t>consultancy fees</w:t>
      </w:r>
      <w:r w:rsidR="007F526E">
        <w:rPr>
          <w:lang w:eastAsia="en-GB"/>
        </w:rPr>
        <w:t xml:space="preserve"> and/or been on the advisory board</w:t>
      </w:r>
      <w:r w:rsidR="00025C0D">
        <w:rPr>
          <w:lang w:eastAsia="en-GB"/>
        </w:rPr>
        <w:t xml:space="preserve"> </w:t>
      </w:r>
      <w:r w:rsidR="007F526E">
        <w:rPr>
          <w:lang w:eastAsia="en-GB"/>
        </w:rPr>
        <w:t xml:space="preserve">of Novartis and Santen and has received meeting expenses from Novartis. </w:t>
      </w:r>
      <w:r w:rsidR="00315DDD">
        <w:rPr>
          <w:lang w:eastAsia="en-GB"/>
        </w:rPr>
        <w:t xml:space="preserve">DOH </w:t>
      </w:r>
      <w:r w:rsidR="00315DDD" w:rsidRPr="007F526E">
        <w:rPr>
          <w:lang w:eastAsia="en-GB"/>
        </w:rPr>
        <w:t>has received consultancy fees</w:t>
      </w:r>
      <w:r w:rsidR="00315DDD">
        <w:rPr>
          <w:lang w:eastAsia="en-GB"/>
        </w:rPr>
        <w:t xml:space="preserve"> and/or</w:t>
      </w:r>
      <w:r w:rsidR="00315DDD" w:rsidRPr="007F526E">
        <w:rPr>
          <w:lang w:eastAsia="en-GB"/>
        </w:rPr>
        <w:t xml:space="preserve"> research grants</w:t>
      </w:r>
      <w:r w:rsidR="00315DDD">
        <w:rPr>
          <w:lang w:eastAsia="en-GB"/>
        </w:rPr>
        <w:t xml:space="preserve"> from </w:t>
      </w:r>
      <w:r w:rsidR="00315DDD" w:rsidRPr="00315DDD">
        <w:rPr>
          <w:lang w:eastAsia="en-GB"/>
        </w:rPr>
        <w:t xml:space="preserve">Novartis </w:t>
      </w:r>
      <w:r w:rsidR="00315DDD">
        <w:rPr>
          <w:lang w:eastAsia="en-GB"/>
        </w:rPr>
        <w:t xml:space="preserve">and the </w:t>
      </w:r>
      <w:r w:rsidR="00315DDD" w:rsidRPr="00315DDD">
        <w:rPr>
          <w:lang w:eastAsia="en-GB"/>
        </w:rPr>
        <w:t xml:space="preserve">British Heart Foundation </w:t>
      </w:r>
      <w:r w:rsidR="00315DDD">
        <w:rPr>
          <w:lang w:eastAsia="en-GB"/>
        </w:rPr>
        <w:t>and has</w:t>
      </w:r>
      <w:r w:rsidR="00025C0D">
        <w:rPr>
          <w:lang w:eastAsia="en-GB"/>
        </w:rPr>
        <w:t xml:space="preserve"> </w:t>
      </w:r>
      <w:r w:rsidR="00315DDD">
        <w:rPr>
          <w:lang w:eastAsia="en-GB"/>
        </w:rPr>
        <w:t>been on the advisory board</w:t>
      </w:r>
      <w:r w:rsidR="00025C0D">
        <w:rPr>
          <w:lang w:eastAsia="en-GB"/>
        </w:rPr>
        <w:t xml:space="preserve"> </w:t>
      </w:r>
      <w:r w:rsidR="00315DDD">
        <w:rPr>
          <w:lang w:eastAsia="en-GB"/>
        </w:rPr>
        <w:t>of</w:t>
      </w:r>
      <w:r w:rsidR="00025C0D">
        <w:rPr>
          <w:lang w:eastAsia="en-GB"/>
        </w:rPr>
        <w:t xml:space="preserve"> </w:t>
      </w:r>
      <w:r w:rsidR="00315DDD" w:rsidRPr="00315DDD">
        <w:rPr>
          <w:lang w:eastAsia="en-GB"/>
        </w:rPr>
        <w:t>Servier</w:t>
      </w:r>
      <w:r w:rsidR="00315DDD">
        <w:rPr>
          <w:lang w:eastAsia="en-GB"/>
        </w:rPr>
        <w:t xml:space="preserve">. </w:t>
      </w:r>
      <w:r w:rsidR="002112FD">
        <w:rPr>
          <w:lang w:eastAsia="en-GB"/>
        </w:rPr>
        <w:t>No other authors have any competing interests to disclose.</w:t>
      </w:r>
    </w:p>
    <w:p w:rsidR="00F43108" w:rsidRPr="00452F39" w:rsidRDefault="00F43108" w:rsidP="000411A9">
      <w:pPr>
        <w:rPr>
          <w:b/>
        </w:rPr>
      </w:pPr>
      <w:r w:rsidRPr="00452F39">
        <w:rPr>
          <w:b/>
        </w:rPr>
        <w:br w:type="page"/>
      </w:r>
    </w:p>
    <w:p w:rsidR="00F43108" w:rsidRDefault="00F43108">
      <w:pPr>
        <w:spacing w:after="0" w:line="240" w:lineRule="auto"/>
        <w:rPr>
          <w:b/>
        </w:rPr>
      </w:pPr>
    </w:p>
    <w:p w:rsidR="00F43108" w:rsidRPr="00FE18AE" w:rsidRDefault="00F43108" w:rsidP="000411A9">
      <w:pPr>
        <w:rPr>
          <w:b/>
          <w:caps/>
        </w:rPr>
      </w:pPr>
      <w:r w:rsidRPr="00FE18AE">
        <w:rPr>
          <w:b/>
          <w:caps/>
        </w:rPr>
        <w:t>References</w:t>
      </w:r>
    </w:p>
    <w:p w:rsidR="00F43108" w:rsidRPr="00F85031" w:rsidRDefault="00F43108" w:rsidP="005E54BD">
      <w:pPr>
        <w:spacing w:after="0" w:line="240" w:lineRule="auto"/>
        <w:ind w:left="426" w:hanging="426"/>
        <w:rPr>
          <w:rFonts w:cs="Arial"/>
          <w:noProof/>
          <w:lang w:val="en-US" w:eastAsia="zh-TW"/>
        </w:rPr>
      </w:pPr>
      <w:bookmarkStart w:id="3" w:name="_ENREF_1"/>
      <w:r w:rsidRPr="00F85031">
        <w:rPr>
          <w:rFonts w:cs="Arial"/>
          <w:noProof/>
          <w:lang w:val="en-US" w:eastAsia="zh-TW"/>
        </w:rPr>
        <w:t>1.</w:t>
      </w:r>
      <w:r w:rsidRPr="00F85031">
        <w:rPr>
          <w:rFonts w:cs="Arial"/>
          <w:noProof/>
          <w:lang w:val="en-US" w:eastAsia="zh-TW"/>
        </w:rPr>
        <w:tab/>
        <w:t xml:space="preserve">Barnes CG, Yazici H. Behcet's syndrome. </w:t>
      </w:r>
      <w:r w:rsidRPr="00F85031">
        <w:rPr>
          <w:rFonts w:cs="Arial"/>
          <w:i/>
          <w:noProof/>
          <w:lang w:val="en-US" w:eastAsia="zh-TW"/>
        </w:rPr>
        <w:t>Rheumatology (Oxford)</w:t>
      </w:r>
      <w:r w:rsidRPr="00F85031">
        <w:rPr>
          <w:rFonts w:cs="Arial"/>
          <w:noProof/>
          <w:lang w:val="en-US" w:eastAsia="zh-TW"/>
        </w:rPr>
        <w:t xml:space="preserve"> 1999;38:1171-4.</w:t>
      </w:r>
      <w:bookmarkEnd w:id="3"/>
    </w:p>
    <w:p w:rsidR="00F43108" w:rsidRPr="00F85031" w:rsidRDefault="00F43108" w:rsidP="005E54BD">
      <w:pPr>
        <w:spacing w:after="0" w:line="240" w:lineRule="auto"/>
        <w:ind w:left="426" w:hanging="426"/>
        <w:rPr>
          <w:rFonts w:cs="Arial"/>
          <w:noProof/>
          <w:lang w:val="en-US" w:eastAsia="zh-TW"/>
        </w:rPr>
      </w:pPr>
      <w:bookmarkStart w:id="4" w:name="_ENREF_2"/>
      <w:r w:rsidRPr="00F85031">
        <w:rPr>
          <w:rFonts w:cs="Arial"/>
          <w:noProof/>
          <w:lang w:val="en-US" w:eastAsia="zh-TW"/>
        </w:rPr>
        <w:t>2.</w:t>
      </w:r>
      <w:r w:rsidRPr="00F85031">
        <w:rPr>
          <w:rFonts w:cs="Arial"/>
          <w:noProof/>
          <w:lang w:val="en-US" w:eastAsia="zh-TW"/>
        </w:rPr>
        <w:tab/>
        <w:t xml:space="preserve">Taylor SR, Singh J, Menezo V, et al. Behcet Disease: Visual Prognosis and Factors Influencing the Development of Visual Loss. </w:t>
      </w:r>
      <w:r w:rsidRPr="00F85031">
        <w:rPr>
          <w:rFonts w:cs="Arial"/>
          <w:i/>
          <w:noProof/>
          <w:lang w:val="en-US" w:eastAsia="zh-TW"/>
        </w:rPr>
        <w:t>Am J Ophthalmol</w:t>
      </w:r>
      <w:r w:rsidRPr="00F85031">
        <w:rPr>
          <w:rFonts w:cs="Arial"/>
          <w:noProof/>
          <w:lang w:val="en-US" w:eastAsia="zh-TW"/>
        </w:rPr>
        <w:t xml:space="preserve"> 2011</w:t>
      </w:r>
      <w:r w:rsidR="005E54BD">
        <w:rPr>
          <w:rFonts w:cs="Arial"/>
          <w:noProof/>
          <w:lang w:val="en-US" w:eastAsia="zh-TW"/>
        </w:rPr>
        <w:t>;</w:t>
      </w:r>
      <w:r w:rsidR="005E54BD" w:rsidRPr="005E54BD">
        <w:rPr>
          <w:rFonts w:cs="Arial"/>
          <w:noProof/>
          <w:lang w:val="en-US" w:eastAsia="zh-TW"/>
        </w:rPr>
        <w:t>152:1059-66</w:t>
      </w:r>
      <w:r w:rsidRPr="00F85031">
        <w:rPr>
          <w:rFonts w:cs="Arial"/>
          <w:noProof/>
          <w:lang w:val="en-US" w:eastAsia="zh-TW"/>
        </w:rPr>
        <w:t>.</w:t>
      </w:r>
      <w:bookmarkEnd w:id="4"/>
    </w:p>
    <w:p w:rsidR="00F43108" w:rsidRPr="00F85031" w:rsidRDefault="00F43108" w:rsidP="005E54BD">
      <w:pPr>
        <w:spacing w:after="0" w:line="240" w:lineRule="auto"/>
        <w:ind w:left="426" w:hanging="426"/>
        <w:rPr>
          <w:rFonts w:cs="Arial"/>
          <w:noProof/>
          <w:lang w:val="en-US" w:eastAsia="zh-TW"/>
        </w:rPr>
      </w:pPr>
      <w:bookmarkStart w:id="5" w:name="_ENREF_3"/>
      <w:r w:rsidRPr="00F85031">
        <w:rPr>
          <w:rFonts w:cs="Arial"/>
          <w:noProof/>
          <w:lang w:val="en-US" w:eastAsia="zh-TW"/>
        </w:rPr>
        <w:t>3.</w:t>
      </w:r>
      <w:r w:rsidRPr="00F85031">
        <w:rPr>
          <w:rFonts w:cs="Arial"/>
          <w:noProof/>
          <w:lang w:val="en-US" w:eastAsia="zh-TW"/>
        </w:rPr>
        <w:tab/>
        <w:t xml:space="preserve">Yazici H, Pazarli H, Barnes CG, et al. A controlled trial of azathioprine in Behcet's syndrome. </w:t>
      </w:r>
      <w:r w:rsidRPr="00F85031">
        <w:rPr>
          <w:rFonts w:cs="Arial"/>
          <w:i/>
          <w:noProof/>
          <w:lang w:val="en-US" w:eastAsia="zh-TW"/>
        </w:rPr>
        <w:t>N Engl J Med</w:t>
      </w:r>
      <w:r w:rsidR="005E54BD">
        <w:rPr>
          <w:rFonts w:cs="Arial"/>
          <w:noProof/>
          <w:lang w:val="en-US" w:eastAsia="zh-TW"/>
        </w:rPr>
        <w:t xml:space="preserve"> 1990;</w:t>
      </w:r>
      <w:r w:rsidRPr="00F85031">
        <w:rPr>
          <w:rFonts w:cs="Arial"/>
          <w:noProof/>
          <w:lang w:val="en-US" w:eastAsia="zh-TW"/>
        </w:rPr>
        <w:t>322:281-5.</w:t>
      </w:r>
      <w:bookmarkEnd w:id="5"/>
    </w:p>
    <w:p w:rsidR="00F43108" w:rsidRPr="00F85031" w:rsidRDefault="00F43108" w:rsidP="005E54BD">
      <w:pPr>
        <w:spacing w:after="0" w:line="240" w:lineRule="auto"/>
        <w:ind w:left="426" w:hanging="426"/>
        <w:rPr>
          <w:rFonts w:cs="Arial"/>
          <w:noProof/>
          <w:lang w:val="en-US" w:eastAsia="zh-TW"/>
        </w:rPr>
      </w:pPr>
      <w:bookmarkStart w:id="6" w:name="_ENREF_4"/>
      <w:r w:rsidRPr="00F85031">
        <w:rPr>
          <w:rFonts w:cs="Arial"/>
          <w:noProof/>
          <w:lang w:val="en-US" w:eastAsia="zh-TW"/>
        </w:rPr>
        <w:t>4.</w:t>
      </w:r>
      <w:r w:rsidRPr="00F85031">
        <w:rPr>
          <w:rFonts w:cs="Arial"/>
          <w:noProof/>
          <w:lang w:val="en-US" w:eastAsia="zh-TW"/>
        </w:rPr>
        <w:tab/>
        <w:t xml:space="preserve">Masuda K, Nakajima A, Urayama A, et al. Double-masked trial of cyclosporin versus colchicine and long-term open study of cyclosporin in Behcet's disease. </w:t>
      </w:r>
      <w:r w:rsidRPr="00F85031">
        <w:rPr>
          <w:rFonts w:cs="Arial"/>
          <w:i/>
          <w:noProof/>
          <w:lang w:val="en-US" w:eastAsia="zh-TW"/>
        </w:rPr>
        <w:t>Lancet</w:t>
      </w:r>
      <w:r w:rsidRPr="00F85031">
        <w:rPr>
          <w:rFonts w:cs="Arial"/>
          <w:noProof/>
          <w:lang w:val="en-US" w:eastAsia="zh-TW"/>
        </w:rPr>
        <w:t xml:space="preserve"> 1989;1:1093-6.</w:t>
      </w:r>
      <w:bookmarkEnd w:id="6"/>
    </w:p>
    <w:p w:rsidR="00F43108" w:rsidRPr="00F85031" w:rsidRDefault="00F43108" w:rsidP="005E54BD">
      <w:pPr>
        <w:spacing w:after="0" w:line="240" w:lineRule="auto"/>
        <w:ind w:left="426" w:hanging="426"/>
        <w:rPr>
          <w:rFonts w:cs="Arial"/>
          <w:noProof/>
          <w:lang w:val="en-US" w:eastAsia="zh-TW"/>
        </w:rPr>
      </w:pPr>
      <w:bookmarkStart w:id="7" w:name="_ENREF_5"/>
      <w:r w:rsidRPr="00F85031">
        <w:rPr>
          <w:rFonts w:cs="Arial"/>
          <w:noProof/>
          <w:lang w:val="en-US" w:eastAsia="zh-TW"/>
        </w:rPr>
        <w:t>5.</w:t>
      </w:r>
      <w:r w:rsidRPr="00F85031">
        <w:rPr>
          <w:rFonts w:cs="Arial"/>
          <w:noProof/>
          <w:lang w:val="en-US" w:eastAsia="zh-TW"/>
        </w:rPr>
        <w:tab/>
        <w:t xml:space="preserve">Sakane T, Takeno M, Suzuki N, et al. Behcet's disease. </w:t>
      </w:r>
      <w:r w:rsidRPr="00F85031">
        <w:rPr>
          <w:rFonts w:cs="Arial"/>
          <w:i/>
          <w:noProof/>
          <w:lang w:val="en-US" w:eastAsia="zh-TW"/>
        </w:rPr>
        <w:t>N Engl J Med</w:t>
      </w:r>
      <w:r w:rsidRPr="00F85031">
        <w:rPr>
          <w:rFonts w:cs="Arial"/>
          <w:noProof/>
          <w:lang w:val="en-US" w:eastAsia="zh-TW"/>
        </w:rPr>
        <w:t xml:space="preserve"> 1999;341:1284-91.</w:t>
      </w:r>
      <w:bookmarkEnd w:id="7"/>
    </w:p>
    <w:p w:rsidR="00F43108" w:rsidRPr="00F85031" w:rsidRDefault="00F43108" w:rsidP="005E54BD">
      <w:pPr>
        <w:spacing w:after="0" w:line="240" w:lineRule="auto"/>
        <w:ind w:left="426" w:hanging="426"/>
        <w:rPr>
          <w:rFonts w:cs="Arial"/>
          <w:noProof/>
          <w:lang w:val="en-US" w:eastAsia="zh-TW"/>
        </w:rPr>
      </w:pPr>
      <w:bookmarkStart w:id="8" w:name="_ENREF_6"/>
      <w:r w:rsidRPr="00F85031">
        <w:rPr>
          <w:rFonts w:cs="Arial"/>
          <w:noProof/>
          <w:lang w:val="en-US" w:eastAsia="zh-TW"/>
        </w:rPr>
        <w:t>6.</w:t>
      </w:r>
      <w:r w:rsidRPr="00F85031">
        <w:rPr>
          <w:rFonts w:cs="Arial"/>
          <w:noProof/>
          <w:lang w:val="en-US" w:eastAsia="zh-TW"/>
        </w:rPr>
        <w:tab/>
        <w:t xml:space="preserve">Okada AA, Goto H, Ohno S, et al. Multicenter study of infliximab for refractory uveoretinitis in Behcet disease. </w:t>
      </w:r>
      <w:r w:rsidRPr="00F85031">
        <w:rPr>
          <w:rFonts w:cs="Arial"/>
          <w:i/>
          <w:noProof/>
          <w:lang w:val="en-US" w:eastAsia="zh-TW"/>
        </w:rPr>
        <w:t>Arch Ophthalmol</w:t>
      </w:r>
      <w:r w:rsidRPr="00F85031">
        <w:rPr>
          <w:rFonts w:cs="Arial"/>
          <w:noProof/>
          <w:lang w:val="en-US" w:eastAsia="zh-TW"/>
        </w:rPr>
        <w:t xml:space="preserve"> 2012;130:592-8.</w:t>
      </w:r>
      <w:bookmarkEnd w:id="8"/>
    </w:p>
    <w:p w:rsidR="00F43108" w:rsidRPr="00F85031" w:rsidRDefault="00F43108" w:rsidP="005E54BD">
      <w:pPr>
        <w:spacing w:after="0" w:line="240" w:lineRule="auto"/>
        <w:ind w:left="426" w:hanging="426"/>
        <w:rPr>
          <w:rFonts w:cs="Arial"/>
          <w:noProof/>
          <w:lang w:val="en-US" w:eastAsia="zh-TW"/>
        </w:rPr>
      </w:pPr>
      <w:bookmarkStart w:id="9" w:name="_ENREF_7"/>
      <w:r w:rsidRPr="00F85031">
        <w:rPr>
          <w:rFonts w:cs="Arial"/>
          <w:noProof/>
          <w:lang w:val="en-US" w:eastAsia="zh-TW"/>
        </w:rPr>
        <w:t>7.</w:t>
      </w:r>
      <w:r w:rsidRPr="00F85031">
        <w:rPr>
          <w:rFonts w:cs="Arial"/>
          <w:noProof/>
          <w:lang w:val="en-US" w:eastAsia="zh-TW"/>
        </w:rPr>
        <w:tab/>
        <w:t xml:space="preserve">Zouboulis CC, Orfanos CE. Treatment of Adamantiades-Behcet disease with systemic interferon alfa. </w:t>
      </w:r>
      <w:r w:rsidRPr="00F85031">
        <w:rPr>
          <w:rFonts w:cs="Arial"/>
          <w:i/>
          <w:noProof/>
          <w:lang w:val="en-US" w:eastAsia="zh-TW"/>
        </w:rPr>
        <w:t>Arch Dermatol</w:t>
      </w:r>
      <w:r w:rsidRPr="00F85031">
        <w:rPr>
          <w:rFonts w:cs="Arial"/>
          <w:noProof/>
          <w:lang w:val="en-US" w:eastAsia="zh-TW"/>
        </w:rPr>
        <w:t xml:space="preserve"> 1998;134:1010-6.</w:t>
      </w:r>
      <w:bookmarkEnd w:id="9"/>
    </w:p>
    <w:p w:rsidR="00F43108" w:rsidRPr="00F85031" w:rsidRDefault="00F43108" w:rsidP="005E54BD">
      <w:pPr>
        <w:spacing w:after="0" w:line="240" w:lineRule="auto"/>
        <w:ind w:left="426" w:hanging="426"/>
        <w:rPr>
          <w:rFonts w:cs="Arial"/>
          <w:noProof/>
          <w:lang w:val="en-US" w:eastAsia="zh-TW"/>
        </w:rPr>
      </w:pPr>
      <w:bookmarkStart w:id="10" w:name="_ENREF_8"/>
      <w:r w:rsidRPr="00F85031">
        <w:rPr>
          <w:rFonts w:cs="Arial"/>
          <w:noProof/>
          <w:lang w:val="en-US" w:eastAsia="zh-TW"/>
        </w:rPr>
        <w:t>8.</w:t>
      </w:r>
      <w:r w:rsidRPr="00F85031">
        <w:rPr>
          <w:rFonts w:cs="Arial"/>
          <w:noProof/>
          <w:lang w:val="en-US" w:eastAsia="zh-TW"/>
        </w:rPr>
        <w:tab/>
        <w:t xml:space="preserve">Kotter I, Zierhut M, Eckstein A, et al. Human recombinant interferon-alpha2a (rhIFN alpha2a) for the treatment of Behcet's disease with sight-threatening retinal vasculitis. </w:t>
      </w:r>
      <w:r w:rsidRPr="00F85031">
        <w:rPr>
          <w:rFonts w:cs="Arial"/>
          <w:i/>
          <w:noProof/>
          <w:lang w:val="en-US" w:eastAsia="zh-TW"/>
        </w:rPr>
        <w:t>Adv Exp Med Biol</w:t>
      </w:r>
      <w:r w:rsidRPr="00F85031">
        <w:rPr>
          <w:rFonts w:cs="Arial"/>
          <w:noProof/>
          <w:lang w:val="en-US" w:eastAsia="zh-TW"/>
        </w:rPr>
        <w:t xml:space="preserve"> 2003;528:521-3.</w:t>
      </w:r>
      <w:bookmarkEnd w:id="10"/>
    </w:p>
    <w:p w:rsidR="00F43108" w:rsidRPr="00F85031" w:rsidRDefault="00F43108" w:rsidP="005E54BD">
      <w:pPr>
        <w:spacing w:after="0" w:line="240" w:lineRule="auto"/>
        <w:ind w:left="426" w:hanging="426"/>
        <w:rPr>
          <w:rFonts w:cs="Arial"/>
          <w:noProof/>
          <w:lang w:val="en-US" w:eastAsia="zh-TW"/>
        </w:rPr>
      </w:pPr>
      <w:bookmarkStart w:id="11" w:name="_ENREF_9"/>
      <w:r w:rsidRPr="00F85031">
        <w:rPr>
          <w:rFonts w:cs="Arial"/>
          <w:noProof/>
          <w:lang w:val="en-US" w:eastAsia="zh-TW"/>
        </w:rPr>
        <w:t>9.</w:t>
      </w:r>
      <w:r w:rsidRPr="00F85031">
        <w:rPr>
          <w:rFonts w:cs="Arial"/>
          <w:noProof/>
          <w:lang w:val="en-US" w:eastAsia="zh-TW"/>
        </w:rPr>
        <w:tab/>
        <w:t xml:space="preserve">Alpsoy E, Durusoy C, Yilmaz E, et al. Interferon alfa-2a in the treatment of Behcet disease: a randomized placebo-controlled and double-blind study. </w:t>
      </w:r>
      <w:r w:rsidRPr="00F85031">
        <w:rPr>
          <w:rFonts w:cs="Arial"/>
          <w:i/>
          <w:noProof/>
          <w:lang w:val="en-US" w:eastAsia="zh-TW"/>
        </w:rPr>
        <w:t>Arch Dermatol</w:t>
      </w:r>
      <w:r w:rsidRPr="00F85031">
        <w:rPr>
          <w:rFonts w:cs="Arial"/>
          <w:noProof/>
          <w:lang w:val="en-US" w:eastAsia="zh-TW"/>
        </w:rPr>
        <w:t xml:space="preserve"> 2002;138:467-71.</w:t>
      </w:r>
      <w:bookmarkEnd w:id="11"/>
    </w:p>
    <w:p w:rsidR="00F43108" w:rsidRPr="00F85031" w:rsidRDefault="00F43108" w:rsidP="005E54BD">
      <w:pPr>
        <w:spacing w:after="0" w:line="240" w:lineRule="auto"/>
        <w:ind w:left="426" w:hanging="426"/>
        <w:rPr>
          <w:rFonts w:cs="Arial"/>
          <w:noProof/>
          <w:lang w:val="en-US" w:eastAsia="zh-TW"/>
        </w:rPr>
      </w:pPr>
      <w:bookmarkStart w:id="12" w:name="_ENREF_10"/>
      <w:r w:rsidRPr="00F85031">
        <w:rPr>
          <w:rFonts w:cs="Arial"/>
          <w:noProof/>
          <w:lang w:val="en-US" w:eastAsia="zh-TW"/>
        </w:rPr>
        <w:t>10.</w:t>
      </w:r>
      <w:r w:rsidRPr="00F85031">
        <w:rPr>
          <w:rFonts w:cs="Arial"/>
          <w:noProof/>
          <w:lang w:val="en-US" w:eastAsia="zh-TW"/>
        </w:rPr>
        <w:tab/>
        <w:t xml:space="preserve">Calguneri M, Ozturk MA, Ertenli I, et al. Effects of interferon alpha treatment on the clinical course of refractory Behcet's disease: an open study. </w:t>
      </w:r>
      <w:r w:rsidRPr="00F85031">
        <w:rPr>
          <w:rFonts w:cs="Arial"/>
          <w:i/>
          <w:noProof/>
          <w:lang w:val="en-US" w:eastAsia="zh-TW"/>
        </w:rPr>
        <w:t>Ann Rheum Dis</w:t>
      </w:r>
      <w:r w:rsidRPr="00F85031">
        <w:rPr>
          <w:rFonts w:cs="Arial"/>
          <w:noProof/>
          <w:lang w:val="en-US" w:eastAsia="zh-TW"/>
        </w:rPr>
        <w:t xml:space="preserve"> 2003;62:492-3.</w:t>
      </w:r>
      <w:bookmarkEnd w:id="12"/>
    </w:p>
    <w:p w:rsidR="00F43108" w:rsidRPr="00F85031" w:rsidRDefault="00F43108" w:rsidP="005E54BD">
      <w:pPr>
        <w:spacing w:after="0" w:line="240" w:lineRule="auto"/>
        <w:ind w:left="426" w:hanging="426"/>
        <w:rPr>
          <w:rFonts w:cs="Arial"/>
          <w:noProof/>
          <w:lang w:val="en-US" w:eastAsia="zh-TW"/>
        </w:rPr>
      </w:pPr>
      <w:bookmarkStart w:id="13" w:name="_ENREF_11"/>
      <w:r w:rsidRPr="00F85031">
        <w:rPr>
          <w:rFonts w:cs="Arial"/>
          <w:noProof/>
          <w:lang w:val="en-US" w:eastAsia="zh-TW"/>
        </w:rPr>
        <w:t>11.</w:t>
      </w:r>
      <w:r w:rsidRPr="00F85031">
        <w:rPr>
          <w:rFonts w:cs="Arial"/>
          <w:noProof/>
          <w:lang w:val="en-US" w:eastAsia="zh-TW"/>
        </w:rPr>
        <w:tab/>
        <w:t xml:space="preserve">Sprengers D, Stoop JN, Binda RS, et al. Induction of regulatory T-cells and interleukin-10-producing cells in non-responders to pegylated interferon-alpha therapy for chronic hepatitis B. </w:t>
      </w:r>
      <w:r w:rsidRPr="00F85031">
        <w:rPr>
          <w:rFonts w:cs="Arial"/>
          <w:i/>
          <w:noProof/>
          <w:lang w:val="en-US" w:eastAsia="zh-TW"/>
        </w:rPr>
        <w:t>Antivir Ther</w:t>
      </w:r>
      <w:r w:rsidRPr="00F85031">
        <w:rPr>
          <w:rFonts w:cs="Arial"/>
          <w:noProof/>
          <w:lang w:val="en-US" w:eastAsia="zh-TW"/>
        </w:rPr>
        <w:t xml:space="preserve"> 2007;12:1087-96.</w:t>
      </w:r>
      <w:bookmarkEnd w:id="13"/>
    </w:p>
    <w:p w:rsidR="00F43108" w:rsidRPr="00F85031" w:rsidRDefault="00F43108" w:rsidP="005E54BD">
      <w:pPr>
        <w:spacing w:after="0" w:line="240" w:lineRule="auto"/>
        <w:ind w:left="426" w:hanging="426"/>
        <w:rPr>
          <w:rFonts w:cs="Arial"/>
          <w:noProof/>
          <w:lang w:val="en-US" w:eastAsia="zh-TW"/>
        </w:rPr>
      </w:pPr>
      <w:bookmarkStart w:id="14" w:name="_ENREF_12"/>
      <w:r w:rsidRPr="00F85031">
        <w:rPr>
          <w:rFonts w:cs="Arial"/>
          <w:noProof/>
          <w:lang w:val="en-US" w:eastAsia="zh-TW"/>
        </w:rPr>
        <w:t>12.</w:t>
      </w:r>
      <w:r w:rsidRPr="00F85031">
        <w:rPr>
          <w:rFonts w:cs="Arial"/>
          <w:noProof/>
          <w:lang w:val="en-US" w:eastAsia="zh-TW"/>
        </w:rPr>
        <w:tab/>
        <w:t xml:space="preserve">Deuter CM, Kotter I, Wallace GR, et al. Behcet's disease: ocular effects and treatment. </w:t>
      </w:r>
      <w:r w:rsidRPr="00F85031">
        <w:rPr>
          <w:rFonts w:cs="Arial"/>
          <w:i/>
          <w:noProof/>
          <w:lang w:val="en-US" w:eastAsia="zh-TW"/>
        </w:rPr>
        <w:t>Prog Retin Eye Res</w:t>
      </w:r>
      <w:r w:rsidRPr="00F85031">
        <w:rPr>
          <w:rFonts w:cs="Arial"/>
          <w:noProof/>
          <w:lang w:val="en-US" w:eastAsia="zh-TW"/>
        </w:rPr>
        <w:t xml:space="preserve"> 2008;27:111-36.</w:t>
      </w:r>
      <w:bookmarkEnd w:id="14"/>
    </w:p>
    <w:p w:rsidR="00F43108" w:rsidRPr="00F85031" w:rsidRDefault="00F43108" w:rsidP="005E54BD">
      <w:pPr>
        <w:spacing w:after="0" w:line="240" w:lineRule="auto"/>
        <w:ind w:left="426" w:hanging="426"/>
        <w:rPr>
          <w:rFonts w:cs="Arial"/>
          <w:noProof/>
          <w:lang w:val="en-US" w:eastAsia="zh-TW"/>
        </w:rPr>
      </w:pPr>
      <w:bookmarkStart w:id="15" w:name="_ENREF_13"/>
      <w:r w:rsidRPr="00F85031">
        <w:rPr>
          <w:rFonts w:cs="Arial"/>
          <w:noProof/>
          <w:lang w:val="en-US" w:eastAsia="zh-TW"/>
        </w:rPr>
        <w:t>13.</w:t>
      </w:r>
      <w:r w:rsidRPr="00F85031">
        <w:rPr>
          <w:rFonts w:cs="Arial"/>
          <w:noProof/>
          <w:lang w:val="en-US" w:eastAsia="zh-TW"/>
        </w:rPr>
        <w:tab/>
        <w:t xml:space="preserve">International Study Group for Behcet's Disease. Criteria for diagnosis of Behcet's disease. </w:t>
      </w:r>
      <w:r w:rsidRPr="00F85031">
        <w:rPr>
          <w:rFonts w:cs="Arial"/>
          <w:i/>
          <w:noProof/>
          <w:lang w:val="en-US" w:eastAsia="zh-TW"/>
        </w:rPr>
        <w:t>Lancet</w:t>
      </w:r>
      <w:r w:rsidRPr="00F85031">
        <w:rPr>
          <w:rFonts w:cs="Arial"/>
          <w:noProof/>
          <w:lang w:val="en-US" w:eastAsia="zh-TW"/>
        </w:rPr>
        <w:t xml:space="preserve"> 1990;335:1078-80.</w:t>
      </w:r>
      <w:bookmarkEnd w:id="15"/>
    </w:p>
    <w:p w:rsidR="00F43108" w:rsidRPr="00F85031" w:rsidRDefault="00F43108" w:rsidP="005E54BD">
      <w:pPr>
        <w:spacing w:after="0" w:line="240" w:lineRule="auto"/>
        <w:ind w:left="426" w:hanging="426"/>
        <w:rPr>
          <w:rFonts w:cs="Arial"/>
          <w:noProof/>
          <w:lang w:val="en-US" w:eastAsia="zh-TW"/>
        </w:rPr>
      </w:pPr>
      <w:bookmarkStart w:id="16" w:name="_ENREF_14"/>
      <w:r w:rsidRPr="00F85031">
        <w:rPr>
          <w:rFonts w:cs="Arial"/>
          <w:noProof/>
          <w:lang w:val="en-US" w:eastAsia="zh-TW"/>
        </w:rPr>
        <w:t>14.</w:t>
      </w:r>
      <w:r w:rsidRPr="00F85031">
        <w:rPr>
          <w:rFonts w:cs="Arial"/>
          <w:noProof/>
          <w:lang w:val="en-US" w:eastAsia="zh-TW"/>
        </w:rPr>
        <w:tab/>
        <w:t xml:space="preserve">Chalder T, Berelowitz G, Pawlikowska T, et al. Development of a fatigue scale. </w:t>
      </w:r>
      <w:r w:rsidRPr="00F85031">
        <w:rPr>
          <w:rFonts w:cs="Arial"/>
          <w:i/>
          <w:noProof/>
          <w:lang w:val="en-US" w:eastAsia="zh-TW"/>
        </w:rPr>
        <w:t>J Psychosom Res</w:t>
      </w:r>
      <w:r w:rsidRPr="00F85031">
        <w:rPr>
          <w:rFonts w:cs="Arial"/>
          <w:noProof/>
          <w:lang w:val="en-US" w:eastAsia="zh-TW"/>
        </w:rPr>
        <w:t xml:space="preserve"> 1993;37:147-53.</w:t>
      </w:r>
      <w:bookmarkEnd w:id="16"/>
    </w:p>
    <w:p w:rsidR="00F43108" w:rsidRPr="00F85031" w:rsidRDefault="00F43108" w:rsidP="005E54BD">
      <w:pPr>
        <w:spacing w:after="0" w:line="240" w:lineRule="auto"/>
        <w:ind w:left="426" w:hanging="426"/>
        <w:rPr>
          <w:rFonts w:cs="Arial"/>
          <w:noProof/>
          <w:lang w:val="en-US" w:eastAsia="zh-TW"/>
        </w:rPr>
      </w:pPr>
      <w:bookmarkStart w:id="17" w:name="_ENREF_15"/>
      <w:r w:rsidRPr="00F85031">
        <w:rPr>
          <w:rFonts w:cs="Arial"/>
          <w:noProof/>
          <w:lang w:val="en-US" w:eastAsia="zh-TW"/>
        </w:rPr>
        <w:t>15.</w:t>
      </w:r>
      <w:r w:rsidRPr="00F85031">
        <w:rPr>
          <w:rFonts w:cs="Arial"/>
          <w:noProof/>
          <w:lang w:val="en-US" w:eastAsia="zh-TW"/>
        </w:rPr>
        <w:tab/>
        <w:t xml:space="preserve">Gilworth G, Chamberlain MA, Bhakta B, et al. Development of the BD-QoL: a quality of life measure specific to Behcet's disease. </w:t>
      </w:r>
      <w:r w:rsidRPr="00F85031">
        <w:rPr>
          <w:rFonts w:cs="Arial"/>
          <w:i/>
          <w:noProof/>
          <w:lang w:val="en-US" w:eastAsia="zh-TW"/>
        </w:rPr>
        <w:t>J Rheumatol</w:t>
      </w:r>
      <w:r w:rsidRPr="00F85031">
        <w:rPr>
          <w:rFonts w:cs="Arial"/>
          <w:noProof/>
          <w:lang w:val="en-US" w:eastAsia="zh-TW"/>
        </w:rPr>
        <w:t xml:space="preserve"> 2004;31:931-7.</w:t>
      </w:r>
      <w:bookmarkEnd w:id="17"/>
    </w:p>
    <w:p w:rsidR="00F43108" w:rsidRPr="00F85031" w:rsidRDefault="00F43108" w:rsidP="005E54BD">
      <w:pPr>
        <w:spacing w:after="0" w:line="240" w:lineRule="auto"/>
        <w:ind w:left="426" w:hanging="426"/>
        <w:rPr>
          <w:rFonts w:cs="Arial"/>
          <w:noProof/>
          <w:lang w:val="en-US" w:eastAsia="zh-TW"/>
        </w:rPr>
      </w:pPr>
      <w:bookmarkStart w:id="18" w:name="_ENREF_16"/>
      <w:r w:rsidRPr="00F85031">
        <w:rPr>
          <w:rFonts w:cs="Arial"/>
          <w:noProof/>
          <w:lang w:val="en-US" w:eastAsia="zh-TW"/>
        </w:rPr>
        <w:t>16.</w:t>
      </w:r>
      <w:r w:rsidRPr="00F85031">
        <w:rPr>
          <w:rFonts w:cs="Arial"/>
          <w:noProof/>
          <w:lang w:val="en-US" w:eastAsia="zh-TW"/>
        </w:rPr>
        <w:tab/>
        <w:t xml:space="preserve">Bhakta BB, Brennan P, James TE, et al. Behcet's disease: evaluation of a new instrument to measure clinical activity. </w:t>
      </w:r>
      <w:r w:rsidRPr="00F85031">
        <w:rPr>
          <w:rFonts w:cs="Arial"/>
          <w:i/>
          <w:noProof/>
          <w:lang w:val="en-US" w:eastAsia="zh-TW"/>
        </w:rPr>
        <w:t>Rheumatology (Oxford)</w:t>
      </w:r>
      <w:r w:rsidRPr="00F85031">
        <w:rPr>
          <w:rFonts w:cs="Arial"/>
          <w:noProof/>
          <w:lang w:val="en-US" w:eastAsia="zh-TW"/>
        </w:rPr>
        <w:t xml:space="preserve"> 1999;38:728-33.</w:t>
      </w:r>
      <w:bookmarkEnd w:id="18"/>
    </w:p>
    <w:p w:rsidR="00F43108" w:rsidRPr="00F85031" w:rsidRDefault="00F43108" w:rsidP="005E54BD">
      <w:pPr>
        <w:spacing w:after="0" w:line="240" w:lineRule="auto"/>
        <w:ind w:left="426" w:hanging="426"/>
        <w:rPr>
          <w:rFonts w:cs="Arial"/>
          <w:noProof/>
          <w:lang w:val="en-US" w:eastAsia="zh-TW"/>
        </w:rPr>
      </w:pPr>
      <w:bookmarkStart w:id="19" w:name="_ENREF_17"/>
      <w:r w:rsidRPr="00F85031">
        <w:rPr>
          <w:rFonts w:cs="Arial"/>
          <w:noProof/>
          <w:lang w:val="en-US" w:eastAsia="zh-TW"/>
        </w:rPr>
        <w:t>17.</w:t>
      </w:r>
      <w:r w:rsidRPr="00F85031">
        <w:rPr>
          <w:rFonts w:cs="Arial"/>
          <w:noProof/>
          <w:lang w:val="en-US" w:eastAsia="zh-TW"/>
        </w:rPr>
        <w:tab/>
        <w:t xml:space="preserve">Bloch-Michel E, Nussenblatt RB. International Uveitis Study Group recommendations for the evaluation of intraocular inflammatory disease. </w:t>
      </w:r>
      <w:r w:rsidRPr="00F85031">
        <w:rPr>
          <w:rFonts w:cs="Arial"/>
          <w:i/>
          <w:noProof/>
          <w:lang w:val="en-US" w:eastAsia="zh-TW"/>
        </w:rPr>
        <w:t>Am J Ophthalmol</w:t>
      </w:r>
      <w:r w:rsidRPr="00F85031">
        <w:rPr>
          <w:rFonts w:cs="Arial"/>
          <w:noProof/>
          <w:lang w:val="en-US" w:eastAsia="zh-TW"/>
        </w:rPr>
        <w:t xml:space="preserve"> 1987;103:234-5.</w:t>
      </w:r>
      <w:bookmarkEnd w:id="19"/>
    </w:p>
    <w:p w:rsidR="00F43108" w:rsidRPr="00F85031" w:rsidRDefault="00F43108" w:rsidP="005E54BD">
      <w:pPr>
        <w:spacing w:after="0" w:line="240" w:lineRule="auto"/>
        <w:ind w:left="426" w:hanging="426"/>
        <w:rPr>
          <w:rFonts w:cs="Arial"/>
          <w:noProof/>
          <w:lang w:val="en-US" w:eastAsia="zh-TW"/>
        </w:rPr>
      </w:pPr>
      <w:bookmarkStart w:id="20" w:name="_ENREF_18"/>
      <w:r w:rsidRPr="00F85031">
        <w:rPr>
          <w:rFonts w:cs="Arial"/>
          <w:noProof/>
          <w:lang w:val="en-US" w:eastAsia="zh-TW"/>
        </w:rPr>
        <w:t>18.</w:t>
      </w:r>
      <w:r w:rsidRPr="00F85031">
        <w:rPr>
          <w:rFonts w:cs="Arial"/>
          <w:noProof/>
          <w:lang w:val="en-US" w:eastAsia="zh-TW"/>
        </w:rPr>
        <w:tab/>
        <w:t xml:space="preserve">Hamzaoui K, Bouali E, Ghorbel I, et al. Expression of Th-17 and RORgammat mRNA in Behcet's Disease. </w:t>
      </w:r>
      <w:r w:rsidRPr="00F85031">
        <w:rPr>
          <w:rFonts w:cs="Arial"/>
          <w:i/>
          <w:noProof/>
          <w:lang w:val="en-US" w:eastAsia="zh-TW"/>
        </w:rPr>
        <w:t>Med Sci Monit</w:t>
      </w:r>
      <w:r w:rsidRPr="00F85031">
        <w:rPr>
          <w:rFonts w:cs="Arial"/>
          <w:noProof/>
          <w:lang w:val="en-US" w:eastAsia="zh-TW"/>
        </w:rPr>
        <w:t xml:space="preserve"> 2011;17:CR227-34.</w:t>
      </w:r>
      <w:bookmarkEnd w:id="20"/>
    </w:p>
    <w:p w:rsidR="00F43108" w:rsidRPr="00F85031" w:rsidRDefault="00F43108" w:rsidP="005E54BD">
      <w:pPr>
        <w:spacing w:after="0" w:line="240" w:lineRule="auto"/>
        <w:ind w:left="426" w:hanging="426"/>
        <w:rPr>
          <w:rFonts w:cs="Arial"/>
          <w:noProof/>
          <w:lang w:val="en-US" w:eastAsia="zh-TW"/>
        </w:rPr>
      </w:pPr>
      <w:bookmarkStart w:id="21" w:name="_ENREF_19"/>
      <w:r w:rsidRPr="00F85031">
        <w:rPr>
          <w:rFonts w:cs="Arial"/>
          <w:noProof/>
          <w:lang w:val="en-US" w:eastAsia="zh-TW"/>
        </w:rPr>
        <w:t>19.</w:t>
      </w:r>
      <w:r w:rsidRPr="00F85031">
        <w:rPr>
          <w:rFonts w:cs="Arial"/>
          <w:noProof/>
          <w:lang w:val="en-US" w:eastAsia="zh-TW"/>
        </w:rPr>
        <w:tab/>
        <w:t xml:space="preserve">Zhou ZY, Chen SL, Shen N, et al. Cytokines and Behcet's disease. </w:t>
      </w:r>
      <w:r w:rsidRPr="00F85031">
        <w:rPr>
          <w:rFonts w:cs="Arial"/>
          <w:i/>
          <w:noProof/>
          <w:lang w:val="en-US" w:eastAsia="zh-TW"/>
        </w:rPr>
        <w:t>Autoimmun Rev</w:t>
      </w:r>
      <w:r w:rsidRPr="00F85031">
        <w:rPr>
          <w:rFonts w:cs="Arial"/>
          <w:noProof/>
          <w:lang w:val="en-US" w:eastAsia="zh-TW"/>
        </w:rPr>
        <w:t xml:space="preserve"> 2012;11:699-704.</w:t>
      </w:r>
      <w:bookmarkEnd w:id="21"/>
    </w:p>
    <w:p w:rsidR="00F43108" w:rsidRPr="00F85031" w:rsidRDefault="00F43108" w:rsidP="005E54BD">
      <w:pPr>
        <w:spacing w:after="0" w:line="240" w:lineRule="auto"/>
        <w:ind w:left="426" w:hanging="426"/>
        <w:rPr>
          <w:rFonts w:cs="Arial"/>
          <w:noProof/>
          <w:lang w:val="en-US" w:eastAsia="zh-TW"/>
        </w:rPr>
      </w:pPr>
      <w:bookmarkStart w:id="22" w:name="_ENREF_20"/>
      <w:r w:rsidRPr="00F85031">
        <w:rPr>
          <w:rFonts w:cs="Arial"/>
          <w:noProof/>
          <w:lang w:val="en-US" w:eastAsia="zh-TW"/>
        </w:rPr>
        <w:t>20.</w:t>
      </w:r>
      <w:r w:rsidRPr="00F85031">
        <w:rPr>
          <w:rFonts w:cs="Arial"/>
          <w:noProof/>
          <w:lang w:val="en-US" w:eastAsia="zh-TW"/>
        </w:rPr>
        <w:tab/>
        <w:t xml:space="preserve">Sojka DK, Fowell DJ. Regulatory T cells inhibit acute IFN-gamma synthesis without blocking T-helper cell type 1 (Th1) differentiation via a compartmentalized requirement for IL-10. </w:t>
      </w:r>
      <w:r w:rsidRPr="00F85031">
        <w:rPr>
          <w:rFonts w:cs="Arial"/>
          <w:i/>
          <w:noProof/>
          <w:lang w:val="en-US" w:eastAsia="zh-TW"/>
        </w:rPr>
        <w:t>Proc Natl Acad Sci U S A</w:t>
      </w:r>
      <w:r w:rsidRPr="00F85031">
        <w:rPr>
          <w:rFonts w:cs="Arial"/>
          <w:noProof/>
          <w:lang w:val="en-US" w:eastAsia="zh-TW"/>
        </w:rPr>
        <w:t xml:space="preserve"> 2011;108:18336-41.</w:t>
      </w:r>
      <w:bookmarkEnd w:id="22"/>
    </w:p>
    <w:p w:rsidR="00F43108" w:rsidRPr="00F85031" w:rsidRDefault="00F43108" w:rsidP="005E54BD">
      <w:pPr>
        <w:spacing w:after="0" w:line="240" w:lineRule="auto"/>
        <w:ind w:left="426" w:hanging="426"/>
        <w:rPr>
          <w:rFonts w:cs="Arial"/>
          <w:noProof/>
          <w:lang w:val="en-US" w:eastAsia="zh-TW"/>
        </w:rPr>
      </w:pPr>
      <w:bookmarkStart w:id="23" w:name="_ENREF_21"/>
      <w:r w:rsidRPr="00F85031">
        <w:rPr>
          <w:rFonts w:cs="Arial"/>
          <w:noProof/>
          <w:lang w:val="en-US" w:eastAsia="zh-TW"/>
        </w:rPr>
        <w:t>21.</w:t>
      </w:r>
      <w:r w:rsidRPr="00F85031">
        <w:rPr>
          <w:rFonts w:cs="Arial"/>
          <w:noProof/>
          <w:lang w:val="en-US" w:eastAsia="zh-TW"/>
        </w:rPr>
        <w:tab/>
        <w:t xml:space="preserve">McGovern JL, Nguyen DX, Notley CA, et al. Th17 cells are restrained by Treg cells via the inhibition of interleukin-6 in patients with rheumatoid arthritis responding to anti-tumor necrosis factor antibody therapy. </w:t>
      </w:r>
      <w:r w:rsidRPr="00F85031">
        <w:rPr>
          <w:rFonts w:cs="Arial"/>
          <w:i/>
          <w:noProof/>
          <w:lang w:val="en-US" w:eastAsia="zh-TW"/>
        </w:rPr>
        <w:t>Arthritis Rheum</w:t>
      </w:r>
      <w:r w:rsidRPr="00F85031">
        <w:rPr>
          <w:rFonts w:cs="Arial"/>
          <w:noProof/>
          <w:lang w:val="en-US" w:eastAsia="zh-TW"/>
        </w:rPr>
        <w:t xml:space="preserve"> 2012;64:3129-38.</w:t>
      </w:r>
      <w:bookmarkEnd w:id="23"/>
    </w:p>
    <w:p w:rsidR="00F43108" w:rsidRPr="00F85031" w:rsidRDefault="00F43108" w:rsidP="005E54BD">
      <w:pPr>
        <w:spacing w:after="0" w:line="240" w:lineRule="auto"/>
        <w:ind w:left="426" w:hanging="426"/>
        <w:rPr>
          <w:rFonts w:cs="Arial"/>
          <w:noProof/>
          <w:lang w:val="en-US" w:eastAsia="zh-TW"/>
        </w:rPr>
      </w:pPr>
      <w:bookmarkStart w:id="24" w:name="_ENREF_22"/>
      <w:r w:rsidRPr="00F85031">
        <w:rPr>
          <w:rFonts w:cs="Arial"/>
          <w:noProof/>
          <w:lang w:val="en-US" w:eastAsia="zh-TW"/>
        </w:rPr>
        <w:t>22.</w:t>
      </w:r>
      <w:r w:rsidRPr="00F85031">
        <w:rPr>
          <w:rFonts w:cs="Arial"/>
          <w:noProof/>
          <w:lang w:val="en-US" w:eastAsia="zh-TW"/>
        </w:rPr>
        <w:tab/>
        <w:t xml:space="preserve">Nadkarni S, Mauri C, Ehrenstein MR. Anti-TNF-alpha therapy induces a distinct regulatory T cell population in patients with rheumatoid arthritis via TGF-beta. </w:t>
      </w:r>
      <w:r w:rsidRPr="00F85031">
        <w:rPr>
          <w:rFonts w:cs="Arial"/>
          <w:i/>
          <w:noProof/>
          <w:lang w:val="en-US" w:eastAsia="zh-TW"/>
        </w:rPr>
        <w:t>J Exp Med</w:t>
      </w:r>
      <w:r w:rsidRPr="00F85031">
        <w:rPr>
          <w:rFonts w:cs="Arial"/>
          <w:noProof/>
          <w:lang w:val="en-US" w:eastAsia="zh-TW"/>
        </w:rPr>
        <w:t xml:space="preserve"> 2007;204:33-9.</w:t>
      </w:r>
      <w:bookmarkEnd w:id="24"/>
    </w:p>
    <w:p w:rsidR="00F43108" w:rsidRPr="00F85031" w:rsidRDefault="00F43108" w:rsidP="005E54BD">
      <w:pPr>
        <w:spacing w:after="0" w:line="240" w:lineRule="auto"/>
        <w:ind w:left="426" w:hanging="426"/>
        <w:rPr>
          <w:rFonts w:cs="Arial"/>
          <w:noProof/>
          <w:lang w:val="en-US" w:eastAsia="zh-TW"/>
        </w:rPr>
      </w:pPr>
      <w:bookmarkStart w:id="25" w:name="_ENREF_23"/>
      <w:r w:rsidRPr="00F85031">
        <w:rPr>
          <w:rFonts w:cs="Arial"/>
          <w:noProof/>
          <w:lang w:val="en-US" w:eastAsia="zh-TW"/>
        </w:rPr>
        <w:t>23.</w:t>
      </w:r>
      <w:r w:rsidRPr="00F85031">
        <w:rPr>
          <w:rFonts w:cs="Arial"/>
          <w:noProof/>
          <w:lang w:val="en-US" w:eastAsia="zh-TW"/>
        </w:rPr>
        <w:tab/>
        <w:t xml:space="preserve">Sugita S, Kawazoe Y, Imai A, et al. Inhibition of Th17 differentiation by anti-TNF-alpha therapy in uveitis patients with Behcet's disease. </w:t>
      </w:r>
      <w:r w:rsidRPr="00F85031">
        <w:rPr>
          <w:rFonts w:cs="Arial"/>
          <w:i/>
          <w:noProof/>
          <w:lang w:val="en-US" w:eastAsia="zh-TW"/>
        </w:rPr>
        <w:t>Arthritis Res Ther</w:t>
      </w:r>
      <w:r w:rsidRPr="00F85031">
        <w:rPr>
          <w:rFonts w:cs="Arial"/>
          <w:noProof/>
          <w:lang w:val="en-US" w:eastAsia="zh-TW"/>
        </w:rPr>
        <w:t xml:space="preserve"> 2012;14:R99.</w:t>
      </w:r>
      <w:bookmarkEnd w:id="25"/>
    </w:p>
    <w:p w:rsidR="00F43108" w:rsidRPr="00F85031" w:rsidRDefault="00F43108" w:rsidP="005E54BD">
      <w:pPr>
        <w:spacing w:after="0" w:line="240" w:lineRule="auto"/>
        <w:ind w:left="426" w:hanging="426"/>
        <w:rPr>
          <w:rFonts w:cs="Arial"/>
          <w:noProof/>
          <w:lang w:val="en-US" w:eastAsia="zh-TW"/>
        </w:rPr>
      </w:pPr>
      <w:bookmarkStart w:id="26" w:name="_ENREF_24"/>
      <w:r w:rsidRPr="00F85031">
        <w:rPr>
          <w:rFonts w:cs="Arial"/>
          <w:noProof/>
          <w:lang w:val="en-US" w:eastAsia="zh-TW"/>
        </w:rPr>
        <w:lastRenderedPageBreak/>
        <w:t>24.</w:t>
      </w:r>
      <w:r w:rsidRPr="00F85031">
        <w:rPr>
          <w:rFonts w:cs="Arial"/>
          <w:noProof/>
          <w:lang w:val="en-US" w:eastAsia="zh-TW"/>
        </w:rPr>
        <w:tab/>
        <w:t xml:space="preserve">Neves FS, Spiller F. Possible mechanisms of neutrophil activation in Behcet's disease. </w:t>
      </w:r>
      <w:r w:rsidRPr="00F85031">
        <w:rPr>
          <w:rFonts w:cs="Arial"/>
          <w:i/>
          <w:noProof/>
          <w:lang w:val="en-US" w:eastAsia="zh-TW"/>
        </w:rPr>
        <w:t>Int Immunopharmacol</w:t>
      </w:r>
      <w:r w:rsidRPr="00F85031">
        <w:rPr>
          <w:rFonts w:cs="Arial"/>
          <w:noProof/>
          <w:lang w:val="en-US" w:eastAsia="zh-TW"/>
        </w:rPr>
        <w:t xml:space="preserve"> 2013</w:t>
      </w:r>
      <w:r w:rsidR="005E54BD" w:rsidRPr="005E54BD">
        <w:rPr>
          <w:rFonts w:cs="Arial"/>
          <w:noProof/>
          <w:lang w:val="en-US" w:eastAsia="zh-TW"/>
        </w:rPr>
        <w:t>;17:1206-10</w:t>
      </w:r>
      <w:r w:rsidRPr="00F85031">
        <w:rPr>
          <w:rFonts w:cs="Arial"/>
          <w:noProof/>
          <w:lang w:val="en-US" w:eastAsia="zh-TW"/>
        </w:rPr>
        <w:t>.</w:t>
      </w:r>
      <w:bookmarkEnd w:id="26"/>
    </w:p>
    <w:p w:rsidR="00F43108" w:rsidRPr="00F85031" w:rsidRDefault="00F43108" w:rsidP="005E54BD">
      <w:pPr>
        <w:spacing w:after="0" w:line="240" w:lineRule="auto"/>
        <w:ind w:left="426" w:hanging="426"/>
        <w:rPr>
          <w:rFonts w:cs="Arial"/>
          <w:noProof/>
          <w:lang w:val="en-US" w:eastAsia="zh-TW"/>
        </w:rPr>
      </w:pPr>
      <w:bookmarkStart w:id="27" w:name="_ENREF_25"/>
      <w:r w:rsidRPr="00F85031">
        <w:rPr>
          <w:rFonts w:cs="Arial"/>
          <w:noProof/>
          <w:lang w:val="en-US" w:eastAsia="zh-TW"/>
        </w:rPr>
        <w:t>25.</w:t>
      </w:r>
      <w:r w:rsidRPr="00F85031">
        <w:rPr>
          <w:rFonts w:cs="Arial"/>
          <w:noProof/>
          <w:lang w:val="en-US" w:eastAsia="zh-TW"/>
        </w:rPr>
        <w:tab/>
        <w:t xml:space="preserve">Wright GP, Stauss HJ, Ehrenstein MR. Therapeutic potential of Tregs to treat rheumatoid arthritis. </w:t>
      </w:r>
      <w:r w:rsidRPr="00F85031">
        <w:rPr>
          <w:rFonts w:cs="Arial"/>
          <w:i/>
          <w:noProof/>
          <w:lang w:val="en-US" w:eastAsia="zh-TW"/>
        </w:rPr>
        <w:t>Semin Immunol</w:t>
      </w:r>
      <w:r w:rsidRPr="00F85031">
        <w:rPr>
          <w:rFonts w:cs="Arial"/>
          <w:noProof/>
          <w:lang w:val="en-US" w:eastAsia="zh-TW"/>
        </w:rPr>
        <w:t xml:space="preserve"> 2011;23:195-201.</w:t>
      </w:r>
      <w:bookmarkEnd w:id="27"/>
    </w:p>
    <w:p w:rsidR="00F43108" w:rsidRPr="00F85031" w:rsidRDefault="00F43108" w:rsidP="005E54BD">
      <w:pPr>
        <w:spacing w:after="0" w:line="240" w:lineRule="auto"/>
        <w:ind w:left="426" w:hanging="426"/>
        <w:rPr>
          <w:rFonts w:cs="Arial"/>
          <w:noProof/>
          <w:lang w:val="en-US" w:eastAsia="zh-TW"/>
        </w:rPr>
      </w:pPr>
      <w:bookmarkStart w:id="28" w:name="_ENREF_26"/>
      <w:r w:rsidRPr="00F85031">
        <w:rPr>
          <w:rFonts w:cs="Arial"/>
          <w:noProof/>
          <w:lang w:val="en-US" w:eastAsia="zh-TW"/>
        </w:rPr>
        <w:t>26.</w:t>
      </w:r>
      <w:r w:rsidRPr="00F85031">
        <w:rPr>
          <w:rFonts w:cs="Arial"/>
          <w:noProof/>
          <w:lang w:val="en-US" w:eastAsia="zh-TW"/>
        </w:rPr>
        <w:tab/>
        <w:t xml:space="preserve">Mozzillo N, Ascierto P. Reduction of circulating regulatory T cells by intravenous high-dose interferon alfa-2b treatment in melanoma patients. </w:t>
      </w:r>
      <w:r w:rsidRPr="00F85031">
        <w:rPr>
          <w:rFonts w:cs="Arial"/>
          <w:i/>
          <w:noProof/>
          <w:lang w:val="en-US" w:eastAsia="zh-TW"/>
        </w:rPr>
        <w:t>Clin Exp Metastasis</w:t>
      </w:r>
      <w:r w:rsidRPr="00F85031">
        <w:rPr>
          <w:rFonts w:cs="Arial"/>
          <w:noProof/>
          <w:lang w:val="en-US" w:eastAsia="zh-TW"/>
        </w:rPr>
        <w:t xml:space="preserve"> 2012;29:801-5.</w:t>
      </w:r>
      <w:bookmarkEnd w:id="28"/>
    </w:p>
    <w:p w:rsidR="00F43108" w:rsidRPr="00F85031" w:rsidRDefault="00F43108" w:rsidP="005E54BD">
      <w:pPr>
        <w:spacing w:after="0" w:line="240" w:lineRule="auto"/>
        <w:ind w:left="426" w:hanging="426"/>
        <w:rPr>
          <w:rFonts w:cs="Arial"/>
          <w:noProof/>
          <w:lang w:val="en-US" w:eastAsia="zh-TW"/>
        </w:rPr>
      </w:pPr>
      <w:bookmarkStart w:id="29" w:name="_ENREF_27"/>
      <w:r w:rsidRPr="00F85031">
        <w:rPr>
          <w:rFonts w:cs="Arial"/>
          <w:noProof/>
          <w:lang w:val="en-US" w:eastAsia="zh-TW"/>
        </w:rPr>
        <w:t>27.</w:t>
      </w:r>
      <w:r w:rsidRPr="00F85031">
        <w:rPr>
          <w:rFonts w:cs="Arial"/>
          <w:noProof/>
          <w:lang w:val="en-US" w:eastAsia="zh-TW"/>
        </w:rPr>
        <w:tab/>
        <w:t xml:space="preserve">Soldevila B, Alonso N, Martinez-Arconada MJ, et al. Regulatory T cells and other lymphocyte subpopulations in patients with melanoma developing interferon-induced thyroiditis during high-dose interferon-alpha2b treatment. </w:t>
      </w:r>
      <w:r w:rsidRPr="00F85031">
        <w:rPr>
          <w:rFonts w:cs="Arial"/>
          <w:i/>
          <w:noProof/>
          <w:lang w:val="en-US" w:eastAsia="zh-TW"/>
        </w:rPr>
        <w:t>Clin Endocrinol (Oxf)</w:t>
      </w:r>
      <w:r w:rsidRPr="00F85031">
        <w:rPr>
          <w:rFonts w:cs="Arial"/>
          <w:noProof/>
          <w:lang w:val="en-US" w:eastAsia="zh-TW"/>
        </w:rPr>
        <w:t xml:space="preserve"> 2013;78:621-8.</w:t>
      </w:r>
      <w:bookmarkEnd w:id="29"/>
    </w:p>
    <w:p w:rsidR="00F43108" w:rsidRPr="00F85031" w:rsidRDefault="00F43108" w:rsidP="005E54BD">
      <w:pPr>
        <w:spacing w:after="0" w:line="240" w:lineRule="auto"/>
        <w:ind w:left="426" w:hanging="426"/>
        <w:rPr>
          <w:rFonts w:cs="Arial"/>
          <w:noProof/>
          <w:lang w:val="en-US" w:eastAsia="zh-TW"/>
        </w:rPr>
      </w:pPr>
      <w:bookmarkStart w:id="30" w:name="_ENREF_28"/>
      <w:r w:rsidRPr="00F85031">
        <w:rPr>
          <w:rFonts w:cs="Arial"/>
          <w:noProof/>
          <w:lang w:val="en-US" w:eastAsia="zh-TW"/>
        </w:rPr>
        <w:t>28.</w:t>
      </w:r>
      <w:r w:rsidRPr="00F85031">
        <w:rPr>
          <w:rFonts w:cs="Arial"/>
          <w:noProof/>
          <w:lang w:val="en-US" w:eastAsia="zh-TW"/>
        </w:rPr>
        <w:tab/>
        <w:t xml:space="preserve">Feng L, Kang H, Liu LN, et al. CD4CD25 Foxp3 Regulatory T Cells Contribute in Liver Fibrosis Improvement with Interferon Alpha. </w:t>
      </w:r>
      <w:r w:rsidRPr="00F85031">
        <w:rPr>
          <w:rFonts w:cs="Arial"/>
          <w:i/>
          <w:noProof/>
          <w:lang w:val="en-US" w:eastAsia="zh-TW"/>
        </w:rPr>
        <w:t>Inflammation</w:t>
      </w:r>
      <w:r w:rsidRPr="00F85031">
        <w:rPr>
          <w:rFonts w:cs="Arial"/>
          <w:noProof/>
          <w:lang w:val="en-US" w:eastAsia="zh-TW"/>
        </w:rPr>
        <w:t xml:space="preserve"> 2013</w:t>
      </w:r>
      <w:r w:rsidR="005E54BD">
        <w:rPr>
          <w:rFonts w:ascii="Arial" w:hAnsi="Arial" w:cs="Arial"/>
          <w:sz w:val="20"/>
          <w:szCs w:val="20"/>
        </w:rPr>
        <w:t>;36:1374-82</w:t>
      </w:r>
      <w:r w:rsidRPr="00F85031">
        <w:rPr>
          <w:rFonts w:cs="Arial"/>
          <w:noProof/>
          <w:lang w:val="en-US" w:eastAsia="zh-TW"/>
        </w:rPr>
        <w:t>.</w:t>
      </w:r>
      <w:bookmarkEnd w:id="30"/>
    </w:p>
    <w:p w:rsidR="00F43108" w:rsidRPr="00F85031" w:rsidRDefault="00F43108" w:rsidP="005E54BD">
      <w:pPr>
        <w:spacing w:after="0" w:line="240" w:lineRule="auto"/>
        <w:ind w:left="426" w:hanging="426"/>
        <w:rPr>
          <w:rFonts w:cs="Arial"/>
          <w:noProof/>
          <w:lang w:val="en-US" w:eastAsia="zh-TW"/>
        </w:rPr>
      </w:pPr>
      <w:bookmarkStart w:id="31" w:name="_ENREF_29"/>
      <w:r w:rsidRPr="00F85031">
        <w:rPr>
          <w:rFonts w:cs="Arial"/>
          <w:noProof/>
          <w:lang w:val="en-US" w:eastAsia="zh-TW"/>
        </w:rPr>
        <w:t>29.</w:t>
      </w:r>
      <w:r w:rsidRPr="00F85031">
        <w:rPr>
          <w:rFonts w:cs="Arial"/>
          <w:noProof/>
          <w:lang w:val="en-US" w:eastAsia="zh-TW"/>
        </w:rPr>
        <w:tab/>
        <w:t xml:space="preserve">Seissler N, Schmitt E, Hug F, et al. Methylprednisolone treatment increases the proportion of the highly suppressive HLA-DR(+)-Treg-cells in transplanted patients. </w:t>
      </w:r>
      <w:r w:rsidRPr="00F85031">
        <w:rPr>
          <w:rFonts w:cs="Arial"/>
          <w:i/>
          <w:noProof/>
          <w:lang w:val="en-US" w:eastAsia="zh-TW"/>
        </w:rPr>
        <w:t>Transpl Immunol</w:t>
      </w:r>
      <w:r w:rsidRPr="00F85031">
        <w:rPr>
          <w:rFonts w:cs="Arial"/>
          <w:noProof/>
          <w:lang w:val="en-US" w:eastAsia="zh-TW"/>
        </w:rPr>
        <w:t xml:space="preserve"> 2012;27:157-61.</w:t>
      </w:r>
      <w:bookmarkEnd w:id="31"/>
    </w:p>
    <w:p w:rsidR="00F43108" w:rsidRPr="00F85031" w:rsidRDefault="00F43108" w:rsidP="005E54BD">
      <w:pPr>
        <w:spacing w:after="0" w:line="240" w:lineRule="auto"/>
        <w:ind w:left="426" w:hanging="426"/>
        <w:rPr>
          <w:rFonts w:cs="Arial"/>
          <w:noProof/>
          <w:lang w:val="en-US" w:eastAsia="zh-TW"/>
        </w:rPr>
      </w:pPr>
      <w:bookmarkStart w:id="32" w:name="_ENREF_30"/>
      <w:r w:rsidRPr="00F85031">
        <w:rPr>
          <w:rFonts w:cs="Arial"/>
          <w:noProof/>
          <w:lang w:val="en-US" w:eastAsia="zh-TW"/>
        </w:rPr>
        <w:t>30.</w:t>
      </w:r>
      <w:r w:rsidRPr="00F85031">
        <w:rPr>
          <w:rFonts w:cs="Arial"/>
          <w:noProof/>
          <w:lang w:val="en-US" w:eastAsia="zh-TW"/>
        </w:rPr>
        <w:tab/>
        <w:t xml:space="preserve">Yang L, Ma QL, Yao W, et al. Relationship between the anti-inflammatory properties of salmeterol/fluticasone and the expression of CD4(+)CD25(+)Foxp3(+) regulatory T cells in COPD. </w:t>
      </w:r>
      <w:r w:rsidRPr="00F85031">
        <w:rPr>
          <w:rFonts w:cs="Arial"/>
          <w:i/>
          <w:noProof/>
          <w:lang w:val="en-US" w:eastAsia="zh-TW"/>
        </w:rPr>
        <w:t>Respir Res</w:t>
      </w:r>
      <w:r w:rsidRPr="00F85031">
        <w:rPr>
          <w:rFonts w:cs="Arial"/>
          <w:noProof/>
          <w:lang w:val="en-US" w:eastAsia="zh-TW"/>
        </w:rPr>
        <w:t xml:space="preserve"> 2011;12:142.</w:t>
      </w:r>
      <w:bookmarkEnd w:id="32"/>
    </w:p>
    <w:p w:rsidR="00F43108" w:rsidRPr="00F85031" w:rsidRDefault="00F43108" w:rsidP="005E54BD">
      <w:pPr>
        <w:spacing w:after="0" w:line="240" w:lineRule="auto"/>
        <w:ind w:left="426" w:hanging="426"/>
        <w:rPr>
          <w:rFonts w:cs="Arial"/>
          <w:noProof/>
          <w:lang w:val="en-US" w:eastAsia="zh-TW"/>
        </w:rPr>
      </w:pPr>
      <w:bookmarkStart w:id="33" w:name="_ENREF_31"/>
      <w:r w:rsidRPr="00F85031">
        <w:rPr>
          <w:rFonts w:cs="Arial"/>
          <w:noProof/>
          <w:lang w:val="en-US" w:eastAsia="zh-TW"/>
        </w:rPr>
        <w:t>31.</w:t>
      </w:r>
      <w:r w:rsidRPr="00F85031">
        <w:rPr>
          <w:rFonts w:cs="Arial"/>
          <w:noProof/>
          <w:lang w:val="en-US" w:eastAsia="zh-TW"/>
        </w:rPr>
        <w:tab/>
        <w:t xml:space="preserve">Vaccarino L, Triolo G, Accardo-Palombo A, et al. Pathological Implications of Th1/Th2 Cytokine Genetic Variants in Behcet's Disease: Data from a Pilot Study in a Sicilian Population. </w:t>
      </w:r>
      <w:r w:rsidRPr="00F85031">
        <w:rPr>
          <w:rFonts w:cs="Arial"/>
          <w:i/>
          <w:noProof/>
          <w:lang w:val="en-US" w:eastAsia="zh-TW"/>
        </w:rPr>
        <w:t>Biochem Genet</w:t>
      </w:r>
      <w:r w:rsidRPr="00F85031">
        <w:rPr>
          <w:rFonts w:cs="Arial"/>
          <w:noProof/>
          <w:lang w:val="en-US" w:eastAsia="zh-TW"/>
        </w:rPr>
        <w:t xml:space="preserve"> 2013</w:t>
      </w:r>
      <w:r w:rsidR="005E54BD">
        <w:rPr>
          <w:rFonts w:ascii="Arial" w:hAnsi="Arial" w:cs="Arial"/>
          <w:sz w:val="20"/>
          <w:szCs w:val="20"/>
        </w:rPr>
        <w:t>;51:967-75</w:t>
      </w:r>
      <w:r w:rsidRPr="00F85031">
        <w:rPr>
          <w:rFonts w:cs="Arial"/>
          <w:noProof/>
          <w:lang w:val="en-US" w:eastAsia="zh-TW"/>
        </w:rPr>
        <w:t>.</w:t>
      </w:r>
      <w:bookmarkEnd w:id="33"/>
    </w:p>
    <w:p w:rsidR="00F43108" w:rsidRPr="00F85031" w:rsidRDefault="00F43108" w:rsidP="005E54BD">
      <w:pPr>
        <w:spacing w:after="0" w:line="240" w:lineRule="auto"/>
        <w:ind w:left="426" w:hanging="426"/>
        <w:rPr>
          <w:rFonts w:cs="Arial"/>
          <w:noProof/>
          <w:lang w:val="en-US" w:eastAsia="zh-TW"/>
        </w:rPr>
      </w:pPr>
      <w:bookmarkStart w:id="34" w:name="_ENREF_32"/>
      <w:r w:rsidRPr="00F85031">
        <w:rPr>
          <w:rFonts w:cs="Arial"/>
          <w:noProof/>
          <w:lang w:val="en-US" w:eastAsia="zh-TW"/>
        </w:rPr>
        <w:t>32.</w:t>
      </w:r>
      <w:r w:rsidRPr="00F85031">
        <w:rPr>
          <w:rFonts w:cs="Arial"/>
          <w:noProof/>
          <w:lang w:val="en-US" w:eastAsia="zh-TW"/>
        </w:rPr>
        <w:tab/>
        <w:t xml:space="preserve">Suhler EB, Smith JR, Wertheim MS, et al. A prospective trial of infliximab therapy for refractory uveitis: preliminary safety and efficacy outcomes. </w:t>
      </w:r>
      <w:r w:rsidRPr="00F85031">
        <w:rPr>
          <w:rFonts w:cs="Arial"/>
          <w:i/>
          <w:noProof/>
          <w:lang w:val="en-US" w:eastAsia="zh-TW"/>
        </w:rPr>
        <w:t>Arch Ophthalmol</w:t>
      </w:r>
      <w:r w:rsidRPr="00F85031">
        <w:rPr>
          <w:rFonts w:cs="Arial"/>
          <w:noProof/>
          <w:lang w:val="en-US" w:eastAsia="zh-TW"/>
        </w:rPr>
        <w:t xml:space="preserve"> 2005;123:903-12.</w:t>
      </w:r>
      <w:bookmarkEnd w:id="34"/>
    </w:p>
    <w:p w:rsidR="00F43108" w:rsidRPr="00F85031" w:rsidRDefault="00F43108" w:rsidP="005E54BD">
      <w:pPr>
        <w:spacing w:after="0" w:line="240" w:lineRule="auto"/>
        <w:ind w:left="426" w:hanging="426"/>
        <w:rPr>
          <w:rFonts w:cs="Arial"/>
          <w:noProof/>
          <w:lang w:val="en-US" w:eastAsia="zh-TW"/>
        </w:rPr>
      </w:pPr>
      <w:bookmarkStart w:id="35" w:name="_ENREF_33"/>
      <w:r w:rsidRPr="00F85031">
        <w:rPr>
          <w:rFonts w:cs="Arial"/>
          <w:noProof/>
          <w:lang w:val="en-US" w:eastAsia="zh-TW"/>
        </w:rPr>
        <w:t>33.</w:t>
      </w:r>
      <w:r w:rsidRPr="00F85031">
        <w:rPr>
          <w:rFonts w:cs="Arial"/>
          <w:noProof/>
          <w:lang w:val="en-US" w:eastAsia="zh-TW"/>
        </w:rPr>
        <w:tab/>
        <w:t xml:space="preserve">Niccoli L, Nannini C, Benucci M, et al. Long-term efficacy of infliximab in refractory posterior uveitis of Behcet's disease: a 24-month follow-up study. </w:t>
      </w:r>
      <w:r w:rsidRPr="00F85031">
        <w:rPr>
          <w:rFonts w:cs="Arial"/>
          <w:i/>
          <w:noProof/>
          <w:lang w:val="en-US" w:eastAsia="zh-TW"/>
        </w:rPr>
        <w:t>Rheumatology (Oxford)</w:t>
      </w:r>
      <w:r w:rsidRPr="00F85031">
        <w:rPr>
          <w:rFonts w:cs="Arial"/>
          <w:noProof/>
          <w:lang w:val="en-US" w:eastAsia="zh-TW"/>
        </w:rPr>
        <w:t xml:space="preserve"> 2007;46:1161-4.</w:t>
      </w:r>
      <w:bookmarkEnd w:id="35"/>
    </w:p>
    <w:p w:rsidR="00F43108" w:rsidRPr="00F85031" w:rsidRDefault="00F43108" w:rsidP="005E54BD">
      <w:pPr>
        <w:spacing w:after="0" w:line="240" w:lineRule="auto"/>
        <w:ind w:left="426" w:hanging="426"/>
        <w:rPr>
          <w:rFonts w:cs="Arial"/>
          <w:noProof/>
          <w:lang w:val="en-US" w:eastAsia="zh-TW"/>
        </w:rPr>
      </w:pPr>
      <w:bookmarkStart w:id="36" w:name="_ENREF_34"/>
      <w:r w:rsidRPr="00F85031">
        <w:rPr>
          <w:rFonts w:cs="Arial"/>
          <w:noProof/>
          <w:lang w:val="en-US" w:eastAsia="zh-TW"/>
        </w:rPr>
        <w:t>34.</w:t>
      </w:r>
      <w:r w:rsidRPr="00F85031">
        <w:rPr>
          <w:rFonts w:cs="Arial"/>
          <w:noProof/>
          <w:lang w:val="en-US" w:eastAsia="zh-TW"/>
        </w:rPr>
        <w:tab/>
        <w:t xml:space="preserve">Taylor SR, Singh J, Menezo V, et al. Behcet disease: visual prognosis and factors influencing the development of visual loss. </w:t>
      </w:r>
      <w:r w:rsidRPr="00F85031">
        <w:rPr>
          <w:rFonts w:cs="Arial"/>
          <w:i/>
          <w:noProof/>
          <w:lang w:val="en-US" w:eastAsia="zh-TW"/>
        </w:rPr>
        <w:t>American journal of ophthalmology</w:t>
      </w:r>
      <w:r w:rsidRPr="00F85031">
        <w:rPr>
          <w:rFonts w:cs="Arial"/>
          <w:noProof/>
          <w:lang w:val="en-US" w:eastAsia="zh-TW"/>
        </w:rPr>
        <w:t xml:space="preserve"> 2011;152:1059-66.</w:t>
      </w:r>
      <w:bookmarkEnd w:id="36"/>
    </w:p>
    <w:p w:rsidR="00F43108" w:rsidRPr="00F85031" w:rsidRDefault="00F43108" w:rsidP="005E54BD">
      <w:pPr>
        <w:spacing w:after="0" w:line="240" w:lineRule="auto"/>
        <w:ind w:left="426" w:hanging="426"/>
        <w:rPr>
          <w:rFonts w:cs="Arial"/>
          <w:noProof/>
          <w:lang w:val="en-US" w:eastAsia="zh-TW"/>
        </w:rPr>
      </w:pPr>
      <w:bookmarkStart w:id="37" w:name="_ENREF_35"/>
      <w:r w:rsidRPr="00F85031">
        <w:rPr>
          <w:rFonts w:cs="Arial"/>
          <w:noProof/>
          <w:lang w:val="en-US" w:eastAsia="zh-TW"/>
        </w:rPr>
        <w:t>35.</w:t>
      </w:r>
      <w:r w:rsidRPr="00F85031">
        <w:rPr>
          <w:rFonts w:cs="Arial"/>
          <w:noProof/>
          <w:lang w:val="en-US" w:eastAsia="zh-TW"/>
        </w:rPr>
        <w:tab/>
        <w:t xml:space="preserve">Tugal-Tutkun I, Mudun A, Urgancioglu M, et al. Efficacy of infliximab in the treatment of uveitis that is resistant to treatment with the combination of azathioprine, cyclosporine, and corticosteroids in Behcet's disease: an open-label trial. </w:t>
      </w:r>
      <w:r w:rsidRPr="00F85031">
        <w:rPr>
          <w:rFonts w:cs="Arial"/>
          <w:i/>
          <w:noProof/>
          <w:lang w:val="en-US" w:eastAsia="zh-TW"/>
        </w:rPr>
        <w:t>Arthritis Rheum</w:t>
      </w:r>
      <w:r w:rsidRPr="00F85031">
        <w:rPr>
          <w:rFonts w:cs="Arial"/>
          <w:noProof/>
          <w:lang w:val="en-US" w:eastAsia="zh-TW"/>
        </w:rPr>
        <w:t xml:space="preserve"> 2005;52:2478-84.</w:t>
      </w:r>
      <w:bookmarkEnd w:id="37"/>
    </w:p>
    <w:p w:rsidR="00F43108" w:rsidRPr="00F85031" w:rsidRDefault="00F43108" w:rsidP="005E54BD">
      <w:pPr>
        <w:spacing w:after="0" w:line="240" w:lineRule="auto"/>
        <w:ind w:left="426" w:hanging="426"/>
        <w:rPr>
          <w:rFonts w:cs="Arial"/>
          <w:noProof/>
          <w:lang w:val="en-US" w:eastAsia="zh-TW"/>
        </w:rPr>
      </w:pPr>
      <w:bookmarkStart w:id="38" w:name="_ENREF_36"/>
      <w:r w:rsidRPr="00F85031">
        <w:rPr>
          <w:rFonts w:cs="Arial"/>
          <w:noProof/>
          <w:lang w:val="en-US" w:eastAsia="zh-TW"/>
        </w:rPr>
        <w:t>36.</w:t>
      </w:r>
      <w:r w:rsidRPr="00F85031">
        <w:rPr>
          <w:rFonts w:cs="Arial"/>
          <w:noProof/>
          <w:lang w:val="en-US" w:eastAsia="zh-TW"/>
        </w:rPr>
        <w:tab/>
        <w:t xml:space="preserve">Hatemi G, Melikoglu M, Ozbakir F, et al. Quantiferon-TB Gold in tube assay for the screening of tuberculosis before and during treatment with tumor necrosis factor alpha antagonists. </w:t>
      </w:r>
      <w:r w:rsidRPr="00F85031">
        <w:rPr>
          <w:rFonts w:cs="Arial"/>
          <w:i/>
          <w:noProof/>
          <w:lang w:val="en-US" w:eastAsia="zh-TW"/>
        </w:rPr>
        <w:t>Arthritis Res Ther</w:t>
      </w:r>
      <w:r w:rsidRPr="00F85031">
        <w:rPr>
          <w:rFonts w:cs="Arial"/>
          <w:noProof/>
          <w:lang w:val="en-US" w:eastAsia="zh-TW"/>
        </w:rPr>
        <w:t xml:space="preserve"> 2012;14:R147.</w:t>
      </w:r>
      <w:bookmarkEnd w:id="38"/>
    </w:p>
    <w:p w:rsidR="000411A9" w:rsidRDefault="00F43108" w:rsidP="005E54BD">
      <w:pPr>
        <w:spacing w:line="240" w:lineRule="auto"/>
        <w:ind w:left="426" w:hanging="426"/>
        <w:rPr>
          <w:rFonts w:cs="Arial"/>
          <w:noProof/>
          <w:lang w:val="en-US" w:eastAsia="zh-TW"/>
        </w:rPr>
      </w:pPr>
      <w:bookmarkStart w:id="39" w:name="_ENREF_37"/>
      <w:r w:rsidRPr="00F85031">
        <w:rPr>
          <w:rFonts w:cs="Arial"/>
          <w:noProof/>
          <w:lang w:val="en-US" w:eastAsia="zh-TW"/>
        </w:rPr>
        <w:t>37.</w:t>
      </w:r>
      <w:r w:rsidRPr="00F85031">
        <w:rPr>
          <w:rFonts w:cs="Arial"/>
          <w:noProof/>
          <w:lang w:val="en-US" w:eastAsia="zh-TW"/>
        </w:rPr>
        <w:tab/>
        <w:t xml:space="preserve">Mesquida M, Molins B, Llorenc V, et al. Current and future treatments for Behcet's uveitis: road to remission. </w:t>
      </w:r>
      <w:r w:rsidRPr="00F85031">
        <w:rPr>
          <w:rFonts w:cs="Arial"/>
          <w:i/>
          <w:noProof/>
          <w:lang w:val="en-US" w:eastAsia="zh-TW"/>
        </w:rPr>
        <w:t>Int Ophthalmol</w:t>
      </w:r>
      <w:r w:rsidR="005E54BD" w:rsidRPr="005E54BD">
        <w:rPr>
          <w:rFonts w:cs="Arial"/>
          <w:noProof/>
          <w:lang w:val="en-US" w:eastAsia="zh-TW"/>
        </w:rPr>
        <w:t>Published Online First:</w:t>
      </w:r>
      <w:r w:rsidR="005E54BD">
        <w:rPr>
          <w:rFonts w:cs="Arial"/>
          <w:noProof/>
          <w:lang w:val="en-US" w:eastAsia="zh-TW"/>
        </w:rPr>
        <w:t xml:space="preserve">1 Jun </w:t>
      </w:r>
      <w:r w:rsidRPr="00F85031">
        <w:rPr>
          <w:rFonts w:cs="Arial"/>
          <w:noProof/>
          <w:lang w:val="en-US" w:eastAsia="zh-TW"/>
        </w:rPr>
        <w:t>2013.</w:t>
      </w:r>
      <w:bookmarkEnd w:id="39"/>
    </w:p>
    <w:p w:rsidR="000411A9" w:rsidRDefault="000411A9">
      <w:pPr>
        <w:spacing w:after="160" w:line="259" w:lineRule="auto"/>
        <w:rPr>
          <w:rFonts w:cs="Arial"/>
          <w:noProof/>
          <w:lang w:val="en-US" w:eastAsia="zh-TW"/>
        </w:rPr>
      </w:pPr>
      <w:r>
        <w:rPr>
          <w:rFonts w:cs="Arial"/>
          <w:noProof/>
          <w:lang w:val="en-US" w:eastAsia="zh-TW"/>
        </w:rPr>
        <w:br w:type="page"/>
      </w:r>
    </w:p>
    <w:p w:rsidR="00F43108" w:rsidRDefault="00F43108" w:rsidP="000411A9">
      <w:pPr>
        <w:rPr>
          <w:b/>
        </w:rPr>
      </w:pPr>
      <w:r>
        <w:rPr>
          <w:b/>
        </w:rPr>
        <w:lastRenderedPageBreak/>
        <w:t>Figure Legends</w:t>
      </w:r>
    </w:p>
    <w:p w:rsidR="00F43108" w:rsidRDefault="00F43108" w:rsidP="000411A9">
      <w:pPr>
        <w:rPr>
          <w:b/>
        </w:rPr>
      </w:pPr>
    </w:p>
    <w:p w:rsidR="00F43108" w:rsidRDefault="00F43108" w:rsidP="000411A9">
      <w:pPr>
        <w:rPr>
          <w:b/>
        </w:rPr>
      </w:pPr>
      <w:r>
        <w:rPr>
          <w:b/>
        </w:rPr>
        <w:t>Figure 1</w:t>
      </w:r>
      <w:r w:rsidRPr="00152E29">
        <w:rPr>
          <w:b/>
        </w:rPr>
        <w:t xml:space="preserve">- </w:t>
      </w:r>
      <w:r w:rsidRPr="00152E29">
        <w:rPr>
          <w:bCs/>
        </w:rPr>
        <w:t>Recruited patient data</w:t>
      </w:r>
    </w:p>
    <w:p w:rsidR="00F43108" w:rsidRDefault="00F43108" w:rsidP="000411A9">
      <w:pPr>
        <w:rPr>
          <w:b/>
        </w:rPr>
      </w:pPr>
      <w:r>
        <w:rPr>
          <w:b/>
        </w:rPr>
        <w:t xml:space="preserve">Figure 2- </w:t>
      </w:r>
      <w:r>
        <w:rPr>
          <w:rStyle w:val="f1791"/>
          <w:rFonts w:ascii="Calibri" w:hAnsi="Calibri"/>
        </w:rPr>
        <w:t>Treg populations in whole blood from patients on corticosteroids in the non-interferon  (n=17) and peginterferon (n=16) treated groups, measured over 12 months</w:t>
      </w:r>
      <w:r w:rsidR="00E203C9">
        <w:rPr>
          <w:rStyle w:val="f1791"/>
          <w:rFonts w:ascii="Calibri" w:hAnsi="Calibri"/>
        </w:rPr>
        <w:t>. **p=0.01</w:t>
      </w:r>
    </w:p>
    <w:p w:rsidR="00F43108" w:rsidRPr="00FE18AE" w:rsidRDefault="00F43108" w:rsidP="000411A9">
      <w:pPr>
        <w:spacing w:after="0" w:line="240" w:lineRule="auto"/>
      </w:pPr>
      <w:r>
        <w:rPr>
          <w:b/>
        </w:rPr>
        <w:t xml:space="preserve">Figure 3- </w:t>
      </w:r>
      <w:r>
        <w:rPr>
          <w:rStyle w:val="f1791"/>
          <w:rFonts w:ascii="Calibri" w:hAnsi="Calibri"/>
        </w:rPr>
        <w:t>Th17 populations in whole blood from patients on corticosteroids in the non-interferon (n=7) and peginterferon treated (n=6) groups, measured over 12 months. *P&lt;0.05</w:t>
      </w:r>
    </w:p>
    <w:p w:rsidR="003C49B8" w:rsidRDefault="003C49B8"/>
    <w:sectPr w:rsidR="003C49B8" w:rsidSect="000411A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C6A" w:rsidRDefault="00D55C6A" w:rsidP="002B2BDA">
      <w:pPr>
        <w:spacing w:after="0" w:line="240" w:lineRule="auto"/>
      </w:pPr>
      <w:r>
        <w:separator/>
      </w:r>
    </w:p>
  </w:endnote>
  <w:endnote w:type="continuationSeparator" w:id="0">
    <w:p w:rsidR="00D55C6A" w:rsidRDefault="00D55C6A" w:rsidP="002B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179">
    <w:altName w:val="Times New Roman"/>
    <w:charset w:val="00"/>
    <w:family w:val="auto"/>
    <w:pitch w:val="default"/>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784732"/>
      <w:docPartObj>
        <w:docPartGallery w:val="Page Numbers (Bottom of Page)"/>
        <w:docPartUnique/>
      </w:docPartObj>
    </w:sdtPr>
    <w:sdtEndPr>
      <w:rPr>
        <w:noProof/>
      </w:rPr>
    </w:sdtEndPr>
    <w:sdtContent>
      <w:p w:rsidR="00662101" w:rsidRDefault="00662101">
        <w:pPr>
          <w:pStyle w:val="Footer"/>
          <w:jc w:val="center"/>
        </w:pPr>
        <w:r>
          <w:fldChar w:fldCharType="begin"/>
        </w:r>
        <w:r>
          <w:instrText xml:space="preserve"> PAGE   \* MERGEFORMAT </w:instrText>
        </w:r>
        <w:r>
          <w:fldChar w:fldCharType="separate"/>
        </w:r>
        <w:r w:rsidR="00430285">
          <w:rPr>
            <w:noProof/>
          </w:rPr>
          <w:t>1</w:t>
        </w:r>
        <w:r>
          <w:rPr>
            <w:noProof/>
          </w:rPr>
          <w:fldChar w:fldCharType="end"/>
        </w:r>
      </w:p>
    </w:sdtContent>
  </w:sdt>
  <w:p w:rsidR="00662101" w:rsidRDefault="006621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C6A" w:rsidRDefault="00D55C6A" w:rsidP="002B2BDA">
      <w:pPr>
        <w:spacing w:after="0" w:line="240" w:lineRule="auto"/>
      </w:pPr>
      <w:r>
        <w:separator/>
      </w:r>
    </w:p>
  </w:footnote>
  <w:footnote w:type="continuationSeparator" w:id="0">
    <w:p w:rsidR="00D55C6A" w:rsidRDefault="00D55C6A" w:rsidP="002B2B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B5267"/>
    <w:multiLevelType w:val="hybridMultilevel"/>
    <w:tmpl w:val="DB3C29A6"/>
    <w:lvl w:ilvl="0" w:tplc="945ABED4">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EC2A45"/>
    <w:multiLevelType w:val="hybridMultilevel"/>
    <w:tmpl w:val="B742D8F6"/>
    <w:lvl w:ilvl="0" w:tplc="945ABED4">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CB5C8A"/>
    <w:multiLevelType w:val="hybridMultilevel"/>
    <w:tmpl w:val="147E63E2"/>
    <w:lvl w:ilvl="0" w:tplc="3FAC1554">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5E245720"/>
    <w:multiLevelType w:val="hybridMultilevel"/>
    <w:tmpl w:val="5CBA9E74"/>
    <w:lvl w:ilvl="0" w:tplc="945ABED4">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43108"/>
    <w:rsid w:val="00025C0D"/>
    <w:rsid w:val="000411A9"/>
    <w:rsid w:val="0004368E"/>
    <w:rsid w:val="0005446F"/>
    <w:rsid w:val="00076BC2"/>
    <w:rsid w:val="000C0813"/>
    <w:rsid w:val="000F5926"/>
    <w:rsid w:val="00204FC1"/>
    <w:rsid w:val="002112FD"/>
    <w:rsid w:val="0021372A"/>
    <w:rsid w:val="00216550"/>
    <w:rsid w:val="00236CAB"/>
    <w:rsid w:val="002A4593"/>
    <w:rsid w:val="002B2BDA"/>
    <w:rsid w:val="00315DDD"/>
    <w:rsid w:val="0032769C"/>
    <w:rsid w:val="00350BA0"/>
    <w:rsid w:val="00391D5B"/>
    <w:rsid w:val="00394026"/>
    <w:rsid w:val="003B2303"/>
    <w:rsid w:val="003C49B8"/>
    <w:rsid w:val="003E72C7"/>
    <w:rsid w:val="004142D5"/>
    <w:rsid w:val="00430285"/>
    <w:rsid w:val="00430525"/>
    <w:rsid w:val="004B5FFA"/>
    <w:rsid w:val="004F026D"/>
    <w:rsid w:val="00542EA7"/>
    <w:rsid w:val="00553F13"/>
    <w:rsid w:val="005635B7"/>
    <w:rsid w:val="005B10C3"/>
    <w:rsid w:val="005B2A74"/>
    <w:rsid w:val="005E54BD"/>
    <w:rsid w:val="00652883"/>
    <w:rsid w:val="00662101"/>
    <w:rsid w:val="0071192F"/>
    <w:rsid w:val="007404EF"/>
    <w:rsid w:val="00783204"/>
    <w:rsid w:val="007A484E"/>
    <w:rsid w:val="007F43E7"/>
    <w:rsid w:val="007F526E"/>
    <w:rsid w:val="00812771"/>
    <w:rsid w:val="0082698F"/>
    <w:rsid w:val="008466CF"/>
    <w:rsid w:val="00884A4B"/>
    <w:rsid w:val="008B76B6"/>
    <w:rsid w:val="008E6838"/>
    <w:rsid w:val="008F662D"/>
    <w:rsid w:val="009A6AAC"/>
    <w:rsid w:val="00AA3E0C"/>
    <w:rsid w:val="00B44F6B"/>
    <w:rsid w:val="00B66093"/>
    <w:rsid w:val="00B72EF6"/>
    <w:rsid w:val="00C334E5"/>
    <w:rsid w:val="00C35CB4"/>
    <w:rsid w:val="00C5524E"/>
    <w:rsid w:val="00C716FA"/>
    <w:rsid w:val="00CA66C0"/>
    <w:rsid w:val="00CE38AB"/>
    <w:rsid w:val="00CE7A52"/>
    <w:rsid w:val="00D55C6A"/>
    <w:rsid w:val="00DB79F7"/>
    <w:rsid w:val="00DD2918"/>
    <w:rsid w:val="00DE2F12"/>
    <w:rsid w:val="00DF60B0"/>
    <w:rsid w:val="00E02F71"/>
    <w:rsid w:val="00E04DD1"/>
    <w:rsid w:val="00E126E0"/>
    <w:rsid w:val="00E203C9"/>
    <w:rsid w:val="00E266D0"/>
    <w:rsid w:val="00E60534"/>
    <w:rsid w:val="00EC62B4"/>
    <w:rsid w:val="00EF58C1"/>
    <w:rsid w:val="00F37DF6"/>
    <w:rsid w:val="00F43108"/>
    <w:rsid w:val="00F51E31"/>
    <w:rsid w:val="00FE3F02"/>
  </w:rsids>
  <m:mathPr>
    <m:mathFont m:val="Cambria Math"/>
    <m:brkBin m:val="before"/>
    <m:brkBinSub m:val="--"/>
    <m:smallFrac/>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1A0DA7-664E-4F40-8AEB-C2334110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108"/>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43108"/>
    <w:pPr>
      <w:tabs>
        <w:tab w:val="center" w:pos="4513"/>
        <w:tab w:val="right" w:pos="9026"/>
      </w:tabs>
    </w:pPr>
  </w:style>
  <w:style w:type="character" w:customStyle="1" w:styleId="HeaderChar">
    <w:name w:val="Header Char"/>
    <w:basedOn w:val="DefaultParagraphFont"/>
    <w:link w:val="Header"/>
    <w:uiPriority w:val="99"/>
    <w:semiHidden/>
    <w:rsid w:val="00F43108"/>
    <w:rPr>
      <w:rFonts w:ascii="Calibri" w:eastAsia="Calibri" w:hAnsi="Calibri" w:cs="Times New Roman"/>
      <w:lang w:val="en-GB"/>
    </w:rPr>
  </w:style>
  <w:style w:type="paragraph" w:styleId="Footer">
    <w:name w:val="footer"/>
    <w:basedOn w:val="Normal"/>
    <w:link w:val="FooterChar"/>
    <w:uiPriority w:val="99"/>
    <w:rsid w:val="00F43108"/>
    <w:pPr>
      <w:tabs>
        <w:tab w:val="center" w:pos="4513"/>
        <w:tab w:val="right" w:pos="9026"/>
      </w:tabs>
    </w:pPr>
  </w:style>
  <w:style w:type="character" w:customStyle="1" w:styleId="FooterChar">
    <w:name w:val="Footer Char"/>
    <w:basedOn w:val="DefaultParagraphFont"/>
    <w:link w:val="Footer"/>
    <w:uiPriority w:val="99"/>
    <w:rsid w:val="00F43108"/>
    <w:rPr>
      <w:rFonts w:ascii="Calibri" w:eastAsia="Calibri" w:hAnsi="Calibri" w:cs="Times New Roman"/>
      <w:lang w:val="en-GB"/>
    </w:rPr>
  </w:style>
  <w:style w:type="table" w:styleId="TableGrid">
    <w:name w:val="Table Grid"/>
    <w:basedOn w:val="TableNormal"/>
    <w:uiPriority w:val="99"/>
    <w:rsid w:val="00F43108"/>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F43108"/>
    <w:pPr>
      <w:spacing w:line="240" w:lineRule="auto"/>
    </w:pPr>
    <w:rPr>
      <w:rFonts w:eastAsia="Times New Roman"/>
      <w:sz w:val="20"/>
      <w:szCs w:val="20"/>
      <w:lang w:eastAsia="en-GB"/>
    </w:rPr>
  </w:style>
  <w:style w:type="character" w:customStyle="1" w:styleId="CommentTextChar">
    <w:name w:val="Comment Text Char"/>
    <w:basedOn w:val="DefaultParagraphFont"/>
    <w:link w:val="CommentText"/>
    <w:uiPriority w:val="99"/>
    <w:rsid w:val="00F43108"/>
    <w:rPr>
      <w:rFonts w:ascii="Calibri" w:eastAsia="Times New Roman" w:hAnsi="Calibri" w:cs="Times New Roman"/>
      <w:sz w:val="20"/>
      <w:szCs w:val="20"/>
      <w:lang w:val="en-GB" w:eastAsia="en-GB"/>
    </w:rPr>
  </w:style>
  <w:style w:type="paragraph" w:styleId="ListParagraph">
    <w:name w:val="List Paragraph"/>
    <w:basedOn w:val="Normal"/>
    <w:uiPriority w:val="99"/>
    <w:qFormat/>
    <w:rsid w:val="00F43108"/>
    <w:pPr>
      <w:ind w:left="720"/>
      <w:contextualSpacing/>
    </w:pPr>
    <w:rPr>
      <w:rFonts w:eastAsia="Times New Roman"/>
      <w:lang w:eastAsia="en-GB"/>
    </w:rPr>
  </w:style>
  <w:style w:type="paragraph" w:styleId="Caption">
    <w:name w:val="caption"/>
    <w:basedOn w:val="Normal"/>
    <w:next w:val="Normal"/>
    <w:uiPriority w:val="99"/>
    <w:qFormat/>
    <w:rsid w:val="00F43108"/>
    <w:pPr>
      <w:spacing w:line="240" w:lineRule="auto"/>
    </w:pPr>
    <w:rPr>
      <w:rFonts w:eastAsia="Times New Roman"/>
      <w:b/>
      <w:bCs/>
      <w:color w:val="4F81BD"/>
      <w:sz w:val="18"/>
      <w:szCs w:val="18"/>
      <w:lang w:eastAsia="en-GB"/>
    </w:rPr>
  </w:style>
  <w:style w:type="character" w:styleId="CommentReference">
    <w:name w:val="annotation reference"/>
    <w:basedOn w:val="DefaultParagraphFont"/>
    <w:uiPriority w:val="99"/>
    <w:semiHidden/>
    <w:rsid w:val="00F43108"/>
    <w:rPr>
      <w:rFonts w:cs="Times New Roman"/>
      <w:sz w:val="16"/>
      <w:szCs w:val="16"/>
    </w:rPr>
  </w:style>
  <w:style w:type="paragraph" w:styleId="BalloonText">
    <w:name w:val="Balloon Text"/>
    <w:basedOn w:val="Normal"/>
    <w:link w:val="BalloonTextChar"/>
    <w:uiPriority w:val="99"/>
    <w:semiHidden/>
    <w:rsid w:val="00F43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108"/>
    <w:rPr>
      <w:rFonts w:ascii="Tahoma" w:eastAsia="Calibri" w:hAnsi="Tahoma" w:cs="Tahoma"/>
      <w:sz w:val="16"/>
      <w:szCs w:val="16"/>
      <w:lang w:val="en-GB"/>
    </w:rPr>
  </w:style>
  <w:style w:type="character" w:customStyle="1" w:styleId="f1791">
    <w:name w:val="f1791"/>
    <w:basedOn w:val="DefaultParagraphFont"/>
    <w:uiPriority w:val="99"/>
    <w:rsid w:val="00F43108"/>
    <w:rPr>
      <w:rFonts w:ascii="f179" w:hAnsi="f179" w:cs="Times New Roman"/>
    </w:rPr>
  </w:style>
  <w:style w:type="paragraph" w:styleId="NoSpacing">
    <w:name w:val="No Spacing"/>
    <w:uiPriority w:val="99"/>
    <w:qFormat/>
    <w:rsid w:val="00F43108"/>
    <w:pPr>
      <w:spacing w:after="0" w:line="240" w:lineRule="auto"/>
    </w:pPr>
    <w:rPr>
      <w:rFonts w:ascii="Calibri" w:eastAsia="Calibri" w:hAnsi="Calibri" w:cs="Times New Roman"/>
      <w:lang w:val="en-GB"/>
    </w:rPr>
  </w:style>
  <w:style w:type="paragraph" w:styleId="NormalWeb">
    <w:name w:val="Normal (Web)"/>
    <w:basedOn w:val="Normal"/>
    <w:uiPriority w:val="99"/>
    <w:rsid w:val="00F43108"/>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43108"/>
    <w:rPr>
      <w:rFonts w:cs="Times New Roman"/>
      <w:color w:val="0000FF"/>
      <w:u w:val="single"/>
    </w:rPr>
  </w:style>
  <w:style w:type="paragraph" w:styleId="CommentSubject">
    <w:name w:val="annotation subject"/>
    <w:basedOn w:val="CommentText"/>
    <w:next w:val="CommentText"/>
    <w:link w:val="CommentSubjectChar"/>
    <w:uiPriority w:val="99"/>
    <w:semiHidden/>
    <w:rsid w:val="00F43108"/>
    <w:rPr>
      <w:rFonts w:eastAsia="Calibri"/>
      <w:b/>
      <w:bCs/>
    </w:rPr>
  </w:style>
  <w:style w:type="character" w:customStyle="1" w:styleId="CommentSubjectChar">
    <w:name w:val="Comment Subject Char"/>
    <w:basedOn w:val="CommentTextChar"/>
    <w:link w:val="CommentSubject"/>
    <w:uiPriority w:val="99"/>
    <w:semiHidden/>
    <w:rsid w:val="00F43108"/>
    <w:rPr>
      <w:rFonts w:ascii="Calibri" w:eastAsia="Calibri" w:hAnsi="Calibri" w:cs="Times New Roman"/>
      <w:b/>
      <w:bCs/>
      <w:sz w:val="20"/>
      <w:szCs w:val="20"/>
      <w:lang w:val="en-GB" w:eastAsia="en-GB"/>
    </w:rPr>
  </w:style>
  <w:style w:type="paragraph" w:styleId="Revision">
    <w:name w:val="Revision"/>
    <w:hidden/>
    <w:uiPriority w:val="99"/>
    <w:semiHidden/>
    <w:rsid w:val="00F43108"/>
    <w:pPr>
      <w:spacing w:after="0" w:line="240" w:lineRule="auto"/>
    </w:pPr>
    <w:rPr>
      <w:rFonts w:ascii="Calibri" w:eastAsia="Calibri" w:hAnsi="Calibri" w:cs="Times New Roman"/>
      <w:lang w:val="en-GB"/>
    </w:rPr>
  </w:style>
  <w:style w:type="character" w:customStyle="1" w:styleId="apple-converted-space">
    <w:name w:val="apple-converted-space"/>
    <w:basedOn w:val="DefaultParagraphFont"/>
    <w:rsid w:val="00CE7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86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lightman@uc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5098</Words>
  <Characters>29062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34092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Jiten</dc:creator>
  <cp:lastModifiedBy>Oren_lenovo</cp:lastModifiedBy>
  <cp:revision>21</cp:revision>
  <dcterms:created xsi:type="dcterms:W3CDTF">2014-06-18T13:24:00Z</dcterms:created>
  <dcterms:modified xsi:type="dcterms:W3CDTF">2014-07-07T08:43:00Z</dcterms:modified>
</cp:coreProperties>
</file>