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7C3" w:rsidRDefault="00DD27C3" w:rsidP="00DD27C3">
      <w:pPr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092FC49D" wp14:editId="08967ACE">
            <wp:extent cx="7498080" cy="5240369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313" cy="5246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7C3" w:rsidRPr="00DD27C3" w:rsidRDefault="00DD27C3" w:rsidP="00DD27C3">
      <w:pPr>
        <w:rPr>
          <w:rFonts w:ascii="Arial" w:hAnsi="Arial" w:cs="Arial"/>
        </w:rPr>
      </w:pPr>
      <w:proofErr w:type="gramStart"/>
      <w:r w:rsidRPr="00DD27C3">
        <w:rPr>
          <w:rFonts w:ascii="Arial" w:hAnsi="Arial" w:cs="Arial"/>
          <w:b/>
        </w:rPr>
        <w:t>Figure 1</w:t>
      </w:r>
      <w:r w:rsidRPr="00DD27C3">
        <w:rPr>
          <w:rFonts w:ascii="Arial" w:hAnsi="Arial" w:cs="Arial"/>
        </w:rPr>
        <w:t>.</w:t>
      </w:r>
      <w:proofErr w:type="gramEnd"/>
      <w:r w:rsidRPr="00DD27C3">
        <w:rPr>
          <w:rFonts w:ascii="Arial" w:hAnsi="Arial" w:cs="Arial"/>
        </w:rPr>
        <w:t xml:space="preserve"> Locally estimated scatterplot smoothing (Loess) curves over time prior to diagnosis.  The blue line represents controls, the green line stage I cases, the yellow line stage II cases, and the red line stage III+ cases.</w:t>
      </w:r>
      <w:r w:rsidRPr="00DD27C3">
        <w:rPr>
          <w:rFonts w:ascii="Arial" w:hAnsi="Arial" w:cs="Arial"/>
        </w:rPr>
        <w:t xml:space="preserve"> </w:t>
      </w:r>
      <w:r w:rsidRPr="00DD27C3">
        <w:rPr>
          <w:rFonts w:ascii="Arial" w:hAnsi="Arial" w:cs="Arial"/>
        </w:rPr>
        <w:t>For CA125 and CA15.3 data are shown only for lag-times between blood donation and cancer diagnosis up to 6 years.</w:t>
      </w:r>
    </w:p>
    <w:p w:rsidR="00DD27C3" w:rsidRDefault="00DD27C3">
      <w:r>
        <w:rPr>
          <w:noProof/>
        </w:rPr>
        <w:lastRenderedPageBreak/>
        <w:drawing>
          <wp:inline distT="0" distB="0" distL="0" distR="0" wp14:anchorId="7B141E13" wp14:editId="4DD2B178">
            <wp:extent cx="8496907" cy="5557962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9071" cy="5559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7C3" w:rsidRDefault="00DD27C3"/>
    <w:p w:rsidR="005122B8" w:rsidRDefault="00DD27C3">
      <w:r>
        <w:rPr>
          <w:noProof/>
        </w:rPr>
        <w:lastRenderedPageBreak/>
        <w:drawing>
          <wp:inline distT="0" distB="0" distL="0" distR="0" wp14:anchorId="26EF1818" wp14:editId="3D7C1FD8">
            <wp:extent cx="7744570" cy="5378727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151" cy="538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7C3" w:rsidRDefault="00DD27C3">
      <w:proofErr w:type="gramStart"/>
      <w:r w:rsidRPr="00294FD6">
        <w:rPr>
          <w:rFonts w:ascii="Arial" w:hAnsi="Arial" w:cs="Arial"/>
          <w:b/>
        </w:rPr>
        <w:t>Figure 2</w:t>
      </w:r>
      <w:r w:rsidRPr="00294FD6">
        <w:rPr>
          <w:rFonts w:ascii="Arial" w:hAnsi="Arial" w:cs="Arial"/>
        </w:rPr>
        <w:t>.</w:t>
      </w:r>
      <w:proofErr w:type="gramEnd"/>
      <w:r w:rsidRPr="00294FD6">
        <w:rPr>
          <w:rFonts w:ascii="Arial" w:hAnsi="Arial" w:cs="Arial"/>
        </w:rPr>
        <w:t xml:space="preserve">  ROC curves and C-statistics for diagnosis ≤6 months, ≤12 months, 1-2 years and 2-3 years after blood collection and by tumor stage</w:t>
      </w:r>
      <w:bookmarkStart w:id="0" w:name="_GoBack"/>
      <w:bookmarkEnd w:id="0"/>
    </w:p>
    <w:sectPr w:rsidR="00DD27C3" w:rsidSect="00DD27C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7C3"/>
    <w:rsid w:val="005122B8"/>
    <w:rsid w:val="00DD2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7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7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DKFZ</Company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Kaaks, Rudolf</dc:creator>
  <cp:lastModifiedBy>Kaaks, Rudolf</cp:lastModifiedBy>
  <cp:revision>1</cp:revision>
  <dcterms:created xsi:type="dcterms:W3CDTF">2016-01-05T16:22:00Z</dcterms:created>
  <dcterms:modified xsi:type="dcterms:W3CDTF">2016-01-05T16:29:00Z</dcterms:modified>
</cp:coreProperties>
</file>