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BDC5" w14:textId="682B8D2C" w:rsidR="009D5C15" w:rsidRPr="00500FBD" w:rsidRDefault="009D5C15" w:rsidP="004B0BC2">
      <w:pPr>
        <w:pStyle w:val="Heading1"/>
        <w:rPr>
          <w:rFonts w:asciiTheme="minorHAnsi" w:hAnsiTheme="minorHAnsi" w:cstheme="minorHAnsi"/>
          <w:b/>
          <w:color w:val="000000" w:themeColor="text1"/>
          <w:sz w:val="22"/>
          <w:szCs w:val="22"/>
        </w:rPr>
      </w:pPr>
      <w:r w:rsidRPr="00500FBD">
        <w:rPr>
          <w:rFonts w:asciiTheme="minorHAnsi" w:hAnsiTheme="minorHAnsi" w:cstheme="minorHAnsi"/>
          <w:b/>
          <w:color w:val="000000" w:themeColor="text1"/>
          <w:sz w:val="22"/>
          <w:szCs w:val="22"/>
        </w:rPr>
        <w:t>PERSPECTIVES</w:t>
      </w:r>
    </w:p>
    <w:p w14:paraId="63A5AAF0" w14:textId="7F034CB6" w:rsidR="007D40CB" w:rsidRPr="004B0BC2" w:rsidRDefault="00E332AC" w:rsidP="008A75E3">
      <w:pPr>
        <w:pStyle w:val="NoSpacing"/>
        <w:spacing w:line="480" w:lineRule="auto"/>
        <w:rPr>
          <w:rFonts w:cstheme="minorHAnsi"/>
          <w:b/>
          <w:sz w:val="22"/>
          <w:szCs w:val="22"/>
        </w:rPr>
      </w:pPr>
      <w:r>
        <w:rPr>
          <w:rFonts w:cstheme="minorHAnsi"/>
          <w:b/>
          <w:sz w:val="22"/>
          <w:szCs w:val="22"/>
        </w:rPr>
        <w:t>Are s</w:t>
      </w:r>
      <w:r w:rsidR="007D40CB" w:rsidRPr="004B0BC2">
        <w:rPr>
          <w:rFonts w:cstheme="minorHAnsi"/>
          <w:b/>
          <w:sz w:val="22"/>
          <w:szCs w:val="22"/>
        </w:rPr>
        <w:t xml:space="preserve">ex disparities in </w:t>
      </w:r>
      <w:r w:rsidR="00F65EB8" w:rsidRPr="004B0BC2">
        <w:rPr>
          <w:rFonts w:cstheme="minorHAnsi"/>
          <w:b/>
          <w:sz w:val="22"/>
          <w:szCs w:val="22"/>
        </w:rPr>
        <w:t>COVID-19</w:t>
      </w:r>
      <w:r>
        <w:rPr>
          <w:rFonts w:cstheme="minorHAnsi"/>
          <w:b/>
          <w:sz w:val="22"/>
          <w:szCs w:val="22"/>
        </w:rPr>
        <w:t xml:space="preserve"> a</w:t>
      </w:r>
      <w:r w:rsidR="007D40CB" w:rsidRPr="004B0BC2">
        <w:rPr>
          <w:rFonts w:cstheme="minorHAnsi"/>
          <w:b/>
          <w:sz w:val="22"/>
          <w:szCs w:val="22"/>
        </w:rPr>
        <w:t xml:space="preserve"> predictable outcome </w:t>
      </w:r>
      <w:r w:rsidR="00F65EB8" w:rsidRPr="004B0BC2">
        <w:rPr>
          <w:rFonts w:cstheme="minorHAnsi"/>
          <w:b/>
          <w:sz w:val="22"/>
          <w:szCs w:val="22"/>
        </w:rPr>
        <w:t xml:space="preserve">of </w:t>
      </w:r>
      <w:r w:rsidR="007D40CB" w:rsidRPr="004B0BC2">
        <w:rPr>
          <w:rFonts w:cstheme="minorHAnsi"/>
          <w:b/>
          <w:sz w:val="22"/>
          <w:szCs w:val="22"/>
        </w:rPr>
        <w:t>fail</w:t>
      </w:r>
      <w:r w:rsidR="00F65EB8" w:rsidRPr="004B0BC2">
        <w:rPr>
          <w:rFonts w:cstheme="minorHAnsi"/>
          <w:b/>
          <w:sz w:val="22"/>
          <w:szCs w:val="22"/>
        </w:rPr>
        <w:t>ing</w:t>
      </w:r>
      <w:r w:rsidR="007D40CB" w:rsidRPr="004B0BC2">
        <w:rPr>
          <w:rFonts w:cstheme="minorHAnsi"/>
          <w:b/>
          <w:sz w:val="22"/>
          <w:szCs w:val="22"/>
        </w:rPr>
        <w:t xml:space="preserve"> men’s health</w:t>
      </w:r>
      <w:r>
        <w:rPr>
          <w:rFonts w:cstheme="minorHAnsi"/>
          <w:b/>
          <w:sz w:val="22"/>
          <w:szCs w:val="22"/>
        </w:rPr>
        <w:t xml:space="preserve"> provision</w:t>
      </w:r>
      <w:r w:rsidR="007D40CB" w:rsidRPr="004B0BC2">
        <w:rPr>
          <w:rFonts w:cstheme="minorHAnsi"/>
          <w:b/>
          <w:sz w:val="22"/>
          <w:szCs w:val="22"/>
        </w:rPr>
        <w:t>?</w:t>
      </w:r>
      <w:r>
        <w:rPr>
          <w:rFonts w:cstheme="minorHAnsi"/>
          <w:b/>
          <w:sz w:val="22"/>
          <w:szCs w:val="22"/>
        </w:rPr>
        <w:t xml:space="preserve"> </w:t>
      </w:r>
    </w:p>
    <w:p w14:paraId="24B08501" w14:textId="238465A2" w:rsidR="005E38BC" w:rsidRPr="004B0BC2" w:rsidRDefault="002E4697" w:rsidP="008A75E3">
      <w:pPr>
        <w:pStyle w:val="NoSpacing"/>
        <w:spacing w:line="480" w:lineRule="auto"/>
        <w:rPr>
          <w:rFonts w:cstheme="minorHAnsi"/>
          <w:sz w:val="22"/>
          <w:szCs w:val="22"/>
          <w:vertAlign w:val="superscript"/>
        </w:rPr>
      </w:pPr>
      <w:r w:rsidRPr="004B0BC2">
        <w:rPr>
          <w:rFonts w:cstheme="minorHAnsi"/>
          <w:sz w:val="22"/>
          <w:szCs w:val="22"/>
        </w:rPr>
        <w:t>Tharu Tharakan</w:t>
      </w:r>
      <w:r w:rsidR="00882ED6" w:rsidRPr="004B0BC2">
        <w:rPr>
          <w:rFonts w:cstheme="minorHAnsi"/>
          <w:sz w:val="22"/>
          <w:szCs w:val="22"/>
          <w:vertAlign w:val="superscript"/>
        </w:rPr>
        <w:t>1,2</w:t>
      </w:r>
      <w:r w:rsidR="004B0BC2" w:rsidRPr="004B0BC2">
        <w:rPr>
          <w:rStyle w:val="hgkelc"/>
          <w:rFonts w:cstheme="minorHAnsi"/>
          <w:sz w:val="22"/>
          <w:szCs w:val="22"/>
        </w:rPr>
        <w:t>†</w:t>
      </w:r>
      <w:r w:rsidRPr="004B0BC2">
        <w:rPr>
          <w:rFonts w:cstheme="minorHAnsi"/>
          <w:sz w:val="22"/>
          <w:szCs w:val="22"/>
        </w:rPr>
        <w:t xml:space="preserve">, </w:t>
      </w:r>
      <w:r w:rsidR="00783618" w:rsidRPr="004B0BC2">
        <w:rPr>
          <w:rFonts w:cstheme="minorHAnsi"/>
          <w:sz w:val="22"/>
          <w:szCs w:val="22"/>
        </w:rPr>
        <w:t xml:space="preserve">Christopher C. </w:t>
      </w:r>
      <w:r w:rsidRPr="004B0BC2">
        <w:rPr>
          <w:rFonts w:cstheme="minorHAnsi"/>
          <w:sz w:val="22"/>
          <w:szCs w:val="22"/>
        </w:rPr>
        <w:t>Khoo</w:t>
      </w:r>
      <w:r w:rsidR="00882ED6" w:rsidRPr="004B0BC2">
        <w:rPr>
          <w:rFonts w:cstheme="minorHAnsi"/>
          <w:sz w:val="22"/>
          <w:szCs w:val="22"/>
          <w:vertAlign w:val="superscript"/>
        </w:rPr>
        <w:t>1</w:t>
      </w:r>
      <w:r w:rsidRPr="004B0BC2">
        <w:rPr>
          <w:rFonts w:cstheme="minorHAnsi"/>
          <w:sz w:val="22"/>
          <w:szCs w:val="22"/>
        </w:rPr>
        <w:t xml:space="preserve">, </w:t>
      </w:r>
      <w:r w:rsidR="009B219B" w:rsidRPr="004B0BC2">
        <w:rPr>
          <w:rFonts w:cstheme="minorHAnsi"/>
          <w:sz w:val="22"/>
          <w:szCs w:val="22"/>
        </w:rPr>
        <w:t>Aleksander Giwercman</w:t>
      </w:r>
      <w:r w:rsidR="005B472A" w:rsidRPr="004B0BC2">
        <w:rPr>
          <w:rFonts w:cstheme="minorHAnsi"/>
          <w:sz w:val="22"/>
          <w:szCs w:val="22"/>
          <w:vertAlign w:val="superscript"/>
        </w:rPr>
        <w:t>4</w:t>
      </w:r>
      <w:r w:rsidR="009B219B" w:rsidRPr="004B0BC2">
        <w:rPr>
          <w:rFonts w:cstheme="minorHAnsi"/>
          <w:sz w:val="22"/>
          <w:szCs w:val="22"/>
        </w:rPr>
        <w:t xml:space="preserve">, </w:t>
      </w:r>
      <w:r w:rsidRPr="004B0BC2">
        <w:rPr>
          <w:rFonts w:cstheme="minorHAnsi"/>
          <w:sz w:val="22"/>
          <w:szCs w:val="22"/>
        </w:rPr>
        <w:t xml:space="preserve">Channa </w:t>
      </w:r>
      <w:r w:rsidR="00F47054" w:rsidRPr="004B0BC2">
        <w:rPr>
          <w:rFonts w:cstheme="minorHAnsi"/>
          <w:sz w:val="22"/>
          <w:szCs w:val="22"/>
        </w:rPr>
        <w:t xml:space="preserve">N. </w:t>
      </w:r>
      <w:r w:rsidRPr="004B0BC2">
        <w:rPr>
          <w:rFonts w:cstheme="minorHAnsi"/>
          <w:sz w:val="22"/>
          <w:szCs w:val="22"/>
        </w:rPr>
        <w:t>Jayasena</w:t>
      </w:r>
      <w:r w:rsidR="00882ED6" w:rsidRPr="004B0BC2">
        <w:rPr>
          <w:rFonts w:cstheme="minorHAnsi"/>
          <w:sz w:val="22"/>
          <w:szCs w:val="22"/>
          <w:vertAlign w:val="superscript"/>
        </w:rPr>
        <w:t>2</w:t>
      </w:r>
      <w:r w:rsidRPr="004B0BC2">
        <w:rPr>
          <w:rFonts w:cstheme="minorHAnsi"/>
          <w:sz w:val="22"/>
          <w:szCs w:val="22"/>
        </w:rPr>
        <w:t>, Nikolaos Sofikitis</w:t>
      </w:r>
      <w:r w:rsidR="005B472A" w:rsidRPr="004B0BC2">
        <w:rPr>
          <w:rFonts w:cstheme="minorHAnsi"/>
          <w:sz w:val="22"/>
          <w:szCs w:val="22"/>
          <w:vertAlign w:val="superscript"/>
        </w:rPr>
        <w:t>5</w:t>
      </w:r>
      <w:r w:rsidRPr="004B0BC2">
        <w:rPr>
          <w:rFonts w:cstheme="minorHAnsi"/>
          <w:sz w:val="22"/>
          <w:szCs w:val="22"/>
        </w:rPr>
        <w:t>, Andrea Salonia</w:t>
      </w:r>
      <w:r w:rsidR="005B472A" w:rsidRPr="004B0BC2">
        <w:rPr>
          <w:rFonts w:cstheme="minorHAnsi"/>
          <w:sz w:val="22"/>
          <w:szCs w:val="22"/>
          <w:vertAlign w:val="superscript"/>
        </w:rPr>
        <w:t>6</w:t>
      </w:r>
      <w:r w:rsidR="00284198" w:rsidRPr="004B0BC2">
        <w:rPr>
          <w:rFonts w:cstheme="minorHAnsi"/>
          <w:sz w:val="22"/>
          <w:szCs w:val="22"/>
          <w:vertAlign w:val="superscript"/>
        </w:rPr>
        <w:t>,</w:t>
      </w:r>
      <w:r w:rsidR="005B472A" w:rsidRPr="004B0BC2">
        <w:rPr>
          <w:rFonts w:cstheme="minorHAnsi"/>
          <w:sz w:val="22"/>
          <w:szCs w:val="22"/>
          <w:vertAlign w:val="superscript"/>
        </w:rPr>
        <w:t>7</w:t>
      </w:r>
      <w:r w:rsidR="004B0BC2" w:rsidRPr="004B0BC2">
        <w:rPr>
          <w:rFonts w:cstheme="minorHAnsi"/>
          <w:sz w:val="22"/>
          <w:szCs w:val="22"/>
        </w:rPr>
        <w:t xml:space="preserve"> and</w:t>
      </w:r>
      <w:r w:rsidRPr="004B0BC2">
        <w:rPr>
          <w:rFonts w:cstheme="minorHAnsi"/>
          <w:sz w:val="22"/>
          <w:szCs w:val="22"/>
        </w:rPr>
        <w:t xml:space="preserve"> Suks Minhas</w:t>
      </w:r>
      <w:r w:rsidR="00882ED6" w:rsidRPr="004B0BC2">
        <w:rPr>
          <w:rFonts w:cstheme="minorHAnsi"/>
          <w:sz w:val="22"/>
          <w:szCs w:val="22"/>
          <w:vertAlign w:val="superscript"/>
        </w:rPr>
        <w:t>1</w:t>
      </w:r>
      <w:r w:rsidR="005B472A" w:rsidRPr="004B0BC2">
        <w:rPr>
          <w:rFonts w:cstheme="minorHAnsi"/>
          <w:sz w:val="22"/>
          <w:szCs w:val="22"/>
          <w:vertAlign w:val="superscript"/>
        </w:rPr>
        <w:t>,3</w:t>
      </w:r>
    </w:p>
    <w:p w14:paraId="7BA935C6" w14:textId="62E328A5" w:rsidR="00E30370" w:rsidRPr="004B0BC2" w:rsidRDefault="00E30370" w:rsidP="008A75E3">
      <w:pPr>
        <w:pStyle w:val="NoSpacing"/>
        <w:spacing w:line="480" w:lineRule="auto"/>
        <w:rPr>
          <w:rFonts w:cstheme="minorHAnsi"/>
          <w:sz w:val="22"/>
          <w:szCs w:val="22"/>
        </w:rPr>
      </w:pPr>
    </w:p>
    <w:p w14:paraId="3D96AD0B" w14:textId="5E83A14A" w:rsidR="00882ED6" w:rsidRPr="004B0BC2" w:rsidRDefault="005B472A" w:rsidP="008A75E3">
      <w:pPr>
        <w:pStyle w:val="ecxmsonormal"/>
        <w:numPr>
          <w:ilvl w:val="0"/>
          <w:numId w:val="2"/>
        </w:numPr>
        <w:spacing w:before="0" w:beforeAutospacing="0" w:after="200" w:afterAutospacing="0" w:line="480" w:lineRule="auto"/>
        <w:ind w:left="720"/>
        <w:jc w:val="both"/>
        <w:rPr>
          <w:rFonts w:asciiTheme="minorHAnsi" w:hAnsiTheme="minorHAnsi" w:cstheme="minorHAnsi"/>
          <w:sz w:val="22"/>
          <w:szCs w:val="22"/>
          <w:lang w:val="en-US"/>
        </w:rPr>
      </w:pPr>
      <w:r w:rsidRPr="004B0BC2">
        <w:rPr>
          <w:rFonts w:asciiTheme="minorHAnsi" w:hAnsiTheme="minorHAnsi" w:cstheme="minorHAnsi"/>
          <w:sz w:val="22"/>
          <w:szCs w:val="22"/>
          <w:lang w:val="en-US"/>
        </w:rPr>
        <w:t>Department of Urology</w:t>
      </w:r>
      <w:r w:rsidR="00882ED6" w:rsidRPr="004B0BC2">
        <w:rPr>
          <w:rFonts w:asciiTheme="minorHAnsi" w:hAnsiTheme="minorHAnsi" w:cstheme="minorHAnsi"/>
          <w:sz w:val="22"/>
          <w:szCs w:val="22"/>
        </w:rPr>
        <w:t xml:space="preserve">, Imperial Healthcare NHS Trust, Charing Cross Hospital, Fulham Palace Road, London, </w:t>
      </w:r>
      <w:r w:rsidR="00882ED6" w:rsidRPr="004B0BC2">
        <w:rPr>
          <w:rFonts w:asciiTheme="minorHAnsi" w:hAnsiTheme="minorHAnsi" w:cstheme="minorHAnsi"/>
          <w:sz w:val="22"/>
          <w:szCs w:val="22"/>
          <w:lang w:val="en-US"/>
        </w:rPr>
        <w:t>United Kingdom</w:t>
      </w:r>
    </w:p>
    <w:p w14:paraId="58795084" w14:textId="147D4A73" w:rsidR="00882ED6" w:rsidRPr="004B0BC2" w:rsidRDefault="000A2FA4" w:rsidP="008A75E3">
      <w:pPr>
        <w:pStyle w:val="ecxmsonormal"/>
        <w:numPr>
          <w:ilvl w:val="0"/>
          <w:numId w:val="2"/>
        </w:numPr>
        <w:spacing w:before="0" w:beforeAutospacing="0" w:after="200" w:afterAutospacing="0" w:line="480" w:lineRule="auto"/>
        <w:ind w:left="720"/>
        <w:jc w:val="both"/>
        <w:rPr>
          <w:rFonts w:asciiTheme="minorHAnsi" w:hAnsiTheme="minorHAnsi" w:cstheme="minorHAnsi"/>
          <w:sz w:val="22"/>
          <w:szCs w:val="22"/>
          <w:lang w:val="en-US"/>
        </w:rPr>
      </w:pPr>
      <w:r w:rsidRPr="004B0BC2">
        <w:rPr>
          <w:rFonts w:asciiTheme="minorHAnsi" w:hAnsiTheme="minorHAnsi" w:cstheme="minorHAnsi"/>
          <w:sz w:val="22"/>
          <w:szCs w:val="22"/>
          <w:lang w:val="en-US"/>
        </w:rPr>
        <w:t>Department</w:t>
      </w:r>
      <w:r w:rsidR="00882ED6" w:rsidRPr="004B0BC2">
        <w:rPr>
          <w:rFonts w:asciiTheme="minorHAnsi" w:hAnsiTheme="minorHAnsi" w:cstheme="minorHAnsi"/>
          <w:sz w:val="22"/>
          <w:szCs w:val="22"/>
          <w:lang w:val="en-US"/>
        </w:rPr>
        <w:t xml:space="preserve"> of Metabolism, Digestion and Reproduction,</w:t>
      </w:r>
      <w:r w:rsidRPr="004B0BC2">
        <w:rPr>
          <w:rFonts w:asciiTheme="minorHAnsi" w:hAnsiTheme="minorHAnsi" w:cstheme="minorHAnsi"/>
          <w:sz w:val="22"/>
          <w:szCs w:val="22"/>
          <w:lang w:val="en-US"/>
        </w:rPr>
        <w:t xml:space="preserve"> </w:t>
      </w:r>
      <w:r w:rsidR="00882ED6" w:rsidRPr="004B0BC2">
        <w:rPr>
          <w:rFonts w:asciiTheme="minorHAnsi" w:hAnsiTheme="minorHAnsi" w:cstheme="minorHAnsi"/>
          <w:sz w:val="22"/>
          <w:szCs w:val="22"/>
          <w:lang w:val="en-US"/>
        </w:rPr>
        <w:t>Imperial College London, London, United Kingdom</w:t>
      </w:r>
    </w:p>
    <w:p w14:paraId="080C8BF5" w14:textId="6D133107" w:rsidR="005B472A" w:rsidRPr="004B0BC2" w:rsidRDefault="005B472A" w:rsidP="008A75E3">
      <w:pPr>
        <w:pStyle w:val="ecxmsonormal"/>
        <w:numPr>
          <w:ilvl w:val="0"/>
          <w:numId w:val="2"/>
        </w:numPr>
        <w:spacing w:before="0" w:beforeAutospacing="0" w:after="200" w:afterAutospacing="0" w:line="480" w:lineRule="auto"/>
        <w:ind w:left="720"/>
        <w:jc w:val="both"/>
        <w:rPr>
          <w:rFonts w:asciiTheme="minorHAnsi" w:hAnsiTheme="minorHAnsi" w:cstheme="minorHAnsi"/>
          <w:sz w:val="22"/>
          <w:szCs w:val="22"/>
          <w:lang w:val="en-US"/>
        </w:rPr>
      </w:pPr>
      <w:r w:rsidRPr="004B0BC2">
        <w:rPr>
          <w:rFonts w:asciiTheme="minorHAnsi" w:hAnsiTheme="minorHAnsi" w:cstheme="minorHAnsi"/>
          <w:sz w:val="22"/>
          <w:szCs w:val="22"/>
          <w:lang w:val="en-US"/>
        </w:rPr>
        <w:t>Department of Surgery and Cancer, Imperial College London, London, United Kingdom</w:t>
      </w:r>
    </w:p>
    <w:p w14:paraId="79C92A36" w14:textId="3533988B" w:rsidR="00882ED6" w:rsidRPr="004B0BC2" w:rsidRDefault="00882ED6" w:rsidP="008A75E3">
      <w:pPr>
        <w:pStyle w:val="ecxmsonormal"/>
        <w:numPr>
          <w:ilvl w:val="0"/>
          <w:numId w:val="2"/>
        </w:numPr>
        <w:spacing w:before="0" w:beforeAutospacing="0" w:after="200" w:afterAutospacing="0" w:line="480" w:lineRule="auto"/>
        <w:ind w:left="720"/>
        <w:jc w:val="both"/>
        <w:rPr>
          <w:rFonts w:asciiTheme="minorHAnsi" w:hAnsiTheme="minorHAnsi" w:cstheme="minorHAnsi"/>
          <w:sz w:val="22"/>
          <w:szCs w:val="22"/>
          <w:lang w:val="en-US"/>
        </w:rPr>
      </w:pPr>
      <w:r w:rsidRPr="004B0BC2">
        <w:rPr>
          <w:rFonts w:asciiTheme="minorHAnsi" w:hAnsiTheme="minorHAnsi" w:cstheme="minorHAnsi"/>
          <w:sz w:val="22"/>
          <w:szCs w:val="22"/>
          <w:lang w:val="en-US"/>
        </w:rPr>
        <w:t xml:space="preserve">Department of </w:t>
      </w:r>
      <w:r w:rsidR="00773AF8" w:rsidRPr="004B0BC2">
        <w:rPr>
          <w:rFonts w:asciiTheme="minorHAnsi" w:hAnsiTheme="minorHAnsi" w:cstheme="minorHAnsi"/>
          <w:sz w:val="22"/>
          <w:szCs w:val="22"/>
          <w:lang w:val="en-US"/>
        </w:rPr>
        <w:t xml:space="preserve">Translational </w:t>
      </w:r>
      <w:r w:rsidRPr="004B0BC2">
        <w:rPr>
          <w:rFonts w:asciiTheme="minorHAnsi" w:hAnsiTheme="minorHAnsi" w:cstheme="minorHAnsi"/>
          <w:sz w:val="22"/>
          <w:szCs w:val="22"/>
          <w:lang w:val="en-US"/>
        </w:rPr>
        <w:t>Medicine, Lund University, Lund, Sweden</w:t>
      </w:r>
    </w:p>
    <w:p w14:paraId="4F790B50" w14:textId="1626BE80" w:rsidR="00882ED6" w:rsidRPr="004B0BC2" w:rsidRDefault="00882ED6" w:rsidP="008A75E3">
      <w:pPr>
        <w:pStyle w:val="ecxmsonormal"/>
        <w:numPr>
          <w:ilvl w:val="0"/>
          <w:numId w:val="2"/>
        </w:numPr>
        <w:spacing w:before="0" w:beforeAutospacing="0" w:after="200" w:afterAutospacing="0" w:line="480" w:lineRule="auto"/>
        <w:ind w:left="720"/>
        <w:jc w:val="both"/>
        <w:rPr>
          <w:rFonts w:asciiTheme="minorHAnsi" w:hAnsiTheme="minorHAnsi" w:cstheme="minorHAnsi"/>
          <w:sz w:val="22"/>
          <w:szCs w:val="22"/>
          <w:lang w:val="en-US"/>
        </w:rPr>
      </w:pPr>
      <w:r w:rsidRPr="004B0BC2">
        <w:rPr>
          <w:rFonts w:asciiTheme="minorHAnsi" w:hAnsiTheme="minorHAnsi" w:cstheme="minorHAnsi"/>
          <w:sz w:val="22"/>
          <w:szCs w:val="22"/>
          <w:lang w:val="en-US"/>
        </w:rPr>
        <w:t xml:space="preserve">Department of Urology, Ioannina University </w:t>
      </w:r>
      <w:r w:rsidR="00485468" w:rsidRPr="004B0BC2">
        <w:rPr>
          <w:rFonts w:asciiTheme="minorHAnsi" w:hAnsiTheme="minorHAnsi" w:cstheme="minorHAnsi"/>
          <w:sz w:val="22"/>
          <w:szCs w:val="22"/>
          <w:lang w:val="en-US"/>
        </w:rPr>
        <w:t>School of Medicine, Ioannina, Greece.</w:t>
      </w:r>
    </w:p>
    <w:p w14:paraId="4392EDFA" w14:textId="28FED9FA" w:rsidR="00485468" w:rsidRPr="004B0BC2" w:rsidRDefault="00485468" w:rsidP="008A75E3">
      <w:pPr>
        <w:pStyle w:val="ecxmsonormal"/>
        <w:numPr>
          <w:ilvl w:val="0"/>
          <w:numId w:val="2"/>
        </w:numPr>
        <w:spacing w:before="0" w:beforeAutospacing="0" w:after="200" w:afterAutospacing="0" w:line="480" w:lineRule="auto"/>
        <w:ind w:left="720"/>
        <w:jc w:val="both"/>
        <w:rPr>
          <w:rFonts w:asciiTheme="minorHAnsi" w:hAnsiTheme="minorHAnsi" w:cstheme="minorHAnsi"/>
          <w:sz w:val="22"/>
          <w:szCs w:val="22"/>
          <w:lang w:val="en-US"/>
        </w:rPr>
      </w:pPr>
      <w:r w:rsidRPr="004B0BC2">
        <w:rPr>
          <w:rFonts w:asciiTheme="minorHAnsi" w:hAnsiTheme="minorHAnsi" w:cstheme="minorHAnsi"/>
          <w:sz w:val="22"/>
          <w:szCs w:val="22"/>
          <w:lang w:val="en-US"/>
        </w:rPr>
        <w:t>Division of Experimental Oncology/Unite of Urology, URI, IRCCS Ospedale, San Raffaele, Milan, Italy</w:t>
      </w:r>
    </w:p>
    <w:p w14:paraId="75DA7B9A" w14:textId="047FEF10" w:rsidR="004A4ED7" w:rsidRPr="004B0BC2" w:rsidRDefault="00284198" w:rsidP="00271A3B">
      <w:pPr>
        <w:pStyle w:val="ecxmsonormal"/>
        <w:numPr>
          <w:ilvl w:val="0"/>
          <w:numId w:val="2"/>
        </w:numPr>
        <w:spacing w:before="0" w:beforeAutospacing="0" w:after="200" w:afterAutospacing="0" w:line="480" w:lineRule="auto"/>
        <w:ind w:left="720"/>
        <w:jc w:val="both"/>
        <w:rPr>
          <w:rFonts w:asciiTheme="minorHAnsi" w:hAnsiTheme="minorHAnsi" w:cstheme="minorHAnsi"/>
          <w:sz w:val="22"/>
          <w:szCs w:val="22"/>
          <w:lang w:val="en-US"/>
        </w:rPr>
      </w:pPr>
      <w:r w:rsidRPr="004B0BC2">
        <w:rPr>
          <w:rFonts w:asciiTheme="minorHAnsi" w:hAnsiTheme="minorHAnsi" w:cstheme="minorHAnsi"/>
          <w:sz w:val="22"/>
          <w:szCs w:val="22"/>
          <w:lang w:val="en-US"/>
        </w:rPr>
        <w:t>University Vita-Salute San Raffaele, Milan, Ital</w:t>
      </w:r>
      <w:r w:rsidR="005B472A" w:rsidRPr="004B0BC2">
        <w:rPr>
          <w:rFonts w:asciiTheme="minorHAnsi" w:hAnsiTheme="minorHAnsi" w:cstheme="minorHAnsi"/>
          <w:sz w:val="22"/>
          <w:szCs w:val="22"/>
          <w:lang w:val="en-US"/>
        </w:rPr>
        <w:t>y</w:t>
      </w:r>
    </w:p>
    <w:p w14:paraId="4112C9C5" w14:textId="35AE3FE7" w:rsidR="00882ED6" w:rsidRPr="004B0BC2" w:rsidRDefault="004B0BC2" w:rsidP="008A75E3">
      <w:pPr>
        <w:spacing w:line="480" w:lineRule="auto"/>
        <w:rPr>
          <w:rFonts w:asciiTheme="minorHAnsi" w:hAnsiTheme="minorHAnsi" w:cstheme="minorHAnsi"/>
          <w:sz w:val="22"/>
          <w:szCs w:val="22"/>
          <w:shd w:val="clear" w:color="auto" w:fill="FFFFFF"/>
        </w:rPr>
      </w:pPr>
      <w:r w:rsidRPr="004B0BC2">
        <w:rPr>
          <w:rStyle w:val="hgkelc"/>
          <w:rFonts w:asciiTheme="minorHAnsi" w:hAnsiTheme="minorHAnsi" w:cstheme="minorHAnsi"/>
          <w:sz w:val="22"/>
          <w:szCs w:val="22"/>
        </w:rPr>
        <w:t>†</w:t>
      </w:r>
      <w:r w:rsidR="00882ED6" w:rsidRPr="004B0BC2">
        <w:rPr>
          <w:rFonts w:asciiTheme="minorHAnsi" w:hAnsiTheme="minorHAnsi" w:cstheme="minorHAnsi"/>
          <w:sz w:val="22"/>
          <w:szCs w:val="22"/>
        </w:rPr>
        <w:t xml:space="preserve">E-mail: tharu.tharakan@nhs.net </w:t>
      </w:r>
    </w:p>
    <w:p w14:paraId="716B467C" w14:textId="77777777" w:rsidR="00AA4EC6" w:rsidRPr="004B0BC2" w:rsidRDefault="00AA4EC6" w:rsidP="000A2FA4">
      <w:pPr>
        <w:pStyle w:val="NoSpacing"/>
        <w:spacing w:line="480" w:lineRule="auto"/>
        <w:rPr>
          <w:rFonts w:cstheme="minorHAnsi"/>
          <w:sz w:val="22"/>
          <w:szCs w:val="22"/>
        </w:rPr>
      </w:pPr>
    </w:p>
    <w:p w14:paraId="6B5DEFF8" w14:textId="77777777" w:rsidR="000A2FA4" w:rsidRPr="004B0BC2" w:rsidRDefault="000A2FA4" w:rsidP="008A75E3">
      <w:pPr>
        <w:pStyle w:val="NoSpacing"/>
        <w:spacing w:line="480" w:lineRule="auto"/>
        <w:rPr>
          <w:rFonts w:cstheme="minorHAnsi"/>
          <w:sz w:val="22"/>
          <w:szCs w:val="22"/>
        </w:rPr>
      </w:pPr>
    </w:p>
    <w:p w14:paraId="32B39950" w14:textId="2F0D5965" w:rsidR="000A2FA4" w:rsidRPr="004B0BC2" w:rsidRDefault="000A2FA4" w:rsidP="008A75E3">
      <w:pPr>
        <w:pStyle w:val="NoSpacing"/>
        <w:spacing w:line="480" w:lineRule="auto"/>
        <w:rPr>
          <w:rFonts w:cstheme="minorHAnsi"/>
          <w:sz w:val="22"/>
          <w:szCs w:val="22"/>
        </w:rPr>
      </w:pPr>
    </w:p>
    <w:p w14:paraId="2E2B4E89" w14:textId="4E70A540" w:rsidR="000A2FA4" w:rsidRPr="004B0BC2" w:rsidRDefault="000A2FA4" w:rsidP="008A75E3">
      <w:pPr>
        <w:pStyle w:val="NoSpacing"/>
        <w:spacing w:line="480" w:lineRule="auto"/>
        <w:rPr>
          <w:rFonts w:cstheme="minorHAnsi"/>
          <w:sz w:val="22"/>
          <w:szCs w:val="22"/>
        </w:rPr>
      </w:pPr>
    </w:p>
    <w:p w14:paraId="52806D07" w14:textId="77777777" w:rsidR="000A2FA4" w:rsidRPr="004B0BC2" w:rsidRDefault="000A2FA4" w:rsidP="008A75E3">
      <w:pPr>
        <w:pStyle w:val="NoSpacing"/>
        <w:spacing w:line="480" w:lineRule="auto"/>
        <w:rPr>
          <w:rFonts w:cstheme="minorHAnsi"/>
          <w:sz w:val="22"/>
          <w:szCs w:val="22"/>
        </w:rPr>
      </w:pPr>
    </w:p>
    <w:p w14:paraId="7B6C4C7D" w14:textId="0A341B1A" w:rsidR="004A4ED7" w:rsidRPr="004B0BC2" w:rsidRDefault="004A4ED7" w:rsidP="008A75E3">
      <w:pPr>
        <w:pStyle w:val="NoSpacing"/>
        <w:spacing w:line="480" w:lineRule="auto"/>
        <w:rPr>
          <w:rFonts w:cstheme="minorHAnsi"/>
          <w:sz w:val="22"/>
          <w:szCs w:val="22"/>
        </w:rPr>
      </w:pPr>
    </w:p>
    <w:p w14:paraId="266073A1" w14:textId="4C75BC21" w:rsidR="00B55720" w:rsidRPr="004B0BC2" w:rsidRDefault="009A2753" w:rsidP="00B66369">
      <w:pPr>
        <w:pStyle w:val="NoSpacing"/>
        <w:spacing w:line="480" w:lineRule="auto"/>
        <w:rPr>
          <w:rFonts w:cstheme="minorHAnsi"/>
          <w:sz w:val="22"/>
          <w:szCs w:val="22"/>
        </w:rPr>
      </w:pPr>
      <w:r w:rsidRPr="00500FBD">
        <w:rPr>
          <w:rFonts w:cstheme="minorHAnsi"/>
          <w:b/>
          <w:bCs/>
          <w:sz w:val="22"/>
          <w:szCs w:val="22"/>
        </w:rPr>
        <w:lastRenderedPageBreak/>
        <w:t>Abstract</w:t>
      </w:r>
      <w:r w:rsidR="009D5C15" w:rsidRPr="00500FBD">
        <w:rPr>
          <w:rFonts w:cstheme="minorHAnsi"/>
          <w:b/>
          <w:bCs/>
          <w:sz w:val="22"/>
          <w:szCs w:val="22"/>
        </w:rPr>
        <w:t xml:space="preserve"> </w:t>
      </w:r>
      <w:r w:rsidR="00B77F9F">
        <w:rPr>
          <w:rFonts w:cstheme="minorHAnsi"/>
          <w:b/>
          <w:bCs/>
          <w:sz w:val="22"/>
          <w:szCs w:val="22"/>
        </w:rPr>
        <w:t>|</w:t>
      </w:r>
      <w:r w:rsidR="00B77F9F">
        <w:rPr>
          <w:rFonts w:cstheme="minorHAnsi"/>
          <w:sz w:val="22"/>
          <w:szCs w:val="22"/>
        </w:rPr>
        <w:t xml:space="preserve"> </w:t>
      </w:r>
      <w:r w:rsidR="00E757BB" w:rsidRPr="004B0BC2">
        <w:rPr>
          <w:rFonts w:cstheme="minorHAnsi"/>
          <w:sz w:val="22"/>
          <w:szCs w:val="22"/>
        </w:rPr>
        <w:t xml:space="preserve">The </w:t>
      </w:r>
      <w:r w:rsidR="009860AE">
        <w:rPr>
          <w:rFonts w:cstheme="minorHAnsi"/>
          <w:sz w:val="22"/>
          <w:szCs w:val="22"/>
        </w:rPr>
        <w:t xml:space="preserve">COVID-19 </w:t>
      </w:r>
      <w:r w:rsidR="00E757BB" w:rsidRPr="004B0BC2">
        <w:rPr>
          <w:rFonts w:cstheme="minorHAnsi"/>
          <w:sz w:val="22"/>
          <w:szCs w:val="22"/>
        </w:rPr>
        <w:t>pandemic</w:t>
      </w:r>
      <w:r w:rsidR="009860AE">
        <w:rPr>
          <w:rFonts w:cstheme="minorHAnsi"/>
          <w:sz w:val="22"/>
          <w:szCs w:val="22"/>
        </w:rPr>
        <w:t>, caused by the SARS-CoV2 coronavirus,</w:t>
      </w:r>
      <w:r w:rsidR="00E757BB" w:rsidRPr="004B0BC2">
        <w:rPr>
          <w:rFonts w:cstheme="minorHAnsi"/>
          <w:sz w:val="22"/>
          <w:szCs w:val="22"/>
        </w:rPr>
        <w:t xml:space="preserve"> </w:t>
      </w:r>
      <w:r w:rsidRPr="004B0BC2">
        <w:rPr>
          <w:rFonts w:cstheme="minorHAnsi"/>
          <w:sz w:val="22"/>
          <w:szCs w:val="22"/>
        </w:rPr>
        <w:t>has</w:t>
      </w:r>
      <w:r w:rsidR="00E757BB" w:rsidRPr="004B0BC2">
        <w:rPr>
          <w:rFonts w:cstheme="minorHAnsi"/>
          <w:sz w:val="22"/>
          <w:szCs w:val="22"/>
        </w:rPr>
        <w:t xml:space="preserve"> </w:t>
      </w:r>
      <w:r w:rsidR="00B77F9F">
        <w:rPr>
          <w:rFonts w:cstheme="minorHAnsi"/>
          <w:sz w:val="22"/>
          <w:szCs w:val="22"/>
        </w:rPr>
        <w:t>take</w:t>
      </w:r>
      <w:r w:rsidRPr="004B0BC2">
        <w:rPr>
          <w:rFonts w:cstheme="minorHAnsi"/>
          <w:sz w:val="22"/>
          <w:szCs w:val="22"/>
        </w:rPr>
        <w:t xml:space="preserve">n a catastrophic toll on society, </w:t>
      </w:r>
      <w:r w:rsidR="00B55720" w:rsidRPr="004B0BC2">
        <w:rPr>
          <w:rFonts w:cstheme="minorHAnsi"/>
          <w:sz w:val="22"/>
          <w:szCs w:val="22"/>
        </w:rPr>
        <w:t>health</w:t>
      </w:r>
      <w:r w:rsidR="00B77F9F">
        <w:rPr>
          <w:rFonts w:cstheme="minorHAnsi"/>
          <w:sz w:val="22"/>
          <w:szCs w:val="22"/>
        </w:rPr>
        <w:t>-</w:t>
      </w:r>
      <w:r w:rsidR="00B55720" w:rsidRPr="004B0BC2">
        <w:rPr>
          <w:rFonts w:cstheme="minorHAnsi"/>
          <w:sz w:val="22"/>
          <w:szCs w:val="22"/>
        </w:rPr>
        <w:t>care</w:t>
      </w:r>
      <w:r w:rsidRPr="004B0BC2">
        <w:rPr>
          <w:rFonts w:cstheme="minorHAnsi"/>
          <w:sz w:val="22"/>
          <w:szCs w:val="22"/>
        </w:rPr>
        <w:t xml:space="preserve"> systems and the </w:t>
      </w:r>
      <w:r w:rsidR="00B55720" w:rsidRPr="004B0BC2">
        <w:rPr>
          <w:rFonts w:cstheme="minorHAnsi"/>
          <w:sz w:val="22"/>
          <w:szCs w:val="22"/>
        </w:rPr>
        <w:t>economy</w:t>
      </w:r>
      <w:r w:rsidRPr="004B0BC2">
        <w:rPr>
          <w:rFonts w:cstheme="minorHAnsi"/>
          <w:sz w:val="22"/>
          <w:szCs w:val="22"/>
        </w:rPr>
        <w:t xml:space="preserve">. </w:t>
      </w:r>
      <w:r w:rsidR="00B77F9F">
        <w:rPr>
          <w:rFonts w:cstheme="minorHAnsi"/>
          <w:sz w:val="22"/>
          <w:szCs w:val="22"/>
        </w:rPr>
        <w:t>Notably,</w:t>
      </w:r>
      <w:r w:rsidR="00560F52" w:rsidRPr="004B0BC2">
        <w:rPr>
          <w:rFonts w:cstheme="minorHAnsi"/>
          <w:sz w:val="22"/>
          <w:szCs w:val="22"/>
        </w:rPr>
        <w:t xml:space="preserve"> COVID-19 </w:t>
      </w:r>
      <w:r w:rsidR="00B77F9F">
        <w:rPr>
          <w:rFonts w:cstheme="minorHAnsi"/>
          <w:sz w:val="22"/>
          <w:szCs w:val="22"/>
        </w:rPr>
        <w:t>ha</w:t>
      </w:r>
      <w:r w:rsidR="00560F52" w:rsidRPr="004B0BC2">
        <w:rPr>
          <w:rFonts w:cstheme="minorHAnsi"/>
          <w:sz w:val="22"/>
          <w:szCs w:val="22"/>
        </w:rPr>
        <w:t>s</w:t>
      </w:r>
      <w:r w:rsidR="00B77F9F">
        <w:rPr>
          <w:rFonts w:cstheme="minorHAnsi"/>
          <w:sz w:val="22"/>
          <w:szCs w:val="22"/>
        </w:rPr>
        <w:t xml:space="preserve"> been shown to be</w:t>
      </w:r>
      <w:r w:rsidR="00560F52" w:rsidRPr="004B0BC2">
        <w:rPr>
          <w:rFonts w:cstheme="minorHAnsi"/>
          <w:sz w:val="22"/>
          <w:szCs w:val="22"/>
        </w:rPr>
        <w:t xml:space="preserve"> associated with a higher mortality rate in</w:t>
      </w:r>
      <w:r w:rsidRPr="004B0BC2">
        <w:rPr>
          <w:rFonts w:cstheme="minorHAnsi"/>
          <w:sz w:val="22"/>
          <w:szCs w:val="22"/>
        </w:rPr>
        <w:t xml:space="preserve"> </w:t>
      </w:r>
      <w:r w:rsidR="00B55720" w:rsidRPr="004B0BC2">
        <w:rPr>
          <w:rFonts w:cstheme="minorHAnsi"/>
          <w:sz w:val="22"/>
          <w:szCs w:val="22"/>
        </w:rPr>
        <w:t xml:space="preserve">men </w:t>
      </w:r>
      <w:r w:rsidR="00B77F9F">
        <w:rPr>
          <w:rFonts w:cstheme="minorHAnsi"/>
          <w:sz w:val="22"/>
          <w:szCs w:val="22"/>
        </w:rPr>
        <w:t>than</w:t>
      </w:r>
      <w:r w:rsidR="00B55720" w:rsidRPr="004B0BC2">
        <w:rPr>
          <w:rFonts w:cstheme="minorHAnsi"/>
          <w:sz w:val="22"/>
          <w:szCs w:val="22"/>
        </w:rPr>
        <w:t xml:space="preserve"> women</w:t>
      </w:r>
      <w:r w:rsidR="005B472A" w:rsidRPr="004B0BC2">
        <w:rPr>
          <w:rFonts w:cstheme="minorHAnsi"/>
          <w:sz w:val="22"/>
          <w:szCs w:val="22"/>
        </w:rPr>
        <w:t>.</w:t>
      </w:r>
      <w:r w:rsidR="00B55720" w:rsidRPr="004B0BC2">
        <w:rPr>
          <w:rFonts w:cstheme="minorHAnsi"/>
          <w:sz w:val="22"/>
          <w:szCs w:val="22"/>
        </w:rPr>
        <w:t xml:space="preserve"> </w:t>
      </w:r>
      <w:r w:rsidR="00F65EB8" w:rsidRPr="004B0BC2">
        <w:rPr>
          <w:rFonts w:cstheme="minorHAnsi"/>
          <w:sz w:val="22"/>
          <w:szCs w:val="22"/>
        </w:rPr>
        <w:t>T</w:t>
      </w:r>
      <w:r w:rsidR="00B55720" w:rsidRPr="004B0BC2">
        <w:rPr>
          <w:rFonts w:cstheme="minorHAnsi"/>
          <w:sz w:val="22"/>
          <w:szCs w:val="22"/>
        </w:rPr>
        <w:t>his</w:t>
      </w:r>
      <w:r w:rsidR="00F65EB8" w:rsidRPr="004B0BC2">
        <w:rPr>
          <w:rFonts w:cstheme="minorHAnsi"/>
          <w:sz w:val="22"/>
          <w:szCs w:val="22"/>
        </w:rPr>
        <w:t xml:space="preserve"> disparity</w:t>
      </w:r>
      <w:r w:rsidR="00B55720" w:rsidRPr="004B0BC2">
        <w:rPr>
          <w:rFonts w:cstheme="minorHAnsi"/>
          <w:sz w:val="22"/>
          <w:szCs w:val="22"/>
        </w:rPr>
        <w:t xml:space="preserve"> is likely </w:t>
      </w:r>
      <w:r w:rsidR="00560663" w:rsidRPr="004B0BC2">
        <w:rPr>
          <w:rFonts w:cstheme="minorHAnsi"/>
          <w:sz w:val="22"/>
          <w:szCs w:val="22"/>
        </w:rPr>
        <w:t xml:space="preserve">to be </w:t>
      </w:r>
      <w:r w:rsidR="00B55720" w:rsidRPr="004B0BC2">
        <w:rPr>
          <w:rFonts w:cstheme="minorHAnsi"/>
          <w:sz w:val="22"/>
          <w:szCs w:val="22"/>
        </w:rPr>
        <w:t xml:space="preserve">a </w:t>
      </w:r>
      <w:r w:rsidR="00560F52" w:rsidRPr="004B0BC2">
        <w:rPr>
          <w:rFonts w:cstheme="minorHAnsi"/>
          <w:sz w:val="22"/>
          <w:szCs w:val="22"/>
        </w:rPr>
        <w:t>consequence</w:t>
      </w:r>
      <w:r w:rsidR="00B55720" w:rsidRPr="004B0BC2">
        <w:rPr>
          <w:rFonts w:cstheme="minorHAnsi"/>
          <w:sz w:val="22"/>
          <w:szCs w:val="22"/>
        </w:rPr>
        <w:t xml:space="preserve"> of</w:t>
      </w:r>
      <w:r w:rsidR="00560F52" w:rsidRPr="004B0BC2">
        <w:rPr>
          <w:rFonts w:cstheme="minorHAnsi"/>
          <w:sz w:val="22"/>
          <w:szCs w:val="22"/>
        </w:rPr>
        <w:t xml:space="preserve"> </w:t>
      </w:r>
      <w:r w:rsidR="00560663" w:rsidRPr="004B0BC2">
        <w:rPr>
          <w:rFonts w:cstheme="minorHAnsi"/>
          <w:sz w:val="22"/>
          <w:szCs w:val="22"/>
        </w:rPr>
        <w:t xml:space="preserve">a </w:t>
      </w:r>
      <w:r w:rsidR="00560F52" w:rsidRPr="004B0BC2">
        <w:rPr>
          <w:rFonts w:cstheme="minorHAnsi"/>
          <w:sz w:val="22"/>
          <w:szCs w:val="22"/>
        </w:rPr>
        <w:t xml:space="preserve">failure </w:t>
      </w:r>
      <w:r w:rsidR="00B55720" w:rsidRPr="004B0BC2">
        <w:rPr>
          <w:rFonts w:cstheme="minorHAnsi"/>
          <w:sz w:val="22"/>
          <w:szCs w:val="22"/>
        </w:rPr>
        <w:t>to invest in men’s health</w:t>
      </w:r>
      <w:r w:rsidR="00A24B0E" w:rsidRPr="004B0BC2">
        <w:rPr>
          <w:rFonts w:cstheme="minorHAnsi"/>
          <w:sz w:val="22"/>
          <w:szCs w:val="22"/>
        </w:rPr>
        <w:t>,</w:t>
      </w:r>
      <w:r w:rsidR="006B35BC" w:rsidRPr="004B0BC2">
        <w:rPr>
          <w:rFonts w:cstheme="minorHAnsi"/>
          <w:sz w:val="22"/>
          <w:szCs w:val="22"/>
        </w:rPr>
        <w:t xml:space="preserve"> a</w:t>
      </w:r>
      <w:r w:rsidR="00A24B0E" w:rsidRPr="004B0BC2">
        <w:rPr>
          <w:rFonts w:cstheme="minorHAnsi"/>
          <w:sz w:val="22"/>
          <w:szCs w:val="22"/>
        </w:rPr>
        <w:t>s</w:t>
      </w:r>
      <w:r w:rsidR="00B55720" w:rsidRPr="004B0BC2">
        <w:rPr>
          <w:rFonts w:cstheme="minorHAnsi"/>
          <w:sz w:val="22"/>
          <w:szCs w:val="22"/>
        </w:rPr>
        <w:t xml:space="preserve"> it </w:t>
      </w:r>
      <w:r w:rsidR="00560663" w:rsidRPr="004B0BC2">
        <w:rPr>
          <w:rFonts w:cstheme="minorHAnsi"/>
          <w:sz w:val="22"/>
          <w:szCs w:val="22"/>
        </w:rPr>
        <w:t>has</w:t>
      </w:r>
      <w:r w:rsidR="006B35BC" w:rsidRPr="004B0BC2">
        <w:rPr>
          <w:rFonts w:cstheme="minorHAnsi"/>
          <w:sz w:val="22"/>
          <w:szCs w:val="22"/>
        </w:rPr>
        <w:t xml:space="preserve"> also</w:t>
      </w:r>
      <w:r w:rsidR="00560663" w:rsidRPr="004B0BC2">
        <w:rPr>
          <w:rFonts w:cstheme="minorHAnsi"/>
          <w:sz w:val="22"/>
          <w:szCs w:val="22"/>
        </w:rPr>
        <w:t xml:space="preserve"> been</w:t>
      </w:r>
      <w:r w:rsidR="00A24B0E" w:rsidRPr="004B0BC2">
        <w:rPr>
          <w:rFonts w:cstheme="minorHAnsi"/>
          <w:sz w:val="22"/>
          <w:szCs w:val="22"/>
        </w:rPr>
        <w:t xml:space="preserve"> </w:t>
      </w:r>
      <w:r w:rsidR="009B219B" w:rsidRPr="004B0BC2">
        <w:rPr>
          <w:rFonts w:cstheme="minorHAnsi"/>
          <w:sz w:val="22"/>
          <w:szCs w:val="22"/>
        </w:rPr>
        <w:t>established</w:t>
      </w:r>
      <w:r w:rsidR="00B55720" w:rsidRPr="004B0BC2">
        <w:rPr>
          <w:rFonts w:cstheme="minorHAnsi"/>
          <w:sz w:val="22"/>
          <w:szCs w:val="22"/>
        </w:rPr>
        <w:t xml:space="preserve"> that men have a lower life expectancy and poorer </w:t>
      </w:r>
      <w:r w:rsidR="009860AE">
        <w:rPr>
          <w:rFonts w:cstheme="minorHAnsi"/>
          <w:sz w:val="22"/>
          <w:szCs w:val="22"/>
        </w:rPr>
        <w:t>outcomes</w:t>
      </w:r>
      <w:r w:rsidR="006B35BC" w:rsidRPr="004B0BC2">
        <w:rPr>
          <w:rFonts w:cstheme="minorHAnsi"/>
          <w:sz w:val="22"/>
          <w:szCs w:val="22"/>
        </w:rPr>
        <w:t xml:space="preserve"> from</w:t>
      </w:r>
      <w:r w:rsidR="00B55720" w:rsidRPr="004B0BC2">
        <w:rPr>
          <w:rFonts w:cstheme="minorHAnsi"/>
          <w:sz w:val="22"/>
          <w:szCs w:val="22"/>
        </w:rPr>
        <w:t xml:space="preserve"> non</w:t>
      </w:r>
      <w:r w:rsidR="006B35BC" w:rsidRPr="004B0BC2">
        <w:rPr>
          <w:rFonts w:cstheme="minorHAnsi"/>
          <w:sz w:val="22"/>
          <w:szCs w:val="22"/>
        </w:rPr>
        <w:t>-</w:t>
      </w:r>
      <w:r w:rsidR="00B55720" w:rsidRPr="004B0BC2">
        <w:rPr>
          <w:rFonts w:cstheme="minorHAnsi"/>
          <w:sz w:val="22"/>
          <w:szCs w:val="22"/>
        </w:rPr>
        <w:t>communicable diseases</w:t>
      </w:r>
      <w:r w:rsidR="009860AE">
        <w:rPr>
          <w:rFonts w:cstheme="minorHAnsi"/>
          <w:sz w:val="22"/>
          <w:szCs w:val="22"/>
        </w:rPr>
        <w:t xml:space="preserve"> </w:t>
      </w:r>
      <w:r w:rsidR="00284198" w:rsidRPr="004B0BC2">
        <w:rPr>
          <w:rFonts w:cstheme="minorHAnsi"/>
          <w:sz w:val="22"/>
          <w:szCs w:val="22"/>
        </w:rPr>
        <w:t>than women</w:t>
      </w:r>
      <w:r w:rsidR="00B55720" w:rsidRPr="004B0BC2">
        <w:rPr>
          <w:rFonts w:cstheme="minorHAnsi"/>
          <w:sz w:val="22"/>
          <w:szCs w:val="22"/>
        </w:rPr>
        <w:t xml:space="preserve">. </w:t>
      </w:r>
      <w:r w:rsidR="00F65EB8" w:rsidRPr="004B0BC2">
        <w:rPr>
          <w:rFonts w:cstheme="minorHAnsi"/>
          <w:sz w:val="22"/>
          <w:szCs w:val="22"/>
        </w:rPr>
        <w:t>A variety of</w:t>
      </w:r>
      <w:r w:rsidR="00B55720" w:rsidRPr="004B0BC2">
        <w:rPr>
          <w:rFonts w:cstheme="minorHAnsi"/>
          <w:sz w:val="22"/>
          <w:szCs w:val="22"/>
        </w:rPr>
        <w:t xml:space="preserve"> biological, social and economi</w:t>
      </w:r>
      <w:r w:rsidR="009B219B" w:rsidRPr="004B0BC2">
        <w:rPr>
          <w:rFonts w:cstheme="minorHAnsi"/>
          <w:sz w:val="22"/>
          <w:szCs w:val="22"/>
        </w:rPr>
        <w:t>c</w:t>
      </w:r>
      <w:r w:rsidR="00B55720" w:rsidRPr="004B0BC2">
        <w:rPr>
          <w:rFonts w:cstheme="minorHAnsi"/>
          <w:sz w:val="22"/>
          <w:szCs w:val="22"/>
        </w:rPr>
        <w:t xml:space="preserve"> factors </w:t>
      </w:r>
      <w:r w:rsidR="00E757BB" w:rsidRPr="004B0BC2">
        <w:rPr>
          <w:rFonts w:cstheme="minorHAnsi"/>
          <w:sz w:val="22"/>
          <w:szCs w:val="22"/>
        </w:rPr>
        <w:t xml:space="preserve">have </w:t>
      </w:r>
      <w:r w:rsidR="00F65EB8" w:rsidRPr="004B0BC2">
        <w:rPr>
          <w:rFonts w:cstheme="minorHAnsi"/>
          <w:sz w:val="22"/>
          <w:szCs w:val="22"/>
        </w:rPr>
        <w:t>contribute</w:t>
      </w:r>
      <w:r w:rsidR="00E757BB" w:rsidRPr="004B0BC2">
        <w:rPr>
          <w:rFonts w:cstheme="minorHAnsi"/>
          <w:sz w:val="22"/>
          <w:szCs w:val="22"/>
        </w:rPr>
        <w:t>d</w:t>
      </w:r>
      <w:r w:rsidR="00F65EB8" w:rsidRPr="004B0BC2">
        <w:rPr>
          <w:rFonts w:cstheme="minorHAnsi"/>
          <w:sz w:val="22"/>
          <w:szCs w:val="22"/>
        </w:rPr>
        <w:t xml:space="preserve"> </w:t>
      </w:r>
      <w:r w:rsidR="00B55720" w:rsidRPr="004B0BC2">
        <w:rPr>
          <w:rFonts w:cstheme="minorHAnsi"/>
          <w:sz w:val="22"/>
          <w:szCs w:val="22"/>
        </w:rPr>
        <w:t xml:space="preserve">to </w:t>
      </w:r>
      <w:r w:rsidR="00E757BB" w:rsidRPr="004B0BC2">
        <w:rPr>
          <w:rFonts w:cstheme="minorHAnsi"/>
          <w:sz w:val="22"/>
          <w:szCs w:val="22"/>
        </w:rPr>
        <w:t xml:space="preserve">the </w:t>
      </w:r>
      <w:r w:rsidR="009860AE">
        <w:rPr>
          <w:rFonts w:cstheme="minorHAnsi"/>
          <w:sz w:val="22"/>
          <w:szCs w:val="22"/>
        </w:rPr>
        <w:t xml:space="preserve">sex </w:t>
      </w:r>
      <w:r w:rsidR="00A00F69" w:rsidRPr="004B0BC2">
        <w:rPr>
          <w:rFonts w:cstheme="minorHAnsi"/>
          <w:sz w:val="22"/>
          <w:szCs w:val="22"/>
        </w:rPr>
        <w:t>dispa</w:t>
      </w:r>
      <w:r w:rsidR="009860AE">
        <w:rPr>
          <w:rFonts w:cstheme="minorHAnsi"/>
          <w:sz w:val="22"/>
          <w:szCs w:val="22"/>
        </w:rPr>
        <w:t>rit</w:t>
      </w:r>
      <w:r w:rsidR="00A00F69" w:rsidRPr="004B0BC2">
        <w:rPr>
          <w:rFonts w:cstheme="minorHAnsi"/>
          <w:sz w:val="22"/>
          <w:szCs w:val="22"/>
        </w:rPr>
        <w:t>ies</w:t>
      </w:r>
      <w:r w:rsidR="006B35BC" w:rsidRPr="004B0BC2">
        <w:rPr>
          <w:rFonts w:cstheme="minorHAnsi"/>
          <w:sz w:val="22"/>
          <w:szCs w:val="22"/>
        </w:rPr>
        <w:t xml:space="preserve"> in</w:t>
      </w:r>
      <w:r w:rsidR="00B55720" w:rsidRPr="004B0BC2">
        <w:rPr>
          <w:rFonts w:cstheme="minorHAnsi"/>
          <w:sz w:val="22"/>
          <w:szCs w:val="22"/>
        </w:rPr>
        <w:t xml:space="preserve"> mortality from COVID-19</w:t>
      </w:r>
      <w:r w:rsidR="00F65EB8" w:rsidRPr="004B0BC2">
        <w:rPr>
          <w:rFonts w:cstheme="minorHAnsi"/>
          <w:sz w:val="22"/>
          <w:szCs w:val="22"/>
        </w:rPr>
        <w:t>. A</w:t>
      </w:r>
      <w:r w:rsidR="00B55720" w:rsidRPr="004B0BC2">
        <w:rPr>
          <w:rFonts w:cstheme="minorHAnsi"/>
          <w:sz w:val="22"/>
          <w:szCs w:val="22"/>
        </w:rPr>
        <w:t xml:space="preserve"> streamlined men’s health programme</w:t>
      </w:r>
      <w:r w:rsidR="00F65EB8" w:rsidRPr="004B0BC2">
        <w:rPr>
          <w:rFonts w:cstheme="minorHAnsi"/>
          <w:sz w:val="22"/>
          <w:szCs w:val="22"/>
        </w:rPr>
        <w:t xml:space="preserve"> —</w:t>
      </w:r>
      <w:r w:rsidR="00B55720" w:rsidRPr="004B0BC2">
        <w:rPr>
          <w:rFonts w:cstheme="minorHAnsi"/>
          <w:sz w:val="22"/>
          <w:szCs w:val="22"/>
        </w:rPr>
        <w:t xml:space="preserve"> </w:t>
      </w:r>
      <w:r w:rsidR="00F65EB8" w:rsidRPr="004B0BC2">
        <w:rPr>
          <w:rFonts w:cstheme="minorHAnsi"/>
          <w:sz w:val="22"/>
          <w:szCs w:val="22"/>
        </w:rPr>
        <w:t xml:space="preserve">with the </w:t>
      </w:r>
      <w:r w:rsidR="00B77F9F">
        <w:rPr>
          <w:rFonts w:cstheme="minorHAnsi"/>
          <w:sz w:val="22"/>
          <w:szCs w:val="22"/>
        </w:rPr>
        <w:t>u</w:t>
      </w:r>
      <w:r w:rsidR="00F65EB8" w:rsidRPr="004B0BC2">
        <w:rPr>
          <w:rFonts w:cstheme="minorHAnsi"/>
          <w:sz w:val="22"/>
          <w:szCs w:val="22"/>
        </w:rPr>
        <w:t xml:space="preserve">rologist as the gatekeeper of men’s health — is needed </w:t>
      </w:r>
      <w:r w:rsidR="00B55720" w:rsidRPr="004B0BC2">
        <w:rPr>
          <w:rFonts w:cstheme="minorHAnsi"/>
          <w:sz w:val="22"/>
          <w:szCs w:val="22"/>
        </w:rPr>
        <w:t>to</w:t>
      </w:r>
      <w:r w:rsidR="00284198" w:rsidRPr="004B0BC2">
        <w:rPr>
          <w:rFonts w:cstheme="minorHAnsi"/>
          <w:sz w:val="22"/>
          <w:szCs w:val="22"/>
        </w:rPr>
        <w:t xml:space="preserve"> help</w:t>
      </w:r>
      <w:r w:rsidR="00B55720" w:rsidRPr="004B0BC2">
        <w:rPr>
          <w:rFonts w:cstheme="minorHAnsi"/>
          <w:sz w:val="22"/>
          <w:szCs w:val="22"/>
        </w:rPr>
        <w:t xml:space="preserve"> prevent future tragedies of this nature.</w:t>
      </w:r>
      <w:r w:rsidR="00F65EB8" w:rsidRPr="004B0BC2">
        <w:rPr>
          <w:rFonts w:cstheme="minorHAnsi"/>
          <w:sz w:val="22"/>
          <w:szCs w:val="22"/>
        </w:rPr>
        <w:t xml:space="preserve"> </w:t>
      </w:r>
    </w:p>
    <w:p w14:paraId="2B4F19B0" w14:textId="03DC1AD7" w:rsidR="009A2753" w:rsidRPr="004B0BC2" w:rsidRDefault="009A2753" w:rsidP="00B66369">
      <w:pPr>
        <w:pStyle w:val="NoSpacing"/>
        <w:spacing w:line="480" w:lineRule="auto"/>
        <w:rPr>
          <w:rFonts w:cstheme="minorHAnsi"/>
          <w:sz w:val="22"/>
          <w:szCs w:val="22"/>
        </w:rPr>
      </w:pPr>
    </w:p>
    <w:p w14:paraId="050F9F5C" w14:textId="4DA00A93" w:rsidR="00B64EEE" w:rsidRPr="00CF6A74" w:rsidRDefault="00B77F9F" w:rsidP="00B64EEE">
      <w:pPr>
        <w:outlineLvl w:val="0"/>
        <w:rPr>
          <w:rFonts w:asciiTheme="minorHAnsi" w:hAnsiTheme="minorHAnsi" w:cstheme="minorHAnsi"/>
          <w:b/>
          <w:bCs/>
          <w:color w:val="0000FF"/>
          <w:sz w:val="22"/>
          <w:szCs w:val="22"/>
        </w:rPr>
      </w:pPr>
      <w:r w:rsidRPr="00B64EEE">
        <w:rPr>
          <w:rFonts w:cstheme="minorHAnsi"/>
          <w:sz w:val="22"/>
          <w:szCs w:val="22"/>
        </w:rPr>
        <w:t>[H1]</w:t>
      </w:r>
      <w:r w:rsidR="00F24B26" w:rsidRPr="00500FBD">
        <w:rPr>
          <w:rFonts w:asciiTheme="minorHAnsi" w:hAnsiTheme="minorHAnsi" w:cstheme="minorHAnsi"/>
          <w:b/>
          <w:bCs/>
          <w:sz w:val="22"/>
          <w:szCs w:val="22"/>
          <w:u w:val="single"/>
        </w:rPr>
        <w:t>Introduction</w:t>
      </w:r>
      <w:r w:rsidR="00B64EEE">
        <w:rPr>
          <w:rFonts w:cstheme="minorHAnsi"/>
          <w:b/>
          <w:bCs/>
          <w:sz w:val="22"/>
          <w:szCs w:val="22"/>
          <w:u w:val="single"/>
        </w:rPr>
        <w:t xml:space="preserve"> </w:t>
      </w:r>
    </w:p>
    <w:p w14:paraId="6F3D913E" w14:textId="4A8FADE9" w:rsidR="00F24B26" w:rsidRPr="004B0BC2" w:rsidRDefault="00F24B26" w:rsidP="00B66369">
      <w:pPr>
        <w:pStyle w:val="NoSpacing"/>
        <w:spacing w:line="480" w:lineRule="auto"/>
        <w:rPr>
          <w:rFonts w:cstheme="minorHAnsi"/>
          <w:b/>
          <w:bCs/>
          <w:sz w:val="22"/>
          <w:szCs w:val="22"/>
          <w:u w:val="single"/>
        </w:rPr>
      </w:pPr>
    </w:p>
    <w:p w14:paraId="396B6760" w14:textId="7DF0F19D" w:rsidR="000209F2" w:rsidRPr="004B0BC2" w:rsidRDefault="00F24B26" w:rsidP="00B66369">
      <w:pPr>
        <w:pStyle w:val="NoSpacing"/>
        <w:spacing w:line="480" w:lineRule="auto"/>
        <w:rPr>
          <w:rFonts w:cstheme="minorHAnsi"/>
          <w:sz w:val="22"/>
          <w:szCs w:val="22"/>
        </w:rPr>
      </w:pPr>
      <w:r w:rsidRPr="004B0BC2">
        <w:rPr>
          <w:rFonts w:cstheme="minorHAnsi"/>
          <w:sz w:val="22"/>
          <w:szCs w:val="22"/>
        </w:rPr>
        <w:t>In December 2019, a novel coronavirus (</w:t>
      </w:r>
      <w:r w:rsidR="009860AE">
        <w:rPr>
          <w:rFonts w:cstheme="minorHAnsi"/>
          <w:sz w:val="22"/>
          <w:szCs w:val="22"/>
        </w:rPr>
        <w:t xml:space="preserve">subsequently termed </w:t>
      </w:r>
      <w:r w:rsidR="006A2BF3" w:rsidRPr="004B0BC2">
        <w:rPr>
          <w:rFonts w:cstheme="minorHAnsi"/>
          <w:sz w:val="22"/>
          <w:szCs w:val="22"/>
        </w:rPr>
        <w:t>SARS-CoV-2</w:t>
      </w:r>
      <w:r w:rsidRPr="004B0BC2">
        <w:rPr>
          <w:rFonts w:cstheme="minorHAnsi"/>
          <w:sz w:val="22"/>
          <w:szCs w:val="22"/>
        </w:rPr>
        <w:t>) was first reported</w:t>
      </w:r>
      <w:r w:rsidR="00AC547C" w:rsidRPr="004B0BC2">
        <w:rPr>
          <w:rFonts w:cstheme="minorHAnsi"/>
          <w:sz w:val="22"/>
          <w:szCs w:val="22"/>
        </w:rPr>
        <w:t xml:space="preserve"> in China</w:t>
      </w:r>
      <w:r w:rsidR="009860AE">
        <w:rPr>
          <w:rFonts w:cstheme="minorHAnsi"/>
          <w:sz w:val="22"/>
          <w:szCs w:val="22"/>
        </w:rPr>
        <w:t>; the resulting disease was coined COVID-19</w:t>
      </w:r>
      <w:r w:rsidR="00795B2A" w:rsidRPr="004B0BC2">
        <w:rPr>
          <w:rFonts w:cstheme="minorHAnsi"/>
          <w:sz w:val="22"/>
          <w:szCs w:val="22"/>
        </w:rPr>
        <w:fldChar w:fldCharType="begin" w:fldLock="1"/>
      </w:r>
      <w:r w:rsidR="00795B2A" w:rsidRPr="004B0BC2">
        <w:rPr>
          <w:rFonts w:cstheme="minorHAnsi"/>
          <w:sz w:val="22"/>
          <w:szCs w:val="22"/>
        </w:rPr>
        <w:instrText>ADDIN CSL_CITATION {"citationItems":[{"id":"ITEM-1","itemData":{"DOI":"10.1016/S0140-6736(20)30251-8","ISSN":"1474547X","PMID":"32007145","abstract":"Background: 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 Methods: 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 Findings: 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 Interpretation: 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author":[{"dropping-particle":"","family":"Lu","given":"Roujian","non-dropping-particle":"","parse-names":false,"suffix":""},{"dropping-particle":"","family":"Zhao","given":"Xiang","non-dropping-particle":"","parse-names":false,"suffix":""},{"dropping-particle":"","family":"Li","given":"Juan","non-dropping-particle":"","parse-names":false,"suffix":""},{"dropping-particle":"","family":"Niu","given":"Peihua","non-dropping-particle":"","parse-names":false,"suffix":""},{"dropping-particle":"","family":"Yang","given":"Bo","non-dropping-particle":"","parse-names":false,"suffix":""},{"dropping-particle":"","family":"Wu","given":"Honglong","non-dropping-particle":"","parse-names":false,"suffix":""},{"dropping-particle":"","family":"Wang","given":"Wenling","non-dropping-particle":"","parse-names":false,"suffix":""},{"dropping-particle":"","family":"Song","given":"Hao","non-dropping-particle":"","parse-names":false,"suffix":""},{"dropping-particle":"","family":"Huang","given":"Baoying","non-dropping-particle":"","parse-names":false,"suffix":""},{"dropping-particle":"","family":"Zhu","given":"Na","non-dropping-particle":"","parse-names":false,"suffix":""},{"dropping-particle":"","family":"Bi","given":"Yuhai","non-dropping-particle":"","parse-names":false,"suffix":""},{"dropping-particle":"","family":"Ma","given":"Xuejun","non-dropping-particle":"","parse-names":false,"suffix":""},{"dropping-particle":"","family":"Zhan","given":"Faxian","non-dropping-particle":"","parse-names":false,"suffix":""},{"dropping-particle":"","family":"Wang","given":"Liang","non-dropping-particle":"","parse-names":false,"suffix":""},{"dropping-particle":"","family":"Hu","given":"Tao","non-dropping-particle":"","parse-names":false,"suffix":""},{"dropping-particle":"","family":"Zhou","given":"Hong","non-dropping-particle":"","parse-names":false,"suffix":""},{"dropping-particle":"","family":"Hu","given":"Zhenhong","non-dropping-particle":"","parse-names":false,"suffix":""},{"dropping-particle":"","family":"Zhou","given":"Weimin","non-dropping-particle":"","parse-names":false,"suffix":""},{"dropping-particle":"","family":"Zhao","given":"Li","non-dropping-particle":"","parse-names":false,"suffix":""},{"dropping-particle":"","family":"Chen","given":"Jing","non-dropping-particle":"","parse-names":false,"suffix":""},{"dropping-particle":"","family":"Meng","given":"Yao","non-dropping-particle":"","parse-names":false,"suffix":""},{"dropping-particle":"","family":"Wang","given":"Ji","non-dropping-particle":"","parse-names":false,"suffix":""},{"dropping-particle":"","family":"Lin","given":"Yang","non-dropping-particle":"","parse-names":false,"suffix":""},{"dropping-particle":"","family":"Yuan","given":"Jianying","non-dropping-particle":"","parse-names":false,"suffix":""},{"dropping-particle":"","family":"Xie","given":"Zhihao","non-dropping-particle":"","parse-names":false,"suffix":""},{"dropping-particle":"","family":"Ma","given":"Jinmin","non-dropping-particle":"","parse-names":false,"suffix":""},{"dropping-particle":"","family":"Liu","given":"William J.","non-dropping-particle":"","parse-names":false,"suffix":""},{"dropping-particle":"","family":"Wang","given":"Dayan","non-dropping-particle":"","parse-names":false,"suffix":""},{"dropping-particle":"","family":"Xu","given":"Wenbo","non-dropping-particle":"","parse-names":false,"suffix":""},{"dropping-particle":"","family":"Holmes","given":"Edward C.","non-dropping-particle":"","parse-names":false,"suffix":""},{"dropping-particle":"","family":"Gao","given":"George F.","non-dropping-particle":"","parse-names":false,"suffix":""},{"dropping-particle":"","family":"Wu","given":"Guizhen","non-dropping-particle":"","parse-names":false,"suffix":""},{"dropping-particle":"","family":"Chen","given":"Weijun","non-dropping-particle":"","parse-names":false,"suffix":""},{"dropping-particle":"","family":"Shi","given":"Weifeng","non-dropping-particle":"","parse-names":false,"suffix":""},{"dropping-particle":"","family":"Tan","given":"Wenjie","non-dropping-particle":"","parse-names":false,"suffix":""}],"container-title":"The Lancet","id":"ITEM-1","issue":"10224","issued":{"date-parts":[["2020","2","22"]]},"page":"565-574","publisher":"Lancet Publishing Group","title":"Genomic characterisation and epidemiology of 2019 novel coronavirus: implications for virus origins and receptor binding","type":"article-journal","volume":"395"},"uris":["http://www.mendeley.com/documents/?uuid=cdc3fa86-34dc-3055-92ef-05fe5a47ed79"]}],"mendeley":{"formattedCitation":"(1)","plainTextFormattedCitation":"(1)","previouslyFormattedCitation":"(1)"},"properties":{"noteIndex":0},"schema":"https://github.com/citation-style-language/schema/raw/master/csl-citation.json"}</w:instrText>
      </w:r>
      <w:r w:rsidR="00795B2A" w:rsidRPr="004B0BC2">
        <w:rPr>
          <w:rFonts w:cstheme="minorHAnsi"/>
          <w:sz w:val="22"/>
          <w:szCs w:val="22"/>
        </w:rPr>
        <w:fldChar w:fldCharType="separate"/>
      </w:r>
      <w:r w:rsidR="00795B2A" w:rsidRPr="004B0BC2">
        <w:rPr>
          <w:rFonts w:cstheme="minorHAnsi"/>
          <w:noProof/>
          <w:sz w:val="22"/>
          <w:szCs w:val="22"/>
        </w:rPr>
        <w:t>(1)</w:t>
      </w:r>
      <w:r w:rsidR="00795B2A" w:rsidRPr="004B0BC2">
        <w:rPr>
          <w:rFonts w:cstheme="minorHAnsi"/>
          <w:sz w:val="22"/>
          <w:szCs w:val="22"/>
        </w:rPr>
        <w:fldChar w:fldCharType="end"/>
      </w:r>
      <w:r w:rsidRPr="004B0BC2">
        <w:rPr>
          <w:rFonts w:cstheme="minorHAnsi"/>
          <w:sz w:val="22"/>
          <w:szCs w:val="22"/>
        </w:rPr>
        <w:t>. This virus has subsequently spread globally</w:t>
      </w:r>
      <w:r w:rsidR="00B64EEE">
        <w:rPr>
          <w:rFonts w:cstheme="minorHAnsi"/>
          <w:sz w:val="22"/>
          <w:szCs w:val="22"/>
        </w:rPr>
        <w:t>,</w:t>
      </w:r>
      <w:r w:rsidRPr="004B0BC2">
        <w:rPr>
          <w:rFonts w:cstheme="minorHAnsi"/>
          <w:sz w:val="22"/>
          <w:szCs w:val="22"/>
        </w:rPr>
        <w:t xml:space="preserve"> causing a pandemic </w:t>
      </w:r>
      <w:r w:rsidR="00B64EEE">
        <w:rPr>
          <w:rFonts w:cstheme="minorHAnsi"/>
          <w:sz w:val="22"/>
          <w:szCs w:val="22"/>
        </w:rPr>
        <w:t>that has had</w:t>
      </w:r>
      <w:r w:rsidR="00B64EEE" w:rsidRPr="004B0BC2">
        <w:rPr>
          <w:rFonts w:cstheme="minorHAnsi"/>
          <w:sz w:val="22"/>
          <w:szCs w:val="22"/>
        </w:rPr>
        <w:t xml:space="preserve"> </w:t>
      </w:r>
      <w:r w:rsidR="00AC547C" w:rsidRPr="004B0BC2">
        <w:rPr>
          <w:rFonts w:cstheme="minorHAnsi"/>
          <w:sz w:val="22"/>
          <w:szCs w:val="22"/>
        </w:rPr>
        <w:t>a</w:t>
      </w:r>
      <w:r w:rsidR="00DF702C" w:rsidRPr="004B0BC2">
        <w:rPr>
          <w:rFonts w:cstheme="minorHAnsi"/>
          <w:sz w:val="22"/>
          <w:szCs w:val="22"/>
        </w:rPr>
        <w:t xml:space="preserve"> catastrophic</w:t>
      </w:r>
      <w:r w:rsidR="00AC547C" w:rsidRPr="004B0BC2">
        <w:rPr>
          <w:rFonts w:cstheme="minorHAnsi"/>
          <w:sz w:val="22"/>
          <w:szCs w:val="22"/>
        </w:rPr>
        <w:t xml:space="preserve"> </w:t>
      </w:r>
      <w:r w:rsidR="00B64EEE">
        <w:rPr>
          <w:rFonts w:cstheme="minorHAnsi"/>
          <w:sz w:val="22"/>
          <w:szCs w:val="22"/>
        </w:rPr>
        <w:t>effe</w:t>
      </w:r>
      <w:r w:rsidR="00B64EEE" w:rsidRPr="004B0BC2">
        <w:rPr>
          <w:rFonts w:cstheme="minorHAnsi"/>
          <w:sz w:val="22"/>
          <w:szCs w:val="22"/>
        </w:rPr>
        <w:t xml:space="preserve">ct </w:t>
      </w:r>
      <w:r w:rsidR="00AC547C" w:rsidRPr="004B0BC2">
        <w:rPr>
          <w:rFonts w:cstheme="minorHAnsi"/>
          <w:sz w:val="22"/>
          <w:szCs w:val="22"/>
        </w:rPr>
        <w:t>on society, health</w:t>
      </w:r>
      <w:r w:rsidR="00B64EEE">
        <w:rPr>
          <w:rFonts w:cstheme="minorHAnsi"/>
          <w:sz w:val="22"/>
          <w:szCs w:val="22"/>
        </w:rPr>
        <w:t>-</w:t>
      </w:r>
      <w:r w:rsidR="00AC547C" w:rsidRPr="004B0BC2">
        <w:rPr>
          <w:rFonts w:cstheme="minorHAnsi"/>
          <w:sz w:val="22"/>
          <w:szCs w:val="22"/>
        </w:rPr>
        <w:t>care systems and</w:t>
      </w:r>
      <w:r w:rsidR="00284198" w:rsidRPr="004B0BC2">
        <w:rPr>
          <w:rFonts w:cstheme="minorHAnsi"/>
          <w:sz w:val="22"/>
          <w:szCs w:val="22"/>
        </w:rPr>
        <w:t xml:space="preserve"> the</w:t>
      </w:r>
      <w:r w:rsidR="00AC547C" w:rsidRPr="004B0BC2">
        <w:rPr>
          <w:rFonts w:cstheme="minorHAnsi"/>
          <w:sz w:val="22"/>
          <w:szCs w:val="22"/>
        </w:rPr>
        <w:t xml:space="preserve"> economy.</w:t>
      </w:r>
      <w:r w:rsidR="00FC1B97" w:rsidRPr="004B0BC2">
        <w:rPr>
          <w:rFonts w:cstheme="minorHAnsi"/>
          <w:sz w:val="22"/>
          <w:szCs w:val="22"/>
        </w:rPr>
        <w:t xml:space="preserve"> </w:t>
      </w:r>
      <w:r w:rsidR="00B64EEE">
        <w:rPr>
          <w:rFonts w:cstheme="minorHAnsi"/>
          <w:sz w:val="22"/>
          <w:szCs w:val="22"/>
        </w:rPr>
        <w:t>C</w:t>
      </w:r>
      <w:r w:rsidR="008569E0" w:rsidRPr="004B0BC2">
        <w:rPr>
          <w:rFonts w:cstheme="minorHAnsi"/>
          <w:sz w:val="22"/>
          <w:szCs w:val="22"/>
        </w:rPr>
        <w:t>onsiderable</w:t>
      </w:r>
      <w:r w:rsidR="008A2CCC" w:rsidRPr="004B0BC2">
        <w:rPr>
          <w:rFonts w:cstheme="minorHAnsi"/>
          <w:sz w:val="22"/>
          <w:szCs w:val="22"/>
        </w:rPr>
        <w:t xml:space="preserve"> </w:t>
      </w:r>
      <w:r w:rsidR="00DF702C" w:rsidRPr="004B0BC2">
        <w:rPr>
          <w:rFonts w:cstheme="minorHAnsi"/>
          <w:sz w:val="22"/>
          <w:szCs w:val="22"/>
        </w:rPr>
        <w:t xml:space="preserve">media and public </w:t>
      </w:r>
      <w:r w:rsidR="008A2CCC" w:rsidRPr="004B0BC2">
        <w:rPr>
          <w:rFonts w:cstheme="minorHAnsi"/>
          <w:sz w:val="22"/>
          <w:szCs w:val="22"/>
        </w:rPr>
        <w:t xml:space="preserve">interest </w:t>
      </w:r>
      <w:r w:rsidR="00B64EEE">
        <w:rPr>
          <w:rFonts w:cstheme="minorHAnsi"/>
          <w:sz w:val="22"/>
          <w:szCs w:val="22"/>
        </w:rPr>
        <w:t>has focussed o</w:t>
      </w:r>
      <w:r w:rsidR="008A2CCC" w:rsidRPr="004B0BC2">
        <w:rPr>
          <w:rFonts w:cstheme="minorHAnsi"/>
          <w:sz w:val="22"/>
          <w:szCs w:val="22"/>
        </w:rPr>
        <w:t>n the</w:t>
      </w:r>
      <w:r w:rsidR="00A354CC" w:rsidRPr="004B0BC2">
        <w:rPr>
          <w:rFonts w:cstheme="minorHAnsi"/>
          <w:sz w:val="22"/>
          <w:szCs w:val="22"/>
        </w:rPr>
        <w:t xml:space="preserve"> disproportionately high</w:t>
      </w:r>
      <w:r w:rsidR="008F0032" w:rsidRPr="004B0BC2">
        <w:rPr>
          <w:rFonts w:cstheme="minorHAnsi"/>
          <w:sz w:val="22"/>
          <w:szCs w:val="22"/>
        </w:rPr>
        <w:t xml:space="preserve"> </w:t>
      </w:r>
      <w:r w:rsidR="00F65EB8" w:rsidRPr="004B0BC2">
        <w:rPr>
          <w:rFonts w:cstheme="minorHAnsi"/>
          <w:sz w:val="22"/>
          <w:szCs w:val="22"/>
        </w:rPr>
        <w:t>mortality</w:t>
      </w:r>
      <w:r w:rsidR="00A354CC" w:rsidRPr="004B0BC2">
        <w:rPr>
          <w:rFonts w:cstheme="minorHAnsi"/>
          <w:sz w:val="22"/>
          <w:szCs w:val="22"/>
        </w:rPr>
        <w:t xml:space="preserve"> from </w:t>
      </w:r>
      <w:r w:rsidR="008A2CCC" w:rsidRPr="004B0BC2">
        <w:rPr>
          <w:rFonts w:cstheme="minorHAnsi"/>
          <w:sz w:val="22"/>
          <w:szCs w:val="22"/>
        </w:rPr>
        <w:t>COVID-19</w:t>
      </w:r>
      <w:r w:rsidR="00B64EEE">
        <w:rPr>
          <w:rFonts w:cstheme="minorHAnsi"/>
          <w:sz w:val="22"/>
          <w:szCs w:val="22"/>
        </w:rPr>
        <w:t xml:space="preserve"> in men</w:t>
      </w:r>
      <w:r w:rsidR="006B35BC" w:rsidRPr="004B0BC2">
        <w:rPr>
          <w:rFonts w:cstheme="minorHAnsi"/>
          <w:sz w:val="22"/>
          <w:szCs w:val="22"/>
        </w:rPr>
        <w:fldChar w:fldCharType="begin" w:fldLock="1"/>
      </w:r>
      <w:r w:rsidR="00943811" w:rsidRPr="004B0BC2">
        <w:rPr>
          <w:rFonts w:cstheme="minorHAnsi"/>
          <w:sz w:val="22"/>
          <w:szCs w:val="22"/>
        </w:rPr>
        <w:instrText>ADDIN CSL_CITATION {"citationItems":[{"id":"ITEM-1","itemData":{"URL":"https://www.bbc.co.uk/news/health-52889106","accessed":{"date-parts":[["2020","6","3"]]},"author":[{"dropping-particle":"","family":"BBC","given":"","non-dropping-particle":"","parse-names":false,"suffix":""}],"container-title":"The British Broadcasting Corporation Website","id":"ITEM-1","issued":{"date-parts":[["0"]]},"title":"Coronavirus: Risk of death is higher for ethnic minorities - BBC News","type":"webpage"},"uris":["http://www.mendeley.com/documents/?uuid=cb701822-17c6-4c21-9a9c-a7d4d72f4674"]}],"mendeley":{"formattedCitation":"(2)","plainTextFormattedCitation":"(2)","previouslyFormattedCitation":"(2)"},"properties":{"noteIndex":0},"schema":"https://github.com/citation-style-language/schema/raw/master/csl-citation.json"}</w:instrText>
      </w:r>
      <w:r w:rsidR="006B35BC" w:rsidRPr="004B0BC2">
        <w:rPr>
          <w:rFonts w:cstheme="minorHAnsi"/>
          <w:sz w:val="22"/>
          <w:szCs w:val="22"/>
        </w:rPr>
        <w:fldChar w:fldCharType="separate"/>
      </w:r>
      <w:r w:rsidR="006B35BC" w:rsidRPr="004B0BC2">
        <w:rPr>
          <w:rFonts w:cstheme="minorHAnsi"/>
          <w:noProof/>
          <w:sz w:val="22"/>
          <w:szCs w:val="22"/>
        </w:rPr>
        <w:t>(2)</w:t>
      </w:r>
      <w:r w:rsidR="006B35BC" w:rsidRPr="004B0BC2">
        <w:rPr>
          <w:rFonts w:cstheme="minorHAnsi"/>
          <w:sz w:val="22"/>
          <w:szCs w:val="22"/>
        </w:rPr>
        <w:fldChar w:fldCharType="end"/>
      </w:r>
      <w:r w:rsidR="00B64EEE">
        <w:rPr>
          <w:rFonts w:cstheme="minorHAnsi"/>
          <w:sz w:val="22"/>
          <w:szCs w:val="22"/>
        </w:rPr>
        <w:t xml:space="preserve">; </w:t>
      </w:r>
      <w:r w:rsidR="00560663" w:rsidRPr="004B0BC2">
        <w:rPr>
          <w:rFonts w:cstheme="minorHAnsi"/>
          <w:sz w:val="22"/>
          <w:szCs w:val="22"/>
        </w:rPr>
        <w:t>his</w:t>
      </w:r>
      <w:r w:rsidR="00B64EEE">
        <w:rPr>
          <w:rFonts w:cstheme="minorHAnsi"/>
          <w:sz w:val="22"/>
          <w:szCs w:val="22"/>
        </w:rPr>
        <w:t xml:space="preserve"> discrepancy might</w:t>
      </w:r>
      <w:r w:rsidR="008F0032" w:rsidRPr="004B0BC2">
        <w:rPr>
          <w:rFonts w:cstheme="minorHAnsi"/>
          <w:sz w:val="22"/>
          <w:szCs w:val="22"/>
        </w:rPr>
        <w:t xml:space="preserve"> </w:t>
      </w:r>
      <w:r w:rsidR="00A50F63" w:rsidRPr="004B0BC2">
        <w:rPr>
          <w:rFonts w:cstheme="minorHAnsi"/>
          <w:bCs/>
          <w:sz w:val="22"/>
          <w:szCs w:val="22"/>
        </w:rPr>
        <w:t>due</w:t>
      </w:r>
      <w:r w:rsidR="00F65EB8" w:rsidRPr="004B0BC2">
        <w:rPr>
          <w:rFonts w:cstheme="minorHAnsi"/>
          <w:sz w:val="22"/>
          <w:szCs w:val="22"/>
        </w:rPr>
        <w:t xml:space="preserve"> </w:t>
      </w:r>
      <w:r w:rsidR="000209F2" w:rsidRPr="004B0BC2">
        <w:rPr>
          <w:rFonts w:cstheme="minorHAnsi"/>
          <w:sz w:val="22"/>
          <w:szCs w:val="22"/>
        </w:rPr>
        <w:t xml:space="preserve">to </w:t>
      </w:r>
      <w:r w:rsidR="008A2CCC" w:rsidRPr="004B0BC2">
        <w:rPr>
          <w:rFonts w:cstheme="minorHAnsi"/>
          <w:sz w:val="22"/>
          <w:szCs w:val="22"/>
        </w:rPr>
        <w:t xml:space="preserve">biological, genetic and lifestyle differences between </w:t>
      </w:r>
      <w:r w:rsidR="00733F22" w:rsidRPr="004B0BC2">
        <w:rPr>
          <w:rFonts w:cstheme="minorHAnsi"/>
          <w:sz w:val="22"/>
          <w:szCs w:val="22"/>
        </w:rPr>
        <w:t xml:space="preserve">the </w:t>
      </w:r>
      <w:r w:rsidR="001E3A77" w:rsidRPr="004B0BC2">
        <w:rPr>
          <w:rFonts w:cstheme="minorHAnsi"/>
          <w:sz w:val="22"/>
          <w:szCs w:val="22"/>
        </w:rPr>
        <w:t>sexes</w:t>
      </w:r>
      <w:r w:rsidR="000209F2" w:rsidRPr="004B0BC2">
        <w:rPr>
          <w:rFonts w:cstheme="minorHAnsi"/>
          <w:sz w:val="22"/>
          <w:szCs w:val="22"/>
        </w:rPr>
        <w:t>,</w:t>
      </w:r>
      <w:r w:rsidR="008A2CCC" w:rsidRPr="004B0BC2">
        <w:rPr>
          <w:rFonts w:cstheme="minorHAnsi"/>
          <w:sz w:val="22"/>
          <w:szCs w:val="22"/>
        </w:rPr>
        <w:t xml:space="preserve"> mak</w:t>
      </w:r>
      <w:r w:rsidR="000209F2" w:rsidRPr="004B0BC2">
        <w:rPr>
          <w:rFonts w:cstheme="minorHAnsi"/>
          <w:sz w:val="22"/>
          <w:szCs w:val="22"/>
        </w:rPr>
        <w:t>ing</w:t>
      </w:r>
      <w:r w:rsidR="008A2CCC" w:rsidRPr="004B0BC2">
        <w:rPr>
          <w:rFonts w:cstheme="minorHAnsi"/>
          <w:sz w:val="22"/>
          <w:szCs w:val="22"/>
        </w:rPr>
        <w:t xml:space="preserve"> men more vulnerable to both infections and non</w:t>
      </w:r>
      <w:r w:rsidR="007A5202" w:rsidRPr="004B0BC2">
        <w:rPr>
          <w:rFonts w:cstheme="minorHAnsi"/>
          <w:sz w:val="22"/>
          <w:szCs w:val="22"/>
        </w:rPr>
        <w:t>-</w:t>
      </w:r>
      <w:r w:rsidR="008A2CCC" w:rsidRPr="004B0BC2">
        <w:rPr>
          <w:rFonts w:cstheme="minorHAnsi"/>
          <w:sz w:val="22"/>
          <w:szCs w:val="22"/>
        </w:rPr>
        <w:t>communicable disease</w:t>
      </w:r>
      <w:r w:rsidR="007A5202" w:rsidRPr="004B0BC2">
        <w:rPr>
          <w:rFonts w:cstheme="minorHAnsi"/>
          <w:sz w:val="22"/>
          <w:szCs w:val="22"/>
        </w:rPr>
        <w:t>s</w:t>
      </w:r>
      <w:r w:rsidR="00795B2A" w:rsidRPr="004B0BC2">
        <w:rPr>
          <w:rFonts w:cstheme="minorHAnsi"/>
          <w:sz w:val="22"/>
          <w:szCs w:val="22"/>
        </w:rPr>
        <w:fldChar w:fldCharType="begin" w:fldLock="1"/>
      </w:r>
      <w:r w:rsidR="002410DF">
        <w:rPr>
          <w:rFonts w:cstheme="minorHAnsi"/>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Expectancy?","type":"article-journal","volume":"6"},"uris":["http://www.mendeley.com/documents/?uuid=0b67177a-a861-3a8a-aeac-e9a835a6e5f2"]},{"id":"ITEM-2","itemData":{"DOI":"10.1038/s41443-020-0260-6","ISSN":"0955-9930","abstract":"Globally, the life expectancy for men is 5.1 years less than for women. This gender gap in mortality is intrinsically linked to a higher proportion of premature male mortality and is a significant economic, social and healthcare issue. We explore the main causes for premature male death and also discuss the need for a dedicated men's health clinic, especially in the context of potential commercial exploitation.","author":[{"dropping-particle":"","family":"Tharakan","given":"Tharu","non-dropping-particle":"","parse-names":false,"suffix":""},{"dropping-particle":"","family":"Jayasena","given":"Channa","non-dropping-particle":"","parse-names":false,"suffix":""},{"dropping-particle":"","family":"Minhas","given":"Suks","non-dropping-particle":"","parse-names":false,"suffix":""}],"container-title":"International Journal of Impotence Research","id":"ITEM-2","issued":{"date-parts":[["2020"]]},"page":"1-4","title":"Men’s health clinics: a real need or a marketing strategy","type":"article-journal"},"uris":["http://www.mendeley.com/documents/?uuid=01e7dc52-d5dc-3412-9d63-2fbade209ff9"]},{"id":"ITEM-3","itemData":{"DOI":"10.1016/j.eururo.2019.07.052","ISSN":"18737560","abstract":"Urologists can bridge the gender gap in life expectancy through the promotion of a holistic and streamlined approach to men's health that incorporates optimisation of lifestyle factors (smoking cessation, weight loss, diet) and comorbidities (treatment of hypertension, hypercholesterolaemia, and hypogo-nadism) and offers cancer screening.","author":[{"dropping-particle":"","family":"Tharakan","given":"Tharu","non-dropping-particle":"","parse-names":false,"suffix":""},{"dropping-particle":"","family":"Salonia","given":"Andrea","non-dropping-particle":"","parse-names":false,"suffix":""},{"dropping-particle":"","family":"Minhas","given":"Suks","non-dropping-particle":"","parse-names":false,"suffix":""}],"container-title":"European Urology","id":"ITEM-3","issue":"6","issued":{"date-parts":[["2019"]]},"page":"712-713","title":"Male Life Expectancy is Still Inferior to That of Women: Urologists Must Refine and Develop the Concept of Men's Health","type":"article-journal","volume":"76"},"uris":["http://www.mendeley.com/documents/?uuid=f8fedc42-eccd-47b9-994f-4f96a4261f93"]}],"mendeley":{"formattedCitation":"(3–5)","plainTextFormattedCitation":"(3–5)","previouslyFormattedCitation":"(3–5)"},"properties":{"noteIndex":0},"schema":"https://github.com/citation-style-language/schema/raw/master/csl-citation.json"}</w:instrText>
      </w:r>
      <w:r w:rsidR="00795B2A" w:rsidRPr="004B0BC2">
        <w:rPr>
          <w:rFonts w:cstheme="minorHAnsi"/>
          <w:sz w:val="22"/>
          <w:szCs w:val="22"/>
        </w:rPr>
        <w:fldChar w:fldCharType="separate"/>
      </w:r>
      <w:r w:rsidR="006B35BC" w:rsidRPr="004B0BC2">
        <w:rPr>
          <w:rFonts w:cstheme="minorHAnsi"/>
          <w:noProof/>
          <w:sz w:val="22"/>
          <w:szCs w:val="22"/>
        </w:rPr>
        <w:t>(3–5)</w:t>
      </w:r>
      <w:r w:rsidR="00795B2A" w:rsidRPr="004B0BC2">
        <w:rPr>
          <w:rFonts w:cstheme="minorHAnsi"/>
          <w:sz w:val="22"/>
          <w:szCs w:val="22"/>
        </w:rPr>
        <w:fldChar w:fldCharType="end"/>
      </w:r>
      <w:r w:rsidR="008A2CCC" w:rsidRPr="004B0BC2">
        <w:rPr>
          <w:rFonts w:cstheme="minorHAnsi"/>
          <w:sz w:val="22"/>
          <w:szCs w:val="22"/>
        </w:rPr>
        <w:t xml:space="preserve">. Indeed, </w:t>
      </w:r>
      <w:r w:rsidR="00C75F3C" w:rsidRPr="004B0BC2">
        <w:rPr>
          <w:rFonts w:cstheme="minorHAnsi"/>
          <w:sz w:val="22"/>
          <w:szCs w:val="22"/>
        </w:rPr>
        <w:t>this</w:t>
      </w:r>
      <w:r w:rsidR="008A2CCC" w:rsidRPr="004B0BC2">
        <w:rPr>
          <w:rFonts w:cstheme="minorHAnsi"/>
          <w:sz w:val="22"/>
          <w:szCs w:val="22"/>
        </w:rPr>
        <w:t xml:space="preserve"> </w:t>
      </w:r>
      <w:r w:rsidR="00597635" w:rsidRPr="004B0BC2">
        <w:rPr>
          <w:rFonts w:cstheme="minorHAnsi"/>
          <w:sz w:val="22"/>
          <w:szCs w:val="22"/>
        </w:rPr>
        <w:t xml:space="preserve">sex </w:t>
      </w:r>
      <w:r w:rsidR="008A2CCC" w:rsidRPr="004B0BC2">
        <w:rPr>
          <w:rFonts w:cstheme="minorHAnsi"/>
          <w:sz w:val="22"/>
          <w:szCs w:val="22"/>
        </w:rPr>
        <w:t xml:space="preserve">gap in mortality is not a new phenomenon and </w:t>
      </w:r>
      <w:r w:rsidR="008569E0" w:rsidRPr="004B0BC2">
        <w:rPr>
          <w:rFonts w:cstheme="minorHAnsi"/>
          <w:sz w:val="22"/>
          <w:szCs w:val="22"/>
        </w:rPr>
        <w:t>contemporary</w:t>
      </w:r>
      <w:r w:rsidR="008A2CCC" w:rsidRPr="004B0BC2">
        <w:rPr>
          <w:rFonts w:cstheme="minorHAnsi"/>
          <w:sz w:val="22"/>
          <w:szCs w:val="22"/>
        </w:rPr>
        <w:t xml:space="preserve"> health</w:t>
      </w:r>
      <w:r w:rsidR="00B64EEE">
        <w:rPr>
          <w:rFonts w:cstheme="minorHAnsi"/>
          <w:sz w:val="22"/>
          <w:szCs w:val="22"/>
        </w:rPr>
        <w:t>-</w:t>
      </w:r>
      <w:r w:rsidR="008A2CCC" w:rsidRPr="004B0BC2">
        <w:rPr>
          <w:rFonts w:cstheme="minorHAnsi"/>
          <w:sz w:val="22"/>
          <w:szCs w:val="22"/>
        </w:rPr>
        <w:t>care polic</w:t>
      </w:r>
      <w:r w:rsidR="00F65EB8" w:rsidRPr="004B0BC2">
        <w:rPr>
          <w:rFonts w:cstheme="minorHAnsi"/>
          <w:sz w:val="22"/>
          <w:szCs w:val="22"/>
        </w:rPr>
        <w:t>i</w:t>
      </w:r>
      <w:r w:rsidR="008A2CCC" w:rsidRPr="004B0BC2">
        <w:rPr>
          <w:rFonts w:cstheme="minorHAnsi"/>
          <w:sz w:val="22"/>
          <w:szCs w:val="22"/>
        </w:rPr>
        <w:t xml:space="preserve">es </w:t>
      </w:r>
      <w:r w:rsidR="00B64EEE">
        <w:rPr>
          <w:rFonts w:cstheme="minorHAnsi"/>
          <w:sz w:val="22"/>
          <w:szCs w:val="22"/>
        </w:rPr>
        <w:t xml:space="preserve">seem </w:t>
      </w:r>
      <w:r w:rsidR="008569E0" w:rsidRPr="004B0BC2">
        <w:rPr>
          <w:rFonts w:cstheme="minorHAnsi"/>
          <w:sz w:val="22"/>
          <w:szCs w:val="22"/>
        </w:rPr>
        <w:t xml:space="preserve">to </w:t>
      </w:r>
      <w:r w:rsidR="008A2CCC" w:rsidRPr="004B0BC2">
        <w:rPr>
          <w:rFonts w:cstheme="minorHAnsi"/>
          <w:sz w:val="22"/>
          <w:szCs w:val="22"/>
        </w:rPr>
        <w:t xml:space="preserve">have failed to adequately address </w:t>
      </w:r>
      <w:r w:rsidR="008569E0" w:rsidRPr="004B0BC2">
        <w:rPr>
          <w:rFonts w:cstheme="minorHAnsi"/>
          <w:sz w:val="22"/>
          <w:szCs w:val="22"/>
        </w:rPr>
        <w:t xml:space="preserve">the </w:t>
      </w:r>
      <w:r w:rsidR="008A2CCC" w:rsidRPr="004B0BC2">
        <w:rPr>
          <w:rFonts w:cstheme="minorHAnsi"/>
          <w:sz w:val="22"/>
          <w:szCs w:val="22"/>
        </w:rPr>
        <w:t>disproportionate</w:t>
      </w:r>
      <w:r w:rsidR="006A2BF3" w:rsidRPr="004B0BC2">
        <w:rPr>
          <w:rFonts w:cstheme="minorHAnsi"/>
          <w:sz w:val="22"/>
          <w:szCs w:val="22"/>
        </w:rPr>
        <w:t xml:space="preserve">ly </w:t>
      </w:r>
      <w:r w:rsidR="008A2CCC" w:rsidRPr="004B0BC2">
        <w:rPr>
          <w:rFonts w:cstheme="minorHAnsi"/>
          <w:sz w:val="22"/>
          <w:szCs w:val="22"/>
        </w:rPr>
        <w:t>high levels of premature male death</w:t>
      </w:r>
      <w:r w:rsidR="008569E0" w:rsidRPr="004B0BC2">
        <w:rPr>
          <w:rFonts w:cstheme="minorHAnsi"/>
          <w:sz w:val="22"/>
          <w:szCs w:val="22"/>
        </w:rPr>
        <w:t>s</w:t>
      </w:r>
      <w:r w:rsidR="00CF7BBA" w:rsidRPr="004B0BC2">
        <w:rPr>
          <w:rFonts w:cstheme="minorHAnsi"/>
          <w:sz w:val="22"/>
          <w:szCs w:val="22"/>
        </w:rPr>
        <w:fldChar w:fldCharType="begin" w:fldLock="1"/>
      </w:r>
      <w:r w:rsidR="002C021B" w:rsidRPr="004B0BC2">
        <w:rPr>
          <w:rFonts w:cstheme="minorHAnsi"/>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CF7BBA" w:rsidRPr="004B0BC2">
        <w:rPr>
          <w:rFonts w:cstheme="minorHAnsi"/>
          <w:sz w:val="22"/>
          <w:szCs w:val="22"/>
        </w:rPr>
        <w:fldChar w:fldCharType="separate"/>
      </w:r>
      <w:r w:rsidR="006B35BC" w:rsidRPr="004B0BC2">
        <w:rPr>
          <w:rFonts w:cstheme="minorHAnsi"/>
          <w:noProof/>
          <w:sz w:val="22"/>
          <w:szCs w:val="22"/>
        </w:rPr>
        <w:t>(3)</w:t>
      </w:r>
      <w:r w:rsidR="00CF7BBA" w:rsidRPr="004B0BC2">
        <w:rPr>
          <w:rFonts w:cstheme="minorHAnsi"/>
          <w:sz w:val="22"/>
          <w:szCs w:val="22"/>
        </w:rPr>
        <w:fldChar w:fldCharType="end"/>
      </w:r>
      <w:r w:rsidR="00CF7BBA" w:rsidRPr="004B0BC2">
        <w:rPr>
          <w:rFonts w:cstheme="minorHAnsi"/>
          <w:sz w:val="22"/>
          <w:szCs w:val="22"/>
        </w:rPr>
        <w:t>.</w:t>
      </w:r>
      <w:r w:rsidR="00AC547C" w:rsidRPr="004B0BC2">
        <w:rPr>
          <w:rFonts w:cstheme="minorHAnsi"/>
          <w:sz w:val="22"/>
          <w:szCs w:val="22"/>
        </w:rPr>
        <w:t xml:space="preserve"> </w:t>
      </w:r>
    </w:p>
    <w:p w14:paraId="02BB92B5" w14:textId="5DEA122A" w:rsidR="00F24B26" w:rsidRPr="004B0BC2" w:rsidRDefault="00B64EEE" w:rsidP="00B66369">
      <w:pPr>
        <w:pStyle w:val="NoSpacing"/>
        <w:spacing w:line="480" w:lineRule="auto"/>
        <w:rPr>
          <w:rFonts w:cstheme="minorHAnsi"/>
          <w:sz w:val="22"/>
          <w:szCs w:val="22"/>
        </w:rPr>
      </w:pPr>
      <w:r>
        <w:rPr>
          <w:rFonts w:cstheme="minorHAnsi"/>
          <w:sz w:val="22"/>
          <w:szCs w:val="22"/>
        </w:rPr>
        <w:t>In this Perspective, we will</w:t>
      </w:r>
      <w:r w:rsidR="008A2CCC" w:rsidRPr="004B0BC2">
        <w:rPr>
          <w:rFonts w:cstheme="minorHAnsi"/>
          <w:sz w:val="22"/>
          <w:szCs w:val="22"/>
        </w:rPr>
        <w:t xml:space="preserve"> highlight the</w:t>
      </w:r>
      <w:r w:rsidR="00773AF8" w:rsidRPr="004B0BC2">
        <w:rPr>
          <w:rFonts w:cstheme="minorHAnsi"/>
          <w:sz w:val="22"/>
          <w:szCs w:val="22"/>
        </w:rPr>
        <w:t xml:space="preserve"> potential</w:t>
      </w:r>
      <w:r w:rsidR="008A2CCC" w:rsidRPr="004B0BC2">
        <w:rPr>
          <w:rFonts w:cstheme="minorHAnsi"/>
          <w:sz w:val="22"/>
          <w:szCs w:val="22"/>
        </w:rPr>
        <w:t xml:space="preserve"> factors contributing to </w:t>
      </w:r>
      <w:r w:rsidR="006026E4">
        <w:rPr>
          <w:rFonts w:cstheme="minorHAnsi"/>
          <w:sz w:val="22"/>
          <w:szCs w:val="22"/>
        </w:rPr>
        <w:t xml:space="preserve">sex </w:t>
      </w:r>
      <w:r w:rsidR="00D73F7A" w:rsidRPr="004B0BC2">
        <w:rPr>
          <w:rFonts w:cstheme="minorHAnsi"/>
          <w:sz w:val="22"/>
          <w:szCs w:val="22"/>
        </w:rPr>
        <w:t>discrepancies</w:t>
      </w:r>
      <w:r w:rsidR="006B35BC" w:rsidRPr="004B0BC2">
        <w:rPr>
          <w:rFonts w:cstheme="minorHAnsi"/>
          <w:sz w:val="22"/>
          <w:szCs w:val="22"/>
        </w:rPr>
        <w:t xml:space="preserve"> in </w:t>
      </w:r>
      <w:r w:rsidR="008569E0" w:rsidRPr="004B0BC2">
        <w:rPr>
          <w:rFonts w:cstheme="minorHAnsi"/>
          <w:sz w:val="22"/>
          <w:szCs w:val="22"/>
        </w:rPr>
        <w:t xml:space="preserve">mortality from </w:t>
      </w:r>
      <w:r w:rsidR="00795BED" w:rsidRPr="004B0BC2">
        <w:rPr>
          <w:rFonts w:cstheme="minorHAnsi"/>
          <w:sz w:val="22"/>
          <w:szCs w:val="22"/>
        </w:rPr>
        <w:t>COVID-19</w:t>
      </w:r>
      <w:r w:rsidR="00783618" w:rsidRPr="004B0BC2">
        <w:rPr>
          <w:rFonts w:cstheme="minorHAnsi"/>
          <w:sz w:val="22"/>
          <w:szCs w:val="22"/>
        </w:rPr>
        <w:t>,</w:t>
      </w:r>
      <w:r w:rsidR="000E493C" w:rsidRPr="004B0BC2">
        <w:rPr>
          <w:rFonts w:cstheme="minorHAnsi"/>
          <w:sz w:val="22"/>
          <w:szCs w:val="22"/>
        </w:rPr>
        <w:t xml:space="preserve"> </w:t>
      </w:r>
      <w:r w:rsidR="00AA692A" w:rsidRPr="004B0BC2">
        <w:rPr>
          <w:rFonts w:cstheme="minorHAnsi"/>
          <w:sz w:val="22"/>
          <w:szCs w:val="22"/>
        </w:rPr>
        <w:t xml:space="preserve">provide a </w:t>
      </w:r>
      <w:r w:rsidR="008A2CCC" w:rsidRPr="004B0BC2">
        <w:rPr>
          <w:rFonts w:cstheme="minorHAnsi"/>
          <w:sz w:val="22"/>
          <w:szCs w:val="22"/>
        </w:rPr>
        <w:t>rational</w:t>
      </w:r>
      <w:r w:rsidR="00AA692A" w:rsidRPr="004B0BC2">
        <w:rPr>
          <w:rFonts w:cstheme="minorHAnsi"/>
          <w:sz w:val="22"/>
          <w:szCs w:val="22"/>
        </w:rPr>
        <w:t>e for</w:t>
      </w:r>
      <w:r w:rsidR="008A2CCC" w:rsidRPr="004B0BC2">
        <w:rPr>
          <w:rFonts w:cstheme="minorHAnsi"/>
          <w:sz w:val="22"/>
          <w:szCs w:val="22"/>
        </w:rPr>
        <w:t xml:space="preserve"> t</w:t>
      </w:r>
      <w:r w:rsidR="00733F22" w:rsidRPr="004B0BC2">
        <w:rPr>
          <w:rFonts w:cstheme="minorHAnsi"/>
          <w:sz w:val="22"/>
          <w:szCs w:val="22"/>
        </w:rPr>
        <w:t>he development</w:t>
      </w:r>
      <w:r w:rsidR="008A2CCC" w:rsidRPr="004B0BC2">
        <w:rPr>
          <w:rFonts w:cstheme="minorHAnsi"/>
          <w:sz w:val="22"/>
          <w:szCs w:val="22"/>
        </w:rPr>
        <w:t xml:space="preserve"> </w:t>
      </w:r>
      <w:r w:rsidR="00AA692A" w:rsidRPr="004B0BC2">
        <w:rPr>
          <w:rFonts w:cstheme="minorHAnsi"/>
          <w:sz w:val="22"/>
          <w:szCs w:val="22"/>
        </w:rPr>
        <w:t xml:space="preserve">of </w:t>
      </w:r>
      <w:r w:rsidR="008A2CCC" w:rsidRPr="004B0BC2">
        <w:rPr>
          <w:rFonts w:cstheme="minorHAnsi"/>
          <w:sz w:val="22"/>
          <w:szCs w:val="22"/>
        </w:rPr>
        <w:t>a men’s health programme</w:t>
      </w:r>
      <w:r w:rsidR="00AA692A" w:rsidRPr="004B0BC2">
        <w:rPr>
          <w:rFonts w:cstheme="minorHAnsi"/>
          <w:sz w:val="22"/>
          <w:szCs w:val="22"/>
        </w:rPr>
        <w:t xml:space="preserve"> and </w:t>
      </w:r>
      <w:r w:rsidR="001E3A77" w:rsidRPr="004B0BC2">
        <w:rPr>
          <w:rFonts w:cstheme="minorHAnsi"/>
          <w:sz w:val="22"/>
          <w:szCs w:val="22"/>
        </w:rPr>
        <w:t>discuss</w:t>
      </w:r>
      <w:r w:rsidR="00AA692A" w:rsidRPr="004B0BC2">
        <w:rPr>
          <w:rFonts w:cstheme="minorHAnsi"/>
          <w:sz w:val="22"/>
          <w:szCs w:val="22"/>
        </w:rPr>
        <w:t>es</w:t>
      </w:r>
      <w:r w:rsidR="001E3A77" w:rsidRPr="004B0BC2">
        <w:rPr>
          <w:rFonts w:cstheme="minorHAnsi"/>
          <w:sz w:val="22"/>
          <w:szCs w:val="22"/>
        </w:rPr>
        <w:t xml:space="preserve"> the role of the </w:t>
      </w:r>
      <w:r>
        <w:rPr>
          <w:rFonts w:cstheme="minorHAnsi"/>
          <w:sz w:val="22"/>
          <w:szCs w:val="22"/>
        </w:rPr>
        <w:t>u</w:t>
      </w:r>
      <w:r w:rsidR="001E3A77" w:rsidRPr="004B0BC2">
        <w:rPr>
          <w:rFonts w:cstheme="minorHAnsi"/>
          <w:sz w:val="22"/>
          <w:szCs w:val="22"/>
        </w:rPr>
        <w:t xml:space="preserve">rologist </w:t>
      </w:r>
      <w:r w:rsidR="00AA692A" w:rsidRPr="004B0BC2">
        <w:rPr>
          <w:rFonts w:cstheme="minorHAnsi"/>
          <w:sz w:val="22"/>
          <w:szCs w:val="22"/>
        </w:rPr>
        <w:t>in this setting</w:t>
      </w:r>
      <w:r w:rsidR="00DF702C" w:rsidRPr="004B0BC2">
        <w:rPr>
          <w:rFonts w:cstheme="minorHAnsi"/>
          <w:sz w:val="22"/>
          <w:szCs w:val="22"/>
        </w:rPr>
        <w:t>.</w:t>
      </w:r>
      <w:r w:rsidR="008873DB" w:rsidRPr="004B0BC2">
        <w:rPr>
          <w:rFonts w:cstheme="minorHAnsi"/>
          <w:sz w:val="22"/>
          <w:szCs w:val="22"/>
        </w:rPr>
        <w:t xml:space="preserve"> </w:t>
      </w:r>
    </w:p>
    <w:p w14:paraId="3F8C9BC6" w14:textId="77777777" w:rsidR="00597635" w:rsidRPr="004B0BC2" w:rsidRDefault="00597635" w:rsidP="00B66369">
      <w:pPr>
        <w:pStyle w:val="NoSpacing"/>
        <w:spacing w:line="480" w:lineRule="auto"/>
        <w:rPr>
          <w:rFonts w:cstheme="minorHAnsi"/>
          <w:b/>
          <w:bCs/>
          <w:sz w:val="22"/>
          <w:szCs w:val="22"/>
          <w:u w:val="single"/>
        </w:rPr>
      </w:pPr>
    </w:p>
    <w:p w14:paraId="0E6B5956" w14:textId="0FD11A57" w:rsidR="00512579" w:rsidRPr="004B0BC2" w:rsidRDefault="00B64EEE" w:rsidP="00B66369">
      <w:pPr>
        <w:pStyle w:val="NoSpacing"/>
        <w:spacing w:line="480" w:lineRule="auto"/>
        <w:rPr>
          <w:rFonts w:cstheme="minorHAnsi"/>
          <w:b/>
          <w:bCs/>
          <w:sz w:val="22"/>
          <w:szCs w:val="22"/>
          <w:u w:val="single"/>
        </w:rPr>
      </w:pPr>
      <w:r>
        <w:rPr>
          <w:rFonts w:cstheme="minorHAnsi"/>
          <w:b/>
          <w:bCs/>
          <w:sz w:val="22"/>
          <w:szCs w:val="22"/>
          <w:u w:val="single"/>
        </w:rPr>
        <w:t>[H1]</w:t>
      </w:r>
      <w:r w:rsidR="00512579" w:rsidRPr="004B0BC2">
        <w:rPr>
          <w:rFonts w:cstheme="minorHAnsi"/>
          <w:b/>
          <w:bCs/>
          <w:sz w:val="22"/>
          <w:szCs w:val="22"/>
          <w:u w:val="single"/>
        </w:rPr>
        <w:t xml:space="preserve">What is </w:t>
      </w:r>
      <w:r w:rsidR="00783618" w:rsidRPr="004B0BC2">
        <w:rPr>
          <w:rFonts w:cstheme="minorHAnsi"/>
          <w:b/>
          <w:bCs/>
          <w:sz w:val="22"/>
          <w:szCs w:val="22"/>
          <w:u w:val="single"/>
        </w:rPr>
        <w:t>COVID-19</w:t>
      </w:r>
      <w:r w:rsidR="00512579" w:rsidRPr="004B0BC2">
        <w:rPr>
          <w:rFonts w:cstheme="minorHAnsi"/>
          <w:b/>
          <w:bCs/>
          <w:sz w:val="22"/>
          <w:szCs w:val="22"/>
          <w:u w:val="single"/>
        </w:rPr>
        <w:t>?</w:t>
      </w:r>
    </w:p>
    <w:p w14:paraId="474F00D9" w14:textId="1DE61489" w:rsidR="00512579" w:rsidRPr="004B0BC2" w:rsidRDefault="00512579" w:rsidP="00B66369">
      <w:pPr>
        <w:pStyle w:val="NoSpacing"/>
        <w:spacing w:line="480" w:lineRule="auto"/>
        <w:rPr>
          <w:rFonts w:cstheme="minorHAnsi"/>
          <w:sz w:val="22"/>
          <w:szCs w:val="22"/>
          <w:shd w:val="clear" w:color="auto" w:fill="FFFFFF"/>
        </w:rPr>
      </w:pPr>
      <w:r w:rsidRPr="004B0BC2">
        <w:rPr>
          <w:rFonts w:cstheme="minorHAnsi"/>
          <w:sz w:val="22"/>
          <w:szCs w:val="22"/>
          <w:bdr w:val="none" w:sz="0" w:space="0" w:color="auto" w:frame="1"/>
        </w:rPr>
        <w:lastRenderedPageBreak/>
        <w:t>SARS-CoV-2</w:t>
      </w:r>
      <w:r w:rsidRPr="004B0BC2">
        <w:rPr>
          <w:rFonts w:cstheme="minorHAnsi"/>
          <w:b/>
          <w:bCs/>
          <w:sz w:val="22"/>
          <w:szCs w:val="22"/>
          <w:bdr w:val="none" w:sz="0" w:space="0" w:color="auto" w:frame="1"/>
        </w:rPr>
        <w:t xml:space="preserve"> </w:t>
      </w:r>
      <w:r w:rsidRPr="004B0BC2">
        <w:rPr>
          <w:rFonts w:cstheme="minorHAnsi"/>
          <w:sz w:val="22"/>
          <w:szCs w:val="22"/>
        </w:rPr>
        <w:t xml:space="preserve">is a </w:t>
      </w:r>
      <w:r w:rsidRPr="004B0BC2">
        <w:rPr>
          <w:rFonts w:cstheme="minorHAnsi"/>
          <w:sz w:val="22"/>
          <w:szCs w:val="22"/>
          <w:shd w:val="clear" w:color="auto" w:fill="FFFFFF"/>
        </w:rPr>
        <w:t>subgenus Sarbecovirus of the genus Betacoronavirus</w:t>
      </w:r>
      <w:r w:rsidRPr="004B0BC2">
        <w:rPr>
          <w:rFonts w:cstheme="minorHAnsi"/>
          <w:sz w:val="22"/>
          <w:szCs w:val="22"/>
          <w:shd w:val="clear" w:color="auto" w:fill="FFFFFF"/>
        </w:rPr>
        <w:fldChar w:fldCharType="begin" w:fldLock="1"/>
      </w:r>
      <w:r w:rsidRPr="004B0BC2">
        <w:rPr>
          <w:rFonts w:cstheme="minorHAnsi"/>
          <w:sz w:val="22"/>
          <w:szCs w:val="22"/>
          <w:shd w:val="clear" w:color="auto" w:fill="FFFFFF"/>
        </w:rPr>
        <w:instrText>ADDIN CSL_CITATION {"citationItems":[{"id":"ITEM-1","itemData":{"DOI":"10.1016/S0140-6736(20)30251-8","ISSN":"1474547X","PMID":"32007145","abstract":"Background: 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 Methods: 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 Findings: 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 Interpretation: 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author":[{"dropping-particle":"","family":"Lu","given":"Roujian","non-dropping-particle":"","parse-names":false,"suffix":""},{"dropping-particle":"","family":"Zhao","given":"Xiang","non-dropping-particle":"","parse-names":false,"suffix":""},{"dropping-particle":"","family":"Li","given":"Juan","non-dropping-particle":"","parse-names":false,"suffix":""},{"dropping-particle":"","family":"Niu","given":"Peihua","non-dropping-particle":"","parse-names":false,"suffix":""},{"dropping-particle":"","family":"Yang","given":"Bo","non-dropping-particle":"","parse-names":false,"suffix":""},{"dropping-particle":"","family":"Wu","given":"Honglong","non-dropping-particle":"","parse-names":false,"suffix":""},{"dropping-particle":"","family":"Wang","given":"Wenling","non-dropping-particle":"","parse-names":false,"suffix":""},{"dropping-particle":"","family":"Song","given":"Hao","non-dropping-particle":"","parse-names":false,"suffix":""},{"dropping-particle":"","family":"Huang","given":"Baoying","non-dropping-particle":"","parse-names":false,"suffix":""},{"dropping-particle":"","family":"Zhu","given":"Na","non-dropping-particle":"","parse-names":false,"suffix":""},{"dropping-particle":"","family":"Bi","given":"Yuhai","non-dropping-particle":"","parse-names":false,"suffix":""},{"dropping-particle":"","family":"Ma","given":"Xuejun","non-dropping-particle":"","parse-names":false,"suffix":""},{"dropping-particle":"","family":"Zhan","given":"Faxian","non-dropping-particle":"","parse-names":false,"suffix":""},{"dropping-particle":"","family":"Wang","given":"Liang","non-dropping-particle":"","parse-names":false,"suffix":""},{"dropping-particle":"","family":"Hu","given":"Tao","non-dropping-particle":"","parse-names":false,"suffix":""},{"dropping-particle":"","family":"Zhou","given":"Hong","non-dropping-particle":"","parse-names":false,"suffix":""},{"dropping-particle":"","family":"Hu","given":"Zhenhong","non-dropping-particle":"","parse-names":false,"suffix":""},{"dropping-particle":"","family":"Zhou","given":"Weimin","non-dropping-particle":"","parse-names":false,"suffix":""},{"dropping-particle":"","family":"Zhao","given":"Li","non-dropping-particle":"","parse-names":false,"suffix":""},{"dropping-particle":"","family":"Chen","given":"Jing","non-dropping-particle":"","parse-names":false,"suffix":""},{"dropping-particle":"","family":"Meng","given":"Yao","non-dropping-particle":"","parse-names":false,"suffix":""},{"dropping-particle":"","family":"Wang","given":"Ji","non-dropping-particle":"","parse-names":false,"suffix":""},{"dropping-particle":"","family":"Lin","given":"Yang","non-dropping-particle":"","parse-names":false,"suffix":""},{"dropping-particle":"","family":"Yuan","given":"Jianying","non-dropping-particle":"","parse-names":false,"suffix":""},{"dropping-particle":"","family":"Xie","given":"Zhihao","non-dropping-particle":"","parse-names":false,"suffix":""},{"dropping-particle":"","family":"Ma","given":"Jinmin","non-dropping-particle":"","parse-names":false,"suffix":""},{"dropping-particle":"","family":"Liu","given":"William J.","non-dropping-particle":"","parse-names":false,"suffix":""},{"dropping-particle":"","family":"Wang","given":"Dayan","non-dropping-particle":"","parse-names":false,"suffix":""},{"dropping-particle":"","family":"Xu","given":"Wenbo","non-dropping-particle":"","parse-names":false,"suffix":""},{"dropping-particle":"","family":"Holmes","given":"Edward C.","non-dropping-particle":"","parse-names":false,"suffix":""},{"dropping-particle":"","family":"Gao","given":"George F.","non-dropping-particle":"","parse-names":false,"suffix":""},{"dropping-particle":"","family":"Wu","given":"Guizhen","non-dropping-particle":"","parse-names":false,"suffix":""},{"dropping-particle":"","family":"Chen","given":"Weijun","non-dropping-particle":"","parse-names":false,"suffix":""},{"dropping-particle":"","family":"Shi","given":"Weifeng","non-dropping-particle":"","parse-names":false,"suffix":""},{"dropping-particle":"","family":"Tan","given":"Wenjie","non-dropping-particle":"","parse-names":false,"suffix":""}],"container-title":"The Lancet","id":"ITEM-1","issue":"10224","issued":{"date-parts":[["2020","2","22"]]},"page":"565-574","publisher":"Lancet Publishing Group","title":"Genomic characterisation and epidemiology of 2019 novel coronavirus: implications for virus origins and receptor binding","type":"article-journal","volume":"395"},"uris":["http://www.mendeley.com/documents/?uuid=28f641c6-07fa-3ea9-9863-539a45a618f5"]}],"mendeley":{"formattedCitation":"(1)","plainTextFormattedCitation":"(1)","previouslyFormattedCitation":"(1)"},"properties":{"noteIndex":0},"schema":"https://github.com/citation-style-language/schema/raw/master/csl-citation.json"}</w:instrText>
      </w:r>
      <w:r w:rsidRPr="004B0BC2">
        <w:rPr>
          <w:rFonts w:cstheme="minorHAnsi"/>
          <w:sz w:val="22"/>
          <w:szCs w:val="22"/>
          <w:shd w:val="clear" w:color="auto" w:fill="FFFFFF"/>
        </w:rPr>
        <w:fldChar w:fldCharType="separate"/>
      </w:r>
      <w:r w:rsidRPr="004B0BC2">
        <w:rPr>
          <w:rFonts w:cstheme="minorHAnsi"/>
          <w:noProof/>
          <w:sz w:val="22"/>
          <w:szCs w:val="22"/>
          <w:shd w:val="clear" w:color="auto" w:fill="FFFFFF"/>
        </w:rPr>
        <w:t>(1)</w:t>
      </w:r>
      <w:r w:rsidRPr="004B0BC2">
        <w:rPr>
          <w:rFonts w:cstheme="minorHAnsi"/>
          <w:sz w:val="22"/>
          <w:szCs w:val="22"/>
          <w:shd w:val="clear" w:color="auto" w:fill="FFFFFF"/>
        </w:rPr>
        <w:fldChar w:fldCharType="end"/>
      </w:r>
      <w:r w:rsidRPr="004B0BC2">
        <w:rPr>
          <w:rFonts w:cstheme="minorHAnsi"/>
          <w:sz w:val="22"/>
          <w:szCs w:val="22"/>
          <w:shd w:val="clear" w:color="auto" w:fill="FFFFFF"/>
        </w:rPr>
        <w:t>. The pathogenesis of COVID-19 is still poorly understood</w:t>
      </w:r>
      <w:r w:rsidR="003C11E1">
        <w:rPr>
          <w:rFonts w:cstheme="minorHAnsi"/>
          <w:sz w:val="22"/>
          <w:szCs w:val="22"/>
          <w:shd w:val="clear" w:color="auto" w:fill="FFFFFF"/>
        </w:rPr>
        <w:t>,</w:t>
      </w:r>
      <w:r w:rsidRPr="004B0BC2">
        <w:rPr>
          <w:rFonts w:cstheme="minorHAnsi"/>
          <w:sz w:val="22"/>
          <w:szCs w:val="22"/>
          <w:shd w:val="clear" w:color="auto" w:fill="FFFFFF"/>
        </w:rPr>
        <w:t xml:space="preserve"> but it has been speculated that the SARS-CoV-2 first binds to the Angiotensin-converting enzyme 2 receptor (ACE2) on the surface of epithelial cells in the nasal cavity</w:t>
      </w:r>
      <w:r w:rsidRPr="004B0BC2">
        <w:rPr>
          <w:rFonts w:cstheme="minorHAnsi"/>
          <w:sz w:val="22"/>
          <w:szCs w:val="22"/>
          <w:shd w:val="clear" w:color="auto" w:fill="FFFFFF"/>
        </w:rPr>
        <w:fldChar w:fldCharType="begin" w:fldLock="1"/>
      </w:r>
      <w:r w:rsidR="002410DF">
        <w:rPr>
          <w:rFonts w:cstheme="minorHAnsi"/>
          <w:sz w:val="22"/>
          <w:szCs w:val="22"/>
          <w:shd w:val="clear" w:color="auto" w:fill="FFFFFF"/>
        </w:rPr>
        <w:instrText>ADDIN CSL_CITATION {"citationItems":[{"id":"ITEM-1","itemData":{"DOI":"10.1159/000507305","ISSN":"1660-8151","abstract":"Here, we review the most recent findings on the effects of SARS-CoV-2 infection on kidney diseases, including acute kidney injury, and examine the potential effects of ARBs on the outcomes of patients with COVID-19. Lastly, we discuss the clinical management of COVID-19 patients with existing chronic renal disorders, particularly those in dialysis and with kidney transplants.","author":[{"dropping-particle":"","family":"Perico","given":"Luca","non-dropping-particle":"","parse-names":false,"suffix":""},{"dropping-particle":"","family":"Benigni","given":"Ariela","non-dropping-particle":"","parse-names":false,"suffix":""},{"dropping-particle":"","family":"Remuzzi","given":"Giuseppe","non-dropping-particle":"","parse-names":false,"suffix":""}],"container-title":"Nephron","id":"ITEM-1","issue":"5","issued":{"date-parts":[["2020"]]},"page":"1-9","title":"Should COVID-19 Concern Nephrologists? Why and to What Extent? The Emerging Impasse of Angiotensin Blockade","type":"article-journal","volume":"144"},"uris":["http://www.mendeley.com/documents/?uuid=53f1923f-662e-3a95-a7b3-0f24cc25a920"]}],"mendeley":{"formattedCitation":"(6)","plainTextFormattedCitation":"(6)","previouslyFormattedCitation":"(6)"},"properties":{"noteIndex":0},"schema":"https://github.com/citation-style-language/schema/raw/master/csl-citation.json"}</w:instrText>
      </w:r>
      <w:r w:rsidRPr="004B0BC2">
        <w:rPr>
          <w:rFonts w:cstheme="minorHAnsi"/>
          <w:sz w:val="22"/>
          <w:szCs w:val="22"/>
          <w:shd w:val="clear" w:color="auto" w:fill="FFFFFF"/>
        </w:rPr>
        <w:fldChar w:fldCharType="separate"/>
      </w:r>
      <w:r w:rsidRPr="004B0BC2">
        <w:rPr>
          <w:rFonts w:cstheme="minorHAnsi"/>
          <w:noProof/>
          <w:sz w:val="22"/>
          <w:szCs w:val="22"/>
          <w:shd w:val="clear" w:color="auto" w:fill="FFFFFF"/>
        </w:rPr>
        <w:t>(6)</w:t>
      </w:r>
      <w:r w:rsidRPr="004B0BC2">
        <w:rPr>
          <w:rFonts w:cstheme="minorHAnsi"/>
          <w:sz w:val="22"/>
          <w:szCs w:val="22"/>
          <w:shd w:val="clear" w:color="auto" w:fill="FFFFFF"/>
        </w:rPr>
        <w:fldChar w:fldCharType="end"/>
      </w:r>
      <w:r w:rsidRPr="004B0BC2">
        <w:rPr>
          <w:rFonts w:cstheme="minorHAnsi"/>
          <w:sz w:val="22"/>
          <w:szCs w:val="22"/>
          <w:shd w:val="clear" w:color="auto" w:fill="FFFFFF"/>
        </w:rPr>
        <w:fldChar w:fldCharType="begin" w:fldLock="1"/>
      </w:r>
      <w:r w:rsidR="002410DF">
        <w:rPr>
          <w:rFonts w:cstheme="minorHAnsi"/>
          <w:sz w:val="22"/>
          <w:szCs w:val="22"/>
          <w:shd w:val="clear" w:color="auto" w:fill="FFFFFF"/>
        </w:rPr>
        <w:instrText>ADDIN CSL_CITATION {"citationItems":[{"id":"ITEM-1","itemData":{"DOI":"10.1183/13993003.00607-2020","ISSN":"13993003","PMID":"32269085","abstract":"Coronavirus disease 2019 (COVID-19) is a major health concern and can be devastating, especially for the elderly. COVID-19 is the disease caused by the SARS-CoV-2 virus. Although much is known about the mortality of the clinical disease, much less is known about its pathobiology. Although details of the cellular responses to this virus are not known, a probable course of events can be postulated based on past studies with SARS-CoV. A cellular biology perspective is useful for framing research questions and explaining the clinical course by focusing on the areas of the respiratory tract that are involved. Based on the cells that are likely infected, COVID-19 can be divided into three phases that correspond to different clinical stages of the disease [1]. COVID-19 can be understood by the region of the lung that is infected. Mild disease will be confined to the conducting airways and severe disease will involve the gas exchange portion of the lung. &lt;https://bit.ly/2vGndRQ&gt;","author":[{"dropping-particle":"","family":"Mason","given":"Robert J.","non-dropping-particle":"","parse-names":false,"suffix":""}],"container-title":"The European respiratory journal","id":"ITEM-1","issue":"4","issued":{"date-parts":[["2020"]]},"page":"1-3","title":"Pathogenesis of COVID-19 from a cell biologic perspective","type":"article","volume":"55"},"uris":["http://www.mendeley.com/documents/?uuid=35bcd1dc-0f75-376f-8d3b-1810cf48081c"]}],"mendeley":{"formattedCitation":"(7)","plainTextFormattedCitation":"(7)","previouslyFormattedCitation":"(7)"},"properties":{"noteIndex":0},"schema":"https://github.com/citation-style-language/schema/raw/master/csl-citation.json"}</w:instrText>
      </w:r>
      <w:r w:rsidRPr="004B0BC2">
        <w:rPr>
          <w:rFonts w:cstheme="minorHAnsi"/>
          <w:sz w:val="22"/>
          <w:szCs w:val="22"/>
          <w:shd w:val="clear" w:color="auto" w:fill="FFFFFF"/>
        </w:rPr>
        <w:fldChar w:fldCharType="separate"/>
      </w:r>
      <w:r w:rsidRPr="004B0BC2">
        <w:rPr>
          <w:rFonts w:cstheme="minorHAnsi"/>
          <w:noProof/>
          <w:sz w:val="22"/>
          <w:szCs w:val="22"/>
          <w:shd w:val="clear" w:color="auto" w:fill="FFFFFF"/>
        </w:rPr>
        <w:t>(7)</w:t>
      </w:r>
      <w:r w:rsidRPr="004B0BC2">
        <w:rPr>
          <w:rFonts w:cstheme="minorHAnsi"/>
          <w:sz w:val="22"/>
          <w:szCs w:val="22"/>
          <w:shd w:val="clear" w:color="auto" w:fill="FFFFFF"/>
        </w:rPr>
        <w:fldChar w:fldCharType="end"/>
      </w:r>
      <w:r w:rsidR="003C11E1">
        <w:rPr>
          <w:rFonts w:cstheme="minorHAnsi"/>
          <w:sz w:val="22"/>
          <w:szCs w:val="22"/>
          <w:shd w:val="clear" w:color="auto" w:fill="FFFFFF"/>
        </w:rPr>
        <w:t>, after which it</w:t>
      </w:r>
      <w:r w:rsidRPr="004B0BC2">
        <w:rPr>
          <w:rFonts w:cstheme="minorHAnsi"/>
          <w:sz w:val="22"/>
          <w:szCs w:val="22"/>
          <w:shd w:val="clear" w:color="auto" w:fill="FFFFFF"/>
        </w:rPr>
        <w:t xml:space="preserve"> propagates and spreads across the respiratory tract causing an innate immune response with cytokine secretion and an inflammatory response</w:t>
      </w:r>
      <w:r w:rsidRPr="004B0BC2">
        <w:rPr>
          <w:rFonts w:cstheme="minorHAnsi"/>
          <w:sz w:val="22"/>
          <w:szCs w:val="22"/>
          <w:shd w:val="clear" w:color="auto" w:fill="FFFFFF"/>
        </w:rPr>
        <w:fldChar w:fldCharType="begin" w:fldLock="1"/>
      </w:r>
      <w:r w:rsidR="008A2D20" w:rsidRPr="004B0BC2">
        <w:rPr>
          <w:rFonts w:cstheme="minorHAnsi"/>
          <w:sz w:val="22"/>
          <w:szCs w:val="22"/>
          <w:shd w:val="clear" w:color="auto" w:fill="FFFFFF"/>
        </w:rPr>
        <w:instrText>ADDIN CSL_CITATION {"citationItems":[{"id":"ITEM-1","itemData":{"DOI":"10.1016/j.jaut.2020.102463","ISSN":"10959157","abstract":"It has been reported that SARS-CoV-2 may use ACE2 as a receptor to gain entry into human cells, in a way similar to that of SARS-CoV. Analyzing the distribution and expression level of ACE2 may therefore help reveal underlying mechanisms of viral susceptibility and post-infection modulation. In this study, we utilized previously uploaded information on ACE2 expression in various conditions including SARS-CoA to evaluate the role of ACE2 in SARS-CoV and extrapolate that to COVID-19. We found that the expression of ACE2 in healthy populations and patients with underlying diseases was not significantly different. However, based on the elevated expression of ACE2 in cigarette smokers, we speculate that long-term smoking may be a risk factor for COVID-19. Analysis of ACE2 in SARS-CoV infected cells suggests that ACE2 is not only a receptor but is also involved in post-infection regulation, including immune response, cytokine secretion, and viral genome replication. Moreover, we constructed Protein-protein interaction (PPI) networks and identified hub genes in viral activity and cytokine secretion. Our findings may help clinicians and researchers gain more insight into the pathogenesis of SARS-CoV-2 and design therapeutic strategies for COVID-19.","author":[{"dropping-particle":"","family":"Li","given":"Guoping","non-dropping-particle":"","parse-names":false,"suffix":""},{"dropping-particle":"","family":"He","given":"Xiang","non-dropping-particle":"","parse-names":false,"suffix":""},{"dropping-particle":"","family":"Zhang","given":"Lei","non-dropping-particle":"","parse-names":false,"suffix":""},{"dropping-particle":"","family":"Ran","given":"Qin","non-dropping-particle":"","parse-names":false,"suffix":""},{"dropping-particle":"","family":"Wang","given":"Junyi","non-dropping-particle":"","parse-names":false,"suffix":""},{"dropping-particle":"","family":"Xiong","given":"Anying","non-dropping-particle":"","parse-names":false,"suffix":""},{"dropping-particle":"","family":"Wu","given":"Dehong","non-dropping-particle":"","parse-names":false,"suffix":""},{"dropping-particle":"","family":"Chen","given":"Feng","non-dropping-particle":"","parse-names":false,"suffix":""},{"dropping-particle":"","family":"Sun","given":"Jinlyu","non-dropping-particle":"","parse-names":false,"suffix":""},{"dropping-particle":"","family":"Chang","given":"Christopher","non-dropping-particle":"","parse-names":false,"suffix":""}],"container-title":"Journal of Autoimmunity","id":"ITEM-1","issued":{"date-parts":[["2020"]]},"page":"1-7","publisher":"Academic Press","title":"Assessing ACE2 expression patterns in lung tissues in the pathogenesis of COVID-19","type":"article-journal","volume":"112"},"uris":["http://www.mendeley.com/documents/?uuid=b727d230-c3d1-3915-bd07-5b0b4cae1763"]}],"mendeley":{"formattedCitation":"(8)","plainTextFormattedCitation":"(8)","previouslyFormattedCitation":"(8)"},"properties":{"noteIndex":0},"schema":"https://github.com/citation-style-language/schema/raw/master/csl-citation.json"}</w:instrText>
      </w:r>
      <w:r w:rsidRPr="004B0BC2">
        <w:rPr>
          <w:rFonts w:cstheme="minorHAnsi"/>
          <w:sz w:val="22"/>
          <w:szCs w:val="22"/>
          <w:shd w:val="clear" w:color="auto" w:fill="FFFFFF"/>
        </w:rPr>
        <w:fldChar w:fldCharType="separate"/>
      </w:r>
      <w:r w:rsidRPr="004B0BC2">
        <w:rPr>
          <w:rFonts w:cstheme="minorHAnsi"/>
          <w:noProof/>
          <w:sz w:val="22"/>
          <w:szCs w:val="22"/>
          <w:shd w:val="clear" w:color="auto" w:fill="FFFFFF"/>
        </w:rPr>
        <w:t>(8)</w:t>
      </w:r>
      <w:r w:rsidRPr="004B0BC2">
        <w:rPr>
          <w:rFonts w:cstheme="minorHAnsi"/>
          <w:sz w:val="22"/>
          <w:szCs w:val="22"/>
          <w:shd w:val="clear" w:color="auto" w:fill="FFFFFF"/>
        </w:rPr>
        <w:fldChar w:fldCharType="end"/>
      </w:r>
      <w:r w:rsidRPr="004B0BC2">
        <w:rPr>
          <w:rFonts w:cstheme="minorHAnsi"/>
          <w:sz w:val="22"/>
          <w:szCs w:val="22"/>
          <w:shd w:val="clear" w:color="auto" w:fill="FFFFFF"/>
        </w:rPr>
        <w:t>. This</w:t>
      </w:r>
      <w:r w:rsidR="003C11E1">
        <w:rPr>
          <w:rFonts w:cstheme="minorHAnsi"/>
          <w:sz w:val="22"/>
          <w:szCs w:val="22"/>
          <w:shd w:val="clear" w:color="auto" w:fill="FFFFFF"/>
        </w:rPr>
        <w:t xml:space="preserve"> immune response</w:t>
      </w:r>
      <w:r w:rsidRPr="004B0BC2">
        <w:rPr>
          <w:rFonts w:cstheme="minorHAnsi"/>
          <w:sz w:val="22"/>
          <w:szCs w:val="22"/>
          <w:shd w:val="clear" w:color="auto" w:fill="FFFFFF"/>
        </w:rPr>
        <w:t xml:space="preserve"> results in </w:t>
      </w:r>
      <w:r w:rsidR="003C11E1">
        <w:rPr>
          <w:rFonts w:cstheme="minorHAnsi"/>
          <w:sz w:val="22"/>
          <w:szCs w:val="22"/>
          <w:shd w:val="clear" w:color="auto" w:fill="FFFFFF"/>
        </w:rPr>
        <w:t xml:space="preserve">an influx of </w:t>
      </w:r>
      <w:r w:rsidRPr="004B0BC2">
        <w:rPr>
          <w:rFonts w:cstheme="minorHAnsi"/>
          <w:sz w:val="22"/>
          <w:szCs w:val="22"/>
          <w:shd w:val="clear" w:color="auto" w:fill="FFFFFF"/>
        </w:rPr>
        <w:t xml:space="preserve">pulmonary infiltrates, apoptosis of alveolar type II cells and diffuse alveolar damage, leading to subsequent fibrosis, acute respiratory distress syndrome </w:t>
      </w:r>
      <w:r w:rsidR="00433D48">
        <w:rPr>
          <w:rFonts w:cstheme="minorHAnsi"/>
          <w:sz w:val="22"/>
          <w:szCs w:val="22"/>
          <w:shd w:val="clear" w:color="auto" w:fill="FFFFFF"/>
        </w:rPr>
        <w:t xml:space="preserve">(ARDS) </w:t>
      </w:r>
      <w:r w:rsidRPr="004B0BC2">
        <w:rPr>
          <w:rFonts w:cstheme="minorHAnsi"/>
          <w:sz w:val="22"/>
          <w:szCs w:val="22"/>
          <w:shd w:val="clear" w:color="auto" w:fill="FFFFFF"/>
        </w:rPr>
        <w:t>and microvascular thrombi</w:t>
      </w:r>
      <w:r w:rsidRPr="004B0BC2">
        <w:rPr>
          <w:rFonts w:cstheme="minorHAnsi"/>
          <w:sz w:val="22"/>
          <w:szCs w:val="22"/>
          <w:shd w:val="clear" w:color="auto" w:fill="FFFFFF"/>
        </w:rPr>
        <w:fldChar w:fldCharType="begin" w:fldLock="1"/>
      </w:r>
      <w:r w:rsidR="002410DF">
        <w:rPr>
          <w:rFonts w:cstheme="minorHAnsi"/>
          <w:sz w:val="22"/>
          <w:szCs w:val="22"/>
          <w:shd w:val="clear" w:color="auto" w:fill="FFFFFF"/>
        </w:rPr>
        <w:instrText>ADDIN CSL_CITATION {"citationItems":[{"id":"ITEM-1","itemData":{"DOI":"10.1183/13993003.00607-2020","ISSN":"13993003","PMID":"32269085","abstract":"Coronavirus disease 2019 (COVID-19) is a major health concern and can be devastating, especially for the elderly. COVID-19 is the disease caused by the SARS-CoV-2 virus. Although much is known about the mortality of the clinical disease, much less is known about its pathobiology. Although details of the cellular responses to this virus are not known, a probable course of events can be postulated based on past studies with SARS-CoV. A cellular biology perspective is useful for framing research questions and explaining the clinical course by focusing on the areas of the respiratory tract that are involved. Based on the cells that are likely infected, COVID-19 can be divided into three phases that correspond to different clinical stages of the disease [1]. COVID-19 can be understood by the region of the lung that is infected. Mild disease will be confined to the conducting airways and severe disease will involve the gas exchange portion of the lung. &lt;https://bit.ly/2vGndRQ&gt;","author":[{"dropping-particle":"","family":"Mason","given":"Robert J.","non-dropping-particle":"","parse-names":false,"suffix":""}],"container-title":"The European respiratory journal","id":"ITEM-1","issue":"4","issued":{"date-parts":[["2020"]]},"page":"1-3","title":"Pathogenesis of COVID-19 from a cell biologic perspective","type":"article","volume":"55"},"uris":["http://www.mendeley.com/documents/?uuid=35bcd1dc-0f75-376f-8d3b-1810cf48081c"]}],"mendeley":{"formattedCitation":"(7)","plainTextFormattedCitation":"(7)","previouslyFormattedCitation":"(7)"},"properties":{"noteIndex":0},"schema":"https://github.com/citation-style-language/schema/raw/master/csl-citation.json"}</w:instrText>
      </w:r>
      <w:r w:rsidRPr="004B0BC2">
        <w:rPr>
          <w:rFonts w:cstheme="minorHAnsi"/>
          <w:sz w:val="22"/>
          <w:szCs w:val="22"/>
          <w:shd w:val="clear" w:color="auto" w:fill="FFFFFF"/>
        </w:rPr>
        <w:fldChar w:fldCharType="separate"/>
      </w:r>
      <w:r w:rsidRPr="004B0BC2">
        <w:rPr>
          <w:rFonts w:cstheme="minorHAnsi"/>
          <w:noProof/>
          <w:sz w:val="22"/>
          <w:szCs w:val="22"/>
          <w:shd w:val="clear" w:color="auto" w:fill="FFFFFF"/>
        </w:rPr>
        <w:t>(7)</w:t>
      </w:r>
      <w:r w:rsidRPr="004B0BC2">
        <w:rPr>
          <w:rFonts w:cstheme="minorHAnsi"/>
          <w:sz w:val="22"/>
          <w:szCs w:val="22"/>
          <w:shd w:val="clear" w:color="auto" w:fill="FFFFFF"/>
        </w:rPr>
        <w:fldChar w:fldCharType="end"/>
      </w:r>
      <w:r w:rsidRPr="004B0BC2">
        <w:rPr>
          <w:rFonts w:cstheme="minorHAnsi"/>
          <w:sz w:val="22"/>
          <w:szCs w:val="22"/>
          <w:shd w:val="clear" w:color="auto" w:fill="FFFFFF"/>
        </w:rPr>
        <w:fldChar w:fldCharType="begin" w:fldLock="1"/>
      </w:r>
      <w:r w:rsidR="002410DF">
        <w:rPr>
          <w:rFonts w:cstheme="minorHAnsi"/>
          <w:sz w:val="22"/>
          <w:szCs w:val="22"/>
          <w:shd w:val="clear" w:color="auto" w:fill="FFFFFF"/>
        </w:rPr>
        <w:instrText>ADDIN CSL_CITATION {"citationItems":[{"id":"ITEM-1","itemData":{"DOI":"10.1148/radiol.2020201629","ISSN":"0033-8419","abstract":"A potential link between mortality, D-dimer values and a prothrombotic syndrome has been reported in patients with COVID-19 infection. The National Institute for Public Health of the Netherlands asked a group of Radiology and Vascular Medicine experts to provide guidance for the imaging workup and treatment of these important complications. This report summarizes evidence for thromboembolic disease, potential diagnostic and preventive actions as well as recommendations for patients with COVID-19 infection.","author":[{"dropping-particle":"","family":"Oudkerk","given":"Matthijs","non-dropping-particle":"","parse-names":false,"suffix":""},{"dropping-particle":"","family":"Büller","given":"Harry R","non-dropping-particle":"","parse-names":false,"suffix":""},{"dropping-particle":"","family":"Kuijpers","given":"Dirkjan","non-dropping-particle":"","parse-names":false,"suffix":""},{"dropping-particle":"","family":"Es","given":"Nick","non-dropping-particle":"van","parse-names":false,"suffix":""},{"dropping-particle":"","family":"Oudkerk","given":"Sitse F","non-dropping-particle":"","parse-names":false,"suffix":""},{"dropping-particle":"","family":"McLoud","given":"Theresa C","non-dropping-particle":"","parse-names":false,"suffix":""},{"dropping-particle":"","family":"Gommers","given":"Diederik","non-dropping-particle":"","parse-names":false,"suffix":""},{"dropping-particle":"","family":"Dissel","given":"Jaap","non-dropping-particle":"van","parse-names":false,"suffix":""},{"dropping-particle":"","family":"Cate","given":"Hugo","non-dropping-particle":"ten","parse-names":false,"suffix":""},{"dropping-particle":"","family":"Beek","given":"Edwin J","non-dropping-particle":"van","parse-names":false,"suffix":""}],"container-title":"Radiology","id":"ITEM-1","issue":"8","issued":{"date-parts":[["2020"]]},"page":"1-15","title":"Diagnosis, Prevention, and Treatment of Thromboembolic Complications in COVID-19: Report of the National Institute for Public Health of the Netherlands","type":"article-journal","volume":"77"},"uris":["http://www.mendeley.com/documents/?uuid=7ea19f49-52a7-3010-853e-5e1d6ed4eea6"]}],"mendeley":{"formattedCitation":"(9)","plainTextFormattedCitation":"(9)","previouslyFormattedCitation":"(9)"},"properties":{"noteIndex":0},"schema":"https://github.com/citation-style-language/schema/raw/master/csl-citation.json"}</w:instrText>
      </w:r>
      <w:r w:rsidRPr="004B0BC2">
        <w:rPr>
          <w:rFonts w:cstheme="minorHAnsi"/>
          <w:sz w:val="22"/>
          <w:szCs w:val="22"/>
          <w:shd w:val="clear" w:color="auto" w:fill="FFFFFF"/>
        </w:rPr>
        <w:fldChar w:fldCharType="separate"/>
      </w:r>
      <w:r w:rsidRPr="004B0BC2">
        <w:rPr>
          <w:rFonts w:cstheme="minorHAnsi"/>
          <w:noProof/>
          <w:sz w:val="22"/>
          <w:szCs w:val="22"/>
          <w:shd w:val="clear" w:color="auto" w:fill="FFFFFF"/>
        </w:rPr>
        <w:t>(9)</w:t>
      </w:r>
      <w:r w:rsidRPr="004B0BC2">
        <w:rPr>
          <w:rFonts w:cstheme="minorHAnsi"/>
          <w:sz w:val="22"/>
          <w:szCs w:val="22"/>
          <w:shd w:val="clear" w:color="auto" w:fill="FFFFFF"/>
        </w:rPr>
        <w:fldChar w:fldCharType="end"/>
      </w:r>
      <w:r w:rsidRPr="004B0BC2">
        <w:rPr>
          <w:rFonts w:cstheme="minorHAnsi"/>
          <w:sz w:val="22"/>
          <w:szCs w:val="22"/>
          <w:shd w:val="clear" w:color="auto" w:fill="FFFFFF"/>
        </w:rPr>
        <w:fldChar w:fldCharType="begin" w:fldLock="1"/>
      </w:r>
      <w:r w:rsidR="008A2D20" w:rsidRPr="004B0BC2">
        <w:rPr>
          <w:rFonts w:cstheme="minorHAnsi"/>
          <w:sz w:val="22"/>
          <w:szCs w:val="22"/>
          <w:shd w:val="clear" w:color="auto" w:fill="FFFFFF"/>
        </w:rPr>
        <w:instrText>ADDIN CSL_CITATION {"citationItems":[{"id":"ITEM-1","itemData":{"ISSN":"1441-2772","PMID":"32294809","abstract":"We suggest the use of MicroCLOTS (microvascular COVID-19 lung vessels obstructive thromboinflammatory syndrome) as a new name for severe pulmonary coronavirus disease 2019 (COVID-19). We hypothesise that, in predisposed individuals, alveolar viral damage is followed by an inflammatory reaction and by microvascular pulmonary thrombosis. This progressive endothelial thromboinflammatory syndrome may also involve the microvascular bed of the brain and other vital organs, leading to multiple organ failure and death. Future steps in the understanding of the disease and in the identification of treatments may benefit from this definition and hypothesised sequence of events.","author":[{"dropping-particle":"","family":"Ciceri","given":"Fabio","non-dropping-particle":"","parse-names":false,"suffix":""},{"dropping-particle":"","family":"Beretta","given":"Luigi","non-dropping-particle":"","parse-names":false,"suffix":""},{"dropping-particle":"","family":"Scandroglio","given":"Anna Mara","non-dropping-particle":"","parse-names":false,"suffix":""},{"dropping-particle":"","family":"Colombo","given":"Sergio","non-dropping-particle":"","parse-names":false,"suffix":""},{"dropping-particle":"","family":"Landoni","given":"Giovanni","non-dropping-particle":"","parse-names":false,"suffix":""},{"dropping-particle":"","family":"Ruggeri","given":"Annalisa","non-dropping-particle":"","parse-names":false,"suffix":""},{"dropping-particle":"","family":"Peccatori","given":"Jacopo","non-dropping-particle":"","parse-names":false,"suffix":""},{"dropping-particle":"","family":"D'Angelo","given":"Armando","non-dropping-particle":"","parse-names":false,"suffix":""},{"dropping-particle":"","family":"Cobelli","given":"Francesco","non-dropping-particle":"De","parse-names":false,"suffix":""},{"dropping-particle":"","family":"Rovere-Querini","given":"Patrizia","non-dropping-particle":"","parse-names":false,"suffix":""},{"dropping-particle":"","family":"Tresoldi","given":"Moreno","non-dropping-particle":"","parse-names":false,"suffix":""},{"dropping-particle":"","family":"Dagna","given":"Lorenzo","non-dropping-particle":"","parse-names":false,"suffix":""},{"dropping-particle":"","family":"Zangrillo","given":"Alberto","non-dropping-particle":"","parse-names":false,"suffix":""}],"container-title":"Critical care and resuscitation : journal of the Australasian Academy of Critical Care Medicine","id":"ITEM-1","issue":"2","issued":{"date-parts":[["2020"]]},"page":"95-97","title":"Microvascular COVID-19 lung vessels obstructive thromboinflammatory syndrome (MicroCLOTS): an atypical acute respiratory distress syndrome working hypothesis.","type":"article-journal","volume":"22"},"uris":["http://www.mendeley.com/documents/?uuid=074b5add-e44b-42e0-82fc-1f7b937da6d7"]}],"mendeley":{"formattedCitation":"(10)","plainTextFormattedCitation":"(10)","previouslyFormattedCitation":"(10)"},"properties":{"noteIndex":0},"schema":"https://github.com/citation-style-language/schema/raw/master/csl-citation.json"}</w:instrText>
      </w:r>
      <w:r w:rsidRPr="004B0BC2">
        <w:rPr>
          <w:rFonts w:cstheme="minorHAnsi"/>
          <w:sz w:val="22"/>
          <w:szCs w:val="22"/>
          <w:shd w:val="clear" w:color="auto" w:fill="FFFFFF"/>
        </w:rPr>
        <w:fldChar w:fldCharType="separate"/>
      </w:r>
      <w:r w:rsidRPr="004B0BC2">
        <w:rPr>
          <w:rFonts w:cstheme="minorHAnsi"/>
          <w:noProof/>
          <w:sz w:val="22"/>
          <w:szCs w:val="22"/>
          <w:shd w:val="clear" w:color="auto" w:fill="FFFFFF"/>
        </w:rPr>
        <w:t>(10)</w:t>
      </w:r>
      <w:r w:rsidRPr="004B0BC2">
        <w:rPr>
          <w:rFonts w:cstheme="minorHAnsi"/>
          <w:sz w:val="22"/>
          <w:szCs w:val="22"/>
          <w:shd w:val="clear" w:color="auto" w:fill="FFFFFF"/>
        </w:rPr>
        <w:fldChar w:fldCharType="end"/>
      </w:r>
      <w:r w:rsidRPr="004B0BC2">
        <w:rPr>
          <w:rFonts w:cstheme="minorHAnsi"/>
          <w:sz w:val="22"/>
          <w:szCs w:val="22"/>
          <w:shd w:val="clear" w:color="auto" w:fill="FFFFFF"/>
        </w:rPr>
        <w:t xml:space="preserve">. </w:t>
      </w:r>
    </w:p>
    <w:p w14:paraId="3CE05F0C" w14:textId="06696144" w:rsidR="00512579" w:rsidRPr="002022A6" w:rsidRDefault="00512579" w:rsidP="00B66369">
      <w:pPr>
        <w:pStyle w:val="NoSpacing"/>
        <w:spacing w:line="480" w:lineRule="auto"/>
        <w:rPr>
          <w:rFonts w:cstheme="minorHAnsi"/>
          <w:sz w:val="22"/>
          <w:szCs w:val="22"/>
          <w:shd w:val="clear" w:color="auto" w:fill="FFFFFF"/>
        </w:rPr>
      </w:pPr>
      <w:r w:rsidRPr="002022A6">
        <w:rPr>
          <w:rFonts w:cstheme="minorHAnsi"/>
          <w:sz w:val="22"/>
          <w:szCs w:val="22"/>
          <w:shd w:val="clear" w:color="auto" w:fill="FFFFFF"/>
        </w:rPr>
        <w:t>The first cases</w:t>
      </w:r>
      <w:r w:rsidR="007D1D58" w:rsidRPr="002022A6">
        <w:rPr>
          <w:rFonts w:cstheme="minorHAnsi"/>
          <w:sz w:val="22"/>
          <w:szCs w:val="22"/>
          <w:shd w:val="clear" w:color="auto" w:fill="FFFFFF"/>
        </w:rPr>
        <w:t xml:space="preserve"> of </w:t>
      </w:r>
      <w:r w:rsidR="00CF4E48" w:rsidRPr="000242C7">
        <w:rPr>
          <w:rFonts w:cstheme="minorHAnsi"/>
          <w:sz w:val="22"/>
          <w:szCs w:val="22"/>
          <w:shd w:val="clear" w:color="auto" w:fill="FFFFFF"/>
        </w:rPr>
        <w:t>COVID-19</w:t>
      </w:r>
      <w:r w:rsidRPr="008A3B78">
        <w:rPr>
          <w:rFonts w:cstheme="minorHAnsi"/>
          <w:sz w:val="22"/>
          <w:szCs w:val="22"/>
          <w:shd w:val="clear" w:color="auto" w:fill="FFFFFF"/>
        </w:rPr>
        <w:t xml:space="preserve"> were reported in December 2019; by the end of February</w:t>
      </w:r>
      <w:r w:rsidR="003C11E1" w:rsidRPr="002022A6">
        <w:rPr>
          <w:rFonts w:cstheme="minorHAnsi"/>
          <w:sz w:val="22"/>
          <w:szCs w:val="22"/>
          <w:shd w:val="clear" w:color="auto" w:fill="FFFFFF"/>
        </w:rPr>
        <w:t xml:space="preserve"> 2020</w:t>
      </w:r>
      <w:r w:rsidRPr="002022A6">
        <w:rPr>
          <w:rFonts w:cstheme="minorHAnsi"/>
          <w:sz w:val="22"/>
          <w:szCs w:val="22"/>
          <w:shd w:val="clear" w:color="auto" w:fill="FFFFFF"/>
        </w:rPr>
        <w:t>, 55,924</w:t>
      </w:r>
      <w:r w:rsidR="003C11E1" w:rsidRPr="002022A6">
        <w:rPr>
          <w:rFonts w:cstheme="minorHAnsi"/>
          <w:sz w:val="22"/>
          <w:szCs w:val="22"/>
          <w:shd w:val="clear" w:color="auto" w:fill="FFFFFF"/>
        </w:rPr>
        <w:t xml:space="preserve"> cases had been</w:t>
      </w:r>
      <w:r w:rsidRPr="002022A6">
        <w:rPr>
          <w:rFonts w:cstheme="minorHAnsi"/>
          <w:sz w:val="22"/>
          <w:szCs w:val="22"/>
          <w:shd w:val="clear" w:color="auto" w:fill="FFFFFF"/>
        </w:rPr>
        <w:t xml:space="preserve"> confirmed</w:t>
      </w:r>
      <w:r w:rsidRPr="002022A6">
        <w:rPr>
          <w:rFonts w:cstheme="minorHAnsi"/>
          <w:sz w:val="22"/>
          <w:szCs w:val="22"/>
          <w:shd w:val="clear" w:color="auto" w:fill="FFFFFF"/>
        </w:rPr>
        <w:fldChar w:fldCharType="begin" w:fldLock="1"/>
      </w:r>
      <w:r w:rsidR="008A2D20" w:rsidRPr="002022A6">
        <w:rPr>
          <w:rFonts w:cstheme="minorHAnsi"/>
          <w:sz w:val="22"/>
          <w:szCs w:val="22"/>
          <w:shd w:val="clear" w:color="auto" w:fill="FFFFFF"/>
        </w:rPr>
        <w:instrText>ADDIN CSL_CITATION {"citationItems":[{"id":"ITEM-1","itemData":{"abstract":"Dr Bruce Aylward of WHO and Dr Wannian Liang of the People’s Republic of China","author":[{"dropping-particle":"","family":"Bruce Aylward (WHO); Wannian Liang (PRC)","given":"","non-dropping-particle":"","parse-names":false,"suffix":""}],"container-title":"The WHO-China Joint Mission on Coronavirus Disease 2019","id":"ITEM-1","issued":{"date-parts":[["2020"]]},"number-of-pages":"1-40","title":"Report of the WHO-China Joint Mission on Coronavirus Disease 2019 (COVID-19)","type":"report"},"uris":["http://www.mendeley.com/documents/?uuid=27f7933b-9ebc-4d9a-9d1f-a68548700747"]}],"mendeley":{"formattedCitation":"(11)","plainTextFormattedCitation":"(11)","previouslyFormattedCitation":"(11)"},"properties":{"noteIndex":0},"schema":"https://github.com/citation-style-language/schema/raw/master/csl-citation.json"}</w:instrText>
      </w:r>
      <w:r w:rsidRPr="002022A6">
        <w:rPr>
          <w:rFonts w:cstheme="minorHAnsi"/>
          <w:sz w:val="22"/>
          <w:szCs w:val="22"/>
          <w:shd w:val="clear" w:color="auto" w:fill="FFFFFF"/>
        </w:rPr>
        <w:fldChar w:fldCharType="separate"/>
      </w:r>
      <w:r w:rsidRPr="002022A6">
        <w:rPr>
          <w:rFonts w:cstheme="minorHAnsi"/>
          <w:noProof/>
          <w:sz w:val="22"/>
          <w:szCs w:val="22"/>
          <w:shd w:val="clear" w:color="auto" w:fill="FFFFFF"/>
        </w:rPr>
        <w:t>(11)</w:t>
      </w:r>
      <w:r w:rsidRPr="002022A6">
        <w:rPr>
          <w:rFonts w:cstheme="minorHAnsi"/>
          <w:sz w:val="22"/>
          <w:szCs w:val="22"/>
          <w:shd w:val="clear" w:color="auto" w:fill="FFFFFF"/>
        </w:rPr>
        <w:fldChar w:fldCharType="end"/>
      </w:r>
      <w:r w:rsidRPr="008A3B78">
        <w:rPr>
          <w:rFonts w:cstheme="minorHAnsi"/>
          <w:sz w:val="22"/>
          <w:szCs w:val="22"/>
          <w:shd w:val="clear" w:color="auto" w:fill="FFFFFF"/>
        </w:rPr>
        <w:t>. Th</w:t>
      </w:r>
      <w:r w:rsidR="003C11E1" w:rsidRPr="002022A6">
        <w:rPr>
          <w:rFonts w:cstheme="minorHAnsi"/>
          <w:sz w:val="22"/>
          <w:szCs w:val="22"/>
          <w:shd w:val="clear" w:color="auto" w:fill="FFFFFF"/>
        </w:rPr>
        <w:t>e</w:t>
      </w:r>
      <w:r w:rsidRPr="002022A6">
        <w:rPr>
          <w:rFonts w:cstheme="minorHAnsi"/>
          <w:sz w:val="22"/>
          <w:szCs w:val="22"/>
          <w:shd w:val="clear" w:color="auto" w:fill="FFFFFF"/>
        </w:rPr>
        <w:t xml:space="preserve"> infection has now spread globally with over </w:t>
      </w:r>
      <w:r w:rsidR="006A2298" w:rsidRPr="000242C7">
        <w:rPr>
          <w:rFonts w:cstheme="minorHAnsi"/>
          <w:sz w:val="22"/>
          <w:szCs w:val="22"/>
          <w:shd w:val="clear" w:color="auto" w:fill="FFFFFF"/>
        </w:rPr>
        <w:t>234</w:t>
      </w:r>
      <w:r w:rsidR="00783618" w:rsidRPr="002022A6">
        <w:rPr>
          <w:rFonts w:cstheme="minorHAnsi"/>
          <w:sz w:val="22"/>
          <w:szCs w:val="22"/>
          <w:shd w:val="clear" w:color="auto" w:fill="FFFFFF"/>
        </w:rPr>
        <w:t xml:space="preserve"> </w:t>
      </w:r>
      <w:r w:rsidRPr="002022A6">
        <w:rPr>
          <w:rFonts w:cstheme="minorHAnsi"/>
          <w:sz w:val="22"/>
          <w:szCs w:val="22"/>
          <w:shd w:val="clear" w:color="auto" w:fill="FFFFFF"/>
        </w:rPr>
        <w:t>million confirmed cases (</w:t>
      </w:r>
      <w:r w:rsidR="006A2298" w:rsidRPr="000242C7">
        <w:rPr>
          <w:rFonts w:cstheme="minorHAnsi"/>
          <w:sz w:val="22"/>
          <w:szCs w:val="22"/>
          <w:shd w:val="clear" w:color="auto" w:fill="FFFFFF"/>
        </w:rPr>
        <w:t xml:space="preserve">43 </w:t>
      </w:r>
      <w:r w:rsidRPr="002022A6">
        <w:rPr>
          <w:rFonts w:cstheme="minorHAnsi"/>
          <w:sz w:val="22"/>
          <w:szCs w:val="22"/>
          <w:shd w:val="clear" w:color="auto" w:fill="FFFFFF"/>
        </w:rPr>
        <w:t xml:space="preserve">million in the US alone) and </w:t>
      </w:r>
      <w:r w:rsidR="006A2298" w:rsidRPr="000242C7">
        <w:rPr>
          <w:rFonts w:cstheme="minorHAnsi"/>
          <w:sz w:val="22"/>
          <w:szCs w:val="22"/>
          <w:shd w:val="clear" w:color="auto" w:fill="FFFFFF"/>
        </w:rPr>
        <w:t>4.7</w:t>
      </w:r>
      <w:r w:rsidR="00567A8B" w:rsidRPr="002022A6">
        <w:rPr>
          <w:rFonts w:cstheme="minorHAnsi"/>
          <w:sz w:val="22"/>
          <w:szCs w:val="22"/>
          <w:shd w:val="clear" w:color="auto" w:fill="FFFFFF"/>
        </w:rPr>
        <w:t xml:space="preserve"> million</w:t>
      </w:r>
      <w:r w:rsidR="00086C02" w:rsidRPr="002022A6">
        <w:rPr>
          <w:rFonts w:cstheme="minorHAnsi"/>
          <w:sz w:val="22"/>
          <w:szCs w:val="22"/>
          <w:shd w:val="clear" w:color="auto" w:fill="FFFFFF"/>
        </w:rPr>
        <w:t xml:space="preserve"> deaths</w:t>
      </w:r>
      <w:r w:rsidR="00284957" w:rsidRPr="002022A6">
        <w:rPr>
          <w:rFonts w:cstheme="minorHAnsi"/>
          <w:sz w:val="22"/>
          <w:szCs w:val="22"/>
          <w:shd w:val="clear" w:color="auto" w:fill="FFFFFF"/>
        </w:rPr>
        <w:t xml:space="preserve"> as of </w:t>
      </w:r>
      <w:r w:rsidR="006A2298" w:rsidRPr="000242C7">
        <w:rPr>
          <w:rFonts w:cstheme="minorHAnsi"/>
          <w:sz w:val="22"/>
          <w:szCs w:val="22"/>
          <w:shd w:val="clear" w:color="auto" w:fill="FFFFFF"/>
        </w:rPr>
        <w:t>October</w:t>
      </w:r>
      <w:r w:rsidR="006A2298" w:rsidRPr="008A3B78">
        <w:rPr>
          <w:rFonts w:cstheme="minorHAnsi"/>
          <w:sz w:val="22"/>
          <w:szCs w:val="22"/>
          <w:shd w:val="clear" w:color="auto" w:fill="FFFFFF"/>
        </w:rPr>
        <w:t xml:space="preserve"> </w:t>
      </w:r>
      <w:r w:rsidR="00284957" w:rsidRPr="002022A6">
        <w:rPr>
          <w:rFonts w:cstheme="minorHAnsi"/>
          <w:sz w:val="22"/>
          <w:szCs w:val="22"/>
          <w:shd w:val="clear" w:color="auto" w:fill="FFFFFF"/>
        </w:rPr>
        <w:t>2021</w:t>
      </w:r>
      <w:r w:rsidRPr="002022A6">
        <w:rPr>
          <w:rFonts w:cstheme="minorHAnsi"/>
          <w:sz w:val="22"/>
          <w:szCs w:val="22"/>
          <w:shd w:val="clear" w:color="auto" w:fill="FFFFFF"/>
        </w:rPr>
        <w:fldChar w:fldCharType="begin" w:fldLock="1"/>
      </w:r>
      <w:r w:rsidRPr="002022A6">
        <w:rPr>
          <w:rFonts w:cstheme="minorHAnsi"/>
          <w:sz w:val="22"/>
          <w:szCs w:val="22"/>
          <w:shd w:val="clear" w:color="auto" w:fill="FFFFFF"/>
        </w:rPr>
        <w:instrText>ADDIN CSL_CITATION {"citationItems":[{"id":"ITEM-1","itemData":{"URL":"https://coronavirus.jhu.edu/map.html","accessed":{"date-parts":[["2020","5","3"]]},"id":"ITEM-1","issued":{"date-parts":[["0"]]},"title":"COVID-19 Map - Johns Hopkins Coronavirus Resource Center","type":"webpage"},"uris":["http://www.mendeley.com/documents/?uuid=519b6950-2217-3575-acf8-a438d0a538e7"]}],"mendeley":{"formattedCitation":"(12)","plainTextFormattedCitation":"(12)","previouslyFormattedCitation":"(12)"},"properties":{"noteIndex":0},"schema":"https://github.com/citation-style-language/schema/raw/master/csl-citation.json"}</w:instrText>
      </w:r>
      <w:r w:rsidRPr="002022A6">
        <w:rPr>
          <w:rFonts w:cstheme="minorHAnsi"/>
          <w:sz w:val="22"/>
          <w:szCs w:val="22"/>
          <w:shd w:val="clear" w:color="auto" w:fill="FFFFFF"/>
        </w:rPr>
        <w:fldChar w:fldCharType="separate"/>
      </w:r>
      <w:r w:rsidRPr="002022A6">
        <w:rPr>
          <w:rFonts w:cstheme="minorHAnsi"/>
          <w:noProof/>
          <w:sz w:val="22"/>
          <w:szCs w:val="22"/>
          <w:shd w:val="clear" w:color="auto" w:fill="FFFFFF"/>
        </w:rPr>
        <w:t>(12)</w:t>
      </w:r>
      <w:r w:rsidRPr="002022A6">
        <w:rPr>
          <w:rFonts w:cstheme="minorHAnsi"/>
          <w:sz w:val="22"/>
          <w:szCs w:val="22"/>
          <w:shd w:val="clear" w:color="auto" w:fill="FFFFFF"/>
        </w:rPr>
        <w:fldChar w:fldCharType="end"/>
      </w:r>
    </w:p>
    <w:p w14:paraId="06AB1D83" w14:textId="1E42355F" w:rsidR="00512579" w:rsidRPr="004B0BC2" w:rsidRDefault="00512579" w:rsidP="00B66369">
      <w:pPr>
        <w:pStyle w:val="NoSpacing"/>
        <w:spacing w:line="480" w:lineRule="auto"/>
        <w:rPr>
          <w:rFonts w:cstheme="minorHAnsi"/>
          <w:sz w:val="22"/>
          <w:szCs w:val="22"/>
          <w:shd w:val="clear" w:color="auto" w:fill="FFFFFF"/>
        </w:rPr>
      </w:pPr>
      <w:r w:rsidRPr="00693DD5">
        <w:rPr>
          <w:rFonts w:cstheme="minorHAnsi"/>
          <w:sz w:val="22"/>
          <w:szCs w:val="22"/>
          <w:shd w:val="clear" w:color="auto" w:fill="FFFFFF"/>
        </w:rPr>
        <w:t>A sex-disaggregated data tracker has highlighted a gender difference worldwide</w:t>
      </w:r>
      <w:r w:rsidRPr="00693DD5">
        <w:rPr>
          <w:rFonts w:cstheme="minorHAnsi"/>
          <w:sz w:val="22"/>
          <w:szCs w:val="22"/>
          <w:shd w:val="clear" w:color="auto" w:fill="FFFFFF"/>
        </w:rPr>
        <w:fldChar w:fldCharType="begin" w:fldLock="1"/>
      </w:r>
      <w:r w:rsidRPr="00693DD5">
        <w:rPr>
          <w:rFonts w:cstheme="minorHAnsi"/>
          <w:sz w:val="22"/>
          <w:szCs w:val="22"/>
          <w:shd w:val="clear" w:color="auto" w:fill="FFFFFF"/>
        </w:rPr>
        <w:instrText>ADDIN CSL_CITATION {"citationItems":[{"id":"ITEM-1","itemData":{"URL":"https://globalhealth5050.org/covid19/","accessed":{"date-parts":[["2020","5","3"]]},"id":"ITEM-1","issued":{"date-parts":[["0"]]},"title":"COVID-19 – Global Health 50/50","type":"webpage"},"uris":["http://www.mendeley.com/documents/?uuid=2f58732a-a880-314d-a96a-f9f89af7478c"]}],"mendeley":{"formattedCitation":"(13)","plainTextFormattedCitation":"(13)","previouslyFormattedCitation":"(13)"},"properties":{"noteIndex":0},"schema":"https://github.com/citation-style-language/schema/raw/master/csl-citation.json"}</w:instrText>
      </w:r>
      <w:r w:rsidRPr="00693DD5">
        <w:rPr>
          <w:rFonts w:cstheme="minorHAnsi"/>
          <w:sz w:val="22"/>
          <w:szCs w:val="22"/>
          <w:shd w:val="clear" w:color="auto" w:fill="FFFFFF"/>
        </w:rPr>
        <w:fldChar w:fldCharType="separate"/>
      </w:r>
      <w:r w:rsidRPr="00693DD5">
        <w:rPr>
          <w:rFonts w:cstheme="minorHAnsi"/>
          <w:noProof/>
          <w:sz w:val="22"/>
          <w:szCs w:val="22"/>
          <w:shd w:val="clear" w:color="auto" w:fill="FFFFFF"/>
        </w:rPr>
        <w:t>(13)</w:t>
      </w:r>
      <w:r w:rsidRPr="00693DD5">
        <w:rPr>
          <w:rFonts w:cstheme="minorHAnsi"/>
          <w:sz w:val="22"/>
          <w:szCs w:val="22"/>
          <w:shd w:val="clear" w:color="auto" w:fill="FFFFFF"/>
        </w:rPr>
        <w:fldChar w:fldCharType="end"/>
      </w:r>
      <w:r w:rsidR="00991A76" w:rsidRPr="000242C7">
        <w:rPr>
          <w:rFonts w:cstheme="minorHAnsi"/>
          <w:sz w:val="22"/>
          <w:szCs w:val="22"/>
          <w:shd w:val="clear" w:color="auto" w:fill="FFFFFF"/>
        </w:rPr>
        <w:t>.</w:t>
      </w:r>
      <w:r w:rsidR="009860AE" w:rsidRPr="00693DD5">
        <w:rPr>
          <w:rFonts w:cstheme="minorHAnsi"/>
          <w:sz w:val="22"/>
          <w:szCs w:val="22"/>
          <w:shd w:val="clear" w:color="auto" w:fill="FFFFFF"/>
        </w:rPr>
        <w:t xml:space="preserve"> </w:t>
      </w:r>
      <w:r w:rsidR="00991A76" w:rsidRPr="000242C7">
        <w:rPr>
          <w:rFonts w:cstheme="minorHAnsi"/>
          <w:sz w:val="22"/>
          <w:szCs w:val="22"/>
          <w:shd w:val="clear" w:color="auto" w:fill="FFFFFF"/>
        </w:rPr>
        <w:t>A</w:t>
      </w:r>
      <w:r w:rsidR="009860AE" w:rsidRPr="00693DD5">
        <w:rPr>
          <w:rFonts w:cstheme="minorHAnsi"/>
          <w:sz w:val="22"/>
          <w:szCs w:val="22"/>
          <w:shd w:val="clear" w:color="auto" w:fill="FFFFFF"/>
        </w:rPr>
        <w:t>l</w:t>
      </w:r>
      <w:r w:rsidRPr="00693DD5">
        <w:rPr>
          <w:rFonts w:cstheme="minorHAnsi"/>
          <w:sz w:val="22"/>
          <w:szCs w:val="22"/>
          <w:shd w:val="clear" w:color="auto" w:fill="FFFFFF"/>
        </w:rPr>
        <w:t>though cases of COVID-19 have an almost equal division between men and women, more men</w:t>
      </w:r>
      <w:r w:rsidR="00F11153" w:rsidRPr="000242C7">
        <w:rPr>
          <w:rFonts w:cstheme="minorHAnsi"/>
          <w:sz w:val="22"/>
          <w:szCs w:val="22"/>
          <w:shd w:val="clear" w:color="auto" w:fill="FFFFFF"/>
        </w:rPr>
        <w:t xml:space="preserve"> are hospitalised, admitted to intensive care, and die from infection (Figure 1).</w:t>
      </w:r>
      <w:r w:rsidRPr="00693DD5">
        <w:rPr>
          <w:rFonts w:cstheme="minorHAnsi"/>
          <w:sz w:val="22"/>
          <w:szCs w:val="22"/>
          <w:shd w:val="clear" w:color="auto" w:fill="FFFFFF"/>
        </w:rPr>
        <w:t xml:space="preserve"> </w:t>
      </w:r>
    </w:p>
    <w:p w14:paraId="66D40D2B" w14:textId="77777777" w:rsidR="00086C02" w:rsidRPr="004B0BC2" w:rsidRDefault="00086C02" w:rsidP="00086C02">
      <w:pPr>
        <w:pStyle w:val="NoSpacing"/>
        <w:spacing w:line="480" w:lineRule="auto"/>
        <w:rPr>
          <w:rFonts w:cstheme="minorHAnsi"/>
          <w:sz w:val="22"/>
          <w:szCs w:val="22"/>
          <w:highlight w:val="yellow"/>
          <w:shd w:val="clear" w:color="auto" w:fill="FFFFFF"/>
        </w:rPr>
      </w:pPr>
    </w:p>
    <w:p w14:paraId="05D4BA20" w14:textId="0D2D432F" w:rsidR="00693DD5" w:rsidRPr="004B0BC2" w:rsidRDefault="003C11E1" w:rsidP="00B66369">
      <w:pPr>
        <w:spacing w:line="480" w:lineRule="auto"/>
        <w:rPr>
          <w:rFonts w:asciiTheme="minorHAnsi" w:hAnsiTheme="minorHAnsi" w:cstheme="minorHAnsi"/>
          <w:b/>
          <w:bCs/>
          <w:sz w:val="22"/>
          <w:szCs w:val="22"/>
          <w:u w:val="single"/>
          <w:shd w:val="clear" w:color="auto" w:fill="FFFFFF"/>
        </w:rPr>
      </w:pPr>
      <w:r>
        <w:rPr>
          <w:rFonts w:asciiTheme="minorHAnsi" w:hAnsiTheme="minorHAnsi" w:cstheme="minorHAnsi"/>
          <w:b/>
          <w:bCs/>
          <w:sz w:val="22"/>
          <w:szCs w:val="22"/>
          <w:u w:val="single"/>
          <w:shd w:val="clear" w:color="auto" w:fill="FFFFFF"/>
        </w:rPr>
        <w:t>[H1]</w:t>
      </w:r>
      <w:r w:rsidR="00AA692A" w:rsidRPr="004B0BC2">
        <w:rPr>
          <w:rFonts w:asciiTheme="minorHAnsi" w:hAnsiTheme="minorHAnsi" w:cstheme="minorHAnsi"/>
          <w:b/>
          <w:bCs/>
          <w:sz w:val="22"/>
          <w:szCs w:val="22"/>
          <w:u w:val="single"/>
          <w:shd w:val="clear" w:color="auto" w:fill="FFFFFF"/>
        </w:rPr>
        <w:t>R</w:t>
      </w:r>
      <w:r w:rsidR="000A1F32" w:rsidRPr="004B0BC2">
        <w:rPr>
          <w:rFonts w:asciiTheme="minorHAnsi" w:hAnsiTheme="minorHAnsi" w:cstheme="minorHAnsi"/>
          <w:b/>
          <w:bCs/>
          <w:sz w:val="22"/>
          <w:szCs w:val="22"/>
          <w:u w:val="single"/>
          <w:shd w:val="clear" w:color="auto" w:fill="FFFFFF"/>
        </w:rPr>
        <w:t xml:space="preserve">isk factors for mortality </w:t>
      </w:r>
      <w:r w:rsidR="009A1863" w:rsidRPr="004B0BC2">
        <w:rPr>
          <w:rFonts w:asciiTheme="minorHAnsi" w:hAnsiTheme="minorHAnsi" w:cstheme="minorHAnsi"/>
          <w:b/>
          <w:bCs/>
          <w:sz w:val="22"/>
          <w:szCs w:val="22"/>
          <w:u w:val="single"/>
          <w:shd w:val="clear" w:color="auto" w:fill="FFFFFF"/>
        </w:rPr>
        <w:t xml:space="preserve">and </w:t>
      </w:r>
      <w:r w:rsidR="00AA692A" w:rsidRPr="004B0BC2">
        <w:rPr>
          <w:rFonts w:asciiTheme="minorHAnsi" w:hAnsiTheme="minorHAnsi" w:cstheme="minorHAnsi"/>
          <w:b/>
          <w:bCs/>
          <w:sz w:val="22"/>
          <w:szCs w:val="22"/>
          <w:u w:val="single"/>
          <w:shd w:val="clear" w:color="auto" w:fill="FFFFFF"/>
        </w:rPr>
        <w:t xml:space="preserve">sex </w:t>
      </w:r>
    </w:p>
    <w:p w14:paraId="60906CF2" w14:textId="3E169D3D" w:rsidR="003C2B02" w:rsidRPr="000242C7" w:rsidRDefault="00CF4E48" w:rsidP="00433D48">
      <w:pPr>
        <w:spacing w:line="480" w:lineRule="auto"/>
        <w:rPr>
          <w:rFonts w:asciiTheme="minorHAnsi" w:hAnsiTheme="minorHAnsi" w:cstheme="minorHAnsi"/>
          <w:sz w:val="22"/>
          <w:szCs w:val="22"/>
          <w:highlight w:val="yellow"/>
          <w:shd w:val="clear" w:color="auto" w:fill="FFFFFF"/>
        </w:rPr>
      </w:pPr>
      <w:r w:rsidRPr="00693DD5">
        <w:rPr>
          <w:rFonts w:asciiTheme="minorHAnsi" w:hAnsiTheme="minorHAnsi" w:cstheme="minorHAnsi"/>
          <w:sz w:val="22"/>
          <w:szCs w:val="22"/>
          <w:u w:val="single"/>
          <w:shd w:val="clear" w:color="auto" w:fill="FFFFFF"/>
        </w:rPr>
        <w:t>T</w:t>
      </w:r>
      <w:r>
        <w:rPr>
          <w:rFonts w:asciiTheme="minorHAnsi" w:hAnsiTheme="minorHAnsi" w:cstheme="minorHAnsi"/>
          <w:sz w:val="22"/>
          <w:szCs w:val="22"/>
          <w:u w:val="single"/>
          <w:shd w:val="clear" w:color="auto" w:fill="FFFFFF"/>
        </w:rPr>
        <w:t xml:space="preserve">he first confirmed human cases of COVID-19 were reported in </w:t>
      </w:r>
      <w:r w:rsidR="006A2298" w:rsidRPr="000242C7">
        <w:rPr>
          <w:rFonts w:asciiTheme="minorHAnsi" w:hAnsiTheme="minorHAnsi" w:cstheme="minorHAnsi"/>
          <w:sz w:val="22"/>
          <w:szCs w:val="22"/>
          <w:shd w:val="clear" w:color="auto" w:fill="FFFFFF"/>
        </w:rPr>
        <w:t>China’s Hubei province</w:t>
      </w:r>
      <w:r w:rsidR="00693DD5">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{"citationItems":[{"id":"ITEM-1","itemData":{"DOI":"10.1016/S0140-6736(20)30183-5","ISSN":"0140-6736","PMID":"31986264","abstract":"Summary 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author":[{"dropping-particle":"","family":"Huang","given":"Chaolin","non-dropping-particle":"","parse-names":false,"suffix":""},{"dropping-particle":"","family":"Wang","given":"Yeming","non-dropping-particle":"","parse-names":false,"suffix":""},{"dropping-particle":"","family":"Li","given":"Xingwang","non-dropping-particle":"","parse-names":false,"suffix":""},{"dropping-particle":"","family":"Ren","given":"Lili","non-dropping-particle":"","parse-names":false,"suffix":""},{"dropping-particle":"","family":"Zhao","given":"Jianping","non-dropping-particle":"","parse-names":false,"suffix":""},{"dropping-particle":"","family":"Hu","given":"Yi","non-dropping-particle":"","parse-names":false,"suffix":""},{"dropping-particle":"","family":"Zhang","given":"Li","non-dropping-particle":"","parse-names":false,"suffix":""},{"dropping-particle":"","family":"Fan","given":"Guohui","non-dropping-particle":"","parse-names":false,"suffix":""},{"dropping-particle":"","family":"Xu","given":"Jiuyang","non-dropping-particle":"","parse-names":false,"suffix":""},{"dropping-particle":"","family":"Gu","given":"Xiaoying","non-dropping-particle":"","parse-names":false,"suffix":""},{"dropping-particle":"","family":"Cheng","given":"Zhenshun","non-dropping-particle":"","parse-names":false,"suffix":""},{"dropping-particle":"","family":"Yu","given":"Ting","non-dropping-particle":"","parse-names":false,"suffix":""},{"dropping-particle":"","family":"Xia","given":"Jiaan","non-dropping-particle":"","parse-names":false,"suffix":""},{"dropping-particle":"","family":"Wei","given":"Yuan","non-dropping-particle":"","parse-names":false,"suffix":""},{"dropping-particle":"","family":"Wu","given":"Wenjuan","non-dropping-particle":"","parse-names":false,"suffix":""},{"dropping-particle":"","family":"Xie","given":"Xuelei","non-dropping-particle":"","parse-names":false,"suffix":""},{"dropping-particle":"","family":"Yin","given":"Wen","non-dropping-particle":"","parse-names":false,"suffix":""},{"dropping-particle":"","family":"Li","given":"Hui","non-dropping-particle":"","parse-names":false,"suffix":""},{"dropping-particle":"","family":"Liu","given":"Min","non-dropping-particle":"","parse-names":false,"suffix":""},{"dropping-particle":"","family":"Xiao","given":"Yan","non-dropping-particle":"","parse-names":false,"suffix":""},{"dropping-particle":"","family":"Gao","given":"Hong","non-dropping-particle":"","parse-names":false,"suffix":""},{"dropping-particle":"","family":"Guo","given":"Li","non-dropping-particle":"","parse-names":false,"suffix":""},{"dropping-particle":"","family":"Xie","given":"Jungang","non-dropping-particle":"","parse-names":false,"suffix":""},{"dropping-particle":"","family":"Wang","given":"Guangfa","non-dropping-particle":"","parse-names":false,"suffix":""},{"dropping-particle":"","family":"Jiang","given":"Rongmeng","non-dropping-particle":"","parse-names":false,"suffix":""},{"dropping-particle":"","family":"Gao","given":"Zhancheng","non-dropping-particle":"","parse-names":false,"suffix":""},{"dropping-particle":"","family":"Jin","given":"Qi","non-dropping-particle":"","parse-names":false,"suffix":""},{"dropping-particle":"","family":"Wang","given":"Jianwei","non-dropping-particle":"","parse-names":false,"suffix":""},{"dropping-particle":"","family":"Cao","given":"Bin","non-dropping-particle":"","parse-names":false,"suffix":""}],"container-title":"The Lancet","id":"ITEM-1","issue":"10223","issued":{"date-parts":[["2020"]]},"page":"497-506","title":"Clinical features of patients infected with 2019 novel coronavirus in Wuhan, China","type":"article-journal","volume":"395"},"uris":["http://www.mendeley.com/documents/?uuid=3ac49b58-ac04-35f1-901e-d5df84737bd4"]}],"mendeley":{"formattedCitation":"(14)","plainTextFormattedCitation":"(14)","previouslyFormattedCitation":"(14)"},"properties":{"noteIndex":0},"schema":"https://github.com/citation-style-language/schema/raw/master/csl-citation.json"}</w:instrText>
      </w:r>
      <w:r w:rsidR="00693DD5">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(14)</w:t>
      </w:r>
      <w:r w:rsidR="00693DD5">
        <w:rPr>
          <w:rFonts w:asciiTheme="minorHAnsi" w:hAnsiTheme="minorHAnsi" w:cstheme="minorHAnsi"/>
          <w:sz w:val="22"/>
          <w:szCs w:val="22"/>
          <w:shd w:val="clear" w:color="auto" w:fill="FFFFFF"/>
        </w:rPr>
        <w:fldChar w:fldCharType="end"/>
      </w:r>
      <w:r w:rsidRPr="000242C7">
        <w:rPr>
          <w:rFonts w:asciiTheme="minorHAnsi" w:hAnsiTheme="minorHAnsi" w:cstheme="minorHAnsi"/>
          <w:sz w:val="22"/>
          <w:szCs w:val="22"/>
          <w:shd w:val="clear" w:color="auto" w:fill="FFFFFF"/>
        </w:rPr>
        <w:t>. Several studies of patients from this region describe</w:t>
      </w:r>
      <w:r w:rsidR="00693DD5">
        <w:rPr>
          <w:rFonts w:asciiTheme="minorHAnsi" w:hAnsiTheme="minorHAnsi" w:cstheme="minorHAnsi"/>
          <w:sz w:val="22"/>
          <w:szCs w:val="22"/>
          <w:shd w:val="clear" w:color="auto" w:fill="FFFFFF"/>
        </w:rPr>
        <w:t xml:space="preserve"> </w:t>
      </w:r>
      <w:r w:rsidRPr="000242C7">
        <w:rPr>
          <w:rFonts w:asciiTheme="minorHAnsi" w:hAnsiTheme="minorHAnsi" w:cstheme="minorHAnsi"/>
          <w:sz w:val="22"/>
          <w:szCs w:val="22"/>
          <w:shd w:val="clear" w:color="auto" w:fill="FFFFFF"/>
        </w:rPr>
        <w:t>prognostic factors</w:t>
      </w:r>
      <w:r w:rsidR="00693DD5">
        <w:rPr>
          <w:rFonts w:asciiTheme="minorHAnsi" w:hAnsiTheme="minorHAnsi" w:cstheme="minorHAnsi"/>
          <w:sz w:val="22"/>
          <w:szCs w:val="22"/>
          <w:shd w:val="clear" w:color="auto" w:fill="FFFFFF"/>
        </w:rPr>
        <w:t xml:space="preserve"> </w:t>
      </w:r>
      <w:r w:rsidR="00C1304A">
        <w:rPr>
          <w:rFonts w:asciiTheme="minorHAnsi" w:hAnsiTheme="minorHAnsi" w:cstheme="minorHAnsi"/>
          <w:sz w:val="22"/>
          <w:szCs w:val="22"/>
          <w:shd w:val="clear" w:color="auto" w:fill="FFFFFF"/>
        </w:rPr>
        <w:t>for survival after</w:t>
      </w:r>
      <w:r w:rsidR="00693DD5">
        <w:rPr>
          <w:rFonts w:asciiTheme="minorHAnsi" w:hAnsiTheme="minorHAnsi" w:cstheme="minorHAnsi"/>
          <w:sz w:val="22"/>
          <w:szCs w:val="22"/>
          <w:shd w:val="clear" w:color="auto" w:fill="FFFFFF"/>
        </w:rPr>
        <w:t xml:space="preserve"> COVID-19</w:t>
      </w:r>
      <w:r w:rsidR="00C1304A">
        <w:rPr>
          <w:rFonts w:asciiTheme="minorHAnsi" w:hAnsiTheme="minorHAnsi" w:cstheme="minorHAnsi"/>
          <w:sz w:val="22"/>
          <w:szCs w:val="22"/>
          <w:shd w:val="clear" w:color="auto" w:fill="FFFFFF"/>
        </w:rPr>
        <w:t xml:space="preserve"> infection</w:t>
      </w:r>
      <w:r w:rsidRPr="000242C7">
        <w:rPr>
          <w:rFonts w:asciiTheme="minorHAnsi" w:hAnsiTheme="minorHAnsi" w:cstheme="minorHAnsi"/>
          <w:sz w:val="22"/>
          <w:szCs w:val="22"/>
          <w:shd w:val="clear" w:color="auto" w:fill="FFFFFF"/>
        </w:rPr>
        <w:t xml:space="preserve">. </w:t>
      </w:r>
      <w:r w:rsidR="003C2B02" w:rsidRPr="002022A6">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 xml:space="preserve">A </w:t>
      </w:r>
      <w:r w:rsidR="00693DD5">
        <w:rPr>
          <w:rFonts w:asciiTheme="minorHAnsi" w:hAnsiTheme="minorHAnsi" w:cstheme="minorHAnsi"/>
          <w:sz w:val="22"/>
          <w:szCs w:val="22"/>
        </w:rPr>
        <w:t>s</w:t>
      </w:r>
      <w:r w:rsidR="003C2B02" w:rsidRPr="002022A6">
        <w:rPr>
          <w:rFonts w:asciiTheme="minorHAnsi" w:hAnsiTheme="minorHAnsi" w:cstheme="minorHAnsi"/>
          <w:sz w:val="22"/>
          <w:szCs w:val="22"/>
        </w:rPr>
        <w:t>tud</w:t>
      </w:r>
      <w:r w:rsidR="009860AE" w:rsidRPr="002022A6">
        <w:rPr>
          <w:rFonts w:asciiTheme="minorHAnsi" w:hAnsiTheme="minorHAnsi" w:cstheme="minorHAnsi"/>
          <w:sz w:val="22"/>
          <w:szCs w:val="22"/>
        </w:rPr>
        <w:t>y</w:t>
      </w:r>
      <w:r w:rsidR="009860AE">
        <w:rPr>
          <w:rFonts w:asciiTheme="minorHAnsi" w:hAnsiTheme="minorHAnsi" w:cstheme="minorHAnsi"/>
          <w:sz w:val="22"/>
          <w:szCs w:val="22"/>
        </w:rPr>
        <w:t xml:space="preserve"> of</w:t>
      </w:r>
      <w:r w:rsidR="003C2B02" w:rsidRPr="004B0BC2">
        <w:rPr>
          <w:rFonts w:asciiTheme="minorHAnsi" w:hAnsiTheme="minorHAnsi" w:cstheme="minorHAnsi"/>
          <w:sz w:val="22"/>
          <w:szCs w:val="22"/>
        </w:rPr>
        <w:t xml:space="preserve"> a cohort of 191 patients from two hospitals</w:t>
      </w:r>
      <w:r w:rsidR="002E461E" w:rsidRPr="004B0BC2">
        <w:rPr>
          <w:rFonts w:asciiTheme="minorHAnsi" w:hAnsiTheme="minorHAnsi" w:cstheme="minorHAnsi"/>
          <w:sz w:val="22"/>
          <w:szCs w:val="22"/>
        </w:rPr>
        <w:t xml:space="preserve"> within Wuh</w:t>
      </w:r>
      <w:r w:rsidR="007230AE" w:rsidRPr="004B0BC2">
        <w:rPr>
          <w:rFonts w:asciiTheme="minorHAnsi" w:hAnsiTheme="minorHAnsi" w:cstheme="minorHAnsi"/>
          <w:sz w:val="22"/>
          <w:szCs w:val="22"/>
        </w:rPr>
        <w:t>a</w:t>
      </w:r>
      <w:r w:rsidR="002E461E" w:rsidRPr="004B0BC2">
        <w:rPr>
          <w:rFonts w:asciiTheme="minorHAnsi" w:hAnsiTheme="minorHAnsi" w:cstheme="minorHAnsi"/>
          <w:sz w:val="22"/>
          <w:szCs w:val="22"/>
        </w:rPr>
        <w:t>n</w:t>
      </w:r>
      <w:r w:rsidR="009860AE"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Lancet","id":"ITEM-1","issue":"10229","issued":{"date-parts":[["2020"]]},"page":"1054-1062","title":"Clinical course and risk factors for mortality of adult inpatients with COVID-19 in Wuhan, China: a retrospective cohort study","type":"article-journal","volume":"395"},"uris":["http://www.mendeley.com/documents/?uuid=08844b6a-e9b8-4a32-ac87-452cff28f961"]}],"mendeley":{"formattedCitation":"(15)","plainTextFormattedCitation":"(15)","previouslyFormattedCitation":"(15)"},"properties":{"noteIndex":0},"schema":"https://github.com/citation-style-language/schema/raw/master/csl-citation.json"}</w:instrText>
      </w:r>
      <w:r w:rsidR="009860AE"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w:t>
      </w:r>
      <w:r w:rsidR="009860AE" w:rsidRPr="004B0BC2">
        <w:rPr>
          <w:rFonts w:asciiTheme="minorHAnsi" w:hAnsiTheme="minorHAnsi" w:cstheme="minorHAnsi"/>
          <w:sz w:val="22"/>
          <w:szCs w:val="22"/>
        </w:rPr>
        <w:fldChar w:fldCharType="end"/>
      </w:r>
      <w:r w:rsidR="009860AE" w:rsidRPr="004B0BC2">
        <w:rPr>
          <w:rFonts w:asciiTheme="minorHAnsi" w:hAnsiTheme="minorHAnsi" w:cstheme="minorHAnsi"/>
          <w:sz w:val="22"/>
          <w:szCs w:val="22"/>
        </w:rPr>
        <w:t xml:space="preserve"> </w:t>
      </w:r>
      <w:r w:rsidR="003C2B02" w:rsidRPr="004B0BC2">
        <w:rPr>
          <w:rFonts w:asciiTheme="minorHAnsi" w:hAnsiTheme="minorHAnsi" w:cstheme="minorHAnsi"/>
          <w:sz w:val="22"/>
          <w:szCs w:val="22"/>
        </w:rPr>
        <w:t>reported that the clinical factors associated with COVID-19 mortality were increasing age (69 years (I</w:t>
      </w:r>
      <w:r w:rsidR="00C75F3C" w:rsidRPr="004B0BC2">
        <w:rPr>
          <w:rFonts w:asciiTheme="minorHAnsi" w:hAnsiTheme="minorHAnsi" w:cstheme="minorHAnsi"/>
          <w:sz w:val="22"/>
          <w:szCs w:val="22"/>
        </w:rPr>
        <w:t>nterquartile range</w:t>
      </w:r>
      <w:r w:rsidR="00567A8B" w:rsidRPr="004B0BC2">
        <w:rPr>
          <w:rFonts w:asciiTheme="minorHAnsi" w:hAnsiTheme="minorHAnsi" w:cstheme="minorHAnsi"/>
          <w:sz w:val="22"/>
          <w:szCs w:val="22"/>
        </w:rPr>
        <w:t xml:space="preserve"> </w:t>
      </w:r>
      <w:r w:rsidR="00C75F3C" w:rsidRPr="004B0BC2">
        <w:rPr>
          <w:rFonts w:asciiTheme="minorHAnsi" w:hAnsiTheme="minorHAnsi" w:cstheme="minorHAnsi"/>
          <w:sz w:val="22"/>
          <w:szCs w:val="22"/>
        </w:rPr>
        <w:t>(I</w:t>
      </w:r>
      <w:r w:rsidR="003C2B02" w:rsidRPr="004B0BC2">
        <w:rPr>
          <w:rFonts w:asciiTheme="minorHAnsi" w:hAnsiTheme="minorHAnsi" w:cstheme="minorHAnsi"/>
          <w:sz w:val="22"/>
          <w:szCs w:val="22"/>
        </w:rPr>
        <w:t>QR</w:t>
      </w:r>
      <w:r w:rsidR="00C75F3C" w:rsidRPr="004B0BC2">
        <w:rPr>
          <w:rFonts w:asciiTheme="minorHAnsi" w:hAnsiTheme="minorHAnsi" w:cstheme="minorHAnsi"/>
          <w:sz w:val="22"/>
          <w:szCs w:val="22"/>
        </w:rPr>
        <w:t>)</w:t>
      </w:r>
      <w:r w:rsidR="003C2B02" w:rsidRPr="004B0BC2">
        <w:rPr>
          <w:rFonts w:asciiTheme="minorHAnsi" w:hAnsiTheme="minorHAnsi" w:cstheme="minorHAnsi"/>
          <w:sz w:val="22"/>
          <w:szCs w:val="22"/>
        </w:rPr>
        <w:t>:63–76) v</w:t>
      </w:r>
      <w:r w:rsidR="003C11E1">
        <w:rPr>
          <w:rFonts w:asciiTheme="minorHAnsi" w:hAnsiTheme="minorHAnsi" w:cstheme="minorHAnsi"/>
          <w:sz w:val="22"/>
          <w:szCs w:val="22"/>
        </w:rPr>
        <w:t>ersu</w:t>
      </w:r>
      <w:r w:rsidR="003C2B02" w:rsidRPr="004B0BC2">
        <w:rPr>
          <w:rFonts w:asciiTheme="minorHAnsi" w:hAnsiTheme="minorHAnsi" w:cstheme="minorHAnsi"/>
          <w:sz w:val="22"/>
          <w:szCs w:val="22"/>
        </w:rPr>
        <w:t xml:space="preserve">s 52 years (IQR:45–58)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&lt;0.0001), hypertension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 0</w:t>
      </w:r>
      <w:r w:rsidR="00567A8B" w:rsidRPr="004B0BC2">
        <w:rPr>
          <w:rFonts w:asciiTheme="minorHAnsi" w:hAnsiTheme="minorHAnsi" w:cstheme="minorHAnsi"/>
          <w:sz w:val="22"/>
          <w:szCs w:val="22"/>
        </w:rPr>
        <w:t>.</w:t>
      </w:r>
      <w:r w:rsidR="003C2B02" w:rsidRPr="004B0BC2">
        <w:rPr>
          <w:rFonts w:asciiTheme="minorHAnsi" w:hAnsiTheme="minorHAnsi" w:cstheme="minorHAnsi"/>
          <w:sz w:val="22"/>
          <w:szCs w:val="22"/>
        </w:rPr>
        <w:t>0008), diabetes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=0</w:t>
      </w:r>
      <w:r w:rsidR="00567A8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0051), </w:t>
      </w:r>
      <w:r w:rsidR="00190D8C" w:rsidRPr="004B0BC2">
        <w:rPr>
          <w:rFonts w:asciiTheme="minorHAnsi" w:hAnsiTheme="minorHAnsi" w:cstheme="minorHAnsi"/>
          <w:sz w:val="22"/>
          <w:szCs w:val="22"/>
        </w:rPr>
        <w:t>cardiovascular disease (CVD)</w:t>
      </w:r>
      <w:r w:rsidR="003C2B02"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&lt;0</w:t>
      </w:r>
      <w:r w:rsidR="00567A8B" w:rsidRPr="004B0BC2">
        <w:rPr>
          <w:rFonts w:asciiTheme="minorHAnsi" w:hAnsiTheme="minorHAnsi" w:cstheme="minorHAnsi"/>
          <w:sz w:val="22"/>
          <w:szCs w:val="22"/>
        </w:rPr>
        <w:t>.</w:t>
      </w:r>
      <w:r w:rsidR="003C2B02" w:rsidRPr="004B0BC2">
        <w:rPr>
          <w:rFonts w:asciiTheme="minorHAnsi" w:hAnsiTheme="minorHAnsi" w:cstheme="minorHAnsi"/>
          <w:sz w:val="22"/>
          <w:szCs w:val="22"/>
        </w:rPr>
        <w:t>0001), chronic obstructive lung disease</w:t>
      </w:r>
      <w:r w:rsidR="00190D8C" w:rsidRPr="004B0BC2">
        <w:rPr>
          <w:rFonts w:asciiTheme="minorHAnsi" w:hAnsiTheme="minorHAnsi" w:cstheme="minorHAnsi"/>
          <w:sz w:val="22"/>
          <w:szCs w:val="22"/>
        </w:rPr>
        <w:t xml:space="preserve"> (COPD)</w:t>
      </w:r>
      <w:r w:rsidR="003C2B02"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=0</w:t>
      </w:r>
      <w:r w:rsidR="00567A8B" w:rsidRPr="004B0BC2">
        <w:rPr>
          <w:rFonts w:asciiTheme="minorHAnsi" w:hAnsiTheme="minorHAnsi" w:cstheme="minorHAnsi"/>
          <w:sz w:val="22"/>
          <w:szCs w:val="22"/>
        </w:rPr>
        <w:t>.</w:t>
      </w:r>
      <w:r w:rsidR="003C2B02" w:rsidRPr="004B0BC2">
        <w:rPr>
          <w:rFonts w:asciiTheme="minorHAnsi" w:hAnsiTheme="minorHAnsi" w:cstheme="minorHAnsi"/>
          <w:sz w:val="22"/>
          <w:szCs w:val="22"/>
        </w:rPr>
        <w:t>047) and chronic kidney disease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=0</w:t>
      </w:r>
      <w:r w:rsidR="00567A8B" w:rsidRPr="004B0BC2">
        <w:rPr>
          <w:rFonts w:asciiTheme="minorHAnsi" w:hAnsiTheme="minorHAnsi" w:cstheme="minorHAnsi"/>
          <w:sz w:val="22"/>
          <w:szCs w:val="22"/>
        </w:rPr>
        <w:t>.</w:t>
      </w:r>
      <w:r w:rsidR="003C2B02" w:rsidRPr="004B0BC2">
        <w:rPr>
          <w:rFonts w:asciiTheme="minorHAnsi" w:hAnsiTheme="minorHAnsi" w:cstheme="minorHAnsi"/>
          <w:sz w:val="22"/>
          <w:szCs w:val="22"/>
        </w:rPr>
        <w:t>024)</w:t>
      </w:r>
      <w:r w:rsidR="003C2B02"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Lancet","id":"ITEM-1","issue":"10229","issued":{"date-parts":[["2020"]]},"page":"1054-1062","title":"Clinical course and risk factors for mortality of adult inpatients with COVID-19 in Wuhan, China: a retrospective cohort study","type":"article-journal","volume":"395"},"uris":["http://www.mendeley.com/documents/?uuid=08844b6a-e9b8-4a32-ac87-452cff28f961"]}],"mendeley":{"formattedCitation":"(15)","plainTextFormattedCitation":"(15)","previouslyFormattedCitation":"(15)"},"properties":{"noteIndex":0},"schema":"https://github.com/citation-style-language/schema/raw/master/csl-citation.json"}</w:instrText>
      </w:r>
      <w:r w:rsidR="003C2B02"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w:t>
      </w:r>
      <w:r w:rsidR="003C2B02" w:rsidRPr="004B0BC2">
        <w:rPr>
          <w:rFonts w:asciiTheme="minorHAnsi" w:hAnsiTheme="minorHAnsi" w:cstheme="minorHAnsi"/>
          <w:sz w:val="22"/>
          <w:szCs w:val="22"/>
        </w:rPr>
        <w:fldChar w:fldCharType="end"/>
      </w:r>
      <w:r w:rsidR="003C2B02" w:rsidRPr="004B0BC2">
        <w:rPr>
          <w:rFonts w:asciiTheme="minorHAnsi" w:hAnsiTheme="minorHAnsi" w:cstheme="minorHAnsi"/>
          <w:sz w:val="22"/>
          <w:szCs w:val="22"/>
        </w:rPr>
        <w:t>. Moreover, multivariable regression analysis confirmed that older age was associated with increased mortality</w:t>
      </w:r>
      <w:r w:rsidR="003C2B02" w:rsidRPr="004B0BC2">
        <w:rPr>
          <w:rFonts w:asciiTheme="minorHAnsi" w:hAnsiTheme="minorHAnsi" w:cstheme="minorHAnsi"/>
          <w:sz w:val="22"/>
          <w:szCs w:val="22"/>
          <w:shd w:val="clear" w:color="auto" w:fill="FFFFFF"/>
        </w:rPr>
        <w:t xml:space="preserve"> (odds ratio</w:t>
      </w:r>
      <w:r w:rsidR="001D6E6C" w:rsidRPr="004B0BC2">
        <w:rPr>
          <w:rFonts w:asciiTheme="minorHAnsi" w:hAnsiTheme="minorHAnsi" w:cstheme="minorHAnsi"/>
          <w:sz w:val="22"/>
          <w:szCs w:val="22"/>
          <w:shd w:val="clear" w:color="auto" w:fill="FFFFFF"/>
        </w:rPr>
        <w:t xml:space="preserve"> (OR):</w:t>
      </w:r>
      <w:r w:rsidR="003C2B02" w:rsidRPr="004B0BC2">
        <w:rPr>
          <w:rFonts w:asciiTheme="minorHAnsi" w:hAnsiTheme="minorHAnsi" w:cstheme="minorHAnsi"/>
          <w:sz w:val="22"/>
          <w:szCs w:val="22"/>
          <w:shd w:val="clear" w:color="auto" w:fill="FFFFFF"/>
        </w:rPr>
        <w:t xml:space="preserve"> 1</w:t>
      </w:r>
      <w:r w:rsidR="00567A8B"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10, 95% </w:t>
      </w:r>
      <w:r w:rsidR="001D6E6C" w:rsidRPr="004B0BC2">
        <w:rPr>
          <w:rFonts w:asciiTheme="minorHAnsi" w:hAnsiTheme="minorHAnsi" w:cstheme="minorHAnsi"/>
          <w:sz w:val="22"/>
          <w:szCs w:val="22"/>
          <w:shd w:val="clear" w:color="auto" w:fill="FFFFFF"/>
        </w:rPr>
        <w:t>Confidence Interval</w:t>
      </w:r>
      <w:r w:rsidR="00567A8B" w:rsidRPr="004B0BC2">
        <w:rPr>
          <w:rFonts w:asciiTheme="minorHAnsi" w:hAnsiTheme="minorHAnsi" w:cstheme="minorHAnsi"/>
          <w:sz w:val="22"/>
          <w:szCs w:val="22"/>
          <w:shd w:val="clear" w:color="auto" w:fill="FFFFFF"/>
        </w:rPr>
        <w:t xml:space="preserve"> </w:t>
      </w:r>
      <w:r w:rsidR="001D6E6C" w:rsidRPr="004B0BC2">
        <w:rPr>
          <w:rFonts w:asciiTheme="minorHAnsi" w:hAnsiTheme="minorHAnsi" w:cstheme="minorHAnsi"/>
          <w:sz w:val="22"/>
          <w:szCs w:val="22"/>
          <w:shd w:val="clear" w:color="auto" w:fill="FFFFFF"/>
        </w:rPr>
        <w:t>(CI):</w:t>
      </w:r>
      <w:r w:rsidR="00567A8B" w:rsidRPr="004B0BC2">
        <w:rPr>
          <w:rFonts w:asciiTheme="minorHAnsi" w:hAnsiTheme="minorHAnsi" w:cstheme="minorHAnsi"/>
          <w:sz w:val="22"/>
          <w:szCs w:val="22"/>
          <w:shd w:val="clear" w:color="auto" w:fill="FFFFFF"/>
        </w:rPr>
        <w:t xml:space="preserve"> </w:t>
      </w:r>
      <w:r w:rsidR="003C2B02" w:rsidRPr="004B0BC2">
        <w:rPr>
          <w:rFonts w:asciiTheme="minorHAnsi" w:hAnsiTheme="minorHAnsi" w:cstheme="minorHAnsi"/>
          <w:sz w:val="22"/>
          <w:szCs w:val="22"/>
          <w:shd w:val="clear" w:color="auto" w:fill="FFFFFF"/>
        </w:rPr>
        <w:t>1</w:t>
      </w:r>
      <w:r w:rsidR="00567A8B"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03–1</w:t>
      </w:r>
      <w:r w:rsidR="00567A8B"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17, per year increase</w:t>
      </w:r>
      <w:r w:rsidR="001D6E6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p=0</w:t>
      </w:r>
      <w:r w:rsidR="00567A8B"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0043).</w:t>
      </w:r>
      <w:r w:rsidR="003C11E1">
        <w:rPr>
          <w:rFonts w:asciiTheme="minorHAnsi" w:hAnsiTheme="minorHAnsi" w:cstheme="minorHAnsi"/>
          <w:sz w:val="22"/>
          <w:szCs w:val="22"/>
          <w:shd w:val="clear" w:color="auto" w:fill="FFFFFF"/>
        </w:rPr>
        <w:t xml:space="preserve"> </w:t>
      </w:r>
      <w:r w:rsidR="003C11E1">
        <w:rPr>
          <w:rFonts w:asciiTheme="minorHAnsi" w:hAnsiTheme="minorHAnsi" w:cstheme="minorHAnsi"/>
          <w:sz w:val="22"/>
          <w:szCs w:val="22"/>
        </w:rPr>
        <w:t>A</w:t>
      </w:r>
      <w:r w:rsidR="003C2B02" w:rsidRPr="004B0BC2">
        <w:rPr>
          <w:rFonts w:asciiTheme="minorHAnsi" w:hAnsiTheme="minorHAnsi" w:cstheme="minorHAnsi"/>
          <w:sz w:val="22"/>
          <w:szCs w:val="22"/>
        </w:rPr>
        <w:t xml:space="preserve"> prospective cohort study </w:t>
      </w:r>
      <w:r w:rsidR="003C2B02" w:rsidRPr="004B0BC2">
        <w:rPr>
          <w:rFonts w:asciiTheme="minorHAnsi" w:hAnsiTheme="minorHAnsi" w:cstheme="minorHAnsi"/>
          <w:sz w:val="22"/>
          <w:szCs w:val="22"/>
          <w:shd w:val="clear" w:color="auto" w:fill="FFFFFF"/>
        </w:rPr>
        <w:t xml:space="preserve">of 179 </w:t>
      </w:r>
      <w:r w:rsidR="009860AE">
        <w:rPr>
          <w:rFonts w:asciiTheme="minorHAnsi" w:hAnsiTheme="minorHAnsi" w:cstheme="minorHAnsi"/>
          <w:sz w:val="22"/>
          <w:szCs w:val="22"/>
          <w:shd w:val="clear" w:color="auto" w:fill="FFFFFF"/>
        </w:rPr>
        <w:t xml:space="preserve">patients with </w:t>
      </w:r>
      <w:r w:rsidR="003C2B02" w:rsidRPr="004B0BC2">
        <w:rPr>
          <w:rFonts w:asciiTheme="minorHAnsi" w:hAnsiTheme="minorHAnsi" w:cstheme="minorHAnsi"/>
          <w:sz w:val="22"/>
          <w:szCs w:val="22"/>
          <w:shd w:val="clear" w:color="auto" w:fill="FFFFFF"/>
        </w:rPr>
        <w:t>COVID-19 who were hospitalised at Wuhan Pulmonary Hospital</w:t>
      </w:r>
      <w:r w:rsidR="003C11E1">
        <w:rPr>
          <w:rFonts w:asciiTheme="minorHAnsi" w:hAnsiTheme="minorHAnsi" w:cstheme="minorHAnsi"/>
          <w:sz w:val="22"/>
          <w:szCs w:val="22"/>
          <w:shd w:val="clear" w:color="auto" w:fill="FFFFFF"/>
        </w:rPr>
        <w:t>, reported that p</w:t>
      </w:r>
      <w:r w:rsidR="003C2B02" w:rsidRPr="004B0BC2">
        <w:rPr>
          <w:rFonts w:asciiTheme="minorHAnsi" w:hAnsiTheme="minorHAnsi" w:cstheme="minorHAnsi"/>
          <w:sz w:val="22"/>
          <w:szCs w:val="22"/>
          <w:shd w:val="clear" w:color="auto" w:fill="FFFFFF"/>
        </w:rPr>
        <w:t xml:space="preserve">atients </w:t>
      </w:r>
      <w:r w:rsidR="00567A8B" w:rsidRPr="004B0BC2">
        <w:rPr>
          <w:rFonts w:asciiTheme="minorHAnsi" w:hAnsiTheme="minorHAnsi" w:cstheme="minorHAnsi"/>
          <w:sz w:val="22"/>
          <w:szCs w:val="22"/>
          <w:shd w:val="clear" w:color="auto" w:fill="FFFFFF"/>
        </w:rPr>
        <w:t>who died</w:t>
      </w:r>
      <w:r w:rsidR="003C2B02" w:rsidRPr="004B0BC2">
        <w:rPr>
          <w:rFonts w:asciiTheme="minorHAnsi" w:hAnsiTheme="minorHAnsi" w:cstheme="minorHAnsi"/>
          <w:sz w:val="22"/>
          <w:szCs w:val="22"/>
          <w:shd w:val="clear" w:color="auto" w:fill="FFFFFF"/>
        </w:rPr>
        <w:t xml:space="preserve"> were </w:t>
      </w:r>
      <w:r w:rsidR="003C2B02" w:rsidRPr="004B0BC2">
        <w:rPr>
          <w:rFonts w:asciiTheme="minorHAnsi" w:hAnsiTheme="minorHAnsi" w:cstheme="minorHAnsi"/>
          <w:sz w:val="22"/>
          <w:szCs w:val="22"/>
          <w:shd w:val="clear" w:color="auto" w:fill="FFFFFF"/>
        </w:rPr>
        <w:lastRenderedPageBreak/>
        <w:t>much older than those in the survivor group (</w:t>
      </w:r>
      <w:r w:rsidR="00BB44BC" w:rsidRPr="004B0BC2">
        <w:rPr>
          <w:rFonts w:asciiTheme="minorHAnsi" w:hAnsiTheme="minorHAnsi" w:cstheme="minorHAnsi"/>
          <w:sz w:val="22"/>
          <w:szCs w:val="22"/>
          <w:shd w:val="clear" w:color="auto" w:fill="FFFFFF"/>
        </w:rPr>
        <w:t>mean age +/- standard difference</w:t>
      </w:r>
      <w:r w:rsidR="00567A8B" w:rsidRPr="004B0BC2">
        <w:rPr>
          <w:rFonts w:asciiTheme="minorHAnsi" w:hAnsiTheme="minorHAnsi" w:cstheme="minorHAnsi"/>
          <w:sz w:val="22"/>
          <w:szCs w:val="22"/>
          <w:shd w:val="clear" w:color="auto" w:fill="FFFFFF"/>
        </w:rPr>
        <w:t>;</w:t>
      </w:r>
      <w:r w:rsidR="00BB44BC" w:rsidRPr="004B0BC2">
        <w:rPr>
          <w:rFonts w:asciiTheme="minorHAnsi" w:hAnsiTheme="minorHAnsi" w:cstheme="minorHAnsi"/>
          <w:sz w:val="22"/>
          <w:szCs w:val="22"/>
          <w:shd w:val="clear" w:color="auto" w:fill="FFFFFF"/>
        </w:rPr>
        <w:t xml:space="preserve"> </w:t>
      </w:r>
      <w:r w:rsidR="003C2B02" w:rsidRPr="004B0BC2">
        <w:rPr>
          <w:rFonts w:asciiTheme="minorHAnsi" w:hAnsiTheme="minorHAnsi" w:cstheme="minorHAnsi"/>
          <w:sz w:val="22"/>
          <w:szCs w:val="22"/>
          <w:shd w:val="clear" w:color="auto" w:fill="FFFFFF"/>
        </w:rPr>
        <w:t>70.2±7.7 years</w:t>
      </w:r>
      <w:r w:rsidR="00BB44BC" w:rsidRPr="004B0BC2">
        <w:rPr>
          <w:rFonts w:asciiTheme="minorHAnsi" w:hAnsiTheme="minorHAnsi" w:cstheme="minorHAnsi"/>
          <w:sz w:val="22"/>
          <w:szCs w:val="22"/>
          <w:shd w:val="clear" w:color="auto" w:fill="FFFFFF"/>
        </w:rPr>
        <w:t xml:space="preserve"> v</w:t>
      </w:r>
      <w:r w:rsidR="003C11E1">
        <w:rPr>
          <w:rFonts w:asciiTheme="minorHAnsi" w:hAnsiTheme="minorHAnsi" w:cstheme="minorHAnsi"/>
          <w:sz w:val="22"/>
          <w:szCs w:val="22"/>
          <w:shd w:val="clear" w:color="auto" w:fill="FFFFFF"/>
        </w:rPr>
        <w:t>ersus</w:t>
      </w:r>
      <w:r w:rsidR="00BB44BC" w:rsidRPr="004B0BC2">
        <w:rPr>
          <w:rFonts w:asciiTheme="minorHAnsi" w:hAnsiTheme="minorHAnsi" w:cstheme="minorHAnsi"/>
          <w:sz w:val="22"/>
          <w:szCs w:val="22"/>
          <w:shd w:val="clear" w:color="auto" w:fill="FFFFFF"/>
        </w:rPr>
        <w:t xml:space="preserve"> </w:t>
      </w:r>
      <w:r w:rsidR="003C2B02" w:rsidRPr="004B0BC2">
        <w:rPr>
          <w:rFonts w:asciiTheme="minorHAnsi" w:hAnsiTheme="minorHAnsi" w:cstheme="minorHAnsi"/>
          <w:sz w:val="22"/>
          <w:szCs w:val="22"/>
          <w:shd w:val="clear" w:color="auto" w:fill="FFFFFF"/>
        </w:rPr>
        <w:t>56.0±13.5 years</w:t>
      </w:r>
      <w:r w:rsidR="00512579"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3C2B02" w:rsidRPr="004B0BC2">
        <w:rPr>
          <w:rFonts w:asciiTheme="minorHAnsi" w:hAnsiTheme="minorHAnsi" w:cstheme="minorHAnsi"/>
          <w:sz w:val="22"/>
          <w:szCs w:val="22"/>
          <w:shd w:val="clear" w:color="auto" w:fill="FFFFFF"/>
        </w:rPr>
        <w:t>&lt;0.001)</w:t>
      </w:r>
      <w:r w:rsidR="00BB44B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and had hypertension (61.9% </w:t>
      </w:r>
      <w:r w:rsidR="001D6E6C" w:rsidRPr="004B0BC2">
        <w:rPr>
          <w:rFonts w:asciiTheme="minorHAnsi" w:hAnsiTheme="minorHAnsi" w:cstheme="minorHAnsi"/>
          <w:sz w:val="22"/>
          <w:szCs w:val="22"/>
          <w:shd w:val="clear" w:color="auto" w:fill="FFFFFF"/>
        </w:rPr>
        <w:t>v</w:t>
      </w:r>
      <w:r w:rsidR="003C11E1">
        <w:rPr>
          <w:rFonts w:asciiTheme="minorHAnsi" w:hAnsiTheme="minorHAnsi" w:cstheme="minorHAnsi"/>
          <w:sz w:val="22"/>
          <w:szCs w:val="22"/>
          <w:shd w:val="clear" w:color="auto" w:fill="FFFFFF"/>
        </w:rPr>
        <w:t>ersu</w:t>
      </w:r>
      <w:r w:rsidR="001D6E6C" w:rsidRPr="004B0BC2">
        <w:rPr>
          <w:rFonts w:asciiTheme="minorHAnsi" w:hAnsiTheme="minorHAnsi" w:cstheme="minorHAnsi"/>
          <w:sz w:val="22"/>
          <w:szCs w:val="22"/>
          <w:shd w:val="clear" w:color="auto" w:fill="FFFFFF"/>
        </w:rPr>
        <w:t xml:space="preserve">s </w:t>
      </w:r>
      <w:r w:rsidR="003C2B02" w:rsidRPr="004B0BC2">
        <w:rPr>
          <w:rFonts w:asciiTheme="minorHAnsi" w:hAnsiTheme="minorHAnsi" w:cstheme="minorHAnsi"/>
          <w:sz w:val="22"/>
          <w:szCs w:val="22"/>
          <w:shd w:val="clear" w:color="auto" w:fill="FFFFFF"/>
        </w:rPr>
        <w:t>28.5%</w:t>
      </w:r>
      <w:r w:rsidR="001D6E6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3C2B02" w:rsidRPr="004B0BC2">
        <w:rPr>
          <w:rFonts w:asciiTheme="minorHAnsi" w:hAnsiTheme="minorHAnsi" w:cstheme="minorHAnsi"/>
          <w:sz w:val="22"/>
          <w:szCs w:val="22"/>
          <w:shd w:val="clear" w:color="auto" w:fill="FFFFFF"/>
        </w:rPr>
        <w:t>=0.005)</w:t>
      </w:r>
      <w:r w:rsidR="002E461E" w:rsidRPr="004B0BC2">
        <w:rPr>
          <w:rFonts w:asciiTheme="minorHAnsi" w:hAnsiTheme="minorHAnsi" w:cstheme="minorHAnsi"/>
          <w:sz w:val="22"/>
          <w:szCs w:val="22"/>
          <w:shd w:val="clear" w:color="auto" w:fill="FFFFFF"/>
        </w:rPr>
        <w:t xml:space="preserve"> and</w:t>
      </w:r>
      <w:r w:rsidR="003C2B02" w:rsidRPr="004B0BC2">
        <w:rPr>
          <w:rFonts w:asciiTheme="minorHAnsi" w:hAnsiTheme="minorHAnsi" w:cstheme="minorHAnsi"/>
          <w:sz w:val="22"/>
          <w:szCs w:val="22"/>
          <w:shd w:val="clear" w:color="auto" w:fill="FFFFFF"/>
        </w:rPr>
        <w:t xml:space="preserve"> </w:t>
      </w:r>
      <w:r w:rsidR="00190D8C" w:rsidRPr="004B0BC2">
        <w:rPr>
          <w:rFonts w:asciiTheme="minorHAnsi" w:hAnsiTheme="minorHAnsi" w:cstheme="minorHAnsi"/>
          <w:sz w:val="22"/>
          <w:szCs w:val="22"/>
          <w:shd w:val="clear" w:color="auto" w:fill="FFFFFF"/>
        </w:rPr>
        <w:t>CVD</w:t>
      </w:r>
      <w:r w:rsidR="003C2B02" w:rsidRPr="004B0BC2">
        <w:rPr>
          <w:rFonts w:asciiTheme="minorHAnsi" w:hAnsiTheme="minorHAnsi" w:cstheme="minorHAnsi"/>
          <w:sz w:val="22"/>
          <w:szCs w:val="22"/>
          <w:shd w:val="clear" w:color="auto" w:fill="FFFFFF"/>
        </w:rPr>
        <w:t xml:space="preserve"> or cerebrovascular diseases (57.1%</w:t>
      </w:r>
      <w:r w:rsidR="00BB44BC" w:rsidRPr="004B0BC2">
        <w:rPr>
          <w:rFonts w:asciiTheme="minorHAnsi" w:hAnsiTheme="minorHAnsi" w:cstheme="minorHAnsi"/>
          <w:sz w:val="22"/>
          <w:szCs w:val="22"/>
          <w:shd w:val="clear" w:color="auto" w:fill="FFFFFF"/>
        </w:rPr>
        <w:t xml:space="preserve"> v</w:t>
      </w:r>
      <w:r w:rsidR="003C11E1">
        <w:rPr>
          <w:rFonts w:asciiTheme="minorHAnsi" w:hAnsiTheme="minorHAnsi" w:cstheme="minorHAnsi"/>
          <w:sz w:val="22"/>
          <w:szCs w:val="22"/>
          <w:shd w:val="clear" w:color="auto" w:fill="FFFFFF"/>
        </w:rPr>
        <w:t>ersu</w:t>
      </w:r>
      <w:r w:rsidR="00BB44BC" w:rsidRPr="004B0BC2">
        <w:rPr>
          <w:rFonts w:asciiTheme="minorHAnsi" w:hAnsiTheme="minorHAnsi" w:cstheme="minorHAnsi"/>
          <w:sz w:val="22"/>
          <w:szCs w:val="22"/>
          <w:shd w:val="clear" w:color="auto" w:fill="FFFFFF"/>
        </w:rPr>
        <w:t xml:space="preserve">s </w:t>
      </w:r>
      <w:r w:rsidR="003C2B02" w:rsidRPr="004B0BC2">
        <w:rPr>
          <w:rFonts w:asciiTheme="minorHAnsi" w:hAnsiTheme="minorHAnsi" w:cstheme="minorHAnsi"/>
          <w:sz w:val="22"/>
          <w:szCs w:val="22"/>
          <w:shd w:val="clear" w:color="auto" w:fill="FFFFFF"/>
        </w:rPr>
        <w:t xml:space="preserve">10.8%; </w:t>
      </w:r>
      <w:r w:rsidR="00567A8B" w:rsidRPr="004B0BC2">
        <w:rPr>
          <w:rFonts w:asciiTheme="minorHAnsi" w:hAnsiTheme="minorHAnsi" w:cstheme="minorHAnsi"/>
          <w:sz w:val="22"/>
          <w:szCs w:val="22"/>
          <w:shd w:val="clear" w:color="auto" w:fill="FFFFFF"/>
        </w:rPr>
        <w:t>p</w:t>
      </w:r>
      <w:r w:rsidR="003C2B02" w:rsidRPr="004B0BC2">
        <w:rPr>
          <w:rFonts w:asciiTheme="minorHAnsi" w:hAnsiTheme="minorHAnsi" w:cstheme="minorHAnsi"/>
          <w:sz w:val="22"/>
          <w:szCs w:val="22"/>
          <w:shd w:val="clear" w:color="auto" w:fill="FFFFFF"/>
        </w:rPr>
        <w:t>&lt;0.001)</w:t>
      </w:r>
      <w:r w:rsidR="003C11E1"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{"citationItems":[{"id":"ITEM-1","itemData":{"DOI":"10.1183/13993003.00524-2020","ISSN":"13993003","PMID":"32269088","abstract":"The aim of this study was to identify factors associated with the death of patients with COVID-19 pneumonia caused by the novel coronavirus SARS-CoV-2. All clinical and laboratory parameters were collected prospectively from a cohort of patients with COVID-19 pneumonia who were hospitalised to Wuhan Pulmonary Hospital (Wuhan City, Hubei Province, China) between 25 December 2019 and 7 February 2020. Univariate and multivariate logistic regression was performed to investigate the relationship between each variable and the risk of death of COVID-19 pneumonia patients. In total, 179 patients with COVID-19 pneumonia (97 male and 82 female) were included in the present prospective study, of whom 21 died. Univariate and multivariate logistic regression analysis revealed that age ≥65 years (OR 3.765, 95% CI 1.146-17.394; p=0.023), pre-existing concurrent cardiovascular or cerebrovascular diseases (OR 2.464, 95% CI 0.755-8.044; p=0.007), CD3+CD8+ T-cells ≤75 cells μL-1 (OR 3.982, 95% CI 1.132-14.006; p&lt;0.001) and cardiac troponin I ≥0.05 ng mL-1 (OR 4.077, 95% CI 1.166- 14.253; p&lt;0.001) were associated with an increase in risk of mortality from COVID-19 pneumonia. In a sex-, age- and comorbid illness-matched case-control study, CD3+CD8+ T-cells ≤75 cells μL-1 and cardiac troponin I ≥0.05 ng mL-1 remained as predictors for high mortality from COVID-19 pneumonia. We identified four risk factors: Age ≥65 years, pre-existing concurrent cardiovascular or cerebrovascular diseases, CD3+CD8+ T-cells ≤75 cells μL-1 and cardiac troponin I ≥0.05 ng mL-1. The latter two factors, especially, were predictors for mortality of COVID-19 pneumonia patients.","author":[{"dropping-particle":"","family":"Du","given":"Rong Hui","non-dropping-particle":"","parse-names":false,"suffix":""},{"dropping-particle":"","family":"Liang","given":"Li Rong","non-dropping-particle":"","parse-names":false,"suffix":""},{"dropping-particle":"","family":"Yang","given":"Cheng Qing","non-dropping-particle":"","parse-names":false,"suffix":""},{"dropping-particle":"","family":"Wang","given":"Wen","non-dropping-particle":"","parse-names":false,"suffix":""},{"dropping-particle":"","family":"Cao","given":"Tan Ze","non-dropping-particle":"","parse-names":false,"suffix":""},{"dropping-particle":"","family":"Li","given":"Ming","non-dropping-particle":"","parse-names":false,"suffix":""},{"dropping-particle":"","family":"Guo","given":"Guang Yun","non-dropping-particle":"","parse-names":false,"suffix":""},{"dropping-particle":"","family":"Du","given":"Juan","non-dropping-particle":"","parse-names":false,"suffix":""},{"dropping-particle":"","family":"Zheng","given":"Chun Lan","non-dropping-particle":"","parse-names":false,"suffix":""},{"dropping-particle":"","family":"Zhu","given":"Qi","non-dropping-particle":"","parse-names":false,"suffix":""},{"dropping-particle":"","family":"Hu","given":"Ming","non-dropping-particle":"","parse-names":false,"suffix":""},{"dropping-particle":"","family":"Li","given":"Xu Yan","non-dropping-particle":"","parse-names":false,"suffix":""},{"dropping-particle":"","family":"Peng","given":"Peng","non-dropping-particle":"","parse-names":false,"suffix":""},{"dropping-particle":"","family":"Shi","given":"Huan Zhong","non-dropping-particle":"","parse-names":false,"suffix":""}],"container-title":"European Respiratory Journal","id":"ITEM-1","issue":"5","issued":{"date-parts":[["2020"]]},"page":"1-8","title":"Predictors of mortality for patients with COVID-19 pneumonia caused by SARSCoV- 2: A prospective cohort study","type":"article-journal","volume":"55"},"uris":["http://www.mendeley.com/documents/?uuid=af2b73af-d18f-4c1b-aaf4-156e64a5db6b"]}],"mendeley":{"formattedCitation":"(16)","plainTextFormattedCitation":"(16)","previouslyFormattedCitation":"(16)"},"properties":{"noteIndex":0},"schema":"https://github.com/citation-style-language/schema/raw/master/csl-citation.json"}</w:instrText>
      </w:r>
      <w:r w:rsidR="003C11E1"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w:t>
      </w:r>
      <w:r w:rsidR="003C11E1" w:rsidRPr="004B0BC2">
        <w:rPr>
          <w:rFonts w:asciiTheme="minorHAnsi" w:hAnsiTheme="minorHAnsi" w:cstheme="minorHAnsi"/>
          <w:sz w:val="22"/>
          <w:szCs w:val="22"/>
        </w:rPr>
        <w:fldChar w:fldCharType="end"/>
      </w:r>
      <w:r w:rsidR="003C2B02" w:rsidRPr="004B0BC2">
        <w:rPr>
          <w:rFonts w:asciiTheme="minorHAnsi" w:hAnsiTheme="minorHAnsi" w:cstheme="minorHAnsi"/>
          <w:sz w:val="22"/>
          <w:szCs w:val="22"/>
          <w:shd w:val="clear" w:color="auto" w:fill="FFFFFF"/>
        </w:rPr>
        <w:t xml:space="preserve">. Multivariate </w:t>
      </w:r>
      <w:r w:rsidR="002E461E" w:rsidRPr="004B0BC2">
        <w:rPr>
          <w:rFonts w:asciiTheme="minorHAnsi" w:hAnsiTheme="minorHAnsi" w:cstheme="minorHAnsi"/>
          <w:sz w:val="22"/>
          <w:szCs w:val="22"/>
          <w:shd w:val="clear" w:color="auto" w:fill="FFFFFF"/>
        </w:rPr>
        <w:t>analysis</w:t>
      </w:r>
      <w:r w:rsidR="003C2B02" w:rsidRPr="004B0BC2">
        <w:rPr>
          <w:rFonts w:asciiTheme="minorHAnsi" w:hAnsiTheme="minorHAnsi" w:cstheme="minorHAnsi"/>
          <w:sz w:val="22"/>
          <w:szCs w:val="22"/>
          <w:shd w:val="clear" w:color="auto" w:fill="FFFFFF"/>
        </w:rPr>
        <w:t xml:space="preserve"> showed that</w:t>
      </w:r>
      <w:r w:rsidR="002E461E" w:rsidRPr="004B0BC2">
        <w:rPr>
          <w:rFonts w:asciiTheme="minorHAnsi" w:hAnsiTheme="minorHAnsi" w:cstheme="minorHAnsi"/>
          <w:sz w:val="22"/>
          <w:szCs w:val="22"/>
          <w:shd w:val="clear" w:color="auto" w:fill="FFFFFF"/>
        </w:rPr>
        <w:t xml:space="preserve"> an age</w:t>
      </w:r>
      <w:r w:rsidR="003C2B02" w:rsidRPr="004B0BC2">
        <w:rPr>
          <w:rFonts w:asciiTheme="minorHAnsi" w:hAnsiTheme="minorHAnsi" w:cstheme="minorHAnsi"/>
          <w:sz w:val="22"/>
          <w:szCs w:val="22"/>
          <w:shd w:val="clear" w:color="auto" w:fill="FFFFFF"/>
        </w:rPr>
        <w:t xml:space="preserve"> ≥65 years (OR</w:t>
      </w:r>
      <w:r w:rsidR="00BB44B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3.765, 95% CI</w:t>
      </w:r>
      <w:r w:rsidR="00BB44B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1.146‒17.394</w:t>
      </w:r>
      <w:r w:rsidR="00BB44B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p=0.023)</w:t>
      </w:r>
      <w:r w:rsidR="002E461E" w:rsidRPr="004B0BC2">
        <w:rPr>
          <w:rFonts w:asciiTheme="minorHAnsi" w:hAnsiTheme="minorHAnsi" w:cstheme="minorHAnsi"/>
          <w:sz w:val="22"/>
          <w:szCs w:val="22"/>
          <w:shd w:val="clear" w:color="auto" w:fill="FFFFFF"/>
        </w:rPr>
        <w:t xml:space="preserve"> and </w:t>
      </w:r>
      <w:r w:rsidR="003C2B02" w:rsidRPr="004B0BC2">
        <w:rPr>
          <w:rFonts w:asciiTheme="minorHAnsi" w:hAnsiTheme="minorHAnsi" w:cstheme="minorHAnsi"/>
          <w:sz w:val="22"/>
          <w:szCs w:val="22"/>
          <w:shd w:val="clear" w:color="auto" w:fill="FFFFFF"/>
        </w:rPr>
        <w:t xml:space="preserve">cardiovascular or cerebrovascular </w:t>
      </w:r>
      <w:r w:rsidR="007A7030" w:rsidRPr="004B0BC2">
        <w:rPr>
          <w:rFonts w:asciiTheme="minorHAnsi" w:hAnsiTheme="minorHAnsi" w:cstheme="minorHAnsi"/>
          <w:sz w:val="22"/>
          <w:szCs w:val="22"/>
          <w:shd w:val="clear" w:color="auto" w:fill="FFFFFF"/>
        </w:rPr>
        <w:t>comorbidities</w:t>
      </w:r>
      <w:r w:rsidR="003C2B02" w:rsidRPr="004B0BC2">
        <w:rPr>
          <w:rFonts w:asciiTheme="minorHAnsi" w:hAnsiTheme="minorHAnsi" w:cstheme="minorHAnsi"/>
          <w:sz w:val="22"/>
          <w:szCs w:val="22"/>
          <w:shd w:val="clear" w:color="auto" w:fill="FFFFFF"/>
        </w:rPr>
        <w:t xml:space="preserve"> (OR</w:t>
      </w:r>
      <w:r w:rsidR="00BB44B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2.464, 95% CI</w:t>
      </w:r>
      <w:r w:rsidR="00BB44B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0.755‒8.044</w:t>
      </w:r>
      <w:r w:rsidR="00BB44BC"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p=0.007) were associated with an increase</w:t>
      </w:r>
      <w:r w:rsidR="007A7030" w:rsidRPr="004B0BC2">
        <w:rPr>
          <w:rFonts w:asciiTheme="minorHAnsi" w:hAnsiTheme="minorHAnsi" w:cstheme="minorHAnsi"/>
          <w:sz w:val="22"/>
          <w:szCs w:val="22"/>
          <w:shd w:val="clear" w:color="auto" w:fill="FFFFFF"/>
        </w:rPr>
        <w:t>d</w:t>
      </w:r>
      <w:r w:rsidR="003C2B02" w:rsidRPr="004B0BC2">
        <w:rPr>
          <w:rFonts w:asciiTheme="minorHAnsi" w:hAnsiTheme="minorHAnsi" w:cstheme="minorHAnsi"/>
          <w:sz w:val="22"/>
          <w:szCs w:val="22"/>
          <w:shd w:val="clear" w:color="auto" w:fill="FFFFFF"/>
        </w:rPr>
        <w:t xml:space="preserve"> risk</w:t>
      </w:r>
      <w:r w:rsidR="00512579" w:rsidRPr="004B0BC2">
        <w:rPr>
          <w:rFonts w:asciiTheme="minorHAnsi" w:hAnsiTheme="minorHAnsi" w:cstheme="minorHAnsi"/>
          <w:sz w:val="22"/>
          <w:szCs w:val="22"/>
          <w:shd w:val="clear" w:color="auto" w:fill="FFFFFF"/>
        </w:rPr>
        <w:t xml:space="preserve"> of</w:t>
      </w:r>
      <w:r w:rsidR="003C2B02" w:rsidRPr="004B0BC2">
        <w:rPr>
          <w:rFonts w:asciiTheme="minorHAnsi" w:hAnsiTheme="minorHAnsi" w:cstheme="minorHAnsi"/>
          <w:sz w:val="22"/>
          <w:szCs w:val="22"/>
          <w:shd w:val="clear" w:color="auto" w:fill="FFFFFF"/>
        </w:rPr>
        <w:t xml:space="preserve"> COVID-19</w:t>
      </w:r>
      <w:r w:rsidR="007A7030" w:rsidRPr="004B0BC2">
        <w:rPr>
          <w:rFonts w:asciiTheme="minorHAnsi" w:hAnsiTheme="minorHAnsi" w:cstheme="minorHAnsi"/>
          <w:sz w:val="22"/>
          <w:szCs w:val="22"/>
          <w:shd w:val="clear" w:color="auto" w:fill="FFFFFF"/>
        </w:rPr>
        <w:t xml:space="preserve"> mortality</w:t>
      </w:r>
      <w:r w:rsidR="003C2B02" w:rsidRPr="004B0BC2">
        <w:rPr>
          <w:rFonts w:asciiTheme="minorHAnsi" w:hAnsiTheme="minorHAnsi" w:cstheme="minorHAnsi"/>
          <w:sz w:val="22"/>
          <w:szCs w:val="22"/>
          <w:shd w:val="clear" w:color="auto" w:fill="FFFFFF"/>
        </w:rPr>
        <w:t>.</w:t>
      </w:r>
      <w:r w:rsidR="003C11E1">
        <w:rPr>
          <w:rFonts w:asciiTheme="minorHAnsi" w:hAnsiTheme="minorHAnsi" w:cstheme="minorHAnsi"/>
          <w:sz w:val="22"/>
          <w:szCs w:val="22"/>
          <w:shd w:val="clear" w:color="auto" w:fill="FFFFFF"/>
        </w:rPr>
        <w:t xml:space="preserve"> Accordingly, </w:t>
      </w:r>
      <w:r w:rsidR="003C2B02" w:rsidRPr="004B0BC2">
        <w:rPr>
          <w:rFonts w:asciiTheme="minorHAnsi" w:hAnsiTheme="minorHAnsi" w:cstheme="minorHAnsi"/>
          <w:sz w:val="22"/>
          <w:szCs w:val="22"/>
          <w:shd w:val="clear" w:color="auto" w:fill="FFFFFF"/>
        </w:rPr>
        <w:t xml:space="preserve">a retrospective case series </w:t>
      </w:r>
      <w:r w:rsidR="00433D48">
        <w:rPr>
          <w:rFonts w:asciiTheme="minorHAnsi" w:hAnsiTheme="minorHAnsi" w:cstheme="minorHAnsi"/>
          <w:sz w:val="22"/>
          <w:szCs w:val="22"/>
          <w:shd w:val="clear" w:color="auto" w:fill="FFFFFF"/>
        </w:rPr>
        <w:t>of</w:t>
      </w:r>
      <w:r w:rsidR="003C2B02" w:rsidRPr="004B0BC2">
        <w:rPr>
          <w:rFonts w:asciiTheme="minorHAnsi" w:hAnsiTheme="minorHAnsi" w:cstheme="minorHAnsi"/>
          <w:sz w:val="22"/>
          <w:szCs w:val="22"/>
          <w:shd w:val="clear" w:color="auto" w:fill="FFFFFF"/>
        </w:rPr>
        <w:t xml:space="preserve"> 201 patients </w:t>
      </w:r>
      <w:r w:rsidR="00433D48">
        <w:rPr>
          <w:rFonts w:asciiTheme="minorHAnsi" w:hAnsiTheme="minorHAnsi" w:cstheme="minorHAnsi"/>
          <w:sz w:val="22"/>
          <w:szCs w:val="22"/>
          <w:shd w:val="clear" w:color="auto" w:fill="FFFFFF"/>
        </w:rPr>
        <w:t xml:space="preserve">who </w:t>
      </w:r>
      <w:r w:rsidR="003C2B02" w:rsidRPr="004B0BC2">
        <w:rPr>
          <w:rFonts w:asciiTheme="minorHAnsi" w:hAnsiTheme="minorHAnsi" w:cstheme="minorHAnsi"/>
          <w:sz w:val="22"/>
          <w:szCs w:val="22"/>
          <w:shd w:val="clear" w:color="auto" w:fill="FFFFFF"/>
        </w:rPr>
        <w:t>were admitted to a single hospital in Wuhan with COVID-19</w:t>
      </w:r>
      <w:r w:rsidR="00433D48">
        <w:rPr>
          <w:rFonts w:asciiTheme="minorHAnsi" w:hAnsiTheme="minorHAnsi" w:cstheme="minorHAnsi"/>
          <w:sz w:val="22"/>
          <w:szCs w:val="22"/>
          <w:shd w:val="clear" w:color="auto" w:fill="FFFFFF"/>
        </w:rPr>
        <w:t xml:space="preserve"> showed that p</w:t>
      </w:r>
      <w:r w:rsidR="003C2B02" w:rsidRPr="004B0BC2">
        <w:rPr>
          <w:rFonts w:asciiTheme="minorHAnsi" w:hAnsiTheme="minorHAnsi" w:cstheme="minorHAnsi"/>
          <w:sz w:val="22"/>
          <w:szCs w:val="22"/>
          <w:shd w:val="clear" w:color="auto" w:fill="FFFFFF"/>
        </w:rPr>
        <w:t xml:space="preserve">atients </w:t>
      </w:r>
      <w:r w:rsidR="00433D48">
        <w:rPr>
          <w:rFonts w:asciiTheme="minorHAnsi" w:hAnsiTheme="minorHAnsi" w:cstheme="minorHAnsi"/>
          <w:sz w:val="22"/>
          <w:szCs w:val="22"/>
          <w:shd w:val="clear" w:color="auto" w:fill="FFFFFF"/>
        </w:rPr>
        <w:t>who</w:t>
      </w:r>
      <w:r w:rsidR="003C2B02" w:rsidRPr="004B0BC2">
        <w:rPr>
          <w:rFonts w:asciiTheme="minorHAnsi" w:hAnsiTheme="minorHAnsi" w:cstheme="minorHAnsi"/>
          <w:sz w:val="22"/>
          <w:szCs w:val="22"/>
          <w:shd w:val="clear" w:color="auto" w:fill="FFFFFF"/>
        </w:rPr>
        <w:t xml:space="preserve"> developed ARDS were</w:t>
      </w:r>
      <w:r w:rsidR="003C2B02" w:rsidRPr="004B0BC2">
        <w:rPr>
          <w:rFonts w:asciiTheme="minorHAnsi" w:hAnsiTheme="minorHAnsi" w:cstheme="minorHAnsi"/>
          <w:sz w:val="22"/>
          <w:szCs w:val="22"/>
        </w:rPr>
        <w:t xml:space="preserve"> older (</w:t>
      </w:r>
      <w:r w:rsidR="00AA18B9" w:rsidRPr="004B0BC2">
        <w:rPr>
          <w:rFonts w:asciiTheme="minorHAnsi" w:hAnsiTheme="minorHAnsi" w:cstheme="minorHAnsi"/>
          <w:sz w:val="22"/>
          <w:szCs w:val="22"/>
        </w:rPr>
        <w:t>median age 58.5</w:t>
      </w:r>
      <w:r w:rsidR="00091A0A" w:rsidRPr="004B0BC2">
        <w:rPr>
          <w:rFonts w:asciiTheme="minorHAnsi" w:hAnsiTheme="minorHAnsi" w:cstheme="minorHAnsi"/>
          <w:sz w:val="22"/>
          <w:szCs w:val="22"/>
        </w:rPr>
        <w:t xml:space="preserve"> </w:t>
      </w:r>
      <w:r w:rsidR="00AA18B9" w:rsidRPr="004B0BC2">
        <w:rPr>
          <w:rFonts w:asciiTheme="minorHAnsi" w:hAnsiTheme="minorHAnsi" w:cstheme="minorHAnsi"/>
          <w:sz w:val="22"/>
          <w:szCs w:val="22"/>
        </w:rPr>
        <w:t>(IQR 50-69) v</w:t>
      </w:r>
      <w:r w:rsidR="00433D48">
        <w:rPr>
          <w:rFonts w:asciiTheme="minorHAnsi" w:hAnsiTheme="minorHAnsi" w:cstheme="minorHAnsi"/>
          <w:sz w:val="22"/>
          <w:szCs w:val="22"/>
        </w:rPr>
        <w:t>ersu</w:t>
      </w:r>
      <w:r w:rsidR="00AA18B9" w:rsidRPr="004B0BC2">
        <w:rPr>
          <w:rFonts w:asciiTheme="minorHAnsi" w:hAnsiTheme="minorHAnsi" w:cstheme="minorHAnsi"/>
          <w:sz w:val="22"/>
          <w:szCs w:val="22"/>
        </w:rPr>
        <w:t xml:space="preserve">s </w:t>
      </w:r>
      <w:r w:rsidR="007A00E8" w:rsidRPr="004B0BC2">
        <w:rPr>
          <w:rFonts w:asciiTheme="minorHAnsi" w:hAnsiTheme="minorHAnsi" w:cstheme="minorHAnsi"/>
          <w:sz w:val="22"/>
          <w:szCs w:val="22"/>
        </w:rPr>
        <w:t>48</w:t>
      </w:r>
      <w:r w:rsidR="00091A0A" w:rsidRPr="004B0BC2">
        <w:rPr>
          <w:rFonts w:asciiTheme="minorHAnsi" w:hAnsiTheme="minorHAnsi" w:cstheme="minorHAnsi"/>
          <w:sz w:val="22"/>
          <w:szCs w:val="22"/>
        </w:rPr>
        <w:t xml:space="preserve"> </w:t>
      </w:r>
      <w:r w:rsidR="00AA18B9" w:rsidRPr="004B0BC2">
        <w:rPr>
          <w:rFonts w:asciiTheme="minorHAnsi" w:hAnsiTheme="minorHAnsi" w:cstheme="minorHAnsi"/>
          <w:sz w:val="22"/>
          <w:szCs w:val="22"/>
        </w:rPr>
        <w:t>(IQR:40-54</w:t>
      </w:r>
      <w:r w:rsidR="00091A0A" w:rsidRPr="004B0BC2">
        <w:rPr>
          <w:rFonts w:asciiTheme="minorHAnsi" w:hAnsiTheme="minorHAnsi" w:cstheme="minorHAnsi"/>
          <w:sz w:val="22"/>
          <w:szCs w:val="22"/>
        </w:rPr>
        <w:t>)</w:t>
      </w:r>
      <w:r w:rsidR="00AA18B9"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 xml:space="preserve">&lt; </w:t>
      </w:r>
      <w:r w:rsidR="00044329" w:rsidRPr="004B0BC2">
        <w:rPr>
          <w:rFonts w:asciiTheme="minorHAnsi" w:hAnsiTheme="minorHAnsi" w:cstheme="minorHAnsi"/>
          <w:sz w:val="22"/>
          <w:szCs w:val="22"/>
        </w:rPr>
        <w:t>0</w:t>
      </w:r>
      <w:r w:rsidR="003C2B02" w:rsidRPr="004B0BC2">
        <w:rPr>
          <w:rFonts w:asciiTheme="minorHAnsi" w:hAnsiTheme="minorHAnsi" w:cstheme="minorHAnsi"/>
          <w:sz w:val="22"/>
          <w:szCs w:val="22"/>
        </w:rPr>
        <w:t>.001)</w:t>
      </w:r>
      <w:r w:rsidR="00044329" w:rsidRPr="004B0BC2">
        <w:rPr>
          <w:rFonts w:asciiTheme="minorHAnsi" w:hAnsiTheme="minorHAnsi" w:cstheme="minorHAnsi"/>
          <w:sz w:val="22"/>
          <w:szCs w:val="22"/>
        </w:rPr>
        <w:t xml:space="preserve"> and</w:t>
      </w:r>
      <w:r w:rsidR="003C2B02" w:rsidRPr="004B0BC2">
        <w:rPr>
          <w:rFonts w:asciiTheme="minorHAnsi" w:hAnsiTheme="minorHAnsi" w:cstheme="minorHAnsi"/>
          <w:sz w:val="22"/>
          <w:szCs w:val="22"/>
        </w:rPr>
        <w:t xml:space="preserve"> </w:t>
      </w:r>
      <w:r w:rsidR="00044329" w:rsidRPr="004B0BC2">
        <w:rPr>
          <w:rFonts w:asciiTheme="minorHAnsi" w:hAnsiTheme="minorHAnsi" w:cstheme="minorHAnsi"/>
          <w:sz w:val="22"/>
          <w:szCs w:val="22"/>
        </w:rPr>
        <w:t xml:space="preserve">had a history of </w:t>
      </w:r>
      <w:r w:rsidR="003C2B02" w:rsidRPr="004B0BC2">
        <w:rPr>
          <w:rFonts w:asciiTheme="minorHAnsi" w:hAnsiTheme="minorHAnsi" w:cstheme="minorHAnsi"/>
          <w:sz w:val="22"/>
          <w:szCs w:val="22"/>
        </w:rPr>
        <w:t>hypertension (</w:t>
      </w:r>
      <w:r w:rsidR="00AA18B9" w:rsidRPr="004B0BC2">
        <w:rPr>
          <w:rFonts w:asciiTheme="minorHAnsi" w:hAnsiTheme="minorHAnsi" w:cstheme="minorHAnsi"/>
          <w:sz w:val="22"/>
          <w:szCs w:val="22"/>
        </w:rPr>
        <w:t>23</w:t>
      </w:r>
      <w:r w:rsidR="003C2B02" w:rsidRPr="004B0BC2">
        <w:rPr>
          <w:rFonts w:asciiTheme="minorHAnsi" w:hAnsiTheme="minorHAnsi" w:cstheme="minorHAnsi"/>
          <w:sz w:val="22"/>
          <w:szCs w:val="22"/>
        </w:rPr>
        <w:t>%</w:t>
      </w:r>
      <w:r w:rsidR="00AA18B9" w:rsidRPr="004B0BC2">
        <w:rPr>
          <w:rFonts w:asciiTheme="minorHAnsi" w:hAnsiTheme="minorHAnsi" w:cstheme="minorHAnsi"/>
          <w:sz w:val="22"/>
          <w:szCs w:val="22"/>
        </w:rPr>
        <w:t xml:space="preserve"> v</w:t>
      </w:r>
      <w:r w:rsidR="00433D48">
        <w:rPr>
          <w:rFonts w:asciiTheme="minorHAnsi" w:hAnsiTheme="minorHAnsi" w:cstheme="minorHAnsi"/>
          <w:sz w:val="22"/>
          <w:szCs w:val="22"/>
        </w:rPr>
        <w:t>ersu</w:t>
      </w:r>
      <w:r w:rsidR="00AA18B9" w:rsidRPr="004B0BC2">
        <w:rPr>
          <w:rFonts w:asciiTheme="minorHAnsi" w:hAnsiTheme="minorHAnsi" w:cstheme="minorHAnsi"/>
          <w:sz w:val="22"/>
          <w:szCs w:val="22"/>
        </w:rPr>
        <w:t xml:space="preserve">s 16%,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w:t>
      </w:r>
      <w:r w:rsidR="00044329" w:rsidRPr="004B0BC2">
        <w:rPr>
          <w:rFonts w:asciiTheme="minorHAnsi" w:hAnsiTheme="minorHAnsi" w:cstheme="minorHAnsi"/>
          <w:sz w:val="22"/>
          <w:szCs w:val="22"/>
        </w:rPr>
        <w:t>0</w:t>
      </w:r>
      <w:r w:rsidR="003C2B02" w:rsidRPr="004B0BC2">
        <w:rPr>
          <w:rFonts w:asciiTheme="minorHAnsi" w:hAnsiTheme="minorHAnsi" w:cstheme="minorHAnsi"/>
          <w:sz w:val="22"/>
          <w:szCs w:val="22"/>
        </w:rPr>
        <w:t>.02) and diabetes (</w:t>
      </w:r>
      <w:r w:rsidR="00AA18B9" w:rsidRPr="004B0BC2">
        <w:rPr>
          <w:rFonts w:asciiTheme="minorHAnsi" w:hAnsiTheme="minorHAnsi" w:cstheme="minorHAnsi"/>
          <w:sz w:val="22"/>
          <w:szCs w:val="22"/>
        </w:rPr>
        <w:t>16</w:t>
      </w:r>
      <w:r w:rsidR="003C2B02" w:rsidRPr="004B0BC2">
        <w:rPr>
          <w:rFonts w:asciiTheme="minorHAnsi" w:hAnsiTheme="minorHAnsi" w:cstheme="minorHAnsi"/>
          <w:sz w:val="22"/>
          <w:szCs w:val="22"/>
        </w:rPr>
        <w:t>%</w:t>
      </w:r>
      <w:r w:rsidR="00AA18B9" w:rsidRPr="004B0BC2">
        <w:rPr>
          <w:rFonts w:asciiTheme="minorHAnsi" w:hAnsiTheme="minorHAnsi" w:cstheme="minorHAnsi"/>
          <w:sz w:val="22"/>
          <w:szCs w:val="22"/>
        </w:rPr>
        <w:t xml:space="preserve"> v</w:t>
      </w:r>
      <w:r w:rsidR="00433D48">
        <w:rPr>
          <w:rFonts w:asciiTheme="minorHAnsi" w:hAnsiTheme="minorHAnsi" w:cstheme="minorHAnsi"/>
          <w:sz w:val="22"/>
          <w:szCs w:val="22"/>
        </w:rPr>
        <w:t>ersu</w:t>
      </w:r>
      <w:r w:rsidR="00AA18B9" w:rsidRPr="004B0BC2">
        <w:rPr>
          <w:rFonts w:asciiTheme="minorHAnsi" w:hAnsiTheme="minorHAnsi" w:cstheme="minorHAnsi"/>
          <w:sz w:val="22"/>
          <w:szCs w:val="22"/>
        </w:rPr>
        <w:t xml:space="preserve">s 6%,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rPr>
        <w:t>=0.002)</w:t>
      </w:r>
      <w:r w:rsidR="00433D48">
        <w:rPr>
          <w:rFonts w:asciiTheme="minorHAnsi" w:hAnsiTheme="minorHAnsi" w:cstheme="minorHAnsi"/>
          <w:sz w:val="22"/>
          <w:szCs w:val="22"/>
        </w:rPr>
        <w:t xml:space="preserve"> than</w:t>
      </w:r>
      <w:r w:rsidR="009860AE">
        <w:rPr>
          <w:rFonts w:asciiTheme="minorHAnsi" w:hAnsiTheme="minorHAnsi" w:cstheme="minorHAnsi"/>
          <w:sz w:val="22"/>
          <w:szCs w:val="22"/>
        </w:rPr>
        <w:t xml:space="preserve"> </w:t>
      </w:r>
      <w:r w:rsidR="00433D48">
        <w:rPr>
          <w:rFonts w:asciiTheme="minorHAnsi" w:hAnsiTheme="minorHAnsi" w:cstheme="minorHAnsi"/>
          <w:sz w:val="22"/>
          <w:szCs w:val="22"/>
        </w:rPr>
        <w:t>those who did not develop ARDS</w:t>
      </w:r>
      <w:r w:rsidR="00F47E38" w:rsidRPr="004B0BC2">
        <w:rPr>
          <w:rFonts w:asciiTheme="minorHAnsi" w:hAnsiTheme="minorHAnsi" w:cstheme="minorHAnsi"/>
          <w:sz w:val="22"/>
          <w:szCs w:val="22"/>
        </w:rPr>
        <w:t>.</w:t>
      </w:r>
      <w:r w:rsidR="00433D48">
        <w:rPr>
          <w:rFonts w:asciiTheme="minorHAnsi" w:hAnsiTheme="minorHAnsi" w:cstheme="minorHAnsi"/>
          <w:sz w:val="22"/>
          <w:szCs w:val="22"/>
        </w:rPr>
        <w:t xml:space="preserve"> These conclusions were also supported by a study investigating </w:t>
      </w:r>
      <w:r w:rsidR="003C2B02" w:rsidRPr="004B0BC2">
        <w:rPr>
          <w:rFonts w:asciiTheme="minorHAnsi" w:hAnsiTheme="minorHAnsi" w:cstheme="minorHAnsi"/>
          <w:sz w:val="22"/>
          <w:szCs w:val="22"/>
        </w:rPr>
        <w:t>the clinical factors associated with COVID-19 disease severity</w:t>
      </w:r>
      <w:r w:rsidR="00FC68F5" w:rsidRPr="004B0BC2">
        <w:rPr>
          <w:rFonts w:asciiTheme="minorHAnsi" w:hAnsiTheme="minorHAnsi" w:cstheme="minorHAnsi"/>
          <w:sz w:val="22"/>
          <w:szCs w:val="22"/>
        </w:rPr>
        <w:t xml:space="preserve"> and</w:t>
      </w:r>
      <w:r w:rsidR="003C2B02" w:rsidRPr="004B0BC2">
        <w:rPr>
          <w:rFonts w:asciiTheme="minorHAnsi" w:hAnsiTheme="minorHAnsi" w:cstheme="minorHAnsi"/>
          <w:sz w:val="22"/>
          <w:szCs w:val="22"/>
        </w:rPr>
        <w:t xml:space="preserve"> mortality in a cohort of 663 Chinese patients from a single hospital in Wuhan</w:t>
      </w:r>
      <w:r w:rsidR="00433D48"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{"citationItems":[{"id":"ITEM-1","itemData":{"DOI":"10.1016/j.cmi.2020.04.012","ISSN":"14690691","PMID":"32304745","abstract":"Objective: In December 2019, coronavirus disease (COVID-19) emerged in Wuhan. However, the characteristics and risk factors associated with disease severity, unimprovement and mortality are unclear and our objective is to throw some light on these. Methods: All consecutive patients diagnosed with COVID-19 admitted to the Renmin Hospital of Wuhan University from January 11 to February 6, 2020, were enrolled in this retrospective cohort study. Results: A total of 663 COVID-19 patients were included in this study. Among these, 247 (37.3%) had at least one kind of chronic disease; 0.5% of the patients (n = 3) were diagnosed with mild COVID-19, while 37.8% (251/663), 47.5% (315/663), and 14.2% (94/663) were in moderate, severe, and critical conditions, respectively. In our hospital, during follow-up 251 of 663 patients (37.9%) improved and 25 patients died, a mortality rate of 3.77%. Older patients (&gt;60 years old) and those with chronic diseases were prone to have a severe to critical COVID-19 condition, to show unimprovement, and to die (p &lt;0.001, &lt;0.001). Multivariate logistic regression analysis identified being male (OR = 0.486, 95%CI 0.311–0.758; p 0.001), having a severe COVID-19 condition (OR = 0.129, 95%CI 0.082–0.201; p &lt;0.001), expectoration (OR = 1.796, 95%CI 1.062–3.036; p 0.029), muscle ache (OR = 0.309, 95%CI 0.153–0.626; p 0.001), and decreased albumin (OR = 1.929, 95%CI 1.199–3.104; p 0.007) as being associated with unimprovement in COVID-19 patients. Conclusion: Male sex, a severe COVID-19 condition, expectoration, muscle ache, and decreased albumin were independent risk factors which influence the improvement of COVID-19 patients.","author":[{"dropping-particle":"","family":"Zhang","given":"J.","non-dropping-particle":"","parse-names":false,"suffix":""},{"dropping-particle":"","family":"Wang","given":"X.","non-dropping-particle":"","parse-names":false,"suffix":""},{"dropping-particle":"","family":"Jia","given":"X.","non-dropping-particle":"","parse-names":false,"suffix":""},{"dropping-particle":"","family":"Li","given":"J.","non-dropping-particle":"","parse-names":false,"suffix":""},{"dropping-particle":"","family":"Hu","given":"K.","non-dropping-particle":"","parse-names":false,"suffix":""},{"dropping-particle":"","family":"Chen","given":"G.","non-dropping-particle":"","parse-names":false,"suffix":""},{"dropping-particle":"","family":"Wei","given":"J.","non-dropping-particle":"","parse-names":false,"suffix":""},{"dropping-particle":"","family":"Gong","given":"Z.","non-dropping-particle":"","parse-names":false,"suffix":""},{"dropping-particle":"","family":"Zhou","given":"C.","non-dropping-particle":"","parse-names":false,"suffix":""},{"dropping-particle":"","family":"Yu","given":"H.","non-dropping-particle":"","parse-names":false,"suffix":""},{"dropping-particle":"","family":"Yu","given":"M.","non-dropping-particle":"","parse-names":false,"suffix":""},{"dropping-particle":"","family":"Lei","given":"H.","non-dropping-particle":"","parse-names":false,"suffix":""},{"dropping-particle":"","family":"Cheng","given":"F.","non-dropping-particle":"","parse-names":false,"suffix":""},{"dropping-particle":"","family":"Zhang","given":"B.","non-dropping-particle":"","parse-names":false,"suffix":""},{"dropping-particle":"","family":"Xu","given":"Y.","non-dropping-particle":"","parse-names":false,"suffix":""},{"dropping-particle":"","family":"Wang","given":"G.","non-dropping-particle":"","parse-names":false,"suffix":""},{"dropping-particle":"","family":"Dong","given":"W.","non-dropping-particle":"","parse-names":false,"suffix":""}],"container-title":"Clinical Microbiology and Infection","id":"ITEM-1","issue":"6","issued":{"date-parts":[["2020"]]},"page":"767-772","title":"Risk factors for disease severity, unimprovement, and mortality in COVID-19 patients in Wuhan, China","type":"article-journal","volume":"26"},"uris":["http://www.mendeley.com/documents/?uuid=5fa28808-d97c-4339-9cc9-073d8c63269a"]}],"mendeley":{"formattedCitation":"(17)","plainTextFormattedCitation":"(17)","previouslyFormattedCitation":"(17)"},"properties":{"noteIndex":0},"schema":"https://github.com/citation-style-language/schema/raw/master/csl-citation.json"}</w:instrText>
      </w:r>
      <w:r w:rsidR="00433D48"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(17)</w:t>
      </w:r>
      <w:r w:rsidR="00433D48" w:rsidRPr="004B0BC2">
        <w:rPr>
          <w:rFonts w:asciiTheme="minorHAnsi" w:hAnsiTheme="minorHAnsi" w:cstheme="minorHAnsi"/>
          <w:sz w:val="22"/>
          <w:szCs w:val="22"/>
        </w:rPr>
        <w:fldChar w:fldCharType="end"/>
      </w:r>
      <w:r w:rsidR="003C2B02" w:rsidRPr="004B0BC2">
        <w:rPr>
          <w:rFonts w:asciiTheme="minorHAnsi" w:hAnsiTheme="minorHAnsi" w:cstheme="minorHAnsi"/>
          <w:sz w:val="22"/>
          <w:szCs w:val="22"/>
        </w:rPr>
        <w:t>.</w:t>
      </w:r>
      <w:r w:rsidR="003C11E1">
        <w:rPr>
          <w:rFonts w:asciiTheme="minorHAnsi" w:hAnsiTheme="minorHAnsi" w:cstheme="minorHAnsi"/>
          <w:sz w:val="22"/>
          <w:szCs w:val="22"/>
        </w:rPr>
        <w:t xml:space="preserve"> </w:t>
      </w:r>
      <w:r w:rsidR="00433D48">
        <w:rPr>
          <w:rFonts w:asciiTheme="minorHAnsi" w:hAnsiTheme="minorHAnsi" w:cstheme="minorHAnsi"/>
          <w:sz w:val="22"/>
          <w:szCs w:val="22"/>
        </w:rPr>
        <w:t>In this study, d</w:t>
      </w:r>
      <w:r w:rsidR="003C2B02" w:rsidRPr="004B0BC2">
        <w:rPr>
          <w:rFonts w:asciiTheme="minorHAnsi" w:hAnsiTheme="minorHAnsi" w:cstheme="minorHAnsi"/>
          <w:sz w:val="22"/>
          <w:szCs w:val="22"/>
        </w:rPr>
        <w:t>isease severity was classified according the WHO guidelines</w:t>
      </w:r>
      <w:r w:rsidR="007D1D58">
        <w:rPr>
          <w:rFonts w:asciiTheme="minorHAnsi" w:hAnsiTheme="minorHAnsi" w:cstheme="minorHAnsi"/>
          <w:sz w:val="22"/>
          <w:szCs w:val="22"/>
        </w:rPr>
        <w:t xml:space="preserve"> </w:t>
      </w:r>
      <w:r w:rsidR="00C1304A">
        <w:rPr>
          <w:rFonts w:asciiTheme="minorHAnsi" w:hAnsiTheme="minorHAnsi" w:cstheme="minorHAnsi"/>
          <w:sz w:val="22"/>
          <w:szCs w:val="22"/>
        </w:rPr>
        <w:t xml:space="preserve">for clinical management of COVID-19 </w:t>
      </w:r>
      <w:r w:rsidR="00C75F3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{"citationItems":[{"id":"ITEM-1","itemData":{"URL":"https://www.who.int/publications/i/item/clinical-management-of-covid-19","abstract":"This guidance document is intended for clinicians caring for COVID-19 patients during all phases of their disease (i.e. screening to discharge). This update has been expanded to meet the needs of front-line clinicians and promotes a multi-disciplinary approach to care for patients with COVID-19, including those with mild, moderate, severe, and critical disease. The following sections are entirely new: COVID-19 care pathway, treatment of acute and chronic infections, management of neurological and mental manifestations, noncommunicable diseases, rehabilitation, palliative care, ethical principles, and reporting of death; while previous chapters have also been significantly expanded.","accessed":{"date-parts":[["2020","9","17"]]},"author":[{"dropping-particle":"","family":"WHO","given":"","non-dropping-particle":"","parse-names":false,"suffix":""}],"container-title":"WHO website","id":"ITEM-1","issued":{"date-parts":[["2020"]]},"title":"Clinical management of COVID-19","type":"webpage"},"uris":["http://www.mendeley.com/documents/?uuid=5c8287dc-c421-4f5c-a558-56fc2334c460"]}],"mendeley":{"formattedCitation":"(18)","plainTextFormattedCitation":"(18)","previouslyFormattedCitation":"(18)"},"properties":{"noteIndex":0},"schema":"https://github.com/citation-style-language/schema/raw/master/csl-citation.json"}</w:instrText>
      </w:r>
      <w:r w:rsidR="00C75F3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(18)</w:t>
      </w:r>
      <w:r w:rsidR="00C75F3C" w:rsidRPr="004B0BC2">
        <w:rPr>
          <w:rFonts w:asciiTheme="minorHAnsi" w:hAnsiTheme="minorHAnsi" w:cstheme="minorHAnsi"/>
          <w:sz w:val="22"/>
          <w:szCs w:val="22"/>
        </w:rPr>
        <w:fldChar w:fldCharType="end"/>
      </w:r>
      <w:r w:rsidR="007D1D58">
        <w:rPr>
          <w:rFonts w:asciiTheme="minorHAnsi" w:hAnsiTheme="minorHAnsi" w:cstheme="minorHAnsi"/>
          <w:b/>
          <w:color w:val="0000FF"/>
          <w:sz w:val="22"/>
          <w:szCs w:val="22"/>
        </w:rPr>
        <w:t xml:space="preserve"> </w:t>
      </w:r>
      <w:r w:rsidR="00044329" w:rsidRPr="004B0BC2">
        <w:rPr>
          <w:rFonts w:asciiTheme="minorHAnsi" w:hAnsiTheme="minorHAnsi" w:cstheme="minorHAnsi"/>
          <w:sz w:val="22"/>
          <w:szCs w:val="22"/>
        </w:rPr>
        <w:t xml:space="preserve">and </w:t>
      </w:r>
      <w:r w:rsidR="00433D48">
        <w:rPr>
          <w:rFonts w:asciiTheme="minorHAnsi" w:hAnsiTheme="minorHAnsi" w:cstheme="minorHAnsi"/>
          <w:sz w:val="22"/>
          <w:szCs w:val="22"/>
        </w:rPr>
        <w:t>patient</w:t>
      </w:r>
      <w:r w:rsidR="003C2B02" w:rsidRPr="004B0BC2">
        <w:rPr>
          <w:rFonts w:asciiTheme="minorHAnsi" w:hAnsiTheme="minorHAnsi" w:cstheme="minorHAnsi"/>
          <w:sz w:val="22"/>
          <w:szCs w:val="22"/>
        </w:rPr>
        <w:t xml:space="preserve"> age </w:t>
      </w:r>
      <w:r w:rsidR="00044329"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60 years was associated with severe and critical disease severity compared </w:t>
      </w:r>
      <w:r w:rsidR="00433D48">
        <w:rPr>
          <w:rFonts w:asciiTheme="minorHAnsi" w:hAnsiTheme="minorHAnsi" w:cstheme="minorHAnsi"/>
          <w:sz w:val="22"/>
          <w:szCs w:val="22"/>
        </w:rPr>
        <w:t>with</w:t>
      </w:r>
      <w:r w:rsidR="003C2B02" w:rsidRPr="004B0BC2">
        <w:rPr>
          <w:rFonts w:asciiTheme="minorHAnsi" w:hAnsiTheme="minorHAnsi" w:cstheme="minorHAnsi"/>
          <w:sz w:val="22"/>
          <w:szCs w:val="22"/>
        </w:rPr>
        <w:t xml:space="preserve"> mild and moderate</w:t>
      </w:r>
      <w:r w:rsidR="00F47E38" w:rsidRPr="004B0BC2">
        <w:rPr>
          <w:rFonts w:asciiTheme="minorHAnsi" w:hAnsiTheme="minorHAnsi" w:cstheme="minorHAnsi"/>
          <w:sz w:val="22"/>
          <w:szCs w:val="22"/>
        </w:rPr>
        <w:t xml:space="preserve"> categories</w:t>
      </w:r>
      <w:r w:rsidR="003C2B02"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003C2B02" w:rsidRPr="004B0BC2">
        <w:rPr>
          <w:rFonts w:asciiTheme="minorHAnsi" w:hAnsiTheme="minorHAnsi" w:cstheme="minorHAnsi"/>
          <w:sz w:val="22"/>
          <w:szCs w:val="22"/>
          <w:shd w:val="clear" w:color="auto" w:fill="FFFFFF"/>
        </w:rPr>
        <w:t>&lt;0.001)</w:t>
      </w:r>
      <w:r w:rsidR="00F47E38" w:rsidRPr="004B0BC2">
        <w:rPr>
          <w:rFonts w:asciiTheme="minorHAnsi" w:hAnsiTheme="minorHAnsi" w:cstheme="minorHAnsi"/>
          <w:sz w:val="22"/>
          <w:szCs w:val="22"/>
          <w:shd w:val="clear" w:color="auto" w:fill="FFFFFF"/>
        </w:rPr>
        <w:t xml:space="preserve"> </w:t>
      </w:r>
      <w:r w:rsidR="003C2B02" w:rsidRPr="004B0BC2">
        <w:rPr>
          <w:rFonts w:asciiTheme="minorHAnsi" w:hAnsiTheme="minorHAnsi" w:cstheme="minorHAnsi"/>
          <w:sz w:val="22"/>
          <w:szCs w:val="22"/>
          <w:shd w:val="clear" w:color="auto" w:fill="FFFFFF"/>
        </w:rPr>
        <w:t>and</w:t>
      </w:r>
      <w:r w:rsidR="00FC68F5" w:rsidRPr="004B0BC2">
        <w:rPr>
          <w:rFonts w:asciiTheme="minorHAnsi" w:hAnsiTheme="minorHAnsi" w:cstheme="minorHAnsi"/>
          <w:sz w:val="22"/>
          <w:szCs w:val="22"/>
          <w:shd w:val="clear" w:color="auto" w:fill="FFFFFF"/>
        </w:rPr>
        <w:t xml:space="preserve"> a</w:t>
      </w:r>
      <w:r w:rsidR="00C97E40" w:rsidRPr="004B0BC2">
        <w:rPr>
          <w:rFonts w:asciiTheme="minorHAnsi" w:hAnsiTheme="minorHAnsi" w:cstheme="minorHAnsi"/>
          <w:sz w:val="22"/>
          <w:szCs w:val="22"/>
          <w:shd w:val="clear" w:color="auto" w:fill="FFFFFF"/>
        </w:rPr>
        <w:t xml:space="preserve">lso </w:t>
      </w:r>
      <w:r w:rsidR="00433D48">
        <w:rPr>
          <w:rFonts w:asciiTheme="minorHAnsi" w:hAnsiTheme="minorHAnsi" w:cstheme="minorHAnsi"/>
          <w:sz w:val="22"/>
          <w:szCs w:val="22"/>
          <w:shd w:val="clear" w:color="auto" w:fill="FFFFFF"/>
        </w:rPr>
        <w:t xml:space="preserve">increased </w:t>
      </w:r>
      <w:r w:rsidR="003C2B02" w:rsidRPr="004B0BC2">
        <w:rPr>
          <w:rFonts w:asciiTheme="minorHAnsi" w:hAnsiTheme="minorHAnsi" w:cstheme="minorHAnsi"/>
          <w:sz w:val="22"/>
          <w:szCs w:val="22"/>
          <w:shd w:val="clear" w:color="auto" w:fill="FFFFFF"/>
        </w:rPr>
        <w:t>mortality (</w:t>
      </w:r>
      <w:r w:rsidR="00567A8B" w:rsidRPr="004B0BC2">
        <w:rPr>
          <w:rFonts w:asciiTheme="minorHAnsi" w:hAnsiTheme="minorHAnsi" w:cstheme="minorHAnsi"/>
          <w:sz w:val="22"/>
          <w:szCs w:val="22"/>
          <w:shd w:val="clear" w:color="auto" w:fill="FFFFFF"/>
        </w:rPr>
        <w:t>p</w:t>
      </w:r>
      <w:r w:rsidR="003C2B02" w:rsidRPr="004B0BC2">
        <w:rPr>
          <w:rFonts w:asciiTheme="minorHAnsi" w:hAnsiTheme="minorHAnsi" w:cstheme="minorHAnsi"/>
          <w:sz w:val="22"/>
          <w:szCs w:val="22"/>
          <w:shd w:val="clear" w:color="auto" w:fill="FFFFFF"/>
        </w:rPr>
        <w:t xml:space="preserve">=0.004). </w:t>
      </w:r>
      <w:r w:rsidR="00F47E38" w:rsidRPr="004B0BC2">
        <w:rPr>
          <w:rFonts w:asciiTheme="minorHAnsi" w:hAnsiTheme="minorHAnsi" w:cstheme="minorHAnsi"/>
          <w:sz w:val="22"/>
          <w:szCs w:val="22"/>
          <w:shd w:val="clear" w:color="auto" w:fill="FFFFFF"/>
        </w:rPr>
        <w:t xml:space="preserve">The presence of </w:t>
      </w:r>
      <w:r w:rsidR="00433D48">
        <w:rPr>
          <w:rFonts w:asciiTheme="minorHAnsi" w:hAnsiTheme="minorHAnsi" w:cstheme="minorHAnsi"/>
          <w:sz w:val="22"/>
          <w:szCs w:val="22"/>
          <w:shd w:val="clear" w:color="auto" w:fill="FFFFFF"/>
        </w:rPr>
        <w:t xml:space="preserve">pre-existing </w:t>
      </w:r>
      <w:r w:rsidR="003C2B02" w:rsidRPr="004B0BC2">
        <w:rPr>
          <w:rFonts w:asciiTheme="minorHAnsi" w:hAnsiTheme="minorHAnsi" w:cstheme="minorHAnsi"/>
          <w:sz w:val="22"/>
          <w:szCs w:val="22"/>
          <w:shd w:val="clear" w:color="auto" w:fill="FFFFFF"/>
        </w:rPr>
        <w:t>respiratory disease</w:t>
      </w:r>
      <w:r w:rsidR="00190D8C" w:rsidRPr="004B0BC2">
        <w:rPr>
          <w:rFonts w:asciiTheme="minorHAnsi" w:hAnsiTheme="minorHAnsi" w:cstheme="minorHAnsi"/>
          <w:sz w:val="22"/>
          <w:szCs w:val="22"/>
          <w:shd w:val="clear" w:color="auto" w:fill="FFFFFF"/>
        </w:rPr>
        <w:t xml:space="preserve"> </w:t>
      </w:r>
      <w:r w:rsidR="00546B03" w:rsidRPr="004B0BC2">
        <w:rPr>
          <w:rFonts w:asciiTheme="minorHAnsi" w:hAnsiTheme="minorHAnsi" w:cstheme="minorHAnsi"/>
          <w:sz w:val="22"/>
          <w:szCs w:val="22"/>
          <w:shd w:val="clear" w:color="auto" w:fill="FFFFFF"/>
        </w:rPr>
        <w:t>(</w:t>
      </w:r>
      <w:r w:rsidR="00567A8B" w:rsidRPr="004B0BC2">
        <w:rPr>
          <w:rFonts w:asciiTheme="minorHAnsi" w:hAnsiTheme="minorHAnsi" w:cstheme="minorHAnsi"/>
          <w:sz w:val="22"/>
          <w:szCs w:val="22"/>
          <w:shd w:val="clear" w:color="auto" w:fill="FFFFFF"/>
        </w:rPr>
        <w:t>p</w:t>
      </w:r>
      <w:r w:rsidR="00546B03" w:rsidRPr="004B0BC2">
        <w:rPr>
          <w:rFonts w:asciiTheme="minorHAnsi" w:hAnsiTheme="minorHAnsi" w:cstheme="minorHAnsi"/>
          <w:sz w:val="22"/>
          <w:szCs w:val="22"/>
          <w:shd w:val="clear" w:color="auto" w:fill="FFFFFF"/>
        </w:rPr>
        <w:t>= 0.003)</w:t>
      </w:r>
      <w:r w:rsidR="00FC68F5" w:rsidRPr="004B0BC2">
        <w:rPr>
          <w:rFonts w:asciiTheme="minorHAnsi" w:hAnsiTheme="minorHAnsi" w:cstheme="minorHAnsi"/>
          <w:sz w:val="22"/>
          <w:szCs w:val="22"/>
          <w:shd w:val="clear" w:color="auto" w:fill="FFFFFF"/>
        </w:rPr>
        <w:t>, CVD</w:t>
      </w:r>
      <w:r w:rsidR="00190D8C" w:rsidRPr="004B0BC2">
        <w:rPr>
          <w:rFonts w:asciiTheme="minorHAnsi" w:hAnsiTheme="minorHAnsi" w:cstheme="minorHAnsi"/>
          <w:sz w:val="22"/>
          <w:szCs w:val="22"/>
          <w:shd w:val="clear" w:color="auto" w:fill="FFFFFF"/>
        </w:rPr>
        <w:t xml:space="preserve"> </w:t>
      </w:r>
      <w:r w:rsidR="00546B03" w:rsidRPr="004B0BC2">
        <w:rPr>
          <w:rFonts w:asciiTheme="minorHAnsi" w:hAnsiTheme="minorHAnsi" w:cstheme="minorHAnsi"/>
          <w:sz w:val="22"/>
          <w:szCs w:val="22"/>
          <w:shd w:val="clear" w:color="auto" w:fill="FFFFFF"/>
        </w:rPr>
        <w:t>(p &lt;0.001)</w:t>
      </w:r>
      <w:r w:rsidR="00FC68F5" w:rsidRPr="004B0BC2">
        <w:rPr>
          <w:rFonts w:asciiTheme="minorHAnsi" w:hAnsiTheme="minorHAnsi" w:cstheme="minorHAnsi"/>
          <w:sz w:val="22"/>
          <w:szCs w:val="22"/>
          <w:shd w:val="clear" w:color="auto" w:fill="FFFFFF"/>
        </w:rPr>
        <w:t xml:space="preserve"> and endocrine disease</w:t>
      </w:r>
      <w:r w:rsidR="00C97E40" w:rsidRPr="004B0BC2">
        <w:rPr>
          <w:rFonts w:asciiTheme="minorHAnsi" w:hAnsiTheme="minorHAnsi" w:cstheme="minorHAnsi"/>
          <w:sz w:val="22"/>
          <w:szCs w:val="22"/>
          <w:shd w:val="clear" w:color="auto" w:fill="FFFFFF"/>
        </w:rPr>
        <w:t>s</w:t>
      </w:r>
      <w:r w:rsidR="00190D8C" w:rsidRPr="004B0BC2">
        <w:rPr>
          <w:rFonts w:asciiTheme="minorHAnsi" w:hAnsiTheme="minorHAnsi" w:cstheme="minorHAnsi"/>
          <w:sz w:val="22"/>
          <w:szCs w:val="22"/>
          <w:shd w:val="clear" w:color="auto" w:fill="FFFFFF"/>
        </w:rPr>
        <w:t xml:space="preserve"> </w:t>
      </w:r>
      <w:r w:rsidR="00546B03" w:rsidRPr="004B0BC2">
        <w:rPr>
          <w:rFonts w:asciiTheme="minorHAnsi" w:hAnsiTheme="minorHAnsi" w:cstheme="minorHAnsi"/>
          <w:sz w:val="22"/>
          <w:szCs w:val="22"/>
          <w:shd w:val="clear" w:color="auto" w:fill="FFFFFF"/>
        </w:rPr>
        <w:t>(p = 0.007)</w:t>
      </w:r>
      <w:r w:rsidR="003C2B02" w:rsidRPr="004B0BC2">
        <w:rPr>
          <w:rFonts w:asciiTheme="minorHAnsi" w:hAnsiTheme="minorHAnsi" w:cstheme="minorHAnsi"/>
          <w:sz w:val="22"/>
          <w:szCs w:val="22"/>
          <w:shd w:val="clear" w:color="auto" w:fill="FFFFFF"/>
        </w:rPr>
        <w:t xml:space="preserve"> </w:t>
      </w:r>
      <w:r w:rsidR="00C97E40" w:rsidRPr="004B0BC2">
        <w:rPr>
          <w:rFonts w:asciiTheme="minorHAnsi" w:hAnsiTheme="minorHAnsi" w:cstheme="minorHAnsi"/>
          <w:sz w:val="22"/>
          <w:szCs w:val="22"/>
          <w:shd w:val="clear" w:color="auto" w:fill="FFFFFF"/>
        </w:rPr>
        <w:t>were independently</w:t>
      </w:r>
      <w:r w:rsidR="003C2B02" w:rsidRPr="004B0BC2">
        <w:rPr>
          <w:rFonts w:asciiTheme="minorHAnsi" w:hAnsiTheme="minorHAnsi" w:cstheme="minorHAnsi"/>
          <w:sz w:val="22"/>
          <w:szCs w:val="22"/>
          <w:shd w:val="clear" w:color="auto" w:fill="FFFFFF"/>
        </w:rPr>
        <w:t xml:space="preserve"> associated with increased</w:t>
      </w:r>
      <w:r w:rsidR="00FC68F5" w:rsidRPr="004B0BC2">
        <w:rPr>
          <w:rFonts w:asciiTheme="minorHAnsi" w:hAnsiTheme="minorHAnsi" w:cstheme="minorHAnsi"/>
          <w:sz w:val="22"/>
          <w:szCs w:val="22"/>
          <w:shd w:val="clear" w:color="auto" w:fill="FFFFFF"/>
        </w:rPr>
        <w:t xml:space="preserve"> COVID-19</w:t>
      </w:r>
      <w:r w:rsidR="003C2B02" w:rsidRPr="004B0BC2">
        <w:rPr>
          <w:rFonts w:asciiTheme="minorHAnsi" w:hAnsiTheme="minorHAnsi" w:cstheme="minorHAnsi"/>
          <w:sz w:val="22"/>
          <w:szCs w:val="22"/>
          <w:shd w:val="clear" w:color="auto" w:fill="FFFFFF"/>
        </w:rPr>
        <w:t xml:space="preserve"> disease severity</w:t>
      </w:r>
      <w:r w:rsidR="00546B03" w:rsidRPr="004B0BC2">
        <w:rPr>
          <w:rFonts w:asciiTheme="minorHAnsi" w:hAnsiTheme="minorHAnsi" w:cstheme="minorHAnsi"/>
          <w:sz w:val="22"/>
          <w:szCs w:val="22"/>
          <w:shd w:val="clear" w:color="auto" w:fill="FFFFFF"/>
        </w:rPr>
        <w:t>. However, only respiratory disease</w:t>
      </w:r>
      <w:r w:rsidR="00567A8B" w:rsidRPr="004B0BC2">
        <w:rPr>
          <w:rFonts w:asciiTheme="minorHAnsi" w:hAnsiTheme="minorHAnsi" w:cstheme="minorHAnsi"/>
          <w:sz w:val="22"/>
          <w:szCs w:val="22"/>
          <w:shd w:val="clear" w:color="auto" w:fill="FFFFFF"/>
        </w:rPr>
        <w:t xml:space="preserve"> </w:t>
      </w:r>
      <w:r w:rsidR="00546B03" w:rsidRPr="004B0BC2">
        <w:rPr>
          <w:rFonts w:asciiTheme="minorHAnsi" w:hAnsiTheme="minorHAnsi" w:cstheme="minorHAnsi"/>
          <w:sz w:val="22"/>
          <w:szCs w:val="22"/>
          <w:shd w:val="clear" w:color="auto" w:fill="FFFFFF"/>
        </w:rPr>
        <w:t>(p=0.019) and CVD (</w:t>
      </w:r>
      <w:r w:rsidR="00567A8B" w:rsidRPr="004B0BC2">
        <w:rPr>
          <w:rFonts w:asciiTheme="minorHAnsi" w:hAnsiTheme="minorHAnsi" w:cstheme="minorHAnsi"/>
          <w:sz w:val="22"/>
          <w:szCs w:val="22"/>
          <w:shd w:val="clear" w:color="auto" w:fill="FFFFFF"/>
        </w:rPr>
        <w:t>p</w:t>
      </w:r>
      <w:r w:rsidR="00546B03" w:rsidRPr="004B0BC2">
        <w:rPr>
          <w:rFonts w:asciiTheme="minorHAnsi" w:hAnsiTheme="minorHAnsi" w:cstheme="minorHAnsi"/>
          <w:sz w:val="22"/>
          <w:szCs w:val="22"/>
          <w:shd w:val="clear" w:color="auto" w:fill="FFFFFF"/>
        </w:rPr>
        <w:t xml:space="preserve">&lt;0.001) </w:t>
      </w:r>
      <w:r w:rsidR="00C97E40" w:rsidRPr="004B0BC2">
        <w:rPr>
          <w:rFonts w:asciiTheme="minorHAnsi" w:hAnsiTheme="minorHAnsi" w:cstheme="minorHAnsi"/>
          <w:sz w:val="22"/>
          <w:szCs w:val="22"/>
          <w:shd w:val="clear" w:color="auto" w:fill="FFFFFF"/>
        </w:rPr>
        <w:t>were</w:t>
      </w:r>
      <w:r w:rsidR="00DB3D0C" w:rsidRPr="004B0BC2">
        <w:rPr>
          <w:rFonts w:asciiTheme="minorHAnsi" w:hAnsiTheme="minorHAnsi" w:cstheme="minorHAnsi"/>
          <w:sz w:val="22"/>
          <w:szCs w:val="22"/>
          <w:shd w:val="clear" w:color="auto" w:fill="FFFFFF"/>
        </w:rPr>
        <w:t xml:space="preserve"> also</w:t>
      </w:r>
      <w:r w:rsidR="00546B03" w:rsidRPr="004B0BC2">
        <w:rPr>
          <w:rFonts w:asciiTheme="minorHAnsi" w:hAnsiTheme="minorHAnsi" w:cstheme="minorHAnsi"/>
          <w:sz w:val="22"/>
          <w:szCs w:val="22"/>
          <w:shd w:val="clear" w:color="auto" w:fill="FFFFFF"/>
        </w:rPr>
        <w:t xml:space="preserve"> associated with</w:t>
      </w:r>
      <w:r w:rsidR="009860AE">
        <w:rPr>
          <w:rFonts w:asciiTheme="minorHAnsi" w:hAnsiTheme="minorHAnsi" w:cstheme="minorHAnsi"/>
          <w:sz w:val="22"/>
          <w:szCs w:val="22"/>
          <w:shd w:val="clear" w:color="auto" w:fill="FFFFFF"/>
        </w:rPr>
        <w:t xml:space="preserve"> increased </w:t>
      </w:r>
      <w:r w:rsidR="00546B03" w:rsidRPr="004B0BC2">
        <w:rPr>
          <w:rFonts w:asciiTheme="minorHAnsi" w:hAnsiTheme="minorHAnsi" w:cstheme="minorHAnsi"/>
          <w:sz w:val="22"/>
          <w:szCs w:val="22"/>
          <w:shd w:val="clear" w:color="auto" w:fill="FFFFFF"/>
        </w:rPr>
        <w:t>COVID-19</w:t>
      </w:r>
      <w:r w:rsidR="003C2B02" w:rsidRPr="004B0BC2">
        <w:rPr>
          <w:rFonts w:asciiTheme="minorHAnsi" w:hAnsiTheme="minorHAnsi" w:cstheme="minorHAnsi"/>
          <w:sz w:val="22"/>
          <w:szCs w:val="22"/>
          <w:shd w:val="clear" w:color="auto" w:fill="FFFFFF"/>
        </w:rPr>
        <w:t xml:space="preserve"> mortality</w:t>
      </w:r>
      <w:r w:rsidR="00546B03" w:rsidRPr="004B0BC2">
        <w:rPr>
          <w:rFonts w:asciiTheme="minorHAnsi" w:hAnsiTheme="minorHAnsi" w:cstheme="minorHAnsi"/>
          <w:sz w:val="22"/>
          <w:szCs w:val="22"/>
          <w:shd w:val="clear" w:color="auto" w:fill="FFFFFF"/>
        </w:rPr>
        <w:t>.</w:t>
      </w:r>
      <w:r w:rsidR="007463A0">
        <w:rPr>
          <w:rFonts w:asciiTheme="minorHAnsi" w:hAnsiTheme="minorHAnsi" w:cstheme="minorHAnsi"/>
          <w:sz w:val="22"/>
          <w:szCs w:val="22"/>
          <w:shd w:val="clear" w:color="auto" w:fill="FFFFFF"/>
        </w:rPr>
        <w:t xml:space="preserve"> </w:t>
      </w:r>
    </w:p>
    <w:p w14:paraId="56594844" w14:textId="0B8A1126" w:rsidR="00CC668C" w:rsidRPr="004B0BC2" w:rsidRDefault="007463A0" w:rsidP="00B66369">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S</w:t>
      </w:r>
      <w:r w:rsidR="003C2B02" w:rsidRPr="004B0BC2">
        <w:rPr>
          <w:rFonts w:asciiTheme="minorHAnsi" w:hAnsiTheme="minorHAnsi" w:cstheme="minorHAnsi"/>
          <w:sz w:val="22"/>
          <w:szCs w:val="22"/>
          <w:shd w:val="clear" w:color="auto" w:fill="FFFFFF"/>
        </w:rPr>
        <w:t>tudies examining COVID-19 in other areas of China have reported similar findings to th</w:t>
      </w:r>
      <w:r>
        <w:rPr>
          <w:rFonts w:asciiTheme="minorHAnsi" w:hAnsiTheme="minorHAnsi" w:cstheme="minorHAnsi"/>
          <w:sz w:val="22"/>
          <w:szCs w:val="22"/>
          <w:shd w:val="clear" w:color="auto" w:fill="FFFFFF"/>
        </w:rPr>
        <w:t>ose that have focussed on</w:t>
      </w:r>
      <w:r w:rsidR="003C2B02" w:rsidRPr="004B0BC2">
        <w:rPr>
          <w:rFonts w:asciiTheme="minorHAnsi" w:hAnsiTheme="minorHAnsi" w:cstheme="minorHAnsi"/>
          <w:sz w:val="22"/>
          <w:szCs w:val="22"/>
          <w:shd w:val="clear" w:color="auto" w:fill="FFFFFF"/>
        </w:rPr>
        <w:t xml:space="preserve"> the Wuhan region. Wan et al.</w:t>
      </w:r>
      <w:r w:rsidR="003C2B02"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{"citationItems":[{"id":"ITEM-1","itemData":{"DOI":"10.1002/jmv.25783","ISSN":"10969071","PMID":"32198776","abstract":"The outbreak of the novel coronavirus in China (SARS-CoV-2) that began in December 2019 presents a significant and urgent threat to global health. This study was conducted to provide the international community with a deeper understanding of this new infectious disease. Epidemiological, clinical features, laboratory findings, radiological characteristics, treatment, and clinical outcomes of 135 patients in northeast Chongqing were collected and analyzed in this study. A total of 135 hospitalized patients with COVID-19 were enrolled. The median age was 47 years (interquartile range, 36-55), and there was no significant gender difference (53.3% men). The majority of patients had contact with people from the Wuhan area. Forty-three (31.9%) patients had underlying disease, primarily hypertension (13 [9.6%]), diabetes (12 [8.9%]), cardiovascular disease (7 [5.2%]), and malignancy (4 [3.0%]). Common symptoms included fever (120 [88.9%]), cough (102 [76.5%]), and fatigue (44 [32.5%]). Chest computed tomography scans showed bilateral patchy shadows or ground glass opacity in the lungs of all the patients. All patients received antiviral therapy (135 [100%]) (Kaletra and interferon were both used), antibacterial therapy (59 [43.7%]), and corticosteroids (36 [26.7%]). In addition, many patients received traditional Chinese medicine (TCM) (124 [91.8%]). It is suggested that patients should receive Kaletra early and should be treated by a combination of Western and Chinese medicines. Compared to the mild cases, the severe ones had lower lymphocyte counts and higher plasma levels of Pt, APTT, d-dimer, lactate dehydrogenase, PCT, ALB, C-reactive protein, and aspartate aminotransferase. This study demonstrates the clinic features and therapies of 135 COVID-19 patients. Kaletra and TCM played an important role in the treatment of the viral pneumonia. Further studies are required to explore the role of Kaletra and TCM in the treatment of COVID-19.","author":[{"dropping-particle":"","family":"Wan","given":"Suxin","non-dropping-particle":"","parse-names":false,"suffix":""},{"dropping-particle":"","family":"Xiang","given":"Yi","non-dropping-particle":"","parse-names":false,"suffix":""},{"dropping-particle":"","family":"Fang","given":"Wei","non-dropping-particle":"","parse-names":false,"suffix":""},{"dropping-particle":"","family":"Zheng","given":"Yu","non-dropping-particle":"","parse-names":false,"suffix":""},{"dropping-particle":"","family":"Li","given":"Boqun","non-dropping-particle":"","parse-names":false,"suffix":""},{"dropping-particle":"","family":"Hu","given":"Yanjun","non-dropping-particle":"","parse-names":false,"suffix":""},{"dropping-particle":"","family":"Lang","given":"Chunhui","non-dropping-particle":"","parse-names":false,"suffix":""},{"dropping-particle":"","family":"Huang","given":"Daoqiu","non-dropping-particle":"","parse-names":false,"suffix":""},{"dropping-particle":"","family":"Sun","given":"Qiuyan","non-dropping-particle":"","parse-names":false,"suffix":""},{"dropping-particle":"","family":"Xiong","given":"Yan","non-dropping-particle":"","parse-names":false,"suffix":""},{"dropping-particle":"","family":"Huang","given":"Xia","non-dropping-particle":"","parse-names":false,"suffix":""},{"dropping-particle":"","family":"Lv","given":"Jinglong","non-dropping-particle":"","parse-names":false,"suffix":""},{"dropping-particle":"","family":"Luo","given":"Yaling","non-dropping-particle":"","parse-names":false,"suffix":""},{"dropping-particle":"","family":"Shen","given":"Li","non-dropping-particle":"","parse-names":false,"suffix":""},{"dropping-particle":"","family":"Yang","given":"Haoran","non-dropping-particle":"","parse-names":false,"suffix":""},{"dropping-particle":"","family":"Huang","given":"Gu","non-dropping-particle":"","parse-names":false,"suffix":""},{"dropping-particle":"","family":"Yang","given":"Ruishan","non-dropping-particle":"","parse-names":false,"suffix":""}],"container-title":"Journal of Medical Virology","id":"ITEM-1","issue":"7","issued":{"date-parts":[["2020"]]},"page":"797-806","title":"Clinical features and treatment of COVID-19 patients in northeast Chongqing","type":"article-journal","volume":"92"},"uris":["http://www.mendeley.com/documents/?uuid=e985e14a-a55e-4c3a-b9f0-d17b454aff49"]}],"mendeley":{"formattedCitation":"(19)","plainTextFormattedCitation":"(19)","previouslyFormattedCitation":"(19)"},"properties":{"noteIndex":0},"schema":"https://github.com/citation-style-language/schema/raw/master/csl-citation.json"}</w:instrText>
      </w:r>
      <w:r w:rsidR="003C2B02"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(19)</w:t>
      </w:r>
      <w:r w:rsidR="003C2B02" w:rsidRPr="004B0BC2">
        <w:rPr>
          <w:rFonts w:asciiTheme="minorHAnsi" w:hAnsiTheme="minorHAnsi" w:cstheme="minorHAnsi"/>
          <w:sz w:val="22"/>
          <w:szCs w:val="22"/>
          <w:shd w:val="clear" w:color="auto" w:fill="FFFFFF"/>
        </w:rPr>
        <w:fldChar w:fldCharType="end"/>
      </w:r>
      <w:r w:rsidR="003C2B02" w:rsidRPr="004B0BC2">
        <w:rPr>
          <w:rFonts w:asciiTheme="minorHAnsi" w:hAnsiTheme="minorHAnsi" w:cstheme="minorHAnsi"/>
          <w:sz w:val="22"/>
          <w:szCs w:val="22"/>
          <w:shd w:val="clear" w:color="auto" w:fill="FFFFFF"/>
        </w:rPr>
        <w:t xml:space="preserve"> studied the clinical</w:t>
      </w:r>
      <w:r w:rsidR="00BA5091" w:rsidRPr="004B0BC2">
        <w:rPr>
          <w:rFonts w:asciiTheme="minorHAnsi" w:hAnsiTheme="minorHAnsi" w:cstheme="minorHAnsi"/>
          <w:sz w:val="22"/>
          <w:szCs w:val="22"/>
          <w:shd w:val="clear" w:color="auto" w:fill="FFFFFF"/>
        </w:rPr>
        <w:t xml:space="preserve"> presentation</w:t>
      </w:r>
      <w:r w:rsidR="003C2B02" w:rsidRPr="004B0BC2">
        <w:rPr>
          <w:rFonts w:asciiTheme="minorHAnsi" w:hAnsiTheme="minorHAnsi" w:cstheme="minorHAnsi"/>
          <w:sz w:val="22"/>
          <w:szCs w:val="22"/>
          <w:shd w:val="clear" w:color="auto" w:fill="FFFFFF"/>
        </w:rPr>
        <w:t xml:space="preserve"> of 135 patients admitted to a single hospital in the Chongqing</w:t>
      </w:r>
      <w:r w:rsidR="00202D76" w:rsidRPr="004B0BC2">
        <w:rPr>
          <w:rFonts w:asciiTheme="minorHAnsi" w:hAnsiTheme="minorHAnsi" w:cstheme="minorHAnsi"/>
          <w:sz w:val="22"/>
          <w:szCs w:val="22"/>
          <w:shd w:val="clear" w:color="auto" w:fill="FFFFFF"/>
        </w:rPr>
        <w:t xml:space="preserve"> region</w:t>
      </w:r>
      <w:r w:rsidR="003C2B02" w:rsidRPr="004B0BC2">
        <w:rPr>
          <w:rFonts w:asciiTheme="minorHAnsi" w:hAnsiTheme="minorHAnsi" w:cstheme="minorHAnsi"/>
          <w:sz w:val="22"/>
          <w:szCs w:val="22"/>
          <w:shd w:val="clear" w:color="auto" w:fill="FFFFFF"/>
        </w:rPr>
        <w:t>. The authors assessed severity using the WHO guidelines</w:t>
      </w:r>
      <w:r w:rsidR="00C97E40"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{"citationItems":[{"id":"ITEM-1","itemData":{"URL":"https://www.who.int/publications/i/item/clinical-management-of-covid-19","abstract":"This guidance document is intended for clinicians caring for COVID-19 patients during all phases of their disease (i.e. screening to discharge). This update has been expanded to meet the needs of front-line clinicians and promotes a multi-disciplinary approach to care for patients with COVID-19, including those with mild, moderate, severe, and critical disease. The following sections are entirely new: COVID-19 care pathway, treatment of acute and chronic infections, management of neurological and mental manifestations, noncommunicable diseases, rehabilitation, palliative care, ethical principles, and reporting of death; while previous chapters have also been significantly expanded.","accessed":{"date-parts":[["2020","9","17"]]},"author":[{"dropping-particle":"","family":"WHO","given":"","non-dropping-particle":"","parse-names":false,"suffix":""}],"container-title":"WHO website","id":"ITEM-1","issued":{"date-parts":[["2020"]]},"title":"Clinical management of COVID-19","type":"webpage"},"uris":["http://www.mendeley.com/documents/?uuid=5c8287dc-c421-4f5c-a558-56fc2334c460"]}],"mendeley":{"formattedCitation":"(18)","plainTextFormattedCitation":"(18)","previouslyFormattedCitation":"(18)"},"properties":{"noteIndex":0},"schema":"https://github.com/citation-style-language/schema/raw/master/csl-citation.json"}</w:instrText>
      </w:r>
      <w:r w:rsidR="00C97E40"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(18)</w:t>
      </w:r>
      <w:r w:rsidR="00C97E40" w:rsidRPr="004B0BC2">
        <w:rPr>
          <w:rFonts w:asciiTheme="minorHAnsi" w:hAnsiTheme="minorHAnsi" w:cstheme="minorHAnsi"/>
          <w:sz w:val="22"/>
          <w:szCs w:val="22"/>
          <w:shd w:val="clear" w:color="auto" w:fill="FFFFFF"/>
        </w:rPr>
        <w:fldChar w:fldCharType="end"/>
      </w:r>
      <w:r w:rsidR="003C2B02" w:rsidRPr="004B0BC2">
        <w:rPr>
          <w:rFonts w:asciiTheme="minorHAnsi" w:hAnsiTheme="minorHAnsi" w:cstheme="minorHAnsi"/>
          <w:sz w:val="22"/>
          <w:szCs w:val="22"/>
          <w:shd w:val="clear" w:color="auto" w:fill="FFFFFF"/>
        </w:rPr>
        <w:t xml:space="preserve"> and reported that severe disease was associated with</w:t>
      </w:r>
      <w:r w:rsidR="00546B03" w:rsidRPr="004B0BC2">
        <w:rPr>
          <w:rFonts w:asciiTheme="minorHAnsi" w:hAnsiTheme="minorHAnsi" w:cstheme="minorHAnsi"/>
          <w:sz w:val="22"/>
          <w:szCs w:val="22"/>
          <w:shd w:val="clear" w:color="auto" w:fill="FFFFFF"/>
        </w:rPr>
        <w:t xml:space="preserve"> </w:t>
      </w:r>
      <w:r w:rsidR="00AE49A8">
        <w:rPr>
          <w:rFonts w:asciiTheme="minorHAnsi" w:hAnsiTheme="minorHAnsi" w:cstheme="minorHAnsi"/>
          <w:sz w:val="22"/>
          <w:szCs w:val="22"/>
          <w:shd w:val="clear" w:color="auto" w:fill="FFFFFF"/>
        </w:rPr>
        <w:t>increased</w:t>
      </w:r>
      <w:r w:rsidR="003C2B02" w:rsidRPr="004B0BC2">
        <w:rPr>
          <w:rFonts w:asciiTheme="minorHAnsi" w:hAnsiTheme="minorHAnsi" w:cstheme="minorHAnsi"/>
          <w:sz w:val="22"/>
          <w:szCs w:val="22"/>
          <w:shd w:val="clear" w:color="auto" w:fill="FFFFFF"/>
        </w:rPr>
        <w:t xml:space="preserve"> age (median age 56 years</w:t>
      </w:r>
      <w:r w:rsidR="00567A8B" w:rsidRPr="004B0BC2">
        <w:rPr>
          <w:rFonts w:asciiTheme="minorHAnsi" w:hAnsiTheme="minorHAnsi" w:cstheme="minorHAnsi"/>
          <w:sz w:val="22"/>
          <w:szCs w:val="22"/>
          <w:shd w:val="clear" w:color="auto" w:fill="FFFFFF"/>
        </w:rPr>
        <w:t xml:space="preserve"> </w:t>
      </w:r>
      <w:r w:rsidR="00C97E40" w:rsidRPr="004B0BC2">
        <w:rPr>
          <w:rFonts w:asciiTheme="minorHAnsi" w:hAnsiTheme="minorHAnsi" w:cstheme="minorHAnsi"/>
          <w:sz w:val="22"/>
          <w:szCs w:val="22"/>
          <w:shd w:val="clear" w:color="auto" w:fill="FFFFFF"/>
        </w:rPr>
        <w:t xml:space="preserve">(IQR 52-73) </w:t>
      </w:r>
      <w:r w:rsidR="003C2B02" w:rsidRPr="004B0BC2">
        <w:rPr>
          <w:rFonts w:asciiTheme="minorHAnsi" w:hAnsiTheme="minorHAnsi" w:cstheme="minorHAnsi"/>
          <w:sz w:val="22"/>
          <w:szCs w:val="22"/>
          <w:shd w:val="clear" w:color="auto" w:fill="FFFFFF"/>
        </w:rPr>
        <w:t>v</w:t>
      </w:r>
      <w:r w:rsidR="00AE49A8">
        <w:rPr>
          <w:rFonts w:asciiTheme="minorHAnsi" w:hAnsiTheme="minorHAnsi" w:cstheme="minorHAnsi"/>
          <w:sz w:val="22"/>
          <w:szCs w:val="22"/>
          <w:shd w:val="clear" w:color="auto" w:fill="FFFFFF"/>
        </w:rPr>
        <w:t>ersu</w:t>
      </w:r>
      <w:r w:rsidR="003C2B02" w:rsidRPr="004B0BC2">
        <w:rPr>
          <w:rFonts w:asciiTheme="minorHAnsi" w:hAnsiTheme="minorHAnsi" w:cstheme="minorHAnsi"/>
          <w:sz w:val="22"/>
          <w:szCs w:val="22"/>
          <w:shd w:val="clear" w:color="auto" w:fill="FFFFFF"/>
        </w:rPr>
        <w:t>s 44 years</w:t>
      </w:r>
      <w:r w:rsidR="00567A8B" w:rsidRPr="004B0BC2">
        <w:rPr>
          <w:rFonts w:asciiTheme="minorHAnsi" w:hAnsiTheme="minorHAnsi" w:cstheme="minorHAnsi"/>
          <w:sz w:val="22"/>
          <w:szCs w:val="22"/>
          <w:shd w:val="clear" w:color="auto" w:fill="FFFFFF"/>
        </w:rPr>
        <w:t xml:space="preserve"> </w:t>
      </w:r>
      <w:r w:rsidR="00AE49A8">
        <w:rPr>
          <w:rFonts w:asciiTheme="minorHAnsi" w:hAnsiTheme="minorHAnsi" w:cstheme="minorHAnsi"/>
          <w:sz w:val="22"/>
          <w:szCs w:val="22"/>
          <w:shd w:val="clear" w:color="auto" w:fill="FFFFFF"/>
        </w:rPr>
        <w:t xml:space="preserve">for mild disease </w:t>
      </w:r>
      <w:r w:rsidR="00C97E40" w:rsidRPr="004B0BC2">
        <w:rPr>
          <w:rFonts w:asciiTheme="minorHAnsi" w:hAnsiTheme="minorHAnsi" w:cstheme="minorHAnsi"/>
          <w:sz w:val="22"/>
          <w:szCs w:val="22"/>
          <w:shd w:val="clear" w:color="auto" w:fill="FFFFFF"/>
        </w:rPr>
        <w:t xml:space="preserve">(IQR 33-49), </w:t>
      </w:r>
      <w:r w:rsidR="00567A8B" w:rsidRPr="004B0BC2">
        <w:rPr>
          <w:rStyle w:val="Emphasis"/>
          <w:rFonts w:asciiTheme="minorHAnsi" w:hAnsiTheme="minorHAnsi" w:cstheme="minorHAnsi"/>
          <w:i w:val="0"/>
          <w:iCs w:val="0"/>
          <w:sz w:val="22"/>
          <w:szCs w:val="22"/>
          <w:shd w:val="clear" w:color="auto" w:fill="FFFFFF"/>
        </w:rPr>
        <w:t>p</w:t>
      </w:r>
      <w:r w:rsidR="003C2B02" w:rsidRPr="004B0BC2">
        <w:rPr>
          <w:rFonts w:asciiTheme="minorHAnsi" w:hAnsiTheme="minorHAnsi" w:cstheme="minorHAnsi"/>
          <w:sz w:val="22"/>
          <w:szCs w:val="22"/>
          <w:shd w:val="clear" w:color="auto" w:fill="FFFFFF"/>
        </w:rPr>
        <w:t>&lt;</w:t>
      </w:r>
      <w:r w:rsidR="00C97E40" w:rsidRPr="004B0BC2">
        <w:rPr>
          <w:rFonts w:asciiTheme="minorHAnsi" w:hAnsiTheme="minorHAnsi" w:cstheme="minorHAnsi"/>
          <w:sz w:val="22"/>
          <w:szCs w:val="22"/>
          <w:shd w:val="clear" w:color="auto" w:fill="FFFFFF"/>
        </w:rPr>
        <w:t>0</w:t>
      </w:r>
      <w:r w:rsidR="003C2B02" w:rsidRPr="004B0BC2">
        <w:rPr>
          <w:rFonts w:asciiTheme="minorHAnsi" w:hAnsiTheme="minorHAnsi" w:cstheme="minorHAnsi"/>
          <w:sz w:val="22"/>
          <w:szCs w:val="22"/>
          <w:shd w:val="clear" w:color="auto" w:fill="FFFFFF"/>
        </w:rPr>
        <w:t>.001) and underlying comorbidit</w:t>
      </w:r>
      <w:r w:rsidR="00F47E38" w:rsidRPr="004B0BC2">
        <w:rPr>
          <w:rFonts w:asciiTheme="minorHAnsi" w:hAnsiTheme="minorHAnsi" w:cstheme="minorHAnsi"/>
          <w:sz w:val="22"/>
          <w:szCs w:val="22"/>
          <w:shd w:val="clear" w:color="auto" w:fill="FFFFFF"/>
        </w:rPr>
        <w:t>ies</w:t>
      </w:r>
      <w:r w:rsidR="003C2B02" w:rsidRPr="004B0BC2">
        <w:rPr>
          <w:rFonts w:asciiTheme="minorHAnsi" w:hAnsiTheme="minorHAnsi" w:cstheme="minorHAnsi"/>
          <w:sz w:val="22"/>
          <w:szCs w:val="22"/>
          <w:shd w:val="clear" w:color="auto" w:fill="FFFFFF"/>
        </w:rPr>
        <w:t xml:space="preserve"> (</w:t>
      </w:r>
      <w:r w:rsidR="00C24484" w:rsidRPr="004B0BC2">
        <w:rPr>
          <w:rFonts w:asciiTheme="minorHAnsi" w:hAnsiTheme="minorHAnsi" w:cstheme="minorHAnsi"/>
          <w:sz w:val="22"/>
          <w:szCs w:val="22"/>
          <w:shd w:val="clear" w:color="auto" w:fill="FFFFFF"/>
        </w:rPr>
        <w:t>70% v</w:t>
      </w:r>
      <w:r w:rsidR="00AE49A8">
        <w:rPr>
          <w:rFonts w:asciiTheme="minorHAnsi" w:hAnsiTheme="minorHAnsi" w:cstheme="minorHAnsi"/>
          <w:sz w:val="22"/>
          <w:szCs w:val="22"/>
          <w:shd w:val="clear" w:color="auto" w:fill="FFFFFF"/>
        </w:rPr>
        <w:t>ersu</w:t>
      </w:r>
      <w:r w:rsidR="00C24484" w:rsidRPr="004B0BC2">
        <w:rPr>
          <w:rFonts w:asciiTheme="minorHAnsi" w:hAnsiTheme="minorHAnsi" w:cstheme="minorHAnsi"/>
          <w:sz w:val="22"/>
          <w:szCs w:val="22"/>
          <w:shd w:val="clear" w:color="auto" w:fill="FFFFFF"/>
        </w:rPr>
        <w:t xml:space="preserve">s 16.3%, </w:t>
      </w:r>
      <w:r w:rsidR="00567A8B" w:rsidRPr="004B0BC2">
        <w:rPr>
          <w:rFonts w:asciiTheme="minorHAnsi" w:hAnsiTheme="minorHAnsi" w:cstheme="minorHAnsi"/>
          <w:sz w:val="22"/>
          <w:szCs w:val="22"/>
          <w:shd w:val="clear" w:color="auto" w:fill="FFFFFF"/>
        </w:rPr>
        <w:t>p</w:t>
      </w:r>
      <w:r w:rsidR="003C2B02" w:rsidRPr="004B0BC2">
        <w:rPr>
          <w:rFonts w:asciiTheme="minorHAnsi" w:hAnsiTheme="minorHAnsi" w:cstheme="minorHAnsi"/>
          <w:sz w:val="22"/>
          <w:szCs w:val="22"/>
          <w:shd w:val="clear" w:color="auto" w:fill="FFFFFF"/>
        </w:rPr>
        <w:t>&lt;0.0001)</w:t>
      </w:r>
      <w:r w:rsidR="00AE49A8">
        <w:rPr>
          <w:rFonts w:asciiTheme="minorHAnsi" w:hAnsiTheme="minorHAnsi" w:cstheme="minorHAnsi"/>
          <w:sz w:val="22"/>
          <w:szCs w:val="22"/>
          <w:shd w:val="clear" w:color="auto" w:fill="FFFFFF"/>
        </w:rPr>
        <w:t>. A</w:t>
      </w:r>
      <w:r w:rsidR="003C2B02" w:rsidRPr="004B0BC2">
        <w:rPr>
          <w:rFonts w:asciiTheme="minorHAnsi" w:hAnsiTheme="minorHAnsi" w:cstheme="minorHAnsi"/>
          <w:sz w:val="22"/>
          <w:szCs w:val="22"/>
        </w:rPr>
        <w:t xml:space="preserve"> meta-analysis that pooled data from 11 studies in China reported that </w:t>
      </w:r>
      <w:r w:rsidR="003C2B02" w:rsidRPr="004B0BC2">
        <w:rPr>
          <w:rFonts w:asciiTheme="minorHAnsi" w:hAnsiTheme="minorHAnsi" w:cstheme="minorHAnsi"/>
          <w:sz w:val="22"/>
          <w:szCs w:val="22"/>
          <w:shd w:val="clear" w:color="auto" w:fill="FFFFFF"/>
        </w:rPr>
        <w:t xml:space="preserve">COPD was significantly associated with mechanical ventilation, </w:t>
      </w:r>
      <w:r w:rsidR="00CC668C" w:rsidRPr="004B0BC2">
        <w:rPr>
          <w:rFonts w:asciiTheme="minorHAnsi" w:hAnsiTheme="minorHAnsi" w:cstheme="minorHAnsi"/>
          <w:sz w:val="22"/>
          <w:szCs w:val="22"/>
          <w:shd w:val="clear" w:color="auto" w:fill="FFFFFF"/>
        </w:rPr>
        <w:t xml:space="preserve">critical care admission </w:t>
      </w:r>
      <w:r w:rsidR="003C2B02" w:rsidRPr="004B0BC2">
        <w:rPr>
          <w:rFonts w:asciiTheme="minorHAnsi" w:hAnsiTheme="minorHAnsi" w:cstheme="minorHAnsi"/>
          <w:sz w:val="22"/>
          <w:szCs w:val="22"/>
          <w:shd w:val="clear" w:color="auto" w:fill="FFFFFF"/>
        </w:rPr>
        <w:t>or death</w:t>
      </w:r>
      <w:r w:rsidR="00CC668C" w:rsidRPr="004B0BC2">
        <w:rPr>
          <w:rFonts w:asciiTheme="minorHAnsi" w:hAnsiTheme="minorHAnsi" w:cstheme="minorHAnsi"/>
          <w:sz w:val="22"/>
          <w:szCs w:val="22"/>
          <w:shd w:val="clear" w:color="auto" w:fill="FFFFFF"/>
        </w:rPr>
        <w:t xml:space="preserve"> from COVID-19</w:t>
      </w:r>
      <w:r w:rsidR="003C2B02" w:rsidRPr="004B0BC2">
        <w:rPr>
          <w:rFonts w:asciiTheme="minorHAnsi" w:hAnsiTheme="minorHAnsi" w:cstheme="minorHAnsi"/>
          <w:sz w:val="22"/>
          <w:szCs w:val="22"/>
          <w:shd w:val="clear" w:color="auto" w:fill="FFFFFF"/>
        </w:rPr>
        <w:t xml:space="preserve"> (OR</w:t>
      </w:r>
      <w:r w:rsidR="00C24484" w:rsidRPr="004B0BC2">
        <w:rPr>
          <w:rFonts w:asciiTheme="minorHAnsi" w:hAnsiTheme="minorHAnsi" w:cstheme="minorHAnsi"/>
          <w:sz w:val="22"/>
          <w:szCs w:val="22"/>
          <w:shd w:val="clear" w:color="auto" w:fill="FFFFFF"/>
        </w:rPr>
        <w:t xml:space="preserve">: </w:t>
      </w:r>
      <w:r w:rsidR="003C2B02" w:rsidRPr="004B0BC2">
        <w:rPr>
          <w:rFonts w:asciiTheme="minorHAnsi" w:hAnsiTheme="minorHAnsi" w:cstheme="minorHAnsi"/>
          <w:sz w:val="22"/>
          <w:szCs w:val="22"/>
          <w:shd w:val="clear" w:color="auto" w:fill="FFFFFF"/>
        </w:rPr>
        <w:t>6.44</w:t>
      </w:r>
      <w:r w:rsidR="00C24484" w:rsidRPr="004B0BC2">
        <w:rPr>
          <w:rFonts w:asciiTheme="minorHAnsi" w:hAnsiTheme="minorHAnsi" w:cstheme="minorHAnsi"/>
          <w:sz w:val="22"/>
          <w:szCs w:val="22"/>
          <w:shd w:val="clear" w:color="auto" w:fill="FFFFFF"/>
        </w:rPr>
        <w:t>,</w:t>
      </w:r>
      <w:r w:rsidR="003C2B02" w:rsidRPr="004B0BC2">
        <w:rPr>
          <w:rFonts w:asciiTheme="minorHAnsi" w:hAnsiTheme="minorHAnsi" w:cstheme="minorHAnsi"/>
          <w:sz w:val="22"/>
          <w:szCs w:val="22"/>
          <w:shd w:val="clear" w:color="auto" w:fill="FFFFFF"/>
        </w:rPr>
        <w:t xml:space="preserve"> 95% CI:1.85‐22.46)</w:t>
      </w:r>
      <w:r w:rsidR="00AE49A8" w:rsidRPr="00AE49A8">
        <w:rPr>
          <w:rFonts w:asciiTheme="minorHAnsi" w:hAnsiTheme="minorHAnsi" w:cstheme="minorHAnsi"/>
          <w:sz w:val="22"/>
          <w:szCs w:val="22"/>
        </w:rPr>
        <w:t xml:space="preserve"> </w:t>
      </w:r>
      <w:r w:rsidR="00AE49A8"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{"citationItems":[{"id":"ITEM-1","itemData":{"DOI":"10.1002/jmv.25889","ISSN":"10969071","PMID":"32293753","abstract":"Aims: Comorbidities are associated with the severity of Coronavirus Disease 2019 (Covid-19). This meta-analysis aimed to explore the risk of severe Covid-19 in patients with pre-existing chronic obstructive pulmonary disease (COPD) and ongoing smoking history. Methods: A comprehensive systematic literature search was carried out to find studies published from December 2019 to 22nd March 2020 from 5 Database. The language of literature included English and Chinese. The point prevalence of severe Covid-19 in patients with pre-existing COPD and those with ongoing smoking was evaluated with this meta-analysis. Results: Overall 11 case-series, published either in Chinese or English language with a total of 2002 cases were included in the study. The pooled OR of COPD and the development of severe Covid-19 was 4.38 (Fixed effect model, 95% CI: 2.34-8.20), while the OR of ongoing smoking was 1.98 (Fixed effect model, 95% CI: 1.29-3.05). There was no publication bias as examined by the funnel plot and Egger's test (p=NS). The heterogeneity of included studies was moderate for both COPD and ongoing smoking history on the severity of Covid-19. Conclusions: COPD and ongoing smoking history attribute to the worse progression and outcome of Covid-19. This article is protected by copyright. All rights reserved.","author":[{"dropping-particle":"","family":"Zhao","given":"Qianwen","non-dropping-particle":"","parse-names":false,"suffix":""},{"dropping-particle":"","family":"Meng","given":"Meng","non-dropping-particle":"","parse-names":false,"suffix":""},{"dropping-particle":"","family":"Kumar","given":"Rahul","non-dropping-particle":"","parse-names":false,"suffix":""},{"dropping-particle":"","family":"Wu","given":"Yinlian","non-dropping-particle":"","parse-names":false,"suffix":""},{"dropping-particle":"","family":"Huang","given":"Jiaofeng","non-dropping-particle":"","parse-names":false,"suffix":""},{"dropping-particle":"","family":"Lian","given":"Ningfang","non-dropping-particle":"","parse-names":false,"suffix":""},{"dropping-particle":"","family":"Deng","given":"Yunlei","non-dropping-particle":"","parse-names":false,"suffix":""},{"dropping-particle":"","family":"Lin","given":"Su","non-dropping-particle":"","parse-names":false,"suffix":""}],"container-title":"Journal of Medical Virology","id":"ITEM-1","issue":"10","issued":{"date-parts":[["2020"]]},"page":"1915-1921","title":"The impact of COPD and smoking history on the severity of Covid-19: A systemic review and meta-analysis","type":"article-journal","volume":"92"},"uris":["http://www.mendeley.com/documents/?uuid=5e5ea41a-21db-4d80-a175-4cd0a10ff903"]}],"mendeley":{"formattedCitation":"(20)","plainTextFormattedCitation":"(20)","previouslyFormattedCitation":"(20)"},"properties":{"noteIndex":0},"schema":"https://github.com/citation-style-language/schema/raw/master/csl-citation.json"}</w:instrText>
      </w:r>
      <w:r w:rsidR="00AE49A8"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(20)</w:t>
      </w:r>
      <w:r w:rsidR="00AE49A8" w:rsidRPr="004B0BC2">
        <w:rPr>
          <w:rFonts w:asciiTheme="minorHAnsi" w:hAnsiTheme="minorHAnsi" w:cstheme="minorHAnsi"/>
          <w:sz w:val="22"/>
          <w:szCs w:val="22"/>
        </w:rPr>
        <w:fldChar w:fldCharType="end"/>
      </w:r>
      <w:r w:rsidR="003C2B02" w:rsidRPr="004B0BC2">
        <w:rPr>
          <w:rFonts w:asciiTheme="minorHAnsi" w:hAnsiTheme="minorHAnsi" w:cstheme="minorHAnsi"/>
          <w:sz w:val="22"/>
          <w:szCs w:val="22"/>
          <w:shd w:val="clear" w:color="auto" w:fill="FFFFFF"/>
        </w:rPr>
        <w:t xml:space="preserve">. </w:t>
      </w:r>
      <w:r w:rsidR="00AE49A8">
        <w:rPr>
          <w:rFonts w:asciiTheme="minorHAnsi" w:hAnsiTheme="minorHAnsi" w:cstheme="minorHAnsi"/>
          <w:sz w:val="22"/>
          <w:szCs w:val="22"/>
          <w:shd w:val="clear" w:color="auto" w:fill="FFFFFF"/>
        </w:rPr>
        <w:t xml:space="preserve">In accordance with these </w:t>
      </w:r>
      <w:r w:rsidR="00AE49A8">
        <w:rPr>
          <w:rFonts w:asciiTheme="minorHAnsi" w:hAnsiTheme="minorHAnsi" w:cstheme="minorHAnsi"/>
          <w:sz w:val="22"/>
          <w:szCs w:val="22"/>
          <w:shd w:val="clear" w:color="auto" w:fill="FFFFFF"/>
        </w:rPr>
        <w:lastRenderedPageBreak/>
        <w:t>data, a separate</w:t>
      </w:r>
      <w:r w:rsidR="005D4598" w:rsidRPr="004B0BC2">
        <w:rPr>
          <w:rFonts w:asciiTheme="minorHAnsi" w:hAnsiTheme="minorHAnsi" w:cstheme="minorHAnsi"/>
          <w:sz w:val="22"/>
          <w:szCs w:val="22"/>
          <w:shd w:val="clear" w:color="auto" w:fill="FFFFFF"/>
        </w:rPr>
        <w:t xml:space="preserve"> meta-analysis comprising 7 studies from China observed that smoking was associated with worsening severity of COVID-19 (OR</w:t>
      </w:r>
      <w:r w:rsidR="00C24484" w:rsidRPr="004B0BC2">
        <w:rPr>
          <w:rFonts w:asciiTheme="minorHAnsi" w:hAnsiTheme="minorHAnsi" w:cstheme="minorHAnsi"/>
          <w:sz w:val="22"/>
          <w:szCs w:val="22"/>
          <w:shd w:val="clear" w:color="auto" w:fill="FFFFFF"/>
        </w:rPr>
        <w:t>:</w:t>
      </w:r>
      <w:r w:rsidR="005D4598" w:rsidRPr="004B0BC2">
        <w:rPr>
          <w:rFonts w:asciiTheme="minorHAnsi" w:hAnsiTheme="minorHAnsi" w:cstheme="minorHAnsi"/>
          <w:sz w:val="22"/>
          <w:szCs w:val="22"/>
          <w:shd w:val="clear" w:color="auto" w:fill="FFFFFF"/>
        </w:rPr>
        <w:t xml:space="preserve"> 2.16</w:t>
      </w:r>
      <w:r w:rsidR="00C24484" w:rsidRPr="004B0BC2">
        <w:rPr>
          <w:rFonts w:asciiTheme="minorHAnsi" w:hAnsiTheme="minorHAnsi" w:cstheme="minorHAnsi"/>
          <w:sz w:val="22"/>
          <w:szCs w:val="22"/>
          <w:shd w:val="clear" w:color="auto" w:fill="FFFFFF"/>
        </w:rPr>
        <w:t xml:space="preserve">, </w:t>
      </w:r>
      <w:r w:rsidR="005D4598" w:rsidRPr="004B0BC2">
        <w:rPr>
          <w:rFonts w:asciiTheme="minorHAnsi" w:hAnsiTheme="minorHAnsi" w:cstheme="minorHAnsi"/>
          <w:sz w:val="22"/>
          <w:szCs w:val="22"/>
          <w:shd w:val="clear" w:color="auto" w:fill="FFFFFF"/>
        </w:rPr>
        <w:t>95% CI:1.45‐3.22</w:t>
      </w:r>
      <w:r w:rsidR="00C24484" w:rsidRPr="004B0BC2">
        <w:rPr>
          <w:rFonts w:asciiTheme="minorHAnsi" w:hAnsiTheme="minorHAnsi" w:cstheme="minorHAnsi"/>
          <w:sz w:val="22"/>
          <w:szCs w:val="22"/>
          <w:shd w:val="clear" w:color="auto" w:fill="FFFFFF"/>
        </w:rPr>
        <w:t>)</w:t>
      </w:r>
      <w:r w:rsidR="00B5468B"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{"citationItems":[{"id":"ITEM-1","itemData":{"DOI":"10.1002/jmv.25967","ISSN":"10969071","PMID":"32369203","abstract":"The paper entitled “The impact of COPD and smoking history on the severity of Covid-19: A systemic review and meta-analysis.” published in Journal of Medical Virology on 15 April, 20201. The results revealed the pooled OR of COPD and the development of severe Covid-19 was 4.38 (Fixed effect model, 95% CI: 2.34-8.20), while the OR of ongoing smoking was 1.98 (Fixed effect model, 95% CI: 1.29-3.05). This article is protected by copyright. All rights reserved.","author":[{"dropping-particle":"","family":"Guo","given":"Fei Ran","non-dropping-particle":"","parse-names":false,"suffix":""}],"container-title":"Journal of Medical Virology","id":"ITEM-1","issue":"11","issued":{"date-parts":[["2020"]]},"page":"2304-2305","title":"Smoking links to the severity of Covid-19: An update of a meta-analysis","type":"article-journal","volume":"92"},"uris":["http://www.mendeley.com/documents/?uuid=e236ffc3-7cac-4351-ab45-e6bfee52ccee"]}],"mendeley":{"formattedCitation":"(21)","plainTextFormattedCitation":"(21)","previouslyFormattedCitation":"(21)"},"properties":{"noteIndex":0},"schema":"https://github.com/citation-style-language/schema/raw/master/csl-citation.json"}</w:instrText>
      </w:r>
      <w:r w:rsidR="00B5468B"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(21)</w:t>
      </w:r>
      <w:r w:rsidR="00B5468B" w:rsidRPr="004B0BC2">
        <w:rPr>
          <w:rFonts w:asciiTheme="minorHAnsi" w:hAnsiTheme="minorHAnsi" w:cstheme="minorHAnsi"/>
          <w:sz w:val="22"/>
          <w:szCs w:val="22"/>
          <w:shd w:val="clear" w:color="auto" w:fill="FFFFFF"/>
        </w:rPr>
        <w:fldChar w:fldCharType="end"/>
      </w:r>
      <w:r w:rsidR="005D4598" w:rsidRPr="004B0BC2">
        <w:rPr>
          <w:rFonts w:asciiTheme="minorHAnsi" w:hAnsiTheme="minorHAnsi" w:cstheme="minorHAnsi"/>
          <w:sz w:val="22"/>
          <w:szCs w:val="22"/>
          <w:shd w:val="clear" w:color="auto" w:fill="FFFFFF"/>
        </w:rPr>
        <w:t>.</w:t>
      </w:r>
    </w:p>
    <w:p w14:paraId="188BBB23" w14:textId="529382D1" w:rsidR="003C2B02" w:rsidRPr="004B0BC2" w:rsidRDefault="003C2B02" w:rsidP="00B66369">
      <w:pPr>
        <w:spacing w:line="480" w:lineRule="auto"/>
        <w:rPr>
          <w:rFonts w:asciiTheme="minorHAnsi" w:hAnsiTheme="minorHAnsi" w:cstheme="minorHAnsi"/>
          <w:sz w:val="22"/>
          <w:szCs w:val="22"/>
          <w:shd w:val="clear" w:color="auto" w:fill="FFFFFF"/>
        </w:rPr>
      </w:pPr>
      <w:r w:rsidRPr="004B0BC2">
        <w:rPr>
          <w:rFonts w:asciiTheme="minorHAnsi" w:hAnsiTheme="minorHAnsi" w:cstheme="minorHAnsi"/>
          <w:sz w:val="22"/>
          <w:szCs w:val="22"/>
          <w:shd w:val="clear" w:color="auto" w:fill="FFFFFF"/>
        </w:rPr>
        <w:t>The</w:t>
      </w:r>
      <w:r w:rsidR="00AE49A8">
        <w:rPr>
          <w:rFonts w:asciiTheme="minorHAnsi" w:hAnsiTheme="minorHAnsi" w:cstheme="minorHAnsi"/>
          <w:sz w:val="22"/>
          <w:szCs w:val="22"/>
          <w:shd w:val="clear" w:color="auto" w:fill="FFFFFF"/>
        </w:rPr>
        <w:t>se</w:t>
      </w:r>
      <w:r w:rsidRPr="004B0BC2">
        <w:rPr>
          <w:rFonts w:asciiTheme="minorHAnsi" w:hAnsiTheme="minorHAnsi" w:cstheme="minorHAnsi"/>
          <w:sz w:val="22"/>
          <w:szCs w:val="22"/>
          <w:shd w:val="clear" w:color="auto" w:fill="FFFFFF"/>
        </w:rPr>
        <w:t xml:space="preserve"> studies suggest that increasing age, male sex and</w:t>
      </w:r>
      <w:r w:rsidR="00DB3D0C" w:rsidRPr="004B0BC2">
        <w:rPr>
          <w:rFonts w:asciiTheme="minorHAnsi" w:hAnsiTheme="minorHAnsi" w:cstheme="minorHAnsi"/>
          <w:sz w:val="22"/>
          <w:szCs w:val="22"/>
          <w:shd w:val="clear" w:color="auto" w:fill="FFFFFF"/>
        </w:rPr>
        <w:t xml:space="preserve"> certain</w:t>
      </w:r>
      <w:r w:rsidRPr="004B0BC2">
        <w:rPr>
          <w:rFonts w:asciiTheme="minorHAnsi" w:hAnsiTheme="minorHAnsi" w:cstheme="minorHAnsi"/>
          <w:sz w:val="22"/>
          <w:szCs w:val="22"/>
          <w:shd w:val="clear" w:color="auto" w:fill="FFFFFF"/>
        </w:rPr>
        <w:t xml:space="preserve"> comorbidities </w:t>
      </w:r>
      <w:r w:rsidR="00AE49A8">
        <w:rPr>
          <w:rFonts w:ascii="Calibri" w:hAnsi="Calibri" w:cs="Calibri"/>
          <w:sz w:val="22"/>
          <w:szCs w:val="22"/>
          <w:shd w:val="clear" w:color="auto" w:fill="FFFFFF"/>
        </w:rPr>
        <w:t>—</w:t>
      </w:r>
      <w:r w:rsidR="00AE49A8">
        <w:rPr>
          <w:rFonts w:asciiTheme="minorHAnsi" w:hAnsiTheme="minorHAnsi" w:cstheme="minorHAnsi"/>
          <w:sz w:val="22"/>
          <w:szCs w:val="22"/>
          <w:shd w:val="clear" w:color="auto" w:fill="FFFFFF"/>
        </w:rPr>
        <w:t xml:space="preserve"> in particular </w:t>
      </w:r>
      <w:r w:rsidRPr="004B0BC2">
        <w:rPr>
          <w:rFonts w:asciiTheme="minorHAnsi" w:hAnsiTheme="minorHAnsi" w:cstheme="minorHAnsi"/>
          <w:sz w:val="22"/>
          <w:szCs w:val="22"/>
          <w:shd w:val="clear" w:color="auto" w:fill="FFFFFF"/>
        </w:rPr>
        <w:t xml:space="preserve">hypertension, diabetes, </w:t>
      </w:r>
      <w:r w:rsidR="00190D8C" w:rsidRPr="004B0BC2">
        <w:rPr>
          <w:rFonts w:asciiTheme="minorHAnsi" w:hAnsiTheme="minorHAnsi" w:cstheme="minorHAnsi"/>
          <w:sz w:val="22"/>
          <w:szCs w:val="22"/>
          <w:shd w:val="clear" w:color="auto" w:fill="FFFFFF"/>
        </w:rPr>
        <w:t>CVD</w:t>
      </w:r>
      <w:r w:rsidR="00683B68" w:rsidRPr="004B0BC2">
        <w:rPr>
          <w:rFonts w:asciiTheme="minorHAnsi" w:hAnsiTheme="minorHAnsi" w:cstheme="minorHAnsi"/>
          <w:sz w:val="22"/>
          <w:szCs w:val="22"/>
          <w:shd w:val="clear" w:color="auto" w:fill="FFFFFF"/>
        </w:rPr>
        <w:t xml:space="preserve"> and</w:t>
      </w:r>
      <w:r w:rsidRPr="004B0BC2">
        <w:rPr>
          <w:rFonts w:asciiTheme="minorHAnsi" w:hAnsiTheme="minorHAnsi" w:cstheme="minorHAnsi"/>
          <w:sz w:val="22"/>
          <w:szCs w:val="22"/>
          <w:shd w:val="clear" w:color="auto" w:fill="FFFFFF"/>
        </w:rPr>
        <w:t xml:space="preserve"> COPD</w:t>
      </w:r>
      <w:r w:rsidR="00AE49A8">
        <w:rPr>
          <w:rFonts w:asciiTheme="minorHAnsi" w:hAnsiTheme="minorHAnsi" w:cstheme="minorHAnsi"/>
          <w:sz w:val="22"/>
          <w:szCs w:val="22"/>
          <w:shd w:val="clear" w:color="auto" w:fill="FFFFFF"/>
        </w:rPr>
        <w:t xml:space="preserve"> </w:t>
      </w:r>
      <w:r w:rsidR="00AE49A8">
        <w:rPr>
          <w:rFonts w:ascii="Calibri" w:hAnsi="Calibri" w:cs="Calibri"/>
          <w:sz w:val="22"/>
          <w:szCs w:val="22"/>
          <w:shd w:val="clear" w:color="auto" w:fill="FFFFFF"/>
        </w:rPr>
        <w:t>—</w:t>
      </w:r>
      <w:r w:rsidRPr="004B0BC2">
        <w:rPr>
          <w:rFonts w:asciiTheme="minorHAnsi" w:hAnsiTheme="minorHAnsi" w:cstheme="minorHAnsi"/>
          <w:sz w:val="22"/>
          <w:szCs w:val="22"/>
          <w:shd w:val="clear" w:color="auto" w:fill="FFFFFF"/>
        </w:rPr>
        <w:t xml:space="preserve"> </w:t>
      </w:r>
      <w:r w:rsidR="00AE49A8">
        <w:rPr>
          <w:rFonts w:asciiTheme="minorHAnsi" w:hAnsiTheme="minorHAnsi" w:cstheme="minorHAnsi"/>
          <w:sz w:val="22"/>
          <w:szCs w:val="22"/>
          <w:shd w:val="clear" w:color="auto" w:fill="FFFFFF"/>
        </w:rPr>
        <w:t>are</w:t>
      </w:r>
      <w:r w:rsidRPr="004B0BC2">
        <w:rPr>
          <w:rFonts w:asciiTheme="minorHAnsi" w:hAnsiTheme="minorHAnsi" w:cstheme="minorHAnsi"/>
          <w:sz w:val="22"/>
          <w:szCs w:val="22"/>
          <w:shd w:val="clear" w:color="auto" w:fill="FFFFFF"/>
        </w:rPr>
        <w:t xml:space="preserve"> risk factors for COVID-19 mortality and worsening severity.</w:t>
      </w:r>
    </w:p>
    <w:p w14:paraId="4396E529" w14:textId="3015FD2B" w:rsidR="003C2B02" w:rsidRPr="004B0BC2" w:rsidRDefault="003C2B02"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 xml:space="preserve">Data from other </w:t>
      </w:r>
      <w:r w:rsidR="00B5468B" w:rsidRPr="004B0BC2">
        <w:rPr>
          <w:rFonts w:asciiTheme="minorHAnsi" w:hAnsiTheme="minorHAnsi" w:cstheme="minorHAnsi"/>
          <w:sz w:val="22"/>
          <w:szCs w:val="22"/>
        </w:rPr>
        <w:t>countries</w:t>
      </w:r>
      <w:r w:rsidRPr="004B0BC2">
        <w:rPr>
          <w:rFonts w:asciiTheme="minorHAnsi" w:hAnsiTheme="minorHAnsi" w:cstheme="minorHAnsi"/>
          <w:sz w:val="22"/>
          <w:szCs w:val="22"/>
        </w:rPr>
        <w:t xml:space="preserve"> have reported similar findings</w:t>
      </w:r>
      <w:r w:rsidRPr="004B0BC2">
        <w:rPr>
          <w:rFonts w:asciiTheme="minorHAnsi" w:hAnsiTheme="minorHAnsi" w:cstheme="minorHAnsi"/>
          <w:sz w:val="22"/>
          <w:szCs w:val="22"/>
          <w:shd w:val="clear" w:color="auto" w:fill="FFFFFF"/>
        </w:rPr>
        <w:t>. Giacomelli et al.</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{"citationItems":[{"id":"ITEM-1","itemData":{"DOI":"10.1016/j.phrs.2020.104931","ISSN":"10961186","PMID":"32446978","abstract":"Italy was the first European country hit by the COVID-19 pandemic and has the highest number of recorded COVID-19 deaths in Europe. This prospective cohort study of the correlates of the risk of death in COVID-19 patients was conducted at the Infectious Diseases and Intensive Care units of Luigi Sacco Hospital, Milan, Italy. The clinical characteristics of all the COVID-19 patients hospitalised in the early days of the epidemic (21 February -19 March 2020) were recorded upon admission, and the time-dependent probability of death was evaluated using the Kaplan-Meier method (censored as of 20 April 2020). Cox proportional hazard models were used to assess the factors independently associated with the risk of death. Forty-eight (20.6 %) of the 233 patients followed up for a median of 40 days (interquartile range 33–47) died during the follow-up. Most were males (69.1 %) and their median age was 61 years (IQR 50–72). The time-dependent probability of death was 19.7 % (95 % CI 14.6–24.9 %) 30 days after hospital admission. Age (adjusted hazard ratio [aHR] 2.08, 95 % CI 1.48−2.92 per ten years more) and obesity (aHR 3.04, 95 % CI 1.42−6.49) were independently associated with an increased risk of death, which was also associated with critical disease (aHR 8.26, 95 % CI 1.41−48.29), C-reactive protein levels (aHR 1.17, 95 % CI 1.02−1.35 per 50 mg/L more) and creatinine kinase levels above 185 U/L (aHR 2.58, 95 % CI 1.37−4.87) upon admission. Case-fatality rate of patients hospitalized with COVID-19 in the early days of the Italian epidemic was about 20 %. Our study adds evidence to the notion that older age, obesity and more advanced illness are factors associated to an increased risk of death among patients hospitalized with COVID-19.","author":[{"dropping-particle":"","family":"Giacomelli","given":"Andrea","non-dropping-particle":"","parse-names":false,"suffix":""},{"dropping-particle":"","family":"Ridolfo","given":"Anna Lisa","non-dropping-particle":"","parse-names":false,"suffix":""},{"dropping-particle":"","family":"Milazzo","given":"Laura","non-dropping-particle":"","parse-names":false,"suffix":""},{"dropping-particle":"","family":"Oreni","given":"Letizia","non-dropping-particle":"","parse-names":false,"suffix":""},{"dropping-particle":"","family":"Bernacchia","given":"Dario","non-dropping-particle":"","parse-names":false,"suffix":""},{"dropping-particle":"","family":"Siano","given":"Matteo","non-dropping-particle":"","parse-names":false,"suffix":""},{"dropping-particle":"","family":"Bonazzetti","given":"Cecilia","non-dropping-particle":"","parse-names":false,"suffix":""},{"dropping-particle":"","family":"Covizzi","given":"Alice","non-dropping-particle":"","parse-names":false,"suffix":""},{"dropping-particle":"","family":"Schiuma","given":"Marco","non-dropping-particle":"","parse-names":false,"suffix":""},{"dropping-particle":"","family":"Passerini","given":"Matteo","non-dropping-particle":"","parse-names":false,"suffix":""},{"dropping-particle":"","family":"Piscaglia","given":"Marco","non-dropping-particle":"","parse-names":false,"suffix":""},{"dropping-particle":"","family":"Coen","given":"Massimo","non-dropping-particle":"","parse-names":false,"suffix":""},{"dropping-particle":"","family":"Gubertini","given":"Guido","non-dropping-particle":"","parse-names":false,"suffix":""},{"dropping-particle":"","family":"Rizzardini","given":"Giuliano","non-dropping-particle":"","parse-names":false,"suffix":""},{"dropping-particle":"","family":"Cogliati","given":"Chiara","non-dropping-particle":"","parse-names":false,"suffix":""},{"dropping-particle":"","family":"Brambilla","given":"Anna Maria","non-dropping-particle":"","parse-names":false,"suffix":""},{"dropping-particle":"","family":"Colombo","given":"Riccardo","non-dropping-particle":"","parse-names":false,"suffix":""},{"dropping-particle":"","family":"Castelli","given":"Antonio","non-dropping-particle":"","parse-names":false,"suffix":""},{"dropping-particle":"","family":"Rech","given":"Roberto","non-dropping-particle":"","parse-names":false,"suffix":""},{"dropping-particle":"","family":"Riva","given":"Agostino","non-dropping-particle":"","parse-names":false,"suffix":""},{"dropping-particle":"","family":"Torre","given":"Alessandro","non-dropping-particle":"","parse-names":false,"suffix":""},{"dropping-particle":"","family":"Meroni","given":"Luca","non-dropping-particle":"","parse-names":false,"suffix":""},{"dropping-particle":"","family":"Rusconi","given":"Stefano","non-dropping-particle":"","parse-names":false,"suffix":""},{"dropping-particle":"","family":"Antinori","given":"Spinello","non-dropping-particle":"","parse-names":false,"suffix":""},{"dropping-particle":"","family":"Galli","given":"Massimo","non-dropping-particle":"","parse-names":false,"suffix":""}],"container-title":"Pharmacological Research","id":"ITEM-1","issued":{"date-parts":[["2020"]]},"page":"1-7","title":"30-day mortality in patients hospitalized with COVID-19 during the first wave of the Italian epidemic: A prospective cohort study","type":"article-journal","volume":"158"},"uris":["http://www.mendeley.com/documents/?uuid=bcc7c869-c80f-4963-b664-9e8204298b6d"]}],"mendeley":{"formattedCitation":"(22)","plainTextFormattedCitation":"(22)","previouslyFormattedCitation":"(22)"},"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(22)</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 xml:space="preserve"> performed a single-centre, prospective cohort study of </w:t>
      </w:r>
      <w:r w:rsidR="009860AE">
        <w:rPr>
          <w:rFonts w:asciiTheme="minorHAnsi" w:hAnsiTheme="minorHAnsi" w:cstheme="minorHAnsi"/>
          <w:sz w:val="22"/>
          <w:szCs w:val="22"/>
          <w:shd w:val="clear" w:color="auto" w:fill="FFFFFF"/>
        </w:rPr>
        <w:t xml:space="preserve">patients with </w:t>
      </w:r>
      <w:r w:rsidRPr="004B0BC2">
        <w:rPr>
          <w:rFonts w:asciiTheme="minorHAnsi" w:hAnsiTheme="minorHAnsi" w:cstheme="minorHAnsi"/>
          <w:sz w:val="22"/>
          <w:szCs w:val="22"/>
          <w:shd w:val="clear" w:color="auto" w:fill="FFFFFF"/>
        </w:rPr>
        <w:t>COVID-19 admitted to the Luigi Sacco Hospital in Milan</w:t>
      </w:r>
      <w:r w:rsidR="00AE49A8">
        <w:rPr>
          <w:rFonts w:asciiTheme="minorHAnsi" w:hAnsiTheme="minorHAnsi" w:cstheme="minorHAnsi"/>
          <w:sz w:val="22"/>
          <w:szCs w:val="22"/>
          <w:shd w:val="clear" w:color="auto" w:fill="FFFFFF"/>
        </w:rPr>
        <w:t xml:space="preserve"> </w:t>
      </w:r>
      <w:r w:rsidR="009D7862" w:rsidRPr="000242C7">
        <w:rPr>
          <w:rFonts w:asciiTheme="minorHAnsi" w:hAnsiTheme="minorHAnsi" w:cstheme="minorHAnsi"/>
          <w:bCs/>
          <w:sz w:val="22"/>
          <w:szCs w:val="22"/>
          <w:shd w:val="clear" w:color="auto" w:fill="FFFFFF"/>
        </w:rPr>
        <w:t xml:space="preserve">between </w:t>
      </w:r>
      <w:r w:rsidR="007D1D58" w:rsidRPr="000242C7">
        <w:rPr>
          <w:rFonts w:asciiTheme="minorHAnsi" w:hAnsiTheme="minorHAnsi" w:cstheme="minorHAnsi"/>
          <w:bCs/>
          <w:sz w:val="22"/>
          <w:szCs w:val="22"/>
          <w:shd w:val="clear" w:color="auto" w:fill="FFFFFF"/>
        </w:rPr>
        <w:t xml:space="preserve"> 21</w:t>
      </w:r>
      <w:r w:rsidR="009D7862" w:rsidRPr="000242C7">
        <w:rPr>
          <w:rFonts w:asciiTheme="minorHAnsi" w:hAnsiTheme="minorHAnsi" w:cstheme="minorHAnsi"/>
          <w:bCs/>
          <w:sz w:val="22"/>
          <w:szCs w:val="22"/>
          <w:shd w:val="clear" w:color="auto" w:fill="FFFFFF"/>
          <w:vertAlign w:val="superscript"/>
        </w:rPr>
        <w:t>st</w:t>
      </w:r>
      <w:r w:rsidR="009D7862" w:rsidRPr="000242C7">
        <w:rPr>
          <w:rFonts w:asciiTheme="minorHAnsi" w:hAnsiTheme="minorHAnsi" w:cstheme="minorHAnsi"/>
          <w:bCs/>
          <w:sz w:val="22"/>
          <w:szCs w:val="22"/>
          <w:shd w:val="clear" w:color="auto" w:fill="FFFFFF"/>
        </w:rPr>
        <w:t xml:space="preserve"> February 2020 and </w:t>
      </w:r>
      <w:r w:rsidR="007D1D58" w:rsidRPr="000242C7">
        <w:rPr>
          <w:rFonts w:asciiTheme="minorHAnsi" w:hAnsiTheme="minorHAnsi" w:cstheme="minorHAnsi"/>
          <w:bCs/>
          <w:sz w:val="22"/>
          <w:szCs w:val="22"/>
          <w:shd w:val="clear" w:color="auto" w:fill="FFFFFF"/>
        </w:rPr>
        <w:t>19</w:t>
      </w:r>
      <w:r w:rsidR="009D7862" w:rsidRPr="000242C7">
        <w:rPr>
          <w:rFonts w:asciiTheme="minorHAnsi" w:hAnsiTheme="minorHAnsi" w:cstheme="minorHAnsi"/>
          <w:bCs/>
          <w:sz w:val="22"/>
          <w:szCs w:val="22"/>
          <w:shd w:val="clear" w:color="auto" w:fill="FFFFFF"/>
          <w:vertAlign w:val="superscript"/>
        </w:rPr>
        <w:t>th</w:t>
      </w:r>
      <w:r w:rsidR="009D7862" w:rsidRPr="000242C7">
        <w:rPr>
          <w:rFonts w:asciiTheme="minorHAnsi" w:hAnsiTheme="minorHAnsi" w:cstheme="minorHAnsi"/>
          <w:bCs/>
          <w:sz w:val="22"/>
          <w:szCs w:val="22"/>
          <w:shd w:val="clear" w:color="auto" w:fill="FFFFFF"/>
        </w:rPr>
        <w:t xml:space="preserve"> March 20</w:t>
      </w:r>
      <w:r w:rsidR="007D1D58" w:rsidRPr="000242C7">
        <w:rPr>
          <w:rFonts w:asciiTheme="minorHAnsi" w:hAnsiTheme="minorHAnsi" w:cstheme="minorHAnsi"/>
          <w:bCs/>
          <w:sz w:val="22"/>
          <w:szCs w:val="22"/>
          <w:shd w:val="clear" w:color="auto" w:fill="FFFFFF"/>
        </w:rPr>
        <w:t>20</w:t>
      </w:r>
      <w:r w:rsidRPr="008025B4">
        <w:rPr>
          <w:rFonts w:asciiTheme="minorHAnsi" w:hAnsiTheme="minorHAnsi" w:cstheme="minorHAnsi"/>
          <w:bCs/>
          <w:sz w:val="22"/>
          <w:szCs w:val="22"/>
          <w:shd w:val="clear" w:color="auto" w:fill="FFFFFF"/>
        </w:rPr>
        <w:t>.</w:t>
      </w:r>
      <w:r w:rsidRPr="008025B4">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Mortality was associated with increasing age</w:t>
      </w:r>
      <w:r w:rsidR="00567A8B" w:rsidRPr="004B0BC2">
        <w:rPr>
          <w:rFonts w:asciiTheme="minorHAnsi" w:hAnsiTheme="minorHAnsi" w:cstheme="minorHAnsi"/>
          <w:sz w:val="22"/>
          <w:szCs w:val="22"/>
          <w:shd w:val="clear" w:color="auto" w:fill="FFFFFF"/>
        </w:rPr>
        <w:t>, with</w:t>
      </w:r>
      <w:r w:rsidR="00597635"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 xml:space="preserve">a </w:t>
      </w:r>
      <w:r w:rsidRPr="004B0BC2">
        <w:rPr>
          <w:rFonts w:asciiTheme="minorHAnsi" w:hAnsiTheme="minorHAnsi" w:cstheme="minorHAnsi"/>
          <w:sz w:val="22"/>
          <w:szCs w:val="22"/>
          <w:shd w:val="clear" w:color="auto" w:fill="FFFFFF"/>
        </w:rPr>
        <w:t xml:space="preserve">higher proportion of deaths </w:t>
      </w:r>
      <w:r w:rsidR="00AE49A8">
        <w:rPr>
          <w:rFonts w:asciiTheme="minorHAnsi" w:hAnsiTheme="minorHAnsi" w:cstheme="minorHAnsi"/>
          <w:sz w:val="22"/>
          <w:szCs w:val="22"/>
          <w:shd w:val="clear" w:color="auto" w:fill="FFFFFF"/>
        </w:rPr>
        <w:t>than s</w:t>
      </w:r>
      <w:r w:rsidRPr="004B0BC2">
        <w:rPr>
          <w:rFonts w:asciiTheme="minorHAnsi" w:hAnsiTheme="minorHAnsi" w:cstheme="minorHAnsi"/>
          <w:sz w:val="22"/>
          <w:szCs w:val="22"/>
          <w:shd w:val="clear" w:color="auto" w:fill="FFFFFF"/>
        </w:rPr>
        <w:t>urvivors in the 66−75</w:t>
      </w:r>
      <w:r w:rsidR="00AE49A8">
        <w:rPr>
          <w:rFonts w:asciiTheme="minorHAnsi" w:hAnsiTheme="minorHAnsi" w:cstheme="minorHAnsi"/>
          <w:sz w:val="22"/>
          <w:szCs w:val="22"/>
          <w:shd w:val="clear" w:color="auto" w:fill="FFFFFF"/>
        </w:rPr>
        <w:t xml:space="preserve"> years</w:t>
      </w:r>
      <w:r w:rsidRPr="004B0BC2">
        <w:rPr>
          <w:rFonts w:asciiTheme="minorHAnsi" w:hAnsiTheme="minorHAnsi" w:cstheme="minorHAnsi"/>
          <w:sz w:val="22"/>
          <w:szCs w:val="22"/>
          <w:shd w:val="clear" w:color="auto" w:fill="FFFFFF"/>
        </w:rPr>
        <w:t xml:space="preserve"> (39.6 % </w:t>
      </w:r>
      <w:r w:rsidRPr="004B0BC2">
        <w:rPr>
          <w:rStyle w:val="Emphasis"/>
          <w:rFonts w:asciiTheme="minorHAnsi" w:hAnsiTheme="minorHAnsi" w:cstheme="minorHAnsi"/>
          <w:sz w:val="22"/>
          <w:szCs w:val="22"/>
          <w:shd w:val="clear" w:color="auto" w:fill="FFFFFF"/>
        </w:rPr>
        <w:t>v</w:t>
      </w:r>
      <w:r w:rsidR="00AE49A8">
        <w:rPr>
          <w:rStyle w:val="Emphasis"/>
          <w:rFonts w:asciiTheme="minorHAnsi" w:hAnsiTheme="minorHAnsi" w:cstheme="minorHAnsi"/>
          <w:sz w:val="22"/>
          <w:szCs w:val="22"/>
          <w:shd w:val="clear" w:color="auto" w:fill="FFFFFF"/>
        </w:rPr>
        <w:t>ersu</w:t>
      </w:r>
      <w:r w:rsidRPr="004B0BC2">
        <w:rPr>
          <w:rStyle w:val="Emphasis"/>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19.5 %), 76−85</w:t>
      </w:r>
      <w:r w:rsidR="00AE49A8">
        <w:rPr>
          <w:rFonts w:asciiTheme="minorHAnsi" w:hAnsiTheme="minorHAnsi" w:cstheme="minorHAnsi"/>
          <w:sz w:val="22"/>
          <w:szCs w:val="22"/>
          <w:shd w:val="clear" w:color="auto" w:fill="FFFFFF"/>
        </w:rPr>
        <w:t xml:space="preserve"> years</w:t>
      </w:r>
      <w:r w:rsidRPr="004B0BC2">
        <w:rPr>
          <w:rFonts w:asciiTheme="minorHAnsi" w:hAnsiTheme="minorHAnsi" w:cstheme="minorHAnsi"/>
          <w:sz w:val="22"/>
          <w:szCs w:val="22"/>
          <w:shd w:val="clear" w:color="auto" w:fill="FFFFFF"/>
        </w:rPr>
        <w:t xml:space="preserve"> (20.8 % </w:t>
      </w:r>
      <w:r w:rsidRPr="004B0BC2">
        <w:rPr>
          <w:rStyle w:val="Emphasis"/>
          <w:rFonts w:asciiTheme="minorHAnsi" w:hAnsiTheme="minorHAnsi" w:cstheme="minorHAnsi"/>
          <w:sz w:val="22"/>
          <w:szCs w:val="22"/>
          <w:shd w:val="clear" w:color="auto" w:fill="FFFFFF"/>
        </w:rPr>
        <w:t>v</w:t>
      </w:r>
      <w:r w:rsidR="00AE49A8">
        <w:rPr>
          <w:rStyle w:val="Emphasis"/>
          <w:rFonts w:asciiTheme="minorHAnsi" w:hAnsiTheme="minorHAnsi" w:cstheme="minorHAnsi"/>
          <w:sz w:val="22"/>
          <w:szCs w:val="22"/>
          <w:shd w:val="clear" w:color="auto" w:fill="FFFFFF"/>
        </w:rPr>
        <w:t>ersu</w:t>
      </w:r>
      <w:r w:rsidRPr="004B0BC2">
        <w:rPr>
          <w:rStyle w:val="Emphasis"/>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13.0 %), and 86−95 years (10.4 % </w:t>
      </w:r>
      <w:r w:rsidRPr="004B0BC2">
        <w:rPr>
          <w:rStyle w:val="Emphasis"/>
          <w:rFonts w:asciiTheme="minorHAnsi" w:hAnsiTheme="minorHAnsi" w:cstheme="minorHAnsi"/>
          <w:sz w:val="22"/>
          <w:szCs w:val="22"/>
          <w:shd w:val="clear" w:color="auto" w:fill="FFFFFF"/>
        </w:rPr>
        <w:t>v</w:t>
      </w:r>
      <w:r w:rsidR="00AE49A8">
        <w:rPr>
          <w:rStyle w:val="Emphasis"/>
          <w:rFonts w:asciiTheme="minorHAnsi" w:hAnsiTheme="minorHAnsi" w:cstheme="minorHAnsi"/>
          <w:sz w:val="22"/>
          <w:szCs w:val="22"/>
          <w:shd w:val="clear" w:color="auto" w:fill="FFFFFF"/>
        </w:rPr>
        <w:t>ersu</w:t>
      </w:r>
      <w:r w:rsidRPr="004B0BC2">
        <w:rPr>
          <w:rStyle w:val="Emphasis"/>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xml:space="preserve"> 2.7 %) </w:t>
      </w:r>
      <w:r w:rsidR="00AE49A8">
        <w:rPr>
          <w:rFonts w:asciiTheme="minorHAnsi" w:hAnsiTheme="minorHAnsi" w:cstheme="minorHAnsi"/>
          <w:sz w:val="22"/>
          <w:szCs w:val="22"/>
          <w:shd w:val="clear" w:color="auto" w:fill="FFFFFF"/>
        </w:rPr>
        <w:t xml:space="preserve">age groups </w:t>
      </w:r>
      <w:r w:rsidRPr="004B0BC2">
        <w:rPr>
          <w:rFonts w:asciiTheme="minorHAnsi" w:hAnsiTheme="minorHAnsi" w:cstheme="minorHAnsi"/>
          <w:sz w:val="22"/>
          <w:szCs w:val="22"/>
          <w:shd w:val="clear" w:color="auto" w:fill="FFFFFF"/>
        </w:rPr>
        <w:t>(</w:t>
      </w:r>
      <w:r w:rsidR="00AE49A8">
        <w:rPr>
          <w:rFonts w:asciiTheme="minorHAnsi" w:hAnsiTheme="minorHAnsi" w:cstheme="minorHAnsi"/>
          <w:sz w:val="22"/>
          <w:szCs w:val="22"/>
          <w:shd w:val="clear" w:color="auto" w:fill="FFFFFF"/>
        </w:rPr>
        <w:t xml:space="preserve">all </w:t>
      </w:r>
      <w:r w:rsidRPr="004B0BC2">
        <w:rPr>
          <w:rFonts w:asciiTheme="minorHAnsi" w:hAnsiTheme="minorHAnsi" w:cstheme="minorHAnsi"/>
          <w:sz w:val="22"/>
          <w:szCs w:val="22"/>
          <w:shd w:val="clear" w:color="auto" w:fill="FFFFFF"/>
        </w:rPr>
        <w:t>p&lt;0.001). Cardiovascular disease</w:t>
      </w:r>
      <w:r w:rsidR="00F47E38" w:rsidRPr="004B0BC2">
        <w:rPr>
          <w:rFonts w:asciiTheme="minorHAnsi" w:hAnsiTheme="minorHAnsi" w:cstheme="minorHAnsi"/>
          <w:sz w:val="22"/>
          <w:szCs w:val="22"/>
          <w:shd w:val="clear" w:color="auto" w:fill="FFFFFF"/>
        </w:rPr>
        <w:t xml:space="preserve"> </w:t>
      </w:r>
      <w:r w:rsidR="00AE49A8">
        <w:rPr>
          <w:rFonts w:asciiTheme="minorHAnsi" w:hAnsiTheme="minorHAnsi" w:cstheme="minorHAnsi"/>
          <w:sz w:val="22"/>
          <w:szCs w:val="22"/>
          <w:shd w:val="clear" w:color="auto" w:fill="FFFFFF"/>
        </w:rPr>
        <w:t>seem</w:t>
      </w:r>
      <w:r w:rsidR="00190D8C" w:rsidRPr="004B0BC2">
        <w:rPr>
          <w:rFonts w:asciiTheme="minorHAnsi" w:hAnsiTheme="minorHAnsi" w:cstheme="minorHAnsi"/>
          <w:sz w:val="22"/>
          <w:szCs w:val="22"/>
          <w:shd w:val="clear" w:color="auto" w:fill="FFFFFF"/>
        </w:rPr>
        <w:t>ed</w:t>
      </w:r>
      <w:r w:rsidR="00F47E38" w:rsidRPr="004B0BC2">
        <w:rPr>
          <w:rFonts w:asciiTheme="minorHAnsi" w:hAnsiTheme="minorHAnsi" w:cstheme="minorHAnsi"/>
          <w:sz w:val="22"/>
          <w:szCs w:val="22"/>
          <w:shd w:val="clear" w:color="auto" w:fill="FFFFFF"/>
        </w:rPr>
        <w:t xml:space="preserve"> to be associated with increased COVID-19 mortality</w:t>
      </w:r>
      <w:r w:rsidR="009860AE">
        <w:rPr>
          <w:rFonts w:asciiTheme="minorHAnsi" w:hAnsiTheme="minorHAnsi" w:cstheme="minorHAnsi"/>
          <w:sz w:val="22"/>
          <w:szCs w:val="22"/>
          <w:shd w:val="clear" w:color="auto" w:fill="FFFFFF"/>
        </w:rPr>
        <w:t>,</w:t>
      </w:r>
      <w:r w:rsidR="00F47E38" w:rsidRPr="004B0BC2">
        <w:rPr>
          <w:rFonts w:asciiTheme="minorHAnsi" w:hAnsiTheme="minorHAnsi" w:cstheme="minorHAnsi"/>
          <w:sz w:val="22"/>
          <w:szCs w:val="22"/>
          <w:shd w:val="clear" w:color="auto" w:fill="FFFFFF"/>
        </w:rPr>
        <w:t xml:space="preserve"> as </w:t>
      </w:r>
      <w:r w:rsidRPr="004B0BC2">
        <w:rPr>
          <w:rFonts w:asciiTheme="minorHAnsi" w:hAnsiTheme="minorHAnsi" w:cstheme="minorHAnsi"/>
          <w:sz w:val="22"/>
          <w:szCs w:val="22"/>
          <w:shd w:val="clear" w:color="auto" w:fill="FFFFFF"/>
        </w:rPr>
        <w:t>a higher mortality rate</w:t>
      </w:r>
      <w:r w:rsidR="00190D8C" w:rsidRPr="004B0BC2">
        <w:rPr>
          <w:rFonts w:asciiTheme="minorHAnsi" w:hAnsiTheme="minorHAnsi" w:cstheme="minorHAnsi"/>
          <w:sz w:val="22"/>
          <w:szCs w:val="22"/>
          <w:shd w:val="clear" w:color="auto" w:fill="FFFFFF"/>
        </w:rPr>
        <w:t xml:space="preserve"> was observed</w:t>
      </w:r>
      <w:r w:rsidRPr="004B0BC2">
        <w:rPr>
          <w:rFonts w:asciiTheme="minorHAnsi" w:hAnsiTheme="minorHAnsi" w:cstheme="minorHAnsi"/>
          <w:sz w:val="22"/>
          <w:szCs w:val="22"/>
          <w:shd w:val="clear" w:color="auto" w:fill="FFFFFF"/>
        </w:rPr>
        <w:t xml:space="preserve"> in those taking anti-platelet agents (p=0.009), calcium channel blockers (p=0.023) and angiotensin II receptor blockers (p=0.001). Univariate and multivariable Cox analysis showed that age (adjusted</w:t>
      </w:r>
      <w:r w:rsidR="00B5468B" w:rsidRPr="004B0BC2">
        <w:rPr>
          <w:rFonts w:asciiTheme="minorHAnsi" w:hAnsiTheme="minorHAnsi" w:cstheme="minorHAnsi"/>
          <w:sz w:val="22"/>
          <w:szCs w:val="22"/>
          <w:shd w:val="clear" w:color="auto" w:fill="FFFFFF"/>
        </w:rPr>
        <w:t xml:space="preserve"> hazard ratio (</w:t>
      </w:r>
      <w:r w:rsidRPr="004B0BC2">
        <w:rPr>
          <w:rFonts w:asciiTheme="minorHAnsi" w:hAnsiTheme="minorHAnsi" w:cstheme="minorHAnsi"/>
          <w:sz w:val="22"/>
          <w:szCs w:val="22"/>
          <w:shd w:val="clear" w:color="auto" w:fill="FFFFFF"/>
        </w:rPr>
        <w:t>HR</w:t>
      </w:r>
      <w:r w:rsidR="00B5468B"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2.08, 95 % CI 1.48−2.92 per ten years more) and obesity (</w:t>
      </w:r>
      <w:r w:rsidR="00B5468B" w:rsidRPr="004B0BC2">
        <w:rPr>
          <w:rFonts w:asciiTheme="minorHAnsi" w:hAnsiTheme="minorHAnsi" w:cstheme="minorHAnsi"/>
          <w:sz w:val="22"/>
          <w:szCs w:val="22"/>
          <w:shd w:val="clear" w:color="auto" w:fill="FFFFFF"/>
        </w:rPr>
        <w:t xml:space="preserve">adjusted HR: </w:t>
      </w:r>
      <w:r w:rsidRPr="004B0BC2">
        <w:rPr>
          <w:rFonts w:asciiTheme="minorHAnsi" w:hAnsiTheme="minorHAnsi" w:cstheme="minorHAnsi"/>
          <w:sz w:val="22"/>
          <w:szCs w:val="22"/>
          <w:shd w:val="clear" w:color="auto" w:fill="FFFFFF"/>
        </w:rPr>
        <w:t>3.04, 95 % CI 1.42−6.49) were independently associated with an increased risk of death.</w:t>
      </w:r>
    </w:p>
    <w:p w14:paraId="0EE23F9F" w14:textId="713CC1FF" w:rsidR="003C2B02" w:rsidRDefault="006B4EC8" w:rsidP="00B66369">
      <w:pPr>
        <w:spacing w:line="480" w:lineRule="auto"/>
        <w:rPr>
          <w:rFonts w:asciiTheme="minorHAnsi" w:hAnsiTheme="minorHAnsi" w:cstheme="minorHAnsi"/>
          <w:sz w:val="22"/>
          <w:szCs w:val="22"/>
        </w:rPr>
      </w:pPr>
      <w:r>
        <w:rPr>
          <w:rFonts w:asciiTheme="minorHAnsi" w:hAnsiTheme="minorHAnsi" w:cstheme="minorHAnsi"/>
          <w:sz w:val="22"/>
          <w:szCs w:val="22"/>
        </w:rPr>
        <w:t xml:space="preserve">A study that </w:t>
      </w:r>
      <w:r w:rsidR="00B5468B" w:rsidRPr="004B0BC2">
        <w:rPr>
          <w:rFonts w:asciiTheme="minorHAnsi" w:hAnsiTheme="minorHAnsi" w:cstheme="minorHAnsi"/>
          <w:sz w:val="22"/>
          <w:szCs w:val="22"/>
        </w:rPr>
        <w:t>compared the clinical outcomes of COVID-19 between Italy and China</w:t>
      </w:r>
      <w:r w:rsidR="003C2B02" w:rsidRPr="004B0BC2">
        <w:rPr>
          <w:rFonts w:asciiTheme="minorHAnsi" w:hAnsiTheme="minorHAnsi" w:cstheme="minorHAnsi"/>
          <w:sz w:val="22"/>
          <w:szCs w:val="22"/>
        </w:rPr>
        <w:t xml:space="preserve"> </w:t>
      </w:r>
      <w:r w:rsidR="00B5468B" w:rsidRPr="004B0BC2">
        <w:rPr>
          <w:rFonts w:asciiTheme="minorHAnsi" w:hAnsiTheme="minorHAnsi" w:cstheme="minorHAnsi"/>
          <w:sz w:val="22"/>
          <w:szCs w:val="22"/>
        </w:rPr>
        <w:t>using</w:t>
      </w:r>
      <w:r w:rsidR="003C2B02" w:rsidRPr="004B0BC2">
        <w:rPr>
          <w:rFonts w:asciiTheme="minorHAnsi" w:hAnsiTheme="minorHAnsi" w:cstheme="minorHAnsi"/>
          <w:sz w:val="22"/>
          <w:szCs w:val="22"/>
        </w:rPr>
        <w:t xml:space="preserve"> records from the </w:t>
      </w:r>
      <w:r w:rsidR="00190D8C" w:rsidRPr="004B0BC2">
        <w:rPr>
          <w:rFonts w:asciiTheme="minorHAnsi" w:hAnsiTheme="minorHAnsi" w:cstheme="minorHAnsi"/>
          <w:sz w:val="22"/>
          <w:szCs w:val="22"/>
        </w:rPr>
        <w:t>N</w:t>
      </w:r>
      <w:r w:rsidR="003C2B02" w:rsidRPr="004B0BC2">
        <w:rPr>
          <w:rFonts w:asciiTheme="minorHAnsi" w:hAnsiTheme="minorHAnsi" w:cstheme="minorHAnsi"/>
          <w:sz w:val="22"/>
          <w:szCs w:val="22"/>
        </w:rPr>
        <w:t>ational Italian Institute of health and the Chinese Centre for Disease Control and Prevention</w:t>
      </w:r>
      <w:r>
        <w:rPr>
          <w:rFonts w:asciiTheme="minorHAnsi" w:hAnsiTheme="minorHAnsi" w:cstheme="minorHAnsi"/>
          <w:sz w:val="22"/>
          <w:szCs w:val="22"/>
        </w:rPr>
        <w:t xml:space="preserve"> reported that </w:t>
      </w:r>
      <w:r w:rsidR="003C2B02" w:rsidRPr="004B0BC2">
        <w:rPr>
          <w:rFonts w:asciiTheme="minorHAnsi" w:hAnsiTheme="minorHAnsi" w:cstheme="minorHAnsi"/>
          <w:sz w:val="22"/>
          <w:szCs w:val="22"/>
        </w:rPr>
        <w:t>The COVID-19 mortality rate was significantly higher</w:t>
      </w:r>
      <w:r w:rsidR="00190D8C" w:rsidRPr="004B0BC2">
        <w:rPr>
          <w:rFonts w:asciiTheme="minorHAnsi" w:hAnsiTheme="minorHAnsi" w:cstheme="minorHAnsi"/>
          <w:sz w:val="22"/>
          <w:szCs w:val="22"/>
        </w:rPr>
        <w:t xml:space="preserve"> in Italy</w:t>
      </w:r>
      <w:r w:rsidR="003C2B02" w:rsidRPr="004B0BC2">
        <w:rPr>
          <w:rFonts w:asciiTheme="minorHAnsi" w:hAnsiTheme="minorHAnsi" w:cstheme="minorHAnsi"/>
          <w:sz w:val="22"/>
          <w:szCs w:val="22"/>
        </w:rPr>
        <w:t xml:space="preserve"> </w:t>
      </w:r>
      <w:r>
        <w:rPr>
          <w:rFonts w:asciiTheme="minorHAnsi" w:hAnsiTheme="minorHAnsi" w:cstheme="minorHAnsi"/>
          <w:sz w:val="22"/>
          <w:szCs w:val="22"/>
        </w:rPr>
        <w:t xml:space="preserve">than in </w:t>
      </w:r>
      <w:r w:rsidR="003C2B02" w:rsidRPr="004B0BC2">
        <w:rPr>
          <w:rFonts w:asciiTheme="minorHAnsi" w:hAnsiTheme="minorHAnsi" w:cstheme="minorHAnsi"/>
          <w:sz w:val="22"/>
          <w:szCs w:val="22"/>
        </w:rPr>
        <w:t>China (OR</w:t>
      </w:r>
      <w:r w:rsidR="00B5468B" w:rsidRPr="004B0BC2">
        <w:rPr>
          <w:rFonts w:asciiTheme="minorHAnsi" w:hAnsiTheme="minorHAnsi" w:cstheme="minorHAnsi"/>
          <w:sz w:val="22"/>
          <w:szCs w:val="22"/>
        </w:rPr>
        <w:t xml:space="preserve">: </w:t>
      </w:r>
      <w:r w:rsidR="003C2B02" w:rsidRPr="004B0BC2">
        <w:rPr>
          <w:rFonts w:asciiTheme="minorHAnsi" w:hAnsiTheme="minorHAnsi" w:cstheme="minorHAnsi"/>
          <w:sz w:val="22"/>
          <w:szCs w:val="22"/>
        </w:rPr>
        <w:t>3.18</w:t>
      </w:r>
      <w:r w:rsidR="00B5468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95% CI, 3.06-3.31</w:t>
      </w:r>
      <w:r w:rsidR="00B5468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p&lt;0.001)</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{"citationItems":[{"id":"ITEM-1","itemData":{"DOI":"10.1002/jmv.25860","ISSN":"10969071","PMID":"32275075","abstract":"Coronavirus disease 2019 (COVID-19), an infectious outbreak caused by severe acute respiratory syndrome coronavirus 2 (SARS-CoV-2),1 has now progressed to global pandemic.2 Besides the compelling need to understand the novel biological pathways underlying the virulence and pathogenicity of SARS-CoV-2 in humans to enable the development of appropriate interventions and therapies,3,4 the noticeable difference in mortality rates between Asian and European populations is one of the most significant issues demanding the attention of biologists, epidemiologists and clinicians around the world. This article is protected by copyright. All rights reserved.","author":[{"dropping-particle":"","family":"Lippi","given":"Giuseppe","non-dropping-particle":"","parse-names":false,"suffix":""},{"dropping-particle":"","family":"Mattiuzzi","given":"Camilla","non-dropping-particle":"","parse-names":false,"suffix":""},{"dropping-particle":"","family":"Sanchis-Gomar","given":"Fabian","non-dropping-particle":"","parse-names":false,"suffix":""},{"dropping-particle":"","family":"Henry","given":"Brandon M.","non-dropping-particle":"","parse-names":false,"suffix":""}],"container-title":"Journal of Medical Virology","id":"ITEM-1","issue":"10","issued":{"date-parts":[["2020"]]},"page":"1759-1760","title":"Clinical and demographic characteristics of patients dying from COVID-19 in Italy versus China","type":"article-journal","volume":"92"},"uris":["http://www.mendeley.com/documents/?uuid=de7e84b6-e187-409a-9199-1a400e09cfcc"]}],"mendeley":{"formattedCitation":"(23)","plainTextFormattedCitation":"(23)","previouslyFormattedCitation":"(23)"},"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(23)</w:t>
      </w:r>
      <w:r w:rsidRPr="004B0BC2">
        <w:rPr>
          <w:rFonts w:asciiTheme="minorHAnsi" w:hAnsiTheme="minorHAnsi" w:cstheme="minorHAnsi"/>
          <w:sz w:val="22"/>
          <w:szCs w:val="22"/>
        </w:rPr>
        <w:fldChar w:fldCharType="end"/>
      </w:r>
      <w:r w:rsidR="003C2B02" w:rsidRPr="004B0BC2">
        <w:rPr>
          <w:rFonts w:asciiTheme="minorHAnsi" w:hAnsiTheme="minorHAnsi" w:cstheme="minorHAnsi"/>
          <w:sz w:val="22"/>
          <w:szCs w:val="22"/>
        </w:rPr>
        <w:t>. Moreover</w:t>
      </w:r>
      <w:r w:rsidR="00190D8C"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the presence of several comorbidities (Diabetes (OR</w:t>
      </w:r>
      <w:r w:rsidR="00B5468B" w:rsidRPr="004B0BC2">
        <w:rPr>
          <w:rFonts w:asciiTheme="minorHAnsi" w:hAnsiTheme="minorHAnsi" w:cstheme="minorHAnsi"/>
          <w:sz w:val="22"/>
          <w:szCs w:val="22"/>
        </w:rPr>
        <w:t xml:space="preserve">: </w:t>
      </w:r>
      <w:r w:rsidR="003C2B02" w:rsidRPr="004B0BC2">
        <w:rPr>
          <w:rFonts w:asciiTheme="minorHAnsi" w:hAnsiTheme="minorHAnsi" w:cstheme="minorHAnsi"/>
          <w:sz w:val="22"/>
          <w:szCs w:val="22"/>
        </w:rPr>
        <w:t>1.82, 95% CI:1.22-2.15), Hypertension (OR</w:t>
      </w:r>
      <w:r w:rsidR="00B5468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3.46, 95% CI:2.68-4.46), Chronic respiratory disease (OR</w:t>
      </w:r>
      <w:r w:rsidR="00B5468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2.30, 95% CI:1.54-3.44), Cancer (OR</w:t>
      </w:r>
      <w:r w:rsidR="00B5468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11.73, 95% CI:5.14-28.77) and </w:t>
      </w:r>
      <w:r w:rsidR="00190D8C" w:rsidRPr="004B0BC2">
        <w:rPr>
          <w:rFonts w:asciiTheme="minorHAnsi" w:hAnsiTheme="minorHAnsi" w:cstheme="minorHAnsi"/>
          <w:sz w:val="22"/>
          <w:szCs w:val="22"/>
        </w:rPr>
        <w:t>CVD</w:t>
      </w:r>
      <w:r w:rsidR="003C2B02" w:rsidRPr="004B0BC2">
        <w:rPr>
          <w:rFonts w:asciiTheme="minorHAnsi" w:hAnsiTheme="minorHAnsi" w:cstheme="minorHAnsi"/>
          <w:sz w:val="22"/>
          <w:szCs w:val="22"/>
        </w:rPr>
        <w:t xml:space="preserve"> (OR</w:t>
      </w:r>
      <w:r w:rsidR="00B5468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1.91, 95% CI:1.45-2.50) </w:t>
      </w:r>
      <w:r w:rsidR="00DB3D0C" w:rsidRPr="004B0BC2">
        <w:rPr>
          <w:rFonts w:asciiTheme="minorHAnsi" w:hAnsiTheme="minorHAnsi" w:cstheme="minorHAnsi"/>
          <w:sz w:val="22"/>
          <w:szCs w:val="22"/>
        </w:rPr>
        <w:t>were</w:t>
      </w:r>
      <w:r w:rsidR="00B5468B" w:rsidRPr="004B0BC2">
        <w:rPr>
          <w:rFonts w:asciiTheme="minorHAnsi" w:hAnsiTheme="minorHAnsi" w:cstheme="minorHAnsi"/>
          <w:sz w:val="22"/>
          <w:szCs w:val="22"/>
        </w:rPr>
        <w:t xml:space="preserve"> associated with </w:t>
      </w:r>
      <w:r w:rsidR="003C2B02" w:rsidRPr="004B0BC2">
        <w:rPr>
          <w:rFonts w:asciiTheme="minorHAnsi" w:hAnsiTheme="minorHAnsi" w:cstheme="minorHAnsi"/>
          <w:sz w:val="22"/>
          <w:szCs w:val="22"/>
        </w:rPr>
        <w:t>a higher risk of death in the Italian</w:t>
      </w:r>
      <w:r>
        <w:rPr>
          <w:rFonts w:asciiTheme="minorHAnsi" w:hAnsiTheme="minorHAnsi" w:cstheme="minorHAnsi"/>
          <w:sz w:val="22"/>
          <w:szCs w:val="22"/>
        </w:rPr>
        <w:t xml:space="preserve"> patients</w:t>
      </w:r>
      <w:r w:rsidR="00F532A8" w:rsidRPr="004B0BC2">
        <w:rPr>
          <w:rFonts w:asciiTheme="minorHAnsi" w:hAnsiTheme="minorHAnsi" w:cstheme="minorHAnsi"/>
          <w:sz w:val="22"/>
          <w:szCs w:val="22"/>
        </w:rPr>
        <w:t xml:space="preserve"> </w:t>
      </w:r>
      <w:r>
        <w:rPr>
          <w:rFonts w:asciiTheme="minorHAnsi" w:hAnsiTheme="minorHAnsi" w:cstheme="minorHAnsi"/>
          <w:sz w:val="22"/>
          <w:szCs w:val="22"/>
        </w:rPr>
        <w:t>than in</w:t>
      </w:r>
      <w:r w:rsidR="00F532A8" w:rsidRPr="004B0BC2">
        <w:rPr>
          <w:rFonts w:asciiTheme="minorHAnsi" w:hAnsiTheme="minorHAnsi" w:cstheme="minorHAnsi"/>
          <w:sz w:val="22"/>
          <w:szCs w:val="22"/>
        </w:rPr>
        <w:t xml:space="preserve"> the Chinese</w:t>
      </w:r>
      <w:r w:rsidR="003C2B02" w:rsidRPr="004B0BC2">
        <w:rPr>
          <w:rFonts w:asciiTheme="minorHAnsi" w:hAnsiTheme="minorHAnsi" w:cstheme="minorHAnsi"/>
          <w:sz w:val="22"/>
          <w:szCs w:val="22"/>
        </w:rPr>
        <w:t xml:space="preserve"> population. </w:t>
      </w:r>
      <w:r w:rsidR="007D1D58">
        <w:rPr>
          <w:rFonts w:asciiTheme="minorHAnsi" w:hAnsiTheme="minorHAnsi" w:cstheme="minorHAnsi"/>
          <w:sz w:val="22"/>
          <w:szCs w:val="22"/>
        </w:rPr>
        <w:t>The authors also reported that</w:t>
      </w:r>
      <w:r w:rsidR="003C2B02" w:rsidRPr="004B0BC2">
        <w:rPr>
          <w:rFonts w:asciiTheme="minorHAnsi" w:hAnsiTheme="minorHAnsi" w:cstheme="minorHAnsi"/>
          <w:sz w:val="22"/>
          <w:szCs w:val="22"/>
        </w:rPr>
        <w:t xml:space="preserve"> male sex (OR</w:t>
      </w:r>
      <w:r w:rsidR="00B5468B" w:rsidRPr="004B0BC2">
        <w:rPr>
          <w:rFonts w:asciiTheme="minorHAnsi" w:hAnsiTheme="minorHAnsi" w:cstheme="minorHAnsi"/>
          <w:sz w:val="22"/>
          <w:szCs w:val="22"/>
        </w:rPr>
        <w:t>:</w:t>
      </w:r>
      <w:r w:rsidR="003C2B02" w:rsidRPr="004B0BC2">
        <w:rPr>
          <w:rFonts w:asciiTheme="minorHAnsi" w:hAnsiTheme="minorHAnsi" w:cstheme="minorHAnsi"/>
          <w:sz w:val="22"/>
          <w:szCs w:val="22"/>
        </w:rPr>
        <w:t>1.27, 95% CI:1.11-1.46) and an age &gt;60</w:t>
      </w:r>
      <w:r w:rsidR="00F532A8" w:rsidRPr="004B0BC2">
        <w:rPr>
          <w:rFonts w:asciiTheme="minorHAnsi" w:hAnsiTheme="minorHAnsi" w:cstheme="minorHAnsi"/>
          <w:sz w:val="22"/>
          <w:szCs w:val="22"/>
        </w:rPr>
        <w:t xml:space="preserve"> </w:t>
      </w:r>
      <w:r w:rsidR="003C2B02" w:rsidRPr="004B0BC2">
        <w:rPr>
          <w:rFonts w:asciiTheme="minorHAnsi" w:hAnsiTheme="minorHAnsi" w:cstheme="minorHAnsi"/>
          <w:sz w:val="22"/>
          <w:szCs w:val="22"/>
        </w:rPr>
        <w:t>(OR</w:t>
      </w:r>
      <w:r w:rsidR="00C425A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4.63, 95% CI:3.87-5.55) were associated with a higher risk of mortality in the Italian </w:t>
      </w:r>
      <w:r w:rsidR="009860AE">
        <w:rPr>
          <w:rFonts w:asciiTheme="minorHAnsi" w:hAnsiTheme="minorHAnsi" w:cstheme="minorHAnsi"/>
          <w:sz w:val="22"/>
          <w:szCs w:val="22"/>
        </w:rPr>
        <w:t>than</w:t>
      </w:r>
      <w:r w:rsidR="003C2B02" w:rsidRPr="004B0BC2">
        <w:rPr>
          <w:rFonts w:asciiTheme="minorHAnsi" w:hAnsiTheme="minorHAnsi" w:cstheme="minorHAnsi"/>
          <w:sz w:val="22"/>
          <w:szCs w:val="22"/>
        </w:rPr>
        <w:t xml:space="preserve"> </w:t>
      </w:r>
      <w:r w:rsidR="003C2B02" w:rsidRPr="004B0BC2">
        <w:rPr>
          <w:rFonts w:asciiTheme="minorHAnsi" w:hAnsiTheme="minorHAnsi" w:cstheme="minorHAnsi"/>
          <w:sz w:val="22"/>
          <w:szCs w:val="22"/>
        </w:rPr>
        <w:lastRenderedPageBreak/>
        <w:t>the Chinese population</w:t>
      </w:r>
      <w:r w:rsidR="00F532A8" w:rsidRPr="004B0BC2">
        <w:rPr>
          <w:rFonts w:asciiTheme="minorHAnsi" w:hAnsiTheme="minorHAnsi" w:cstheme="minorHAnsi"/>
          <w:sz w:val="22"/>
          <w:szCs w:val="22"/>
        </w:rPr>
        <w:t xml:space="preserve"> and</w:t>
      </w:r>
      <w:r w:rsidR="003C2B02" w:rsidRPr="004B0BC2">
        <w:rPr>
          <w:rFonts w:asciiTheme="minorHAnsi" w:hAnsiTheme="minorHAnsi" w:cstheme="minorHAnsi"/>
          <w:sz w:val="22"/>
          <w:szCs w:val="22"/>
        </w:rPr>
        <w:t xml:space="preserve"> the presence of either of these factors conferred a two</w:t>
      </w:r>
      <w:r w:rsidR="00567A8B" w:rsidRPr="004B0BC2">
        <w:rPr>
          <w:rFonts w:asciiTheme="minorHAnsi" w:hAnsiTheme="minorHAnsi" w:cstheme="minorHAnsi"/>
          <w:sz w:val="22"/>
          <w:szCs w:val="22"/>
        </w:rPr>
        <w:t>-</w:t>
      </w:r>
      <w:r w:rsidR="00BA5091" w:rsidRPr="004B0BC2">
        <w:rPr>
          <w:rFonts w:asciiTheme="minorHAnsi" w:hAnsiTheme="minorHAnsi" w:cstheme="minorHAnsi"/>
          <w:sz w:val="22"/>
          <w:szCs w:val="22"/>
        </w:rPr>
        <w:t>fold</w:t>
      </w:r>
      <w:r w:rsidR="003C2B02" w:rsidRPr="004B0BC2">
        <w:rPr>
          <w:rFonts w:asciiTheme="minorHAnsi" w:hAnsiTheme="minorHAnsi" w:cstheme="minorHAnsi"/>
          <w:sz w:val="22"/>
          <w:szCs w:val="22"/>
        </w:rPr>
        <w:t xml:space="preserve"> higher risk of</w:t>
      </w:r>
      <w:r w:rsidR="00F532A8" w:rsidRPr="004B0BC2">
        <w:rPr>
          <w:rFonts w:asciiTheme="minorHAnsi" w:hAnsiTheme="minorHAnsi" w:cstheme="minorHAnsi"/>
          <w:sz w:val="22"/>
          <w:szCs w:val="22"/>
        </w:rPr>
        <w:t xml:space="preserve"> COVID-19</w:t>
      </w:r>
      <w:r w:rsidR="003C2B02" w:rsidRPr="004B0BC2">
        <w:rPr>
          <w:rFonts w:asciiTheme="minorHAnsi" w:hAnsiTheme="minorHAnsi" w:cstheme="minorHAnsi"/>
          <w:sz w:val="22"/>
          <w:szCs w:val="22"/>
        </w:rPr>
        <w:t xml:space="preserve"> death in </w:t>
      </w:r>
      <w:r w:rsidR="00F532A8" w:rsidRPr="004B0BC2">
        <w:rPr>
          <w:rFonts w:asciiTheme="minorHAnsi" w:hAnsiTheme="minorHAnsi" w:cstheme="minorHAnsi"/>
          <w:sz w:val="22"/>
          <w:szCs w:val="22"/>
        </w:rPr>
        <w:t xml:space="preserve">Italy </w:t>
      </w:r>
      <w:r w:rsidR="009860AE">
        <w:rPr>
          <w:rFonts w:asciiTheme="minorHAnsi" w:hAnsiTheme="minorHAnsi" w:cstheme="minorHAnsi"/>
          <w:sz w:val="22"/>
          <w:szCs w:val="22"/>
        </w:rPr>
        <w:t>than</w:t>
      </w:r>
      <w:r w:rsidR="00F532A8" w:rsidRPr="004B0BC2">
        <w:rPr>
          <w:rFonts w:asciiTheme="minorHAnsi" w:hAnsiTheme="minorHAnsi" w:cstheme="minorHAnsi"/>
          <w:sz w:val="22"/>
          <w:szCs w:val="22"/>
        </w:rPr>
        <w:t xml:space="preserve"> China </w:t>
      </w:r>
      <w:r w:rsidR="003C2B02" w:rsidRPr="004B0BC2">
        <w:rPr>
          <w:rFonts w:asciiTheme="minorHAnsi" w:hAnsiTheme="minorHAnsi" w:cstheme="minorHAnsi"/>
          <w:sz w:val="22"/>
          <w:szCs w:val="22"/>
        </w:rPr>
        <w:t>(OR</w:t>
      </w:r>
      <w:r w:rsidR="00C425AB" w:rsidRPr="004B0BC2">
        <w:rPr>
          <w:rFonts w:asciiTheme="minorHAnsi" w:hAnsiTheme="minorHAnsi" w:cstheme="minorHAnsi"/>
          <w:sz w:val="22"/>
          <w:szCs w:val="22"/>
        </w:rPr>
        <w:t>:</w:t>
      </w:r>
      <w:r w:rsidR="003C2B02" w:rsidRPr="004B0BC2">
        <w:rPr>
          <w:rFonts w:asciiTheme="minorHAnsi" w:hAnsiTheme="minorHAnsi" w:cstheme="minorHAnsi"/>
          <w:sz w:val="22"/>
          <w:szCs w:val="22"/>
        </w:rPr>
        <w:t xml:space="preserve"> 2.01</w:t>
      </w:r>
      <w:r w:rsidR="00C425AB" w:rsidRPr="004B0BC2">
        <w:rPr>
          <w:rFonts w:asciiTheme="minorHAnsi" w:hAnsiTheme="minorHAnsi" w:cstheme="minorHAnsi"/>
          <w:sz w:val="22"/>
          <w:szCs w:val="22"/>
        </w:rPr>
        <w:t xml:space="preserve">, </w:t>
      </w:r>
      <w:r w:rsidR="003C2B02" w:rsidRPr="004B0BC2">
        <w:rPr>
          <w:rFonts w:asciiTheme="minorHAnsi" w:hAnsiTheme="minorHAnsi" w:cstheme="minorHAnsi"/>
          <w:sz w:val="22"/>
          <w:szCs w:val="22"/>
        </w:rPr>
        <w:t xml:space="preserve">95% CI:0.54-7.52, </w:t>
      </w:r>
      <w:r w:rsidR="002C49A5" w:rsidRPr="004B0BC2">
        <w:rPr>
          <w:rFonts w:asciiTheme="minorHAnsi" w:hAnsiTheme="minorHAnsi" w:cstheme="minorHAnsi"/>
          <w:sz w:val="22"/>
          <w:szCs w:val="22"/>
        </w:rPr>
        <w:t>p</w:t>
      </w:r>
      <w:r w:rsidR="003C2B02" w:rsidRPr="004B0BC2">
        <w:rPr>
          <w:rFonts w:asciiTheme="minorHAnsi" w:hAnsiTheme="minorHAnsi" w:cstheme="minorHAnsi"/>
          <w:sz w:val="22"/>
          <w:szCs w:val="22"/>
        </w:rPr>
        <w:t xml:space="preserve">=0.00). </w:t>
      </w:r>
    </w:p>
    <w:p w14:paraId="0A0D03F4" w14:textId="77777777" w:rsidR="006B4EC8" w:rsidRPr="004B0BC2" w:rsidRDefault="006B4EC8" w:rsidP="00B66369">
      <w:pPr>
        <w:spacing w:line="480" w:lineRule="auto"/>
        <w:rPr>
          <w:rFonts w:asciiTheme="minorHAnsi" w:hAnsiTheme="minorHAnsi" w:cstheme="minorHAnsi"/>
          <w:sz w:val="22"/>
          <w:szCs w:val="22"/>
        </w:rPr>
      </w:pPr>
    </w:p>
    <w:p w14:paraId="26C7D53C" w14:textId="4CCECDC7" w:rsidR="00F532A8" w:rsidRPr="004B0BC2" w:rsidRDefault="003C2B02"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 xml:space="preserve">The </w:t>
      </w:r>
      <w:r w:rsidR="009860AE">
        <w:rPr>
          <w:rFonts w:asciiTheme="minorHAnsi" w:hAnsiTheme="minorHAnsi" w:cstheme="minorHAnsi"/>
          <w:sz w:val="22"/>
          <w:szCs w:val="22"/>
        </w:rPr>
        <w:t>reason</w:t>
      </w:r>
      <w:r w:rsidRPr="004B0BC2">
        <w:rPr>
          <w:rFonts w:asciiTheme="minorHAnsi" w:hAnsiTheme="minorHAnsi" w:cstheme="minorHAnsi"/>
          <w:sz w:val="22"/>
          <w:szCs w:val="22"/>
        </w:rPr>
        <w:t xml:space="preserve"> for this discrepancy in mortality rates between countries is uncertain but it m</w:t>
      </w:r>
      <w:r w:rsidR="006B4EC8">
        <w:rPr>
          <w:rFonts w:asciiTheme="minorHAnsi" w:hAnsiTheme="minorHAnsi" w:cstheme="minorHAnsi"/>
          <w:sz w:val="22"/>
          <w:szCs w:val="22"/>
        </w:rPr>
        <w:t>ight</w:t>
      </w:r>
      <w:r w:rsidRPr="004B0BC2">
        <w:rPr>
          <w:rFonts w:asciiTheme="minorHAnsi" w:hAnsiTheme="minorHAnsi" w:cstheme="minorHAnsi"/>
          <w:sz w:val="22"/>
          <w:szCs w:val="22"/>
        </w:rPr>
        <w:t xml:space="preserve"> reflect population demographics and public health</w:t>
      </w:r>
      <w:r w:rsidR="006B4EC8">
        <w:rPr>
          <w:rFonts w:asciiTheme="minorHAnsi" w:hAnsiTheme="minorHAnsi" w:cstheme="minorHAnsi"/>
          <w:sz w:val="22"/>
          <w:szCs w:val="22"/>
        </w:rPr>
        <w:t>-</w:t>
      </w:r>
      <w:r w:rsidRPr="004B0BC2">
        <w:rPr>
          <w:rFonts w:asciiTheme="minorHAnsi" w:hAnsiTheme="minorHAnsi" w:cstheme="minorHAnsi"/>
          <w:sz w:val="22"/>
          <w:szCs w:val="22"/>
        </w:rPr>
        <w:t>care strategies.</w:t>
      </w:r>
      <w:r w:rsidR="007D1D58">
        <w:rPr>
          <w:rFonts w:asciiTheme="minorHAnsi" w:hAnsiTheme="minorHAnsi" w:cstheme="minorHAnsi"/>
          <w:sz w:val="22"/>
          <w:szCs w:val="22"/>
        </w:rPr>
        <w:t xml:space="preserve"> </w:t>
      </w:r>
      <w:r w:rsidR="001118F9">
        <w:rPr>
          <w:rFonts w:asciiTheme="minorHAnsi" w:hAnsiTheme="minorHAnsi" w:cstheme="minorHAnsi"/>
          <w:sz w:val="22"/>
          <w:szCs w:val="22"/>
        </w:rPr>
        <w:t xml:space="preserve">Several studies </w:t>
      </w:r>
      <w:r w:rsidR="001118F9"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{"citationItems":[{"id":"ITEM-1","itemData":{"DOI":"10.1016/S0140-6736(20)30566-3","ISSN":"1474547X","PMID":"32171076","abstract":"Background: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 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 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 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 Funding: Chinese Academy of Medical Sciences Innovation Fund for Medical Sciences; National Science Grant for Distinguished Young Scholars; National Key Research and Development Program of China; The Beijing Science and Technology Project; and Major Projects …","author":[{"dropping-particle":"","family":"Zhou","given":"Fei","non-dropping-particle":"","parse-names":false,"suffix":""},{"dropping-particle":"","family":"Yu","given":"Ting","non-dropping-particle":"","parse-names":false,"suffix":""},{"dropping-particle":"","family":"Du","given":"Ronghui","non-dropping-particle":"","parse-names":false,"suffix":""},{"dropping-particle":"","family":"Fan","given":"Guohui","non-dropping-particle":"","parse-names":false,"suffix":""},{"dropping-particle":"","family":"Liu","given":"Ying","non-dropping-particle":"","parse-names":false,"suffix":""},{"dropping-particle":"","family":"Liu","given":"Zhibo","non-dropping-particle":"","parse-names":false,"suffix":""},{"dropping-particle":"","family":"Xiang","given":"Jie","non-dropping-particle":"","parse-names":false,"suffix":""},{"dropping-particle":"","family":"Wang","given":"Yeming","non-dropping-particle":"","parse-names":false,"suffix":""},{"dropping-particle":"","family":"Song","given":"Bin","non-dropping-particle":"","parse-names":false,"suffix":""},{"dropping-particle":"","family":"Gu","given":"Xiaoying","non-dropping-particle":"","parse-names":false,"suffix":""},{"dropping-particle":"","family":"Guan","given":"Lulu","non-dropping-particle":"","parse-names":false,"suffix":""},{"dropping-particle":"","family":"Wei","given":"Yuan","non-dropping-particle":"","parse-names":false,"suffix":""},{"dropping-particle":"","family":"Li","given":"Hui","non-dropping-particle":"","parse-names":false,"suffix":""},{"dropping-particle":"","family":"Wu","given":"Xudong","non-dropping-particle":"","parse-names":false,"suffix":""},{"dropping-particle":"","family":"Xu","given":"Jiuyang","non-dropping-particle":"","parse-names":false,"suffix":""},{"dropping-particle":"","family":"Tu","given":"Shengjin","non-dropping-particle":"","parse-names":false,"suffix":""},{"dropping-particle":"","family":"Zhang","given":"Yi","non-dropping-particle":"","parse-names":false,"suffix":""},{"dropping-particle":"","family":"Chen","given":"Hua","non-dropping-particle":"","parse-names":false,"suffix":""},{"dropping-particle":"","family":"Cao","given":"Bin","non-dropping-particle":"","parse-names":false,"suffix":""}],"container-title":"The Lancet","id":"ITEM-1","issue":"10229","issued":{"date-parts":[["2020"]]},"page":"1054-1062","title":"Clinical course and risk factors for mortality of adult inpatients with COVID-19 in Wuhan, China: a retrospective cohort study","type":"article-journal","volume":"395"},"uris":["http://www.mendeley.com/documents/?uuid=08844b6a-e9b8-4a32-ac87-452cff28f961"]}],"mendeley":{"formattedCitation":"(15)","plainTextFormattedCitation":"(15)","previouslyFormattedCitation":"(15)"},"properties":{"noteIndex":0},"schema":"https://github.com/citation-style-language/schema/raw/master/csl-citation.json"}</w:instrText>
      </w:r>
      <w:r w:rsidR="001118F9"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w:t>
      </w:r>
      <w:r w:rsidR="001118F9" w:rsidRPr="004B0BC2">
        <w:rPr>
          <w:rFonts w:asciiTheme="minorHAnsi" w:hAnsiTheme="minorHAnsi" w:cstheme="minorHAnsi"/>
          <w:sz w:val="22"/>
          <w:szCs w:val="22"/>
        </w:rPr>
        <w:fldChar w:fldCharType="end"/>
      </w:r>
      <w:r w:rsidR="001118F9"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{"citationItems":[{"id":"ITEM-1","itemData":{"DOI":"10.1016/j.phrs.2020.104931","ISSN":"10961186","PMID":"32446978","abstract":"Italy was the first European country hit by the COVID-19 pandemic and has the highest number of recorded COVID-19 deaths in Europe. This prospective cohort study of the correlates of the risk of death in COVID-19 patients was conducted at the Infectious Diseases and Intensive Care units of Luigi Sacco Hospital, Milan, Italy. The clinical characteristics of all the COVID-19 patients hospitalised in the early days of the epidemic (21 February -19 March 2020) were recorded upon admission, and the time-dependent probability of death was evaluated using the Kaplan-Meier method (censored as of 20 April 2020). Cox proportional hazard models were used to assess the factors independently associated with the risk of death. Forty-eight (20.6 %) of the 233 patients followed up for a median of 40 days (interquartile range 33–47) died during the follow-up. Most were males (69.1 %) and their median age was 61 years (IQR 50–72). The time-dependent probability of death was 19.7 % (95 % CI 14.6–24.9 %) 30 days after hospital admission. Age (adjusted hazard ratio [aHR] 2.08, 95 % CI 1.48−2.92 per ten years more) and obesity (aHR 3.04, 95 % CI 1.42−6.49) were independently associated with an increased risk of death, which was also associated with critical disease (aHR 8.26, 95 % CI 1.41−48.29), C-reactive protein levels (aHR 1.17, 95 % CI 1.02−1.35 per 50 mg/L more) and creatinine kinase levels above 185 U/L (aHR 2.58, 95 % CI 1.37−4.87) upon admission. Case-fatality rate of patients hospitalized with COVID-19 in the early days of the Italian epidemic was about 20 %. Our study adds evidence to the notion that older age, obesity and more advanced illness are factors associated to an increased risk of death among patients hospitalized with COVID-19.","author":[{"dropping-particle":"","family":"Giacomelli","given":"Andrea","non-dropping-particle":"","parse-names":false,"suffix":""},{"dropping-particle":"","family":"Ridolfo","given":"Anna Lisa","non-dropping-particle":"","parse-names":false,"suffix":""},{"dropping-particle":"","family":"Milazzo","given":"Laura","non-dropping-particle":"","parse-names":false,"suffix":""},{"dropping-particle":"","family":"Oreni","given":"Letizia","non-dropping-particle":"","parse-names":false,"suffix":""},{"dropping-particle":"","family":"Bernacchia","given":"Dario","non-dropping-particle":"","parse-names":false,"suffix":""},{"dropping-particle":"","family":"Siano","given":"Matteo","non-dropping-particle":"","parse-names":false,"suffix":""},{"dropping-particle":"","family":"Bonazzetti","given":"Cecilia","non-dropping-particle":"","parse-names":false,"suffix":""},{"dropping-particle":"","family":"Covizzi","given":"Alice","non-dropping-particle":"","parse-names":false,"suffix":""},{"dropping-particle":"","family":"Schiuma","given":"Marco","non-dropping-particle":"","parse-names":false,"suffix":""},{"dropping-particle":"","family":"Passerini","given":"Matteo","non-dropping-particle":"","parse-names":false,"suffix":""},{"dropping-particle":"","family":"Piscaglia","given":"Marco","non-dropping-particle":"","parse-names":false,"suffix":""},{"dropping-particle":"","family":"Coen","given":"Massimo","non-dropping-particle":"","parse-names":false,"suffix":""},{"dropping-particle":"","family":"Gubertini","given":"Guido","non-dropping-particle":"","parse-names":false,"suffix":""},{"dropping-particle":"","family":"Rizzardini","given":"Giuliano","non-dropping-particle":"","parse-names":false,"suffix":""},{"dropping-particle":"","family":"Cogliati","given":"Chiara","non-dropping-particle":"","parse-names":false,"suffix":""},{"dropping-particle":"","family":"Brambilla","given":"Anna Maria","non-dropping-particle":"","parse-names":false,"suffix":""},{"dropping-particle":"","family":"Colombo","given":"Riccardo","non-dropping-particle":"","parse-names":false,"suffix":""},{"dropping-particle":"","family":"Castelli","given":"Antonio","non-dropping-particle":"","parse-names":false,"suffix":""},{"dropping-particle":"","family":"Rech","given":"Roberto","non-dropping-particle":"","parse-names":false,"suffix":""},{"dropping-particle":"","family":"Riva","given":"Agostino","non-dropping-particle":"","parse-names":false,"suffix":""},{"dropping-particle":"","family":"Torre","given":"Alessandro","non-dropping-particle":"","parse-names":false,"suffix":""},{"dropping-particle":"","family":"Meroni","given":"Luca","non-dropping-particle":"","parse-names":false,"suffix":""},{"dropping-particle":"","family":"Rusconi","given":"Stefano","non-dropping-particle":"","parse-names":false,"suffix":""},{"dropping-particle":"","family":"Antinori","given":"Spinello","non-dropping-particle":"","parse-names":false,"suffix":""},{"dropping-particle":"","family":"Galli","given":"Massimo","non-dropping-particle":"","parse-names":false,"suffix":""}],"container-title":"Pharmacological Research","id":"ITEM-1","issued":{"date-parts":[["2020"]]},"page":"1-7","title":"30-day mortality in patients hospitalized with COVID-19 during the first wave of the Italian epidemic: A prospective cohort study","type":"article-journal","volume":"158"},"uris":["http://www.mendeley.com/documents/?uuid=bcc7c869-c80f-4963-b664-9e8204298b6d"]}],"mendeley":{"formattedCitation":"(22)","plainTextFormattedCitation":"(22)","previouslyFormattedCitation":"(22)"},"properties":{"noteIndex":0},"schema":"https://github.com/citation-style-language/schema/raw/master/csl-citation.json"}</w:instrText>
      </w:r>
      <w:r w:rsidR="001118F9"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(22)</w:t>
      </w:r>
      <w:r w:rsidR="001118F9" w:rsidRPr="004B0BC2">
        <w:rPr>
          <w:rFonts w:asciiTheme="minorHAnsi" w:hAnsiTheme="minorHAnsi" w:cstheme="minorHAnsi"/>
          <w:sz w:val="22"/>
          <w:szCs w:val="22"/>
          <w:shd w:val="clear" w:color="auto" w:fill="FFFFFF"/>
        </w:rPr>
        <w:fldChar w:fldCharType="end"/>
      </w:r>
      <w:r w:rsidR="001118F9"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{"citationItems":[{"id":"ITEM-1","itemData":{"DOI":"10.1002/jmv.25860","ISSN":"10969071","PMID":"32275075","abstract":"Coronavirus disease 2019 (COVID-19), an infectious outbreak caused by severe acute respiratory syndrome coronavirus 2 (SARS-CoV-2),1 has now progressed to global pandemic.2 Besides the compelling need to understand the novel biological pathways underlying the virulence and pathogenicity of SARS-CoV-2 in humans to enable the development of appropriate interventions and therapies,3,4 the noticeable difference in mortality rates between Asian and European populations is one of the most significant issues demanding the attention of biologists, epidemiologists and clinicians around the world. This article is protected by copyright. All rights reserved.","author":[{"dropping-particle":"","family":"Lippi","given":"Giuseppe","non-dropping-particle":"","parse-names":false,"suffix":""},{"dropping-particle":"","family":"Mattiuzzi","given":"Camilla","non-dropping-particle":"","parse-names":false,"suffix":""},{"dropping-particle":"","family":"Sanchis-Gomar","given":"Fabian","non-dropping-particle":"","parse-names":false,"suffix":""},{"dropping-particle":"","family":"Henry","given":"Brandon M.","non-dropping-particle":"","parse-names":false,"suffix":""}],"container-title":"Journal of Medical Virology","id":"ITEM-1","issue":"10","issued":{"date-parts":[["2020"]]},"page":"1759-1760","title":"Clinical and demographic characteristics of patients dying from COVID-19 in Italy versus China","type":"article-journal","volume":"92"},"uris":["http://www.mendeley.com/documents/?uuid=de7e84b6-e187-409a-9199-1a400e09cfcc"]}],"mendeley":{"formattedCitation":"(23)","plainTextFormattedCitation":"(23)","previouslyFormattedCitation":"(23)"},"properties":{"noteIndex":0},"schema":"https://github.com/citation-style-language/schema/raw/master/csl-citation.json"}</w:instrText>
      </w:r>
      <w:r w:rsidR="001118F9"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(23)</w:t>
      </w:r>
      <w:r w:rsidR="001118F9" w:rsidRPr="004B0BC2">
        <w:rPr>
          <w:rFonts w:asciiTheme="minorHAnsi" w:hAnsiTheme="minorHAnsi" w:cstheme="minorHAnsi"/>
          <w:sz w:val="22"/>
          <w:szCs w:val="22"/>
        </w:rPr>
        <w:fldChar w:fldCharType="end"/>
      </w:r>
      <w:r w:rsidR="001118F9">
        <w:rPr>
          <w:rFonts w:asciiTheme="minorHAnsi" w:hAnsiTheme="minorHAnsi" w:cstheme="minorHAnsi"/>
          <w:sz w:val="22"/>
          <w:szCs w:val="22"/>
        </w:rPr>
        <w:t xml:space="preserve"> have reported that i</w:t>
      </w:r>
      <w:r w:rsidR="007D1D58">
        <w:rPr>
          <w:rFonts w:asciiTheme="minorHAnsi" w:hAnsiTheme="minorHAnsi" w:cstheme="minorHAnsi"/>
          <w:sz w:val="22"/>
          <w:szCs w:val="22"/>
        </w:rPr>
        <w:t xml:space="preserve">ncreasing age </w:t>
      </w:r>
      <w:r w:rsidR="001118F9">
        <w:rPr>
          <w:rFonts w:asciiTheme="minorHAnsi" w:hAnsiTheme="minorHAnsi" w:cstheme="minorHAnsi"/>
          <w:sz w:val="22"/>
          <w:szCs w:val="22"/>
        </w:rPr>
        <w:t>is associated with a higher</w:t>
      </w:r>
      <w:r w:rsidR="007D1D58">
        <w:rPr>
          <w:rFonts w:asciiTheme="minorHAnsi" w:hAnsiTheme="minorHAnsi" w:cstheme="minorHAnsi"/>
          <w:sz w:val="22"/>
          <w:szCs w:val="22"/>
        </w:rPr>
        <w:t xml:space="preserve"> COVID-19 </w:t>
      </w:r>
      <w:r w:rsidR="001118F9">
        <w:rPr>
          <w:rFonts w:asciiTheme="minorHAnsi" w:hAnsiTheme="minorHAnsi" w:cstheme="minorHAnsi"/>
          <w:sz w:val="22"/>
          <w:szCs w:val="22"/>
        </w:rPr>
        <w:t>mortality and</w:t>
      </w:r>
      <w:r w:rsidR="007D1D58">
        <w:rPr>
          <w:rFonts w:asciiTheme="minorHAnsi" w:hAnsiTheme="minorHAnsi" w:cstheme="minorHAnsi"/>
          <w:sz w:val="22"/>
          <w:szCs w:val="22"/>
        </w:rPr>
        <w:t xml:space="preserve"> </w:t>
      </w:r>
      <w:r w:rsidR="007D1D58">
        <w:rPr>
          <w:rFonts w:asciiTheme="minorHAnsi" w:hAnsiTheme="minorHAnsi" w:cstheme="minorHAnsi"/>
          <w:sz w:val="22"/>
          <w:szCs w:val="22"/>
          <w:shd w:val="clear" w:color="auto" w:fill="FFFFFF"/>
        </w:rPr>
        <w:t>t</w:t>
      </w:r>
      <w:r w:rsidRPr="004B0BC2">
        <w:rPr>
          <w:rFonts w:asciiTheme="minorHAnsi" w:hAnsiTheme="minorHAnsi" w:cstheme="minorHAnsi"/>
          <w:sz w:val="22"/>
          <w:szCs w:val="22"/>
          <w:shd w:val="clear" w:color="auto" w:fill="FFFFFF"/>
        </w:rPr>
        <w:t>he average age of the Italian population is 46.7 years, which is 7 years older than that of China</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{"citationItems":[{"id":"ITEM-1","itemData":{"DOI":"10.3892/mmr.2020.11079","ISSN":"17913004","PMID":"32319647","abstract":"Italy is currently one of the countries seriously affected by the COVID-19 pandemic. As per 10 April 2020, 147,577 people were found positive in a total of 906,864 tests performed and 18,849 people lost their lives. Among all cases, 70.2% of positive, and 79.4% of deaths occurred in the provinces of Northern Italy (Lombardi, Emilia Romagna, Veneto and Piemonte), where the outbreak first started. Originally, it was considered that the high number of positive cases and deaths in Italy resulted from COVID-19 initially coming to Italy from China, its presumed country of origin. However, an analysis of the factors that played a role in the extent of this outbreak is needed. Evaluating which factors could be specific for a country and which might contribute the most is nevertheless complex, with accompanying high uncertainty. The purpose of this work is to discuss some of the possible contributing factors and their possible role in the relatively high infection and death rates in Northern Italy compared to other areas and countries.","author":[{"dropping-particle":"","family":"Goumenou","given":"Marina","non-dropping-particle":"","parse-names":false,"suffix":""},{"dropping-particle":"","family":"Sarigiannis","given":"Dimosthenis","non-dropping-particle":"","parse-names":false,"suffix":""},{"dropping-particle":"","family":"Tsatsakis","given":"Aristidis","non-dropping-particle":"","parse-names":false,"suffix":""},{"dropping-particle":"","family":"Anesti","given":"Ourania","non-dropping-particle":"","parse-names":false,"suffix":""},{"dropping-particle":"","family":"Docea","given":"Anca Oana","non-dropping-particle":"","parse-names":false,"suffix":""},{"dropping-particle":"","family":"Petrakis","given":"Dimitrios","non-dropping-particle":"","parse-names":false,"suffix":""},{"dropping-particle":"","family":"Tsoukalas","given":"Dimitris","non-dropping-particle":"","parse-names":false,"suffix":""},{"dropping-particle":"","family":"Kostoff","given":"Ronald","non-dropping-particle":"","parse-names":false,"suffix":""},{"dropping-particle":"","family":"Rakitskii","given":"Valeri","non-dropping-particle":"","parse-names":false,"suffix":""},{"dropping-particle":"","family":"Spandidos","given":"Demetrios A.","non-dropping-particle":"","parse-names":false,"suffix":""},{"dropping-particle":"","family":"Aschner","given":"Michael","non-dropping-particle":"","parse-names":false,"suffix":""},{"dropping-particle":"","family":"Calina","given":"Daniela","non-dropping-particle":"","parse-names":false,"suffix":""}],"container-title":"Molecular Medicine Reports","id":"ITEM-1","issue":"1","issued":{"date-parts":[["2020"]]},"page":"20-32","title":"Covid</w:instrText>
      </w:r>
      <w:r w:rsidR="00693DD5">
        <w:rPr>
          <w:rFonts w:ascii="Cambria Math" w:hAnsi="Cambria Math" w:cs="Cambria Math"/>
          <w:sz w:val="22"/>
          <w:szCs w:val="22"/>
          <w:shd w:val="clear" w:color="auto" w:fill="FFFFFF"/>
        </w:rPr>
        <w:instrText>‑</w:instrText>
      </w:r>
      <w:r w:rsidR="00693DD5">
        <w:rPr>
          <w:rFonts w:asciiTheme="minorHAnsi" w:hAnsiTheme="minorHAnsi" w:cstheme="minorHAnsi"/>
          <w:sz w:val="22"/>
          <w:szCs w:val="22"/>
          <w:shd w:val="clear" w:color="auto" w:fill="FFFFFF"/>
        </w:rPr>
        <w:instrText>19 in Northern Italy: An integrative overview of factors possibly influencing the sharp increase of the outbreak (Review)","type":"article-journal","volume":"22"},"uris":["http://www.mendeley.com/documents/?uuid=23723188-25b1-487a-b58d-68a09803b7da"]}],"mendeley":{"formattedCitation":"(24)","plainTextFormattedCitation":"(24)","previouslyFormattedCitation":"(24)"},"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(24)</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w:t>
      </w:r>
      <w:r w:rsidR="00271A3B" w:rsidRPr="004B0BC2">
        <w:rPr>
          <w:rFonts w:asciiTheme="minorHAnsi" w:hAnsiTheme="minorHAnsi" w:cstheme="minorHAnsi"/>
          <w:sz w:val="22"/>
          <w:szCs w:val="22"/>
          <w:shd w:val="clear" w:color="auto" w:fill="FFFFFF"/>
        </w:rPr>
        <w:t xml:space="preserve"> </w:t>
      </w:r>
      <w:r w:rsidR="006B4EC8">
        <w:rPr>
          <w:rFonts w:asciiTheme="minorHAnsi" w:hAnsiTheme="minorHAnsi" w:cstheme="minorHAnsi"/>
          <w:sz w:val="22"/>
          <w:szCs w:val="22"/>
          <w:shd w:val="clear" w:color="auto" w:fill="FFFFFF"/>
        </w:rPr>
        <w:t xml:space="preserve">A study </w:t>
      </w:r>
      <w:r w:rsidRPr="004B0BC2">
        <w:rPr>
          <w:rFonts w:asciiTheme="minorHAnsi" w:hAnsiTheme="minorHAnsi" w:cstheme="minorHAnsi"/>
          <w:sz w:val="22"/>
          <w:szCs w:val="22"/>
          <w:shd w:val="clear" w:color="auto" w:fill="FFFFFF"/>
        </w:rPr>
        <w:t>compar</w:t>
      </w:r>
      <w:r w:rsidR="006B4EC8">
        <w:rPr>
          <w:rFonts w:asciiTheme="minorHAnsi" w:hAnsiTheme="minorHAnsi" w:cstheme="minorHAnsi"/>
          <w:sz w:val="22"/>
          <w:szCs w:val="22"/>
          <w:shd w:val="clear" w:color="auto" w:fill="FFFFFF"/>
        </w:rPr>
        <w:t>ing</w:t>
      </w:r>
      <w:r w:rsidRPr="004B0BC2">
        <w:rPr>
          <w:rFonts w:asciiTheme="minorHAnsi" w:hAnsiTheme="minorHAnsi" w:cstheme="minorHAnsi"/>
          <w:sz w:val="22"/>
          <w:szCs w:val="22"/>
          <w:shd w:val="clear" w:color="auto" w:fill="FFFFFF"/>
        </w:rPr>
        <w:t xml:space="preserve"> mortality rate</w:t>
      </w:r>
      <w:r w:rsidR="00F532A8" w:rsidRPr="004B0BC2">
        <w:rPr>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xml:space="preserve"> by age group in China and Italy reported that 52.3% of the total deaths (n=850) in Italy occurred in those aged ≥80</w:t>
      </w:r>
      <w:r w:rsidR="006B4EC8">
        <w:rPr>
          <w:rFonts w:asciiTheme="minorHAnsi" w:hAnsiTheme="minorHAnsi" w:cstheme="minorHAnsi"/>
          <w:sz w:val="22"/>
          <w:szCs w:val="22"/>
          <w:shd w:val="clear" w:color="auto" w:fill="FFFFFF"/>
        </w:rPr>
        <w:t xml:space="preserve"> years, whereas</w:t>
      </w:r>
      <w:r w:rsidRPr="004B0BC2">
        <w:rPr>
          <w:rFonts w:asciiTheme="minorHAnsi" w:hAnsiTheme="minorHAnsi" w:cstheme="minorHAnsi"/>
          <w:sz w:val="22"/>
          <w:szCs w:val="22"/>
          <w:shd w:val="clear" w:color="auto" w:fill="FFFFFF"/>
        </w:rPr>
        <w:t xml:space="preserve"> this age group only accounted for 20.3% (n=208) of deaths in China</w:t>
      </w:r>
      <w:r w:rsidR="006B4EC8"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10.1001/jama.2020.4683","ISSN":"15383598","PMID":"32203977","author":[{"dropping-particle":"","family":"Onder","given":"Graziano","non-dropping-particle":"","parse-names":false,"suffix":""},{"dropping-particle":"","family":"Rezza","given":"Giovanni","non-dropping-particle":"","parse-names":false,"suffix":""},{"dropping-particle":"","family":"Brusaferro","given":"Silvio","non-dropping-particle":"","parse-names":false,"suffix":""}],"container-title":"JAMA - Journal of the American Medical Association","id":"ITEM-1","issue":"18","issued":{"date-parts":[["2020"]]},"page":"1775-1776","title":"Case-Fatality Rate and Characteristics of Patients Dying in Relation to COVID-19 in Italy","type":"article-journal","volume":"323"},"uris":["http://www.mendeley.com/documents/?uuid=4f1fc119-4426-4d1c-b747-b19ff7b66a10"]}],"mendeley":{"formattedCitation":"(25)","plainTextFormattedCitation":"(25)","previouslyFormattedCitation":"(25)"},"properties":{"noteIndex":0},"schema":"https://github.com/citation-style-language/schema/raw/master/csl-citation.json"}</w:instrText>
      </w:r>
      <w:r w:rsidR="006B4EC8"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(25)</w:t>
      </w:r>
      <w:r w:rsidR="006B4EC8"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w:t>
      </w:r>
      <w:r w:rsidR="009860AE">
        <w:rPr>
          <w:rFonts w:asciiTheme="minorHAnsi" w:hAnsiTheme="minorHAnsi" w:cstheme="minorHAnsi"/>
          <w:sz w:val="22"/>
          <w:szCs w:val="22"/>
          <w:shd w:val="clear" w:color="auto" w:fill="FFFFFF"/>
        </w:rPr>
        <w:t xml:space="preserve"> </w:t>
      </w:r>
      <w:r w:rsidR="007D1D58">
        <w:rPr>
          <w:rFonts w:asciiTheme="minorHAnsi" w:hAnsiTheme="minorHAnsi" w:cstheme="minorHAnsi"/>
          <w:sz w:val="22"/>
          <w:szCs w:val="22"/>
          <w:shd w:val="clear" w:color="auto" w:fill="FFFFFF"/>
        </w:rPr>
        <w:t>Th</w:t>
      </w:r>
      <w:r w:rsidR="009D7862">
        <w:rPr>
          <w:rFonts w:asciiTheme="minorHAnsi" w:hAnsiTheme="minorHAnsi" w:cstheme="minorHAnsi"/>
          <w:sz w:val="22"/>
          <w:szCs w:val="22"/>
          <w:shd w:val="clear" w:color="auto" w:fill="FFFFFF"/>
        </w:rPr>
        <w:t>ese data</w:t>
      </w:r>
      <w:r w:rsidR="007D1D58">
        <w:rPr>
          <w:rFonts w:asciiTheme="minorHAnsi" w:hAnsiTheme="minorHAnsi" w:cstheme="minorHAnsi"/>
          <w:sz w:val="22"/>
          <w:szCs w:val="22"/>
          <w:shd w:val="clear" w:color="auto" w:fill="FFFFFF"/>
        </w:rPr>
        <w:t xml:space="preserve"> suggest that</w:t>
      </w:r>
      <w:r w:rsidR="001118F9">
        <w:rPr>
          <w:rFonts w:asciiTheme="minorHAnsi" w:hAnsiTheme="minorHAnsi" w:cstheme="minorHAnsi"/>
          <w:sz w:val="22"/>
          <w:szCs w:val="22"/>
          <w:shd w:val="clear" w:color="auto" w:fill="FFFFFF"/>
        </w:rPr>
        <w:t xml:space="preserve"> Italy had a higher COVID-19 mortality rate than China because the Italian population was older than that of China and increasing age is a risk for COVID-19 death. </w:t>
      </w:r>
    </w:p>
    <w:p w14:paraId="39097542" w14:textId="04057D5C" w:rsidR="003C2B02" w:rsidRPr="004B0BC2" w:rsidRDefault="003C2B02" w:rsidP="00B66369">
      <w:pPr>
        <w:spacing w:line="480" w:lineRule="auto"/>
        <w:rPr>
          <w:rFonts w:asciiTheme="minorHAnsi" w:hAnsiTheme="minorHAnsi" w:cstheme="minorHAnsi"/>
          <w:sz w:val="22"/>
          <w:szCs w:val="22"/>
          <w:shd w:val="clear" w:color="auto" w:fill="FFFFFF"/>
        </w:rPr>
      </w:pPr>
      <w:r w:rsidRPr="004B0BC2">
        <w:rPr>
          <w:rFonts w:asciiTheme="minorHAnsi" w:hAnsiTheme="minorHAnsi" w:cstheme="minorHAnsi"/>
          <w:sz w:val="22"/>
          <w:szCs w:val="22"/>
        </w:rPr>
        <w:t>Differences in health</w:t>
      </w:r>
      <w:r w:rsidR="006B4EC8">
        <w:rPr>
          <w:rFonts w:asciiTheme="minorHAnsi" w:hAnsiTheme="minorHAnsi" w:cstheme="minorHAnsi"/>
          <w:sz w:val="22"/>
          <w:szCs w:val="22"/>
        </w:rPr>
        <w:t>-</w:t>
      </w:r>
      <w:r w:rsidRPr="004B0BC2">
        <w:rPr>
          <w:rFonts w:asciiTheme="minorHAnsi" w:hAnsiTheme="minorHAnsi" w:cstheme="minorHAnsi"/>
          <w:sz w:val="22"/>
          <w:szCs w:val="22"/>
        </w:rPr>
        <w:t>care systems and polices m</w:t>
      </w:r>
      <w:r w:rsidR="006B4EC8">
        <w:rPr>
          <w:rFonts w:asciiTheme="minorHAnsi" w:hAnsiTheme="minorHAnsi" w:cstheme="minorHAnsi"/>
          <w:sz w:val="22"/>
          <w:szCs w:val="22"/>
        </w:rPr>
        <w:t>ight</w:t>
      </w:r>
      <w:r w:rsidRPr="004B0BC2">
        <w:rPr>
          <w:rFonts w:asciiTheme="minorHAnsi" w:hAnsiTheme="minorHAnsi" w:cstheme="minorHAnsi"/>
          <w:sz w:val="22"/>
          <w:szCs w:val="22"/>
        </w:rPr>
        <w:t xml:space="preserve"> have</w:t>
      </w:r>
      <w:r w:rsidR="00F47E38" w:rsidRPr="004B0BC2">
        <w:rPr>
          <w:rFonts w:asciiTheme="minorHAnsi" w:hAnsiTheme="minorHAnsi" w:cstheme="minorHAnsi"/>
          <w:sz w:val="22"/>
          <w:szCs w:val="22"/>
        </w:rPr>
        <w:t xml:space="preserve"> also</w:t>
      </w:r>
      <w:r w:rsidRPr="004B0BC2">
        <w:rPr>
          <w:rFonts w:asciiTheme="minorHAnsi" w:hAnsiTheme="minorHAnsi" w:cstheme="minorHAnsi"/>
          <w:sz w:val="22"/>
          <w:szCs w:val="22"/>
        </w:rPr>
        <w:t xml:space="preserve"> contributed to the higher mortality rate in Italy compared</w:t>
      </w:r>
      <w:r w:rsidR="006B4EC8">
        <w:rPr>
          <w:rFonts w:asciiTheme="minorHAnsi" w:hAnsiTheme="minorHAnsi" w:cstheme="minorHAnsi"/>
          <w:sz w:val="22"/>
          <w:szCs w:val="22"/>
        </w:rPr>
        <w:t xml:space="preserve"> with</w:t>
      </w:r>
      <w:r w:rsidRPr="004B0BC2">
        <w:rPr>
          <w:rFonts w:asciiTheme="minorHAnsi" w:hAnsiTheme="minorHAnsi" w:cstheme="minorHAnsi"/>
          <w:sz w:val="22"/>
          <w:szCs w:val="22"/>
        </w:rPr>
        <w:t xml:space="preserve"> China</w:t>
      </w:r>
      <w:r w:rsidR="001118F9">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rPr>
        <w:t>Italy had a much higher number of reported cases than China (219,070 v</w:t>
      </w:r>
      <w:r w:rsidR="006B4EC8">
        <w:rPr>
          <w:rFonts w:asciiTheme="minorHAnsi" w:hAnsiTheme="minorHAnsi" w:cstheme="minorHAnsi"/>
          <w:sz w:val="22"/>
          <w:szCs w:val="22"/>
        </w:rPr>
        <w:t>ersu</w:t>
      </w:r>
      <w:r w:rsidRPr="004B0BC2">
        <w:rPr>
          <w:rFonts w:asciiTheme="minorHAnsi" w:hAnsiTheme="minorHAnsi" w:cstheme="minorHAnsi"/>
          <w:sz w:val="22"/>
          <w:szCs w:val="22"/>
        </w:rPr>
        <w:t>s 82,</w:t>
      </w:r>
      <w:r w:rsidRPr="008025B4">
        <w:rPr>
          <w:rFonts w:asciiTheme="minorHAnsi" w:hAnsiTheme="minorHAnsi" w:cstheme="minorHAnsi"/>
          <w:sz w:val="22"/>
          <w:szCs w:val="22"/>
        </w:rPr>
        <w:t>918</w:t>
      </w:r>
      <w:r w:rsidR="006B4EC8" w:rsidRPr="008025B4">
        <w:rPr>
          <w:rFonts w:asciiTheme="minorHAnsi" w:hAnsiTheme="minorHAnsi" w:cstheme="minorHAnsi"/>
          <w:sz w:val="22"/>
          <w:szCs w:val="22"/>
        </w:rPr>
        <w:t xml:space="preserve"> </w:t>
      </w:r>
      <w:r w:rsidR="001118F9" w:rsidRPr="000242C7">
        <w:rPr>
          <w:rFonts w:asciiTheme="minorHAnsi" w:hAnsiTheme="minorHAnsi" w:cstheme="minorHAnsi"/>
          <w:sz w:val="22"/>
          <w:szCs w:val="22"/>
        </w:rPr>
        <w:t xml:space="preserve">in the time period </w:t>
      </w:r>
      <w:r w:rsidR="00A83DA4" w:rsidRPr="000242C7">
        <w:rPr>
          <w:rFonts w:asciiTheme="minorHAnsi" w:hAnsiTheme="minorHAnsi" w:cstheme="minorHAnsi"/>
          <w:sz w:val="22"/>
          <w:szCs w:val="22"/>
        </w:rPr>
        <w:t>31</w:t>
      </w:r>
      <w:r w:rsidR="008025B4" w:rsidRPr="000242C7">
        <w:rPr>
          <w:rFonts w:asciiTheme="minorHAnsi" w:hAnsiTheme="minorHAnsi" w:cstheme="minorHAnsi"/>
          <w:sz w:val="22"/>
          <w:szCs w:val="22"/>
          <w:vertAlign w:val="superscript"/>
        </w:rPr>
        <w:t>st</w:t>
      </w:r>
      <w:r w:rsidR="008025B4">
        <w:rPr>
          <w:rFonts w:asciiTheme="minorHAnsi" w:hAnsiTheme="minorHAnsi" w:cstheme="minorHAnsi"/>
          <w:sz w:val="22"/>
          <w:szCs w:val="22"/>
        </w:rPr>
        <w:t xml:space="preserve"> December 20</w:t>
      </w:r>
      <w:r w:rsidR="00A83DA4" w:rsidRPr="000242C7">
        <w:rPr>
          <w:rFonts w:asciiTheme="minorHAnsi" w:hAnsiTheme="minorHAnsi" w:cstheme="minorHAnsi"/>
          <w:sz w:val="22"/>
          <w:szCs w:val="22"/>
        </w:rPr>
        <w:t>19</w:t>
      </w:r>
      <w:r w:rsidR="008025B4">
        <w:rPr>
          <w:rFonts w:asciiTheme="minorHAnsi" w:hAnsiTheme="minorHAnsi" w:cstheme="minorHAnsi"/>
          <w:sz w:val="22"/>
          <w:szCs w:val="22"/>
        </w:rPr>
        <w:t xml:space="preserve"> to </w:t>
      </w:r>
      <w:r w:rsidR="001118F9" w:rsidRPr="000242C7">
        <w:rPr>
          <w:rFonts w:asciiTheme="minorHAnsi" w:hAnsiTheme="minorHAnsi" w:cstheme="minorHAnsi"/>
          <w:sz w:val="22"/>
          <w:szCs w:val="22"/>
        </w:rPr>
        <w:t>10</w:t>
      </w:r>
      <w:r w:rsidR="008025B4" w:rsidRPr="000242C7">
        <w:rPr>
          <w:rFonts w:asciiTheme="minorHAnsi" w:hAnsiTheme="minorHAnsi" w:cstheme="minorHAnsi"/>
          <w:sz w:val="22"/>
          <w:szCs w:val="22"/>
          <w:vertAlign w:val="superscript"/>
        </w:rPr>
        <w:t>th</w:t>
      </w:r>
      <w:r w:rsidR="008025B4">
        <w:rPr>
          <w:rFonts w:asciiTheme="minorHAnsi" w:hAnsiTheme="minorHAnsi" w:cstheme="minorHAnsi"/>
          <w:sz w:val="22"/>
          <w:szCs w:val="22"/>
        </w:rPr>
        <w:t xml:space="preserve"> May 20</w:t>
      </w:r>
      <w:r w:rsidR="001118F9" w:rsidRPr="000242C7">
        <w:rPr>
          <w:rFonts w:asciiTheme="minorHAnsi" w:hAnsiTheme="minorHAnsi" w:cstheme="minorHAnsi"/>
          <w:sz w:val="22"/>
          <w:szCs w:val="22"/>
        </w:rPr>
        <w:t>20</w:t>
      </w:r>
      <w:r w:rsidR="006B4EC8" w:rsidRPr="008025B4">
        <w:rPr>
          <w:rFonts w:asciiTheme="minorHAnsi" w:hAnsiTheme="minorHAnsi" w:cstheme="minorHAnsi"/>
          <w:sz w:val="22"/>
          <w:szCs w:val="22"/>
        </w:rPr>
        <w:t xml:space="preserve"> </w:t>
      </w:r>
      <w:r w:rsidRPr="008025B4">
        <w:rPr>
          <w:rFonts w:asciiTheme="minorHAnsi" w:hAnsiTheme="minorHAnsi" w:cstheme="minorHAnsi"/>
          <w:sz w:val="22"/>
          <w:szCs w:val="22"/>
        </w:rPr>
        <w:fldChar w:fldCharType="begin" w:fldLock="1"/>
      </w:r>
      <w:r w:rsidR="00693DD5" w:rsidRPr="008025B4">
        <w:rPr>
          <w:rFonts w:asciiTheme="minorHAnsi" w:hAnsiTheme="minorHAnsi" w:cstheme="minorHAnsi"/>
          <w:sz w:val="22"/>
          <w:szCs w:val="22"/>
        </w:rPr>
        <w:instrText>ADDIN CSL_CITATION {"citationItems":[{"id":"ITEM-1","itemData":{"DOI":"10.1038/s41419-020-2603-0","ISSN":"20414889","PMID":"32513951","abstract":"The severe acute respiratory syndrome coronavirus 2 (SARS-CoV-2) is responsible for the COVID-19 pandemic. Since its first report in December 2019, despite great efforts made in almost every country worldwide, this disease continues to spread globally, especially in most parts of Europe, Iran, and the United States. Here, we update the recent understanding in clinical characteristics, diagnosis strategies, as well as clinical management of COVID-19 in China as compared to Italy, with the purpose to integrate the China experience with the global efforts to outline references for prevention, basic research, treatment as well as final control of the disease. Being the first two countries we feel appropriate to evaluate the evolution of the disease as well as the early result of the treatment, in order to offer a different baseline to other countries. It is also interesting to compare two countries, with a very significant difference in population, where the morbidity and mortality has been so different, and unrelated to the size of the country.","author":[{"dropping-particle":"","family":"Chen","given":"Jun","non-dropping-particle":"","parse-names":false,"suffix":""},{"dropping-particle":"","family":"Lu","given":"Hongzhou","non-dropping-particle":"","parse-names":false,"suffix":""},{"dropping-particle":"","family":"Melino","given":"Gerry","non-dropping-particle":"","parse-names":false,"suffix":""},{"dropping-particle":"","family":"Boccia","given":"Stefania","non-dropping-particle":"","parse-names":false,"suffix":""},{"dropping-particle":"","family":"Piacentini","given":"Mauro","non-dropping-particle":"","parse-names":false,"suffix":""},{"dropping-particle":"","family":"Ricciardi","given":"Walter","non-dropping-particle":"","parse-names":false,"suffix":""},{"dropping-particle":"","family":"Wang","given":"Ying","non-dropping-particle":"","parse-names":false,"suffix":""},{"dropping-particle":"","family":"Shi","given":"Yufang","non-dropping-particle":"","parse-names":false,"suffix":""},{"dropping-particle":"","family":"Zhu","given":"Tongyu","non-dropping-particle":"","parse-names":false,"suffix":""}],"container-title":"Cell Death and Disease","id":"ITEM-1","issue":"438","issued":{"date-parts":[["2020"]]},"page":"1-17","title":"COVID-19 infection: the China and Italy perspectives","type":"article-journal","volume":"11"},"uris":["http://www.mendeley.com/documents/?uuid=62c1d6c8-1083-4736-957e-d49c6a0aff55"]}],"mendeley":{"formattedCitation":"(26)","plainTextFormattedCitation":"(26)","previouslyFormattedCitation":"(26)"},"properties":{"noteIndex":0},"schema":"https://github.com/citation-style-language/schema/raw/master/csl-citation.json"}</w:instrText>
      </w:r>
      <w:r w:rsidRPr="008025B4">
        <w:rPr>
          <w:rFonts w:asciiTheme="minorHAnsi" w:hAnsiTheme="minorHAnsi" w:cstheme="minorHAnsi"/>
          <w:sz w:val="22"/>
          <w:szCs w:val="22"/>
        </w:rPr>
        <w:fldChar w:fldCharType="separate"/>
      </w:r>
      <w:r w:rsidR="00693DD5" w:rsidRPr="008025B4">
        <w:rPr>
          <w:rFonts w:asciiTheme="minorHAnsi" w:hAnsiTheme="minorHAnsi" w:cstheme="minorHAnsi"/>
          <w:noProof/>
          <w:sz w:val="22"/>
          <w:szCs w:val="22"/>
        </w:rPr>
        <w:t>(26)</w:t>
      </w:r>
      <w:r w:rsidRPr="008025B4">
        <w:rPr>
          <w:rFonts w:asciiTheme="minorHAnsi" w:hAnsiTheme="minorHAnsi" w:cstheme="minorHAnsi"/>
          <w:sz w:val="22"/>
          <w:szCs w:val="22"/>
        </w:rPr>
        <w:fldChar w:fldCharType="end"/>
      </w:r>
      <w:r w:rsidR="006B4EC8">
        <w:rPr>
          <w:rFonts w:asciiTheme="minorHAnsi" w:hAnsiTheme="minorHAnsi" w:cstheme="minorHAnsi"/>
          <w:sz w:val="22"/>
          <w:szCs w:val="22"/>
        </w:rPr>
        <w:t>, which might relate</w:t>
      </w:r>
      <w:r w:rsidRPr="004B0BC2">
        <w:rPr>
          <w:rFonts w:asciiTheme="minorHAnsi" w:hAnsiTheme="minorHAnsi" w:cstheme="minorHAnsi"/>
          <w:sz w:val="22"/>
          <w:szCs w:val="22"/>
        </w:rPr>
        <w:t xml:space="preserve"> the higher number of deaths. Furthermore, </w:t>
      </w:r>
      <w:r w:rsidR="006B4EC8">
        <w:rPr>
          <w:rFonts w:asciiTheme="minorHAnsi" w:hAnsiTheme="minorHAnsi" w:cstheme="minorHAnsi"/>
          <w:sz w:val="22"/>
          <w:szCs w:val="22"/>
        </w:rPr>
        <w:t xml:space="preserve">in Italy, </w:t>
      </w:r>
      <w:r w:rsidRPr="004B0BC2">
        <w:rPr>
          <w:rFonts w:asciiTheme="minorHAnsi" w:hAnsiTheme="minorHAnsi" w:cstheme="minorHAnsi"/>
          <w:sz w:val="22"/>
          <w:szCs w:val="22"/>
        </w:rPr>
        <w:t>the high number of cases overwhelmed the health</w:t>
      </w:r>
      <w:r w:rsidR="006B4EC8">
        <w:rPr>
          <w:rFonts w:asciiTheme="minorHAnsi" w:hAnsiTheme="minorHAnsi" w:cstheme="minorHAnsi"/>
          <w:sz w:val="22"/>
          <w:szCs w:val="22"/>
        </w:rPr>
        <w:t>-</w:t>
      </w:r>
      <w:r w:rsidRPr="004B0BC2">
        <w:rPr>
          <w:rFonts w:asciiTheme="minorHAnsi" w:hAnsiTheme="minorHAnsi" w:cstheme="minorHAnsi"/>
          <w:sz w:val="22"/>
          <w:szCs w:val="22"/>
        </w:rPr>
        <w:t xml:space="preserve">care systems in </w:t>
      </w:r>
      <w:r w:rsidR="006B4EC8">
        <w:rPr>
          <w:rFonts w:asciiTheme="minorHAnsi" w:hAnsiTheme="minorHAnsi" w:cstheme="minorHAnsi"/>
          <w:sz w:val="22"/>
          <w:szCs w:val="22"/>
        </w:rPr>
        <w:t xml:space="preserve">the worse </w:t>
      </w:r>
      <w:r w:rsidRPr="004B0BC2">
        <w:rPr>
          <w:rFonts w:asciiTheme="minorHAnsi" w:hAnsiTheme="minorHAnsi" w:cstheme="minorHAnsi"/>
          <w:sz w:val="22"/>
          <w:szCs w:val="22"/>
        </w:rPr>
        <w:t xml:space="preserve">affected </w:t>
      </w:r>
      <w:r w:rsidR="00C35232" w:rsidRPr="004B0BC2">
        <w:rPr>
          <w:rFonts w:asciiTheme="minorHAnsi" w:hAnsiTheme="minorHAnsi" w:cstheme="minorHAnsi"/>
          <w:sz w:val="22"/>
          <w:szCs w:val="22"/>
        </w:rPr>
        <w:t>regions</w:t>
      </w:r>
      <w:r w:rsidRPr="004B0BC2">
        <w:rPr>
          <w:rFonts w:asciiTheme="minorHAnsi" w:hAnsiTheme="minorHAnsi" w:cstheme="minorHAnsi"/>
          <w:sz w:val="22"/>
          <w:szCs w:val="22"/>
        </w:rPr>
        <w:t xml:space="preserve"> </w:t>
      </w:r>
      <w:r w:rsidR="006B4EC8">
        <w:rPr>
          <w:rFonts w:asciiTheme="minorHAnsi" w:hAnsiTheme="minorHAnsi" w:cstheme="minorHAnsi"/>
          <w:sz w:val="22"/>
          <w:szCs w:val="22"/>
        </w:rPr>
        <w:t>of the country,</w:t>
      </w:r>
      <w:r w:rsidRPr="004B0BC2">
        <w:rPr>
          <w:rFonts w:asciiTheme="minorHAnsi" w:hAnsiTheme="minorHAnsi" w:cstheme="minorHAnsi"/>
          <w:sz w:val="22"/>
          <w:szCs w:val="22"/>
        </w:rPr>
        <w:t xml:space="preserve"> reducing </w:t>
      </w:r>
      <w:r w:rsidR="006B4EC8">
        <w:rPr>
          <w:rFonts w:asciiTheme="minorHAnsi" w:hAnsiTheme="minorHAnsi" w:cstheme="minorHAnsi"/>
          <w:sz w:val="22"/>
          <w:szCs w:val="22"/>
        </w:rPr>
        <w:t xml:space="preserve">the available </w:t>
      </w:r>
      <w:r w:rsidRPr="004B0BC2">
        <w:rPr>
          <w:rFonts w:asciiTheme="minorHAnsi" w:hAnsiTheme="minorHAnsi" w:cstheme="minorHAnsi"/>
          <w:sz w:val="22"/>
          <w:szCs w:val="22"/>
        </w:rPr>
        <w:t xml:space="preserve">resources for those </w:t>
      </w:r>
      <w:r w:rsidR="006B4EC8">
        <w:rPr>
          <w:rFonts w:asciiTheme="minorHAnsi" w:hAnsiTheme="minorHAnsi" w:cstheme="minorHAnsi"/>
          <w:sz w:val="22"/>
          <w:szCs w:val="22"/>
        </w:rPr>
        <w:t xml:space="preserve">patients who were </w:t>
      </w:r>
      <w:r w:rsidRPr="004B0BC2">
        <w:rPr>
          <w:rFonts w:asciiTheme="minorHAnsi" w:hAnsiTheme="minorHAnsi" w:cstheme="minorHAnsi"/>
          <w:sz w:val="22"/>
          <w:szCs w:val="22"/>
        </w:rPr>
        <w:t>unwell with COVID-19</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{"citationItems":[{"id":"ITEM-1","itemData":{"DOI":"10.3892/mmr.2020.11079","ISSN":"17913004","PMID":"32319647","abstract":"Italy is currently one of the countries seriously affected by the COVID-19 pandemic. As per 10 April 2020, 147,577 people were found positive in a total of 906,864 tests performed and 18,849 people lost their lives. Among all cases, 70.2% of positive, and 79.4% of deaths occurred in the provinces of Northern Italy (Lombardi, Emilia Romagna, Veneto and Piemonte), where the outbreak first started. Originally, it was considered that the high number of positive cases and deaths in Italy resulted from COVID-19 initially coming to Italy from China, its presumed country of origin. However, an analysis of the factors that played a role in the extent of this outbreak is needed. Evaluating which factors could be specific for a country and which might contribute the most is nevertheless complex, with accompanying high uncertainty. The purpose of this work is to discuss some of the possible contributing factors and their possible role in the relatively high infection and death rates in Northern Italy compared to other areas and countries.","author":[{"dropping-particle":"","family":"Goumenou","given":"Marina","non-dropping-particle":"","parse-names":false,"suffix":""},{"dropping-particle":"","family":"Sarigiannis","given":"Dimosthenis","non-dropping-particle":"","parse-names":false,"suffix":""},{"dropping-particle":"","family":"Tsatsakis","given":"Aristidis","non-dropping-particle":"","parse-names":false,"suffix":""},{"dropping-particle":"","family":"Anesti","given":"Ourania","non-dropping-particle":"","parse-names":false,"suffix":""},{"dropping-particle":"","family":"Docea","given":"Anca Oana","non-dropping-particle":"","parse-names":false,"suffix":""},{"dropping-particle":"","family":"Petrakis","given":"Dimitrios","non-dropping-particle":"","parse-names":false,"suffix":""},{"dropping-particle":"","family":"Tsoukalas","given":"Dimitris","non-dropping-particle":"","parse-names":false,"suffix":""},{"dropping-particle":"","family":"Kostoff","given":"Ronald","non-dropping-particle":"","parse-names":false,"suffix":""},{"dropping-particle":"","family":"Rakitskii","given":"Valeri","non-dropping-particle":"","parse-names":false,"suffix":""},{"dropping-particle":"","family":"Spandidos","given":"Demetrios A.","non-dropping-particle":"","parse-names":false,"suffix":""},{"dropping-particle":"","family":"Aschner","given":"Michael","non-dropping-particle":"","parse-names":false,"suffix":""},{"dropping-particle":"","family":"Calina","given":"Daniela","non-dropping-particle":"","parse-names":false,"suffix":""}],"container-title":"Molecular Medicine Reports","id":"ITEM-1","issue":"1","issued":{"date-parts":[["2020"]]},"page":"20-32","title":"Covid</w:instrText>
      </w:r>
      <w:r w:rsidR="00693DD5">
        <w:rPr>
          <w:rFonts w:ascii="Cambria Math" w:hAnsi="Cambria Math" w:cs="Cambria Math"/>
          <w:sz w:val="22"/>
          <w:szCs w:val="22"/>
        </w:rPr>
        <w:instrText>‑</w:instrText>
      </w:r>
      <w:r w:rsidR="00693DD5">
        <w:rPr>
          <w:rFonts w:asciiTheme="minorHAnsi" w:hAnsiTheme="minorHAnsi" w:cstheme="minorHAnsi"/>
          <w:sz w:val="22"/>
          <w:szCs w:val="22"/>
        </w:rPr>
        <w:instrText>19 in Northern Italy: An integrative overview of factors possibly influencing the sharp increase of the outbreak (Review)","type":"article-journal","volume":"22"},"uris":["http://www.mendeley.com/documents/?uuid=23723188-25b1-487a-b58d-68a09803b7da"]}],"mendeley":{"formattedCitation":"(24)","plainTextFormattedCitation":"(24)","previouslyFormattedCitation":"(24)"},"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(24)</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 xml:space="preserve">. The </w:t>
      </w:r>
      <w:r w:rsidR="006B4EC8">
        <w:rPr>
          <w:rFonts w:asciiTheme="minorHAnsi" w:hAnsiTheme="minorHAnsi" w:cstheme="minorHAnsi"/>
          <w:sz w:val="22"/>
          <w:szCs w:val="22"/>
        </w:rPr>
        <w:t>increased</w:t>
      </w:r>
      <w:r w:rsidRPr="004B0BC2">
        <w:rPr>
          <w:rFonts w:asciiTheme="minorHAnsi" w:hAnsiTheme="minorHAnsi" w:cstheme="minorHAnsi"/>
          <w:sz w:val="22"/>
          <w:szCs w:val="22"/>
        </w:rPr>
        <w:t xml:space="preserve"> number of cases in Italy compared </w:t>
      </w:r>
      <w:r w:rsidR="006B4EC8">
        <w:rPr>
          <w:rFonts w:asciiTheme="minorHAnsi" w:hAnsiTheme="minorHAnsi" w:cstheme="minorHAnsi"/>
          <w:sz w:val="22"/>
          <w:szCs w:val="22"/>
        </w:rPr>
        <w:t xml:space="preserve">with </w:t>
      </w:r>
      <w:r w:rsidRPr="004B0BC2">
        <w:rPr>
          <w:rFonts w:asciiTheme="minorHAnsi" w:hAnsiTheme="minorHAnsi" w:cstheme="minorHAnsi"/>
          <w:sz w:val="22"/>
          <w:szCs w:val="22"/>
        </w:rPr>
        <w:t xml:space="preserve">China is likely </w:t>
      </w:r>
      <w:r w:rsidR="006B4EC8">
        <w:rPr>
          <w:rFonts w:asciiTheme="minorHAnsi" w:hAnsiTheme="minorHAnsi" w:cstheme="minorHAnsi"/>
          <w:sz w:val="22"/>
          <w:szCs w:val="22"/>
        </w:rPr>
        <w:t xml:space="preserve">to be </w:t>
      </w:r>
      <w:r w:rsidRPr="004B0BC2">
        <w:rPr>
          <w:rFonts w:asciiTheme="minorHAnsi" w:hAnsiTheme="minorHAnsi" w:cstheme="minorHAnsi"/>
          <w:sz w:val="22"/>
          <w:szCs w:val="22"/>
        </w:rPr>
        <w:t>a culmination of political and hea</w:t>
      </w:r>
      <w:r w:rsidR="006B4EC8">
        <w:rPr>
          <w:rFonts w:asciiTheme="minorHAnsi" w:hAnsiTheme="minorHAnsi" w:cstheme="minorHAnsi"/>
          <w:sz w:val="22"/>
          <w:szCs w:val="22"/>
        </w:rPr>
        <w:t>l</w:t>
      </w:r>
      <w:r w:rsidRPr="004B0BC2">
        <w:rPr>
          <w:rFonts w:asciiTheme="minorHAnsi" w:hAnsiTheme="minorHAnsi" w:cstheme="minorHAnsi"/>
          <w:sz w:val="22"/>
          <w:szCs w:val="22"/>
        </w:rPr>
        <w:t>th</w:t>
      </w:r>
      <w:r w:rsidR="006B4EC8">
        <w:rPr>
          <w:rFonts w:asciiTheme="minorHAnsi" w:hAnsiTheme="minorHAnsi" w:cstheme="minorHAnsi"/>
          <w:sz w:val="22"/>
          <w:szCs w:val="22"/>
        </w:rPr>
        <w:t>-</w:t>
      </w:r>
      <w:r w:rsidRPr="004B0BC2">
        <w:rPr>
          <w:rFonts w:asciiTheme="minorHAnsi" w:hAnsiTheme="minorHAnsi" w:cstheme="minorHAnsi"/>
          <w:sz w:val="22"/>
          <w:szCs w:val="22"/>
        </w:rPr>
        <w:t>care policies. Soon after the outbreak of COVID-19, the Chinese government enforced a lockdown of the city of Wuhan and other cities in the Hubei province, employed a travel quarantine, postponed reopening of schools and set up temperature screening checkpoints</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{"citationItems":[{"id":"ITEM-1","itemData":{"DOI":"10.1016/j.cjca.2020.04.010","ISSN":"0828282X","PMID":"32439306","abstract":"With more than 1,800,000 cases and 110,000 deaths globally, COVID-19 is one of worst infectious disease outbreaks in history. This paper provides a critical review of the available evidence regarding the lessons learned from the Chinese experience with COVID-19 prevention and management. The steps that have led to a near disappearance of new cases in China included rapid sequencing of the virus to establish testing kits, which allowed tracking of infected persons in and out of Wuhan. In addition, aggressive quarantine measures included the complete isolation of Wuhan and then later Hubei Province and the rest of the country, as well as closure of all schools and nonessential businesses. Other measures included the rapid construction of two new hospitals and the establishment of “Fangcang” shelter hospitals. In the absence of a vaccine, the management of COVID-19 included antivirals, high-flow oxygen, mechanical ventilation, corticosteroids, hydroxychloroquine, tocilizumab, interferons, intravenous immunoglobulin, and convalescent plasma infusions. These measures appeared to provide only moderate success. Although some measures have been supported by weak descriptive data, their effectiveness is still unclear pending well controlled clinical trials. In the end, it was the enforcement of drastic quarantine measures that stopped SARS-CoV-2 from spreading. The earlier the implementation, the less likely resources will be depleted. The most critical factors in stopping a pandemic are early recognition of infected individuals, carriers, and contacts and early implementation of quarantine measures with an organised, proactive, and unified strategy at a national level. Delays result in significantly higher death tolls.","author":[{"dropping-particle":"","family":"Peng","given":"Fujun","non-dropping-particle":"","parse-names":false,"suffix":""},{"dropping-particle":"","family":"Tu","given":"Lei","non-dropping-particle":"","parse-names":false,"suffix":""},{"dropping-particle":"","family":"Yang","given":"Yongshi","non-dropping-particle":"","parse-names":false,"suffix":""},{"dropping-particle":"","family":"Hu","given":"Peng","non-dropping-particle":"","parse-names":false,"suffix":""},{"dropping-particle":"","family":"Wang","given":"Runsheng","non-dropping-particle":"","parse-names":false,"suffix":""},{"dropping-particle":"","family":"Hu","given":"Qinyong","non-dropping-particle":"","parse-names":false,"suffix":""},{"dropping-particle":"","family":"Cao","given":"Feng","non-dropping-particle":"","parse-names":false,"suffix":""},{"dropping-particle":"","family":"Jiang","given":"Taijiao","non-dropping-particle":"","parse-names":false,"suffix":""},{"dropping-particle":"","family":"Sun","given":"Jinlyu","non-dropping-particle":"","parse-names":false,"suffix":""},{"dropping-particle":"","family":"Xu","given":"Guogang","non-dropping-particle":"","parse-names":false,"suffix":""},{"dropping-particle":"","family":"Chang","given":"Christopher","non-dropping-particle":"","parse-names":false,"suffix":""}],"container-title":"Canadian Journal of Cardiology","id":"ITEM-1","issue":"6","issued":{"date-parts":[["2020"]]},"page":"915–930","title":"Management and Treatment of COVID-19: The Chinese Experience","type":"article-journal","volume":"36"},"uris":["http://www.mendeley.com/documents/?uuid=0eb9bf96-ab65-4913-af9b-302773120611"]}],"mendeley":{"formattedCitation":"(27)","plainTextFormattedCitation":"(27)","previouslyFormattedCitation":"(27)"},"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(27)</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w:t>
      </w:r>
      <w:r w:rsidR="003C11E1">
        <w:rPr>
          <w:rFonts w:asciiTheme="minorHAnsi" w:hAnsiTheme="minorHAnsi" w:cstheme="minorHAnsi"/>
          <w:sz w:val="22"/>
          <w:szCs w:val="22"/>
        </w:rPr>
        <w:t xml:space="preserve"> </w:t>
      </w:r>
      <w:r w:rsidRPr="004B0BC2">
        <w:rPr>
          <w:rFonts w:asciiTheme="minorHAnsi" w:hAnsiTheme="minorHAnsi" w:cstheme="minorHAnsi"/>
          <w:sz w:val="22"/>
          <w:szCs w:val="22"/>
        </w:rPr>
        <w:t>Moreover, the</w:t>
      </w:r>
      <w:r w:rsidR="00DB3D0C" w:rsidRPr="004B0BC2">
        <w:rPr>
          <w:rFonts w:asciiTheme="minorHAnsi" w:hAnsiTheme="minorHAnsi" w:cstheme="minorHAnsi"/>
          <w:sz w:val="22"/>
          <w:szCs w:val="22"/>
        </w:rPr>
        <w:t xml:space="preserve"> Chinese</w:t>
      </w:r>
      <w:r w:rsidRPr="004B0BC2">
        <w:rPr>
          <w:rFonts w:asciiTheme="minorHAnsi" w:hAnsiTheme="minorHAnsi" w:cstheme="minorHAnsi"/>
          <w:sz w:val="22"/>
          <w:szCs w:val="22"/>
        </w:rPr>
        <w:t xml:space="preserve"> government mandated the use of fac</w:t>
      </w:r>
      <w:r w:rsidR="006B4EC8">
        <w:rPr>
          <w:rFonts w:asciiTheme="minorHAnsi" w:hAnsiTheme="minorHAnsi" w:cstheme="minorHAnsi"/>
          <w:sz w:val="22"/>
          <w:szCs w:val="22"/>
        </w:rPr>
        <w:t>e</w:t>
      </w:r>
      <w:r w:rsidRPr="004B0BC2">
        <w:rPr>
          <w:rFonts w:asciiTheme="minorHAnsi" w:hAnsiTheme="minorHAnsi" w:cstheme="minorHAnsi"/>
          <w:sz w:val="22"/>
          <w:szCs w:val="22"/>
        </w:rPr>
        <w:t xml:space="preserve"> masks in public areas and set up two emergency hospitals </w:t>
      </w:r>
      <w:r w:rsidR="006B4EC8">
        <w:rPr>
          <w:rFonts w:asciiTheme="minorHAnsi" w:hAnsiTheme="minorHAnsi" w:cstheme="minorHAnsi"/>
          <w:sz w:val="22"/>
          <w:szCs w:val="22"/>
        </w:rPr>
        <w:t>that</w:t>
      </w:r>
      <w:r w:rsidRPr="004B0BC2">
        <w:rPr>
          <w:rFonts w:asciiTheme="minorHAnsi" w:hAnsiTheme="minorHAnsi" w:cstheme="minorHAnsi"/>
          <w:sz w:val="22"/>
          <w:szCs w:val="22"/>
        </w:rPr>
        <w:t xml:space="preserve"> provided 2,400 beds</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{"citationItems":[{"id":"ITEM-1","itemData":{"DOI":"10.3390/IJERPH17072304","ISSN":"16604601","PMID":"32235413","abstract":"The ongoing outbreak of the novel coronavirus disease (COVID-19) that occurred in China is rapidly spreading globally. China’s bond and strict containment measures have been proved (in practice) to significantly reduce the spread of the epidemic. This was obtained through the use of emergency control measures in the epidemic areas and the integration of resources from multiple systems, including business, community, technology, education, and transportation, across the country. In order to better understand how China has managed to reduce the public health and economic impacts of the COVID-19 epidemic, this editorial systematically reviews the specific measures for infection prevention and control of the disease. The best practices for COVID-19 eradication in China provide evidence-based strategies that could be replicated in other countries.","author":[{"dropping-particle":"","family":"Liu","given":"Wei","non-dropping-particle":"","parse-names":false,"suffix":""},{"dropping-particle":"","family":"Yue","given":"Xiao Guang","non-dropping-particle":"","parse-names":false,"suffix":""},{"dropping-particle":"","family":"Tchounwou","given":"Paul B.","non-dropping-particle":"","parse-names":false,"suffix":""}],"container-title":"International Journal of Environmental Research and Public Health","id":"ITEM-1","issue":"7","issued":{"date-parts":[["2020"]]},"page":"1-6","title":"Response to the covid-19 epidemic: The chinese experience and implications for other countries","type":"article-journal","volume":"17"},"uris":["http://www.mendeley.com/documents/?uuid=782c77b7-7c34-4247-a924-db03a99a1915"]}],"mendeley":{"formattedCitation":"(28)","plainTextFormattedCitation":"(28)","previouslyFormattedCitation":"(28)"},"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(28)</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 xml:space="preserve">. </w:t>
      </w:r>
      <w:r w:rsidR="00A83DA4">
        <w:rPr>
          <w:rFonts w:asciiTheme="minorHAnsi" w:hAnsiTheme="minorHAnsi" w:cstheme="minorHAnsi"/>
          <w:sz w:val="22"/>
          <w:szCs w:val="22"/>
        </w:rPr>
        <w:t>Moreover</w:t>
      </w:r>
      <w:r w:rsidRPr="004B0BC2">
        <w:rPr>
          <w:rFonts w:asciiTheme="minorHAnsi" w:hAnsiTheme="minorHAnsi" w:cstheme="minorHAnsi"/>
          <w:sz w:val="22"/>
          <w:szCs w:val="22"/>
        </w:rPr>
        <w:t>, outdoor restriction measures</w:t>
      </w:r>
      <w:r w:rsidR="006B4EC8">
        <w:rPr>
          <w:rFonts w:asciiTheme="minorHAnsi" w:hAnsiTheme="minorHAnsi" w:cstheme="minorHAnsi"/>
          <w:sz w:val="22"/>
          <w:szCs w:val="22"/>
        </w:rPr>
        <w:t xml:space="preserve"> were put into place,</w:t>
      </w:r>
      <w:r w:rsidRPr="004B0BC2">
        <w:rPr>
          <w:rFonts w:asciiTheme="minorHAnsi" w:hAnsiTheme="minorHAnsi" w:cstheme="minorHAnsi"/>
          <w:sz w:val="22"/>
          <w:szCs w:val="22"/>
        </w:rPr>
        <w:t xml:space="preserve"> </w:t>
      </w:r>
      <w:r w:rsidR="006B4EC8">
        <w:rPr>
          <w:rFonts w:asciiTheme="minorHAnsi" w:hAnsiTheme="minorHAnsi" w:cstheme="minorHAnsi"/>
          <w:sz w:val="22"/>
          <w:szCs w:val="22"/>
        </w:rPr>
        <w:t>whereb</w:t>
      </w:r>
      <w:r w:rsidR="009860AE">
        <w:rPr>
          <w:rFonts w:asciiTheme="minorHAnsi" w:hAnsiTheme="minorHAnsi" w:cstheme="minorHAnsi"/>
          <w:sz w:val="22"/>
          <w:szCs w:val="22"/>
        </w:rPr>
        <w:t>y</w:t>
      </w:r>
      <w:r w:rsidRPr="004B0BC2">
        <w:rPr>
          <w:rFonts w:asciiTheme="minorHAnsi" w:hAnsiTheme="minorHAnsi" w:cstheme="minorHAnsi"/>
          <w:sz w:val="22"/>
          <w:szCs w:val="22"/>
        </w:rPr>
        <w:t xml:space="preserve"> </w:t>
      </w:r>
      <w:r w:rsidRPr="004B0BC2">
        <w:rPr>
          <w:rFonts w:asciiTheme="minorHAnsi" w:hAnsiTheme="minorHAnsi" w:cstheme="minorHAnsi"/>
          <w:sz w:val="22"/>
          <w:szCs w:val="22"/>
          <w:shd w:val="clear" w:color="auto" w:fill="FFFFFF"/>
        </w:rPr>
        <w:t xml:space="preserve">only one member </w:t>
      </w:r>
      <w:r w:rsidR="006B4EC8">
        <w:rPr>
          <w:rFonts w:asciiTheme="minorHAnsi" w:hAnsiTheme="minorHAnsi" w:cstheme="minorHAnsi"/>
          <w:sz w:val="22"/>
          <w:szCs w:val="22"/>
          <w:shd w:val="clear" w:color="auto" w:fill="FFFFFF"/>
        </w:rPr>
        <w:t>of</w:t>
      </w:r>
      <w:r w:rsidRPr="004B0BC2">
        <w:rPr>
          <w:rFonts w:asciiTheme="minorHAnsi" w:hAnsiTheme="minorHAnsi" w:cstheme="minorHAnsi"/>
          <w:sz w:val="22"/>
          <w:szCs w:val="22"/>
          <w:shd w:val="clear" w:color="auto" w:fill="FFFFFF"/>
        </w:rPr>
        <w:t xml:space="preserve"> each household was permitted to go outside at scheduled time</w:t>
      </w:r>
      <w:r w:rsidR="00F47E38" w:rsidRPr="004B0BC2">
        <w:rPr>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{"citationItems":[{"id":"ITEM-1","itemData":{"DOI":"10.3390/IJERPH17072304","ISSN":"16604601","PMID":"32235413","abstract":"The ongoing outbreak of the novel coronavirus disease (COVID-19) that occurred in China is rapidly spreading globally. China’s bond and strict containment measures have been proved (in practice) to significantly reduce the spread of the epidemic. This was obtained through the use of emergency control measures in the epidemic areas and the integration of resources from multiple systems, including business, community, technology, education, and transportation, across the country. In order to better understand how China has managed to reduce the public health and economic impacts of the COVID-19 epidemic, this editorial systematically reviews the specific measures for infection prevention and control of the disease. The best practices for COVID-19 eradication in China provide evidence-based strategies that could be replicated in other countries.","author":[{"dropping-particle":"","family":"Liu","given":"Wei","non-dropping-particle":"","parse-names":false,"suffix":""},{"dropping-particle":"","family":"Yue","given":"Xiao Guang","non-dropping-particle":"","parse-names":false,"suffix":""},{"dropping-particle":"","family":"Tchounwou","given":"Paul B.","non-dropping-particle":"","parse-names":false,"suffix":""}],"container-title":"International Journal of Environmental Research and Public Health","id":"ITEM-1","issue":"7","issued":{"date-parts":[["2020"]]},"page":"1-6","title":"Response to the covid-19 epidemic: The chinese experience and implications for other countries","type":"article-journal","volume":"17"},"uris":["http://www.mendeley.com/documents/?uuid=782c77b7-7c34-4247-a924-db03a99a1915"]}],"mendeley":{"formattedCitation":"(28)","plainTextFormattedCitation":"(28)","previouslyFormattedCitation":"(28)"},"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(28)</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rPr>
        <w:t xml:space="preserve"> </w:t>
      </w:r>
      <w:r w:rsidR="006B4EC8">
        <w:rPr>
          <w:rFonts w:asciiTheme="minorHAnsi" w:hAnsiTheme="minorHAnsi" w:cstheme="minorHAnsi"/>
          <w:sz w:val="22"/>
          <w:szCs w:val="22"/>
        </w:rPr>
        <w:t>By</w:t>
      </w:r>
      <w:r w:rsidRPr="004B0BC2">
        <w:rPr>
          <w:rFonts w:asciiTheme="minorHAnsi" w:hAnsiTheme="minorHAnsi" w:cstheme="minorHAnsi"/>
          <w:sz w:val="22"/>
          <w:szCs w:val="22"/>
        </w:rPr>
        <w:t xml:space="preserve"> contrast, the mayor of Milan launched a campaign with the headline ‘Milan don’t stop’</w:t>
      </w:r>
      <w:r w:rsidR="006B4EC8">
        <w:rPr>
          <w:rFonts w:asciiTheme="minorHAnsi" w:hAnsiTheme="minorHAnsi" w:cstheme="minorHAnsi"/>
          <w:sz w:val="22"/>
          <w:szCs w:val="22"/>
        </w:rPr>
        <w:t>,</w:t>
      </w:r>
      <w:r w:rsidRPr="004B0BC2">
        <w:rPr>
          <w:rFonts w:asciiTheme="minorHAnsi" w:hAnsiTheme="minorHAnsi" w:cstheme="minorHAnsi"/>
          <w:sz w:val="22"/>
          <w:szCs w:val="22"/>
        </w:rPr>
        <w:t xml:space="preserve"> which was </w:t>
      </w:r>
      <w:r w:rsidR="00671EC7" w:rsidRPr="004B0BC2">
        <w:rPr>
          <w:rFonts w:asciiTheme="minorHAnsi" w:hAnsiTheme="minorHAnsi" w:cstheme="minorHAnsi"/>
          <w:sz w:val="22"/>
          <w:szCs w:val="22"/>
        </w:rPr>
        <w:t>designed</w:t>
      </w:r>
      <w:r w:rsidRPr="004B0BC2">
        <w:rPr>
          <w:rFonts w:asciiTheme="minorHAnsi" w:hAnsiTheme="minorHAnsi" w:cstheme="minorHAnsi"/>
          <w:sz w:val="22"/>
          <w:szCs w:val="22"/>
        </w:rPr>
        <w:t xml:space="preserve"> to </w:t>
      </w:r>
      <w:r w:rsidRPr="004B0BC2">
        <w:rPr>
          <w:rFonts w:asciiTheme="minorHAnsi" w:hAnsiTheme="minorHAnsi" w:cstheme="minorHAnsi"/>
          <w:sz w:val="22"/>
          <w:szCs w:val="22"/>
        </w:rPr>
        <w:lastRenderedPageBreak/>
        <w:t xml:space="preserve">encourage </w:t>
      </w:r>
      <w:r w:rsidR="00671EC7" w:rsidRPr="004B0BC2">
        <w:rPr>
          <w:rFonts w:asciiTheme="minorHAnsi" w:hAnsiTheme="minorHAnsi" w:cstheme="minorHAnsi"/>
          <w:sz w:val="22"/>
          <w:szCs w:val="22"/>
        </w:rPr>
        <w:t xml:space="preserve">social </w:t>
      </w:r>
      <w:r w:rsidRPr="004B0BC2">
        <w:rPr>
          <w:rFonts w:asciiTheme="minorHAnsi" w:hAnsiTheme="minorHAnsi" w:cstheme="minorHAnsi"/>
          <w:sz w:val="22"/>
          <w:szCs w:val="22"/>
        </w:rPr>
        <w:t>mobility</w:t>
      </w:r>
      <w:r w:rsidR="00671EC7"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{"citationItems":[{"id":"ITEM-1","itemData":{"DOI":"10.3892/mmr.2020.11079","ISSN":"17913004","PMID":"32319647","abstract":"Italy is currently one of the countries seriously affected by the COVID-19 pandemic. As per 10 April 2020, 147,577 people were found positive in a total of 906,864 tests performed and 18,849 people lost their lives. Among all cases, 70.2% of positive, and 79.4% of deaths occurred in the provinces of Northern Italy (Lombardi, Emilia Romagna, Veneto and Piemonte), where the outbreak first started. Originally, it was considered that the high number of positive cases and deaths in Italy resulted from COVID-19 initially coming to Italy from China, its presumed country of origin. However, an analysis of the factors that played a role in the extent of this outbreak is needed. Evaluating which factors could be specific for a country and which might contribute the most is nevertheless complex, with accompanying high uncertainty. The purpose of this work is to discuss some of the possible contributing factors and their possible role in the relatively high infection and death rates in Northern Italy compared to other areas and countries.","author":[{"dropping-particle":"","family":"Goumenou","given":"Marina","non-dropping-particle":"","parse-names":false,"suffix":""},{"dropping-particle":"","family":"Sarigiannis","given":"Dimosthenis","non-dropping-particle":"","parse-names":false,"suffix":""},{"dropping-particle":"","family":"Tsatsakis","given":"Aristidis","non-dropping-particle":"","parse-names":false,"suffix":""},{"dropping-particle":"","family":"Anesti","given":"Ourania","non-dropping-particle":"","parse-names":false,"suffix":""},{"dropping-particle":"","family":"Docea","given":"Anca Oana","non-dropping-particle":"","parse-names":false,"suffix":""},{"dropping-particle":"","family":"Petrakis","given":"Dimitrios","non-dropping-particle":"","parse-names":false,"suffix":""},{"dropping-particle":"","family":"Tsoukalas","given":"Dimitris","non-dropping-particle":"","parse-names":false,"suffix":""},{"dropping-particle":"","family":"Kostoff","given":"Ronald","non-dropping-particle":"","parse-names":false,"suffix":""},{"dropping-particle":"","family":"Rakitskii","given":"Valeri","non-dropping-particle":"","parse-names":false,"suffix":""},{"dropping-particle":"","family":"Spandidos","given":"Demetrios A.","non-dropping-particle":"","parse-names":false,"suffix":""},{"dropping-particle":"","family":"Aschner","given":"Michael","non-dropping-particle":"","parse-names":false,"suffix":""},{"dropping-particle":"","family":"Calina","given":"Daniela","non-dropping-particle":"","parse-names":false,"suffix":""}],"container-title":"Molecular Medicine Reports","id":"ITEM-1","issue":"1","issued":{"date-parts":[["2020"]]},"page":"20-32","title":"Covid</w:instrText>
      </w:r>
      <w:r w:rsidR="00693DD5">
        <w:rPr>
          <w:rFonts w:ascii="Cambria Math" w:hAnsi="Cambria Math" w:cs="Cambria Math"/>
          <w:sz w:val="22"/>
          <w:szCs w:val="22"/>
        </w:rPr>
        <w:instrText>‑</w:instrText>
      </w:r>
      <w:r w:rsidR="00693DD5">
        <w:rPr>
          <w:rFonts w:asciiTheme="minorHAnsi" w:hAnsiTheme="minorHAnsi" w:cstheme="minorHAnsi"/>
          <w:sz w:val="22"/>
          <w:szCs w:val="22"/>
        </w:rPr>
        <w:instrText>19 in Northern Italy: An integrative overview of factors possibly influencing the sharp increase of the outbreak (Review)","type":"article-journal","volume":"22"},"uris":["http://www.mendeley.com/documents/?uuid=23723188-25b1-487a-b58d-68a09803b7da"]}],"mendeley":{"formattedCitation":"(24)","plainTextFormattedCitation":"(24)","previouslyFormattedCitation":"(24)"},"properties":{"noteIndex":0},"schema":"https://github.com/citation-style-language/schema/raw/master/csl-citation.json"}</w:instrText>
      </w:r>
      <w:r w:rsidR="00671EC7"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(24)</w:t>
      </w:r>
      <w:r w:rsidR="00671EC7" w:rsidRPr="004B0BC2">
        <w:rPr>
          <w:rFonts w:asciiTheme="minorHAnsi" w:hAnsiTheme="minorHAnsi" w:cstheme="minorHAnsi"/>
          <w:sz w:val="22"/>
          <w:szCs w:val="22"/>
        </w:rPr>
        <w:fldChar w:fldCharType="end"/>
      </w:r>
      <w:r w:rsidRPr="004B0BC2">
        <w:rPr>
          <w:rFonts w:asciiTheme="minorHAnsi" w:hAnsiTheme="minorHAnsi" w:cstheme="minorHAnsi"/>
          <w:sz w:val="22"/>
          <w:szCs w:val="22"/>
        </w:rPr>
        <w:t>. Although the first cases of COVID-19 were reported in Italy at the end of January, lockdown of</w:t>
      </w:r>
      <w:r w:rsidR="006B4EC8">
        <w:rPr>
          <w:rFonts w:asciiTheme="minorHAnsi" w:hAnsiTheme="minorHAnsi" w:cstheme="minorHAnsi"/>
          <w:sz w:val="22"/>
          <w:szCs w:val="22"/>
        </w:rPr>
        <w:t xml:space="preserve"> affected</w:t>
      </w:r>
      <w:r w:rsidRPr="004B0BC2">
        <w:rPr>
          <w:rFonts w:asciiTheme="minorHAnsi" w:hAnsiTheme="minorHAnsi" w:cstheme="minorHAnsi"/>
          <w:sz w:val="22"/>
          <w:szCs w:val="22"/>
        </w:rPr>
        <w:t xml:space="preserve"> areas</w:t>
      </w:r>
      <w:r w:rsidR="006B4EC8">
        <w:rPr>
          <w:rFonts w:asciiTheme="minorHAnsi" w:hAnsiTheme="minorHAnsi" w:cstheme="minorHAnsi"/>
          <w:sz w:val="22"/>
          <w:szCs w:val="22"/>
        </w:rPr>
        <w:t xml:space="preserve"> </w:t>
      </w:r>
      <w:r w:rsidRPr="004B0BC2">
        <w:rPr>
          <w:rFonts w:asciiTheme="minorHAnsi" w:hAnsiTheme="minorHAnsi" w:cstheme="minorHAnsi"/>
          <w:sz w:val="22"/>
          <w:szCs w:val="22"/>
        </w:rPr>
        <w:t>only occurred at the end of February and school</w:t>
      </w:r>
      <w:r w:rsidR="006B4EC8">
        <w:rPr>
          <w:rFonts w:asciiTheme="minorHAnsi" w:hAnsiTheme="minorHAnsi" w:cstheme="minorHAnsi"/>
          <w:sz w:val="22"/>
          <w:szCs w:val="22"/>
        </w:rPr>
        <w:t>s weren’t closed until</w:t>
      </w:r>
      <w:r w:rsidRPr="004B0BC2">
        <w:rPr>
          <w:rFonts w:asciiTheme="minorHAnsi" w:hAnsiTheme="minorHAnsi" w:cstheme="minorHAnsi"/>
          <w:sz w:val="22"/>
          <w:szCs w:val="22"/>
        </w:rPr>
        <w:t xml:space="preserve"> early March</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{"citationItems":[{"id":"ITEM-1","itemData":{"DOI":"10.3892/mmr.2020.11079","ISSN":"17913004","PMID":"32319647","abstract":"Italy is currently one of the countries seriously affected by the COVID-19 pandemic. As per 10 April 2020, 147,577 people were found positive in a total of 906,864 tests performed and 18,849 people lost their lives. Among all cases, 70.2% of positive, and 79.4% of deaths occurred in the provinces of Northern Italy (Lombardi, Emilia Romagna, Veneto and Piemonte), where the outbreak first started. Originally, it was considered that the high number of positive cases and deaths in Italy resulted from COVID-19 initially coming to Italy from China, its presumed country of origin. However, an analysis of the factors that played a role in the extent of this outbreak is needed. Evaluating which factors could be specific for a country and which might contribute the most is nevertheless complex, with accompanying high uncertainty. The purpose of this work is to discuss some of the possible contributing factors and their possible role in the relatively high infection and death rates in Northern Italy compared to other areas and countries.","author":[{"dropping-particle":"","family":"Goumenou","given":"Marina","non-dropping-particle":"","parse-names":false,"suffix":""},{"dropping-particle":"","family":"Sarigiannis","given":"Dimosthenis","non-dropping-particle":"","parse-names":false,"suffix":""},{"dropping-particle":"","family":"Tsatsakis","given":"Aristidis","non-dropping-particle":"","parse-names":false,"suffix":""},{"dropping-particle":"","family":"Anesti","given":"Ourania","non-dropping-particle":"","parse-names":false,"suffix":""},{"dropping-particle":"","family":"Docea","given":"Anca Oana","non-dropping-particle":"","parse-names":false,"suffix":""},{"dropping-particle":"","family":"Petrakis","given":"Dimitrios","non-dropping-particle":"","parse-names":false,"suffix":""},{"dropping-particle":"","family":"Tsoukalas","given":"Dimitris","non-dropping-particle":"","parse-names":false,"suffix":""},{"dropping-particle":"","family":"Kostoff","given":"Ronald","non-dropping-particle":"","parse-names":false,"suffix":""},{"dropping-particle":"","family":"Rakitskii","given":"Valeri","non-dropping-particle":"","parse-names":false,"suffix":""},{"dropping-particle":"","family":"Spandidos","given":"Demetrios A.","non-dropping-particle":"","parse-names":false,"suffix":""},{"dropping-particle":"","family":"Aschner","given":"Michael","non-dropping-particle":"","parse-names":false,"suffix":""},{"dropping-particle":"","family":"Calina","given":"Daniela","non-dropping-particle":"","parse-names":false,"suffix":""}],"container-title":"Molecular Medicine Reports","id":"ITEM-1","issue":"1","issued":{"date-parts":[["2020"]]},"page":"20-32","title":"Covid</w:instrText>
      </w:r>
      <w:r w:rsidR="00693DD5">
        <w:rPr>
          <w:rFonts w:ascii="Cambria Math" w:hAnsi="Cambria Math" w:cs="Cambria Math"/>
          <w:sz w:val="22"/>
          <w:szCs w:val="22"/>
        </w:rPr>
        <w:instrText>‑</w:instrText>
      </w:r>
      <w:r w:rsidR="00693DD5">
        <w:rPr>
          <w:rFonts w:asciiTheme="minorHAnsi" w:hAnsiTheme="minorHAnsi" w:cstheme="minorHAnsi"/>
          <w:sz w:val="22"/>
          <w:szCs w:val="22"/>
        </w:rPr>
        <w:instrText>19 in Northern Italy: An integrative overview of factors possibly influencing the sharp increase of the outbreak (Review)","type":"article-journal","volume":"22"},"uris":["http://www.mendeley.com/documents/?uuid=23723188-25b1-487a-b58d-68a09803b7da"]}],"mendeley":{"formattedCitation":"(24)","plainTextFormattedCitation":"(24)","previouslyFormattedCitation":"(24)"},"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(24)</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 Th</w:t>
      </w:r>
      <w:r w:rsidR="006B4EC8">
        <w:rPr>
          <w:rFonts w:asciiTheme="minorHAnsi" w:hAnsiTheme="minorHAnsi" w:cstheme="minorHAnsi"/>
          <w:sz w:val="22"/>
          <w:szCs w:val="22"/>
        </w:rPr>
        <w:t>us</w:t>
      </w:r>
      <w:r w:rsidRPr="004B0BC2">
        <w:rPr>
          <w:rFonts w:asciiTheme="minorHAnsi" w:hAnsiTheme="minorHAnsi" w:cstheme="minorHAnsi"/>
          <w:sz w:val="22"/>
          <w:szCs w:val="22"/>
        </w:rPr>
        <w:t>,</w:t>
      </w:r>
      <w:r w:rsidR="00F47E38" w:rsidRPr="004B0BC2">
        <w:rPr>
          <w:rFonts w:asciiTheme="minorHAnsi" w:hAnsiTheme="minorHAnsi" w:cstheme="minorHAnsi"/>
          <w:sz w:val="22"/>
          <w:szCs w:val="22"/>
        </w:rPr>
        <w:t xml:space="preserve"> </w:t>
      </w:r>
      <w:r w:rsidRPr="004B0BC2">
        <w:rPr>
          <w:rFonts w:asciiTheme="minorHAnsi" w:hAnsiTheme="minorHAnsi" w:cstheme="minorHAnsi"/>
          <w:sz w:val="22"/>
          <w:szCs w:val="22"/>
        </w:rPr>
        <w:t>despite having more time</w:t>
      </w:r>
      <w:r w:rsidR="00C27D9F" w:rsidRPr="004B0BC2">
        <w:rPr>
          <w:rFonts w:asciiTheme="minorHAnsi" w:hAnsiTheme="minorHAnsi" w:cstheme="minorHAnsi"/>
          <w:sz w:val="22"/>
          <w:szCs w:val="22"/>
        </w:rPr>
        <w:t xml:space="preserve"> to prepare</w:t>
      </w:r>
      <w:r w:rsidRPr="004B0BC2">
        <w:rPr>
          <w:rFonts w:asciiTheme="minorHAnsi" w:hAnsiTheme="minorHAnsi" w:cstheme="minorHAnsi"/>
          <w:sz w:val="22"/>
          <w:szCs w:val="22"/>
        </w:rPr>
        <w:t xml:space="preserve"> and the </w:t>
      </w:r>
      <w:r w:rsidR="006B4EC8">
        <w:rPr>
          <w:rFonts w:asciiTheme="minorHAnsi" w:hAnsiTheme="minorHAnsi" w:cstheme="minorHAnsi"/>
          <w:sz w:val="22"/>
          <w:szCs w:val="22"/>
        </w:rPr>
        <w:t>benefit</w:t>
      </w:r>
      <w:r w:rsidRPr="004B0BC2">
        <w:rPr>
          <w:rFonts w:asciiTheme="minorHAnsi" w:hAnsiTheme="minorHAnsi" w:cstheme="minorHAnsi"/>
          <w:sz w:val="22"/>
          <w:szCs w:val="22"/>
        </w:rPr>
        <w:t xml:space="preserve"> of China’s experience</w:t>
      </w:r>
      <w:r w:rsidR="006B4EC8">
        <w:rPr>
          <w:rFonts w:asciiTheme="minorHAnsi" w:hAnsiTheme="minorHAnsi" w:cstheme="minorHAnsi"/>
          <w:sz w:val="22"/>
          <w:szCs w:val="22"/>
        </w:rPr>
        <w:t xml:space="preserve"> with the virus,</w:t>
      </w:r>
      <w:r w:rsidRPr="004B0BC2">
        <w:rPr>
          <w:rFonts w:asciiTheme="minorHAnsi" w:hAnsiTheme="minorHAnsi" w:cstheme="minorHAnsi"/>
          <w:sz w:val="22"/>
          <w:szCs w:val="22"/>
        </w:rPr>
        <w:t xml:space="preserve"> Italy </w:t>
      </w:r>
      <w:r w:rsidR="00CA786A" w:rsidRPr="004B0BC2">
        <w:rPr>
          <w:rFonts w:asciiTheme="minorHAnsi" w:hAnsiTheme="minorHAnsi" w:cstheme="minorHAnsi"/>
          <w:sz w:val="22"/>
          <w:szCs w:val="22"/>
        </w:rPr>
        <w:t>was</w:t>
      </w:r>
      <w:r w:rsidRPr="004B0BC2">
        <w:rPr>
          <w:rFonts w:asciiTheme="minorHAnsi" w:hAnsiTheme="minorHAnsi" w:cstheme="minorHAnsi"/>
          <w:sz w:val="22"/>
          <w:szCs w:val="22"/>
        </w:rPr>
        <w:t xml:space="preserve"> slow to mitigate the transmission of the virus. </w:t>
      </w:r>
    </w:p>
    <w:p w14:paraId="3AE44569" w14:textId="77777777" w:rsidR="003C2B02" w:rsidRPr="004B0BC2" w:rsidRDefault="003C2B02" w:rsidP="00B66369">
      <w:pPr>
        <w:spacing w:line="480" w:lineRule="auto"/>
        <w:rPr>
          <w:rFonts w:asciiTheme="minorHAnsi" w:hAnsiTheme="minorHAnsi" w:cstheme="minorHAnsi"/>
          <w:sz w:val="22"/>
          <w:szCs w:val="22"/>
        </w:rPr>
      </w:pPr>
    </w:p>
    <w:p w14:paraId="62479E37" w14:textId="11C4C52D" w:rsidR="003C2B02" w:rsidRPr="004B0BC2" w:rsidRDefault="003C2B02"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Emerging data from New York ha</w:t>
      </w:r>
      <w:r w:rsidR="009F2CEC">
        <w:rPr>
          <w:rFonts w:asciiTheme="minorHAnsi" w:hAnsiTheme="minorHAnsi" w:cstheme="minorHAnsi"/>
          <w:sz w:val="22"/>
          <w:szCs w:val="22"/>
        </w:rPr>
        <w:t>ve</w:t>
      </w:r>
      <w:r w:rsidRPr="004B0BC2">
        <w:rPr>
          <w:rFonts w:asciiTheme="minorHAnsi" w:hAnsiTheme="minorHAnsi" w:cstheme="minorHAnsi"/>
          <w:sz w:val="22"/>
          <w:szCs w:val="22"/>
        </w:rPr>
        <w:t xml:space="preserve"> </w:t>
      </w:r>
      <w:r w:rsidR="00C35232" w:rsidRPr="004B0BC2">
        <w:rPr>
          <w:rFonts w:asciiTheme="minorHAnsi" w:hAnsiTheme="minorHAnsi" w:cstheme="minorHAnsi"/>
          <w:sz w:val="22"/>
          <w:szCs w:val="22"/>
        </w:rPr>
        <w:t xml:space="preserve">also </w:t>
      </w:r>
      <w:r w:rsidR="007D23D7" w:rsidRPr="004B0BC2">
        <w:rPr>
          <w:rFonts w:asciiTheme="minorHAnsi" w:hAnsiTheme="minorHAnsi" w:cstheme="minorHAnsi"/>
          <w:sz w:val="22"/>
          <w:szCs w:val="22"/>
        </w:rPr>
        <w:t>suggested</w:t>
      </w:r>
      <w:r w:rsidR="00C35232" w:rsidRPr="004B0BC2">
        <w:rPr>
          <w:rFonts w:asciiTheme="minorHAnsi" w:hAnsiTheme="minorHAnsi" w:cstheme="minorHAnsi"/>
          <w:sz w:val="22"/>
          <w:szCs w:val="22"/>
        </w:rPr>
        <w:t xml:space="preserve"> that</w:t>
      </w:r>
      <w:r w:rsidRPr="004B0BC2">
        <w:rPr>
          <w:rFonts w:asciiTheme="minorHAnsi" w:hAnsiTheme="minorHAnsi" w:cstheme="minorHAnsi"/>
          <w:sz w:val="22"/>
          <w:szCs w:val="22"/>
        </w:rPr>
        <w:t xml:space="preserve"> age and comorbidities</w:t>
      </w:r>
      <w:r w:rsidR="009F2CEC">
        <w:rPr>
          <w:rFonts w:asciiTheme="minorHAnsi" w:hAnsiTheme="minorHAnsi" w:cstheme="minorHAnsi"/>
          <w:sz w:val="22"/>
          <w:szCs w:val="22"/>
        </w:rPr>
        <w:t xml:space="preserve"> are</w:t>
      </w:r>
      <w:r w:rsidR="00DB3D0C" w:rsidRPr="004B0BC2">
        <w:rPr>
          <w:rFonts w:asciiTheme="minorHAnsi" w:hAnsiTheme="minorHAnsi" w:cstheme="minorHAnsi"/>
          <w:sz w:val="22"/>
          <w:szCs w:val="22"/>
        </w:rPr>
        <w:t xml:space="preserve"> associated with</w:t>
      </w:r>
      <w:r w:rsidRPr="004B0BC2">
        <w:rPr>
          <w:rFonts w:asciiTheme="minorHAnsi" w:hAnsiTheme="minorHAnsi" w:cstheme="minorHAnsi"/>
          <w:sz w:val="22"/>
          <w:szCs w:val="22"/>
        </w:rPr>
        <w:t xml:space="preserve"> an increased risk of COVID-19 mortality. Mikami et al.</w:t>
      </w:r>
      <w:r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{"citationItems":[{"id":"ITEM-1","itemData":{"DOI":"10.1007/s11606-020-05983-z","abstract":"New York City emerged as an epicenter of the coronavirus disease 2019 (COVID-19) pandemic. To describe the clinical characteristics and risk factors associated with mortality in a large patient population in the USA. Retrospective cohort study. 6493 patients who had laboratory-confirmed COVID-19 with clinical outcomes between March 13 and April 17, 2020, who were seen in one of the 8 hospitals and/or over 400 ambulatory practices in the New York City metropolitan area Clinical characteristics and risk factors associated with in-hospital mortality. A total of 858 of 6493 (13.2%) patients in our total cohort died: 52/2785 (1.9%) ambulatory patients and 806/3708 (21.7%) hospitalized patients. Cox proportional hazard regression modeling showed an increased risk of in-hospital mortality associated with age older than 50 years (hazard ratio [HR] 2.34, CI 1.47–3.71), systolic blood pressure less than 90 mmHg (HR 1.38, CI 1.06–1.80), a respiratory rate greater than 24 per min (HR 1.43, CI 1.13–1.83), peripheral oxygen saturation less than 92% (HR 2.12, CI 1.56–2.88), estimated glomerular filtration rate less than 60 mL/min/1.73m2 (HR 1.80, CI 1.60–2.02), IL-6 greater than 100 pg/mL (HR 1.50, CI 1.12–2.03), D-dimer greater than 2 mcg/mL (HR 1.19, CI 1.02–1.39), and troponin greater than 0.03 ng/mL (HR 1.40, CI 1.23–1.62). Decreased risk of in-hospital mortality was associated with female sex (HR 0.84, CI 0.77–0.90), African American race (HR 0.78 CI 0.65–0.95), and hydroxychloroquine use (HR 0.53, CI 0.41–0.67). Among patients with COVID-19, older age, male sex, hypotension, tachypnea, hypoxia, impaired renal function, elevated D-dimer, and elevated troponin were associated with increased in-hospital mortality and hydroxychloroquine use was associated with decreased in-hospital mortality.","author":[{"dropping-particle":"","family":"Mikami","given":"Takahisa","non-dropping-particle":"","parse-names":false,"suffix":""},{"dropping-particle":"","family":"Miyashita","given":"Hirotaka","non-dropping-particle":"","parse-names":false,"suffix":""},{"dropping-particle":"","family":"Yamada","given":"Takayuki","non-dropping-particle":"","parse-names":false,"suffix":""},{"dropping-particle":"","family":"Harrington","given":"Matthew","non-dropping-particle":"","parse-names":false,"suffix":""},{"dropping-particle":"","family":"Steinberg","given":"Daniel","non-dropping-particle":"","parse-names":false,"suffix":""},{"dropping-particle":"","family":"Dunn","given":"Andrew","non-dropping-particle":"","parse-names":false,"suffix":""},{"dropping-particle":"","family":"Siau","given":"Evan","non-dropping-particle":"","parse-names":false,"suffix":""}],"container-title":"Journal of General Internal Medicine","id":"ITEM-1","issue":"1","issued":{"date-parts":[["2020"]]},"page":"1-10","title":"Risk Factors for Mortality in Patients with COVID-19 in New York City","type":"article-journal","volume":"36"},"uris":["http://www.mendeley.com/documents/?uuid=eb034251-cb79-4be5-a5dd-a95b2faa7e70"]}],"mendeley":{"formattedCitation":"(29)","plainTextFormattedCitation":"(29)","previouslyFormattedCitation":"(29)"},"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(29)</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 xml:space="preserve"> studied the clinical </w:t>
      </w:r>
      <w:r w:rsidR="006F43AA" w:rsidRPr="004B0BC2">
        <w:rPr>
          <w:rFonts w:asciiTheme="minorHAnsi" w:hAnsiTheme="minorHAnsi" w:cstheme="minorHAnsi"/>
          <w:sz w:val="22"/>
          <w:szCs w:val="22"/>
        </w:rPr>
        <w:t>characteristics</w:t>
      </w:r>
      <w:r w:rsidRPr="004B0BC2">
        <w:rPr>
          <w:rFonts w:asciiTheme="minorHAnsi" w:hAnsiTheme="minorHAnsi" w:cstheme="minorHAnsi"/>
          <w:sz w:val="22"/>
          <w:szCs w:val="22"/>
        </w:rPr>
        <w:t xml:space="preserve"> of </w:t>
      </w:r>
      <w:r w:rsidRPr="004B0BC2">
        <w:rPr>
          <w:rFonts w:asciiTheme="minorHAnsi" w:hAnsiTheme="minorHAnsi" w:cstheme="minorHAnsi"/>
          <w:sz w:val="22"/>
          <w:szCs w:val="22"/>
          <w:shd w:val="clear" w:color="auto" w:fill="FCFCFC"/>
        </w:rPr>
        <w:t>6</w:t>
      </w:r>
      <w:r w:rsidR="009F2CEC">
        <w:rPr>
          <w:rFonts w:asciiTheme="minorHAnsi" w:hAnsiTheme="minorHAnsi" w:cstheme="minorHAnsi"/>
          <w:sz w:val="22"/>
          <w:szCs w:val="22"/>
          <w:shd w:val="clear" w:color="auto" w:fill="FCFCFC"/>
        </w:rPr>
        <w:t>,</w:t>
      </w:r>
      <w:r w:rsidRPr="004B0BC2">
        <w:rPr>
          <w:rFonts w:asciiTheme="minorHAnsi" w:hAnsiTheme="minorHAnsi" w:cstheme="minorHAnsi"/>
          <w:sz w:val="22"/>
          <w:szCs w:val="22"/>
          <w:shd w:val="clear" w:color="auto" w:fill="FCFCFC"/>
        </w:rPr>
        <w:t>493 patients in  8 hospitals</w:t>
      </w:r>
      <w:r w:rsidR="00671EC7" w:rsidRPr="004B0BC2">
        <w:rPr>
          <w:rFonts w:asciiTheme="minorHAnsi" w:hAnsiTheme="minorHAnsi" w:cstheme="minorHAnsi"/>
          <w:sz w:val="22"/>
          <w:szCs w:val="22"/>
          <w:shd w:val="clear" w:color="auto" w:fill="FCFCFC"/>
        </w:rPr>
        <w:t xml:space="preserve"> in</w:t>
      </w:r>
      <w:r w:rsidRPr="004B0BC2">
        <w:rPr>
          <w:rFonts w:asciiTheme="minorHAnsi" w:hAnsiTheme="minorHAnsi" w:cstheme="minorHAnsi"/>
          <w:sz w:val="22"/>
          <w:szCs w:val="22"/>
          <w:shd w:val="clear" w:color="auto" w:fill="FCFCFC"/>
        </w:rPr>
        <w:t xml:space="preserve"> New York City. The</w:t>
      </w:r>
      <w:r w:rsidR="009F2CEC">
        <w:rPr>
          <w:rFonts w:asciiTheme="minorHAnsi" w:hAnsiTheme="minorHAnsi" w:cstheme="minorHAnsi"/>
          <w:sz w:val="22"/>
          <w:szCs w:val="22"/>
          <w:shd w:val="clear" w:color="auto" w:fill="FCFCFC"/>
        </w:rPr>
        <w:t>y</w:t>
      </w:r>
      <w:r w:rsidRPr="004B0BC2">
        <w:rPr>
          <w:rFonts w:asciiTheme="minorHAnsi" w:hAnsiTheme="minorHAnsi" w:cstheme="minorHAnsi"/>
          <w:sz w:val="22"/>
          <w:szCs w:val="22"/>
          <w:shd w:val="clear" w:color="auto" w:fill="FCFCFC"/>
        </w:rPr>
        <w:t xml:space="preserve"> reported that COVID-19 hospital mortality </w:t>
      </w:r>
      <w:r w:rsidR="00671EC7" w:rsidRPr="004B0BC2">
        <w:rPr>
          <w:rFonts w:asciiTheme="minorHAnsi" w:hAnsiTheme="minorHAnsi" w:cstheme="minorHAnsi"/>
          <w:sz w:val="22"/>
          <w:szCs w:val="22"/>
          <w:shd w:val="clear" w:color="auto" w:fill="FCFCFC"/>
        </w:rPr>
        <w:t xml:space="preserve">was </w:t>
      </w:r>
      <w:r w:rsidR="009F2CEC">
        <w:rPr>
          <w:rFonts w:asciiTheme="minorHAnsi" w:hAnsiTheme="minorHAnsi" w:cstheme="minorHAnsi"/>
          <w:sz w:val="22"/>
          <w:szCs w:val="22"/>
          <w:shd w:val="clear" w:color="auto" w:fill="FCFCFC"/>
        </w:rPr>
        <w:t>increased</w:t>
      </w:r>
      <w:r w:rsidR="00671EC7" w:rsidRPr="004B0BC2">
        <w:rPr>
          <w:rFonts w:asciiTheme="minorHAnsi" w:hAnsiTheme="minorHAnsi" w:cstheme="minorHAnsi"/>
          <w:sz w:val="22"/>
          <w:szCs w:val="22"/>
          <w:shd w:val="clear" w:color="auto" w:fill="FCFCFC"/>
        </w:rPr>
        <w:t xml:space="preserve"> in the </w:t>
      </w:r>
      <w:r w:rsidRPr="004B0BC2">
        <w:rPr>
          <w:rFonts w:asciiTheme="minorHAnsi" w:hAnsiTheme="minorHAnsi" w:cstheme="minorHAnsi"/>
          <w:sz w:val="22"/>
          <w:szCs w:val="22"/>
          <w:shd w:val="clear" w:color="auto" w:fill="FCFCFC"/>
        </w:rPr>
        <w:t>50-74</w:t>
      </w:r>
      <w:r w:rsidR="009F2CEC">
        <w:rPr>
          <w:rFonts w:asciiTheme="minorHAnsi" w:hAnsiTheme="minorHAnsi" w:cstheme="minorHAnsi"/>
          <w:sz w:val="22"/>
          <w:szCs w:val="22"/>
          <w:shd w:val="clear" w:color="auto" w:fill="FCFCFC"/>
        </w:rPr>
        <w:t xml:space="preserve"> years </w:t>
      </w:r>
      <w:r w:rsidRPr="004B0BC2">
        <w:rPr>
          <w:rFonts w:asciiTheme="minorHAnsi" w:hAnsiTheme="minorHAnsi" w:cstheme="minorHAnsi"/>
          <w:sz w:val="22"/>
          <w:szCs w:val="22"/>
          <w:shd w:val="clear" w:color="auto" w:fill="FCFCFC"/>
        </w:rPr>
        <w:t>(HR</w:t>
      </w:r>
      <w:r w:rsidR="00C425AB" w:rsidRPr="004B0BC2">
        <w:rPr>
          <w:rFonts w:asciiTheme="minorHAnsi" w:hAnsiTheme="minorHAnsi" w:cstheme="minorHAnsi"/>
          <w:sz w:val="22"/>
          <w:szCs w:val="22"/>
          <w:shd w:val="clear" w:color="auto" w:fill="FCFCFC"/>
        </w:rPr>
        <w:t>:</w:t>
      </w:r>
      <w:r w:rsidRPr="004B0BC2">
        <w:rPr>
          <w:rFonts w:asciiTheme="minorHAnsi" w:hAnsiTheme="minorHAnsi" w:cstheme="minorHAnsi"/>
          <w:sz w:val="22"/>
          <w:szCs w:val="22"/>
          <w:shd w:val="clear" w:color="auto" w:fill="FCFCFC"/>
        </w:rPr>
        <w:t xml:space="preserve"> 2.34</w:t>
      </w:r>
      <w:r w:rsidR="00C425AB" w:rsidRPr="004B0BC2">
        <w:rPr>
          <w:rFonts w:asciiTheme="minorHAnsi" w:hAnsiTheme="minorHAnsi" w:cstheme="minorHAnsi"/>
          <w:sz w:val="22"/>
          <w:szCs w:val="22"/>
          <w:shd w:val="clear" w:color="auto" w:fill="FCFCFC"/>
        </w:rPr>
        <w:t>,</w:t>
      </w:r>
      <w:r w:rsidRPr="004B0BC2">
        <w:rPr>
          <w:rFonts w:asciiTheme="minorHAnsi" w:hAnsiTheme="minorHAnsi" w:cstheme="minorHAnsi"/>
          <w:sz w:val="22"/>
          <w:szCs w:val="22"/>
          <w:shd w:val="clear" w:color="auto" w:fill="FCFCFC"/>
        </w:rPr>
        <w:t xml:space="preserve"> 95% CI:1.47–3.71</w:t>
      </w:r>
      <w:r w:rsidR="00C425AB" w:rsidRPr="004B0BC2">
        <w:rPr>
          <w:rFonts w:asciiTheme="minorHAnsi" w:hAnsiTheme="minorHAnsi" w:cstheme="minorHAnsi"/>
          <w:sz w:val="22"/>
          <w:szCs w:val="22"/>
          <w:shd w:val="clear" w:color="auto" w:fill="FCFCFC"/>
        </w:rPr>
        <w:t>,</w:t>
      </w:r>
      <w:r w:rsidR="00176B73" w:rsidRPr="004B0BC2">
        <w:rPr>
          <w:rFonts w:asciiTheme="minorHAnsi" w:hAnsiTheme="minorHAnsi" w:cstheme="minorHAnsi"/>
          <w:sz w:val="22"/>
          <w:szCs w:val="22"/>
          <w:shd w:val="clear" w:color="auto" w:fill="FCFCFC"/>
        </w:rPr>
        <w:t xml:space="preserve"> </w:t>
      </w:r>
      <w:r w:rsidR="00567A8B" w:rsidRPr="004B0BC2">
        <w:rPr>
          <w:rFonts w:asciiTheme="minorHAnsi" w:hAnsiTheme="minorHAnsi" w:cstheme="minorHAnsi"/>
          <w:sz w:val="22"/>
          <w:szCs w:val="22"/>
          <w:shd w:val="clear" w:color="auto" w:fill="FCFCFC"/>
        </w:rPr>
        <w:t>p</w:t>
      </w:r>
      <w:r w:rsidRPr="004B0BC2">
        <w:rPr>
          <w:rFonts w:asciiTheme="minorHAnsi" w:hAnsiTheme="minorHAnsi" w:cstheme="minorHAnsi"/>
          <w:sz w:val="22"/>
          <w:szCs w:val="22"/>
          <w:shd w:val="clear" w:color="auto" w:fill="FCFCFC"/>
        </w:rPr>
        <w:t>&lt;0.001) and ≥75 years (HR</w:t>
      </w:r>
      <w:r w:rsidR="00C425AB" w:rsidRPr="004B0BC2">
        <w:rPr>
          <w:rFonts w:asciiTheme="minorHAnsi" w:hAnsiTheme="minorHAnsi" w:cstheme="minorHAnsi"/>
          <w:sz w:val="22"/>
          <w:szCs w:val="22"/>
          <w:shd w:val="clear" w:color="auto" w:fill="FCFCFC"/>
        </w:rPr>
        <w:t>:</w:t>
      </w:r>
      <w:r w:rsidRPr="004B0BC2">
        <w:rPr>
          <w:rFonts w:asciiTheme="minorHAnsi" w:hAnsiTheme="minorHAnsi" w:cstheme="minorHAnsi"/>
          <w:sz w:val="22"/>
          <w:szCs w:val="22"/>
          <w:shd w:val="clear" w:color="auto" w:fill="FCFCFC"/>
        </w:rPr>
        <w:t xml:space="preserve"> 4.85</w:t>
      </w:r>
      <w:r w:rsidR="00C425AB" w:rsidRPr="004B0BC2">
        <w:rPr>
          <w:rFonts w:asciiTheme="minorHAnsi" w:hAnsiTheme="minorHAnsi" w:cstheme="minorHAnsi"/>
          <w:sz w:val="22"/>
          <w:szCs w:val="22"/>
          <w:shd w:val="clear" w:color="auto" w:fill="FCFCFC"/>
        </w:rPr>
        <w:t>,</w:t>
      </w:r>
      <w:r w:rsidRPr="004B0BC2">
        <w:rPr>
          <w:rFonts w:asciiTheme="minorHAnsi" w:hAnsiTheme="minorHAnsi" w:cstheme="minorHAnsi"/>
          <w:sz w:val="22"/>
          <w:szCs w:val="22"/>
          <w:shd w:val="clear" w:color="auto" w:fill="FCFCFC"/>
        </w:rPr>
        <w:t xml:space="preserve"> 95% CI:2.75–8.56</w:t>
      </w:r>
      <w:r w:rsidR="00C425AB" w:rsidRPr="004B0BC2">
        <w:rPr>
          <w:rFonts w:asciiTheme="minorHAnsi" w:hAnsiTheme="minorHAnsi" w:cstheme="minorHAnsi"/>
          <w:sz w:val="22"/>
          <w:szCs w:val="22"/>
          <w:shd w:val="clear" w:color="auto" w:fill="FCFCFC"/>
        </w:rPr>
        <w:t xml:space="preserve">, </w:t>
      </w:r>
      <w:r w:rsidR="00567A8B" w:rsidRPr="004B0BC2">
        <w:rPr>
          <w:rFonts w:asciiTheme="minorHAnsi" w:hAnsiTheme="minorHAnsi" w:cstheme="minorHAnsi"/>
          <w:sz w:val="22"/>
          <w:szCs w:val="22"/>
          <w:shd w:val="clear" w:color="auto" w:fill="FCFCFC"/>
        </w:rPr>
        <w:t>p</w:t>
      </w:r>
      <w:r w:rsidRPr="004B0BC2">
        <w:rPr>
          <w:rFonts w:asciiTheme="minorHAnsi" w:hAnsiTheme="minorHAnsi" w:cstheme="minorHAnsi"/>
          <w:sz w:val="22"/>
          <w:szCs w:val="22"/>
          <w:shd w:val="clear" w:color="auto" w:fill="FCFCFC"/>
        </w:rPr>
        <w:t>&lt;0.001)</w:t>
      </w:r>
      <w:r w:rsidR="009F2CEC">
        <w:rPr>
          <w:rFonts w:asciiTheme="minorHAnsi" w:hAnsiTheme="minorHAnsi" w:cstheme="minorHAnsi"/>
          <w:sz w:val="22"/>
          <w:szCs w:val="22"/>
          <w:shd w:val="clear" w:color="auto" w:fill="FCFCFC"/>
        </w:rPr>
        <w:t xml:space="preserve"> age groups</w:t>
      </w:r>
      <w:r w:rsidRPr="004B0BC2">
        <w:rPr>
          <w:rFonts w:asciiTheme="minorHAnsi" w:hAnsiTheme="minorHAnsi" w:cstheme="minorHAnsi"/>
          <w:sz w:val="22"/>
          <w:szCs w:val="22"/>
          <w:shd w:val="clear" w:color="auto" w:fill="FCFCFC"/>
        </w:rPr>
        <w:t>.</w:t>
      </w:r>
      <w:r w:rsidR="00C425AB" w:rsidRPr="004B0BC2">
        <w:rPr>
          <w:rFonts w:asciiTheme="minorHAnsi" w:hAnsiTheme="minorHAnsi" w:cstheme="minorHAnsi"/>
          <w:sz w:val="22"/>
          <w:szCs w:val="22"/>
          <w:shd w:val="clear" w:color="auto" w:fill="FCFCFC"/>
        </w:rPr>
        <w:t xml:space="preserve"> Moreover, </w:t>
      </w:r>
      <w:r w:rsidR="009F2CEC">
        <w:rPr>
          <w:rFonts w:asciiTheme="minorHAnsi" w:hAnsiTheme="minorHAnsi" w:cstheme="minorHAnsi"/>
          <w:sz w:val="22"/>
          <w:szCs w:val="22"/>
          <w:shd w:val="clear" w:color="auto" w:fill="FCFCFC"/>
        </w:rPr>
        <w:t>being</w:t>
      </w:r>
      <w:r w:rsidR="00C425AB" w:rsidRPr="004B0BC2">
        <w:rPr>
          <w:rFonts w:asciiTheme="minorHAnsi" w:hAnsiTheme="minorHAnsi" w:cstheme="minorHAnsi"/>
          <w:sz w:val="22"/>
          <w:szCs w:val="22"/>
          <w:shd w:val="clear" w:color="auto" w:fill="FCFCFC"/>
        </w:rPr>
        <w:t xml:space="preserve"> female was associated with </w:t>
      </w:r>
      <w:r w:rsidRPr="004B0BC2">
        <w:rPr>
          <w:rFonts w:asciiTheme="minorHAnsi" w:hAnsiTheme="minorHAnsi" w:cstheme="minorHAnsi"/>
          <w:sz w:val="22"/>
          <w:szCs w:val="22"/>
          <w:shd w:val="clear" w:color="auto" w:fill="FCFCFC"/>
        </w:rPr>
        <w:t>decreased hospital mortality</w:t>
      </w:r>
      <w:r w:rsidR="00C425AB" w:rsidRPr="004B0BC2">
        <w:rPr>
          <w:rFonts w:asciiTheme="minorHAnsi" w:hAnsiTheme="minorHAnsi" w:cstheme="minorHAnsi"/>
          <w:sz w:val="22"/>
          <w:szCs w:val="22"/>
          <w:shd w:val="clear" w:color="auto" w:fill="FCFCFC"/>
        </w:rPr>
        <w:t xml:space="preserve"> </w:t>
      </w:r>
      <w:r w:rsidRPr="004B0BC2">
        <w:rPr>
          <w:rFonts w:asciiTheme="minorHAnsi" w:hAnsiTheme="minorHAnsi" w:cstheme="minorHAnsi"/>
          <w:sz w:val="22"/>
          <w:szCs w:val="22"/>
          <w:shd w:val="clear" w:color="auto" w:fill="FCFCFC"/>
        </w:rPr>
        <w:t>(HR</w:t>
      </w:r>
      <w:r w:rsidR="00C425AB" w:rsidRPr="004B0BC2">
        <w:rPr>
          <w:rFonts w:asciiTheme="minorHAnsi" w:hAnsiTheme="minorHAnsi" w:cstheme="minorHAnsi"/>
          <w:sz w:val="22"/>
          <w:szCs w:val="22"/>
          <w:shd w:val="clear" w:color="auto" w:fill="FCFCFC"/>
        </w:rPr>
        <w:t>: 0</w:t>
      </w:r>
      <w:r w:rsidRPr="004B0BC2">
        <w:rPr>
          <w:rFonts w:asciiTheme="minorHAnsi" w:hAnsiTheme="minorHAnsi" w:cstheme="minorHAnsi"/>
          <w:sz w:val="22"/>
          <w:szCs w:val="22"/>
          <w:shd w:val="clear" w:color="auto" w:fill="FCFCFC"/>
        </w:rPr>
        <w:t>.84,</w:t>
      </w:r>
      <w:r w:rsidR="001232F1" w:rsidRPr="004B0BC2">
        <w:rPr>
          <w:rFonts w:asciiTheme="minorHAnsi" w:hAnsiTheme="minorHAnsi" w:cstheme="minorHAnsi"/>
          <w:sz w:val="22"/>
          <w:szCs w:val="22"/>
          <w:shd w:val="clear" w:color="auto" w:fill="FCFCFC"/>
        </w:rPr>
        <w:t xml:space="preserve"> 95%</w:t>
      </w:r>
      <w:r w:rsidRPr="004B0BC2">
        <w:rPr>
          <w:rFonts w:asciiTheme="minorHAnsi" w:hAnsiTheme="minorHAnsi" w:cstheme="minorHAnsi"/>
          <w:sz w:val="22"/>
          <w:szCs w:val="22"/>
          <w:shd w:val="clear" w:color="auto" w:fill="FCFCFC"/>
        </w:rPr>
        <w:t xml:space="preserve"> CI 0.77–0.90)</w:t>
      </w:r>
      <w:r w:rsidR="00671EC7" w:rsidRPr="004B0BC2">
        <w:rPr>
          <w:rFonts w:asciiTheme="minorHAnsi" w:hAnsiTheme="minorHAnsi" w:cstheme="minorHAnsi"/>
          <w:sz w:val="22"/>
          <w:szCs w:val="22"/>
          <w:shd w:val="clear" w:color="auto" w:fill="FCFCFC"/>
        </w:rPr>
        <w:t xml:space="preserve">. </w:t>
      </w:r>
      <w:r w:rsidR="009F2CEC">
        <w:rPr>
          <w:rFonts w:asciiTheme="minorHAnsi" w:hAnsiTheme="minorHAnsi" w:cstheme="minorHAnsi"/>
          <w:sz w:val="22"/>
          <w:szCs w:val="22"/>
          <w:shd w:val="clear" w:color="auto" w:fill="FCFCFC"/>
        </w:rPr>
        <w:t xml:space="preserve">A separate study </w:t>
      </w:r>
      <w:r w:rsidRPr="004B0BC2">
        <w:rPr>
          <w:rFonts w:asciiTheme="minorHAnsi" w:hAnsiTheme="minorHAnsi" w:cstheme="minorHAnsi"/>
          <w:sz w:val="22"/>
          <w:szCs w:val="22"/>
          <w:shd w:val="clear" w:color="auto" w:fill="FCFCFC"/>
        </w:rPr>
        <w:t>reported the clinical outcomes of COVID-19 at two New York hospitals</w:t>
      </w:r>
      <w:r w:rsidR="009F2CEC" w:rsidRPr="004B0BC2">
        <w:rPr>
          <w:rFonts w:asciiTheme="minorHAnsi" w:hAnsiTheme="minorHAnsi" w:cstheme="minorHAnsi"/>
          <w:sz w:val="22"/>
          <w:szCs w:val="22"/>
          <w:shd w:val="clear" w:color="auto" w:fill="FCFCFC"/>
        </w:rPr>
        <w:fldChar w:fldCharType="begin" w:fldLock="1"/>
      </w:r>
      <w:r w:rsidR="00693DD5">
        <w:rPr>
          <w:rFonts w:asciiTheme="minorHAnsi" w:hAnsiTheme="minorHAnsi" w:cstheme="minorHAnsi"/>
          <w:sz w:val="22"/>
          <w:szCs w:val="22"/>
          <w:shd w:val="clear" w:color="auto" w:fill="FCFCFC"/>
        </w:rPr>
        <w:instrText>ADDIN CSL_CITATION {"citationItems":[{"id":"ITEM-1","itemData":{"DOI":"10.1016/S0140-6736(20)31189-2","ISSN":"1474547X","PMID":"32442528","abstract":"Background: Over 40 000 patients with COVID-19 have been hospitalised in New York City (NY, USA) as of April 28, 2020. Data on the epidemiology, clinical course, and outcomes of critically ill patients with COVID-19 in this setting are needed. Methods: This prospective observational cohort study took place at two NewYork-Presbyterian hospitals affiliated with Columbia University Irving Medical Center in northern Manhattan. We prospectively identified adult patients (aged ≥18 years) admitted to both hospitals from March 2 to April 1, 2020, who were diagnosed with laboratory-confirmed COVID-19 and were critically ill with acute hypoxaemic respiratory failure, and collected clinical, biomarker, and treatment data. The primary outcome was the rate of in-hospital death. Secondary outcomes included frequency and duration of invasive mechanical ventilation, frequency of vasopressor use and renal replacement therapy, and time to in-hospital clinical deterioration following admission. The relation between clinical risk factors, biomarkers, and in-hospital mortality was modelled using Cox proportional hazards regression. Follow-up time was right-censored on April 28, 2020 so that each patient had at least 28 days of observation. Findings: Between March 2 and April 1, 2020, 1150 adults were admitted to both hospitals with laboratory-confirmed COVID-19, of which 257 (22%) were critically ill. The median age of patients was 62 years (IQR 51–72), 171 (67%) were men. 212 (82%) patients had at least one chronic illness, the most common of which were hypertension (162 [63%]) and diabetes (92 [36%]). 119 (46%) patients had obesity. As of April 28, 2020, 101 (39%) patients had died and 94 (37%) remained hospitalised. 203 (79%) patients received invasive mechanical ventilation for a median of 18 days (IQR 9–28), 170 (66%) of 257 patients received vasopressors and 79 (31%) received renal replacement therapy. The median time to in-hospital deterioration was 3 days (IQR 1–6). In the multivariable Cox model, older age (adjusted hazard ratio [aHR] 1·31 [1·09–1·57] per 10-year increase), chronic cardiac disease (aHR 1·76 [1·08–2·86]), chronic pulmonary disease (aHR 2·94 [1·48–5·84]), higher concentrations of interleukin-6 (aHR 1·11 [95%CI 1·02–1·20] per decile increase), and higher concentrations of D-dimer (aHR 1·10 [1·01–1·19] per decile increase) were independently associated with in-hospital mortality. Interpretation: Critical illness among patients hospitalised with COVID-1…","author":[{"dropping-particle":"","family":"Cummings","given":"Matthew J.","non-dropping-particle":"","parse-names":false,"suffix":""},{"dropping-particle":"","family":"Baldwin","given":"Matthew R.","non-dropping-particle":"","parse-names":false,"suffix":""},{"dropping-particle":"","family":"Abrams","given":"Darryl","non-dropping-particle":"","parse-names":false,"suffix":""},{"dropping-particle":"","family":"Jacobson","given":"Samuel D.","non-dropping-particle":"","parse-names":false,"suffix":""},{"dropping-particle":"","family":"Meyer","given":"Benjamin J.","non-dropping-particle":"","parse-names":false,"suffix":""},{"dropping-particle":"","family":"Balough","given":"Elizabeth M.","non-dropping-particle":"","parse-names":false,"suffix":""},{"dropping-particle":"","family":"Aaron","given":"Justin G.","non-dropping-particle":"","parse-names":false,"suffix":""},{"dropping-particle":"","family":"Claassen","given":"Jan","non-dropping-particle":"","parse-names":false,"suffix":""},{"dropping-particle":"","family":"Rabbani","given":"Le Roy E.","non-dropping-particle":"","parse-names":false,"suffix":""},{"dropping-particle":"","family":"Hastie","given":"Jonathan","non-dropping-particle":"","parse-names":false,"suffix":""},{"dropping-particle":"","family":"Hochman","given":"Beth R.","non-dropping-particle":"","parse-names":false,"suffix":""},{"dropping-particle":"","family":"Salazar-Schicchi","given":"John","non-dropping-particle":"","parse-names":false,"suffix":""},{"dropping-particle":"","family":"Yip","given":"Natalie H.","non-dropping-particle":"","parse-names":false,"suffix":""},{"dropping-particle":"","family":"Brodie","given":"Daniel","non-dropping-particle":"","parse-names":false,"suffix":""},{"dropping-particle":"","family":"O'Donnell","given":"Max R.","non-dropping-particle":"","parse-names":false,"suffix":""}],"container-title":"The Lancet","id":"ITEM-1","issue":"10239","issued":{"date-parts":[["2020"]]},"page":"1763-1770","title":"Epidemiology, clinical course, and outcomes of critically ill adults with COVID-19 in New York City: a prospective cohort study","type":"article-journal","volume":"395"},"uris":["http://www.mendeley.com/documents/?uuid=be938dad-2beb-469a-832e-7c2a6eda0580"]}],"mendeley":{"formattedCitation":"(30)","plainTextFormattedCitation":"(30)","previouslyFormattedCitation":"(30)"},"properties":{"noteIndex":0},"schema":"https://github.com/citation-style-language/schema/raw/master/csl-citation.json"}</w:instrText>
      </w:r>
      <w:r w:rsidR="009F2CEC" w:rsidRPr="004B0BC2">
        <w:rPr>
          <w:rFonts w:asciiTheme="minorHAnsi" w:hAnsiTheme="minorHAnsi" w:cstheme="minorHAnsi"/>
          <w:sz w:val="22"/>
          <w:szCs w:val="22"/>
          <w:shd w:val="clear" w:color="auto" w:fill="FCFCFC"/>
        </w:rPr>
        <w:fldChar w:fldCharType="separate"/>
      </w:r>
      <w:r w:rsidR="00693DD5" w:rsidRPr="00693DD5">
        <w:rPr>
          <w:rFonts w:asciiTheme="minorHAnsi" w:hAnsiTheme="minorHAnsi" w:cstheme="minorHAnsi"/>
          <w:noProof/>
          <w:sz w:val="22"/>
          <w:szCs w:val="22"/>
          <w:shd w:val="clear" w:color="auto" w:fill="FCFCFC"/>
        </w:rPr>
        <w:t>(30)</w:t>
      </w:r>
      <w:r w:rsidR="009F2CEC" w:rsidRPr="004B0BC2">
        <w:rPr>
          <w:rFonts w:asciiTheme="minorHAnsi" w:hAnsiTheme="minorHAnsi" w:cstheme="minorHAnsi"/>
          <w:sz w:val="22"/>
          <w:szCs w:val="22"/>
          <w:shd w:val="clear" w:color="auto" w:fill="FCFCFC"/>
        </w:rPr>
        <w:fldChar w:fldCharType="end"/>
      </w:r>
      <w:r w:rsidRPr="004B0BC2">
        <w:rPr>
          <w:rFonts w:asciiTheme="minorHAnsi" w:hAnsiTheme="minorHAnsi" w:cstheme="minorHAnsi"/>
          <w:sz w:val="22"/>
          <w:szCs w:val="22"/>
          <w:shd w:val="clear" w:color="auto" w:fill="FCFCFC"/>
        </w:rPr>
        <w:t xml:space="preserve">. </w:t>
      </w:r>
      <w:r w:rsidR="009F2CEC">
        <w:rPr>
          <w:rFonts w:asciiTheme="minorHAnsi" w:hAnsiTheme="minorHAnsi" w:cstheme="minorHAnsi"/>
          <w:sz w:val="22"/>
          <w:szCs w:val="22"/>
          <w:shd w:val="clear" w:color="auto" w:fill="FCFCFC"/>
        </w:rPr>
        <w:t>In this study, m</w:t>
      </w:r>
      <w:r w:rsidRPr="004B0BC2">
        <w:rPr>
          <w:rFonts w:asciiTheme="minorHAnsi" w:hAnsiTheme="minorHAnsi" w:cstheme="minorHAnsi"/>
          <w:sz w:val="22"/>
          <w:szCs w:val="22"/>
          <w:shd w:val="clear" w:color="auto" w:fill="FFFFFF"/>
        </w:rPr>
        <w:t>ultivariable Cox analysis showed that older age (adjusted HR</w:t>
      </w:r>
      <w:r w:rsidR="001232F1"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1·31</w:t>
      </w:r>
      <w:r w:rsidR="001232F1"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95% CI</w:t>
      </w:r>
      <w:r w:rsidR="001232F1"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1·09–1·57</w:t>
      </w:r>
      <w:r w:rsidR="001232F1"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per 10-year increase), chronic cardiac disease (</w:t>
      </w:r>
      <w:r w:rsidR="001232F1" w:rsidRPr="004B0BC2">
        <w:rPr>
          <w:rFonts w:asciiTheme="minorHAnsi" w:hAnsiTheme="minorHAnsi" w:cstheme="minorHAnsi"/>
          <w:sz w:val="22"/>
          <w:szCs w:val="22"/>
          <w:shd w:val="clear" w:color="auto" w:fill="FFFFFF"/>
        </w:rPr>
        <w:t xml:space="preserve">adjusted </w:t>
      </w:r>
      <w:r w:rsidRPr="004B0BC2">
        <w:rPr>
          <w:rFonts w:asciiTheme="minorHAnsi" w:hAnsiTheme="minorHAnsi" w:cstheme="minorHAnsi"/>
          <w:sz w:val="22"/>
          <w:szCs w:val="22"/>
          <w:shd w:val="clear" w:color="auto" w:fill="FFFFFF"/>
        </w:rPr>
        <w:t>HR</w:t>
      </w:r>
      <w:r w:rsidR="001232F1"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1·76</w:t>
      </w:r>
      <w:r w:rsidR="001232F1" w:rsidRPr="004B0BC2">
        <w:rPr>
          <w:rFonts w:asciiTheme="minorHAnsi" w:hAnsiTheme="minorHAnsi" w:cstheme="minorHAnsi"/>
          <w:sz w:val="22"/>
          <w:szCs w:val="22"/>
          <w:shd w:val="clear" w:color="auto" w:fill="FFFFFF"/>
        </w:rPr>
        <w:t>, 95% CI:</w:t>
      </w:r>
      <w:r w:rsidRPr="004B0BC2">
        <w:rPr>
          <w:rFonts w:asciiTheme="minorHAnsi" w:hAnsiTheme="minorHAnsi" w:cstheme="minorHAnsi"/>
          <w:sz w:val="22"/>
          <w:szCs w:val="22"/>
          <w:shd w:val="clear" w:color="auto" w:fill="FFFFFF"/>
        </w:rPr>
        <w:t>1·08–2·86</w:t>
      </w:r>
      <w:r w:rsidR="001232F1"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and</w:t>
      </w:r>
      <w:r w:rsidRPr="004B0BC2">
        <w:rPr>
          <w:rFonts w:asciiTheme="minorHAnsi" w:hAnsiTheme="minorHAnsi" w:cstheme="minorHAnsi"/>
          <w:sz w:val="22"/>
          <w:szCs w:val="22"/>
          <w:shd w:val="clear" w:color="auto" w:fill="FFFFFF"/>
        </w:rPr>
        <w:t xml:space="preserve"> chronic pulmonary disease (a</w:t>
      </w:r>
      <w:r w:rsidR="001232F1" w:rsidRPr="004B0BC2">
        <w:rPr>
          <w:rFonts w:asciiTheme="minorHAnsi" w:hAnsiTheme="minorHAnsi" w:cstheme="minorHAnsi"/>
          <w:sz w:val="22"/>
          <w:szCs w:val="22"/>
          <w:shd w:val="clear" w:color="auto" w:fill="FFFFFF"/>
        </w:rPr>
        <w:t xml:space="preserve">djusted </w:t>
      </w:r>
      <w:r w:rsidRPr="004B0BC2">
        <w:rPr>
          <w:rFonts w:asciiTheme="minorHAnsi" w:hAnsiTheme="minorHAnsi" w:cstheme="minorHAnsi"/>
          <w:sz w:val="22"/>
          <w:szCs w:val="22"/>
          <w:shd w:val="clear" w:color="auto" w:fill="FFFFFF"/>
        </w:rPr>
        <w:t>HR 2·94</w:t>
      </w:r>
      <w:r w:rsidR="001232F1" w:rsidRPr="004B0BC2">
        <w:rPr>
          <w:rFonts w:asciiTheme="minorHAnsi" w:hAnsiTheme="minorHAnsi" w:cstheme="minorHAnsi"/>
          <w:sz w:val="22"/>
          <w:szCs w:val="22"/>
          <w:shd w:val="clear" w:color="auto" w:fill="FFFFFF"/>
        </w:rPr>
        <w:t>, 95% CI:</w:t>
      </w:r>
      <w:r w:rsidRPr="004B0BC2">
        <w:rPr>
          <w:rFonts w:asciiTheme="minorHAnsi" w:hAnsiTheme="minorHAnsi" w:cstheme="minorHAnsi"/>
          <w:sz w:val="22"/>
          <w:szCs w:val="22"/>
          <w:shd w:val="clear" w:color="auto" w:fill="FFFFFF"/>
        </w:rPr>
        <w:t>1·48–5·84) were</w:t>
      </w:r>
      <w:r w:rsidR="00C27D9F"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independently associated with hospital mortality. </w:t>
      </w:r>
    </w:p>
    <w:p w14:paraId="708D9259" w14:textId="39A598D6" w:rsidR="003C2B02" w:rsidRPr="004B0BC2" w:rsidRDefault="003C2B02" w:rsidP="00F122F1">
      <w:pPr>
        <w:spacing w:line="480" w:lineRule="auto"/>
        <w:rPr>
          <w:rFonts w:asciiTheme="minorHAnsi" w:hAnsiTheme="minorHAnsi" w:cstheme="minorHAnsi"/>
          <w:sz w:val="22"/>
          <w:szCs w:val="22"/>
        </w:rPr>
      </w:pPr>
      <w:r w:rsidRPr="004B0BC2">
        <w:rPr>
          <w:rFonts w:asciiTheme="minorHAnsi" w:hAnsiTheme="minorHAnsi" w:cstheme="minorHAnsi"/>
          <w:sz w:val="22"/>
          <w:szCs w:val="22"/>
        </w:rPr>
        <w:t>With</w:t>
      </w:r>
      <w:r w:rsidR="00C27D9F" w:rsidRPr="004B0BC2">
        <w:rPr>
          <w:rFonts w:asciiTheme="minorHAnsi" w:hAnsiTheme="minorHAnsi" w:cstheme="minorHAnsi"/>
          <w:sz w:val="22"/>
          <w:szCs w:val="22"/>
        </w:rPr>
        <w:t>in</w:t>
      </w:r>
      <w:r w:rsidRPr="004B0BC2">
        <w:rPr>
          <w:rFonts w:asciiTheme="minorHAnsi" w:hAnsiTheme="minorHAnsi" w:cstheme="minorHAnsi"/>
          <w:sz w:val="22"/>
          <w:szCs w:val="22"/>
        </w:rPr>
        <w:t xml:space="preserve"> the UK</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 xml:space="preserve"> several large observational studies </w:t>
      </w:r>
      <w:r w:rsidR="009F2CEC">
        <w:rPr>
          <w:rFonts w:asciiTheme="minorHAnsi" w:hAnsiTheme="minorHAnsi" w:cstheme="minorHAnsi"/>
          <w:sz w:val="22"/>
          <w:szCs w:val="22"/>
        </w:rPr>
        <w:t>have investigated</w:t>
      </w:r>
      <w:r w:rsidRPr="004B0BC2">
        <w:rPr>
          <w:rFonts w:asciiTheme="minorHAnsi" w:hAnsiTheme="minorHAnsi" w:cstheme="minorHAnsi"/>
          <w:sz w:val="22"/>
          <w:szCs w:val="22"/>
        </w:rPr>
        <w:t xml:space="preserve"> factors </w:t>
      </w:r>
      <w:r w:rsidR="00671EC7" w:rsidRPr="004B0BC2">
        <w:rPr>
          <w:rFonts w:asciiTheme="minorHAnsi" w:hAnsiTheme="minorHAnsi" w:cstheme="minorHAnsi"/>
          <w:sz w:val="22"/>
          <w:szCs w:val="22"/>
        </w:rPr>
        <w:t>associated with</w:t>
      </w:r>
      <w:r w:rsidRPr="004B0BC2">
        <w:rPr>
          <w:rFonts w:asciiTheme="minorHAnsi" w:hAnsiTheme="minorHAnsi" w:cstheme="minorHAnsi"/>
          <w:sz w:val="22"/>
          <w:szCs w:val="22"/>
        </w:rPr>
        <w:t xml:space="preserve"> COVID-19 mortalit</w:t>
      </w:r>
      <w:r w:rsidR="00671EC7" w:rsidRPr="004B0BC2">
        <w:rPr>
          <w:rFonts w:asciiTheme="minorHAnsi" w:hAnsiTheme="minorHAnsi" w:cstheme="minorHAnsi"/>
          <w:sz w:val="22"/>
          <w:szCs w:val="22"/>
        </w:rPr>
        <w:t>y</w:t>
      </w:r>
      <w:r w:rsidRPr="004B0BC2">
        <w:rPr>
          <w:rFonts w:asciiTheme="minorHAnsi" w:hAnsiTheme="minorHAnsi" w:cstheme="minorHAnsi"/>
          <w:sz w:val="22"/>
          <w:szCs w:val="22"/>
        </w:rPr>
        <w:t>. The openSAFELY study</w:t>
      </w:r>
      <w:r w:rsidR="00671EC7" w:rsidRPr="004B0BC2">
        <w:rPr>
          <w:rFonts w:asciiTheme="minorHAnsi" w:hAnsiTheme="minorHAnsi" w:cstheme="minorHAnsi"/>
          <w:sz w:val="22"/>
          <w:szCs w:val="22"/>
        </w:rPr>
        <w:t xml:space="preserve"> </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{"citationItems":[{"id":"ITEM-1","itemData":{"DOI":"10.1101/2020.05.06.20092999","abstract":"Background Establishing who is at risk from a novel rapidly arising cause of death, and why, requires a new approach to epidemiological research with very large datasets and timely data. Working on behalf of NHS England we therefore set out to deliver a secure and pseudonymised analytics platform inside the data centre of a major primary care electronic health records vendor establishing coverage across detailed primary care records for a substantial proportion of all patients in England. The following results are preliminary. Data sources Primary care electronic health records managed by the electronic health record vendor TPP, pseudonymously linked to patient-level data from the COVID-19 Patient Notification System (CPNS) for death of hospital inpatients with confirmed COVID-19, using the new OpenSAFELY platform. Population 17,425,445 adults. Time period 1st Feb 2020 to 25th April 2020. Primary outcome Death in hospital among people with confirmed COVID-19. Methods Cohort study analysed by Cox-regression to generate hazard ratios: age and sex adjusted, and multiply adjusted for co-variates selected prospectively on the basis of clinical interest and prior findings. Results There were 5683 deaths attributed to COVID-19. In summary after full adjustment, death from COVID-19 was strongly associated with: being male (hazard ratio 1.99, 95%CI 1.88-2.10); older age and deprivation (both with a strong gradient); uncontrolled diabetes (HR 2.36 95% CI 2.18-2.56); severe asthma (HR 1.25 CI 1.08-1.44); and various other prior medical conditions. Compared to people with ethnicity recorded as white, black people were at higher risk of death, with only partial attenuation in hazard ratios from the fully adjusted model (age-sex adjusted HR 2.17 95% CI 1.84-2.57; fully adjusted HR 1.71 95% CI 1.44-2.02); with similar findings for Asian people (age-sex adjusted HR 1.95 95% CI 1.73-2.18; fully adjusted HR 1.62 95% CI 1.43-1.82). Conclusions We have quantified a range of clinical risk factors for death from COVID-19, some of which were not previously well characterised, in the largest cohort study conducted by any country to date. People from Asian and black groups are at markedly increased risk of in-hospital death from COVID-19, and contrary to some prior speculation this is only partially attributable to pre-existing clinical risk factors or deprivation; further research into the drivers of this association is therefore urgently required. Deprivation is also a major …","author":[{"dropping-particle":"","family":"Collaborative","given":"The OpenSAFELY","non-dropping-particle":"","parse-names":false,"suffix":""},{"dropping-particle":"","family":"Williamson","given":"Elizabeth","non-dropping-particle":"","parse-names":false,"suffix":""},{"dropping-particle":"","family":"Walker","given":"Alex J","non-dropping-particle":"","parse-names":false,"suffix":""},{"dropping-particle":"","family":"Bhaskaran","given":"Krishnan J","non-dropping-particle":"","parse-names":false,"suffix":""},{"dropping-particle":"","family":"Bacon","given":"Seb","non-dropping-particle":"","parse-names":false,"suffix":""},{"dropping-particle":"","family":"Bates","given":"Chris","non-dropping-particle":"","parse-names":false,"suffix":""},{"dropping-particle":"","family":"Morton","given":"Caroline E","non-dropping-particle":"","parse-names":false,"suffix":""},{"dropping-particle":"","family":"Curtis","given":"Helen J","non-dropping-particle":"","parse-names":false,"suffix":""},{"dropping-particle":"","family":"Mehrkar","given":"Amir","non-dropping-particle":"","parse-names":false,"suffix":""},{"dropping-particle":"","family":"Evans","given":"David","non-dropping-particle":"","parse-names":false,"suffix":""},{"dropping-particle":"","family":"Inglesby","given":"Peter","non-dropping-particle":"","parse-names":false,"suffix":""},{"dropping-particle":"","family":"Cockburn","given":"Jonathan","non-dropping-particle":"","parse-names":false,"suffix":""},{"dropping-particle":"","family":"Mcdonald","given":"Helen I","non-dropping-particle":"","parse-names":false,"suffix":""},{"dropping-particle":"","family":"MacKenna","given":"Brian","non-dropping-particle":"","parse-names":false,"suffix":""},{"dropping-particle":"","family":"Tomlinson","given":"Laurie","non-dropping-particle":"","parse-names":false,"suffix":""},{"dropping-particle":"","family":"Douglas","given":"Ian J","non-dropping-particle":"","parse-names":false,"suffix":""},{"dropping-particle":"","family":"Rentsch","given":"Christopher T","non-dropping-particle":"","parse-names":false,"suffix":""},{"dropping-particle":"","family":"Mathur","given":"Rohini","non-dropping-particle":"","parse-names":false,"suffix":""},{"dropping-particle":"","family":"Wong","given":"Angel","non-dropping-particle":"","parse-names":false,"suffix":""},{"dropping-particle":"","family":"Grieve","given":"Richard","non-dropping-particle":"","parse-names":false,"suffix":""},{"dropping-particle":"","family":"Harrison","given":"David","non-dropping-particle":"","parse-names":false,"suffix":""},{"dropping-particle":"","family":"Forbes","given":"Harriet","non-dropping-particle":"","parse-names":false,"suffix":""},{"dropping-particle":"","family":"Schultze","given":"Anna","non-dropping-particle":"","parse-names":false,"suffix":""},{"dropping-particle":"","family":"Croker","given":"Richard T","non-dropping-particle":"","parse-names":false,"suffix":""},{"dropping-particle":"","family":"Parry","given":"John","non-dropping-particle":"","parse-names":false,"suffix":""},{"dropping-particle":"","family":"Hester","given":"Frank","non-dropping-particle":"","parse-names":false,"suffix":""},{"dropping-particle":"","family":"Harper","given":"Sam","non-dropping-particle":"","parse-names":false,"suffix":""},{"dropping-particle":"","family":"Perera","given":"Rafael","non-dropping-particle":"","parse-names":false,"suffix":""},{"dropping-particle":"","family":"Evans","given":"Stephen","non-dropping-particle":"","parse-names":false,"suffix":""},{"dropping-particle":"","family":"Smeeth","given":"Liam","non-dropping-particle":"","parse-names":false,"suffix":""},{"dropping-particle":"","family":"Goldacre","given":"Ben","non-dropping-particle":"","parse-names":false,"suffix":""}],"container-title":"medRxiv","id":"ITEM-1","issued":{"date-parts":[["2020","5","7"]]},"page":"2020.05.06.20092999","publisher":"Cold Spring Harbor Laboratory Press","title":"OpenSAFELY: factors associated with COVID-19-related hospital death in the linked electronic health records of 17 million adult NHS patients.","type":"article-journal"},"uris":["http://www.mendeley.com/documents/?uuid=52ede4bb-2324-3938-aa8d-d113169c6b43"]}],"mendeley":{"formattedCitation":"(31)","plainTextFormattedCitation":"(31)","previouslyFormattedCitation":"(31)"},"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(31)</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 xml:space="preserve"> analysed the health records of 17,425,445 NHS patients of </w:t>
      </w:r>
      <w:r w:rsidR="00A83DA4">
        <w:rPr>
          <w:rFonts w:asciiTheme="minorHAnsi" w:hAnsiTheme="minorHAnsi" w:cstheme="minorHAnsi"/>
          <w:sz w:val="22"/>
          <w:szCs w:val="22"/>
        </w:rPr>
        <w:t>whom</w:t>
      </w:r>
      <w:r w:rsidR="00A83DA4" w:rsidRPr="004B0BC2">
        <w:rPr>
          <w:rFonts w:asciiTheme="minorHAnsi" w:hAnsiTheme="minorHAnsi" w:cstheme="minorHAnsi"/>
          <w:sz w:val="22"/>
          <w:szCs w:val="22"/>
        </w:rPr>
        <w:t xml:space="preserve"> </w:t>
      </w:r>
      <w:r w:rsidRPr="004B0BC2">
        <w:rPr>
          <w:rFonts w:asciiTheme="minorHAnsi" w:hAnsiTheme="minorHAnsi" w:cstheme="minorHAnsi"/>
          <w:sz w:val="22"/>
          <w:szCs w:val="22"/>
        </w:rPr>
        <w:t>5</w:t>
      </w:r>
      <w:r w:rsidR="004E1B32">
        <w:rPr>
          <w:rFonts w:asciiTheme="minorHAnsi" w:hAnsiTheme="minorHAnsi" w:cstheme="minorHAnsi"/>
          <w:sz w:val="22"/>
          <w:szCs w:val="22"/>
        </w:rPr>
        <w:t>,</w:t>
      </w:r>
      <w:r w:rsidRPr="004B0BC2">
        <w:rPr>
          <w:rFonts w:asciiTheme="minorHAnsi" w:hAnsiTheme="minorHAnsi" w:cstheme="minorHAnsi"/>
          <w:sz w:val="22"/>
          <w:szCs w:val="22"/>
        </w:rPr>
        <w:t xml:space="preserve">683 </w:t>
      </w:r>
      <w:r w:rsidR="00A83DA4">
        <w:rPr>
          <w:rFonts w:asciiTheme="minorHAnsi" w:hAnsiTheme="minorHAnsi" w:cstheme="minorHAnsi"/>
          <w:sz w:val="22"/>
          <w:szCs w:val="22"/>
        </w:rPr>
        <w:t>died</w:t>
      </w:r>
      <w:r w:rsidRPr="004B0BC2">
        <w:rPr>
          <w:rFonts w:asciiTheme="minorHAnsi" w:hAnsiTheme="minorHAnsi" w:cstheme="minorHAnsi"/>
          <w:sz w:val="22"/>
          <w:szCs w:val="22"/>
        </w:rPr>
        <w:t xml:space="preserve"> </w:t>
      </w:r>
      <w:r w:rsidR="00A83DA4">
        <w:rPr>
          <w:rFonts w:asciiTheme="minorHAnsi" w:hAnsiTheme="minorHAnsi" w:cstheme="minorHAnsi"/>
          <w:sz w:val="22"/>
          <w:szCs w:val="22"/>
        </w:rPr>
        <w:t>of</w:t>
      </w:r>
      <w:r w:rsidR="00A83DA4" w:rsidRPr="004B0BC2">
        <w:rPr>
          <w:rFonts w:asciiTheme="minorHAnsi" w:hAnsiTheme="minorHAnsi" w:cstheme="minorHAnsi"/>
          <w:sz w:val="22"/>
          <w:szCs w:val="22"/>
        </w:rPr>
        <w:t xml:space="preserve"> </w:t>
      </w:r>
      <w:r w:rsidRPr="004B0BC2">
        <w:rPr>
          <w:rFonts w:asciiTheme="minorHAnsi" w:hAnsiTheme="minorHAnsi" w:cstheme="minorHAnsi"/>
          <w:sz w:val="22"/>
          <w:szCs w:val="22"/>
        </w:rPr>
        <w:t>COVID-19. COVID-19 mortality was associated with</w:t>
      </w:r>
      <w:r w:rsidR="00671EC7" w:rsidRPr="004B0BC2">
        <w:rPr>
          <w:rFonts w:asciiTheme="minorHAnsi" w:hAnsiTheme="minorHAnsi" w:cstheme="minorHAnsi"/>
          <w:sz w:val="22"/>
          <w:szCs w:val="22"/>
        </w:rPr>
        <w:t xml:space="preserve"> </w:t>
      </w:r>
      <w:r w:rsidR="009860AE">
        <w:rPr>
          <w:rFonts w:asciiTheme="minorHAnsi" w:hAnsiTheme="minorHAnsi" w:cstheme="minorHAnsi"/>
          <w:sz w:val="22"/>
          <w:szCs w:val="22"/>
        </w:rPr>
        <w:t>m</w:t>
      </w:r>
      <w:r w:rsidRPr="004B0BC2">
        <w:rPr>
          <w:rFonts w:asciiTheme="minorHAnsi" w:hAnsiTheme="minorHAnsi" w:cstheme="minorHAnsi"/>
          <w:sz w:val="22"/>
          <w:szCs w:val="22"/>
        </w:rPr>
        <w:t>ale sex (HR</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1.99, 95%</w:t>
      </w:r>
      <w:r w:rsidR="0016702F" w:rsidRPr="004B0BC2">
        <w:rPr>
          <w:rFonts w:asciiTheme="minorHAnsi" w:hAnsiTheme="minorHAnsi" w:cstheme="minorHAnsi"/>
          <w:sz w:val="22"/>
          <w:szCs w:val="22"/>
        </w:rPr>
        <w:t xml:space="preserve"> </w:t>
      </w:r>
      <w:r w:rsidRPr="004B0BC2">
        <w:rPr>
          <w:rFonts w:asciiTheme="minorHAnsi" w:hAnsiTheme="minorHAnsi" w:cstheme="minorHAnsi"/>
          <w:sz w:val="22"/>
          <w:szCs w:val="22"/>
        </w:rPr>
        <w:t>CI</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1.88-2.10)</w:t>
      </w:r>
      <w:r w:rsidR="00671EC7" w:rsidRPr="004B0BC2">
        <w:rPr>
          <w:rFonts w:asciiTheme="minorHAnsi" w:hAnsiTheme="minorHAnsi" w:cstheme="minorHAnsi"/>
          <w:sz w:val="22"/>
          <w:szCs w:val="22"/>
        </w:rPr>
        <w:t>,</w:t>
      </w:r>
      <w:r w:rsidR="00176B73" w:rsidRPr="004B0BC2">
        <w:rPr>
          <w:rFonts w:asciiTheme="minorHAnsi" w:hAnsiTheme="minorHAnsi" w:cstheme="minorHAnsi"/>
          <w:sz w:val="22"/>
          <w:szCs w:val="22"/>
        </w:rPr>
        <w:t xml:space="preserve"> </w:t>
      </w:r>
      <w:r w:rsidR="00671EC7" w:rsidRPr="004B0BC2">
        <w:rPr>
          <w:rFonts w:asciiTheme="minorHAnsi" w:hAnsiTheme="minorHAnsi" w:cstheme="minorHAnsi"/>
          <w:sz w:val="22"/>
          <w:szCs w:val="22"/>
        </w:rPr>
        <w:t>increasing</w:t>
      </w:r>
      <w:r w:rsidRPr="004B0BC2">
        <w:rPr>
          <w:rFonts w:asciiTheme="minorHAnsi" w:hAnsiTheme="minorHAnsi" w:cstheme="minorHAnsi"/>
          <w:sz w:val="22"/>
          <w:szCs w:val="22"/>
        </w:rPr>
        <w:t xml:space="preserve"> age </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w:t>
      </w:r>
      <w:r w:rsidR="00176B73" w:rsidRPr="004B0BC2">
        <w:rPr>
          <w:rFonts w:asciiTheme="minorHAnsi" w:hAnsiTheme="minorHAnsi" w:cstheme="minorHAnsi"/>
          <w:sz w:val="22"/>
          <w:szCs w:val="22"/>
        </w:rPr>
        <w:t xml:space="preserve">ages </w:t>
      </w:r>
      <w:r w:rsidRPr="004B0BC2">
        <w:rPr>
          <w:rFonts w:asciiTheme="minorHAnsi" w:hAnsiTheme="minorHAnsi" w:cstheme="minorHAnsi"/>
          <w:sz w:val="22"/>
          <w:szCs w:val="22"/>
        </w:rPr>
        <w:t>60-69:</w:t>
      </w:r>
      <w:r w:rsidR="00176B73" w:rsidRPr="004B0BC2">
        <w:rPr>
          <w:rFonts w:asciiTheme="minorHAnsi" w:hAnsiTheme="minorHAnsi" w:cstheme="minorHAnsi"/>
          <w:sz w:val="22"/>
          <w:szCs w:val="22"/>
        </w:rPr>
        <w:t xml:space="preserve"> (</w:t>
      </w:r>
      <w:r w:rsidRPr="004B0BC2">
        <w:rPr>
          <w:rFonts w:asciiTheme="minorHAnsi" w:hAnsiTheme="minorHAnsi" w:cstheme="minorHAnsi"/>
          <w:sz w:val="22"/>
          <w:szCs w:val="22"/>
        </w:rPr>
        <w:t>HR</w:t>
      </w:r>
      <w:r w:rsidR="00176B73" w:rsidRPr="004B0BC2">
        <w:rPr>
          <w:rFonts w:asciiTheme="minorHAnsi" w:hAnsiTheme="minorHAnsi" w:cstheme="minorHAnsi"/>
          <w:sz w:val="22"/>
          <w:szCs w:val="22"/>
        </w:rPr>
        <w:t xml:space="preserve">: </w:t>
      </w:r>
      <w:r w:rsidRPr="004B0BC2">
        <w:rPr>
          <w:rFonts w:asciiTheme="minorHAnsi" w:hAnsiTheme="minorHAnsi" w:cstheme="minorHAnsi"/>
          <w:sz w:val="22"/>
          <w:szCs w:val="22"/>
        </w:rPr>
        <w:t>2.09</w:t>
      </w:r>
      <w:r w:rsidR="00176B73" w:rsidRPr="004B0BC2">
        <w:rPr>
          <w:rFonts w:asciiTheme="minorHAnsi" w:hAnsiTheme="minorHAnsi" w:cstheme="minorHAnsi"/>
          <w:sz w:val="22"/>
          <w:szCs w:val="22"/>
        </w:rPr>
        <w:t>)</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70-79 </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HR</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 xml:space="preserve"> 4.77</w:t>
      </w:r>
      <w:r w:rsidR="00176B73" w:rsidRPr="004B0BC2">
        <w:rPr>
          <w:rFonts w:asciiTheme="minorHAnsi" w:hAnsiTheme="minorHAnsi" w:cstheme="minorHAnsi"/>
          <w:sz w:val="22"/>
          <w:szCs w:val="22"/>
        </w:rPr>
        <w:t>)</w:t>
      </w:r>
      <w:r w:rsidR="00091A0A" w:rsidRPr="004B0BC2">
        <w:rPr>
          <w:rFonts w:asciiTheme="minorHAnsi" w:hAnsiTheme="minorHAnsi" w:cstheme="minorHAnsi"/>
          <w:sz w:val="22"/>
          <w:szCs w:val="22"/>
        </w:rPr>
        <w:t>;</w:t>
      </w:r>
      <w:r w:rsidR="003C11E1">
        <w:rPr>
          <w:rFonts w:asciiTheme="minorHAnsi" w:hAnsiTheme="minorHAnsi" w:cstheme="minorHAnsi"/>
          <w:sz w:val="22"/>
          <w:szCs w:val="22"/>
        </w:rPr>
        <w:t xml:space="preserve"> </w:t>
      </w:r>
      <w:r w:rsidRPr="004B0BC2">
        <w:rPr>
          <w:rFonts w:asciiTheme="minorHAnsi" w:hAnsiTheme="minorHAnsi" w:cstheme="minorHAnsi"/>
          <w:sz w:val="22"/>
          <w:szCs w:val="22"/>
        </w:rPr>
        <w:t xml:space="preserve">≥ 80 </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HR</w:t>
      </w:r>
      <w:r w:rsidR="00176B73" w:rsidRPr="004B0BC2">
        <w:rPr>
          <w:rFonts w:asciiTheme="minorHAnsi" w:hAnsiTheme="minorHAnsi" w:cstheme="minorHAnsi"/>
          <w:sz w:val="22"/>
          <w:szCs w:val="22"/>
        </w:rPr>
        <w:t xml:space="preserve">: </w:t>
      </w:r>
      <w:r w:rsidRPr="004B0BC2">
        <w:rPr>
          <w:rFonts w:asciiTheme="minorHAnsi" w:hAnsiTheme="minorHAnsi" w:cstheme="minorHAnsi"/>
          <w:sz w:val="22"/>
          <w:szCs w:val="22"/>
        </w:rPr>
        <w:t>12.64</w:t>
      </w:r>
      <w:r w:rsidR="001A2CAF" w:rsidRPr="004B0BC2">
        <w:rPr>
          <w:rFonts w:asciiTheme="minorHAnsi" w:hAnsiTheme="minorHAnsi" w:cstheme="minorHAnsi"/>
          <w:sz w:val="22"/>
          <w:szCs w:val="22"/>
        </w:rPr>
        <w:t>)</w:t>
      </w:r>
      <w:r w:rsidR="00176B73" w:rsidRPr="004B0BC2">
        <w:rPr>
          <w:rFonts w:asciiTheme="minorHAnsi" w:hAnsiTheme="minorHAnsi" w:cstheme="minorHAnsi"/>
          <w:sz w:val="22"/>
          <w:szCs w:val="22"/>
        </w:rPr>
        <w:t>)</w:t>
      </w:r>
      <w:r w:rsidR="00671EC7" w:rsidRPr="004B0BC2">
        <w:rPr>
          <w:rFonts w:asciiTheme="minorHAnsi" w:hAnsiTheme="minorHAnsi" w:cstheme="minorHAnsi"/>
          <w:sz w:val="22"/>
          <w:szCs w:val="22"/>
        </w:rPr>
        <w:t xml:space="preserve">, social </w:t>
      </w:r>
      <w:r w:rsidRPr="004B0BC2">
        <w:rPr>
          <w:rFonts w:asciiTheme="minorHAnsi" w:hAnsiTheme="minorHAnsi" w:cstheme="minorHAnsi"/>
          <w:sz w:val="22"/>
          <w:szCs w:val="22"/>
        </w:rPr>
        <w:t>deprivation (HR</w:t>
      </w:r>
      <w:r w:rsidR="00176B73" w:rsidRPr="004B0BC2">
        <w:rPr>
          <w:rFonts w:asciiTheme="minorHAnsi" w:hAnsiTheme="minorHAnsi" w:cstheme="minorHAnsi"/>
          <w:sz w:val="22"/>
          <w:szCs w:val="22"/>
        </w:rPr>
        <w:t xml:space="preserve">: </w:t>
      </w:r>
      <w:r w:rsidRPr="004B0BC2">
        <w:rPr>
          <w:rFonts w:asciiTheme="minorHAnsi" w:hAnsiTheme="minorHAnsi" w:cstheme="minorHAnsi"/>
          <w:sz w:val="22"/>
          <w:szCs w:val="22"/>
        </w:rPr>
        <w:t>1.75</w:t>
      </w:r>
      <w:r w:rsidR="001A2CAF" w:rsidRPr="004B0BC2">
        <w:rPr>
          <w:rFonts w:asciiTheme="minorHAnsi" w:hAnsiTheme="minorHAnsi" w:cstheme="minorHAnsi"/>
          <w:sz w:val="22"/>
          <w:szCs w:val="22"/>
        </w:rPr>
        <w:t>,</w:t>
      </w:r>
      <w:r w:rsidRPr="004B0BC2">
        <w:rPr>
          <w:rFonts w:asciiTheme="minorHAnsi" w:hAnsiTheme="minorHAnsi" w:cstheme="minorHAnsi"/>
          <w:sz w:val="22"/>
          <w:szCs w:val="22"/>
        </w:rPr>
        <w:t xml:space="preserve"> </w:t>
      </w:r>
      <w:r w:rsidR="001A2CAF" w:rsidRPr="004B0BC2">
        <w:rPr>
          <w:rFonts w:asciiTheme="minorHAnsi" w:hAnsiTheme="minorHAnsi" w:cstheme="minorHAnsi"/>
          <w:sz w:val="22"/>
          <w:szCs w:val="22"/>
        </w:rPr>
        <w:t>95%</w:t>
      </w:r>
      <w:r w:rsidR="00567A8B" w:rsidRPr="004B0BC2">
        <w:rPr>
          <w:rFonts w:asciiTheme="minorHAnsi" w:hAnsiTheme="minorHAnsi" w:cstheme="minorHAnsi"/>
          <w:sz w:val="22"/>
          <w:szCs w:val="22"/>
        </w:rPr>
        <w:t xml:space="preserve"> </w:t>
      </w:r>
      <w:r w:rsidR="001A2CAF" w:rsidRPr="004B0BC2">
        <w:rPr>
          <w:rFonts w:asciiTheme="minorHAnsi" w:hAnsiTheme="minorHAnsi" w:cstheme="minorHAnsi"/>
          <w:sz w:val="22"/>
          <w:szCs w:val="22"/>
        </w:rPr>
        <w:t>CI</w:t>
      </w:r>
      <w:r w:rsidR="00176B73" w:rsidRPr="004B0BC2">
        <w:rPr>
          <w:rFonts w:asciiTheme="minorHAnsi" w:hAnsiTheme="minorHAnsi" w:cstheme="minorHAnsi"/>
          <w:sz w:val="22"/>
          <w:szCs w:val="22"/>
        </w:rPr>
        <w:t>:</w:t>
      </w:r>
      <w:r w:rsidR="001A2CAF" w:rsidRPr="004B0BC2">
        <w:rPr>
          <w:rFonts w:asciiTheme="minorHAnsi" w:hAnsiTheme="minorHAnsi" w:cstheme="minorHAnsi"/>
          <w:sz w:val="22"/>
          <w:szCs w:val="22"/>
        </w:rPr>
        <w:t xml:space="preserve"> </w:t>
      </w:r>
      <w:r w:rsidRPr="004B0BC2">
        <w:rPr>
          <w:rFonts w:asciiTheme="minorHAnsi" w:hAnsiTheme="minorHAnsi" w:cstheme="minorHAnsi"/>
          <w:sz w:val="22"/>
          <w:szCs w:val="22"/>
        </w:rPr>
        <w:t>1.60-1.91); uncontrolled diabetes (HR</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 xml:space="preserve"> 2.36</w:t>
      </w:r>
      <w:r w:rsidR="00176B73" w:rsidRPr="004B0BC2">
        <w:rPr>
          <w:rFonts w:asciiTheme="minorHAnsi" w:hAnsiTheme="minorHAnsi" w:cstheme="minorHAnsi"/>
          <w:sz w:val="22"/>
          <w:szCs w:val="22"/>
        </w:rPr>
        <w:t>,</w:t>
      </w:r>
      <w:r w:rsidRPr="004B0BC2">
        <w:rPr>
          <w:rFonts w:asciiTheme="minorHAnsi" w:hAnsiTheme="minorHAnsi" w:cstheme="minorHAnsi"/>
          <w:sz w:val="22"/>
          <w:szCs w:val="22"/>
        </w:rPr>
        <w:t xml:space="preserve"> 95%</w:t>
      </w:r>
      <w:r w:rsidR="0016702F" w:rsidRPr="004B0BC2">
        <w:rPr>
          <w:rFonts w:asciiTheme="minorHAnsi" w:hAnsiTheme="minorHAnsi" w:cstheme="minorHAnsi"/>
          <w:sz w:val="22"/>
          <w:szCs w:val="22"/>
        </w:rPr>
        <w:t xml:space="preserve"> </w:t>
      </w:r>
      <w:r w:rsidRPr="004B0BC2">
        <w:rPr>
          <w:rFonts w:asciiTheme="minorHAnsi" w:hAnsiTheme="minorHAnsi" w:cstheme="minorHAnsi"/>
          <w:sz w:val="22"/>
          <w:szCs w:val="22"/>
        </w:rPr>
        <w:t>CI</w:t>
      </w:r>
      <w:r w:rsidR="001A2CAF" w:rsidRPr="004B0BC2">
        <w:rPr>
          <w:rFonts w:asciiTheme="minorHAnsi" w:hAnsiTheme="minorHAnsi" w:cstheme="minorHAnsi"/>
          <w:sz w:val="22"/>
          <w:szCs w:val="22"/>
        </w:rPr>
        <w:t>:</w:t>
      </w:r>
      <w:r w:rsidRPr="004B0BC2">
        <w:rPr>
          <w:rFonts w:asciiTheme="minorHAnsi" w:hAnsiTheme="minorHAnsi" w:cstheme="minorHAnsi"/>
          <w:sz w:val="22"/>
          <w:szCs w:val="22"/>
        </w:rPr>
        <w:t xml:space="preserve"> 2.18-2.56)</w:t>
      </w:r>
      <w:r w:rsidR="00C27D9F" w:rsidRPr="004B0BC2">
        <w:rPr>
          <w:rFonts w:asciiTheme="minorHAnsi" w:hAnsiTheme="minorHAnsi" w:cstheme="minorHAnsi"/>
          <w:sz w:val="22"/>
          <w:szCs w:val="22"/>
        </w:rPr>
        <w:t xml:space="preserve"> and</w:t>
      </w:r>
      <w:r w:rsidRPr="004B0BC2">
        <w:rPr>
          <w:rFonts w:asciiTheme="minorHAnsi" w:hAnsiTheme="minorHAnsi" w:cstheme="minorHAnsi"/>
          <w:sz w:val="22"/>
          <w:szCs w:val="22"/>
        </w:rPr>
        <w:t xml:space="preserve"> severe asthma (HR</w:t>
      </w:r>
      <w:r w:rsidR="00176B73" w:rsidRPr="004B0BC2">
        <w:rPr>
          <w:rFonts w:asciiTheme="minorHAnsi" w:hAnsiTheme="minorHAnsi" w:cstheme="minorHAnsi"/>
          <w:sz w:val="22"/>
          <w:szCs w:val="22"/>
        </w:rPr>
        <w:t xml:space="preserve">: </w:t>
      </w:r>
      <w:r w:rsidRPr="004B0BC2">
        <w:rPr>
          <w:rFonts w:asciiTheme="minorHAnsi" w:hAnsiTheme="minorHAnsi" w:cstheme="minorHAnsi"/>
          <w:sz w:val="22"/>
          <w:szCs w:val="22"/>
        </w:rPr>
        <w:t>1.25</w:t>
      </w:r>
      <w:r w:rsidR="00176B73" w:rsidRPr="004B0BC2">
        <w:rPr>
          <w:rFonts w:asciiTheme="minorHAnsi" w:hAnsiTheme="minorHAnsi" w:cstheme="minorHAnsi"/>
          <w:sz w:val="22"/>
          <w:szCs w:val="22"/>
        </w:rPr>
        <w:t xml:space="preserve">, </w:t>
      </w:r>
      <w:r w:rsidR="001A2CAF" w:rsidRPr="004B0BC2">
        <w:rPr>
          <w:rFonts w:asciiTheme="minorHAnsi" w:hAnsiTheme="minorHAnsi" w:cstheme="minorHAnsi"/>
          <w:sz w:val="22"/>
          <w:szCs w:val="22"/>
        </w:rPr>
        <w:t>95%</w:t>
      </w:r>
      <w:r w:rsidR="0016702F" w:rsidRPr="004B0BC2">
        <w:rPr>
          <w:rFonts w:asciiTheme="minorHAnsi" w:hAnsiTheme="minorHAnsi" w:cstheme="minorHAnsi"/>
          <w:sz w:val="22"/>
          <w:szCs w:val="22"/>
        </w:rPr>
        <w:t xml:space="preserve"> </w:t>
      </w:r>
      <w:r w:rsidRPr="004B0BC2">
        <w:rPr>
          <w:rFonts w:asciiTheme="minorHAnsi" w:hAnsiTheme="minorHAnsi" w:cstheme="minorHAnsi"/>
          <w:sz w:val="22"/>
          <w:szCs w:val="22"/>
        </w:rPr>
        <w:t>CI</w:t>
      </w:r>
      <w:r w:rsidR="001A2CAF" w:rsidRPr="004B0BC2">
        <w:rPr>
          <w:rFonts w:asciiTheme="minorHAnsi" w:hAnsiTheme="minorHAnsi" w:cstheme="minorHAnsi"/>
          <w:sz w:val="22"/>
          <w:szCs w:val="22"/>
        </w:rPr>
        <w:t>:</w:t>
      </w:r>
      <w:r w:rsidR="00176B73" w:rsidRPr="004B0BC2">
        <w:rPr>
          <w:rFonts w:asciiTheme="minorHAnsi" w:hAnsiTheme="minorHAnsi" w:cstheme="minorHAnsi"/>
          <w:sz w:val="22"/>
          <w:szCs w:val="22"/>
        </w:rPr>
        <w:t xml:space="preserve"> </w:t>
      </w:r>
      <w:r w:rsidRPr="004B0BC2">
        <w:rPr>
          <w:rFonts w:asciiTheme="minorHAnsi" w:hAnsiTheme="minorHAnsi" w:cstheme="minorHAnsi"/>
          <w:sz w:val="22"/>
          <w:szCs w:val="22"/>
        </w:rPr>
        <w:t xml:space="preserve">1.08-1.44). </w:t>
      </w:r>
      <w:r w:rsidR="002D3665">
        <w:rPr>
          <w:rFonts w:asciiTheme="minorHAnsi" w:hAnsiTheme="minorHAnsi" w:cstheme="minorHAnsi"/>
          <w:sz w:val="22"/>
          <w:szCs w:val="22"/>
        </w:rPr>
        <w:t>A</w:t>
      </w:r>
      <w:r w:rsidRPr="004B0BC2">
        <w:rPr>
          <w:rFonts w:asciiTheme="minorHAnsi" w:hAnsiTheme="minorHAnsi" w:cstheme="minorHAnsi"/>
          <w:sz w:val="22"/>
          <w:szCs w:val="22"/>
        </w:rPr>
        <w:t xml:space="preserve"> prospective observational cohort study</w:t>
      </w:r>
      <w:r w:rsidR="00C27D9F" w:rsidRPr="004B0BC2">
        <w:rPr>
          <w:rFonts w:asciiTheme="minorHAnsi" w:hAnsiTheme="minorHAnsi" w:cstheme="minorHAnsi"/>
          <w:sz w:val="22"/>
          <w:szCs w:val="22"/>
        </w:rPr>
        <w:t xml:space="preserve"> in</w:t>
      </w:r>
      <w:r w:rsidRPr="004B0BC2">
        <w:rPr>
          <w:rFonts w:asciiTheme="minorHAnsi" w:hAnsiTheme="minorHAnsi" w:cstheme="minorHAnsi"/>
          <w:sz w:val="22"/>
          <w:szCs w:val="22"/>
        </w:rPr>
        <w:t xml:space="preserve"> 208 acute hospitals in </w:t>
      </w:r>
      <w:r w:rsidR="001A2CAF" w:rsidRPr="004B0BC2">
        <w:rPr>
          <w:rFonts w:asciiTheme="minorHAnsi" w:hAnsiTheme="minorHAnsi" w:cstheme="minorHAnsi"/>
          <w:sz w:val="22"/>
          <w:szCs w:val="22"/>
        </w:rPr>
        <w:t xml:space="preserve">the </w:t>
      </w:r>
      <w:r w:rsidR="002D3665">
        <w:rPr>
          <w:rFonts w:asciiTheme="minorHAnsi" w:hAnsiTheme="minorHAnsi" w:cstheme="minorHAnsi"/>
          <w:sz w:val="22"/>
          <w:szCs w:val="22"/>
        </w:rPr>
        <w:t xml:space="preserve">UK </w:t>
      </w:r>
      <w:r w:rsidR="001A2CAF" w:rsidRPr="004B0BC2">
        <w:rPr>
          <w:rFonts w:asciiTheme="minorHAnsi" w:hAnsiTheme="minorHAnsi" w:cstheme="minorHAnsi"/>
          <w:sz w:val="22"/>
          <w:szCs w:val="22"/>
        </w:rPr>
        <w:t>s</w:t>
      </w:r>
      <w:r w:rsidR="00AE1260" w:rsidRPr="004B0BC2">
        <w:rPr>
          <w:rFonts w:asciiTheme="minorHAnsi" w:hAnsiTheme="minorHAnsi" w:cstheme="minorHAnsi"/>
          <w:sz w:val="22"/>
          <w:szCs w:val="22"/>
        </w:rPr>
        <w:t xml:space="preserve"> </w:t>
      </w:r>
      <w:r w:rsidR="00DB3D0C" w:rsidRPr="004B0BC2">
        <w:rPr>
          <w:rFonts w:asciiTheme="minorHAnsi" w:hAnsiTheme="minorHAnsi" w:cstheme="minorHAnsi"/>
          <w:sz w:val="22"/>
          <w:szCs w:val="22"/>
        </w:rPr>
        <w:t>reported</w:t>
      </w:r>
      <w:r w:rsidR="00AE1260" w:rsidRPr="004B0BC2">
        <w:rPr>
          <w:rFonts w:asciiTheme="minorHAnsi" w:hAnsiTheme="minorHAnsi" w:cstheme="minorHAnsi"/>
          <w:sz w:val="22"/>
          <w:szCs w:val="22"/>
        </w:rPr>
        <w:t xml:space="preserve"> that</w:t>
      </w:r>
      <w:r w:rsidRPr="004B0BC2">
        <w:rPr>
          <w:rFonts w:asciiTheme="minorHAnsi" w:hAnsiTheme="minorHAnsi" w:cstheme="minorHAnsi"/>
          <w:sz w:val="22"/>
          <w:szCs w:val="22"/>
        </w:rPr>
        <w:t xml:space="preserve"> </w:t>
      </w:r>
      <w:r w:rsidR="00C27D9F" w:rsidRPr="004B0BC2">
        <w:rPr>
          <w:rFonts w:asciiTheme="minorHAnsi" w:hAnsiTheme="minorHAnsi" w:cstheme="minorHAnsi"/>
          <w:sz w:val="22"/>
          <w:szCs w:val="22"/>
        </w:rPr>
        <w:t xml:space="preserve">increasing age was associated with </w:t>
      </w:r>
      <w:r w:rsidRPr="004B0BC2">
        <w:rPr>
          <w:rFonts w:asciiTheme="minorHAnsi" w:hAnsiTheme="minorHAnsi" w:cstheme="minorHAnsi"/>
          <w:sz w:val="22"/>
          <w:szCs w:val="22"/>
        </w:rPr>
        <w:t xml:space="preserve">COVID-19 mortality </w:t>
      </w:r>
      <w:r w:rsidR="00176B73" w:rsidRPr="004B0BC2">
        <w:rPr>
          <w:rFonts w:asciiTheme="minorHAnsi" w:hAnsiTheme="minorHAnsi" w:cstheme="minorHAnsi"/>
          <w:sz w:val="22"/>
          <w:szCs w:val="22"/>
        </w:rPr>
        <w:t>(</w:t>
      </w:r>
      <w:r w:rsidRPr="004B0BC2">
        <w:rPr>
          <w:rFonts w:asciiTheme="minorHAnsi" w:hAnsiTheme="minorHAnsi" w:cstheme="minorHAnsi"/>
          <w:sz w:val="22"/>
          <w:szCs w:val="22"/>
          <w:shd w:val="clear" w:color="auto" w:fill="FFFFFF"/>
        </w:rPr>
        <w:t>50-59</w:t>
      </w:r>
      <w:r w:rsidR="002D3665">
        <w:rPr>
          <w:rFonts w:asciiTheme="minorHAnsi" w:hAnsiTheme="minorHAnsi" w:cstheme="minorHAnsi"/>
          <w:sz w:val="22"/>
          <w:szCs w:val="22"/>
          <w:shd w:val="clear" w:color="auto" w:fill="FFFFFF"/>
        </w:rPr>
        <w:t xml:space="preserve"> years</w:t>
      </w:r>
      <w:r w:rsidR="00176B73"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(HR</w:t>
      </w:r>
      <w:r w:rsidR="00176B73"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2.63</w:t>
      </w:r>
      <w:r w:rsidR="001A2CA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Pr="004B0BC2">
        <w:rPr>
          <w:rFonts w:asciiTheme="minorHAnsi" w:hAnsiTheme="minorHAnsi" w:cstheme="minorHAnsi"/>
          <w:sz w:val="22"/>
          <w:szCs w:val="22"/>
          <w:shd w:val="clear" w:color="auto" w:fill="FFFFFF"/>
        </w:rPr>
        <w:t>&lt;0.001)</w:t>
      </w:r>
      <w:r w:rsidR="00176B73"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60-69</w:t>
      </w:r>
      <w:r w:rsidR="00176B73" w:rsidRPr="004B0BC2">
        <w:rPr>
          <w:rFonts w:asciiTheme="minorHAnsi" w:hAnsiTheme="minorHAnsi" w:cstheme="minorHAnsi"/>
          <w:sz w:val="22"/>
          <w:szCs w:val="22"/>
          <w:shd w:val="clear" w:color="auto" w:fill="FFFFFF"/>
        </w:rPr>
        <w:t xml:space="preserve"> </w:t>
      </w:r>
      <w:r w:rsidR="002D3665">
        <w:rPr>
          <w:rFonts w:asciiTheme="minorHAnsi" w:hAnsiTheme="minorHAnsi" w:cstheme="minorHAnsi"/>
          <w:sz w:val="22"/>
          <w:szCs w:val="22"/>
          <w:shd w:val="clear" w:color="auto" w:fill="FFFFFF"/>
        </w:rPr>
        <w:t xml:space="preserve">years </w:t>
      </w:r>
      <w:r w:rsidR="001A2CAF" w:rsidRPr="004B0BC2">
        <w:rPr>
          <w:rFonts w:asciiTheme="minorHAnsi" w:hAnsiTheme="minorHAnsi" w:cstheme="minorHAnsi"/>
          <w:sz w:val="22"/>
          <w:szCs w:val="22"/>
          <w:shd w:val="clear" w:color="auto" w:fill="FFFFFF"/>
        </w:rPr>
        <w:t>(HR</w:t>
      </w:r>
      <w:r w:rsidR="00176B73" w:rsidRPr="004B0BC2">
        <w:rPr>
          <w:rFonts w:asciiTheme="minorHAnsi" w:hAnsiTheme="minorHAnsi" w:cstheme="minorHAnsi"/>
          <w:sz w:val="22"/>
          <w:szCs w:val="22"/>
          <w:shd w:val="clear" w:color="auto" w:fill="FFFFFF"/>
        </w:rPr>
        <w:t>:</w:t>
      </w:r>
      <w:r w:rsidR="001A2CAF"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4.99</w:t>
      </w:r>
      <w:r w:rsidR="001A2CAF"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Pr="004B0BC2">
        <w:rPr>
          <w:rFonts w:asciiTheme="minorHAnsi" w:hAnsiTheme="minorHAnsi" w:cstheme="minorHAnsi"/>
          <w:sz w:val="22"/>
          <w:szCs w:val="22"/>
          <w:shd w:val="clear" w:color="auto" w:fill="FFFFFF"/>
        </w:rPr>
        <w:t>&lt;0.001)</w:t>
      </w:r>
      <w:r w:rsidR="00176B73"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70-79</w:t>
      </w:r>
      <w:r w:rsidR="002D3665">
        <w:rPr>
          <w:rFonts w:asciiTheme="minorHAnsi" w:hAnsiTheme="minorHAnsi" w:cstheme="minorHAnsi"/>
          <w:sz w:val="22"/>
          <w:szCs w:val="22"/>
          <w:shd w:val="clear" w:color="auto" w:fill="FFFFFF"/>
        </w:rPr>
        <w:t xml:space="preserve"> years</w:t>
      </w:r>
      <w:r w:rsidR="00176B73" w:rsidRPr="004B0BC2">
        <w:rPr>
          <w:rFonts w:asciiTheme="minorHAnsi" w:hAnsiTheme="minorHAnsi" w:cstheme="minorHAnsi"/>
          <w:sz w:val="22"/>
          <w:szCs w:val="22"/>
          <w:shd w:val="clear" w:color="auto" w:fill="FFFFFF"/>
        </w:rPr>
        <w:t xml:space="preserve"> </w:t>
      </w:r>
      <w:r w:rsidR="001A2CAF" w:rsidRPr="004B0BC2">
        <w:rPr>
          <w:rFonts w:asciiTheme="minorHAnsi" w:hAnsiTheme="minorHAnsi" w:cstheme="minorHAnsi"/>
          <w:sz w:val="22"/>
          <w:szCs w:val="22"/>
          <w:shd w:val="clear" w:color="auto" w:fill="FFFFFF"/>
        </w:rPr>
        <w:t>(HR</w:t>
      </w:r>
      <w:r w:rsidR="00176B73" w:rsidRPr="004B0BC2">
        <w:rPr>
          <w:rFonts w:asciiTheme="minorHAnsi" w:hAnsiTheme="minorHAnsi" w:cstheme="minorHAnsi"/>
          <w:sz w:val="22"/>
          <w:szCs w:val="22"/>
          <w:shd w:val="clear" w:color="auto" w:fill="FFFFFF"/>
        </w:rPr>
        <w:t>:</w:t>
      </w:r>
      <w:r w:rsidR="001A2CAF"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 xml:space="preserve">8.51, </w:t>
      </w:r>
      <w:r w:rsidR="00567A8B" w:rsidRPr="004B0BC2">
        <w:rPr>
          <w:rFonts w:asciiTheme="minorHAnsi" w:hAnsiTheme="minorHAnsi" w:cstheme="minorHAnsi"/>
          <w:sz w:val="22"/>
          <w:szCs w:val="22"/>
          <w:shd w:val="clear" w:color="auto" w:fill="FFFFFF"/>
        </w:rPr>
        <w:t>p</w:t>
      </w:r>
      <w:r w:rsidRPr="004B0BC2">
        <w:rPr>
          <w:rFonts w:asciiTheme="minorHAnsi" w:hAnsiTheme="minorHAnsi" w:cstheme="minorHAnsi"/>
          <w:sz w:val="22"/>
          <w:szCs w:val="22"/>
          <w:shd w:val="clear" w:color="auto" w:fill="FFFFFF"/>
        </w:rPr>
        <w:t>&lt;0.001)</w:t>
      </w:r>
      <w:r w:rsidR="00176B73" w:rsidRPr="004B0BC2">
        <w:rPr>
          <w:rFonts w:asciiTheme="minorHAnsi" w:hAnsiTheme="minorHAnsi" w:cstheme="minorHAnsi"/>
          <w:sz w:val="22"/>
          <w:szCs w:val="22"/>
          <w:shd w:val="clear" w:color="auto" w:fill="FFFFFF"/>
        </w:rPr>
        <w:t xml:space="preserve"> and</w:t>
      </w:r>
      <w:r w:rsidRPr="004B0BC2">
        <w:rPr>
          <w:rFonts w:asciiTheme="minorHAnsi" w:hAnsiTheme="minorHAnsi" w:cstheme="minorHAnsi"/>
          <w:sz w:val="22"/>
          <w:szCs w:val="22"/>
          <w:shd w:val="clear" w:color="auto" w:fill="FFFFFF"/>
        </w:rPr>
        <w:t xml:space="preserve"> ≥80 years</w:t>
      </w:r>
      <w:r w:rsidR="001A2CAF" w:rsidRPr="004B0BC2">
        <w:rPr>
          <w:rFonts w:asciiTheme="minorHAnsi" w:hAnsiTheme="minorHAnsi" w:cstheme="minorHAnsi"/>
          <w:sz w:val="22"/>
          <w:szCs w:val="22"/>
          <w:shd w:val="clear" w:color="auto" w:fill="FFFFFF"/>
        </w:rPr>
        <w:t xml:space="preserve"> (HR</w:t>
      </w:r>
      <w:r w:rsidR="00176B73"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11.09</w:t>
      </w:r>
      <w:r w:rsidR="001A2CA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Pr="004B0BC2">
        <w:rPr>
          <w:rFonts w:asciiTheme="minorHAnsi" w:hAnsiTheme="minorHAnsi" w:cstheme="minorHAnsi"/>
          <w:sz w:val="22"/>
          <w:szCs w:val="22"/>
          <w:shd w:val="clear" w:color="auto" w:fill="FFFFFF"/>
        </w:rPr>
        <w:t>&lt;0.001)</w:t>
      </w:r>
      <w:r w:rsidR="002D3665"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{"citationItems":[{"id":"ITEM-1","itemData":{"DOI":"10.1136/bmj.m1985","ISSN":"17561833","PMID":"32444460","abstract":"AbstractObjective To characterise the clinical features of patients admitted to hospital with coronavirus disease 2019 (covid-19) in the United Kingdom during the growth phase of the first wave of this outbreak who were enrolled in the International Severe Acute Respiratory and emerging Infections Consortium (ISARIC) World Health Organization (WHO) Clinical Characterisation Protocol UK (CCP-UK) study, and to explore risk factors associated with mortality in hospital. Design Prospective observational cohort study with rapid data gathering and near real time analysis. Setting 208 acute care hospitals in England, Wales, and Scotland between 6 February and 19 April 2020. A case report form developed by ISARIC and WHO was used to collect clinical data. A minimal follow-up time of two weeks (to 3 May 2020) allowed most patients to complete their hospital admission. Participants 20 133 hospital inpatients with covid-19. Main outcome measures Admission to critical care (high dependency unit or intensive care unit) and mortality in hospital. Results The median age of patients admitted to hospital with covid-19, or with a diagnosis of covid-19 made in hospital, was 73 years (interquartile range 58-82, range 0-104). More men were admitted than women (men 60%, n=12 068; women 40%, n=8065). The median duration of symptoms before admission was 4 days (interquartile range 1-8). The commonest comorbidities were chronic cardiac disease (31%, 5469/17 702), uncomplicated diabetes (21%, 3650/17 599), non-asthmatic chronic pulmonary disease (18%, 3128/17 634), and chronic kidney disease (16%, 2830/17 506); 23% (4161/18 525) had no reported major comorbidity. Overall, 41% (8199/20 133) of patients were discharged alive, 26% (5165/20 133) died, and 34% (6769/20 133) continued to receive care at the reporting date. 17% (3001/18 183) required admission to high dependency or intensive care units; of these, 28% (826/3001) were discharged alive, 32% (958/3001) died, and 41% (1217/3001) continued to receive care at the reporting date. Of those receiving mechanical ventilation, 17% (276/1658) were discharged alive, 37% (618/1658) died, and 46% (764/1658) remained in hospital. Increasing age, male sex, and comorbidities including chronic cardiac disease, non-asthmatic chronic pulmonary disease, chronic kidney disease, liver disease and obesity were associated with higher mortality in hospital. Conclusions ISARIC WHO CCP-UK is a large prospective cohort study of patients in hospital w…","author":[{"dropping-particle":"","family":"Docherty","given":"Annemarie B.","non-dropping-particle":"","parse-names":false,"suffix":""},{"dropping-particle":"","family":"Harrison","given":"Ewen M.","non-dropping-particle":"","parse-names":false,"suffix":""},{"dropping-particle":"","family":"Green","given":"Christopher A.","non-dropping-particle":"","parse-names":false,"suffix":""},{"dropping-particle":"","family":"Hardwick","given":"Hayley E.","non-dropping-particle":"","parse-names":false,"suffix":""},{"dropping-particle":"","family":"Pius","given":"Riinu","non-dropping-particle":"","parse-names":false,"suffix":""},{"dropping-particle":"","family":"Norman","given":"Lisa","non-dropping-particle":"","parse-names":false,"suffix":""},{"dropping-particle":"","family":"Holden","given":"Karl A.","non-dropping-particle":"","parse-names":false,"suffix":""},{"dropping-particle":"","family":"Read","given":"Jonathan M.","non-dropping-particle":"","parse-names":false,"suffix":""},{"dropping-particle":"","family":"Dondelinger","given":"Frank","non-dropping-particle":"","parse-names":false,"suffix":""},{"dropping-particle":"","family":"Carson","given":"Gail","non-dropping-particle":"","parse-names":false,"suffix":""},{"dropping-particle":"","family":"Merson","given":"Laura","non-dropping-particle":"","parse-names":false,"suffix":""},{"dropping-particle":"","family":"Lee","given":"James","non-dropping-particle":"","parse-names":false,"suffix":""},{"dropping-particle":"","family":"Plotkin","given":"Daniel","non-dropping-particle":"","parse-names":false,"suffix":""},{"dropping-particle":"","family":"Sigfrid","given":"Louise","non-dropping-particle":"","parse-names":false,"suffix":""},{"dropping-particle":"","family":"Halpin","given":"Sophie","non-dropping-particle":"","parse-names":false,"suffix":""},{"dropping-particle":"","family":"Jackson","given":"Clare","non-dropping-particle":"","parse-names":false,"suffix":""},{"dropping-particle":"","family":"Gamble","given":"Carrol","non-dropping-particle":"","parse-names":false,"suffix":""},{"dropping-particle":"","family":"Horby","given":"Peter W.","non-dropping-particle":"","parse-names":false,"suffix":""},{"dropping-particle":"","family":"Nguyen-Van-Tam","given":"Jonathan S.","non-dropping-particle":"","parse-names":false,"suffix":""},{"dropping-particle":"","family":"Ho","given":"Antonia","non-dropping-particle":"","parse-names":false,"suffix":""},{"dropping-particle":"","family":"Russell","given":"Clark D.","non-dropping-particle":"","parse-names":false,"suffix":""},{"dropping-particle":"","family":"Dunning","given":"Jake","non-dropping-particle":"","parse-names":false,"suffix":""},{"dropping-particle":"","family":"Openshaw","given":"Peter J.M.","non-dropping-particle":"","parse-names":false,"suffix":""},{"dropping-particle":"","family":"Baillie","given":"J. Kenneth","non-dropping-particle":"","parse-names":false,"suffix":""},{"dropping-particle":"","family":"Semple","given":"Malcolm G.","non-dropping-particle":"","parse-names":false,"suffix":""}],"container-title":"The BMJ","id":"ITEM-1","issued":{"date-parts":[["2020"]]},"page":"1-12","title":"Features of 20 133 UK patients in hospital with covid-19 using the ISARIC WHO Clinical Characterisation Protocol: Prospective observational cohort study","type":"article-journal","volume":"369"},"uris":["http://www.mendeley.com/documents/?uuid=df89288f-0028-41c3-be54-79b748369688"]}],"mendeley":{"formattedCitation":"(32)","plainTextFormattedCitation":"(32)","previouslyFormattedCitation":"(32)"},"properties":{"noteIndex":0},"schema":"https://github.com/citation-style-language/schema/raw/master/csl-citation.json"}</w:instrText>
      </w:r>
      <w:r w:rsidR="002D3665"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(32)</w:t>
      </w:r>
      <w:r w:rsidR="002D3665" w:rsidRPr="004B0BC2">
        <w:rPr>
          <w:rFonts w:asciiTheme="minorHAnsi" w:hAnsiTheme="minorHAnsi" w:cstheme="minorHAnsi"/>
          <w:sz w:val="22"/>
          <w:szCs w:val="22"/>
        </w:rPr>
        <w:fldChar w:fldCharType="end"/>
      </w:r>
      <w:r w:rsidRPr="004B0BC2">
        <w:rPr>
          <w:rFonts w:asciiTheme="minorHAnsi" w:hAnsiTheme="minorHAnsi" w:cstheme="minorHAnsi"/>
          <w:sz w:val="22"/>
          <w:szCs w:val="22"/>
          <w:shd w:val="clear" w:color="auto" w:fill="FFFFFF"/>
        </w:rPr>
        <w:t>.</w:t>
      </w:r>
      <w:r w:rsidR="001A2CA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Other factors</w:t>
      </w:r>
      <w:r w:rsidR="001A2CAF" w:rsidRPr="004B0BC2">
        <w:rPr>
          <w:rFonts w:asciiTheme="minorHAnsi" w:hAnsiTheme="minorHAnsi" w:cstheme="minorHAnsi"/>
          <w:sz w:val="22"/>
          <w:szCs w:val="22"/>
          <w:shd w:val="clear" w:color="auto" w:fill="FFFFFF"/>
        </w:rPr>
        <w:t xml:space="preserve"> reported to be</w:t>
      </w:r>
      <w:r w:rsidR="00C27D9F" w:rsidRPr="004B0BC2">
        <w:rPr>
          <w:rFonts w:asciiTheme="minorHAnsi" w:hAnsiTheme="minorHAnsi" w:cstheme="minorHAnsi"/>
          <w:sz w:val="22"/>
          <w:szCs w:val="22"/>
          <w:shd w:val="clear" w:color="auto" w:fill="FFFFFF"/>
        </w:rPr>
        <w:t xml:space="preserve"> associated with increased COVID-19 mortality were </w:t>
      </w:r>
      <w:r w:rsidR="007D23D7" w:rsidRPr="004B0BC2">
        <w:rPr>
          <w:rFonts w:asciiTheme="minorHAnsi" w:hAnsiTheme="minorHAnsi" w:cstheme="minorHAnsi"/>
          <w:sz w:val="22"/>
          <w:szCs w:val="22"/>
          <w:shd w:val="clear" w:color="auto" w:fill="FFFFFF"/>
        </w:rPr>
        <w:t>c</w:t>
      </w:r>
      <w:r w:rsidR="00C27D9F" w:rsidRPr="004B0BC2">
        <w:rPr>
          <w:rFonts w:asciiTheme="minorHAnsi" w:hAnsiTheme="minorHAnsi" w:cstheme="minorHAnsi"/>
          <w:sz w:val="22"/>
          <w:szCs w:val="22"/>
          <w:shd w:val="clear" w:color="auto" w:fill="FFFFFF"/>
        </w:rPr>
        <w:t>hronic cardiac disease</w:t>
      </w:r>
      <w:r w:rsidR="001A2CA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(HR</w:t>
      </w:r>
      <w:r w:rsidR="00176B73"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1.16, 95% CI</w:t>
      </w:r>
      <w:r w:rsidR="00176B73"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1.08-1.24</w:t>
      </w:r>
      <w:r w:rsidR="00176B73"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C27D9F" w:rsidRPr="004B0BC2">
        <w:rPr>
          <w:rFonts w:asciiTheme="minorHAnsi" w:hAnsiTheme="minorHAnsi" w:cstheme="minorHAnsi"/>
          <w:sz w:val="22"/>
          <w:szCs w:val="22"/>
          <w:shd w:val="clear" w:color="auto" w:fill="FFFFFF"/>
        </w:rPr>
        <w:t>&lt;0.001), chronic non-asthmatic pulmonary disease</w:t>
      </w:r>
      <w:r w:rsidR="001A2CA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(HR</w:t>
      </w:r>
      <w:r w:rsidR="00176B73"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1.17, 95%</w:t>
      </w:r>
      <w:r w:rsidR="0016702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CI</w:t>
      </w:r>
      <w:r w:rsidR="001A2CA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1.09-1.27</w:t>
      </w:r>
      <w:r w:rsidR="001A2CA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C27D9F" w:rsidRPr="004B0BC2">
        <w:rPr>
          <w:rFonts w:asciiTheme="minorHAnsi" w:hAnsiTheme="minorHAnsi" w:cstheme="minorHAnsi"/>
          <w:sz w:val="22"/>
          <w:szCs w:val="22"/>
          <w:shd w:val="clear" w:color="auto" w:fill="FFFFFF"/>
        </w:rPr>
        <w:t>&lt;0.001), chronic kidney disease</w:t>
      </w:r>
      <w:r w:rsidR="001A2CA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(HR</w:t>
      </w:r>
      <w:r w:rsidR="00176B73"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1.28, 95%</w:t>
      </w:r>
      <w:r w:rsidR="0016702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lastRenderedPageBreak/>
        <w:t>CI</w:t>
      </w:r>
      <w:r w:rsidR="001A2CA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1.18-1.39</w:t>
      </w:r>
      <w:r w:rsidR="001A2CA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C27D9F" w:rsidRPr="004B0BC2">
        <w:rPr>
          <w:rFonts w:asciiTheme="minorHAnsi" w:hAnsiTheme="minorHAnsi" w:cstheme="minorHAnsi"/>
          <w:sz w:val="22"/>
          <w:szCs w:val="22"/>
          <w:shd w:val="clear" w:color="auto" w:fill="FFFFFF"/>
        </w:rPr>
        <w:t>&lt;0.001), obesity</w:t>
      </w:r>
      <w:r w:rsidR="001A2CA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(HR</w:t>
      </w:r>
      <w:r w:rsidR="00176B73"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1.33, 95%</w:t>
      </w:r>
      <w:r w:rsidR="0016702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CI</w:t>
      </w:r>
      <w:r w:rsidR="001A2CA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1.19-1.49</w:t>
      </w:r>
      <w:r w:rsidR="001A2CA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1A2CAF" w:rsidRPr="004B0BC2">
        <w:rPr>
          <w:rFonts w:asciiTheme="minorHAnsi" w:hAnsiTheme="minorHAnsi" w:cstheme="minorHAnsi"/>
          <w:sz w:val="22"/>
          <w:szCs w:val="22"/>
          <w:shd w:val="clear" w:color="auto" w:fill="FFFFFF"/>
        </w:rPr>
        <w:t>&lt;0.001</w:t>
      </w:r>
      <w:r w:rsidR="00C27D9F" w:rsidRPr="004B0BC2">
        <w:rPr>
          <w:rFonts w:asciiTheme="minorHAnsi" w:hAnsiTheme="minorHAnsi" w:cstheme="minorHAnsi"/>
          <w:sz w:val="22"/>
          <w:szCs w:val="22"/>
          <w:shd w:val="clear" w:color="auto" w:fill="FFFFFF"/>
        </w:rPr>
        <w:t>)</w:t>
      </w:r>
      <w:r w:rsidR="00683B68"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chronic neurological disorder (HR</w:t>
      </w:r>
      <w:r w:rsidR="00176B73"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1.17, 95%</w:t>
      </w:r>
      <w:r w:rsidR="0016702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CI</w:t>
      </w:r>
      <w:r w:rsidR="00683B68"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1.06-1.29</w:t>
      </w:r>
      <w:r w:rsidR="00683B68"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C27D9F" w:rsidRPr="004B0BC2">
        <w:rPr>
          <w:rFonts w:asciiTheme="minorHAnsi" w:hAnsiTheme="minorHAnsi" w:cstheme="minorHAnsi"/>
          <w:sz w:val="22"/>
          <w:szCs w:val="22"/>
          <w:shd w:val="clear" w:color="auto" w:fill="FFFFFF"/>
        </w:rPr>
        <w:t>=0.001), dementia</w:t>
      </w:r>
      <w:r w:rsidR="00683B68"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(HR</w:t>
      </w:r>
      <w:r w:rsidR="0016702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1.40, 95% CI</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1.28-1.52</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C27D9F" w:rsidRPr="004B0BC2">
        <w:rPr>
          <w:rFonts w:asciiTheme="minorHAnsi" w:hAnsiTheme="minorHAnsi" w:cstheme="minorHAnsi"/>
          <w:sz w:val="22"/>
          <w:szCs w:val="22"/>
          <w:shd w:val="clear" w:color="auto" w:fill="FFFFFF"/>
        </w:rPr>
        <w:t>&lt;0.001), malignancy (HR</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1.13, 95% CI</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1.02-1.24</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C27D9F" w:rsidRPr="004B0BC2">
        <w:rPr>
          <w:rFonts w:asciiTheme="minorHAnsi" w:hAnsiTheme="minorHAnsi" w:cstheme="minorHAnsi"/>
          <w:sz w:val="22"/>
          <w:szCs w:val="22"/>
          <w:shd w:val="clear" w:color="auto" w:fill="FFFFFF"/>
        </w:rPr>
        <w:t>=0.017</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and liver disease (HR</w:t>
      </w:r>
      <w:r w:rsidR="0016702F" w:rsidRPr="004B0BC2">
        <w:rPr>
          <w:rFonts w:asciiTheme="minorHAnsi" w:hAnsiTheme="minorHAnsi" w:cstheme="minorHAnsi"/>
          <w:sz w:val="22"/>
          <w:szCs w:val="22"/>
          <w:shd w:val="clear" w:color="auto" w:fill="FFFFFF"/>
        </w:rPr>
        <w:t xml:space="preserve">: </w:t>
      </w:r>
      <w:r w:rsidR="00C27D9F" w:rsidRPr="004B0BC2">
        <w:rPr>
          <w:rFonts w:asciiTheme="minorHAnsi" w:hAnsiTheme="minorHAnsi" w:cstheme="minorHAnsi"/>
          <w:sz w:val="22"/>
          <w:szCs w:val="22"/>
          <w:shd w:val="clear" w:color="auto" w:fill="FFFFFF"/>
        </w:rPr>
        <w:t>1.51, 95% CI</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1.21-1.88</w:t>
      </w:r>
      <w:r w:rsidR="0016702F" w:rsidRPr="004B0BC2">
        <w:rPr>
          <w:rFonts w:asciiTheme="minorHAnsi" w:hAnsiTheme="minorHAnsi" w:cstheme="minorHAnsi"/>
          <w:sz w:val="22"/>
          <w:szCs w:val="22"/>
          <w:shd w:val="clear" w:color="auto" w:fill="FFFFFF"/>
        </w:rPr>
        <w:t>,</w:t>
      </w:r>
      <w:r w:rsidR="00C27D9F" w:rsidRPr="004B0BC2">
        <w:rPr>
          <w:rFonts w:asciiTheme="minorHAnsi" w:hAnsiTheme="minorHAnsi" w:cstheme="minorHAnsi"/>
          <w:sz w:val="22"/>
          <w:szCs w:val="22"/>
          <w:shd w:val="clear" w:color="auto" w:fill="FFFFFF"/>
        </w:rPr>
        <w:t xml:space="preserve"> </w:t>
      </w:r>
      <w:r w:rsidR="00567A8B" w:rsidRPr="004B0BC2">
        <w:rPr>
          <w:rFonts w:asciiTheme="minorHAnsi" w:hAnsiTheme="minorHAnsi" w:cstheme="minorHAnsi"/>
          <w:sz w:val="22"/>
          <w:szCs w:val="22"/>
          <w:shd w:val="clear" w:color="auto" w:fill="FFFFFF"/>
        </w:rPr>
        <w:t>p</w:t>
      </w:r>
      <w:r w:rsidR="00C27D9F" w:rsidRPr="004B0BC2">
        <w:rPr>
          <w:rFonts w:asciiTheme="minorHAnsi" w:hAnsiTheme="minorHAnsi" w:cstheme="minorHAnsi"/>
          <w:sz w:val="22"/>
          <w:szCs w:val="22"/>
          <w:shd w:val="clear" w:color="auto" w:fill="FFFFFF"/>
        </w:rPr>
        <w:t>&lt;0.001).</w:t>
      </w:r>
      <w:r w:rsidRPr="004B0BC2">
        <w:rPr>
          <w:rFonts w:asciiTheme="minorHAnsi" w:hAnsiTheme="minorHAnsi" w:cstheme="minorHAnsi"/>
          <w:sz w:val="22"/>
          <w:szCs w:val="22"/>
          <w:shd w:val="clear" w:color="auto" w:fill="FFFFFF"/>
        </w:rPr>
        <w:t xml:space="preserve"> Female sex was associated with lower mortality (</w:t>
      </w:r>
      <w:r w:rsidR="00091A0A" w:rsidRPr="004B0BC2">
        <w:rPr>
          <w:rFonts w:asciiTheme="minorHAnsi" w:hAnsiTheme="minorHAnsi" w:cstheme="minorHAnsi"/>
          <w:sz w:val="22"/>
          <w:szCs w:val="22"/>
          <w:shd w:val="clear" w:color="auto" w:fill="FFFFFF"/>
        </w:rPr>
        <w:t xml:space="preserve">HR: </w:t>
      </w:r>
      <w:r w:rsidRPr="004B0BC2">
        <w:rPr>
          <w:rFonts w:asciiTheme="minorHAnsi" w:hAnsiTheme="minorHAnsi" w:cstheme="minorHAnsi"/>
          <w:sz w:val="22"/>
          <w:szCs w:val="22"/>
          <w:shd w:val="clear" w:color="auto" w:fill="FFFFFF"/>
        </w:rPr>
        <w:t>0.81,</w:t>
      </w:r>
      <w:r w:rsidR="00091A0A" w:rsidRPr="004B0BC2">
        <w:rPr>
          <w:rFonts w:asciiTheme="minorHAnsi" w:hAnsiTheme="minorHAnsi" w:cstheme="minorHAnsi"/>
          <w:sz w:val="22"/>
          <w:szCs w:val="22"/>
          <w:shd w:val="clear" w:color="auto" w:fill="FFFFFF"/>
        </w:rPr>
        <w:t xml:space="preserve"> 95% CI</w:t>
      </w:r>
      <w:r w:rsidRPr="004B0BC2">
        <w:rPr>
          <w:rFonts w:asciiTheme="minorHAnsi" w:hAnsiTheme="minorHAnsi" w:cstheme="minorHAnsi"/>
          <w:sz w:val="22"/>
          <w:szCs w:val="22"/>
          <w:shd w:val="clear" w:color="auto" w:fill="FFFFFF"/>
        </w:rPr>
        <w:t xml:space="preserve"> 0.75 to 0.86, </w:t>
      </w:r>
      <w:r w:rsidR="00567A8B" w:rsidRPr="004B0BC2">
        <w:rPr>
          <w:rFonts w:asciiTheme="minorHAnsi" w:hAnsiTheme="minorHAnsi" w:cstheme="minorHAnsi"/>
          <w:sz w:val="22"/>
          <w:szCs w:val="22"/>
          <w:shd w:val="clear" w:color="auto" w:fill="FFFFFF"/>
        </w:rPr>
        <w:t>p</w:t>
      </w:r>
      <w:r w:rsidRPr="004B0BC2">
        <w:rPr>
          <w:rFonts w:asciiTheme="minorHAnsi" w:hAnsiTheme="minorHAnsi" w:cstheme="minorHAnsi"/>
          <w:sz w:val="22"/>
          <w:szCs w:val="22"/>
          <w:shd w:val="clear" w:color="auto" w:fill="FFFFFF"/>
        </w:rPr>
        <w:t xml:space="preserve">&lt;0.001). </w:t>
      </w:r>
      <w:r w:rsidR="00F122F1">
        <w:rPr>
          <w:rFonts w:asciiTheme="minorHAnsi" w:hAnsiTheme="minorHAnsi" w:cstheme="minorHAnsi"/>
          <w:sz w:val="22"/>
          <w:szCs w:val="22"/>
        </w:rPr>
        <w:t>A</w:t>
      </w:r>
      <w:r w:rsidR="00C27D9F" w:rsidRPr="004B0BC2">
        <w:rPr>
          <w:rFonts w:asciiTheme="minorHAnsi" w:hAnsiTheme="minorHAnsi" w:cstheme="minorHAnsi"/>
          <w:sz w:val="22"/>
          <w:szCs w:val="22"/>
        </w:rPr>
        <w:t xml:space="preserve"> </w:t>
      </w:r>
      <w:r w:rsidRPr="004B0BC2">
        <w:rPr>
          <w:rFonts w:asciiTheme="minorHAnsi" w:hAnsiTheme="minorHAnsi" w:cstheme="minorHAnsi"/>
          <w:sz w:val="22"/>
          <w:szCs w:val="22"/>
        </w:rPr>
        <w:t>population cohort study</w:t>
      </w:r>
      <w:r w:rsidR="001C0FAD" w:rsidRPr="004B0BC2">
        <w:rPr>
          <w:rFonts w:asciiTheme="minorHAnsi" w:hAnsiTheme="minorHAnsi" w:cstheme="minorHAnsi"/>
          <w:sz w:val="22"/>
          <w:szCs w:val="22"/>
        </w:rPr>
        <w:t xml:space="preserve"> using data from England</w:t>
      </w:r>
      <w:r w:rsidRPr="004B0BC2">
        <w:rPr>
          <w:rFonts w:asciiTheme="minorHAnsi" w:hAnsiTheme="minorHAnsi" w:cstheme="minorHAnsi"/>
          <w:sz w:val="22"/>
          <w:szCs w:val="22"/>
        </w:rPr>
        <w:t xml:space="preserve"> assess</w:t>
      </w:r>
      <w:r w:rsidR="00F122F1">
        <w:rPr>
          <w:rFonts w:asciiTheme="minorHAnsi" w:hAnsiTheme="minorHAnsi" w:cstheme="minorHAnsi"/>
          <w:sz w:val="22"/>
          <w:szCs w:val="22"/>
        </w:rPr>
        <w:t>ed</w:t>
      </w:r>
      <w:r w:rsidRPr="004B0BC2">
        <w:rPr>
          <w:rFonts w:asciiTheme="minorHAnsi" w:hAnsiTheme="minorHAnsi" w:cstheme="minorHAnsi"/>
          <w:sz w:val="22"/>
          <w:szCs w:val="22"/>
        </w:rPr>
        <w:t xml:space="preserve"> whether the presence of diabetes </w:t>
      </w:r>
      <w:r w:rsidR="00C27D9F" w:rsidRPr="004B0BC2">
        <w:rPr>
          <w:rFonts w:asciiTheme="minorHAnsi" w:hAnsiTheme="minorHAnsi" w:cstheme="minorHAnsi"/>
          <w:sz w:val="22"/>
          <w:szCs w:val="22"/>
        </w:rPr>
        <w:t>a</w:t>
      </w:r>
      <w:r w:rsidRPr="004B0BC2">
        <w:rPr>
          <w:rFonts w:asciiTheme="minorHAnsi" w:hAnsiTheme="minorHAnsi" w:cstheme="minorHAnsi"/>
          <w:sz w:val="22"/>
          <w:szCs w:val="22"/>
        </w:rPr>
        <w:t>ffected the risk of COVID-19 mortality</w:t>
      </w:r>
      <w:r w:rsidR="00F122F1"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{"citationItems":[{"id":"ITEM-1","itemData":{"DOI":"10.1016/S2213-8587(20)30272-2","ISSN":"22138595","PMID":"32798472","abstract":"Background: Although diabetes has been associated with COVID-19-related mortality, the absolute and relative risks for type 1 and type 2 diabetes are unknown. We assessed the independent effects of diabetes status, by type, on in-hospital death in England in patients with COVID-19 during the period from March 1 to May 11, 2020. Methods: We did a whole-population study assessing risks of in-hospital death with COVID-19 between March 1 and May 11, 2020. We included all individuals registered with a general practice in England who were alive on Feb 16, 2020. We used multivariable logistic regression to examine the effect of diabetes status, by type, on in-hospital death with COVID-19, adjusting for demographic factors and cardiovascular comorbidities. Because of the absence of data on total numbers of people infected with COVID-19 during the observation period, we calculated mortality rates for the population as a whole, rather than the population who were infected. Findings: Of the 61 414 470 individuals who were alive and registered with a general practice on Feb 16, 2020, 263 830 (0·4%) had a recorded diagnosis of type 1 diabetes, 2 864 670 (4·7%) had a diagnosis of type 2 diabetes, 41 750 (0·1%) had other types of diabetes, and 58 244 220 (94·8%) had no diabetes. 23 698 in-hospital COVID-19-related deaths occurred during the study period. A third occurred in people with diabetes: 7434 (31·4%) in people with type 2 diabetes, 364 (1·5%) in those with type 1 diabetes, and 69 (0·3%) in people with other types of diabetes. Unadjusted mortality rates per 100 000 people over the 72-day period were 27 (95% CI 27–28) for those without diabetes, 138 (124–153) for those with type 1 diabetes, and 260 (254–265) for those with type 2 diabetes. Adjusted for age, sex, deprivation, ethnicity, and geographical region, compared with people without diabetes, the odds ratios (ORs) for in-hospital COVID-19-related death were 3·51 (95% CI 3·16–3·90) in people with type 1 diabetes and 2·03 (1·97–2·09) in people with type 2 diabetes. These effects were attenuated to ORs of 2·86 (2·58–3·18) for type 1 diabetes and 1·80 (1·75–1·86) for type 2 diabetes when also adjusted for previous hospital admissions with coronary heart disease, cerebrovascular disease, or heart failure. Interpretation: The results of this nationwide analysis in England show that type 1 and type 2 diabetes were both independently associated with a significant increased odds of in-hospital death with COVID-19. …","author":[{"dropping-particle":"","family":"Barron","given":"Emma","non-dropping-particle":"","parse-names":false,"suffix":""},{"dropping-particle":"","family":"Bakhai","given":"Chirag","non-dropping-particle":"","parse-names":false,"suffix":""},{"dropping-particle":"","family":"Kar","given":"Partha","non-dropping-particle":"","parse-names":false,"suffix":""},{"dropping-particle":"","family":"Weaver","given":"Andy","non-dropping-particle":"","parse-names":false,"suffix":""},{"dropping-particle":"","family":"Bradley","given":"Dominique","non-dropping-particle":"","parse-names":false,"suffix":""},{"dropping-particle":"","family":"Ismail","given":"Hassan","non-dropping-particle":"","parse-names":false,"suffix":""},{"dropping-particle":"","family":"Knighton","given":"Peter","non-dropping-particle":"","parse-names":false,"suffix":""},{"dropping-particle":"","family":"Holman","given":"Naomi","non-dropping-particle":"","parse-names":false,"suffix":""},{"dropping-particle":"","family":"Khunti","given":"Kamlesh","non-dropping-particle":"","parse-names":false,"suffix":""},{"dropping-particle":"","family":"Sattar","given":"Naveed","non-dropping-particle":"","parse-names":false,"suffix":""},{"dropping-particle":"","family":"Wareham","given":"Nicholas J.","non-dropping-particle":"","parse-names":false,"suffix":""},{"dropping-particle":"","family":"Young","given":"Bob","non-dropping-particle":"","parse-names":false,"suffix":""},{"dropping-particle":"","family":"Valabhji","given":"Jonathan","non-dropping-particle":"","parse-names":false,"suffix":""}],"container-title":"The Lancet Diabetes and Endocrinology","id":"ITEM-1","issue":"10","issued":{"date-parts":[["2020"]]},"page":"813-822","title":"Associations of type 1 and type 2 diabetes with COVID-19-related mortality in England: a whole-population study","type":"article-journal","volume":"8"},"uris":["http://www.mendeley.com/documents/?uuid=d75921bd-24e2-4f3e-9a96-3e070273a47f"]}],"mendeley":{"formattedCitation":"(33)","plainTextFormattedCitation":"(33)","previouslyFormattedCitation":"(33)"},"properties":{"noteIndex":0},"schema":"https://github.com/citation-style-language/schema/raw/master/csl-citation.json"}</w:instrText>
      </w:r>
      <w:r w:rsidR="00F122F1"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(33)</w:t>
      </w:r>
      <w:r w:rsidR="00F122F1"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rPr>
        <w:t>. The authors reported that</w:t>
      </w:r>
      <w:r w:rsidR="001C0FAD" w:rsidRPr="004B0BC2">
        <w:rPr>
          <w:rFonts w:asciiTheme="minorHAnsi" w:hAnsiTheme="minorHAnsi" w:cstheme="minorHAnsi"/>
          <w:sz w:val="22"/>
          <w:szCs w:val="22"/>
        </w:rPr>
        <w:t xml:space="preserve"> the factors associated with increased COVID-19 mortality were</w:t>
      </w:r>
      <w:r w:rsidRPr="004B0BC2">
        <w:rPr>
          <w:rFonts w:asciiTheme="minorHAnsi" w:hAnsiTheme="minorHAnsi" w:cstheme="minorHAnsi"/>
          <w:sz w:val="22"/>
          <w:szCs w:val="22"/>
        </w:rPr>
        <w:t xml:space="preserve"> male sex</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(OR</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1.9</w:t>
      </w:r>
      <w:r w:rsidR="008A2D20" w:rsidRPr="004B0BC2">
        <w:rPr>
          <w:rFonts w:asciiTheme="minorHAnsi" w:hAnsiTheme="minorHAnsi" w:cstheme="minorHAnsi"/>
          <w:sz w:val="22"/>
          <w:szCs w:val="22"/>
        </w:rPr>
        <w:t>4</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95% CI</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1.8</w:t>
      </w:r>
      <w:r w:rsidR="008A2D20" w:rsidRPr="004B0BC2">
        <w:rPr>
          <w:rFonts w:asciiTheme="minorHAnsi" w:hAnsiTheme="minorHAnsi" w:cstheme="minorHAnsi"/>
          <w:sz w:val="22"/>
          <w:szCs w:val="22"/>
        </w:rPr>
        <w:t>9</w:t>
      </w:r>
      <w:r w:rsidRPr="004B0BC2">
        <w:rPr>
          <w:rFonts w:asciiTheme="minorHAnsi" w:hAnsiTheme="minorHAnsi" w:cstheme="minorHAnsi"/>
          <w:sz w:val="22"/>
          <w:szCs w:val="22"/>
        </w:rPr>
        <w:t>-1.9</w:t>
      </w:r>
      <w:r w:rsidR="008A2D20" w:rsidRPr="004B0BC2">
        <w:rPr>
          <w:rFonts w:asciiTheme="minorHAnsi" w:hAnsiTheme="minorHAnsi" w:cstheme="minorHAnsi"/>
          <w:sz w:val="22"/>
          <w:szCs w:val="22"/>
        </w:rPr>
        <w:t>9</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p&lt;0.001), increasing age</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(70-79</w:t>
      </w:r>
      <w:r w:rsidR="00091A0A" w:rsidRPr="004B0BC2">
        <w:rPr>
          <w:rFonts w:asciiTheme="minorHAnsi" w:hAnsiTheme="minorHAnsi" w:cstheme="minorHAnsi"/>
          <w:sz w:val="22"/>
          <w:szCs w:val="22"/>
        </w:rPr>
        <w:t xml:space="preserve"> years </w:t>
      </w:r>
      <w:r w:rsidRPr="004B0BC2">
        <w:rPr>
          <w:rFonts w:asciiTheme="minorHAnsi" w:hAnsiTheme="minorHAnsi" w:cstheme="minorHAnsi"/>
          <w:sz w:val="22"/>
          <w:szCs w:val="22"/>
        </w:rPr>
        <w:t>OR</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2.6</w:t>
      </w:r>
      <w:r w:rsidR="008A2D20" w:rsidRPr="004B0BC2">
        <w:rPr>
          <w:rFonts w:asciiTheme="minorHAnsi" w:hAnsiTheme="minorHAnsi" w:cstheme="minorHAnsi"/>
          <w:sz w:val="22"/>
          <w:szCs w:val="22"/>
        </w:rPr>
        <w:t>4</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95% CI:2.5</w:t>
      </w:r>
      <w:r w:rsidR="008A2D20" w:rsidRPr="004B0BC2">
        <w:rPr>
          <w:rFonts w:asciiTheme="minorHAnsi" w:hAnsiTheme="minorHAnsi" w:cstheme="minorHAnsi"/>
          <w:sz w:val="22"/>
          <w:szCs w:val="22"/>
        </w:rPr>
        <w:t>3</w:t>
      </w:r>
      <w:r w:rsidRPr="004B0BC2">
        <w:rPr>
          <w:rFonts w:asciiTheme="minorHAnsi" w:hAnsiTheme="minorHAnsi" w:cstheme="minorHAnsi"/>
          <w:sz w:val="22"/>
          <w:szCs w:val="22"/>
        </w:rPr>
        <w:t>-2.7</w:t>
      </w:r>
      <w:r w:rsidR="008A2D20" w:rsidRPr="004B0BC2">
        <w:rPr>
          <w:rFonts w:asciiTheme="minorHAnsi" w:hAnsiTheme="minorHAnsi" w:cstheme="minorHAnsi"/>
          <w:sz w:val="22"/>
          <w:szCs w:val="22"/>
        </w:rPr>
        <w:t>6</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Pr="004B0BC2">
        <w:rPr>
          <w:rFonts w:asciiTheme="minorHAnsi" w:hAnsiTheme="minorHAnsi" w:cstheme="minorHAnsi"/>
          <w:sz w:val="22"/>
          <w:szCs w:val="22"/>
        </w:rPr>
        <w:t>&lt;0.001</w:t>
      </w:r>
      <w:r w:rsidR="00091A0A" w:rsidRPr="004B0BC2">
        <w:rPr>
          <w:rFonts w:asciiTheme="minorHAnsi" w:hAnsiTheme="minorHAnsi" w:cstheme="minorHAnsi"/>
          <w:sz w:val="22"/>
          <w:szCs w:val="22"/>
        </w:rPr>
        <w:t xml:space="preserve"> and</w:t>
      </w:r>
      <w:r w:rsidR="003C11E1">
        <w:rPr>
          <w:rFonts w:asciiTheme="minorHAnsi" w:hAnsiTheme="minorHAnsi" w:cstheme="minorHAnsi"/>
          <w:sz w:val="22"/>
          <w:szCs w:val="22"/>
        </w:rPr>
        <w:t xml:space="preserve"> </w:t>
      </w:r>
      <w:r w:rsidRPr="004B0BC2">
        <w:rPr>
          <w:rFonts w:asciiTheme="minorHAnsi" w:hAnsiTheme="minorHAnsi" w:cstheme="minorHAnsi"/>
          <w:sz w:val="22"/>
          <w:szCs w:val="22"/>
        </w:rPr>
        <w:t>≥80</w:t>
      </w:r>
      <w:r w:rsidR="00091A0A" w:rsidRPr="004B0BC2">
        <w:rPr>
          <w:rFonts w:asciiTheme="minorHAnsi" w:hAnsiTheme="minorHAnsi" w:cstheme="minorHAnsi"/>
          <w:sz w:val="22"/>
          <w:szCs w:val="22"/>
        </w:rPr>
        <w:t xml:space="preserve"> years</w:t>
      </w:r>
      <w:r w:rsidRPr="004B0BC2">
        <w:rPr>
          <w:rFonts w:asciiTheme="minorHAnsi" w:hAnsiTheme="minorHAnsi" w:cstheme="minorHAnsi"/>
          <w:sz w:val="22"/>
          <w:szCs w:val="22"/>
        </w:rPr>
        <w:t xml:space="preserve"> OR: 9.</w:t>
      </w:r>
      <w:r w:rsidR="008A2D20" w:rsidRPr="004B0BC2">
        <w:rPr>
          <w:rFonts w:asciiTheme="minorHAnsi" w:hAnsiTheme="minorHAnsi" w:cstheme="minorHAnsi"/>
          <w:sz w:val="22"/>
          <w:szCs w:val="22"/>
        </w:rPr>
        <w:t>20</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95% CI:8.</w:t>
      </w:r>
      <w:r w:rsidR="008A2D20" w:rsidRPr="004B0BC2">
        <w:rPr>
          <w:rFonts w:asciiTheme="minorHAnsi" w:hAnsiTheme="minorHAnsi" w:cstheme="minorHAnsi"/>
          <w:sz w:val="22"/>
          <w:szCs w:val="22"/>
        </w:rPr>
        <w:t>8</w:t>
      </w:r>
      <w:r w:rsidRPr="004B0BC2">
        <w:rPr>
          <w:rFonts w:asciiTheme="minorHAnsi" w:hAnsiTheme="minorHAnsi" w:cstheme="minorHAnsi"/>
          <w:sz w:val="22"/>
          <w:szCs w:val="22"/>
        </w:rPr>
        <w:t>3-9.</w:t>
      </w:r>
      <w:r w:rsidR="008A2D20" w:rsidRPr="004B0BC2">
        <w:rPr>
          <w:rFonts w:asciiTheme="minorHAnsi" w:hAnsiTheme="minorHAnsi" w:cstheme="minorHAnsi"/>
          <w:sz w:val="22"/>
          <w:szCs w:val="22"/>
        </w:rPr>
        <w:t>58</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Pr="004B0BC2">
        <w:rPr>
          <w:rFonts w:asciiTheme="minorHAnsi" w:hAnsiTheme="minorHAnsi" w:cstheme="minorHAnsi"/>
          <w:sz w:val="22"/>
          <w:szCs w:val="22"/>
        </w:rPr>
        <w:t>&lt;0.001), social deprivation (OR</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1.</w:t>
      </w:r>
      <w:r w:rsidR="008A2D20" w:rsidRPr="004B0BC2">
        <w:rPr>
          <w:rFonts w:asciiTheme="minorHAnsi" w:hAnsiTheme="minorHAnsi" w:cstheme="minorHAnsi"/>
          <w:sz w:val="22"/>
          <w:szCs w:val="22"/>
        </w:rPr>
        <w:t>88</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95% CI:1.8</w:t>
      </w:r>
      <w:r w:rsidR="008A2D20" w:rsidRPr="004B0BC2">
        <w:rPr>
          <w:rFonts w:asciiTheme="minorHAnsi" w:hAnsiTheme="minorHAnsi" w:cstheme="minorHAnsi"/>
          <w:sz w:val="22"/>
          <w:szCs w:val="22"/>
        </w:rPr>
        <w:t>0</w:t>
      </w:r>
      <w:r w:rsidRPr="004B0BC2">
        <w:rPr>
          <w:rFonts w:asciiTheme="minorHAnsi" w:hAnsiTheme="minorHAnsi" w:cstheme="minorHAnsi"/>
          <w:sz w:val="22"/>
          <w:szCs w:val="22"/>
        </w:rPr>
        <w:t>-1.9</w:t>
      </w:r>
      <w:r w:rsidR="008A2D20" w:rsidRPr="004B0BC2">
        <w:rPr>
          <w:rFonts w:asciiTheme="minorHAnsi" w:hAnsiTheme="minorHAnsi" w:cstheme="minorHAnsi"/>
          <w:sz w:val="22"/>
          <w:szCs w:val="22"/>
        </w:rPr>
        <w:t>6</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Pr="004B0BC2">
        <w:rPr>
          <w:rFonts w:asciiTheme="minorHAnsi" w:hAnsiTheme="minorHAnsi" w:cstheme="minorHAnsi"/>
          <w:sz w:val="22"/>
          <w:szCs w:val="22"/>
        </w:rPr>
        <w:t>&lt;0.001), black ethnicity (OR</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1.7</w:t>
      </w:r>
      <w:r w:rsidR="008A2D20" w:rsidRPr="004B0BC2">
        <w:rPr>
          <w:rFonts w:asciiTheme="minorHAnsi" w:hAnsiTheme="minorHAnsi" w:cstheme="minorHAnsi"/>
          <w:sz w:val="22"/>
          <w:szCs w:val="22"/>
        </w:rPr>
        <w:t>1</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95% CI</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1.6</w:t>
      </w:r>
      <w:r w:rsidR="008A2D20" w:rsidRPr="004B0BC2">
        <w:rPr>
          <w:rFonts w:asciiTheme="minorHAnsi" w:hAnsiTheme="minorHAnsi" w:cstheme="minorHAnsi"/>
          <w:sz w:val="22"/>
          <w:szCs w:val="22"/>
        </w:rPr>
        <w:t>1</w:t>
      </w:r>
      <w:r w:rsidRPr="004B0BC2">
        <w:rPr>
          <w:rFonts w:asciiTheme="minorHAnsi" w:hAnsiTheme="minorHAnsi" w:cstheme="minorHAnsi"/>
          <w:sz w:val="22"/>
          <w:szCs w:val="22"/>
        </w:rPr>
        <w:t>-1.8</w:t>
      </w:r>
      <w:r w:rsidR="008A2D20" w:rsidRPr="004B0BC2">
        <w:rPr>
          <w:rFonts w:asciiTheme="minorHAnsi" w:hAnsiTheme="minorHAnsi" w:cstheme="minorHAnsi"/>
          <w:sz w:val="22"/>
          <w:szCs w:val="22"/>
        </w:rPr>
        <w:t>2</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Pr="004B0BC2">
        <w:rPr>
          <w:rFonts w:asciiTheme="minorHAnsi" w:hAnsiTheme="minorHAnsi" w:cstheme="minorHAnsi"/>
          <w:sz w:val="22"/>
          <w:szCs w:val="22"/>
        </w:rPr>
        <w:t>&lt;0.001), Asian ethnicity (OR</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1.3</w:t>
      </w:r>
      <w:r w:rsidR="008A2D20" w:rsidRPr="004B0BC2">
        <w:rPr>
          <w:rFonts w:asciiTheme="minorHAnsi" w:hAnsiTheme="minorHAnsi" w:cstheme="minorHAnsi"/>
          <w:sz w:val="22"/>
          <w:szCs w:val="22"/>
        </w:rPr>
        <w:t>5</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95% CI</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1.2</w:t>
      </w:r>
      <w:r w:rsidR="008A2D20" w:rsidRPr="004B0BC2">
        <w:rPr>
          <w:rFonts w:asciiTheme="minorHAnsi" w:hAnsiTheme="minorHAnsi" w:cstheme="minorHAnsi"/>
          <w:sz w:val="22"/>
          <w:szCs w:val="22"/>
        </w:rPr>
        <w:t>8</w:t>
      </w:r>
      <w:r w:rsidRPr="004B0BC2">
        <w:rPr>
          <w:rFonts w:asciiTheme="minorHAnsi" w:hAnsiTheme="minorHAnsi" w:cstheme="minorHAnsi"/>
          <w:sz w:val="22"/>
          <w:szCs w:val="22"/>
        </w:rPr>
        <w:t>-1.4</w:t>
      </w:r>
      <w:r w:rsidR="008A2D20" w:rsidRPr="004B0BC2">
        <w:rPr>
          <w:rFonts w:asciiTheme="minorHAnsi" w:hAnsiTheme="minorHAnsi" w:cstheme="minorHAnsi"/>
          <w:sz w:val="22"/>
          <w:szCs w:val="22"/>
        </w:rPr>
        <w:t>2</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w:t>
      </w:r>
      <w:r w:rsidR="00567A8B" w:rsidRPr="004B0BC2">
        <w:rPr>
          <w:rFonts w:asciiTheme="minorHAnsi" w:hAnsiTheme="minorHAnsi" w:cstheme="minorHAnsi"/>
          <w:sz w:val="22"/>
          <w:szCs w:val="22"/>
        </w:rPr>
        <w:t>p</w:t>
      </w:r>
      <w:r w:rsidRPr="004B0BC2">
        <w:rPr>
          <w:rFonts w:asciiTheme="minorHAnsi" w:hAnsiTheme="minorHAnsi" w:cstheme="minorHAnsi"/>
          <w:sz w:val="22"/>
          <w:szCs w:val="22"/>
        </w:rPr>
        <w:t>&lt;0.001)</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type 1 diabetes (OR:3.5</w:t>
      </w:r>
      <w:r w:rsidR="008A2D20" w:rsidRPr="004B0BC2">
        <w:rPr>
          <w:rFonts w:asciiTheme="minorHAnsi" w:hAnsiTheme="minorHAnsi" w:cstheme="minorHAnsi"/>
          <w:sz w:val="22"/>
          <w:szCs w:val="22"/>
        </w:rPr>
        <w:t>1</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95% CI</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3∙1</w:t>
      </w:r>
      <w:r w:rsidR="008A2D20" w:rsidRPr="004B0BC2">
        <w:rPr>
          <w:rFonts w:asciiTheme="minorHAnsi" w:hAnsiTheme="minorHAnsi" w:cstheme="minorHAnsi"/>
          <w:sz w:val="22"/>
          <w:szCs w:val="22"/>
        </w:rPr>
        <w:t>6</w:t>
      </w:r>
      <w:r w:rsidRPr="004B0BC2">
        <w:rPr>
          <w:rFonts w:asciiTheme="minorHAnsi" w:hAnsiTheme="minorHAnsi" w:cstheme="minorHAnsi"/>
          <w:sz w:val="22"/>
          <w:szCs w:val="22"/>
        </w:rPr>
        <w:t>-3∙</w:t>
      </w:r>
      <w:r w:rsidR="008A2D20" w:rsidRPr="004B0BC2">
        <w:rPr>
          <w:rFonts w:asciiTheme="minorHAnsi" w:hAnsiTheme="minorHAnsi" w:cstheme="minorHAnsi"/>
          <w:sz w:val="22"/>
          <w:szCs w:val="22"/>
        </w:rPr>
        <w:t>90</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p&lt;0.001)</w:t>
      </w:r>
      <w:r w:rsidR="00C27D9F" w:rsidRPr="004B0BC2">
        <w:rPr>
          <w:rFonts w:asciiTheme="minorHAnsi" w:hAnsiTheme="minorHAnsi" w:cstheme="minorHAnsi"/>
          <w:sz w:val="22"/>
          <w:szCs w:val="22"/>
        </w:rPr>
        <w:t xml:space="preserve"> and </w:t>
      </w:r>
      <w:r w:rsidRPr="004B0BC2">
        <w:rPr>
          <w:rFonts w:asciiTheme="minorHAnsi" w:hAnsiTheme="minorHAnsi" w:cstheme="minorHAnsi"/>
          <w:sz w:val="22"/>
          <w:szCs w:val="22"/>
        </w:rPr>
        <w:t>type 2 diabetes (OR</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2.0</w:t>
      </w:r>
      <w:r w:rsidR="008A2D20" w:rsidRPr="004B0BC2">
        <w:rPr>
          <w:rFonts w:asciiTheme="minorHAnsi" w:hAnsiTheme="minorHAnsi" w:cstheme="minorHAnsi"/>
          <w:sz w:val="22"/>
          <w:szCs w:val="22"/>
        </w:rPr>
        <w:t>3</w:t>
      </w:r>
      <w:r w:rsidR="00091A0A" w:rsidRPr="004B0BC2">
        <w:rPr>
          <w:rFonts w:asciiTheme="minorHAnsi" w:hAnsiTheme="minorHAnsi" w:cstheme="minorHAnsi"/>
          <w:sz w:val="22"/>
          <w:szCs w:val="22"/>
        </w:rPr>
        <w:t xml:space="preserve">, </w:t>
      </w:r>
      <w:r w:rsidRPr="004B0BC2">
        <w:rPr>
          <w:rFonts w:asciiTheme="minorHAnsi" w:hAnsiTheme="minorHAnsi" w:cstheme="minorHAnsi"/>
          <w:sz w:val="22"/>
          <w:szCs w:val="22"/>
        </w:rPr>
        <w:t>95% CI:1.9</w:t>
      </w:r>
      <w:r w:rsidR="008A2D20" w:rsidRPr="004B0BC2">
        <w:rPr>
          <w:rFonts w:asciiTheme="minorHAnsi" w:hAnsiTheme="minorHAnsi" w:cstheme="minorHAnsi"/>
          <w:sz w:val="22"/>
          <w:szCs w:val="22"/>
        </w:rPr>
        <w:t>7</w:t>
      </w:r>
      <w:r w:rsidRPr="004B0BC2">
        <w:rPr>
          <w:rFonts w:asciiTheme="minorHAnsi" w:hAnsiTheme="minorHAnsi" w:cstheme="minorHAnsi"/>
          <w:sz w:val="22"/>
          <w:szCs w:val="22"/>
        </w:rPr>
        <w:t>-2.0</w:t>
      </w:r>
      <w:r w:rsidR="008A2D20" w:rsidRPr="004B0BC2">
        <w:rPr>
          <w:rFonts w:asciiTheme="minorHAnsi" w:hAnsiTheme="minorHAnsi" w:cstheme="minorHAnsi"/>
          <w:sz w:val="22"/>
          <w:szCs w:val="22"/>
        </w:rPr>
        <w:t>9</w:t>
      </w:r>
      <w:r w:rsidR="00091A0A" w:rsidRPr="004B0BC2">
        <w:rPr>
          <w:rFonts w:asciiTheme="minorHAnsi" w:hAnsiTheme="minorHAnsi" w:cstheme="minorHAnsi"/>
          <w:sz w:val="22"/>
          <w:szCs w:val="22"/>
        </w:rPr>
        <w:t>,</w:t>
      </w:r>
      <w:r w:rsidRPr="004B0BC2">
        <w:rPr>
          <w:rFonts w:asciiTheme="minorHAnsi" w:hAnsiTheme="minorHAnsi" w:cstheme="minorHAnsi"/>
          <w:sz w:val="22"/>
          <w:szCs w:val="22"/>
        </w:rPr>
        <w:t xml:space="preserve"> p&lt;0.001)</w:t>
      </w:r>
      <w:r w:rsidR="001C0FAD" w:rsidRPr="004B0BC2">
        <w:rPr>
          <w:rFonts w:asciiTheme="minorHAnsi" w:hAnsiTheme="minorHAnsi" w:cstheme="minorHAnsi"/>
          <w:sz w:val="22"/>
          <w:szCs w:val="22"/>
        </w:rPr>
        <w:t>.</w:t>
      </w:r>
    </w:p>
    <w:p w14:paraId="5248F956" w14:textId="549242B7" w:rsidR="00DA4278" w:rsidRPr="004B0BC2" w:rsidRDefault="00DA4278" w:rsidP="00B66369">
      <w:pPr>
        <w:spacing w:line="480" w:lineRule="auto"/>
        <w:rPr>
          <w:rFonts w:asciiTheme="minorHAnsi" w:hAnsiTheme="minorHAnsi" w:cstheme="minorHAnsi"/>
          <w:sz w:val="22"/>
          <w:szCs w:val="22"/>
        </w:rPr>
      </w:pPr>
    </w:p>
    <w:p w14:paraId="2D217B89" w14:textId="69C49025" w:rsidR="00F122F1" w:rsidRDefault="00F122F1" w:rsidP="00B66369">
      <w:pPr>
        <w:spacing w:line="480" w:lineRule="auto"/>
        <w:rPr>
          <w:rFonts w:asciiTheme="minorHAnsi" w:hAnsiTheme="minorHAnsi" w:cstheme="minorHAnsi"/>
          <w:sz w:val="22"/>
          <w:szCs w:val="22"/>
        </w:rPr>
      </w:pPr>
      <w:r>
        <w:rPr>
          <w:rFonts w:asciiTheme="minorHAnsi" w:hAnsiTheme="minorHAnsi" w:cstheme="minorHAnsi"/>
          <w:sz w:val="22"/>
          <w:szCs w:val="22"/>
        </w:rPr>
        <w:t>Reflecting the data from China, t</w:t>
      </w:r>
      <w:r w:rsidR="003C2B02" w:rsidRPr="004B0BC2">
        <w:rPr>
          <w:rFonts w:asciiTheme="minorHAnsi" w:hAnsiTheme="minorHAnsi" w:cstheme="minorHAnsi"/>
          <w:sz w:val="22"/>
          <w:szCs w:val="22"/>
        </w:rPr>
        <w:t>he</w:t>
      </w:r>
      <w:r>
        <w:rPr>
          <w:rFonts w:asciiTheme="minorHAnsi" w:hAnsiTheme="minorHAnsi" w:cstheme="minorHAnsi"/>
          <w:sz w:val="22"/>
          <w:szCs w:val="22"/>
        </w:rPr>
        <w:t>se</w:t>
      </w:r>
      <w:r w:rsidR="003C2B02" w:rsidRPr="004B0BC2">
        <w:rPr>
          <w:rFonts w:asciiTheme="minorHAnsi" w:hAnsiTheme="minorHAnsi" w:cstheme="minorHAnsi"/>
          <w:sz w:val="22"/>
          <w:szCs w:val="22"/>
        </w:rPr>
        <w:t xml:space="preserve"> studies suggest</w:t>
      </w:r>
      <w:r w:rsidR="003A207B" w:rsidRPr="004B0BC2">
        <w:rPr>
          <w:rFonts w:asciiTheme="minorHAnsi" w:hAnsiTheme="minorHAnsi" w:cstheme="minorHAnsi"/>
          <w:sz w:val="22"/>
          <w:szCs w:val="22"/>
        </w:rPr>
        <w:t xml:space="preserve"> that</w:t>
      </w:r>
      <w:r w:rsidR="003C2B02" w:rsidRPr="004B0BC2">
        <w:rPr>
          <w:rFonts w:asciiTheme="minorHAnsi" w:hAnsiTheme="minorHAnsi" w:cstheme="minorHAnsi"/>
          <w:sz w:val="22"/>
          <w:szCs w:val="22"/>
        </w:rPr>
        <w:t xml:space="preserve"> the</w:t>
      </w:r>
      <w:r w:rsidR="00285946" w:rsidRPr="004B0BC2">
        <w:rPr>
          <w:rFonts w:asciiTheme="minorHAnsi" w:hAnsiTheme="minorHAnsi" w:cstheme="minorHAnsi"/>
          <w:sz w:val="22"/>
          <w:szCs w:val="22"/>
        </w:rPr>
        <w:t xml:space="preserve"> main</w:t>
      </w:r>
      <w:r w:rsidR="003C2B02" w:rsidRPr="004B0BC2">
        <w:rPr>
          <w:rFonts w:asciiTheme="minorHAnsi" w:hAnsiTheme="minorHAnsi" w:cstheme="minorHAnsi"/>
          <w:sz w:val="22"/>
          <w:szCs w:val="22"/>
        </w:rPr>
        <w:t xml:space="preserve"> risk factors for COVID-19 mortality and </w:t>
      </w:r>
      <w:r w:rsidR="00285946" w:rsidRPr="004B0BC2">
        <w:rPr>
          <w:rFonts w:asciiTheme="minorHAnsi" w:hAnsiTheme="minorHAnsi" w:cstheme="minorHAnsi"/>
          <w:sz w:val="22"/>
          <w:szCs w:val="22"/>
        </w:rPr>
        <w:t>severity</w:t>
      </w:r>
      <w:r w:rsidR="003C2B02" w:rsidRPr="004B0BC2">
        <w:rPr>
          <w:rFonts w:asciiTheme="minorHAnsi" w:hAnsiTheme="minorHAnsi" w:cstheme="minorHAnsi"/>
          <w:sz w:val="22"/>
          <w:szCs w:val="22"/>
        </w:rPr>
        <w:t xml:space="preserve"> are male sex, increasing age</w:t>
      </w:r>
      <w:r w:rsidR="00285946" w:rsidRPr="004B0BC2">
        <w:rPr>
          <w:rFonts w:asciiTheme="minorHAnsi" w:hAnsiTheme="minorHAnsi" w:cstheme="minorHAnsi"/>
          <w:sz w:val="22"/>
          <w:szCs w:val="22"/>
        </w:rPr>
        <w:t>, cigarette smoking</w:t>
      </w:r>
      <w:r w:rsidR="003C2B02" w:rsidRPr="004B0BC2">
        <w:rPr>
          <w:rFonts w:asciiTheme="minorHAnsi" w:hAnsiTheme="minorHAnsi" w:cstheme="minorHAnsi"/>
          <w:sz w:val="22"/>
          <w:szCs w:val="22"/>
        </w:rPr>
        <w:t xml:space="preserve"> and</w:t>
      </w:r>
      <w:r w:rsidR="003A207B" w:rsidRPr="004B0BC2">
        <w:rPr>
          <w:rFonts w:asciiTheme="minorHAnsi" w:hAnsiTheme="minorHAnsi" w:cstheme="minorHAnsi"/>
          <w:sz w:val="22"/>
          <w:szCs w:val="22"/>
        </w:rPr>
        <w:t xml:space="preserve"> certain</w:t>
      </w:r>
      <w:r w:rsidR="003C2B02" w:rsidRPr="004B0BC2">
        <w:rPr>
          <w:rFonts w:asciiTheme="minorHAnsi" w:hAnsiTheme="minorHAnsi" w:cstheme="minorHAnsi"/>
          <w:sz w:val="22"/>
          <w:szCs w:val="22"/>
        </w:rPr>
        <w:t xml:space="preserve"> comorbidities (hypertension, cardiovascular diseases, COPD</w:t>
      </w:r>
      <w:r w:rsidR="00683B68" w:rsidRPr="004B0BC2">
        <w:rPr>
          <w:rFonts w:asciiTheme="minorHAnsi" w:hAnsiTheme="minorHAnsi" w:cstheme="minorHAnsi"/>
          <w:sz w:val="22"/>
          <w:szCs w:val="22"/>
        </w:rPr>
        <w:t xml:space="preserve"> </w:t>
      </w:r>
      <w:r w:rsidR="00285946" w:rsidRPr="004B0BC2">
        <w:rPr>
          <w:rFonts w:asciiTheme="minorHAnsi" w:hAnsiTheme="minorHAnsi" w:cstheme="minorHAnsi"/>
          <w:sz w:val="22"/>
          <w:szCs w:val="22"/>
        </w:rPr>
        <w:t>and</w:t>
      </w:r>
      <w:r w:rsidR="003C2B02" w:rsidRPr="004B0BC2">
        <w:rPr>
          <w:rFonts w:asciiTheme="minorHAnsi" w:hAnsiTheme="minorHAnsi" w:cstheme="minorHAnsi"/>
          <w:sz w:val="22"/>
          <w:szCs w:val="22"/>
        </w:rPr>
        <w:t xml:space="preserve"> diabetes). </w:t>
      </w:r>
    </w:p>
    <w:p w14:paraId="766C3929" w14:textId="56B46C27" w:rsidR="00497285" w:rsidRPr="004B0BC2" w:rsidRDefault="00285946"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Within this context</w:t>
      </w:r>
      <w:r w:rsidR="00F122F1">
        <w:rPr>
          <w:rFonts w:asciiTheme="minorHAnsi" w:hAnsiTheme="minorHAnsi" w:cstheme="minorHAnsi"/>
          <w:sz w:val="22"/>
          <w:szCs w:val="22"/>
        </w:rPr>
        <w:t>,</w:t>
      </w:r>
      <w:r w:rsidRPr="004B0BC2">
        <w:rPr>
          <w:rFonts w:asciiTheme="minorHAnsi" w:hAnsiTheme="minorHAnsi" w:cstheme="minorHAnsi"/>
          <w:sz w:val="22"/>
          <w:szCs w:val="22"/>
        </w:rPr>
        <w:t xml:space="preserve"> that men have a higher mortality rate from COVID-19 </w:t>
      </w:r>
      <w:r w:rsidR="00F122F1">
        <w:rPr>
          <w:rFonts w:asciiTheme="minorHAnsi" w:hAnsiTheme="minorHAnsi" w:cstheme="minorHAnsi"/>
          <w:sz w:val="22"/>
          <w:szCs w:val="22"/>
        </w:rPr>
        <w:t xml:space="preserve">is unsurprising, </w:t>
      </w:r>
      <w:r w:rsidRPr="004B0BC2">
        <w:rPr>
          <w:rFonts w:asciiTheme="minorHAnsi" w:hAnsiTheme="minorHAnsi" w:cstheme="minorHAnsi"/>
          <w:sz w:val="22"/>
          <w:szCs w:val="22"/>
        </w:rPr>
        <w:t>given that men have a higher incidence</w:t>
      </w:r>
      <w:r w:rsidR="00497285" w:rsidRPr="004B0BC2">
        <w:rPr>
          <w:rFonts w:asciiTheme="minorHAnsi" w:hAnsiTheme="minorHAnsi" w:cstheme="minorHAnsi"/>
          <w:sz w:val="22"/>
          <w:szCs w:val="22"/>
        </w:rPr>
        <w:t xml:space="preserve"> of</w:t>
      </w:r>
      <w:r w:rsidRPr="004B0BC2">
        <w:rPr>
          <w:rFonts w:asciiTheme="minorHAnsi" w:hAnsiTheme="minorHAnsi" w:cstheme="minorHAnsi"/>
          <w:sz w:val="22"/>
          <w:szCs w:val="22"/>
        </w:rPr>
        <w:t xml:space="preserve"> cardiovascular disease, hypertension, type 2 diabetes, COPD, and tobacco use</w:t>
      </w:r>
      <w:r w:rsidR="00F122F1">
        <w:rPr>
          <w:rFonts w:asciiTheme="minorHAnsi" w:hAnsiTheme="minorHAnsi" w:cstheme="minorHAnsi"/>
          <w:sz w:val="22"/>
          <w:szCs w:val="22"/>
        </w:rPr>
        <w:t xml:space="preserve"> than</w:t>
      </w:r>
      <w:r w:rsidRPr="004B0BC2">
        <w:rPr>
          <w:rFonts w:asciiTheme="minorHAnsi" w:hAnsiTheme="minorHAnsi" w:cstheme="minorHAnsi"/>
          <w:sz w:val="22"/>
          <w:szCs w:val="22"/>
        </w:rPr>
        <w:t xml:space="preserve"> women</w:t>
      </w:r>
      <w:r w:rsidR="00497285" w:rsidRPr="004B0BC2">
        <w:rPr>
          <w:rFonts w:asciiTheme="minorHAnsi" w:hAnsiTheme="minorHAnsi" w:cstheme="minorHAnsi"/>
          <w:sz w:val="22"/>
          <w:szCs w:val="22"/>
        </w:rPr>
        <w:t>. A WHO report</w:t>
      </w:r>
      <w:r w:rsidR="00AB2198" w:rsidRPr="004B0BC2">
        <w:rPr>
          <w:rFonts w:asciiTheme="minorHAnsi" w:hAnsiTheme="minorHAnsi" w:cstheme="minorHAnsi"/>
          <w:sz w:val="22"/>
          <w:szCs w:val="22"/>
        </w:rPr>
        <w:t xml:space="preserve"> </w:t>
      </w:r>
      <w:r w:rsidR="00497285"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{"citationItems":[{"id":"ITEM-1","itemData":{"abstract":"Gender equality is good for health This fact file focuses on the harm that tobacco marketing and smoke do to women. About 200 million of the world's one billion smokers are women. The tobacco industry aggressively targets women in order to increase its consumer base and to replace those consumers who quit or who die prematurely from cancer, heart attack, stroke, emphysema or other tobacco-related disease. Girls and boys start using tobacco for different reasons, and tobacco use harms women and men differently. Approximately 1.5 million women die every year from tobacco use. Understanding and controlling the tobacco epidemic among women is an important part of any tobacco control strategy.","author":[{"dropping-particle":"","family":"WHO","given":"","non-dropping-particle":"","parse-names":false,"suffix":""}],"id":"ITEM-1","issued":{"date-parts":[["2010"]]},"number-of-pages":"2","title":"Gender, Women And the Tobacco Epidemic","type":"report"},"uris":["http://www.mendeley.com/documents/?uuid=edc558e3-36ce-3762-8cb0-bf72befd967b"]}],"mendeley":{"formattedCitation":"(34)","plainTextFormattedCitation":"(34)","previouslyFormattedCitation":"(34)"},"properties":{"noteIndex":0},"schema":"https://github.com/citation-style-language/schema/raw/master/csl-citation.json"}</w:instrText>
      </w:r>
      <w:r w:rsidR="00497285"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(34)</w:t>
      </w:r>
      <w:r w:rsidR="00497285" w:rsidRPr="004B0BC2">
        <w:rPr>
          <w:rFonts w:asciiTheme="minorHAnsi" w:hAnsiTheme="minorHAnsi" w:cstheme="minorHAnsi"/>
          <w:sz w:val="22"/>
          <w:szCs w:val="22"/>
        </w:rPr>
        <w:fldChar w:fldCharType="end"/>
      </w:r>
      <w:r w:rsidR="00497285" w:rsidRPr="004B0BC2">
        <w:rPr>
          <w:rFonts w:asciiTheme="minorHAnsi" w:hAnsiTheme="minorHAnsi" w:cstheme="minorHAnsi"/>
          <w:sz w:val="22"/>
          <w:szCs w:val="22"/>
        </w:rPr>
        <w:t xml:space="preserve"> observed that worldwide, the prevalence of smoking is higher for men than for women (</w:t>
      </w:r>
      <w:r w:rsidR="00AB2198" w:rsidRPr="004B0BC2">
        <w:rPr>
          <w:rFonts w:asciiTheme="minorHAnsi" w:hAnsiTheme="minorHAnsi" w:cstheme="minorHAnsi"/>
          <w:sz w:val="22"/>
          <w:szCs w:val="22"/>
        </w:rPr>
        <w:t>40% v</w:t>
      </w:r>
      <w:r w:rsidR="00EA4C5B">
        <w:rPr>
          <w:rFonts w:asciiTheme="minorHAnsi" w:hAnsiTheme="minorHAnsi" w:cstheme="minorHAnsi"/>
          <w:sz w:val="22"/>
          <w:szCs w:val="22"/>
        </w:rPr>
        <w:t>ersu</w:t>
      </w:r>
      <w:r w:rsidR="00AB2198" w:rsidRPr="004B0BC2">
        <w:rPr>
          <w:rFonts w:asciiTheme="minorHAnsi" w:hAnsiTheme="minorHAnsi" w:cstheme="minorHAnsi"/>
          <w:sz w:val="22"/>
          <w:szCs w:val="22"/>
        </w:rPr>
        <w:t>s</w:t>
      </w:r>
      <w:r w:rsidR="00497285" w:rsidRPr="004B0BC2">
        <w:rPr>
          <w:rFonts w:asciiTheme="minorHAnsi" w:hAnsiTheme="minorHAnsi" w:cstheme="minorHAnsi"/>
          <w:sz w:val="22"/>
          <w:szCs w:val="22"/>
        </w:rPr>
        <w:t xml:space="preserve"> 9%) and</w:t>
      </w:r>
      <w:r w:rsidR="00EA4C5B">
        <w:rPr>
          <w:rFonts w:asciiTheme="minorHAnsi" w:hAnsiTheme="minorHAnsi" w:cstheme="minorHAnsi"/>
          <w:sz w:val="22"/>
          <w:szCs w:val="22"/>
        </w:rPr>
        <w:t xml:space="preserve"> that</w:t>
      </w:r>
      <w:r w:rsidR="00497285" w:rsidRPr="004B0BC2">
        <w:rPr>
          <w:rFonts w:asciiTheme="minorHAnsi" w:hAnsiTheme="minorHAnsi" w:cstheme="minorHAnsi"/>
          <w:sz w:val="22"/>
          <w:szCs w:val="22"/>
        </w:rPr>
        <w:t xml:space="preserve"> m</w:t>
      </w:r>
      <w:r w:rsidR="00EA4C5B">
        <w:rPr>
          <w:rFonts w:asciiTheme="minorHAnsi" w:hAnsiTheme="minorHAnsi" w:cstheme="minorHAnsi"/>
          <w:sz w:val="22"/>
          <w:szCs w:val="22"/>
        </w:rPr>
        <w:t>en</w:t>
      </w:r>
      <w:r w:rsidR="00497285" w:rsidRPr="004B0BC2">
        <w:rPr>
          <w:rFonts w:asciiTheme="minorHAnsi" w:hAnsiTheme="minorHAnsi" w:cstheme="minorHAnsi"/>
          <w:sz w:val="22"/>
          <w:szCs w:val="22"/>
        </w:rPr>
        <w:t xml:space="preserve"> account for 80% of all smokers. </w:t>
      </w:r>
      <w:r w:rsidR="002B4791" w:rsidRPr="004B0BC2">
        <w:rPr>
          <w:rFonts w:asciiTheme="minorHAnsi" w:hAnsiTheme="minorHAnsi" w:cstheme="minorHAnsi"/>
          <w:sz w:val="22"/>
          <w:szCs w:val="22"/>
        </w:rPr>
        <w:t xml:space="preserve">This trend is </w:t>
      </w:r>
      <w:r w:rsidR="00EA4C5B">
        <w:rPr>
          <w:rFonts w:asciiTheme="minorHAnsi" w:hAnsiTheme="minorHAnsi" w:cstheme="minorHAnsi"/>
          <w:sz w:val="22"/>
          <w:szCs w:val="22"/>
        </w:rPr>
        <w:t>con</w:t>
      </w:r>
      <w:r w:rsidR="002B4791" w:rsidRPr="004B0BC2">
        <w:rPr>
          <w:rFonts w:asciiTheme="minorHAnsi" w:hAnsiTheme="minorHAnsi" w:cstheme="minorHAnsi"/>
          <w:sz w:val="22"/>
          <w:szCs w:val="22"/>
        </w:rPr>
        <w:t xml:space="preserve">sistent in all continents with a higher percentage of men </w:t>
      </w:r>
      <w:r w:rsidR="00EA4C5B">
        <w:rPr>
          <w:rFonts w:asciiTheme="minorHAnsi" w:hAnsiTheme="minorHAnsi" w:cstheme="minorHAnsi"/>
          <w:sz w:val="22"/>
          <w:szCs w:val="22"/>
        </w:rPr>
        <w:t xml:space="preserve">than women </w:t>
      </w:r>
      <w:r w:rsidR="00A83DA4">
        <w:rPr>
          <w:rFonts w:asciiTheme="minorHAnsi" w:hAnsiTheme="minorHAnsi" w:cstheme="minorHAnsi"/>
          <w:sz w:val="22"/>
          <w:szCs w:val="22"/>
        </w:rPr>
        <w:t>being smokers</w:t>
      </w:r>
      <w:r w:rsidR="00EA4C5B">
        <w:rPr>
          <w:rFonts w:asciiTheme="minorHAnsi" w:hAnsiTheme="minorHAnsi" w:cstheme="minorHAnsi"/>
          <w:sz w:val="22"/>
          <w:szCs w:val="22"/>
        </w:rPr>
        <w:t xml:space="preserve"> </w:t>
      </w:r>
      <w:r w:rsidR="00AD4DD6" w:rsidRPr="004B0BC2">
        <w:rPr>
          <w:rFonts w:asciiTheme="minorHAnsi" w:hAnsiTheme="minorHAnsi" w:cstheme="minorHAnsi"/>
          <w:sz w:val="22"/>
          <w:szCs w:val="22"/>
        </w:rPr>
        <w:t>in Africa (33.3% v</w:t>
      </w:r>
      <w:r w:rsidR="00EA4C5B">
        <w:rPr>
          <w:rFonts w:asciiTheme="minorHAnsi" w:hAnsiTheme="minorHAnsi" w:cstheme="minorHAnsi"/>
          <w:sz w:val="22"/>
          <w:szCs w:val="22"/>
        </w:rPr>
        <w:t>ersu</w:t>
      </w:r>
      <w:r w:rsidR="00AD4DD6" w:rsidRPr="004B0BC2">
        <w:rPr>
          <w:rFonts w:asciiTheme="minorHAnsi" w:hAnsiTheme="minorHAnsi" w:cstheme="minorHAnsi"/>
          <w:sz w:val="22"/>
          <w:szCs w:val="22"/>
        </w:rPr>
        <w:t>s 8.2%), Asia (46.1% v</w:t>
      </w:r>
      <w:r w:rsidR="00EA4C5B">
        <w:rPr>
          <w:rFonts w:asciiTheme="minorHAnsi" w:hAnsiTheme="minorHAnsi" w:cstheme="minorHAnsi"/>
          <w:sz w:val="22"/>
          <w:szCs w:val="22"/>
        </w:rPr>
        <w:t>ersu</w:t>
      </w:r>
      <w:r w:rsidR="00AD4DD6" w:rsidRPr="004B0BC2">
        <w:rPr>
          <w:rFonts w:asciiTheme="minorHAnsi" w:hAnsiTheme="minorHAnsi" w:cstheme="minorHAnsi"/>
          <w:sz w:val="22"/>
          <w:szCs w:val="22"/>
        </w:rPr>
        <w:t xml:space="preserve">s 9.6%), </w:t>
      </w:r>
      <w:r w:rsidR="00567A8B" w:rsidRPr="004B0BC2">
        <w:rPr>
          <w:rFonts w:asciiTheme="minorHAnsi" w:hAnsiTheme="minorHAnsi" w:cstheme="minorHAnsi"/>
          <w:sz w:val="22"/>
          <w:szCs w:val="22"/>
        </w:rPr>
        <w:t xml:space="preserve">the </w:t>
      </w:r>
      <w:r w:rsidR="00AD4DD6" w:rsidRPr="004B0BC2">
        <w:rPr>
          <w:rFonts w:asciiTheme="minorHAnsi" w:hAnsiTheme="minorHAnsi" w:cstheme="minorHAnsi"/>
          <w:sz w:val="22"/>
          <w:szCs w:val="22"/>
        </w:rPr>
        <w:t>Americas</w:t>
      </w:r>
      <w:r w:rsidR="00567A8B" w:rsidRPr="004B0BC2">
        <w:rPr>
          <w:rFonts w:asciiTheme="minorHAnsi" w:hAnsiTheme="minorHAnsi" w:cstheme="minorHAnsi"/>
          <w:sz w:val="22"/>
          <w:szCs w:val="22"/>
        </w:rPr>
        <w:t xml:space="preserve"> </w:t>
      </w:r>
      <w:r w:rsidR="00AD4DD6" w:rsidRPr="004B0BC2">
        <w:rPr>
          <w:rFonts w:asciiTheme="minorHAnsi" w:hAnsiTheme="minorHAnsi" w:cstheme="minorHAnsi"/>
          <w:sz w:val="22"/>
          <w:szCs w:val="22"/>
        </w:rPr>
        <w:t>(37.9% v</w:t>
      </w:r>
      <w:r w:rsidR="00EA4C5B">
        <w:rPr>
          <w:rFonts w:asciiTheme="minorHAnsi" w:hAnsiTheme="minorHAnsi" w:cstheme="minorHAnsi"/>
          <w:sz w:val="22"/>
          <w:szCs w:val="22"/>
        </w:rPr>
        <w:t>ersu</w:t>
      </w:r>
      <w:r w:rsidR="00AD4DD6" w:rsidRPr="004B0BC2">
        <w:rPr>
          <w:rFonts w:asciiTheme="minorHAnsi" w:hAnsiTheme="minorHAnsi" w:cstheme="minorHAnsi"/>
          <w:sz w:val="22"/>
          <w:szCs w:val="22"/>
        </w:rPr>
        <w:t>s 18.0%), Middle East (44.6%</w:t>
      </w:r>
      <w:r w:rsidR="003C11E1">
        <w:rPr>
          <w:rFonts w:asciiTheme="minorHAnsi" w:hAnsiTheme="minorHAnsi" w:cstheme="minorHAnsi"/>
          <w:sz w:val="22"/>
          <w:szCs w:val="22"/>
        </w:rPr>
        <w:t xml:space="preserve"> </w:t>
      </w:r>
      <w:r w:rsidR="00AD4DD6" w:rsidRPr="004B0BC2">
        <w:rPr>
          <w:rFonts w:asciiTheme="minorHAnsi" w:hAnsiTheme="minorHAnsi" w:cstheme="minorHAnsi"/>
          <w:sz w:val="22"/>
          <w:szCs w:val="22"/>
        </w:rPr>
        <w:t>v</w:t>
      </w:r>
      <w:r w:rsidR="00EA4C5B">
        <w:rPr>
          <w:rFonts w:asciiTheme="minorHAnsi" w:hAnsiTheme="minorHAnsi" w:cstheme="minorHAnsi"/>
          <w:sz w:val="22"/>
          <w:szCs w:val="22"/>
        </w:rPr>
        <w:t>ersu</w:t>
      </w:r>
      <w:r w:rsidR="00AD4DD6" w:rsidRPr="004B0BC2">
        <w:rPr>
          <w:rFonts w:asciiTheme="minorHAnsi" w:hAnsiTheme="minorHAnsi" w:cstheme="minorHAnsi"/>
          <w:sz w:val="22"/>
          <w:szCs w:val="22"/>
        </w:rPr>
        <w:t>s 9.0%), Eastern Europe</w:t>
      </w:r>
      <w:r w:rsidR="00567A8B" w:rsidRPr="004B0BC2">
        <w:rPr>
          <w:rFonts w:asciiTheme="minorHAnsi" w:hAnsiTheme="minorHAnsi" w:cstheme="minorHAnsi"/>
          <w:sz w:val="22"/>
          <w:szCs w:val="22"/>
        </w:rPr>
        <w:t xml:space="preserve"> </w:t>
      </w:r>
      <w:r w:rsidR="00AD4DD6" w:rsidRPr="004B0BC2">
        <w:rPr>
          <w:rFonts w:asciiTheme="minorHAnsi" w:hAnsiTheme="minorHAnsi" w:cstheme="minorHAnsi"/>
          <w:sz w:val="22"/>
          <w:szCs w:val="22"/>
        </w:rPr>
        <w:t>(47.2% v</w:t>
      </w:r>
      <w:r w:rsidR="00EA4C5B">
        <w:rPr>
          <w:rFonts w:asciiTheme="minorHAnsi" w:hAnsiTheme="minorHAnsi" w:cstheme="minorHAnsi"/>
          <w:sz w:val="22"/>
          <w:szCs w:val="22"/>
        </w:rPr>
        <w:t>ersu</w:t>
      </w:r>
      <w:r w:rsidR="00AD4DD6" w:rsidRPr="004B0BC2">
        <w:rPr>
          <w:rFonts w:asciiTheme="minorHAnsi" w:hAnsiTheme="minorHAnsi" w:cstheme="minorHAnsi"/>
          <w:sz w:val="22"/>
          <w:szCs w:val="22"/>
        </w:rPr>
        <w:t>s 20.9%) and Western Europe (30.1% v</w:t>
      </w:r>
      <w:r w:rsidR="00EA4C5B">
        <w:rPr>
          <w:rFonts w:asciiTheme="minorHAnsi" w:hAnsiTheme="minorHAnsi" w:cstheme="minorHAnsi"/>
          <w:sz w:val="22"/>
          <w:szCs w:val="22"/>
        </w:rPr>
        <w:t>ersu</w:t>
      </w:r>
      <w:r w:rsidR="00AD4DD6" w:rsidRPr="004B0BC2">
        <w:rPr>
          <w:rFonts w:asciiTheme="minorHAnsi" w:hAnsiTheme="minorHAnsi" w:cstheme="minorHAnsi"/>
          <w:sz w:val="22"/>
          <w:szCs w:val="22"/>
        </w:rPr>
        <w:t>s 23.4%)</w:t>
      </w:r>
      <w:r w:rsidR="00AD4DD6"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{"citationItems":[{"id":"ITEM-1","itemData":{"DOI":"10.1177/0020715206070267","ISSN":"00207152","abstract":"The worldwide spread of tobacco use in recent decades raises questions about the relative prevalence of smoking among men and women. Does the degree of gender equality in nations promote equality in cigarette use? Does rising use of cigarettes by women stem from the stage of cigarette diffusion and earlier increases among men? Or have changes in economic factors and smoking policy affected the sexes differently? This study uses aggregate data for 106 nations, measures of smoking prevalence circa 2000, and lagged measures of gender equality, cigarette diffusion, and tobacco access to address these questions and evaluate the underlying theories. With the logged ratio of female to male prevalence as the dependent variable, regression results reveal that gender equality has inconsistent effects on women's smoking relative to men, cigarette diffusion has more consistent and moderately strong effects, and economic factors have weak effects. Global patterns of adoption of cigarettes by women appear most closely associated with the early adoption by men and then movement through a regular pattern of cigarette diffusion. © 2006 SAGE Publications.","author":[{"dropping-particle":"","family":"Pampel","given":"Fred C.","non-dropping-particle":"","parse-names":false,"suffix":""}],"container-title":"International Journal of Comparative Sociology","id":"ITEM-1","issue":"6","issued":{"date-parts":[["2006"]]},"page":"466-487","title":"Global patterns and determinants of sex differences in smoking","type":"article-journal","volume":"47"},"uris":["http://www.mendeley.com/documents/?uuid=2dbc262f-bead-4d3f-a907-6c73e1ccd00a"]}],"mendeley":{"formattedCitation":"(35)","plainTextFormattedCitation":"(35)","previouslyFormattedCitation":"(35)"},"properties":{"noteIndex":0},"schema":"https://github.com/citation-style-language/schema/raw/master/csl-citation.json"}</w:instrText>
      </w:r>
      <w:r w:rsidR="00AD4DD6"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(35)</w:t>
      </w:r>
      <w:r w:rsidR="00AD4DD6" w:rsidRPr="004B0BC2">
        <w:rPr>
          <w:rFonts w:asciiTheme="minorHAnsi" w:hAnsiTheme="minorHAnsi" w:cstheme="minorHAnsi"/>
          <w:sz w:val="22"/>
          <w:szCs w:val="22"/>
        </w:rPr>
        <w:fldChar w:fldCharType="end"/>
      </w:r>
      <w:r w:rsidR="00AD4DD6" w:rsidRPr="004B0BC2">
        <w:rPr>
          <w:rFonts w:asciiTheme="minorHAnsi" w:hAnsiTheme="minorHAnsi" w:cstheme="minorHAnsi"/>
          <w:sz w:val="22"/>
          <w:szCs w:val="22"/>
        </w:rPr>
        <w:t>.</w:t>
      </w:r>
      <w:r w:rsidR="0027386C" w:rsidRPr="004B0BC2">
        <w:rPr>
          <w:rFonts w:asciiTheme="minorHAnsi" w:hAnsiTheme="minorHAnsi" w:cstheme="minorHAnsi"/>
          <w:sz w:val="22"/>
          <w:szCs w:val="22"/>
        </w:rPr>
        <w:t xml:space="preserve"> Cigarette smoking is an risk factor for</w:t>
      </w:r>
      <w:r w:rsidR="00AB2198" w:rsidRPr="004B0BC2">
        <w:rPr>
          <w:rFonts w:asciiTheme="minorHAnsi" w:hAnsiTheme="minorHAnsi" w:cstheme="minorHAnsi"/>
          <w:sz w:val="22"/>
          <w:szCs w:val="22"/>
        </w:rPr>
        <w:t xml:space="preserve"> COPD</w:t>
      </w:r>
      <w:r w:rsidR="00A83DA4">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{"citationItems":[{"id":"ITEM-1","itemData":{"ISSN":"10273719","PMID":"18544191","abstract":"SETTING: Burden of Obstructive Lung Disease (BOLD) Initiative sites worldwide. OBJECTIVE: To measure the prevalence of chronic obstructive pulmonary disease (COPD) and its risk factors, investigate variation in prevalence across countries and develop standardized methods that can be used in industrialized and developing countries. DESIGN: Non-institutionalized adults aged ≥40 years were recruited using population-based sampling plans. Each site targeted a minimum of 600 participants (300 women, 300 men), who filled out questionnaires and performed spirometry before and after administration of 200 μg salbutamol using standardized methods. Random effects meta-analysis models were used to estimate pooled prevalence estimates and risk factor effects and to test for heterogeneity across sites and sex. RESULTS: Data published from 12 sites (n = 8775 ) showed that the estimated population prevalence of COPD (Global Initiative for Chronic Obstructive Lung Disease [GOLD] Stage II and higher) was 10.1 ± SE = 4.8% overall (11.8 ± 7.9% for men and 8.5 ± 5.8% for women). Prevalence increased with age and pack-years of smoking, but other less understood risk factors, such as biomass heating and cooking exposures, occupational exposures and tuberculosis, also contribute to the location-specific variations in disease prevalence that BOLD is finding. CONCLUSION: BOLD has estimated the social and economic burden of COPD in 12 countries to date. BOLD and the Proyecto Latinoamericano de Investigación en Obstrucción Pulmonar (the PLATINO study) are developing a growing database of COPD prevalence. Cigarette smoking and age are the most important COPD risk factors, but other risk factors should also be explored. © 2008 The Union.","author":[{"dropping-particle":"","family":"Buist","given":"A. S.","non-dropping-particle":"","parse-names":false,"suffix":""},{"dropping-particle":"","family":"Vollmer","given":"W. M.","non-dropping-particle":"","parse-names":false,"suffix":""},{"dropping-particle":"","family":"McBurnie","given":"M. A.","non-dropping-particle":"","parse-names":false,"suffix":""}],"container-title":"International Journal of Tuberculosis and Lung Disease","id":"ITEM-1","issue":"7","issued":{"date-parts":[["2008"]]},"page":"703-708","title":"Worldwide burden of COPD in high- and low-income countries. Part I. The Burden of Obstructive Lung Disease (BOLD) Initiative","type":"article-journal","volume":"12"},"uris":["http://www.mendeley.com/documents/?uuid=63bf5361-8bc0-49d4-85b2-df67b8a5d399"]}],"mendeley":{"formattedCitation":"(36)","plainTextFormattedCitation":"(36)","previouslyFormattedCitation":"(36)"},"properties":{"noteIndex":0},"schema":"https://github.com/citation-style-language/schema/raw/master/csl-citation.json"}</w:instrText>
      </w:r>
      <w:r w:rsidR="00A83DA4">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(36)</w:t>
      </w:r>
      <w:r w:rsidR="00A83DA4">
        <w:rPr>
          <w:rFonts w:asciiTheme="minorHAnsi" w:hAnsiTheme="minorHAnsi" w:cstheme="minorHAnsi"/>
          <w:sz w:val="22"/>
          <w:szCs w:val="22"/>
        </w:rPr>
        <w:fldChar w:fldCharType="end"/>
      </w:r>
      <w:r w:rsidR="00AB2198" w:rsidRPr="004B0BC2">
        <w:rPr>
          <w:rFonts w:asciiTheme="minorHAnsi" w:hAnsiTheme="minorHAnsi" w:cstheme="minorHAnsi"/>
          <w:sz w:val="22"/>
          <w:szCs w:val="22"/>
        </w:rPr>
        <w:t>, CVD</w:t>
      </w:r>
      <w:r w:rsidR="00A83DA4">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{"citationItems":[{"id":"ITEM-1","itemData":{"DOI":"10.1093/aje/155.4.354","ISSN":"00029262","PMID":"11836200","abstract":"It has been suggested that smoking does not influence risk of cardiovascular diseases in populations with low serum cholesterol levels. To determine whether cigarette smoking is an independent risk factor among men with low levels of serum cholesterol, data on 25-year coronary, cardiovascular, and all-cause mortality for 8,816 middle-aged men screened between 1967 and 1973 by the Chicago Heart Association Detection Project in Industry were examined. With Cox multivariate proportional hazards regression, relative risks of coronary heart disease and cardiovascular disease mortality associated with smoking for the two subcohorts with favorable levels of serum total cholesterol, that is, less than 180 and 180-199 mg/dl, were of the same magnitude as those for men with elevated serum cholesterol, that is, 200-239 and 240 mg/dl. In the two lower strata of cholesterol, the absolute risk and absolute excess risk of mortality for current smokers at baseline were substantially higher compared with men who never smoked, with all-cause death rates of 423.0 and 428.0 per 1,000 and absolute excess rates of 209.8 and 225.7 per 1,000. These translate to estimated shorter life expectancies of 5.3 and 5.7 years, respectively. Adverse effects of smoking on risk of coronary, cardiovascular, and all-cause mortality prevail for men with lower as well as higher serum cholesterol levels. © 2001 OUP.","author":[{"dropping-particle":"","family":"Blanco-Cedres","given":"Lucila","non-dropping-particle":"","parse-names":false,"suffix":""},{"dropping-particle":"","family":"Daviglus","given":"Martha L.","non-dropping-particle":"","parse-names":false,"suffix":""},{"dropping-particle":"","family":"Garside","given":"Daniel B.","non-dropping-particle":"","parse-names":false,"suffix":""},{"dropping-particle":"","family":"Liu","given":"Kiang","non-dropping-particle":"","parse-names":false,"suffix":""},{"dropping-particle":"","family":"Pirzada","given":"Amber","non-dropping-particle":"","parse-names":false,"suffix":""},{"dropping-particle":"","family":"Stamler","given":"Jeremiah","non-dropping-particle":"","parse-names":false,"suffix":""},{"dropping-particle":"","family":"Greenland","given":"Philip","non-dropping-particle":"","parse-names":false,"suffix":""}],"container-title":"American Journal of Epidemiology","id":"ITEM-1","issue":"4","issued":{"date-parts":[["2002"]]},"page":"354–360","title":"Relation of cigarette smoking to 25-year mortality in middle-aged men with low baseline serum cholesterol: The Chicago Heart Association detection project in industry","type":"article-journal","volume":"155"},"uris":["http://www.mendeley.com/documents/?uuid=c852f1fd-6771-4801-a47a-2b9559db1d31"]}],"mendeley":{"formattedCitation":"(37)","plainTextFormattedCitation":"(37)","previouslyFormattedCitation":"(37)"},"properties":{"noteIndex":0},"schema":"https://github.com/citation-style-language/schema/raw/master/csl-citation.json"}</w:instrText>
      </w:r>
      <w:r w:rsidR="00A83DA4">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(37)</w:t>
      </w:r>
      <w:r w:rsidR="00A83DA4">
        <w:rPr>
          <w:rFonts w:asciiTheme="minorHAnsi" w:hAnsiTheme="minorHAnsi" w:cstheme="minorHAnsi"/>
          <w:sz w:val="22"/>
          <w:szCs w:val="22"/>
        </w:rPr>
        <w:fldChar w:fldCharType="end"/>
      </w:r>
      <w:r w:rsidR="00A83DA4">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{"citationItems":[{"id":"ITEM-1","itemData":{"DOI":"10.1056/nejm197902013000501","ISSN":"0028-4793","PMID":"759867","abstract":"We assessed the relation of cigarette smoking to mortality in an 11-year follow-up study of 4004 men and women, 35 to 54 years of age, who responded to urging to have multiphasic health checkups. Accounting for 48 other characteristics, both individually and in combination, failed to eliminate the association of smoking with mortality from all causes or with mortality from coronary heart disease. The smoker-to-nonsmoker mortality ratios, crude and adjusted respectively, were 2.6 and 2.1 for all causes and 4.7 and 3.6 for coronary heart disease. This analysis did not support the counterhypothesis that the association of cigarette smoking with mortality is secondary to some underlying characteristic.","author":[{"dropping-particle":"","family":"Friedman","given":"Gary D.","non-dropping-particle":"","parse-names":false,"suffix":""},{"dropping-particle":"","family":"Dales","given":"Loring G.","non-dropping-particle":"","parse-names":false,"suffix":""},{"dropping-particle":"","family":"Ury","given":"Hans K.","non-dropping-particle":"","parse-names":false,"suffix":""}],"container-title":"New England Journal of Medicine","id":"ITEM-1","issue":"5","issued":{"date-parts":[["1979"]]},"page":"213-217","title":"Mortality in Middle-Aged Smokers and Nonsmokers","type":"article-journal","volume":"300"},"uris":["http://www.mendeley.com/documents/?uuid=c212c9c9-1fb4-450d-b39f-1e98f40b1337"]}],"mendeley":{"formattedCitation":"(38)","plainTextFormattedCitation":"(38)","previouslyFormattedCitation":"(38)"},"properties":{"noteIndex":0},"schema":"https://github.com/citation-style-language/schema/raw/master/csl-citation.json"}</w:instrText>
      </w:r>
      <w:r w:rsidR="00A83DA4">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(38)</w:t>
      </w:r>
      <w:r w:rsidR="00A83DA4">
        <w:rPr>
          <w:rFonts w:asciiTheme="minorHAnsi" w:hAnsiTheme="minorHAnsi" w:cstheme="minorHAnsi"/>
          <w:sz w:val="22"/>
          <w:szCs w:val="22"/>
        </w:rPr>
        <w:fldChar w:fldCharType="end"/>
      </w:r>
      <w:r w:rsidR="00AB2198" w:rsidRPr="004B0BC2">
        <w:rPr>
          <w:rFonts w:asciiTheme="minorHAnsi" w:hAnsiTheme="minorHAnsi" w:cstheme="minorHAnsi"/>
          <w:sz w:val="22"/>
          <w:szCs w:val="22"/>
        </w:rPr>
        <w:t xml:space="preserve"> and </w:t>
      </w:r>
      <w:r w:rsidR="0027386C" w:rsidRPr="004B0BC2">
        <w:rPr>
          <w:rFonts w:asciiTheme="minorHAnsi" w:hAnsiTheme="minorHAnsi" w:cstheme="minorHAnsi"/>
          <w:sz w:val="22"/>
          <w:szCs w:val="22"/>
        </w:rPr>
        <w:t>several malignancies</w:t>
      </w:r>
      <w:r w:rsidR="00A83DA4">
        <w:rPr>
          <w:rFonts w:asciiTheme="minorHAnsi" w:hAnsiTheme="minorHAnsi" w:cstheme="minorHAnsi"/>
          <w:sz w:val="22"/>
          <w:szCs w:val="22"/>
        </w:rPr>
        <w:t xml:space="preserve"> </w:t>
      </w:r>
      <w:r w:rsidR="00A83DA4" w:rsidRPr="000242C7">
        <w:rPr>
          <w:rFonts w:asciiTheme="minorHAnsi" w:hAnsiTheme="minorHAnsi" w:cstheme="minorHAnsi"/>
          <w:sz w:val="22"/>
          <w:szCs w:val="22"/>
        </w:rPr>
        <w:t>(</w:t>
      </w:r>
      <w:r w:rsidR="001B1861" w:rsidRPr="000242C7">
        <w:rPr>
          <w:rFonts w:asciiTheme="minorHAnsi" w:hAnsiTheme="minorHAnsi" w:cstheme="minorHAnsi"/>
          <w:sz w:val="22"/>
          <w:szCs w:val="22"/>
        </w:rPr>
        <w:t xml:space="preserve">lung, hepatic, oral cavity, bladder, </w:t>
      </w:r>
      <w:r w:rsidR="00693DD5" w:rsidRPr="000242C7">
        <w:rPr>
          <w:rFonts w:asciiTheme="minorHAnsi" w:hAnsiTheme="minorHAnsi" w:cstheme="minorHAnsi"/>
          <w:sz w:val="22"/>
          <w:szCs w:val="22"/>
        </w:rPr>
        <w:t>oesophageal</w:t>
      </w:r>
      <w:r w:rsidR="001B1861" w:rsidRPr="000242C7">
        <w:rPr>
          <w:rFonts w:asciiTheme="minorHAnsi" w:hAnsiTheme="minorHAnsi" w:cstheme="minorHAnsi"/>
          <w:sz w:val="22"/>
          <w:szCs w:val="22"/>
        </w:rPr>
        <w:t>, pancreatic, gastric, renal, lymphoma cancers)</w:t>
      </w:r>
      <w:r w:rsidR="001B1861" w:rsidRPr="000242C7">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{"citationItems":[{"id":"ITEM-1","itemData":{"DOI":"10.18632/oncotarget.24724","ISSN":"19492553","abstract":"Background: The aim of this study was to analyze the impact of tobacco smoking on the risk of developing 25 different cancers in patients followed for up to 30 years in general practices in the UK. Methods: This study included all individuals with at least one visit to one of 196 general practitioners' offices in the UK between January 1988 and December 2008 (index date). Only individuals with documented smoking status were included. Smokers and non-smokers were matched (1:1) by age, gender, index year, body mass index, and physician. The main outcome of the study was the risk of cancer as a function of smoking status. Data regarding a total of 25 cancers were available for the present analysis. The risk of cancer was analyzed using Cox's regression model. Results: The present retrospective study included 211,005 smokers and 211,005 non-smokers. The mean age was 36.5 years (SD = 12.5 years) in men and 34.3 years (SD = 13.1 years) in women. There was a slightly positive association between smoking and any cancer in both men (HR = 1.07) and women (HR = 1.03). Smoking was further found to be positively associated with several cancers, such as liver cancer, bladder and kidney cancers, pancreas cancer, and lymphoma. By contrast, the use of tobacco was negatively associated with the risk of developing skin cancer, prostate cancer, multiple myeloma, endometrial carcinoma, or breast cancer. Conclusions: Smoking increased the overall risk of cancer in primary care practices in the UK. In addition, smoking was predominantly positively and less frequently negatively associated with numerous specific cancers.","author":[{"dropping-particle":"","family":"Jacob","given":"Louis","non-dropping-particle":"","parse-names":false,"suffix":""},{"dropping-particle":"","family":"Freyn","given":"Moritz","non-dropping-particle":"","parse-names":false,"suffix":""},{"dropping-particle":"","family":"Kalder","given":"Matthias","non-dropping-particle":"","parse-names":false,"suffix":""},{"dropping-particle":"","family":"Dinas","given":"Konstantinos","non-dropping-particle":"","parse-names":false,"suffix":""},{"dropping-particle":"","family":"Kostev","given":"Karel","non-dropping-particle":"","parse-names":false,"suffix":""}],"container-title":"Oncotarget","id":"ITEM-1","issue":"25","issued":{"date-parts":[["2018"]]},"page":"17420-17429","title":"Impact of tobacco smoking on the risk of developing 25 different cancers in the UK: A retrospective study of 422,010 patients followed for up to 30 years","type":"article-journal","volume":"9"},"uris":["http://www.mendeley.com/documents/?uuid=77518039-35c7-4c08-b9a1-2903307ade23"]}],"mendeley":{"formattedCitation":"(39)","plainTextFormattedCitation":"(39)","previouslyFormattedCitation":"(39)"},"properties":{"noteIndex":0},"schema":"https://github.com/citation-style-language/schema/raw/master/csl-citation.json"}</w:instrText>
      </w:r>
      <w:r w:rsidR="001B1861" w:rsidRPr="000242C7">
        <w:rPr>
          <w:rFonts w:asciiTheme="minorHAnsi" w:hAnsiTheme="minorHAnsi" w:cstheme="minorHAnsi"/>
          <w:sz w:val="22"/>
          <w:szCs w:val="22"/>
        </w:rPr>
        <w:fldChar w:fldCharType="separate"/>
      </w:r>
      <w:r w:rsidR="00693DD5" w:rsidRPr="000242C7">
        <w:rPr>
          <w:rFonts w:asciiTheme="minorHAnsi" w:hAnsiTheme="minorHAnsi" w:cstheme="minorHAnsi"/>
          <w:noProof/>
          <w:sz w:val="22"/>
          <w:szCs w:val="22"/>
        </w:rPr>
        <w:t>(39)</w:t>
      </w:r>
      <w:r w:rsidR="001B1861" w:rsidRPr="000242C7">
        <w:rPr>
          <w:rFonts w:asciiTheme="minorHAnsi" w:hAnsiTheme="minorHAnsi" w:cstheme="minorHAnsi"/>
          <w:sz w:val="22"/>
          <w:szCs w:val="22"/>
        </w:rPr>
        <w:fldChar w:fldCharType="end"/>
      </w:r>
      <w:r w:rsidR="00AB2198" w:rsidRPr="008025B4">
        <w:rPr>
          <w:rFonts w:asciiTheme="minorHAnsi" w:hAnsiTheme="minorHAnsi" w:cstheme="minorHAnsi"/>
          <w:sz w:val="22"/>
          <w:szCs w:val="22"/>
        </w:rPr>
        <w:t xml:space="preserve">. </w:t>
      </w:r>
      <w:r w:rsidR="00AB2198" w:rsidRPr="004B0BC2">
        <w:rPr>
          <w:rFonts w:asciiTheme="minorHAnsi" w:hAnsiTheme="minorHAnsi" w:cstheme="minorHAnsi"/>
          <w:sz w:val="22"/>
          <w:szCs w:val="22"/>
        </w:rPr>
        <w:t>A</w:t>
      </w:r>
      <w:r w:rsidR="0027386C" w:rsidRPr="004B0BC2">
        <w:rPr>
          <w:rFonts w:asciiTheme="minorHAnsi" w:hAnsiTheme="minorHAnsi" w:cstheme="minorHAnsi"/>
          <w:sz w:val="22"/>
          <w:szCs w:val="22"/>
        </w:rPr>
        <w:t xml:space="preserve"> </w:t>
      </w:r>
      <w:r w:rsidR="005E2CCC">
        <w:rPr>
          <w:rFonts w:asciiTheme="minorHAnsi" w:hAnsiTheme="minorHAnsi" w:cstheme="minorHAnsi"/>
          <w:sz w:val="22"/>
          <w:szCs w:val="22"/>
        </w:rPr>
        <w:t>2018</w:t>
      </w:r>
      <w:r w:rsidR="0027386C" w:rsidRPr="004B0BC2">
        <w:rPr>
          <w:rFonts w:asciiTheme="minorHAnsi" w:hAnsiTheme="minorHAnsi" w:cstheme="minorHAnsi"/>
          <w:sz w:val="22"/>
          <w:szCs w:val="22"/>
        </w:rPr>
        <w:t xml:space="preserve"> meta-analysis of 156 studies on COPD data reported a higher prevalence</w:t>
      </w:r>
      <w:r w:rsidR="005E2CCC">
        <w:rPr>
          <w:rFonts w:asciiTheme="minorHAnsi" w:hAnsiTheme="minorHAnsi" w:cstheme="minorHAnsi"/>
          <w:sz w:val="22"/>
          <w:szCs w:val="22"/>
        </w:rPr>
        <w:t xml:space="preserve"> of the disease in</w:t>
      </w:r>
      <w:r w:rsidR="0027386C" w:rsidRPr="004B0BC2">
        <w:rPr>
          <w:rFonts w:asciiTheme="minorHAnsi" w:hAnsiTheme="minorHAnsi" w:cstheme="minorHAnsi"/>
          <w:sz w:val="22"/>
          <w:szCs w:val="22"/>
        </w:rPr>
        <w:t xml:space="preserve"> men </w:t>
      </w:r>
      <w:r w:rsidR="005E2CCC">
        <w:rPr>
          <w:rFonts w:asciiTheme="minorHAnsi" w:hAnsiTheme="minorHAnsi" w:cstheme="minorHAnsi"/>
          <w:sz w:val="22"/>
          <w:szCs w:val="22"/>
        </w:rPr>
        <w:t>than</w:t>
      </w:r>
      <w:r w:rsidR="0027386C" w:rsidRPr="004B0BC2">
        <w:rPr>
          <w:rFonts w:asciiTheme="minorHAnsi" w:hAnsiTheme="minorHAnsi" w:cstheme="minorHAnsi"/>
          <w:sz w:val="22"/>
          <w:szCs w:val="22"/>
        </w:rPr>
        <w:t xml:space="preserve"> women (9.23% v</w:t>
      </w:r>
      <w:r w:rsidR="005E2CCC">
        <w:rPr>
          <w:rFonts w:asciiTheme="minorHAnsi" w:hAnsiTheme="minorHAnsi" w:cstheme="minorHAnsi"/>
          <w:sz w:val="22"/>
          <w:szCs w:val="22"/>
        </w:rPr>
        <w:t>ersu</w:t>
      </w:r>
      <w:r w:rsidR="0027386C" w:rsidRPr="004B0BC2">
        <w:rPr>
          <w:rFonts w:asciiTheme="minorHAnsi" w:hAnsiTheme="minorHAnsi" w:cstheme="minorHAnsi"/>
          <w:sz w:val="22"/>
          <w:szCs w:val="22"/>
        </w:rPr>
        <w:t>s 6.16%)</w:t>
      </w:r>
      <w:r w:rsidR="0027386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{"citationItems":[{"id":"ITEM-1","itemData":{"DOI":"10.2147/COPD.S146390","ISSN":"11782005","PMID":"29785100","abstract":"Rationale: COPD has been perceived as being a disease of older men. However, &gt;7 million women are estimated to live with COPD in the USA alone. Despite a growing body of literature suggesting an increasing burden of COPD in women, the evidence is limited. Objectives: To assess and synthesize the available evidence among population-based epidemiologic studies and calculate the global prevalence of COPD in men and women. Materials and methods: A systematic review and meta-analysis reporting gender-specific prevalence of COPD was undertaken. Gender-specific prevalence estimates were abstracted from relevant studies. Associated patient characteristics as well as custom variables pertaining to the diagnostic method and other important epidemiologic covariates were also collected. A Bayesian random-effects meta-analysis was performed investigating gender-specific prevalence of COPD stratified by age, geography, calendar time, study setting, diagnostic method, and disease severity. Measurements and main results: Among 194 eligible studies, summary prevalence was 9.23% (95% credible interval [CrI]: 8.16%–10.36%) in men and 6.16% (95% CrI: 5.41%–6.95%) in women. Gender prevalences varied widely by the World Health Organization Global Burden of Disease subregions, with the highest female prevalence found in North America (8.07% vs 7.30%) and in participants in urban settings (13.03% vs 8.34%). Meta-regression indicated that age ³40 and bronchodilator testing contributed most significantly to heterogeneity of prevalence estimates across studies. Conclusion: We conducted the largest ever systematic review and meta-analysis of global prevalence of COPD and the first large gender-specific review. These results will increase awareness of COPD as a critical woman’s health issue.","author":[{"dropping-particle":"","family":"Ntritsos","given":"Georgios","non-dropping-particle":"","parse-names":false,"suffix":""},{"dropping-particle":"","family":"Franek","given":"Jacob","non-dropping-particle":"","parse-names":false,"suffix":""},{"dropping-particle":"","family":"Belbasis","given":"Lazaros","non-dropping-particle":"","parse-names":false,"suffix":""},{"dropping-particle":"","family":"Christou","given":"Maria A.","non-dropping-particle":"","parse-names":false,"suffix":""},{"dropping-particle":"","family":"Markozannes","given":"Georgios","non-dropping-particle":"","parse-names":false,"suffix":""},{"dropping-particle":"","family":"Altman","given":"Pablo","non-dropping-particle":"","parse-names":false,"suffix":""},{"dropping-particle":"","family":"Fogel","given":"Robert","non-dropping-particle":"","parse-names":false,"suffix":""},{"dropping-particle":"","family":"Sayre","given":"Tobias","non-dropping-particle":"","parse-names":false,"suffix":""},{"dropping-particle":"","family":"Ntzani","given":"Evangelia E.","non-dropping-particle":"","parse-names":false,"suffix":""},{"dropping-particle":"","family":"Evangelou","given":"Evangelos","non-dropping-particle":"","parse-names":false,"suffix":""}],"container-title":"International Journal of COPD","id":"ITEM-1","issued":{"date-parts":[["2018"]]},"page":"1507–1514","title":"Gender-specific estimates of COPD prevalence: A systematic review and meta-analysis","type":"article-journal","volume":"13"},"uris":["http://www.mendeley.com/documents/?uuid=ff9e07ee-3ecc-4da7-bac7-5d38fc0655e6"]}],"mendeley":{"formattedCitation":"(40)","plainTextFormattedCitation":"(40)","previouslyFormattedCitation":"(40)"},"properties":{"noteIndex":0},"schema":"https://github.com/citation-style-language/schema/raw/master/csl-citation.json"}</w:instrText>
      </w:r>
      <w:r w:rsidR="0027386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(40)</w:t>
      </w:r>
      <w:r w:rsidR="0027386C" w:rsidRPr="004B0BC2">
        <w:rPr>
          <w:rFonts w:asciiTheme="minorHAnsi" w:hAnsiTheme="minorHAnsi" w:cstheme="minorHAnsi"/>
          <w:sz w:val="22"/>
          <w:szCs w:val="22"/>
        </w:rPr>
        <w:fldChar w:fldCharType="end"/>
      </w:r>
      <w:r w:rsidR="0027386C" w:rsidRPr="004B0BC2">
        <w:rPr>
          <w:rFonts w:asciiTheme="minorHAnsi" w:hAnsiTheme="minorHAnsi" w:cstheme="minorHAnsi"/>
          <w:sz w:val="22"/>
          <w:szCs w:val="22"/>
        </w:rPr>
        <w:t>.</w:t>
      </w:r>
    </w:p>
    <w:p w14:paraId="0A164498" w14:textId="2449991F" w:rsidR="00DA4278" w:rsidRPr="00693DD5" w:rsidRDefault="0027386C" w:rsidP="00B66369">
      <w:pPr>
        <w:spacing w:line="480" w:lineRule="auto"/>
        <w:rPr>
          <w:rFonts w:asciiTheme="minorHAnsi" w:hAnsiTheme="minorHAnsi" w:cstheme="minorHAnsi"/>
          <w:sz w:val="22"/>
          <w:szCs w:val="22"/>
        </w:rPr>
      </w:pPr>
      <w:r w:rsidRPr="00693DD5">
        <w:rPr>
          <w:rFonts w:asciiTheme="minorHAnsi" w:hAnsiTheme="minorHAnsi" w:cstheme="minorHAnsi"/>
          <w:sz w:val="22"/>
          <w:szCs w:val="22"/>
        </w:rPr>
        <w:lastRenderedPageBreak/>
        <w:t>T</w:t>
      </w:r>
      <w:r w:rsidR="00AD4DD6" w:rsidRPr="00693DD5">
        <w:rPr>
          <w:rFonts w:asciiTheme="minorHAnsi" w:hAnsiTheme="minorHAnsi" w:cstheme="minorHAnsi"/>
          <w:sz w:val="22"/>
          <w:szCs w:val="22"/>
        </w:rPr>
        <w:t>h</w:t>
      </w:r>
      <w:r w:rsidRPr="00693DD5">
        <w:rPr>
          <w:rFonts w:asciiTheme="minorHAnsi" w:hAnsiTheme="minorHAnsi" w:cstheme="minorHAnsi"/>
          <w:sz w:val="22"/>
          <w:szCs w:val="22"/>
        </w:rPr>
        <w:t>us</w:t>
      </w:r>
      <w:r w:rsidR="001C0FAD" w:rsidRPr="00693DD5">
        <w:rPr>
          <w:rFonts w:asciiTheme="minorHAnsi" w:hAnsiTheme="minorHAnsi" w:cstheme="minorHAnsi"/>
          <w:sz w:val="22"/>
          <w:szCs w:val="22"/>
        </w:rPr>
        <w:t>,</w:t>
      </w:r>
      <w:r w:rsidRPr="00693DD5">
        <w:rPr>
          <w:rFonts w:asciiTheme="minorHAnsi" w:hAnsiTheme="minorHAnsi" w:cstheme="minorHAnsi"/>
          <w:sz w:val="22"/>
          <w:szCs w:val="22"/>
        </w:rPr>
        <w:t xml:space="preserve"> the </w:t>
      </w:r>
      <w:r w:rsidR="00AD4DD6" w:rsidRPr="00693DD5">
        <w:rPr>
          <w:rFonts w:asciiTheme="minorHAnsi" w:hAnsiTheme="minorHAnsi" w:cstheme="minorHAnsi"/>
          <w:sz w:val="22"/>
          <w:szCs w:val="22"/>
        </w:rPr>
        <w:t>higher prevalence of</w:t>
      </w:r>
      <w:r w:rsidRPr="00693DD5">
        <w:rPr>
          <w:rFonts w:asciiTheme="minorHAnsi" w:hAnsiTheme="minorHAnsi" w:cstheme="minorHAnsi"/>
          <w:sz w:val="22"/>
          <w:szCs w:val="22"/>
        </w:rPr>
        <w:t xml:space="preserve"> </w:t>
      </w:r>
      <w:r w:rsidR="00733C5B" w:rsidRPr="00693DD5">
        <w:rPr>
          <w:rFonts w:asciiTheme="minorHAnsi" w:hAnsiTheme="minorHAnsi" w:cstheme="minorHAnsi"/>
          <w:sz w:val="22"/>
          <w:szCs w:val="22"/>
        </w:rPr>
        <w:t>cigarette</w:t>
      </w:r>
      <w:r w:rsidRPr="00693DD5">
        <w:rPr>
          <w:rFonts w:asciiTheme="minorHAnsi" w:hAnsiTheme="minorHAnsi" w:cstheme="minorHAnsi"/>
          <w:sz w:val="22"/>
          <w:szCs w:val="22"/>
        </w:rPr>
        <w:t xml:space="preserve"> smoking and </w:t>
      </w:r>
      <w:r w:rsidR="00AD4DD6" w:rsidRPr="00693DD5">
        <w:rPr>
          <w:rFonts w:asciiTheme="minorHAnsi" w:hAnsiTheme="minorHAnsi" w:cstheme="minorHAnsi"/>
          <w:sz w:val="22"/>
          <w:szCs w:val="22"/>
        </w:rPr>
        <w:t xml:space="preserve">COPD in men </w:t>
      </w:r>
      <w:r w:rsidR="005E2CCC" w:rsidRPr="00693DD5">
        <w:rPr>
          <w:rFonts w:asciiTheme="minorHAnsi" w:hAnsiTheme="minorHAnsi" w:cstheme="minorHAnsi"/>
          <w:sz w:val="22"/>
          <w:szCs w:val="22"/>
        </w:rPr>
        <w:t>than</w:t>
      </w:r>
      <w:r w:rsidR="00AD4DD6" w:rsidRPr="00693DD5">
        <w:rPr>
          <w:rFonts w:asciiTheme="minorHAnsi" w:hAnsiTheme="minorHAnsi" w:cstheme="minorHAnsi"/>
          <w:sz w:val="22"/>
          <w:szCs w:val="22"/>
        </w:rPr>
        <w:t xml:space="preserve"> women </w:t>
      </w:r>
      <w:r w:rsidR="001C0FAD" w:rsidRPr="00693DD5">
        <w:rPr>
          <w:rFonts w:asciiTheme="minorHAnsi" w:hAnsiTheme="minorHAnsi" w:cstheme="minorHAnsi"/>
          <w:sz w:val="22"/>
          <w:szCs w:val="22"/>
        </w:rPr>
        <w:t>m</w:t>
      </w:r>
      <w:r w:rsidR="005E2CCC" w:rsidRPr="00693DD5">
        <w:rPr>
          <w:rFonts w:asciiTheme="minorHAnsi" w:hAnsiTheme="minorHAnsi" w:cstheme="minorHAnsi"/>
          <w:sz w:val="22"/>
          <w:szCs w:val="22"/>
        </w:rPr>
        <w:t>ight also</w:t>
      </w:r>
      <w:r w:rsidR="001C0FAD" w:rsidRPr="00693DD5">
        <w:rPr>
          <w:rFonts w:asciiTheme="minorHAnsi" w:hAnsiTheme="minorHAnsi" w:cstheme="minorHAnsi"/>
          <w:sz w:val="22"/>
          <w:szCs w:val="22"/>
        </w:rPr>
        <w:t xml:space="preserve"> </w:t>
      </w:r>
      <w:r w:rsidR="007D457B" w:rsidRPr="00693DD5">
        <w:rPr>
          <w:rFonts w:asciiTheme="minorHAnsi" w:hAnsiTheme="minorHAnsi" w:cstheme="minorHAnsi"/>
          <w:sz w:val="22"/>
          <w:szCs w:val="22"/>
        </w:rPr>
        <w:t>predispose to</w:t>
      </w:r>
      <w:r w:rsidR="001C0FAD" w:rsidRPr="00693DD5">
        <w:rPr>
          <w:rFonts w:asciiTheme="minorHAnsi" w:hAnsiTheme="minorHAnsi" w:cstheme="minorHAnsi"/>
          <w:sz w:val="22"/>
          <w:szCs w:val="22"/>
        </w:rPr>
        <w:t xml:space="preserve"> worse COVID-19 outcomes.</w:t>
      </w:r>
      <w:r w:rsidR="005E2CCC" w:rsidRPr="00693DD5">
        <w:rPr>
          <w:rFonts w:asciiTheme="minorHAnsi" w:hAnsiTheme="minorHAnsi" w:cstheme="minorHAnsi"/>
          <w:sz w:val="22"/>
          <w:szCs w:val="22"/>
        </w:rPr>
        <w:t xml:space="preserve"> </w:t>
      </w:r>
    </w:p>
    <w:p w14:paraId="78363EF7" w14:textId="111BEB9E" w:rsidR="00F52DD7" w:rsidRPr="004B0BC2" w:rsidRDefault="00F52DD7" w:rsidP="00B66369">
      <w:pPr>
        <w:spacing w:line="480" w:lineRule="auto"/>
        <w:rPr>
          <w:rFonts w:asciiTheme="minorHAnsi" w:hAnsiTheme="minorHAnsi" w:cstheme="minorHAnsi"/>
          <w:sz w:val="22"/>
          <w:szCs w:val="22"/>
        </w:rPr>
      </w:pPr>
      <w:r w:rsidRPr="00693DD5">
        <w:rPr>
          <w:rFonts w:asciiTheme="minorHAnsi" w:hAnsiTheme="minorHAnsi" w:cstheme="minorHAnsi"/>
          <w:sz w:val="22"/>
          <w:szCs w:val="22"/>
        </w:rPr>
        <w:t>The</w:t>
      </w:r>
      <w:r w:rsidR="00630857" w:rsidRPr="00693DD5">
        <w:rPr>
          <w:rFonts w:asciiTheme="minorHAnsi" w:hAnsiTheme="minorHAnsi" w:cstheme="minorHAnsi"/>
          <w:sz w:val="22"/>
          <w:szCs w:val="22"/>
        </w:rPr>
        <w:t xml:space="preserve"> National</w:t>
      </w:r>
      <w:r w:rsidRPr="00693DD5">
        <w:rPr>
          <w:rFonts w:asciiTheme="minorHAnsi" w:hAnsiTheme="minorHAnsi" w:cstheme="minorHAnsi"/>
          <w:sz w:val="22"/>
          <w:szCs w:val="22"/>
        </w:rPr>
        <w:t xml:space="preserve"> England and Wales </w:t>
      </w:r>
      <w:r w:rsidR="005E2CCC" w:rsidRPr="00693DD5">
        <w:rPr>
          <w:rFonts w:asciiTheme="minorHAnsi" w:hAnsiTheme="minorHAnsi" w:cstheme="minorHAnsi"/>
          <w:sz w:val="22"/>
          <w:szCs w:val="22"/>
        </w:rPr>
        <w:t>D</w:t>
      </w:r>
      <w:r w:rsidRPr="00693DD5">
        <w:rPr>
          <w:rFonts w:asciiTheme="minorHAnsi" w:hAnsiTheme="minorHAnsi" w:cstheme="minorHAnsi"/>
          <w:sz w:val="22"/>
          <w:szCs w:val="22"/>
        </w:rPr>
        <w:t xml:space="preserve">iabetes </w:t>
      </w:r>
      <w:r w:rsidR="005E2CCC" w:rsidRPr="00693DD5">
        <w:rPr>
          <w:rFonts w:asciiTheme="minorHAnsi" w:hAnsiTheme="minorHAnsi" w:cstheme="minorHAnsi"/>
          <w:sz w:val="22"/>
          <w:szCs w:val="22"/>
        </w:rPr>
        <w:t>A</w:t>
      </w:r>
      <w:r w:rsidRPr="00693DD5">
        <w:rPr>
          <w:rFonts w:asciiTheme="minorHAnsi" w:hAnsiTheme="minorHAnsi" w:cstheme="minorHAnsi"/>
          <w:sz w:val="22"/>
          <w:szCs w:val="22"/>
        </w:rPr>
        <w:t>udit</w:t>
      </w:r>
      <w:r w:rsidR="001B1861" w:rsidRPr="00693DD5">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{"citationItems":[{"id":"ITEM-1","itemData":{"URL":"https://digital.nhs.uk/data-and-information/publications/statistical/national-diabetes-audit","author":[{"dropping-particle":"","family":"NHS Digital","given":"","non-dropping-particle":"","parse-names":false,"suffix":""}],"id":"ITEM-1","issued":{"date-parts":[["0"]]},"title":"National Diabetes Audit","type":"webpage"},"uris":["http://www.mendeley.com/documents/?uuid=81428b5d-45a4-4423-a67d-62ffe8064366"]}],"mendeley":{"formattedCitation":"(41)","plainTextFormattedCitation":"(41)","previouslyFormattedCitation":"(41)"},"properties":{"noteIndex":0},"schema":"https://github.com/citation-style-language/schema/raw/master/csl-citation.json"}</w:instrText>
      </w:r>
      <w:r w:rsidR="001B1861" w:rsidRPr="00693DD5">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(41)</w:t>
      </w:r>
      <w:r w:rsidR="001B1861" w:rsidRPr="00693DD5">
        <w:rPr>
          <w:rFonts w:asciiTheme="minorHAnsi" w:hAnsiTheme="minorHAnsi" w:cstheme="minorHAnsi"/>
          <w:sz w:val="22"/>
          <w:szCs w:val="22"/>
        </w:rPr>
        <w:fldChar w:fldCharType="end"/>
      </w:r>
      <w:r w:rsidRPr="004B0BC2">
        <w:rPr>
          <w:rFonts w:asciiTheme="minorHAnsi" w:hAnsiTheme="minorHAnsi" w:cstheme="minorHAnsi"/>
          <w:sz w:val="22"/>
          <w:szCs w:val="22"/>
        </w:rPr>
        <w:t xml:space="preserve"> reported a male predominance in both type 1 (57% vs 43%) and type 2 diabetes (5</w:t>
      </w:r>
      <w:r w:rsidR="001B1861">
        <w:rPr>
          <w:rFonts w:asciiTheme="minorHAnsi" w:hAnsiTheme="minorHAnsi" w:cstheme="minorHAnsi"/>
          <w:sz w:val="22"/>
          <w:szCs w:val="22"/>
        </w:rPr>
        <w:t>8</w:t>
      </w:r>
      <w:r w:rsidRPr="004B0BC2">
        <w:rPr>
          <w:rFonts w:asciiTheme="minorHAnsi" w:hAnsiTheme="minorHAnsi" w:cstheme="minorHAnsi"/>
          <w:sz w:val="22"/>
          <w:szCs w:val="22"/>
        </w:rPr>
        <w:t>% v</w:t>
      </w:r>
      <w:r w:rsidR="009D7862">
        <w:rPr>
          <w:rFonts w:asciiTheme="minorHAnsi" w:hAnsiTheme="minorHAnsi" w:cstheme="minorHAnsi"/>
          <w:sz w:val="22"/>
          <w:szCs w:val="22"/>
        </w:rPr>
        <w:t>ersus</w:t>
      </w:r>
      <w:r w:rsidRPr="004B0BC2">
        <w:rPr>
          <w:rFonts w:asciiTheme="minorHAnsi" w:hAnsiTheme="minorHAnsi" w:cstheme="minorHAnsi"/>
          <w:sz w:val="22"/>
          <w:szCs w:val="22"/>
        </w:rPr>
        <w:t xml:space="preserve"> 4</w:t>
      </w:r>
      <w:r w:rsidR="001B1861">
        <w:rPr>
          <w:rFonts w:asciiTheme="minorHAnsi" w:hAnsiTheme="minorHAnsi" w:cstheme="minorHAnsi"/>
          <w:sz w:val="22"/>
          <w:szCs w:val="22"/>
        </w:rPr>
        <w:t>2</w:t>
      </w:r>
      <w:r w:rsidRPr="004B0BC2">
        <w:rPr>
          <w:rFonts w:asciiTheme="minorHAnsi" w:hAnsiTheme="minorHAnsi" w:cstheme="minorHAnsi"/>
          <w:sz w:val="22"/>
          <w:szCs w:val="22"/>
        </w:rPr>
        <w:t>%) diagnoses</w:t>
      </w:r>
      <w:r w:rsidR="005E2CCC">
        <w:rPr>
          <w:rFonts w:asciiTheme="minorHAnsi" w:hAnsiTheme="minorHAnsi" w:cstheme="minorHAnsi"/>
          <w:sz w:val="22"/>
          <w:szCs w:val="22"/>
        </w:rPr>
        <w:t xml:space="preserve"> during </w:t>
      </w:r>
      <w:r w:rsidR="001B1861">
        <w:rPr>
          <w:rFonts w:asciiTheme="minorHAnsi" w:hAnsiTheme="minorHAnsi" w:cstheme="minorHAnsi"/>
          <w:sz w:val="22"/>
          <w:szCs w:val="22"/>
        </w:rPr>
        <w:t>2019</w:t>
      </w:r>
      <w:r w:rsidR="009D7862">
        <w:rPr>
          <w:rFonts w:asciiTheme="minorHAnsi" w:hAnsiTheme="minorHAnsi" w:cstheme="minorHAnsi"/>
          <w:sz w:val="22"/>
          <w:szCs w:val="22"/>
        </w:rPr>
        <w:t>–</w:t>
      </w:r>
      <w:r w:rsidR="001B1861">
        <w:rPr>
          <w:rFonts w:asciiTheme="minorHAnsi" w:hAnsiTheme="minorHAnsi" w:cstheme="minorHAnsi"/>
          <w:sz w:val="22"/>
          <w:szCs w:val="22"/>
        </w:rPr>
        <w:t>2020</w:t>
      </w:r>
      <w:r w:rsidRPr="004B0BC2">
        <w:rPr>
          <w:rFonts w:asciiTheme="minorHAnsi" w:hAnsiTheme="minorHAnsi" w:cstheme="minorHAnsi"/>
          <w:sz w:val="22"/>
          <w:szCs w:val="22"/>
        </w:rPr>
        <w:t xml:space="preserve">. </w:t>
      </w:r>
    </w:p>
    <w:p w14:paraId="01006175" w14:textId="772AD66D" w:rsidR="00C868AB" w:rsidRPr="004B0BC2" w:rsidRDefault="00A83B3F"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The incidence of t</w:t>
      </w:r>
      <w:r w:rsidR="0027386C" w:rsidRPr="004B0BC2">
        <w:rPr>
          <w:rFonts w:asciiTheme="minorHAnsi" w:hAnsiTheme="minorHAnsi" w:cstheme="minorHAnsi"/>
          <w:sz w:val="22"/>
          <w:szCs w:val="22"/>
        </w:rPr>
        <w:t>ype 1 diabetes</w:t>
      </w:r>
      <w:r w:rsidRPr="004B0BC2">
        <w:rPr>
          <w:rFonts w:asciiTheme="minorHAnsi" w:hAnsiTheme="minorHAnsi" w:cstheme="minorHAnsi"/>
          <w:sz w:val="22"/>
          <w:szCs w:val="22"/>
        </w:rPr>
        <w:t xml:space="preserve"> in childhood</w:t>
      </w:r>
      <w:r w:rsidR="0027386C" w:rsidRPr="004B0BC2">
        <w:rPr>
          <w:rFonts w:asciiTheme="minorHAnsi" w:hAnsiTheme="minorHAnsi" w:cstheme="minorHAnsi"/>
          <w:sz w:val="22"/>
          <w:szCs w:val="22"/>
        </w:rPr>
        <w:t xml:space="preserve"> </w:t>
      </w:r>
      <w:r w:rsidR="00E644EB" w:rsidRPr="004B0BC2">
        <w:rPr>
          <w:rFonts w:asciiTheme="minorHAnsi" w:hAnsiTheme="minorHAnsi" w:cstheme="minorHAnsi"/>
          <w:sz w:val="22"/>
          <w:szCs w:val="22"/>
        </w:rPr>
        <w:t xml:space="preserve">has been reported to disproportionately affect </w:t>
      </w:r>
      <w:r w:rsidR="00C62CA3">
        <w:rPr>
          <w:rFonts w:asciiTheme="minorHAnsi" w:hAnsiTheme="minorHAnsi" w:cstheme="minorHAnsi"/>
          <w:sz w:val="22"/>
          <w:szCs w:val="22"/>
        </w:rPr>
        <w:t xml:space="preserve">men </w:t>
      </w:r>
      <w:r w:rsidR="00E644EB" w:rsidRPr="004B0BC2">
        <w:rPr>
          <w:rFonts w:asciiTheme="minorHAnsi" w:hAnsiTheme="minorHAnsi" w:cstheme="minorHAnsi"/>
          <w:sz w:val="22"/>
          <w:szCs w:val="22"/>
        </w:rPr>
        <w:t xml:space="preserve">compared </w:t>
      </w:r>
      <w:r w:rsidR="00C62CA3">
        <w:rPr>
          <w:rFonts w:asciiTheme="minorHAnsi" w:hAnsiTheme="minorHAnsi" w:cstheme="minorHAnsi"/>
          <w:sz w:val="22"/>
          <w:szCs w:val="22"/>
        </w:rPr>
        <w:t>with</w:t>
      </w:r>
      <w:r w:rsidR="00E644EB" w:rsidRPr="004B0BC2">
        <w:rPr>
          <w:rFonts w:asciiTheme="minorHAnsi" w:hAnsiTheme="minorHAnsi" w:cstheme="minorHAnsi"/>
          <w:sz w:val="22"/>
          <w:szCs w:val="22"/>
        </w:rPr>
        <w:t xml:space="preserve"> </w:t>
      </w:r>
      <w:r w:rsidR="00C62CA3">
        <w:rPr>
          <w:rFonts w:asciiTheme="minorHAnsi" w:hAnsiTheme="minorHAnsi" w:cstheme="minorHAnsi"/>
          <w:sz w:val="22"/>
          <w:szCs w:val="22"/>
        </w:rPr>
        <w:t>women</w:t>
      </w:r>
      <w:r w:rsidRPr="004B0BC2">
        <w:rPr>
          <w:rFonts w:asciiTheme="minorHAnsi" w:hAnsiTheme="minorHAnsi" w:cstheme="minorHAnsi"/>
          <w:sz w:val="22"/>
          <w:szCs w:val="22"/>
        </w:rPr>
        <w:t xml:space="preserve"> (55% v</w:t>
      </w:r>
      <w:r w:rsidR="00C62CA3">
        <w:rPr>
          <w:rFonts w:asciiTheme="minorHAnsi" w:hAnsiTheme="minorHAnsi" w:cstheme="minorHAnsi"/>
          <w:sz w:val="22"/>
          <w:szCs w:val="22"/>
        </w:rPr>
        <w:t>ersus</w:t>
      </w:r>
      <w:r w:rsidRPr="004B0BC2">
        <w:rPr>
          <w:rFonts w:asciiTheme="minorHAnsi" w:hAnsiTheme="minorHAnsi" w:cstheme="minorHAnsi"/>
          <w:sz w:val="22"/>
          <w:szCs w:val="22"/>
        </w:rPr>
        <w:t xml:space="preserve"> 45%)</w:t>
      </w:r>
      <w:r w:rsidR="00630857"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{"citationItems":[{"id":"ITEM-1","itemData":{"DOI":"10.1016/0002-9343(94)90173-2","ISSN":"00029343","PMID":"8192178","abstract":"Self-injury by the host's immune system is believed to be a factor in the etiology of many diseases. Much attention has been given to the part played by sex hormones in such processes. Current literature frequently maintains that females are more susceptible than males to autoimmune diseases. In order to gain information about this factor, a tabulation has been made of the sex incidence of 40 autoimmune diseases which occur at different periods of life: childhood, early adult life, mature adult life, and old age. To some extent the tabulations substantiate female preponderance, but in some there is no gender difference, and in others, particularly the autoimmune nephropathies, male preponderance is the rule. Findings in experiments with animal analogues of human autoimmune disease, showing that administration of estrogen augments the manifestations, whereas androgen treatment suppresses them, do not correlate closely with clinical experience. © 1994.","author":[{"dropping-particle":"","family":"Beeson","given":"Paul B.","non-dropping-particle":"","parse-names":false,"suffix":""}],"container-title":"The American Journal of Medicine","id":"ITEM-1","issue":"5","issued":{"date-parts":[["1994"]]},"page":"457-462","title":"Age and sex associations of 40 autoimmune diseases","type":"article-journal","volume":"96"},"uris":["http://www.mendeley.com/documents/?uuid=82648b43-fe9a-4551-9310-f41ce33b5238"]}],"mendeley":{"formattedCitation":"(42)","plainTextFormattedCitation":"(42)","previouslyFormattedCitation":"(42)"},"properties":{"noteIndex":0},"schema":"https://github.com/citation-style-language/schema/raw/master/csl-citation.json"}</w:instrText>
      </w:r>
      <w:r w:rsidR="00630857"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(42)</w:t>
      </w:r>
      <w:r w:rsidR="00630857" w:rsidRPr="004B0BC2">
        <w:rPr>
          <w:rFonts w:asciiTheme="minorHAnsi" w:hAnsiTheme="minorHAnsi" w:cstheme="minorHAnsi"/>
          <w:sz w:val="22"/>
          <w:szCs w:val="22"/>
        </w:rPr>
        <w:fldChar w:fldCharType="end"/>
      </w:r>
      <w:r w:rsidR="00E644EB"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{"citationItems":[{"id":"ITEM-1","itemData":{"DOI":"10.1007/s001250051573","ISSN":"0012186X","abstract":"It is often assumed that there is little or no sex bias within either Type I (insulin-dependent) or Type II (non-insulin-dependent) diabetes mellitus. This review considers evidence that sex effects of interest and importance are present in both forms of the disease. Type I diabetes is the only major organ-specific autoimmune disorder not to show a strong female bias. The overall sex ratio is roughly equal in children diagnosed under the age of 15 but while populations with the highest incidence all show male excess, the lowest risk populations studied, mostly of non-European origin, characteristically show a female bias. In contrast, male excess is a consistent finding in populations of European origin aged 15-40 years, with an approximate 3:2 male:female ratio. This ratio has remained constant in young adults over two or three generations in some populations. Further, fathers with Type I diabetes are more likely than affected mothers to transmit the condition to their offspring. Women of childbearing age are therefore less likely to develop Type I diabetes, and - should this occur - are less likely to transmit it to their offspring. Type II diabetes showed a pronounced female excess in the first half of the last century but is now equally prevalent among men and women in most populations, with some evidence of male preponderance in early middle age. Men seem more susceptible than women to the consequences of indolence and obesity, possibly due to differences in insulin sensitivity and regional fat deposition. Women are, however, more likely to transmit Type II diabetes to their offspring. Understanding these experiments of nature might suggest ways of influencing the early course of both forms of the disease.","author":[{"dropping-particle":"","family":"Gale","given":"E. A.M.","non-dropping-particle":"","parse-names":false,"suffix":""},{"dropping-particle":"","family":"Gillespie","given":"K. M.","non-dropping-particle":"","parse-names":false,"suffix":""}],"container-title":"Diabetologia","id":"ITEM-1","issue":"1","issued":{"date-parts":[["2001"]]},"page":"3-15","title":"Diabetes and gender","type":"article-journal","volume":"44"},"uris":["http://www.mendeley.com/documents/?uuid=0833aa27-90f1-437a-aa86-3c3ad133572c"]}],"mendeley":{"formattedCitation":"(43)","plainTextFormattedCitation":"(43)","previouslyFormattedCitation":"(43)"},"properties":{"noteIndex":0},"schema":"https://github.com/citation-style-language/schema/raw/master/csl-citation.json"}</w:instrText>
      </w:r>
      <w:r w:rsidR="00E644EB"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(43)</w:t>
      </w:r>
      <w:r w:rsidR="00E644EB" w:rsidRPr="004B0BC2">
        <w:rPr>
          <w:rFonts w:asciiTheme="minorHAnsi" w:hAnsiTheme="minorHAnsi" w:cstheme="minorHAnsi"/>
          <w:sz w:val="22"/>
          <w:szCs w:val="22"/>
        </w:rPr>
        <w:fldChar w:fldCharType="end"/>
      </w:r>
      <w:r w:rsidR="00E644EB" w:rsidRPr="004B0BC2">
        <w:rPr>
          <w:rFonts w:asciiTheme="minorHAnsi" w:hAnsiTheme="minorHAnsi" w:cstheme="minorHAnsi"/>
          <w:sz w:val="22"/>
          <w:szCs w:val="22"/>
        </w:rPr>
        <w:t xml:space="preserve"> and a </w:t>
      </w:r>
      <w:r w:rsidR="000F1E3F" w:rsidRPr="004B0BC2">
        <w:rPr>
          <w:rFonts w:asciiTheme="minorHAnsi" w:hAnsiTheme="minorHAnsi" w:cstheme="minorHAnsi"/>
          <w:sz w:val="22"/>
          <w:szCs w:val="22"/>
        </w:rPr>
        <w:t xml:space="preserve">nationwide </w:t>
      </w:r>
      <w:r w:rsidR="00733C5B" w:rsidRPr="004B0BC2">
        <w:rPr>
          <w:rFonts w:asciiTheme="minorHAnsi" w:hAnsiTheme="minorHAnsi" w:cstheme="minorHAnsi"/>
          <w:sz w:val="22"/>
          <w:szCs w:val="22"/>
        </w:rPr>
        <w:t>S</w:t>
      </w:r>
      <w:r w:rsidR="000F1E3F" w:rsidRPr="004B0BC2">
        <w:rPr>
          <w:rFonts w:asciiTheme="minorHAnsi" w:hAnsiTheme="minorHAnsi" w:cstheme="minorHAnsi"/>
          <w:sz w:val="22"/>
          <w:szCs w:val="22"/>
        </w:rPr>
        <w:t xml:space="preserve">wedish study reported a </w:t>
      </w:r>
      <w:r w:rsidR="00733C5B" w:rsidRPr="004B0BC2">
        <w:rPr>
          <w:rFonts w:asciiTheme="minorHAnsi" w:hAnsiTheme="minorHAnsi" w:cstheme="minorHAnsi"/>
          <w:sz w:val="22"/>
          <w:szCs w:val="22"/>
        </w:rPr>
        <w:t>significantly</w:t>
      </w:r>
      <w:r w:rsidR="000F1E3F" w:rsidRPr="004B0BC2">
        <w:rPr>
          <w:rFonts w:asciiTheme="minorHAnsi" w:hAnsiTheme="minorHAnsi" w:cstheme="minorHAnsi"/>
          <w:sz w:val="22"/>
          <w:szCs w:val="22"/>
        </w:rPr>
        <w:t xml:space="preserve"> higher male incidence of</w:t>
      </w:r>
      <w:r w:rsidRPr="004B0BC2">
        <w:rPr>
          <w:rFonts w:asciiTheme="minorHAnsi" w:hAnsiTheme="minorHAnsi" w:cstheme="minorHAnsi"/>
          <w:sz w:val="22"/>
          <w:szCs w:val="22"/>
        </w:rPr>
        <w:t xml:space="preserve"> type 1 diabetes</w:t>
      </w:r>
      <w:r w:rsidR="000F1E3F" w:rsidRPr="004B0BC2">
        <w:rPr>
          <w:rFonts w:asciiTheme="minorHAnsi" w:hAnsiTheme="minorHAnsi" w:cstheme="minorHAnsi"/>
          <w:sz w:val="22"/>
          <w:szCs w:val="22"/>
        </w:rPr>
        <w:t xml:space="preserve"> (20.5/100,000/year) compared </w:t>
      </w:r>
      <w:r w:rsidR="00C62CA3">
        <w:rPr>
          <w:rFonts w:asciiTheme="minorHAnsi" w:hAnsiTheme="minorHAnsi" w:cstheme="minorHAnsi"/>
          <w:sz w:val="22"/>
          <w:szCs w:val="22"/>
        </w:rPr>
        <w:t>with the incidence in</w:t>
      </w:r>
      <w:r w:rsidR="000F1E3F" w:rsidRPr="004B0BC2">
        <w:rPr>
          <w:rFonts w:asciiTheme="minorHAnsi" w:hAnsiTheme="minorHAnsi" w:cstheme="minorHAnsi"/>
          <w:sz w:val="22"/>
          <w:szCs w:val="22"/>
        </w:rPr>
        <w:t xml:space="preserve"> female</w:t>
      </w:r>
      <w:r w:rsidR="00C62CA3">
        <w:rPr>
          <w:rFonts w:asciiTheme="minorHAnsi" w:hAnsiTheme="minorHAnsi" w:cstheme="minorHAnsi"/>
          <w:sz w:val="22"/>
          <w:szCs w:val="22"/>
        </w:rPr>
        <w:t>s</w:t>
      </w:r>
      <w:r w:rsidR="000F1E3F" w:rsidRPr="004B0BC2">
        <w:rPr>
          <w:rFonts w:asciiTheme="minorHAnsi" w:hAnsiTheme="minorHAnsi" w:cstheme="minorHAnsi"/>
          <w:sz w:val="22"/>
          <w:szCs w:val="22"/>
        </w:rPr>
        <w:t xml:space="preserve"> (12.7/100,000/year</w:t>
      </w:r>
      <w:r w:rsidR="007D23D7" w:rsidRPr="004B0BC2">
        <w:rPr>
          <w:rFonts w:asciiTheme="minorHAnsi" w:hAnsiTheme="minorHAnsi" w:cstheme="minorHAnsi"/>
          <w:sz w:val="22"/>
          <w:szCs w:val="22"/>
        </w:rPr>
        <w:t>, p</w:t>
      </w:r>
      <w:r w:rsidR="000F1E3F" w:rsidRPr="004B0BC2">
        <w:rPr>
          <w:rFonts w:asciiTheme="minorHAnsi" w:hAnsiTheme="minorHAnsi" w:cstheme="minorHAnsi"/>
          <w:sz w:val="22"/>
          <w:szCs w:val="22"/>
        </w:rPr>
        <w:t>&lt;0.001)</w:t>
      </w:r>
      <w:r w:rsidR="00E644EB"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{"citationItems":[{"id":"ITEM-1","itemData":{"DOI":"10.1007/BF00400852","ISSN":"0012186X","abstract":"The incidence of diabetes mellitus in Sweden in the 15-34 year age group was prospectively studied on a nationwide basis, beginning 1 January 1983. A total of 1,214 male and 720 female cases of newly-diagnosed (excluding gestational) diabetes were reported over a 5-year period. This corresponds to an incidence of 20.5 per 100,000/year in male subjects and 12.7 per 100,000/year in female subjects. Most cases were classified as Type 1 (insulin-dependent) diabetes, with an incidence of 15.9 in males and 8.6 in females. The incidence of Type 1 diabetes decreased gradually with age, while the incidence of Type 2 (non-insulin-dependent) diabetes increased. A male predominance was found in all age groups, with a male-to-female ratio of 1.8:1 for Type 1 diabetes and 1.3:1 for Type 2 diabetes. Maximum blood glucose concentration at diagnosis was significantly higher in males than in females in both Type 1 and Type 2 diabetic subjects. In contrast, the percent desirable weight was significantly higher in females, both in Type 1 and Type 2 diabetic subjects. The difference in diabetes incidence therefore cannot be attributed to any methodological error. The present finding of a marked male predominance after puberty in Type 1 diabetes in an ethnically quite homogeneous population supports the hypothesis that environmental risk factors and life-style are important for the development of the disease. © 1992 Springer-Verlag.","author":[{"dropping-particle":"","family":"Blohmé","given":"G.","non-dropping-particle":"","parse-names":false,"suffix":""},{"dropping-particle":"","family":"Nyström","given":"L.","non-dropping-particle":"","parse-names":false,"suffix":""},{"dropping-particle":"","family":"Arnqvist","given":"H. J.","non-dropping-particle":"","parse-names":false,"suffix":""},{"dropping-particle":"","family":"Lithner","given":"F.","non-dropping-particle":"","parse-names":false,"suffix":""},{"dropping-particle":"","family":"Littorin","given":"B.","non-dropping-particle":"","parse-names":false,"suffix":""},{"dropping-particle":"","family":"Olsson","given":"P. O.","non-dropping-particle":"","parse-names":false,"suffix":""},{"dropping-particle":"","family":"Scherstén","given":"B.","non-dropping-particle":"","parse-names":false,"suffix":""},{"dropping-particle":"","family":"Wibell","given":"L.","non-dropping-particle":"","parse-names":false,"suffix":""},{"dropping-particle":"","family":"Östman","given":"J.","non-dropping-particle":"","parse-names":false,"suffix":""}],"container-title":"Diabetologia","id":"ITEM-1","issue":"1","issued":{"date-parts":[["1992"]]},"page":"56-62","title":"Male predominance of Type 1 (insulin-dependent) diabetes mellitus in young adults: results from a 5-year prospective nationwide study of the 15-34-year age group in Sweden","type":"article-journal","volume":"35"},"uris":["http://www.mendeley.com/documents/?uuid=f116bf3f-7b7f-4c9f-b18a-45a5a1d18c42"]}],"mendeley":{"formattedCitation":"(44)","plainTextFormattedCitation":"(44)","previouslyFormattedCitation":"(44)"},"properties":{"noteIndex":0},"schema":"https://github.com/citation-style-language/schema/raw/master/csl-citation.json"}</w:instrText>
      </w:r>
      <w:r w:rsidR="00E644EB"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(44)</w:t>
      </w:r>
      <w:r w:rsidR="00E644EB" w:rsidRPr="004B0BC2">
        <w:rPr>
          <w:rFonts w:asciiTheme="minorHAnsi" w:hAnsiTheme="minorHAnsi" w:cstheme="minorHAnsi"/>
          <w:sz w:val="22"/>
          <w:szCs w:val="22"/>
        </w:rPr>
        <w:fldChar w:fldCharType="end"/>
      </w:r>
      <w:r w:rsidR="000F1E3F" w:rsidRPr="004B0BC2">
        <w:rPr>
          <w:rFonts w:asciiTheme="minorHAnsi" w:hAnsiTheme="minorHAnsi" w:cstheme="minorHAnsi"/>
          <w:sz w:val="22"/>
          <w:szCs w:val="22"/>
        </w:rPr>
        <w:t xml:space="preserve">. </w:t>
      </w:r>
      <w:r w:rsidR="00F52DD7" w:rsidRPr="004B0BC2">
        <w:rPr>
          <w:rFonts w:asciiTheme="minorHAnsi" w:hAnsiTheme="minorHAnsi" w:cstheme="minorHAnsi"/>
          <w:sz w:val="22"/>
          <w:szCs w:val="22"/>
        </w:rPr>
        <w:t xml:space="preserve">A </w:t>
      </w:r>
      <w:r w:rsidR="00733C5B" w:rsidRPr="004B0BC2">
        <w:rPr>
          <w:rFonts w:asciiTheme="minorHAnsi" w:hAnsiTheme="minorHAnsi" w:cstheme="minorHAnsi"/>
          <w:sz w:val="22"/>
          <w:szCs w:val="22"/>
        </w:rPr>
        <w:t xml:space="preserve">nationwide </w:t>
      </w:r>
      <w:r w:rsidR="00F52DD7" w:rsidRPr="004B0BC2">
        <w:rPr>
          <w:rFonts w:asciiTheme="minorHAnsi" w:hAnsiTheme="minorHAnsi" w:cstheme="minorHAnsi"/>
          <w:sz w:val="22"/>
          <w:szCs w:val="22"/>
        </w:rPr>
        <w:t>Chinese</w:t>
      </w:r>
      <w:r w:rsidR="00733C5B" w:rsidRPr="004B0BC2">
        <w:rPr>
          <w:rFonts w:asciiTheme="minorHAnsi" w:hAnsiTheme="minorHAnsi" w:cstheme="minorHAnsi"/>
          <w:sz w:val="22"/>
          <w:szCs w:val="22"/>
        </w:rPr>
        <w:t xml:space="preserve"> study comprising 46</w:t>
      </w:r>
      <w:r w:rsidR="00C62CA3">
        <w:rPr>
          <w:rFonts w:asciiTheme="minorHAnsi" w:hAnsiTheme="minorHAnsi" w:cstheme="minorHAnsi"/>
          <w:sz w:val="22"/>
          <w:szCs w:val="22"/>
        </w:rPr>
        <w:t>,</w:t>
      </w:r>
      <w:r w:rsidR="00733C5B" w:rsidRPr="004B0BC2">
        <w:rPr>
          <w:rFonts w:asciiTheme="minorHAnsi" w:hAnsiTheme="minorHAnsi" w:cstheme="minorHAnsi"/>
          <w:sz w:val="22"/>
          <w:szCs w:val="22"/>
        </w:rPr>
        <w:t>239 adults observed a</w:t>
      </w:r>
      <w:r w:rsidR="00F52DD7" w:rsidRPr="004B0BC2">
        <w:rPr>
          <w:rFonts w:asciiTheme="minorHAnsi" w:hAnsiTheme="minorHAnsi" w:cstheme="minorHAnsi"/>
          <w:sz w:val="22"/>
          <w:szCs w:val="22"/>
        </w:rPr>
        <w:t>n</w:t>
      </w:r>
      <w:r w:rsidR="00733C5B" w:rsidRPr="004B0BC2">
        <w:rPr>
          <w:rFonts w:asciiTheme="minorHAnsi" w:hAnsiTheme="minorHAnsi" w:cstheme="minorHAnsi"/>
          <w:sz w:val="22"/>
          <w:szCs w:val="22"/>
        </w:rPr>
        <w:t xml:space="preserve"> age</w:t>
      </w:r>
      <w:r w:rsidR="00C62CA3">
        <w:rPr>
          <w:rFonts w:asciiTheme="minorHAnsi" w:hAnsiTheme="minorHAnsi" w:cstheme="minorHAnsi"/>
          <w:sz w:val="22"/>
          <w:szCs w:val="22"/>
        </w:rPr>
        <w:t>-</w:t>
      </w:r>
      <w:r w:rsidR="00733C5B" w:rsidRPr="004B0BC2">
        <w:rPr>
          <w:rFonts w:asciiTheme="minorHAnsi" w:hAnsiTheme="minorHAnsi" w:cstheme="minorHAnsi"/>
          <w:sz w:val="22"/>
          <w:szCs w:val="22"/>
        </w:rPr>
        <w:t xml:space="preserve">standardised prevalence of type 2 diabetes at 10.6% among men and 8.8% among women </w:t>
      </w:r>
      <w:r w:rsidR="00733C5B" w:rsidRPr="004B0BC2">
        <w:rPr>
          <w:rFonts w:asciiTheme="minorHAnsi" w:hAnsiTheme="minorHAnsi" w:cstheme="minorHAnsi"/>
          <w:sz w:val="22"/>
          <w:szCs w:val="22"/>
          <w:shd w:val="clear" w:color="auto" w:fill="FFFFFF"/>
        </w:rPr>
        <w:t>(</w:t>
      </w:r>
      <w:r w:rsidR="007D457B" w:rsidRPr="004B0BC2">
        <w:rPr>
          <w:rFonts w:asciiTheme="minorHAnsi" w:hAnsiTheme="minorHAnsi" w:cstheme="minorHAnsi"/>
          <w:sz w:val="22"/>
          <w:szCs w:val="22"/>
          <w:shd w:val="clear" w:color="auto" w:fill="FFFFFF"/>
        </w:rPr>
        <w:t>p</w:t>
      </w:r>
      <w:r w:rsidR="00733C5B" w:rsidRPr="004B0BC2">
        <w:rPr>
          <w:rFonts w:asciiTheme="minorHAnsi" w:hAnsiTheme="minorHAnsi" w:cstheme="minorHAnsi"/>
          <w:sz w:val="22"/>
          <w:szCs w:val="22"/>
          <w:shd w:val="clear" w:color="auto" w:fill="FFFFFF"/>
        </w:rPr>
        <w:t>&lt;0.001)</w:t>
      </w:r>
      <w:r w:rsidR="00A0026B"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{"citationItems":[{"id":"ITEM-1","itemData":{"DOI":"10.1056/NEJMoa0908292","ISSN":"15334406","PMID":"20578276","abstract":"BACKGROUND: Because of the rapid change in lifestyle in China, there is concern that diabetes may become epidemic. We conducted a national study from June 2007 through May 2008 to estimate the prevalence of diabetes among Chinese adults. METHODS: A nationally representative sample of 46,239 adults, 20 years of age or older, from 14 provinces and municipalities participated in the study. After an overnight fast, participants underwent an oral glucose-tolerance test, and fasting and 2-hour glucose levels were measured to identify undiagnosed diabetes and prediabetes (i.e., impaired fasting glucose or impaired glucose tolerance). Previously diagnosed diabetes was determined on the basis of self-report. RESULTS: The age-standardized prevalences of total diabetes (which included both previously diagnosed diabetes and previously undiagnosed diabetes) and prediabetes were 9.7% (10.6% among men and 8.8% among women) and 15.5% (16.1% among men and 14.9% among women), respectively, accounting for 92.4 million adults with diabetes (50.2 million men and 42.2 million women) and 148.2 million adults with prediabetes (76.1 million men and 72.1 million women). The prevalence of diabetes increased with increasing age (3.2%, 11.5%, and 20.4% among persons who were 20 to 39, 40 to 59, and ≥60 years of age, respectively) and with increasing weight (4.5%, 7.6%, 12.8%, and 18.5% among persons with a body-mass index [the weight in kilograms divided by the square of the height in meters] of &lt;18.5, 18.5 to 24.9, 25.0 to 29.9, and ≥30.0, respectively). The prevalence of diabetes was higher among urban residents than among rural residents (11.4% vs. 8.2%). The prevalence of isolated impaired glucose tolerance was higher than that of isolated impaired fasting glucose (11.0% vs. 3.2% among men and 10.9% vs. 2.2% among women). CONCLUSIONS: These results indicate that diabetes has become a major public health problem in China and that strategies aimed at the prevention and treatment of diabetes are needed. Copyright © 2010 Massachusetts Medical Society. All rights reserved.","author":[{"dropping-particle":"","family":"Yang","given":"Wenying","non-dropping-particle":"","parse-names":false,"suffix":""},{"dropping-particle":"","family":"Lu","given":"Juming","non-dropping-particle":"","parse-names":false,"suffix":""},{"dropping-particle":"","family":"Weng","given":"Jianping","non-dropping-particle":"","parse-names":false,"suffix":""},{"dropping-particle":"","family":"Jia","given":"Weiping","non-dropping-particle":"","parse-names":false,"suffix":""},{"dropping-particle":"","family":"Ji","given":"Linong","non-dropping-particle":"","parse-names":false,"suffix":""},{"dropping-particle":"","family":"Xiao","given":"Jianzhong","non-dropping-particle":"","parse-names":false,"suffix":""},{"dropping-particle":"","family":"Shan","given":"Zhongyan","non-dropping-particle":"","parse-names":false,"suffix":""},{"dropping-particle":"","family":"Liu","given":"Jie","non-dropping-particle":"","parse-names":false,"suffix":""},{"dropping-particle":"","family":"Tian","given":"Haoming","non-dropping-particle":"","parse-names":false,"suffix":""},{"dropping-particle":"","family":"Ji","given":"Qiuhe","non-dropping-particle":"","parse-names":false,"suffix":""},{"dropping-particle":"","family":"Zhu","given":"Dalong","non-dropping-particle":"","parse-names":false,"suffix":""},{"dropping-particle":"","family":"Ge","given":"Jiapu","non-dropping-particle":"","parse-names":false,"suffix":""},{"dropping-particle":"","family":"Lin","given":"Lixiang","non-dropping-particle":"","parse-names":false,"suffix":""},{"dropping-particle":"","family":"Chen","given":"Li","non-dropping-particle":"","parse-names":false,"suffix":""},{"dropping-particle":"","family":"Guo","given":"Xiaohui","non-dropping-particle":"","parse-names":false,"suffix":""},{"dropping-particle":"","family":"Zhao","given":"Zhigang","non-dropping-particle":"","parse-names":false,"suffix":""},{"dropping-particle":"","family":"Li","given":"Qiang","non-dropping-particle":"","parse-names":false,"suffix":""},{"dropping-particle":"","family":"Zhou","given":"Zhiguang","non-dropping-particle":"","parse-names":false,"suffix":""},{"dropping-particle":"","family":"Shan","given":"Guangliang","non-dropping-particle":"","parse-names":false,"suffix":""},{"dropping-particle":"","family":"He","given":"Jiang","non-dropping-particle":"","parse-names":false,"suffix":""}],"container-title":"New England Journal of Medicine","id":"ITEM-1","issue":"12","issued":{"date-parts":[["2010"]]},"page":"1090-101","title":"Prevalence of diabetes among men and women in China","type":"article-journal","volume":"362"},"uris":["http://www.mendeley.com/documents/?uuid=7ed6d9bd-94f5-4759-9b46-d2039122a155"]}],"mendeley":{"formattedCitation":"(45)","plainTextFormattedCitation":"(45)","previouslyFormattedCitation":"(45)"},"properties":{"noteIndex":0},"schema":"https://github.com/citation-style-language/schema/raw/master/csl-citation.json"}</w:instrText>
      </w:r>
      <w:r w:rsidR="00A0026B"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(45)</w:t>
      </w:r>
      <w:r w:rsidR="00A0026B" w:rsidRPr="004B0BC2">
        <w:rPr>
          <w:rFonts w:asciiTheme="minorHAnsi" w:hAnsiTheme="minorHAnsi" w:cstheme="minorHAnsi"/>
          <w:sz w:val="22"/>
          <w:szCs w:val="22"/>
          <w:shd w:val="clear" w:color="auto" w:fill="FFFFFF"/>
        </w:rPr>
        <w:fldChar w:fldCharType="end"/>
      </w:r>
      <w:r w:rsidR="001C0FAD" w:rsidRPr="004B0BC2">
        <w:rPr>
          <w:rFonts w:asciiTheme="minorHAnsi" w:hAnsiTheme="minorHAnsi" w:cstheme="minorHAnsi"/>
          <w:sz w:val="22"/>
          <w:szCs w:val="22"/>
          <w:shd w:val="clear" w:color="auto" w:fill="FFFFFF"/>
        </w:rPr>
        <w:t>.</w:t>
      </w:r>
      <w:r w:rsidR="00733C5B" w:rsidRPr="004B0BC2">
        <w:rPr>
          <w:rFonts w:asciiTheme="minorHAnsi" w:hAnsiTheme="minorHAnsi" w:cstheme="minorHAnsi"/>
          <w:sz w:val="22"/>
          <w:szCs w:val="22"/>
          <w:shd w:val="clear" w:color="auto" w:fill="FFFFFF"/>
        </w:rPr>
        <w:t xml:space="preserve"> Moreover</w:t>
      </w:r>
      <w:r w:rsidR="00A0026B" w:rsidRPr="004B0BC2">
        <w:rPr>
          <w:rFonts w:asciiTheme="minorHAnsi" w:hAnsiTheme="minorHAnsi" w:cstheme="minorHAnsi"/>
          <w:sz w:val="22"/>
          <w:szCs w:val="22"/>
          <w:shd w:val="clear" w:color="auto" w:fill="FFFFFF"/>
        </w:rPr>
        <w:t>,</w:t>
      </w:r>
      <w:r w:rsidR="00F52DD7" w:rsidRPr="004B0BC2">
        <w:rPr>
          <w:rFonts w:asciiTheme="minorHAnsi" w:hAnsiTheme="minorHAnsi" w:cstheme="minorHAnsi"/>
          <w:sz w:val="22"/>
          <w:szCs w:val="22"/>
          <w:shd w:val="clear" w:color="auto" w:fill="FFFFFF"/>
        </w:rPr>
        <w:t xml:space="preserve"> multivariable analysis showed that</w:t>
      </w:r>
      <w:r w:rsidR="00DB3D0C" w:rsidRPr="004B0BC2">
        <w:rPr>
          <w:rFonts w:asciiTheme="minorHAnsi" w:hAnsiTheme="minorHAnsi" w:cstheme="minorHAnsi"/>
          <w:sz w:val="22"/>
          <w:szCs w:val="22"/>
          <w:shd w:val="clear" w:color="auto" w:fill="FFFFFF"/>
        </w:rPr>
        <w:t xml:space="preserve"> the</w:t>
      </w:r>
      <w:r w:rsidR="00F52DD7" w:rsidRPr="004B0BC2">
        <w:rPr>
          <w:rFonts w:asciiTheme="minorHAnsi" w:hAnsiTheme="minorHAnsi" w:cstheme="minorHAnsi"/>
          <w:sz w:val="22"/>
          <w:szCs w:val="22"/>
          <w:shd w:val="clear" w:color="auto" w:fill="FFFFFF"/>
        </w:rPr>
        <w:t xml:space="preserve"> </w:t>
      </w:r>
      <w:r w:rsidR="00733C5B" w:rsidRPr="004B0BC2">
        <w:rPr>
          <w:rFonts w:asciiTheme="minorHAnsi" w:hAnsiTheme="minorHAnsi" w:cstheme="minorHAnsi"/>
          <w:sz w:val="22"/>
          <w:szCs w:val="22"/>
          <w:shd w:val="clear" w:color="auto" w:fill="FFFFFF"/>
        </w:rPr>
        <w:t>male sex was associated with a</w:t>
      </w:r>
      <w:r w:rsidR="009860AE">
        <w:rPr>
          <w:rFonts w:asciiTheme="minorHAnsi" w:hAnsiTheme="minorHAnsi" w:cstheme="minorHAnsi"/>
          <w:sz w:val="22"/>
          <w:szCs w:val="22"/>
          <w:shd w:val="clear" w:color="auto" w:fill="FFFFFF"/>
        </w:rPr>
        <w:t xml:space="preserve">n increased </w:t>
      </w:r>
      <w:r w:rsidR="00733C5B" w:rsidRPr="004B0BC2">
        <w:rPr>
          <w:rFonts w:asciiTheme="minorHAnsi" w:hAnsiTheme="minorHAnsi" w:cstheme="minorHAnsi"/>
          <w:sz w:val="22"/>
          <w:szCs w:val="22"/>
          <w:shd w:val="clear" w:color="auto" w:fill="FFFFFF"/>
        </w:rPr>
        <w:t>risk of</w:t>
      </w:r>
      <w:r w:rsidR="00F52DD7" w:rsidRPr="004B0BC2">
        <w:rPr>
          <w:rFonts w:asciiTheme="minorHAnsi" w:hAnsiTheme="minorHAnsi" w:cstheme="minorHAnsi"/>
          <w:sz w:val="22"/>
          <w:szCs w:val="22"/>
          <w:shd w:val="clear" w:color="auto" w:fill="FFFFFF"/>
        </w:rPr>
        <w:t xml:space="preserve"> type 2</w:t>
      </w:r>
      <w:r w:rsidR="00733C5B" w:rsidRPr="004B0BC2">
        <w:rPr>
          <w:rFonts w:asciiTheme="minorHAnsi" w:hAnsiTheme="minorHAnsi" w:cstheme="minorHAnsi"/>
          <w:sz w:val="22"/>
          <w:szCs w:val="22"/>
          <w:shd w:val="clear" w:color="auto" w:fill="FFFFFF"/>
        </w:rPr>
        <w:t xml:space="preserve"> diabetes</w:t>
      </w:r>
      <w:r w:rsidR="00F52DD7" w:rsidRPr="004B0BC2">
        <w:rPr>
          <w:rFonts w:asciiTheme="minorHAnsi" w:hAnsiTheme="minorHAnsi" w:cstheme="minorHAnsi"/>
          <w:sz w:val="22"/>
          <w:szCs w:val="22"/>
          <w:shd w:val="clear" w:color="auto" w:fill="FFFFFF"/>
        </w:rPr>
        <w:t xml:space="preserve"> </w:t>
      </w:r>
      <w:r w:rsidR="00733C5B" w:rsidRPr="004B0BC2">
        <w:rPr>
          <w:rFonts w:asciiTheme="minorHAnsi" w:hAnsiTheme="minorHAnsi" w:cstheme="minorHAnsi"/>
          <w:sz w:val="22"/>
          <w:szCs w:val="22"/>
          <w:shd w:val="clear" w:color="auto" w:fill="FFFFFF"/>
        </w:rPr>
        <w:t>(OR 1.26 95% CI 1.12-1.43</w:t>
      </w:r>
      <w:r w:rsidR="007D457B" w:rsidRPr="004B0BC2">
        <w:rPr>
          <w:rFonts w:asciiTheme="minorHAnsi" w:hAnsiTheme="minorHAnsi" w:cstheme="minorHAnsi"/>
          <w:sz w:val="22"/>
          <w:szCs w:val="22"/>
          <w:shd w:val="clear" w:color="auto" w:fill="FFFFFF"/>
        </w:rPr>
        <w:t>, p</w:t>
      </w:r>
      <w:r w:rsidR="00733C5B" w:rsidRPr="004B0BC2">
        <w:rPr>
          <w:rFonts w:asciiTheme="minorHAnsi" w:hAnsiTheme="minorHAnsi" w:cstheme="minorHAnsi"/>
          <w:sz w:val="22"/>
          <w:szCs w:val="22"/>
          <w:shd w:val="clear" w:color="auto" w:fill="FFFFFF"/>
        </w:rPr>
        <w:t>&lt;0.001)</w:t>
      </w:r>
      <w:r w:rsidR="00733C5B"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{"citationItems":[{"id":"ITEM-1","itemData":{"DOI":"10.1056/NEJMoa0908292","ISSN":"15334406","PMID":"20578276","abstract":"BACKGROUND: Because of the rapid change in lifestyle in China, there is concern that diabetes may become epidemic. We conducted a national study from June 2007 through May 2008 to estimate the prevalence of diabetes among Chinese adults. METHODS: A nationally representative sample of 46,239 adults, 20 years of age or older, from 14 provinces and municipalities participated in the study. After an overnight fast, participants underwent an oral glucose-tolerance test, and fasting and 2-hour glucose levels were measured to identify undiagnosed diabetes and prediabetes (i.e., impaired fasting glucose or impaired glucose tolerance). Previously diagnosed diabetes was determined on the basis of self-report. RESULTS: The age-standardized prevalences of total diabetes (which included both previously diagnosed diabetes and previously undiagnosed diabetes) and prediabetes were 9.7% (10.6% among men and 8.8% among women) and 15.5% (16.1% among men and 14.9% among women), respectively, accounting for 92.4 million adults with diabetes (50.2 million men and 42.2 million women) and 148.2 million adults with prediabetes (76.1 million men and 72.1 million women). The prevalence of diabetes increased with increasing age (3.2%, 11.5%, and 20.4% among persons who were 20 to 39, 40 to 59, and ≥60 years of age, respectively) and with increasing weight (4.5%, 7.6%, 12.8%, and 18.5% among persons with a body-mass index [the weight in kilograms divided by the square of the height in meters] of &lt;18.5, 18.5 to 24.9, 25.0 to 29.9, and ≥30.0, respectively). The prevalence of diabetes was higher among urban residents than among rural residents (11.4% vs. 8.2%). The prevalence of isolated impaired glucose tolerance was higher than that of isolated impaired fasting glucose (11.0% vs. 3.2% among men and 10.9% vs. 2.2% among women). CONCLUSIONS: These results indicate that diabetes has become a major public health problem in China and that strategies aimed at the prevention and treatment of diabetes are needed. Copyright © 2010 Massachusetts Medical Society. All rights reserved.","author":[{"dropping-particle":"","family":"Yang","given":"Wenying","non-dropping-particle":"","parse-names":false,"suffix":""},{"dropping-particle":"","family":"Lu","given":"Juming","non-dropping-particle":"","parse-names":false,"suffix":""},{"dropping-particle":"","family":"Weng","given":"Jianping","non-dropping-particle":"","parse-names":false,"suffix":""},{"dropping-particle":"","family":"Jia","given":"Weiping","non-dropping-particle":"","parse-names":false,"suffix":""},{"dropping-particle":"","family":"Ji","given":"Linong","non-dropping-particle":"","parse-names":false,"suffix":""},{"dropping-particle":"","family":"Xiao","given":"Jianzhong","non-dropping-particle":"","parse-names":false,"suffix":""},{"dropping-particle":"","family":"Shan","given":"Zhongyan","non-dropping-particle":"","parse-names":false,"suffix":""},{"dropping-particle":"","family":"Liu","given":"Jie","non-dropping-particle":"","parse-names":false,"suffix":""},{"dropping-particle":"","family":"Tian","given":"Haoming","non-dropping-particle":"","parse-names":false,"suffix":""},{"dropping-particle":"","family":"Ji","given":"Qiuhe","non-dropping-particle":"","parse-names":false,"suffix":""},{"dropping-particle":"","family":"Zhu","given":"Dalong","non-dropping-particle":"","parse-names":false,"suffix":""},{"dropping-particle":"","family":"Ge","given":"Jiapu","non-dropping-particle":"","parse-names":false,"suffix":""},{"dropping-particle":"","family":"Lin","given":"Lixiang","non-dropping-particle":"","parse-names":false,"suffix":""},{"dropping-particle":"","family":"Chen","given":"Li","non-dropping-particle":"","parse-names":false,"suffix":""},{"dropping-particle":"","family":"Guo","given":"Xiaohui","non-dropping-particle":"","parse-names":false,"suffix":""},{"dropping-particle":"","family":"Zhao","given":"Zhigang","non-dropping-particle":"","parse-names":false,"suffix":""},{"dropping-particle":"","family":"Li","given":"Qiang","non-dropping-particle":"","parse-names":false,"suffix":""},{"dropping-particle":"","family":"Zhou","given":"Zhiguang","non-dropping-particle":"","parse-names":false,"suffix":""},{"dropping-particle":"","family":"Shan","given":"Guangliang","non-dropping-particle":"","parse-names":false,"suffix":""},{"dropping-particle":"","family":"He","given":"Jiang","non-dropping-particle":"","parse-names":false,"suffix":""}],"container-title":"New England Journal of Medicine","id":"ITEM-1","issue":"12","issued":{"date-parts":[["2010"]]},"page":"1090-101","title":"Prevalence of diabetes among men and women in China","type":"article-journal","volume":"362"},"uris":["http://www.mendeley.com/documents/?uuid=7ed6d9bd-94f5-4759-9b46-d2039122a155"]}],"mendeley":{"formattedCitation":"(45)","plainTextFormattedCitation":"(45)","previouslyFormattedCitation":"(45)"},"properties":{"noteIndex":0},"schema":"https://github.com/citation-style-language/schema/raw/master/csl-citation.json"}</w:instrText>
      </w:r>
      <w:r w:rsidR="00733C5B"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(45)</w:t>
      </w:r>
      <w:r w:rsidR="00733C5B" w:rsidRPr="004B0BC2">
        <w:rPr>
          <w:rFonts w:asciiTheme="minorHAnsi" w:hAnsiTheme="minorHAnsi" w:cstheme="minorHAnsi"/>
          <w:sz w:val="22"/>
          <w:szCs w:val="22"/>
          <w:shd w:val="clear" w:color="auto" w:fill="FFFFFF"/>
        </w:rPr>
        <w:fldChar w:fldCharType="end"/>
      </w:r>
      <w:r w:rsidR="00733C5B" w:rsidRPr="004B0BC2">
        <w:rPr>
          <w:rFonts w:asciiTheme="minorHAnsi" w:hAnsiTheme="minorHAnsi" w:cstheme="minorHAnsi"/>
          <w:sz w:val="22"/>
          <w:szCs w:val="22"/>
          <w:shd w:val="clear" w:color="auto" w:fill="FFFFFF"/>
        </w:rPr>
        <w:t>.</w:t>
      </w:r>
      <w:r w:rsidR="00C868AB" w:rsidRPr="004B0BC2">
        <w:rPr>
          <w:rFonts w:asciiTheme="minorHAnsi" w:hAnsiTheme="minorHAnsi" w:cstheme="minorHAnsi"/>
          <w:sz w:val="22"/>
          <w:szCs w:val="22"/>
          <w:shd w:val="clear" w:color="auto" w:fill="FFFFFF"/>
        </w:rPr>
        <w:t xml:space="preserve"> </w:t>
      </w:r>
    </w:p>
    <w:p w14:paraId="65E1A587" w14:textId="14A267B1" w:rsidR="00DB3D0C" w:rsidRPr="004B0BC2" w:rsidRDefault="00C62CA3" w:rsidP="00B66369">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A</w:t>
      </w:r>
      <w:r w:rsidR="00C868AB" w:rsidRPr="004B0BC2">
        <w:rPr>
          <w:rFonts w:asciiTheme="minorHAnsi" w:hAnsiTheme="minorHAnsi" w:cstheme="minorHAnsi"/>
          <w:sz w:val="22"/>
          <w:szCs w:val="22"/>
          <w:shd w:val="clear" w:color="auto" w:fill="FFFFFF"/>
        </w:rPr>
        <w:t xml:space="preserve"> population study compared the</w:t>
      </w:r>
      <w:r w:rsidR="00B95D1F" w:rsidRPr="004B0BC2">
        <w:rPr>
          <w:rFonts w:asciiTheme="minorHAnsi" w:hAnsiTheme="minorHAnsi" w:cstheme="minorHAnsi"/>
          <w:sz w:val="22"/>
          <w:szCs w:val="22"/>
          <w:shd w:val="clear" w:color="auto" w:fill="FFFFFF"/>
        </w:rPr>
        <w:t xml:space="preserve"> overall</w:t>
      </w:r>
      <w:r w:rsidR="00C868AB" w:rsidRPr="004B0BC2">
        <w:rPr>
          <w:rFonts w:asciiTheme="minorHAnsi" w:hAnsiTheme="minorHAnsi" w:cstheme="minorHAnsi"/>
          <w:sz w:val="22"/>
          <w:szCs w:val="22"/>
          <w:shd w:val="clear" w:color="auto" w:fill="FFFFFF"/>
        </w:rPr>
        <w:t xml:space="preserve"> rates of diabetes</w:t>
      </w:r>
      <w:r w:rsidR="00B95D1F" w:rsidRPr="004B0BC2">
        <w:rPr>
          <w:rFonts w:asciiTheme="minorHAnsi" w:hAnsiTheme="minorHAnsi" w:cstheme="minorHAnsi"/>
          <w:sz w:val="22"/>
          <w:szCs w:val="22"/>
          <w:shd w:val="clear" w:color="auto" w:fill="FFFFFF"/>
        </w:rPr>
        <w:t xml:space="preserve"> in</w:t>
      </w:r>
      <w:r w:rsidR="00C868AB" w:rsidRPr="004B0BC2">
        <w:rPr>
          <w:rFonts w:asciiTheme="minorHAnsi" w:hAnsiTheme="minorHAnsi" w:cstheme="minorHAnsi"/>
          <w:sz w:val="22"/>
          <w:szCs w:val="22"/>
          <w:shd w:val="clear" w:color="auto" w:fill="FFFFFF"/>
        </w:rPr>
        <w:t xml:space="preserve"> Ontario, Canada </w:t>
      </w:r>
      <w:r>
        <w:rPr>
          <w:rFonts w:asciiTheme="minorHAnsi" w:hAnsiTheme="minorHAnsi" w:cstheme="minorHAnsi"/>
          <w:sz w:val="22"/>
          <w:szCs w:val="22"/>
          <w:shd w:val="clear" w:color="auto" w:fill="FFFFFF"/>
        </w:rPr>
        <w:t xml:space="preserve">during </w:t>
      </w:r>
      <w:r w:rsidR="00C868AB" w:rsidRPr="004B0BC2">
        <w:rPr>
          <w:rFonts w:asciiTheme="minorHAnsi" w:hAnsiTheme="minorHAnsi" w:cstheme="minorHAnsi"/>
          <w:sz w:val="22"/>
          <w:szCs w:val="22"/>
          <w:shd w:val="clear" w:color="auto" w:fill="FFFFFF"/>
        </w:rPr>
        <w:t>1995</w:t>
      </w:r>
      <w:r>
        <w:rPr>
          <w:rFonts w:asciiTheme="minorHAnsi" w:hAnsiTheme="minorHAnsi" w:cstheme="minorHAnsi"/>
          <w:sz w:val="22"/>
          <w:szCs w:val="22"/>
          <w:shd w:val="clear" w:color="auto" w:fill="FFFFFF"/>
        </w:rPr>
        <w:t>–</w:t>
      </w:r>
      <w:r w:rsidR="00C868AB" w:rsidRPr="004B0BC2">
        <w:rPr>
          <w:rFonts w:asciiTheme="minorHAnsi" w:hAnsiTheme="minorHAnsi" w:cstheme="minorHAnsi"/>
          <w:sz w:val="22"/>
          <w:szCs w:val="22"/>
          <w:shd w:val="clear" w:color="auto" w:fill="FFFFFF"/>
        </w:rPr>
        <w:t>2005.</w:t>
      </w:r>
      <w:r w:rsidR="003C11E1">
        <w:rPr>
          <w:rFonts w:asciiTheme="minorHAnsi" w:hAnsiTheme="minorHAnsi" w:cstheme="minorHAnsi"/>
          <w:sz w:val="22"/>
          <w:szCs w:val="22"/>
          <w:shd w:val="clear" w:color="auto" w:fill="FFFFFF"/>
        </w:rPr>
        <w:t xml:space="preserve"> </w:t>
      </w:r>
      <w:r w:rsidR="00C868AB" w:rsidRPr="004B0BC2">
        <w:rPr>
          <w:rFonts w:asciiTheme="minorHAnsi" w:hAnsiTheme="minorHAnsi" w:cstheme="minorHAnsi"/>
          <w:sz w:val="22"/>
          <w:szCs w:val="22"/>
          <w:shd w:val="clear" w:color="auto" w:fill="FFFFFF"/>
        </w:rPr>
        <w:t>The authors observed that incidence</w:t>
      </w:r>
      <w:r w:rsidR="007D457B" w:rsidRPr="004B0BC2">
        <w:rPr>
          <w:rFonts w:asciiTheme="minorHAnsi" w:hAnsiTheme="minorHAnsi" w:cstheme="minorHAnsi"/>
          <w:sz w:val="22"/>
          <w:szCs w:val="22"/>
          <w:shd w:val="clear" w:color="auto" w:fill="FFFFFF"/>
        </w:rPr>
        <w:t xml:space="preserve"> </w:t>
      </w:r>
      <w:r w:rsidR="00C868AB" w:rsidRPr="004B0BC2">
        <w:rPr>
          <w:rFonts w:asciiTheme="minorHAnsi" w:hAnsiTheme="minorHAnsi" w:cstheme="minorHAnsi"/>
          <w:sz w:val="22"/>
          <w:szCs w:val="22"/>
          <w:shd w:val="clear" w:color="auto" w:fill="FFFFFF"/>
        </w:rPr>
        <w:t xml:space="preserve">and prevalence </w:t>
      </w:r>
      <w:r>
        <w:rPr>
          <w:rFonts w:asciiTheme="minorHAnsi" w:hAnsiTheme="minorHAnsi" w:cstheme="minorHAnsi"/>
          <w:sz w:val="22"/>
          <w:szCs w:val="22"/>
          <w:shd w:val="clear" w:color="auto" w:fill="FFFFFF"/>
        </w:rPr>
        <w:t xml:space="preserve">of diabetes </w:t>
      </w:r>
      <w:r w:rsidR="00B95D1F" w:rsidRPr="004B0BC2">
        <w:rPr>
          <w:rFonts w:asciiTheme="minorHAnsi" w:hAnsiTheme="minorHAnsi" w:cstheme="minorHAnsi"/>
          <w:sz w:val="22"/>
          <w:szCs w:val="22"/>
          <w:shd w:val="clear" w:color="auto" w:fill="FFFFFF"/>
        </w:rPr>
        <w:t>were</w:t>
      </w:r>
      <w:r w:rsidR="00C868AB" w:rsidRPr="004B0BC2">
        <w:rPr>
          <w:rFonts w:asciiTheme="minorHAnsi" w:hAnsiTheme="minorHAnsi" w:cstheme="minorHAnsi"/>
          <w:sz w:val="22"/>
          <w:szCs w:val="22"/>
          <w:shd w:val="clear" w:color="auto" w:fill="FFFFFF"/>
        </w:rPr>
        <w:t xml:space="preserve"> higher in men than women</w:t>
      </w:r>
      <w:r>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 xml:space="preserve">(both p&lt;0.0001) </w:t>
      </w:r>
      <w:r w:rsidR="00C868AB"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{"citationItems":[{"id":"ITEM-1","itemData":{"DOI":"10.1016/S0140-6736(07)60361-4","ISSN":"01406736","abstract":"Background: The prevalence of diabetes has been increasing greatly, but WHO's predicted 39% rise in the global rate of diabetes from 2000 to 2030 might be an underestimate. We aimed to assess diabetes trends in Ontario, Canada. Methods: Using population-based data, including a validated diabetes database from the province of Ontario, Canada, we examined trends in diabetes prevalence and mortality from 1995 to 2005, and incidence from 1997 to 2003, in adults aged 20 years or older. Findings: Age-adjusted and sex-adjusted diabetes prevalence increased by 69%, from 5·2% in a population of 7 908 562 in 1995 to 8·8% of 9 276 945 in 2005. Prevalence increased by 27% from 6·9% in a population of 8 457 720 in 2000 to 8·8% of 9 276 945 in 2005. Although prevalence rates have remained higher in people aged 50 years or older (7·1% of 3 675 554) than in those aged 20-49 years (3·5% of 5 601 391), rates increased to a greater extent in the younger population (94% vs 63%, p&lt;0·0001). A 31% increase occurred in yearly incidence over 6 years, from 6·6 per 1000 in 1997 to 8·2 per 1000 in 2003. The adjusted mortality rate in people with diabetes fell by 25% from 1995 to 2005. Interpretation: The prevalence of diabetes in Ontario, Canada increased substantially during the past 10 years, and by 2005 already exceeded the global rate that was predicted for 2030. This increase in prevalence is attributable to both rising incidence and declining mortality. Effective public-health interventions aimed at diabetes prevention are needed, as well as improved resources to manage the greater number of people living longer with the disease. © 2007 Elsevier Ltd. All rights reserved.","author":[{"dropping-particle":"","family":"Lipscombe","given":"Lorraine L.","non-dropping-particle":"","parse-names":false,"suffix":""},{"dropping-particle":"","family":"Hux","given":"Janet E.","non-dropping-particle":"","parse-names":false,"suffix":""}],"container-title":"Lancet","id":"ITEM-1","issue":"9563","issued":{"date-parts":[["2007"]]},"page":"750-756","title":"Trends in diabetes prevalence, incidence, and mortality in Ontario, Canada 1995-2005: a population-based study","type":"article-journal","volume":"369"},"uris":["http://www.mendeley.com/documents/?uuid=a949bfce-c3ea-4c5a-aad1-e2f7797ec2c3"]}],"mendeley":{"formattedCitation":"(46)","plainTextFormattedCitation":"(46)","previouslyFormattedCitation":"(46)"},"properties":{"noteIndex":0},"schema":"https://github.com/citation-style-language/schema/raw/master/csl-citation.json"}</w:instrText>
      </w:r>
      <w:r w:rsidR="00C868AB"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(46)</w:t>
      </w:r>
      <w:r w:rsidR="00C868AB" w:rsidRPr="004B0BC2">
        <w:rPr>
          <w:rFonts w:asciiTheme="minorHAnsi" w:hAnsiTheme="minorHAnsi" w:cstheme="minorHAnsi"/>
          <w:sz w:val="22"/>
          <w:szCs w:val="22"/>
          <w:shd w:val="clear" w:color="auto" w:fill="FFFFFF"/>
        </w:rPr>
        <w:fldChar w:fldCharType="end"/>
      </w:r>
      <w:r w:rsidR="00C868AB" w:rsidRPr="004B0BC2">
        <w:rPr>
          <w:rFonts w:asciiTheme="minorHAnsi" w:hAnsiTheme="minorHAnsi" w:cstheme="minorHAnsi"/>
          <w:sz w:val="22"/>
          <w:szCs w:val="22"/>
          <w:shd w:val="clear" w:color="auto" w:fill="FFFFFF"/>
        </w:rPr>
        <w:t xml:space="preserve">. </w:t>
      </w:r>
      <w:r w:rsidR="00B95D1F" w:rsidRPr="004B0BC2">
        <w:rPr>
          <w:rFonts w:asciiTheme="minorHAnsi" w:hAnsiTheme="minorHAnsi" w:cstheme="minorHAnsi"/>
          <w:sz w:val="22"/>
          <w:szCs w:val="22"/>
          <w:shd w:val="clear" w:color="auto" w:fill="FFFFFF"/>
        </w:rPr>
        <w:t>Indeed, the worldwide age-standardised adult diabetes prevalence in men has been reported to be 9</w:t>
      </w:r>
      <w:r w:rsidR="00DB3D0C" w:rsidRPr="004B0BC2">
        <w:rPr>
          <w:rFonts w:asciiTheme="minorHAnsi" w:hAnsiTheme="minorHAnsi" w:cstheme="minorHAnsi"/>
          <w:sz w:val="22"/>
          <w:szCs w:val="22"/>
          <w:shd w:val="clear" w:color="auto" w:fill="FFFFFF"/>
        </w:rPr>
        <w:t>.0</w:t>
      </w:r>
      <w:r w:rsidR="00B95D1F" w:rsidRPr="004B0BC2">
        <w:rPr>
          <w:rFonts w:asciiTheme="minorHAnsi" w:hAnsiTheme="minorHAnsi" w:cstheme="minorHAnsi"/>
          <w:sz w:val="22"/>
          <w:szCs w:val="22"/>
          <w:shd w:val="clear" w:color="auto" w:fill="FFFFFF"/>
        </w:rPr>
        <w:t xml:space="preserve">% compared </w:t>
      </w:r>
      <w:r>
        <w:rPr>
          <w:rFonts w:asciiTheme="minorHAnsi" w:hAnsiTheme="minorHAnsi" w:cstheme="minorHAnsi"/>
          <w:sz w:val="22"/>
          <w:szCs w:val="22"/>
          <w:shd w:val="clear" w:color="auto" w:fill="FFFFFF"/>
        </w:rPr>
        <w:t>with</w:t>
      </w:r>
      <w:r w:rsidR="00B95D1F" w:rsidRPr="004B0BC2">
        <w:rPr>
          <w:rFonts w:asciiTheme="minorHAnsi" w:hAnsiTheme="minorHAnsi" w:cstheme="minorHAnsi"/>
          <w:sz w:val="22"/>
          <w:szCs w:val="22"/>
          <w:shd w:val="clear" w:color="auto" w:fill="FFFFFF"/>
        </w:rPr>
        <w:t xml:space="preserve"> 7</w:t>
      </w:r>
      <w:r w:rsidR="00DB3D0C" w:rsidRPr="004B0BC2">
        <w:rPr>
          <w:rFonts w:asciiTheme="minorHAnsi" w:hAnsiTheme="minorHAnsi" w:cstheme="minorHAnsi"/>
          <w:sz w:val="22"/>
          <w:szCs w:val="22"/>
          <w:shd w:val="clear" w:color="auto" w:fill="FFFFFF"/>
        </w:rPr>
        <w:t>.</w:t>
      </w:r>
      <w:r w:rsidR="00B95D1F" w:rsidRPr="004B0BC2">
        <w:rPr>
          <w:rFonts w:asciiTheme="minorHAnsi" w:hAnsiTheme="minorHAnsi" w:cstheme="minorHAnsi"/>
          <w:sz w:val="22"/>
          <w:szCs w:val="22"/>
          <w:shd w:val="clear" w:color="auto" w:fill="FFFFFF"/>
        </w:rPr>
        <w:t>9%</w:t>
      </w:r>
      <w:r w:rsidR="00A0026B" w:rsidRPr="004B0BC2">
        <w:rPr>
          <w:rFonts w:asciiTheme="minorHAnsi" w:hAnsiTheme="minorHAnsi" w:cstheme="minorHAnsi"/>
          <w:sz w:val="22"/>
          <w:szCs w:val="22"/>
        </w:rPr>
        <w:t xml:space="preserve"> </w:t>
      </w:r>
      <w:r w:rsidR="00B95D1F" w:rsidRPr="004B0BC2">
        <w:rPr>
          <w:rFonts w:asciiTheme="minorHAnsi" w:hAnsiTheme="minorHAnsi" w:cstheme="minorHAnsi"/>
          <w:sz w:val="22"/>
          <w:szCs w:val="22"/>
        </w:rPr>
        <w:t>in</w:t>
      </w:r>
      <w:r w:rsidR="00A0026B" w:rsidRPr="004B0BC2">
        <w:rPr>
          <w:rFonts w:asciiTheme="minorHAnsi" w:hAnsiTheme="minorHAnsi" w:cstheme="minorHAnsi"/>
          <w:sz w:val="22"/>
          <w:szCs w:val="22"/>
        </w:rPr>
        <w:t xml:space="preserve"> </w:t>
      </w:r>
      <w:r w:rsidR="00B95D1F" w:rsidRPr="004B0BC2">
        <w:rPr>
          <w:rFonts w:asciiTheme="minorHAnsi" w:hAnsiTheme="minorHAnsi" w:cstheme="minorHAnsi"/>
          <w:sz w:val="22"/>
          <w:szCs w:val="22"/>
        </w:rPr>
        <w:t>women</w:t>
      </w:r>
      <w:r w:rsidR="00B95D1F"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{"citationItems":[{"id":"ITEM-1","itemData":{"DOI":"10.1016/S0140-6736(16)00618-8","ISSN":"1474547X","PMID":"27061677","abstract":"FINDINGS: We used data from 751 studies including 4,372,000 adults from 146 of the 200 countries we make estimates for. Global age-standardised diabetes prevalence increased from 4.3% (95% credible interval 2.4-7.0) in 1980 to 9.0% (7.2-11.1) in 2014 in men, and from 5.0% (2.9-7.9) to 7.9% (6.4-9.7) in women. The number of adults with diabetes in the world increased from 108 million in 1980 to 422 million in 2014 (28.5% due to the rise in prevalence, 39.7% due to population growth and ageing, and 31.8% due to interaction of these two factors). Age-standardised adult diabetes prevalence in 2014 was lowest in northwestern Europe, and highest in Polynesia and Micronesia, at nearly 25%, followed by Melanesia and the Middle East and north Africa. Between 1980 and 2014 there was little change in age-standardised diabetes prevalence in adult women in continental western Europe, although crude prevalence rose because of ageing of the population. By contrast, age-standardised adult prevalence rose by 15 percentage points in men and women in Polynesia and Micronesia. In 2014, American Samoa had the highest national prevalence of diabetes (&gt;30% in both sexes), with age-standardised adult prevalence also higher than 25% in some other islands in Polynesia and Micronesia. If post-2000 trends continue, the probability of meeting the global target of halting the rise in the prevalence of diabetes by 2025 at the 2010 level worldwide is lower than 1% for men and is 1% for women. Only nine countries for men and 29 countries for women, mostly in western Europe, have a 50% or higher probability of meeting the global target. INTERPRETATION: Since 1980, age-standardised diabetes prevalence in adults has increased, or at best remained unchanged, in every country. Together with population growth and ageing, this rise has led to a near quadrupling of the number of adults with diabetes worldwide. The burden of diabetes, both in terms of prevalence and number of adults affected, has increased faster in low-income and middle-income countries than in high-income countries. METHODS: We pooled data from population-based studies that had collected data on diabetes through measurement of its biomarkers. We used a Bayesian hierarchical model to estimate trends in diabetes prevalence-defined as fasting plasma glucose of 7.0 mmol/L or higher, or history of diagnosis with diabetes, or use of insulin or oral hypoglycaemic drugs-in 200 countries and territories in 21 regions, by sex and from …","author":[{"dropping-particle":"","family":"NCD Risk Factor Collaboration","given":"","non-dropping-particle":"","parse-names":false,"suffix":""}],"container-title":"Lancet (London, England)","id":"ITEM-1","issue":"10027","issued":{"date-parts":[["2016"]]},"page":"1513-1530","title":"Worldwide trends in diabetes since 1980: a pooled analysis of 751 population-based studies with 4.4 million participants","type":"article-journal","volume":"387"},"uris":["http://www.mendeley.com/documents/?uuid=79b5a04a-2bd6-4ff8-a198-434f0f4ba415"]}],"mendeley":{"formattedCitation":"(47)","plainTextFormattedCitation":"(47)","previouslyFormattedCitation":"(47)"},"properties":{"noteIndex":0},"schema":"https://github.com/citation-style-language/schema/raw/master/csl-citation.json"}</w:instrText>
      </w:r>
      <w:r w:rsidR="00B95D1F"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(47)</w:t>
      </w:r>
      <w:r w:rsidR="00B95D1F" w:rsidRPr="004B0BC2">
        <w:rPr>
          <w:rFonts w:asciiTheme="minorHAnsi" w:hAnsiTheme="minorHAnsi" w:cstheme="minorHAnsi"/>
          <w:sz w:val="22"/>
          <w:szCs w:val="22"/>
        </w:rPr>
        <w:fldChar w:fldCharType="end"/>
      </w:r>
      <w:r w:rsidR="00B95D1F" w:rsidRPr="004B0BC2">
        <w:rPr>
          <w:rFonts w:asciiTheme="minorHAnsi" w:hAnsiTheme="minorHAnsi" w:cstheme="minorHAnsi"/>
          <w:sz w:val="22"/>
          <w:szCs w:val="22"/>
        </w:rPr>
        <w:t>.</w:t>
      </w:r>
    </w:p>
    <w:p w14:paraId="08CEF8F1" w14:textId="74655BCA" w:rsidR="00002964" w:rsidRPr="004B0BC2" w:rsidRDefault="00AD4DD6"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Furthermore,</w:t>
      </w:r>
      <w:r w:rsidR="00C62CA3">
        <w:rPr>
          <w:rFonts w:asciiTheme="minorHAnsi" w:hAnsiTheme="minorHAnsi" w:cstheme="minorHAnsi"/>
          <w:sz w:val="22"/>
          <w:szCs w:val="22"/>
        </w:rPr>
        <w:t xml:space="preserve"> </w:t>
      </w:r>
      <w:r w:rsidR="0098637C" w:rsidRPr="004B0BC2">
        <w:rPr>
          <w:rFonts w:asciiTheme="minorHAnsi" w:hAnsiTheme="minorHAnsi" w:cstheme="minorHAnsi"/>
          <w:sz w:val="22"/>
          <w:szCs w:val="22"/>
        </w:rPr>
        <w:t xml:space="preserve">evidence </w:t>
      </w:r>
      <w:r w:rsidR="00C62CA3">
        <w:rPr>
          <w:rFonts w:asciiTheme="minorHAnsi" w:hAnsiTheme="minorHAnsi" w:cstheme="minorHAnsi"/>
          <w:sz w:val="22"/>
          <w:szCs w:val="22"/>
        </w:rPr>
        <w:t xml:space="preserve">suggests </w:t>
      </w:r>
      <w:r w:rsidR="0098637C" w:rsidRPr="004B0BC2">
        <w:rPr>
          <w:rFonts w:asciiTheme="minorHAnsi" w:hAnsiTheme="minorHAnsi" w:cstheme="minorHAnsi"/>
          <w:sz w:val="22"/>
          <w:szCs w:val="22"/>
        </w:rPr>
        <w:t xml:space="preserve">that </w:t>
      </w:r>
      <w:r w:rsidRPr="004B0BC2">
        <w:rPr>
          <w:rFonts w:asciiTheme="minorHAnsi" w:hAnsiTheme="minorHAnsi" w:cstheme="minorHAnsi"/>
          <w:sz w:val="22"/>
          <w:szCs w:val="22"/>
        </w:rPr>
        <w:t xml:space="preserve">men </w:t>
      </w:r>
      <w:r w:rsidR="00F52DD7" w:rsidRPr="004B0BC2">
        <w:rPr>
          <w:rFonts w:asciiTheme="minorHAnsi" w:hAnsiTheme="minorHAnsi" w:cstheme="minorHAnsi"/>
          <w:sz w:val="22"/>
          <w:szCs w:val="22"/>
        </w:rPr>
        <w:t>are more</w:t>
      </w:r>
      <w:r w:rsidRPr="004B0BC2">
        <w:rPr>
          <w:rFonts w:asciiTheme="minorHAnsi" w:hAnsiTheme="minorHAnsi" w:cstheme="minorHAnsi"/>
          <w:sz w:val="22"/>
          <w:szCs w:val="22"/>
        </w:rPr>
        <w:t xml:space="preserve"> susceptible to developing diabetes at a lower body mass index (BMI) than women</w:t>
      </w:r>
      <w:r w:rsidR="0098637C" w:rsidRPr="004B0BC2">
        <w:rPr>
          <w:rFonts w:asciiTheme="minorHAnsi" w:hAnsiTheme="minorHAnsi" w:cstheme="minorHAnsi"/>
          <w:sz w:val="22"/>
          <w:szCs w:val="22"/>
        </w:rPr>
        <w:t xml:space="preserve">. </w:t>
      </w:r>
      <w:r w:rsidR="00C62CA3">
        <w:rPr>
          <w:rFonts w:asciiTheme="minorHAnsi" w:hAnsiTheme="minorHAnsi" w:cstheme="minorHAnsi"/>
          <w:sz w:val="22"/>
          <w:szCs w:val="22"/>
        </w:rPr>
        <w:t>A</w:t>
      </w:r>
      <w:r w:rsidR="00356112" w:rsidRPr="004B0BC2">
        <w:rPr>
          <w:rFonts w:asciiTheme="minorHAnsi" w:hAnsiTheme="minorHAnsi" w:cstheme="minorHAnsi"/>
          <w:sz w:val="22"/>
          <w:szCs w:val="22"/>
        </w:rPr>
        <w:t>nalys</w:t>
      </w:r>
      <w:r w:rsidR="00C62CA3">
        <w:rPr>
          <w:rFonts w:asciiTheme="minorHAnsi" w:hAnsiTheme="minorHAnsi" w:cstheme="minorHAnsi"/>
          <w:sz w:val="22"/>
          <w:szCs w:val="22"/>
        </w:rPr>
        <w:t>is of</w:t>
      </w:r>
      <w:r w:rsidR="0098637C" w:rsidRPr="004B0BC2">
        <w:rPr>
          <w:rFonts w:asciiTheme="minorHAnsi" w:hAnsiTheme="minorHAnsi" w:cstheme="minorHAnsi"/>
          <w:sz w:val="22"/>
          <w:szCs w:val="22"/>
        </w:rPr>
        <w:t xml:space="preserve"> a </w:t>
      </w:r>
      <w:r w:rsidR="0098637C" w:rsidRPr="004B0BC2">
        <w:rPr>
          <w:rFonts w:asciiTheme="minorHAnsi" w:hAnsiTheme="minorHAnsi" w:cstheme="minorHAnsi"/>
          <w:sz w:val="22"/>
          <w:szCs w:val="22"/>
          <w:shd w:val="clear" w:color="auto" w:fill="FFFFFF"/>
        </w:rPr>
        <w:t>diabetes register in Scotland</w:t>
      </w:r>
      <w:r w:rsidR="00C62CA3">
        <w:rPr>
          <w:rFonts w:asciiTheme="minorHAnsi" w:hAnsiTheme="minorHAnsi" w:cstheme="minorHAnsi"/>
          <w:sz w:val="22"/>
          <w:szCs w:val="22"/>
          <w:shd w:val="clear" w:color="auto" w:fill="FFFFFF"/>
        </w:rPr>
        <w:t xml:space="preserve"> that included</w:t>
      </w:r>
      <w:r w:rsidR="0098637C" w:rsidRPr="004B0BC2">
        <w:rPr>
          <w:rFonts w:asciiTheme="minorHAnsi" w:hAnsiTheme="minorHAnsi" w:cstheme="minorHAnsi"/>
          <w:sz w:val="22"/>
          <w:szCs w:val="22"/>
          <w:shd w:val="clear" w:color="auto" w:fill="FFFFFF"/>
        </w:rPr>
        <w:t xml:space="preserve"> 51,920 men and 43,137 women</w:t>
      </w:r>
      <w:r w:rsidR="00C62CA3">
        <w:rPr>
          <w:rFonts w:asciiTheme="minorHAnsi" w:hAnsiTheme="minorHAnsi" w:cstheme="minorHAnsi"/>
          <w:sz w:val="22"/>
          <w:szCs w:val="22"/>
        </w:rPr>
        <w:t xml:space="preserve"> show</w:t>
      </w:r>
      <w:r w:rsidR="00F52DD7" w:rsidRPr="004B0BC2">
        <w:rPr>
          <w:rFonts w:asciiTheme="minorHAnsi" w:hAnsiTheme="minorHAnsi" w:cstheme="minorHAnsi"/>
          <w:sz w:val="22"/>
          <w:szCs w:val="22"/>
        </w:rPr>
        <w:t xml:space="preserve">ed that </w:t>
      </w:r>
      <w:r w:rsidR="0078155C" w:rsidRPr="004B0BC2">
        <w:rPr>
          <w:rFonts w:asciiTheme="minorHAnsi" w:hAnsiTheme="minorHAnsi" w:cstheme="minorHAnsi"/>
          <w:sz w:val="22"/>
          <w:szCs w:val="22"/>
          <w:shd w:val="clear" w:color="auto" w:fill="FFFFFF"/>
        </w:rPr>
        <w:t>t</w:t>
      </w:r>
      <w:r w:rsidR="0098637C" w:rsidRPr="004B0BC2">
        <w:rPr>
          <w:rFonts w:asciiTheme="minorHAnsi" w:hAnsiTheme="minorHAnsi" w:cstheme="minorHAnsi"/>
          <w:sz w:val="22"/>
          <w:szCs w:val="22"/>
          <w:shd w:val="clear" w:color="auto" w:fill="FFFFFF"/>
        </w:rPr>
        <w:t>he mean BMI at diagnosis</w:t>
      </w:r>
      <w:r w:rsidR="00F52DD7" w:rsidRPr="004B0BC2">
        <w:rPr>
          <w:rFonts w:asciiTheme="minorHAnsi" w:hAnsiTheme="minorHAnsi" w:cstheme="minorHAnsi"/>
          <w:sz w:val="22"/>
          <w:szCs w:val="22"/>
          <w:shd w:val="clear" w:color="auto" w:fill="FFFFFF"/>
        </w:rPr>
        <w:t xml:space="preserve"> of diabetes was</w:t>
      </w:r>
      <w:r w:rsidR="0098637C" w:rsidRPr="004B0BC2">
        <w:rPr>
          <w:rFonts w:asciiTheme="minorHAnsi" w:hAnsiTheme="minorHAnsi" w:cstheme="minorHAnsi"/>
          <w:sz w:val="22"/>
          <w:szCs w:val="22"/>
          <w:shd w:val="clear" w:color="auto" w:fill="FFFFFF"/>
        </w:rPr>
        <w:t xml:space="preserve"> 31.83 kg/m</w:t>
      </w:r>
      <w:r w:rsidR="0098637C" w:rsidRPr="004B0BC2">
        <w:rPr>
          <w:rFonts w:asciiTheme="minorHAnsi" w:hAnsiTheme="minorHAnsi" w:cstheme="minorHAnsi"/>
          <w:sz w:val="22"/>
          <w:szCs w:val="22"/>
          <w:shd w:val="clear" w:color="auto" w:fill="FFFFFF"/>
          <w:vertAlign w:val="superscript"/>
        </w:rPr>
        <w:t>2</w:t>
      </w:r>
      <w:r w:rsidR="0098637C" w:rsidRPr="004B0BC2">
        <w:rPr>
          <w:rFonts w:asciiTheme="minorHAnsi" w:hAnsiTheme="minorHAnsi" w:cstheme="minorHAnsi"/>
          <w:sz w:val="22"/>
          <w:szCs w:val="22"/>
          <w:shd w:val="clear" w:color="auto" w:fill="FFFFFF"/>
        </w:rPr>
        <w:t> in men and 33.69 kg/m</w:t>
      </w:r>
      <w:r w:rsidR="0098637C" w:rsidRPr="004B0BC2">
        <w:rPr>
          <w:rFonts w:asciiTheme="minorHAnsi" w:hAnsiTheme="minorHAnsi" w:cstheme="minorHAnsi"/>
          <w:sz w:val="22"/>
          <w:szCs w:val="22"/>
          <w:shd w:val="clear" w:color="auto" w:fill="FFFFFF"/>
          <w:vertAlign w:val="superscript"/>
        </w:rPr>
        <w:t>2</w:t>
      </w:r>
      <w:r w:rsidR="0098637C" w:rsidRPr="004B0BC2">
        <w:rPr>
          <w:rFonts w:asciiTheme="minorHAnsi" w:hAnsiTheme="minorHAnsi" w:cstheme="minorHAnsi"/>
          <w:sz w:val="22"/>
          <w:szCs w:val="22"/>
          <w:shd w:val="clear" w:color="auto" w:fill="FFFFFF"/>
        </w:rPr>
        <w:t> in women</w:t>
      </w:r>
      <w:r w:rsidR="00C62CA3" w:rsidRPr="00C62CA3">
        <w:rPr>
          <w:rFonts w:asciiTheme="minorHAnsi" w:hAnsiTheme="minorHAnsi" w:cstheme="minorHAnsi"/>
          <w:sz w:val="22"/>
          <w:szCs w:val="22"/>
        </w:rPr>
        <w:t xml:space="preserve"> </w:t>
      </w:r>
      <w:r w:rsidR="00C62CA3"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{"citationItems":[{"id":"ITEM-1","itemData":{"DOI":"10.1007/s00125-011-2313-3","ISSN":"0012186X","PMID":"21959958","abstract":"Aims/hypothesis: To describe the associations between age, sex and BMI at diagnosis of type 2 diabetes, and test the hypothesis that men are diagnosed with diabetes at lower average BMI than women of similar age. Methods: Linear regression was used to estimate and compare the relationship between age and BMI at diagnosis among 51,920 men and 43,137 women included in a population-based diabetes register in Scotland for whom an index BMI measurement was taken within 1 year of diabetes diagnosis. We also examined HbA 1c values by sex within the same timescale. Results: Mean BMI closest to date of diagnosis of type 2 diabetes mellitus was 31.83 kg/m 2 (SD 5.13) in men and 33.69 kg/m 2 (SD 6.43) in women. The inverse relationship between age and BMI at diagnosis of type 2 diabetes mellitus was significantly steeper in women than in men (slope estimate in men -0.12 kg/m 2 per year [95% CI -0.13, -0.12] women -0.18 kg/m 2 per year [95% CI -0.18, -0.17], p&lt;0.0001 for formal test of interaction). Mean BMI difference was most marked at younger ages and narrowed with advancing age. However, HbA 1c levels within 1 year of diagnoses were broadly similar in men and women. Conclusions/interpretation: Men are diagnosed with type 2 diabetes at lower BMI than women across the age range. This observation may help explain why type 2 diabetes is more common among middle-aged men in populations of European extraction. Whether the same pattern is also observed in other ethnic groups requires confirmation. © 2011 Springer-Verlag.","author":[{"dropping-particle":"","family":"Logue","given":"J.","non-dropping-particle":"","parse-names":false,"suffix":""},{"dropping-particle":"","family":"Walker","given":"J. J.","non-dropping-particle":"","parse-names":false,"suffix":""},{"dropping-particle":"","family":"Colhoun","given":"H. M.","non-dropping-particle":"","parse-names":false,"suffix":""},{"dropping-particle":"","family":"Leese","given":"G. P.","non-dropping-particle":"","parse-names":false,"suffix":""},{"dropping-particle":"","family":"Lindsay","given":"R. S.","non-dropping-particle":"","parse-names":false,"suffix":""},{"dropping-particle":"","family":"McKnight","given":"J. A.","non-dropping-particle":"","parse-names":false,"suffix":""},{"dropping-particle":"","family":"Morris","given":"A. D.","non-dropping-particle":"","parse-names":false,"suffix":""},{"dropping-particle":"","family":"Pearson","given":"D. W.","non-dropping-particle":"","parse-names":false,"suffix":""},{"dropping-particle":"","family":"Petrie","given":"J. R.","non-dropping-particle":"","parse-names":false,"suffix":""},{"dropping-particle":"","family":"Philip","given":"S.","non-dropping-particle":"","parse-names":false,"suffix":""},{"dropping-particle":"","family":"Wild","given":"S. H.","non-dropping-particle":"","parse-names":false,"suffix":""},{"dropping-particle":"","family":"Sattar","given":"N.","non-dropping-particle":"","parse-names":false,"suffix":""}],"container-title":"Diabetologia","id":"ITEM-1","issue":"12","issued":{"date-parts":[["2011"]]},"page":"3003-3006","title":"Do men develop type 2 diabetes at lower body mass indices than women?","type":"article-journal","volume":"54"},"uris":["http://www.mendeley.com/documents/?uuid=1e6f68d7-5fe1-4af0-b9c9-c74235e5df09"]}],"mendeley":{"formattedCitation":"(48)","plainTextFormattedCitation":"(48)","previouslyFormattedCitation":"(48)"},"properties":{"noteIndex":0},"schema":"https://github.com/citation-style-language/schema/raw/master/csl-citation.json"}</w:instrText>
      </w:r>
      <w:r w:rsidR="00C62CA3"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(48)</w:t>
      </w:r>
      <w:r w:rsidR="00C62CA3" w:rsidRPr="004B0BC2">
        <w:rPr>
          <w:rFonts w:asciiTheme="minorHAnsi" w:hAnsiTheme="minorHAnsi" w:cstheme="minorHAnsi"/>
          <w:sz w:val="22"/>
          <w:szCs w:val="22"/>
        </w:rPr>
        <w:fldChar w:fldCharType="end"/>
      </w:r>
      <w:r w:rsidR="00356112" w:rsidRPr="004B0BC2">
        <w:rPr>
          <w:rFonts w:asciiTheme="minorHAnsi" w:hAnsiTheme="minorHAnsi" w:cstheme="minorHAnsi"/>
          <w:sz w:val="22"/>
          <w:szCs w:val="22"/>
          <w:shd w:val="clear" w:color="auto" w:fill="FFFFFF"/>
        </w:rPr>
        <w:t>. Moreover, the authors observed</w:t>
      </w:r>
      <w:r w:rsidR="00002964" w:rsidRPr="004B0BC2">
        <w:rPr>
          <w:rFonts w:asciiTheme="minorHAnsi" w:hAnsiTheme="minorHAnsi" w:cstheme="minorHAnsi"/>
          <w:sz w:val="22"/>
          <w:szCs w:val="22"/>
          <w:shd w:val="clear" w:color="auto" w:fill="FFFFFF"/>
        </w:rPr>
        <w:t xml:space="preserve"> </w:t>
      </w:r>
      <w:r w:rsidR="00A0026B" w:rsidRPr="004B0BC2">
        <w:rPr>
          <w:rFonts w:asciiTheme="minorHAnsi" w:hAnsiTheme="minorHAnsi" w:cstheme="minorHAnsi"/>
          <w:sz w:val="22"/>
          <w:szCs w:val="22"/>
          <w:shd w:val="clear" w:color="auto" w:fill="FFFFFF"/>
        </w:rPr>
        <w:t>an</w:t>
      </w:r>
      <w:r w:rsidR="00356112" w:rsidRPr="004B0BC2">
        <w:rPr>
          <w:rFonts w:asciiTheme="minorHAnsi" w:hAnsiTheme="minorHAnsi" w:cstheme="minorHAnsi"/>
          <w:sz w:val="22"/>
          <w:szCs w:val="22"/>
          <w:shd w:val="clear" w:color="auto" w:fill="FFFFFF"/>
        </w:rPr>
        <w:t xml:space="preserve"> </w:t>
      </w:r>
      <w:r w:rsidR="00002964" w:rsidRPr="004B0BC2">
        <w:rPr>
          <w:rFonts w:asciiTheme="minorHAnsi" w:hAnsiTheme="minorHAnsi" w:cstheme="minorHAnsi"/>
          <w:sz w:val="22"/>
          <w:szCs w:val="22"/>
          <w:shd w:val="clear" w:color="auto" w:fill="FFFFFF"/>
        </w:rPr>
        <w:t xml:space="preserve">inverse relationship between age and BMI at diagnosis of type 2 diabetes </w:t>
      </w:r>
      <w:r w:rsidR="00A0026B" w:rsidRPr="004B0BC2">
        <w:rPr>
          <w:rFonts w:asciiTheme="minorHAnsi" w:hAnsiTheme="minorHAnsi" w:cstheme="minorHAnsi"/>
          <w:sz w:val="22"/>
          <w:szCs w:val="22"/>
          <w:shd w:val="clear" w:color="auto" w:fill="FFFFFF"/>
        </w:rPr>
        <w:t>and the slope</w:t>
      </w:r>
      <w:r w:rsidR="00002964" w:rsidRPr="004B0BC2">
        <w:rPr>
          <w:rFonts w:asciiTheme="minorHAnsi" w:hAnsiTheme="minorHAnsi" w:cstheme="minorHAnsi"/>
          <w:sz w:val="22"/>
          <w:szCs w:val="22"/>
          <w:shd w:val="clear" w:color="auto" w:fill="FFFFFF"/>
        </w:rPr>
        <w:t xml:space="preserve"> was steeper in women than in men</w:t>
      </w:r>
      <w:r w:rsidR="00F95063" w:rsidRPr="004B0BC2">
        <w:rPr>
          <w:rFonts w:asciiTheme="minorHAnsi" w:hAnsiTheme="minorHAnsi" w:cstheme="minorHAnsi"/>
          <w:sz w:val="22"/>
          <w:szCs w:val="22"/>
          <w:shd w:val="clear" w:color="auto" w:fill="FFFFFF"/>
        </w:rPr>
        <w:t xml:space="preserve"> </w:t>
      </w:r>
      <w:r w:rsidR="00A0026B" w:rsidRPr="004B0BC2">
        <w:rPr>
          <w:rFonts w:asciiTheme="minorHAnsi" w:hAnsiTheme="minorHAnsi" w:cstheme="minorHAnsi"/>
          <w:sz w:val="22"/>
          <w:szCs w:val="22"/>
          <w:shd w:val="clear" w:color="auto" w:fill="FFFFFF"/>
        </w:rPr>
        <w:t xml:space="preserve">(slope </w:t>
      </w:r>
      <w:r w:rsidR="00002964" w:rsidRPr="004B0BC2">
        <w:rPr>
          <w:rFonts w:asciiTheme="minorHAnsi" w:hAnsiTheme="minorHAnsi" w:cstheme="minorHAnsi"/>
          <w:sz w:val="22"/>
          <w:szCs w:val="22"/>
          <w:shd w:val="clear" w:color="auto" w:fill="FFFFFF"/>
        </w:rPr>
        <w:t xml:space="preserve">estimate </w:t>
      </w:r>
      <w:r w:rsidR="00A0026B" w:rsidRPr="004B0BC2">
        <w:rPr>
          <w:rFonts w:asciiTheme="minorHAnsi" w:hAnsiTheme="minorHAnsi" w:cstheme="minorHAnsi"/>
          <w:sz w:val="22"/>
          <w:szCs w:val="22"/>
          <w:shd w:val="clear" w:color="auto" w:fill="FFFFFF"/>
        </w:rPr>
        <w:t xml:space="preserve">for </w:t>
      </w:r>
      <w:r w:rsidR="00002964" w:rsidRPr="004B0BC2">
        <w:rPr>
          <w:rFonts w:asciiTheme="minorHAnsi" w:hAnsiTheme="minorHAnsi" w:cstheme="minorHAnsi"/>
          <w:sz w:val="22"/>
          <w:szCs w:val="22"/>
          <w:shd w:val="clear" w:color="auto" w:fill="FFFFFF"/>
        </w:rPr>
        <w:t>men</w:t>
      </w:r>
      <w:r w:rsidR="009F23E3" w:rsidRPr="004B0BC2">
        <w:rPr>
          <w:rFonts w:asciiTheme="minorHAnsi" w:hAnsiTheme="minorHAnsi" w:cstheme="minorHAnsi"/>
          <w:sz w:val="22"/>
          <w:szCs w:val="22"/>
          <w:shd w:val="clear" w:color="auto" w:fill="FFFFFF"/>
        </w:rPr>
        <w:t xml:space="preserve"> was</w:t>
      </w:r>
      <w:r w:rsidR="00002964" w:rsidRPr="004B0BC2">
        <w:rPr>
          <w:rFonts w:asciiTheme="minorHAnsi" w:hAnsiTheme="minorHAnsi" w:cstheme="minorHAnsi"/>
          <w:sz w:val="22"/>
          <w:szCs w:val="22"/>
          <w:shd w:val="clear" w:color="auto" w:fill="FFFFFF"/>
        </w:rPr>
        <w:t xml:space="preserve"> -0.12 kg/m</w:t>
      </w:r>
      <w:r w:rsidR="009F23E3" w:rsidRPr="004B0BC2">
        <w:rPr>
          <w:rFonts w:asciiTheme="minorHAnsi" w:hAnsiTheme="minorHAnsi" w:cstheme="minorHAnsi"/>
          <w:sz w:val="22"/>
          <w:szCs w:val="22"/>
          <w:shd w:val="clear" w:color="auto" w:fill="FFFFFF"/>
          <w:vertAlign w:val="superscript"/>
        </w:rPr>
        <w:t>2</w:t>
      </w:r>
      <w:r w:rsidR="00002964" w:rsidRPr="004B0BC2">
        <w:rPr>
          <w:rFonts w:asciiTheme="minorHAnsi" w:hAnsiTheme="minorHAnsi" w:cstheme="minorHAnsi"/>
          <w:sz w:val="22"/>
          <w:szCs w:val="22"/>
          <w:shd w:val="clear" w:color="auto" w:fill="FFFFFF"/>
        </w:rPr>
        <w:t xml:space="preserve"> per year</w:t>
      </w:r>
      <w:r w:rsidR="009F23E3" w:rsidRPr="004B0BC2">
        <w:rPr>
          <w:rFonts w:asciiTheme="minorHAnsi" w:hAnsiTheme="minorHAnsi" w:cstheme="minorHAnsi"/>
          <w:sz w:val="22"/>
          <w:szCs w:val="22"/>
          <w:shd w:val="clear" w:color="auto" w:fill="FFFFFF"/>
        </w:rPr>
        <w:t xml:space="preserve"> compared </w:t>
      </w:r>
      <w:r w:rsidR="00C62CA3">
        <w:rPr>
          <w:rFonts w:asciiTheme="minorHAnsi" w:hAnsiTheme="minorHAnsi" w:cstheme="minorHAnsi"/>
          <w:sz w:val="22"/>
          <w:szCs w:val="22"/>
          <w:shd w:val="clear" w:color="auto" w:fill="FFFFFF"/>
        </w:rPr>
        <w:t>with</w:t>
      </w:r>
      <w:r w:rsidR="009F23E3" w:rsidRPr="004B0BC2">
        <w:rPr>
          <w:rFonts w:asciiTheme="minorHAnsi" w:hAnsiTheme="minorHAnsi" w:cstheme="minorHAnsi"/>
          <w:sz w:val="22"/>
          <w:szCs w:val="22"/>
          <w:shd w:val="clear" w:color="auto" w:fill="FFFFFF"/>
        </w:rPr>
        <w:t xml:space="preserve"> 0.18 kg/m</w:t>
      </w:r>
      <w:r w:rsidR="009F23E3" w:rsidRPr="004B0BC2">
        <w:rPr>
          <w:rFonts w:asciiTheme="minorHAnsi" w:hAnsiTheme="minorHAnsi" w:cstheme="minorHAnsi"/>
          <w:sz w:val="22"/>
          <w:szCs w:val="22"/>
          <w:shd w:val="clear" w:color="auto" w:fill="FFFFFF"/>
          <w:vertAlign w:val="superscript"/>
        </w:rPr>
        <w:t>2</w:t>
      </w:r>
      <w:r w:rsidR="009F23E3" w:rsidRPr="004B0BC2">
        <w:rPr>
          <w:rFonts w:asciiTheme="minorHAnsi" w:hAnsiTheme="minorHAnsi" w:cstheme="minorHAnsi"/>
          <w:sz w:val="22"/>
          <w:szCs w:val="22"/>
          <w:shd w:val="clear" w:color="auto" w:fill="FFFFFF"/>
        </w:rPr>
        <w:t xml:space="preserve"> per year in </w:t>
      </w:r>
      <w:r w:rsidR="00002964" w:rsidRPr="004B0BC2">
        <w:rPr>
          <w:rFonts w:asciiTheme="minorHAnsi" w:hAnsiTheme="minorHAnsi" w:cstheme="minorHAnsi"/>
          <w:sz w:val="22"/>
          <w:szCs w:val="22"/>
          <w:shd w:val="clear" w:color="auto" w:fill="FFFFFF"/>
        </w:rPr>
        <w:t>women</w:t>
      </w:r>
      <w:r w:rsidR="007D23D7" w:rsidRPr="004B0BC2">
        <w:rPr>
          <w:rFonts w:asciiTheme="minorHAnsi" w:hAnsiTheme="minorHAnsi" w:cstheme="minorHAnsi"/>
          <w:sz w:val="22"/>
          <w:szCs w:val="22"/>
          <w:shd w:val="clear" w:color="auto" w:fill="FFFFFF"/>
        </w:rPr>
        <w:t xml:space="preserve">, </w:t>
      </w:r>
      <w:r w:rsidR="00002964" w:rsidRPr="004B0BC2">
        <w:rPr>
          <w:rFonts w:asciiTheme="minorHAnsi" w:hAnsiTheme="minorHAnsi" w:cstheme="minorHAnsi"/>
          <w:sz w:val="22"/>
          <w:szCs w:val="22"/>
          <w:shd w:val="clear" w:color="auto" w:fill="FFFFFF"/>
        </w:rPr>
        <w:t>p&lt;0.0001</w:t>
      </w:r>
      <w:r w:rsidR="00A0026B" w:rsidRPr="004B0BC2">
        <w:rPr>
          <w:rFonts w:asciiTheme="minorHAnsi" w:hAnsiTheme="minorHAnsi" w:cstheme="minorHAnsi"/>
          <w:sz w:val="22"/>
          <w:szCs w:val="22"/>
          <w:shd w:val="clear" w:color="auto" w:fill="FFFFFF"/>
        </w:rPr>
        <w:t>)</w:t>
      </w:r>
      <w:r w:rsidR="00134517" w:rsidRPr="004B0BC2">
        <w:rPr>
          <w:rFonts w:asciiTheme="minorHAnsi" w:hAnsiTheme="minorHAnsi" w:cstheme="minorHAnsi"/>
          <w:spacing w:val="2"/>
          <w:sz w:val="22"/>
          <w:szCs w:val="22"/>
          <w:shd w:val="clear" w:color="auto" w:fill="FCFCFC"/>
        </w:rPr>
        <w:t>.</w:t>
      </w:r>
      <w:r w:rsidR="00A0026B" w:rsidRPr="004B0BC2">
        <w:rPr>
          <w:rFonts w:asciiTheme="minorHAnsi" w:hAnsiTheme="minorHAnsi" w:cstheme="minorHAnsi"/>
          <w:spacing w:val="2"/>
          <w:sz w:val="22"/>
          <w:szCs w:val="22"/>
          <w:shd w:val="clear" w:color="auto" w:fill="FCFCFC"/>
        </w:rPr>
        <w:t xml:space="preserve"> </w:t>
      </w:r>
    </w:p>
    <w:p w14:paraId="2D33F653" w14:textId="6C0835EC" w:rsidR="0036238B" w:rsidRPr="00500FBD" w:rsidRDefault="00134517" w:rsidP="00B66369">
      <w:pPr>
        <w:spacing w:line="480" w:lineRule="auto"/>
        <w:rPr>
          <w:rFonts w:asciiTheme="minorHAnsi" w:hAnsiTheme="minorHAnsi" w:cstheme="minorHAnsi"/>
          <w:sz w:val="22"/>
          <w:szCs w:val="22"/>
          <w:shd w:val="clear" w:color="auto" w:fill="FFFFFF" w:themeFill="background1"/>
        </w:rPr>
      </w:pPr>
      <w:r w:rsidRPr="004B0BC2">
        <w:rPr>
          <w:rFonts w:asciiTheme="minorHAnsi" w:hAnsiTheme="minorHAnsi" w:cstheme="minorHAnsi"/>
          <w:spacing w:val="2"/>
          <w:sz w:val="22"/>
          <w:szCs w:val="22"/>
          <w:shd w:val="clear" w:color="auto" w:fill="FCFCFC"/>
        </w:rPr>
        <w:t xml:space="preserve">The cause </w:t>
      </w:r>
      <w:r w:rsidR="009860AE">
        <w:rPr>
          <w:rFonts w:asciiTheme="minorHAnsi" w:hAnsiTheme="minorHAnsi" w:cstheme="minorHAnsi"/>
          <w:spacing w:val="2"/>
          <w:sz w:val="22"/>
          <w:szCs w:val="22"/>
          <w:shd w:val="clear" w:color="auto" w:fill="FCFCFC"/>
        </w:rPr>
        <w:t>of</w:t>
      </w:r>
      <w:r w:rsidRPr="004B0BC2">
        <w:rPr>
          <w:rFonts w:asciiTheme="minorHAnsi" w:hAnsiTheme="minorHAnsi" w:cstheme="minorHAnsi"/>
          <w:spacing w:val="2"/>
          <w:sz w:val="22"/>
          <w:szCs w:val="22"/>
          <w:shd w:val="clear" w:color="auto" w:fill="FCFCFC"/>
        </w:rPr>
        <w:t xml:space="preserve"> </w:t>
      </w:r>
      <w:r w:rsidR="00002964" w:rsidRPr="004B0BC2">
        <w:rPr>
          <w:rFonts w:asciiTheme="minorHAnsi" w:hAnsiTheme="minorHAnsi" w:cstheme="minorHAnsi"/>
          <w:spacing w:val="2"/>
          <w:sz w:val="22"/>
          <w:szCs w:val="22"/>
          <w:shd w:val="clear" w:color="auto" w:fill="FCFCFC"/>
        </w:rPr>
        <w:t>these sex discrepancies in diabetes have been speculated to be related to</w:t>
      </w:r>
      <w:r w:rsidR="005A0F83" w:rsidRPr="004B0BC2">
        <w:rPr>
          <w:rFonts w:asciiTheme="minorHAnsi" w:hAnsiTheme="minorHAnsi" w:cstheme="minorHAnsi"/>
          <w:spacing w:val="2"/>
          <w:sz w:val="22"/>
          <w:szCs w:val="22"/>
          <w:shd w:val="clear" w:color="auto" w:fill="FCFCFC"/>
        </w:rPr>
        <w:t xml:space="preserve"> sex differences in insulin sensitivity and fat distribution.</w:t>
      </w:r>
      <w:r w:rsidR="004006FB" w:rsidRPr="004B0BC2">
        <w:rPr>
          <w:rFonts w:asciiTheme="minorHAnsi" w:hAnsiTheme="minorHAnsi" w:cstheme="minorHAnsi"/>
          <w:spacing w:val="2"/>
          <w:sz w:val="22"/>
          <w:szCs w:val="22"/>
          <w:shd w:val="clear" w:color="auto" w:fill="FCFCFC"/>
        </w:rPr>
        <w:t xml:space="preserve"> MRI</w:t>
      </w:r>
      <w:r w:rsidR="00C62CA3">
        <w:rPr>
          <w:rFonts w:asciiTheme="minorHAnsi" w:hAnsiTheme="minorHAnsi" w:cstheme="minorHAnsi"/>
          <w:spacing w:val="2"/>
          <w:sz w:val="22"/>
          <w:szCs w:val="22"/>
          <w:shd w:val="clear" w:color="auto" w:fill="FCFCFC"/>
        </w:rPr>
        <w:t>-based</w:t>
      </w:r>
      <w:r w:rsidR="004006FB" w:rsidRPr="004B0BC2">
        <w:rPr>
          <w:rFonts w:asciiTheme="minorHAnsi" w:hAnsiTheme="minorHAnsi" w:cstheme="minorHAnsi"/>
          <w:spacing w:val="2"/>
          <w:sz w:val="22"/>
          <w:szCs w:val="22"/>
          <w:shd w:val="clear" w:color="auto" w:fill="FCFCFC"/>
        </w:rPr>
        <w:t xml:space="preserve"> compar</w:t>
      </w:r>
      <w:r w:rsidR="00C62CA3">
        <w:rPr>
          <w:rFonts w:asciiTheme="minorHAnsi" w:hAnsiTheme="minorHAnsi" w:cstheme="minorHAnsi"/>
          <w:spacing w:val="2"/>
          <w:sz w:val="22"/>
          <w:szCs w:val="22"/>
          <w:shd w:val="clear" w:color="auto" w:fill="FCFCFC"/>
        </w:rPr>
        <w:t>ison of</w:t>
      </w:r>
      <w:r w:rsidR="004006FB" w:rsidRPr="004B0BC2">
        <w:rPr>
          <w:rFonts w:asciiTheme="minorHAnsi" w:hAnsiTheme="minorHAnsi" w:cstheme="minorHAnsi"/>
          <w:spacing w:val="2"/>
          <w:sz w:val="22"/>
          <w:szCs w:val="22"/>
          <w:shd w:val="clear" w:color="auto" w:fill="FCFCFC"/>
        </w:rPr>
        <w:t xml:space="preserve"> visceral</w:t>
      </w:r>
      <w:r w:rsidR="001301C2" w:rsidRPr="004B0BC2">
        <w:rPr>
          <w:rFonts w:asciiTheme="minorHAnsi" w:hAnsiTheme="minorHAnsi" w:cstheme="minorHAnsi"/>
          <w:spacing w:val="2"/>
          <w:sz w:val="22"/>
          <w:szCs w:val="22"/>
          <w:shd w:val="clear" w:color="auto" w:fill="FCFCFC"/>
        </w:rPr>
        <w:t xml:space="preserve"> and subcu</w:t>
      </w:r>
      <w:r w:rsidR="00CA5427" w:rsidRPr="004B0BC2">
        <w:rPr>
          <w:rFonts w:asciiTheme="minorHAnsi" w:hAnsiTheme="minorHAnsi" w:cstheme="minorHAnsi"/>
          <w:spacing w:val="2"/>
          <w:sz w:val="22"/>
          <w:szCs w:val="22"/>
          <w:shd w:val="clear" w:color="auto" w:fill="FCFCFC"/>
        </w:rPr>
        <w:t>t</w:t>
      </w:r>
      <w:r w:rsidR="001301C2" w:rsidRPr="004B0BC2">
        <w:rPr>
          <w:rFonts w:asciiTheme="minorHAnsi" w:hAnsiTheme="minorHAnsi" w:cstheme="minorHAnsi"/>
          <w:spacing w:val="2"/>
          <w:sz w:val="22"/>
          <w:szCs w:val="22"/>
          <w:shd w:val="clear" w:color="auto" w:fill="FCFCFC"/>
        </w:rPr>
        <w:t>an</w:t>
      </w:r>
      <w:r w:rsidR="00CA5427" w:rsidRPr="004B0BC2">
        <w:rPr>
          <w:rFonts w:asciiTheme="minorHAnsi" w:hAnsiTheme="minorHAnsi" w:cstheme="minorHAnsi"/>
          <w:spacing w:val="2"/>
          <w:sz w:val="22"/>
          <w:szCs w:val="22"/>
          <w:shd w:val="clear" w:color="auto" w:fill="FCFCFC"/>
        </w:rPr>
        <w:t>e</w:t>
      </w:r>
      <w:r w:rsidR="001301C2" w:rsidRPr="004B0BC2">
        <w:rPr>
          <w:rFonts w:asciiTheme="minorHAnsi" w:hAnsiTheme="minorHAnsi" w:cstheme="minorHAnsi"/>
          <w:spacing w:val="2"/>
          <w:sz w:val="22"/>
          <w:szCs w:val="22"/>
          <w:shd w:val="clear" w:color="auto" w:fill="FCFCFC"/>
        </w:rPr>
        <w:t>ous</w:t>
      </w:r>
      <w:r w:rsidR="004006FB" w:rsidRPr="004B0BC2">
        <w:rPr>
          <w:rFonts w:asciiTheme="minorHAnsi" w:hAnsiTheme="minorHAnsi" w:cstheme="minorHAnsi"/>
          <w:spacing w:val="2"/>
          <w:sz w:val="22"/>
          <w:szCs w:val="22"/>
          <w:shd w:val="clear" w:color="auto" w:fill="FCFCFC"/>
        </w:rPr>
        <w:t xml:space="preserve"> adipose tissue</w:t>
      </w:r>
      <w:r w:rsidR="001301C2" w:rsidRPr="004B0BC2">
        <w:rPr>
          <w:rFonts w:asciiTheme="minorHAnsi" w:hAnsiTheme="minorHAnsi" w:cstheme="minorHAnsi"/>
          <w:spacing w:val="2"/>
          <w:sz w:val="22"/>
          <w:szCs w:val="22"/>
          <w:shd w:val="clear" w:color="auto" w:fill="FCFCFC"/>
        </w:rPr>
        <w:t xml:space="preserve"> in men and women</w:t>
      </w:r>
      <w:r w:rsidR="00C62CA3">
        <w:rPr>
          <w:rFonts w:asciiTheme="minorHAnsi" w:hAnsiTheme="minorHAnsi" w:cstheme="minorHAnsi"/>
          <w:spacing w:val="2"/>
          <w:sz w:val="22"/>
          <w:szCs w:val="22"/>
          <w:shd w:val="clear" w:color="auto" w:fill="FCFCFC"/>
        </w:rPr>
        <w:t xml:space="preserve"> demonstrat</w:t>
      </w:r>
      <w:r w:rsidR="001301C2" w:rsidRPr="004B0BC2">
        <w:rPr>
          <w:rFonts w:asciiTheme="minorHAnsi" w:hAnsiTheme="minorHAnsi" w:cstheme="minorHAnsi"/>
          <w:spacing w:val="2"/>
          <w:sz w:val="22"/>
          <w:szCs w:val="22"/>
          <w:shd w:val="clear" w:color="auto" w:fill="FCFCFC"/>
        </w:rPr>
        <w:t xml:space="preserve">ed a </w:t>
      </w:r>
      <w:r w:rsidR="00CA5427" w:rsidRPr="004B0BC2">
        <w:rPr>
          <w:rFonts w:asciiTheme="minorHAnsi" w:hAnsiTheme="minorHAnsi" w:cstheme="minorHAnsi"/>
          <w:spacing w:val="2"/>
          <w:sz w:val="22"/>
          <w:szCs w:val="22"/>
          <w:shd w:val="clear" w:color="auto" w:fill="FCFCFC"/>
        </w:rPr>
        <w:t>significantly</w:t>
      </w:r>
      <w:r w:rsidR="001301C2" w:rsidRPr="004B0BC2">
        <w:rPr>
          <w:rFonts w:asciiTheme="minorHAnsi" w:hAnsiTheme="minorHAnsi" w:cstheme="minorHAnsi"/>
          <w:spacing w:val="2"/>
          <w:sz w:val="22"/>
          <w:szCs w:val="22"/>
          <w:shd w:val="clear" w:color="auto" w:fill="FCFCFC"/>
        </w:rPr>
        <w:t xml:space="preserve"> hig</w:t>
      </w:r>
      <w:r w:rsidR="00CA5427" w:rsidRPr="004B0BC2">
        <w:rPr>
          <w:rFonts w:asciiTheme="minorHAnsi" w:hAnsiTheme="minorHAnsi" w:cstheme="minorHAnsi"/>
          <w:spacing w:val="2"/>
          <w:sz w:val="22"/>
          <w:szCs w:val="22"/>
          <w:shd w:val="clear" w:color="auto" w:fill="FCFCFC"/>
        </w:rPr>
        <w:t>h</w:t>
      </w:r>
      <w:r w:rsidR="001301C2" w:rsidRPr="004B0BC2">
        <w:rPr>
          <w:rFonts w:asciiTheme="minorHAnsi" w:hAnsiTheme="minorHAnsi" w:cstheme="minorHAnsi"/>
          <w:spacing w:val="2"/>
          <w:sz w:val="22"/>
          <w:szCs w:val="22"/>
          <w:shd w:val="clear" w:color="auto" w:fill="FCFCFC"/>
        </w:rPr>
        <w:t>er visceral adipose tissue volume</w:t>
      </w:r>
      <w:r w:rsidR="00F95063" w:rsidRPr="004B0BC2">
        <w:rPr>
          <w:rFonts w:asciiTheme="minorHAnsi" w:hAnsiTheme="minorHAnsi" w:cstheme="minorHAnsi"/>
          <w:spacing w:val="2"/>
          <w:sz w:val="22"/>
          <w:szCs w:val="22"/>
          <w:shd w:val="clear" w:color="auto" w:fill="FCFCFC"/>
        </w:rPr>
        <w:t xml:space="preserve"> </w:t>
      </w:r>
      <w:r w:rsidR="001301C2" w:rsidRPr="004B0BC2">
        <w:rPr>
          <w:rFonts w:asciiTheme="minorHAnsi" w:hAnsiTheme="minorHAnsi" w:cstheme="minorHAnsi"/>
          <w:spacing w:val="2"/>
          <w:sz w:val="22"/>
          <w:szCs w:val="22"/>
          <w:shd w:val="clear" w:color="auto" w:fill="FCFCFC"/>
        </w:rPr>
        <w:t>(</w:t>
      </w:r>
      <w:r w:rsidR="00F95063" w:rsidRPr="004B0BC2">
        <w:rPr>
          <w:rFonts w:asciiTheme="minorHAnsi" w:hAnsiTheme="minorHAnsi" w:cstheme="minorHAnsi"/>
          <w:spacing w:val="2"/>
          <w:sz w:val="22"/>
          <w:szCs w:val="22"/>
          <w:shd w:val="clear" w:color="auto" w:fill="FCFCFC"/>
        </w:rPr>
        <w:t xml:space="preserve">mean </w:t>
      </w:r>
      <w:r w:rsidR="001301C2" w:rsidRPr="004B0BC2">
        <w:rPr>
          <w:rFonts w:asciiTheme="minorHAnsi" w:hAnsiTheme="minorHAnsi" w:cstheme="minorHAnsi"/>
          <w:spacing w:val="2"/>
          <w:sz w:val="22"/>
          <w:szCs w:val="22"/>
          <w:shd w:val="clear" w:color="auto" w:fill="FCFCFC"/>
        </w:rPr>
        <w:t>litres</w:t>
      </w:r>
      <w:r w:rsidR="007D457B" w:rsidRPr="004B0BC2">
        <w:rPr>
          <w:rFonts w:asciiTheme="minorHAnsi" w:hAnsiTheme="minorHAnsi" w:cstheme="minorHAnsi"/>
          <w:spacing w:val="2"/>
          <w:sz w:val="22"/>
          <w:szCs w:val="22"/>
          <w:shd w:val="clear" w:color="auto" w:fill="FCFCFC"/>
        </w:rPr>
        <w:t xml:space="preserve"> </w:t>
      </w:r>
      <w:r w:rsidR="00F95063" w:rsidRPr="004B0BC2">
        <w:rPr>
          <w:rFonts w:asciiTheme="minorHAnsi" w:hAnsiTheme="minorHAnsi" w:cstheme="minorHAnsi"/>
          <w:spacing w:val="2"/>
          <w:sz w:val="22"/>
          <w:szCs w:val="22"/>
          <w:shd w:val="clear" w:color="auto" w:fill="FCFCFC"/>
        </w:rPr>
        <w:t>+/- standard deviation</w:t>
      </w:r>
      <w:r w:rsidR="001301C2" w:rsidRPr="004B0BC2">
        <w:rPr>
          <w:rFonts w:asciiTheme="minorHAnsi" w:hAnsiTheme="minorHAnsi" w:cstheme="minorHAnsi"/>
          <w:spacing w:val="2"/>
          <w:sz w:val="22"/>
          <w:szCs w:val="22"/>
          <w:shd w:val="clear" w:color="auto" w:fill="FCFCFC"/>
        </w:rPr>
        <w:t xml:space="preserve">) in men </w:t>
      </w:r>
      <w:r w:rsidR="00C62CA3">
        <w:rPr>
          <w:rFonts w:asciiTheme="minorHAnsi" w:hAnsiTheme="minorHAnsi" w:cstheme="minorHAnsi"/>
          <w:spacing w:val="2"/>
          <w:sz w:val="22"/>
          <w:szCs w:val="22"/>
          <w:shd w:val="clear" w:color="auto" w:fill="FCFCFC"/>
        </w:rPr>
        <w:t xml:space="preserve">than </w:t>
      </w:r>
      <w:r w:rsidR="001301C2" w:rsidRPr="004B0BC2">
        <w:rPr>
          <w:rFonts w:asciiTheme="minorHAnsi" w:hAnsiTheme="minorHAnsi" w:cstheme="minorHAnsi"/>
          <w:spacing w:val="2"/>
          <w:sz w:val="22"/>
          <w:szCs w:val="22"/>
          <w:shd w:val="clear" w:color="auto" w:fill="FCFCFC"/>
        </w:rPr>
        <w:t xml:space="preserve">women in both </w:t>
      </w:r>
      <w:r w:rsidR="00C62CA3">
        <w:rPr>
          <w:rFonts w:asciiTheme="minorHAnsi" w:hAnsiTheme="minorHAnsi" w:cstheme="minorHAnsi"/>
          <w:spacing w:val="2"/>
          <w:sz w:val="22"/>
          <w:szCs w:val="22"/>
          <w:shd w:val="clear" w:color="auto" w:fill="FCFCFC"/>
        </w:rPr>
        <w:t>w</w:t>
      </w:r>
      <w:r w:rsidR="00202D76" w:rsidRPr="004B0BC2">
        <w:rPr>
          <w:rFonts w:asciiTheme="minorHAnsi" w:hAnsiTheme="minorHAnsi" w:cstheme="minorHAnsi"/>
          <w:spacing w:val="2"/>
          <w:sz w:val="22"/>
          <w:szCs w:val="22"/>
          <w:shd w:val="clear" w:color="auto" w:fill="FCFCFC"/>
        </w:rPr>
        <w:t xml:space="preserve">hite </w:t>
      </w:r>
      <w:r w:rsidR="001301C2" w:rsidRPr="004B0BC2">
        <w:rPr>
          <w:rFonts w:asciiTheme="minorHAnsi" w:hAnsiTheme="minorHAnsi" w:cstheme="minorHAnsi"/>
          <w:spacing w:val="2"/>
          <w:sz w:val="22"/>
          <w:szCs w:val="22"/>
          <w:shd w:val="clear" w:color="auto" w:fill="FCFCFC"/>
        </w:rPr>
        <w:lastRenderedPageBreak/>
        <w:t>(3.40+/-2.12 v</w:t>
      </w:r>
      <w:r w:rsidR="009D7862">
        <w:rPr>
          <w:rFonts w:asciiTheme="minorHAnsi" w:hAnsiTheme="minorHAnsi" w:cstheme="minorHAnsi"/>
          <w:spacing w:val="2"/>
          <w:sz w:val="22"/>
          <w:szCs w:val="22"/>
          <w:shd w:val="clear" w:color="auto" w:fill="FCFCFC"/>
        </w:rPr>
        <w:t>ersu</w:t>
      </w:r>
      <w:r w:rsidR="001301C2" w:rsidRPr="004B0BC2">
        <w:rPr>
          <w:rFonts w:asciiTheme="minorHAnsi" w:hAnsiTheme="minorHAnsi" w:cstheme="minorHAnsi"/>
          <w:spacing w:val="2"/>
          <w:sz w:val="22"/>
          <w:szCs w:val="22"/>
          <w:shd w:val="clear" w:color="auto" w:fill="FCFCFC"/>
        </w:rPr>
        <w:t xml:space="preserve">s </w:t>
      </w:r>
      <w:r w:rsidR="001301C2" w:rsidRPr="004B0BC2">
        <w:rPr>
          <w:rFonts w:asciiTheme="minorHAnsi" w:hAnsiTheme="minorHAnsi" w:cstheme="minorHAnsi"/>
          <w:sz w:val="22"/>
          <w:szCs w:val="22"/>
        </w:rPr>
        <w:t>1.69 ± 1.24</w:t>
      </w:r>
      <w:r w:rsidR="00F95063" w:rsidRPr="004B0BC2">
        <w:rPr>
          <w:rFonts w:asciiTheme="minorHAnsi" w:hAnsiTheme="minorHAnsi" w:cstheme="minorHAnsi"/>
          <w:sz w:val="22"/>
          <w:szCs w:val="22"/>
        </w:rPr>
        <w:t>,</w:t>
      </w:r>
      <w:r w:rsidR="001301C2" w:rsidRPr="004B0BC2">
        <w:rPr>
          <w:rFonts w:asciiTheme="minorHAnsi" w:hAnsiTheme="minorHAnsi" w:cstheme="minorHAnsi"/>
          <w:sz w:val="22"/>
          <w:szCs w:val="22"/>
        </w:rPr>
        <w:t xml:space="preserve"> p&lt;0.05) </w:t>
      </w:r>
      <w:r w:rsidR="001301C2" w:rsidRPr="004B0BC2">
        <w:rPr>
          <w:rFonts w:asciiTheme="minorHAnsi" w:hAnsiTheme="minorHAnsi" w:cstheme="minorHAnsi"/>
          <w:spacing w:val="2"/>
          <w:sz w:val="22"/>
          <w:szCs w:val="22"/>
          <w:shd w:val="clear" w:color="auto" w:fill="FCFCFC"/>
        </w:rPr>
        <w:t>and African-American (2.48+/- 1.66 vs 1.72 +/- 1.03</w:t>
      </w:r>
      <w:r w:rsidR="00F95063" w:rsidRPr="004B0BC2">
        <w:rPr>
          <w:rFonts w:asciiTheme="minorHAnsi" w:hAnsiTheme="minorHAnsi" w:cstheme="minorHAnsi"/>
          <w:spacing w:val="2"/>
          <w:sz w:val="22"/>
          <w:szCs w:val="22"/>
          <w:shd w:val="clear" w:color="auto" w:fill="FCFCFC"/>
        </w:rPr>
        <w:t>,</w:t>
      </w:r>
      <w:r w:rsidR="001301C2" w:rsidRPr="004B0BC2">
        <w:rPr>
          <w:rFonts w:asciiTheme="minorHAnsi" w:hAnsiTheme="minorHAnsi" w:cstheme="minorHAnsi"/>
          <w:spacing w:val="2"/>
          <w:sz w:val="22"/>
          <w:szCs w:val="22"/>
          <w:shd w:val="clear" w:color="auto" w:fill="FCFCFC"/>
        </w:rPr>
        <w:t xml:space="preserve"> </w:t>
      </w:r>
      <w:r w:rsidR="007D457B" w:rsidRPr="004B0BC2">
        <w:rPr>
          <w:rFonts w:asciiTheme="minorHAnsi" w:hAnsiTheme="minorHAnsi" w:cstheme="minorHAnsi"/>
          <w:spacing w:val="2"/>
          <w:sz w:val="22"/>
          <w:szCs w:val="22"/>
          <w:shd w:val="clear" w:color="auto" w:fill="FCFCFC"/>
        </w:rPr>
        <w:t>p</w:t>
      </w:r>
      <w:r w:rsidR="001301C2" w:rsidRPr="004B0BC2">
        <w:rPr>
          <w:rFonts w:asciiTheme="minorHAnsi" w:hAnsiTheme="minorHAnsi" w:cstheme="minorHAnsi"/>
          <w:spacing w:val="2"/>
          <w:sz w:val="22"/>
          <w:szCs w:val="22"/>
          <w:shd w:val="clear" w:color="auto" w:fill="FCFCFC"/>
        </w:rPr>
        <w:t xml:space="preserve">&lt;0.05) </w:t>
      </w:r>
      <w:r w:rsidR="00202D76" w:rsidRPr="004B0BC2">
        <w:rPr>
          <w:rFonts w:asciiTheme="minorHAnsi" w:hAnsiTheme="minorHAnsi" w:cstheme="minorHAnsi"/>
          <w:spacing w:val="2"/>
          <w:sz w:val="22"/>
          <w:szCs w:val="22"/>
          <w:shd w:val="clear" w:color="auto" w:fill="FCFCFC"/>
        </w:rPr>
        <w:t>cohorts</w:t>
      </w:r>
      <w:r w:rsidR="00C62CA3" w:rsidRPr="004B0BC2">
        <w:rPr>
          <w:rFonts w:asciiTheme="minorHAnsi" w:hAnsiTheme="minorHAnsi" w:cstheme="minorHAnsi"/>
          <w:spacing w:val="2"/>
          <w:sz w:val="22"/>
          <w:szCs w:val="22"/>
          <w:shd w:val="clear" w:color="auto" w:fill="FCFCFC"/>
        </w:rPr>
        <w:fldChar w:fldCharType="begin" w:fldLock="1"/>
      </w:r>
      <w:r w:rsidR="00693DD5">
        <w:rPr>
          <w:rFonts w:asciiTheme="minorHAnsi" w:hAnsiTheme="minorHAnsi" w:cstheme="minorHAnsi"/>
          <w:spacing w:val="2"/>
          <w:sz w:val="22"/>
          <w:szCs w:val="22"/>
          <w:shd w:val="clear" w:color="auto" w:fill="FCFCFC"/>
        </w:rPr>
        <w:instrText>ADDIN CSL_CITATION {"citationItems":[{"id":"ITEM-1","itemData":{"DOI":"10.1038/oby.2007.356","ISSN":"19307381","abstract":"Objective: We tested sex, race, and age differences in the patterning of visceral adipose tissue (VAT) and subcutaneous adipose tissue. Research Methods and Procedures: Contiguous 1-cm-thick magnetic resonance (MR) images of the abdomen were collected from 820 African-American and white adults. Repeated-measures ANOVA was used to examine the effects of image location, sex, race, and age (≥50 vs. &lt;50 years) on adipose tissue areas. Maximum VAT area was identified for each subject from the raw data. Results: Compared to women, men had greater total VAT volume (p &lt; 0.0001), and their maximum VAT area occurred higher in the abdomen (p &lt; 0.0001). Among white men, maximim VAT area most frequently occurred 5 to 10 cm above L4-L5, whereas in the other groups, maximim VAT area most frequently occurred 1 to 4 cm above L4-L5 (p &lt; 0.0001). African-American men had greater total VAT volume than African-American women (p &lt; 0.01), but this sex difference was only significant using single images cranial to L4-L5 + 2 cm. Age-related increases in VAT tended to be greatest 5 to 10 cm above L4-L5 in men and near L4-L5 in women. Discussion: A single MR image 5 to 10 cm above L4-L5 may allow more accurate conclusions than the L4-L5 image regarding group differences in visceral adiposity. Copyright © 2007 NAASO.","author":[{"dropping-particle":"","family":"Demerath","given":"Ellen W.","non-dropping-particle":"","parse-names":false,"suffix":""},{"dropping-particle":"","family":"Sun","given":"Shumei S.","non-dropping-particle":"","parse-names":false,"suffix":""},{"dropping-particle":"","family":"Rogers","given":"Nikki","non-dropping-particle":"","parse-names":false,"suffix":""},{"dropping-particle":"","family":"Lee","given":"Miryoung","non-dropping-particle":"","parse-names":false,"suffix":""},{"dropping-particle":"","family":"Reed","given":"Derek","non-dropping-particle":"","parse-names":false,"suffix":""},{"dropping-particle":"","family":"Choh","given":"Audrey C.","non-dropping-particle":"","parse-names":false,"suffix":""},{"dropping-particle":"","family":"Couch","given":"William","non-dropping-particle":"","parse-names":false,"suffix":""},{"dropping-particle":"","family":"Czerwinski","given":"Stefan A.","non-dropping-particle":"","parse-names":false,"suffix":""},{"dropping-particle":"","family":"Cameron Chumlea","given":"W.","non-dropping-particle":"","parse-names":false,"suffix":""},{"dropping-particle":"","family":"Siervogel","given":"Roger M.","non-dropping-particle":"","parse-names":false,"suffix":""},{"dropping-particle":"","family":"Towne","given":"Bradford","non-dropping-particle":"","parse-names":false,"suffix":""}],"container-title":"Obesity","id":"ITEM-1","issue":"12","issued":{"date-parts":[["2007"]]},"page":"2984-2993","title":"Anatomical patterning of visceral adipose tissue: Race, sex, and age variation","type":"article-journal","volume":"15"},"uris":["http://www.mendeley.com/documents/?uuid=7b667de3-7749-46ad-8731-c9f8ccee5e1f"]}],"mendeley":{"formattedCitation":"(49)","plainTextFormattedCitation":"(49)","previouslyFormattedCitation":"(49)"},"properties":{"noteIndex":0},"schema":"https://github.com/citation-style-language/schema/raw/master/csl-citation.json"}</w:instrText>
      </w:r>
      <w:r w:rsidR="00C62CA3" w:rsidRPr="004B0BC2">
        <w:rPr>
          <w:rFonts w:asciiTheme="minorHAnsi" w:hAnsiTheme="minorHAnsi" w:cstheme="minorHAnsi"/>
          <w:spacing w:val="2"/>
          <w:sz w:val="22"/>
          <w:szCs w:val="22"/>
          <w:shd w:val="clear" w:color="auto" w:fill="FCFCFC"/>
        </w:rPr>
        <w:fldChar w:fldCharType="separate"/>
      </w:r>
      <w:r w:rsidR="00693DD5" w:rsidRPr="00693DD5">
        <w:rPr>
          <w:rFonts w:asciiTheme="minorHAnsi" w:hAnsiTheme="minorHAnsi" w:cstheme="minorHAnsi"/>
          <w:noProof/>
          <w:spacing w:val="2"/>
          <w:sz w:val="22"/>
          <w:szCs w:val="22"/>
          <w:shd w:val="clear" w:color="auto" w:fill="FCFCFC"/>
        </w:rPr>
        <w:t>(49)</w:t>
      </w:r>
      <w:r w:rsidR="00C62CA3" w:rsidRPr="004B0BC2">
        <w:rPr>
          <w:rFonts w:asciiTheme="minorHAnsi" w:hAnsiTheme="minorHAnsi" w:cstheme="minorHAnsi"/>
          <w:spacing w:val="2"/>
          <w:sz w:val="22"/>
          <w:szCs w:val="22"/>
          <w:shd w:val="clear" w:color="auto" w:fill="FCFCFC"/>
        </w:rPr>
        <w:fldChar w:fldCharType="end"/>
      </w:r>
      <w:r w:rsidR="001301C2" w:rsidRPr="004B0BC2">
        <w:rPr>
          <w:rFonts w:asciiTheme="minorHAnsi" w:hAnsiTheme="minorHAnsi" w:cstheme="minorHAnsi"/>
          <w:spacing w:val="2"/>
          <w:sz w:val="22"/>
          <w:szCs w:val="22"/>
          <w:shd w:val="clear" w:color="auto" w:fill="FCFCFC"/>
        </w:rPr>
        <w:t>. Furthermore, females were noted to have a higher volume (</w:t>
      </w:r>
      <w:r w:rsidR="00F95063" w:rsidRPr="004B0BC2">
        <w:rPr>
          <w:rFonts w:asciiTheme="minorHAnsi" w:hAnsiTheme="minorHAnsi" w:cstheme="minorHAnsi"/>
          <w:spacing w:val="2"/>
          <w:sz w:val="22"/>
          <w:szCs w:val="22"/>
          <w:shd w:val="clear" w:color="auto" w:fill="FCFCFC"/>
        </w:rPr>
        <w:t>mean litres+/- standard deviation</w:t>
      </w:r>
      <w:r w:rsidR="001301C2" w:rsidRPr="004B0BC2">
        <w:rPr>
          <w:rFonts w:asciiTheme="minorHAnsi" w:hAnsiTheme="minorHAnsi" w:cstheme="minorHAnsi"/>
          <w:spacing w:val="2"/>
          <w:sz w:val="22"/>
          <w:szCs w:val="22"/>
          <w:shd w:val="clear" w:color="auto" w:fill="FCFCFC"/>
        </w:rPr>
        <w:t>) of subcutaneous adipose tissue</w:t>
      </w:r>
      <w:r w:rsidR="00C62CA3">
        <w:rPr>
          <w:rFonts w:asciiTheme="minorHAnsi" w:hAnsiTheme="minorHAnsi" w:cstheme="minorHAnsi"/>
          <w:spacing w:val="2"/>
          <w:sz w:val="22"/>
          <w:szCs w:val="22"/>
          <w:shd w:val="clear" w:color="auto" w:fill="FCFCFC"/>
        </w:rPr>
        <w:t xml:space="preserve"> than men </w:t>
      </w:r>
      <w:r w:rsidR="001301C2" w:rsidRPr="004B0BC2">
        <w:rPr>
          <w:rFonts w:asciiTheme="minorHAnsi" w:hAnsiTheme="minorHAnsi" w:cstheme="minorHAnsi"/>
          <w:spacing w:val="2"/>
          <w:sz w:val="22"/>
          <w:szCs w:val="22"/>
          <w:shd w:val="clear" w:color="auto" w:fill="FCFCFC"/>
        </w:rPr>
        <w:t xml:space="preserve">in both the </w:t>
      </w:r>
      <w:r w:rsidR="00C62CA3">
        <w:rPr>
          <w:rFonts w:asciiTheme="minorHAnsi" w:hAnsiTheme="minorHAnsi" w:cstheme="minorHAnsi"/>
          <w:spacing w:val="2"/>
          <w:sz w:val="22"/>
          <w:szCs w:val="22"/>
          <w:shd w:val="clear" w:color="auto" w:fill="FCFCFC"/>
        </w:rPr>
        <w:t>w</w:t>
      </w:r>
      <w:r w:rsidR="0011499C" w:rsidRPr="004B0BC2">
        <w:rPr>
          <w:rFonts w:asciiTheme="minorHAnsi" w:hAnsiTheme="minorHAnsi" w:cstheme="minorHAnsi"/>
          <w:spacing w:val="2"/>
          <w:sz w:val="22"/>
          <w:szCs w:val="22"/>
          <w:shd w:val="clear" w:color="auto" w:fill="FCFCFC"/>
        </w:rPr>
        <w:t xml:space="preserve">hite </w:t>
      </w:r>
      <w:r w:rsidR="001301C2" w:rsidRPr="004B0BC2">
        <w:rPr>
          <w:rFonts w:asciiTheme="minorHAnsi" w:hAnsiTheme="minorHAnsi" w:cstheme="minorHAnsi"/>
          <w:spacing w:val="2"/>
          <w:sz w:val="22"/>
          <w:szCs w:val="22"/>
          <w:shd w:val="clear" w:color="auto" w:fill="FFFFFF" w:themeFill="background1"/>
        </w:rPr>
        <w:t>(</w:t>
      </w:r>
      <w:r w:rsidR="001301C2" w:rsidRPr="004B0BC2">
        <w:rPr>
          <w:rFonts w:asciiTheme="minorHAnsi" w:hAnsiTheme="minorHAnsi" w:cstheme="minorHAnsi"/>
          <w:sz w:val="22"/>
          <w:szCs w:val="22"/>
          <w:shd w:val="clear" w:color="auto" w:fill="FFFFFF" w:themeFill="background1"/>
        </w:rPr>
        <w:t xml:space="preserve">4.86 ± 2.0 vs 3.92 ± 2.11; </w:t>
      </w:r>
      <w:r w:rsidR="007D457B" w:rsidRPr="004B0BC2">
        <w:rPr>
          <w:rFonts w:asciiTheme="minorHAnsi" w:hAnsiTheme="minorHAnsi" w:cstheme="minorHAnsi"/>
          <w:sz w:val="22"/>
          <w:szCs w:val="22"/>
          <w:shd w:val="clear" w:color="auto" w:fill="FFFFFF" w:themeFill="background1"/>
        </w:rPr>
        <w:t>p</w:t>
      </w:r>
      <w:r w:rsidR="001301C2" w:rsidRPr="004B0BC2">
        <w:rPr>
          <w:rFonts w:asciiTheme="minorHAnsi" w:hAnsiTheme="minorHAnsi" w:cstheme="minorHAnsi"/>
          <w:sz w:val="22"/>
          <w:szCs w:val="22"/>
          <w:shd w:val="clear" w:color="auto" w:fill="FFFFFF" w:themeFill="background1"/>
        </w:rPr>
        <w:t>&lt;0.05)</w:t>
      </w:r>
      <w:r w:rsidR="001301C2" w:rsidRPr="004B0BC2">
        <w:rPr>
          <w:rFonts w:asciiTheme="minorHAnsi" w:hAnsiTheme="minorHAnsi" w:cstheme="minorHAnsi"/>
          <w:sz w:val="22"/>
          <w:szCs w:val="22"/>
          <w:shd w:val="clear" w:color="auto" w:fill="FFFCF0"/>
        </w:rPr>
        <w:t xml:space="preserve"> and </w:t>
      </w:r>
      <w:r w:rsidR="001301C2" w:rsidRPr="004B0BC2">
        <w:rPr>
          <w:rFonts w:asciiTheme="minorHAnsi" w:hAnsiTheme="minorHAnsi" w:cstheme="minorHAnsi"/>
          <w:sz w:val="22"/>
          <w:szCs w:val="22"/>
          <w:shd w:val="clear" w:color="auto" w:fill="FFFFFF" w:themeFill="background1"/>
        </w:rPr>
        <w:t xml:space="preserve">African </w:t>
      </w:r>
      <w:r w:rsidR="00CA5427" w:rsidRPr="004B0BC2">
        <w:rPr>
          <w:rFonts w:asciiTheme="minorHAnsi" w:hAnsiTheme="minorHAnsi" w:cstheme="minorHAnsi"/>
          <w:sz w:val="22"/>
          <w:szCs w:val="22"/>
          <w:shd w:val="clear" w:color="auto" w:fill="FFFFFF" w:themeFill="background1"/>
        </w:rPr>
        <w:t>A</w:t>
      </w:r>
      <w:r w:rsidR="001301C2" w:rsidRPr="004B0BC2">
        <w:rPr>
          <w:rFonts w:asciiTheme="minorHAnsi" w:hAnsiTheme="minorHAnsi" w:cstheme="minorHAnsi"/>
          <w:sz w:val="22"/>
          <w:szCs w:val="22"/>
          <w:shd w:val="clear" w:color="auto" w:fill="FFFFFF" w:themeFill="background1"/>
        </w:rPr>
        <w:t xml:space="preserve">merican (6.58 ± 3.42 vs 3.92 ± 2.40; p&lt;0.05) </w:t>
      </w:r>
      <w:r w:rsidR="00C62CA3">
        <w:rPr>
          <w:rFonts w:asciiTheme="minorHAnsi" w:hAnsiTheme="minorHAnsi" w:cstheme="minorHAnsi"/>
          <w:sz w:val="22"/>
          <w:szCs w:val="22"/>
          <w:shd w:val="clear" w:color="auto" w:fill="FFFFFF" w:themeFill="background1"/>
        </w:rPr>
        <w:t>cohorts</w:t>
      </w:r>
      <w:r w:rsidR="00C62CA3" w:rsidRPr="004B0BC2">
        <w:rPr>
          <w:rFonts w:asciiTheme="minorHAnsi" w:hAnsiTheme="minorHAnsi" w:cstheme="minorHAnsi"/>
          <w:spacing w:val="2"/>
          <w:sz w:val="22"/>
          <w:szCs w:val="22"/>
          <w:shd w:val="clear" w:color="auto" w:fill="FCFCFC"/>
        </w:rPr>
        <w:fldChar w:fldCharType="begin" w:fldLock="1"/>
      </w:r>
      <w:r w:rsidR="00693DD5">
        <w:rPr>
          <w:rFonts w:asciiTheme="minorHAnsi" w:hAnsiTheme="minorHAnsi" w:cstheme="minorHAnsi"/>
          <w:spacing w:val="2"/>
          <w:sz w:val="22"/>
          <w:szCs w:val="22"/>
          <w:shd w:val="clear" w:color="auto" w:fill="FCFCFC"/>
        </w:rPr>
        <w:instrText>ADDIN CSL_CITATION {"citationItems":[{"id":"ITEM-1","itemData":{"DOI":"10.1038/oby.2007.356","ISSN":"19307381","abstract":"Objective: We tested sex, race, and age differences in the patterning of visceral adipose tissue (VAT) and subcutaneous adipose tissue. Research Methods and Procedures: Contiguous 1-cm-thick magnetic resonance (MR) images of the abdomen were collected from 820 African-American and white adults. Repeated-measures ANOVA was used to examine the effects of image location, sex, race, and age (≥50 vs. &lt;50 years) on adipose tissue areas. Maximum VAT area was identified for each subject from the raw data. Results: Compared to women, men had greater total VAT volume (p &lt; 0.0001), and their maximum VAT area occurred higher in the abdomen (p &lt; 0.0001). Among white men, maximim VAT area most frequently occurred 5 to 10 cm above L4-L5, whereas in the other groups, maximim VAT area most frequently occurred 1 to 4 cm above L4-L5 (p &lt; 0.0001). African-American men had greater total VAT volume than African-American women (p &lt; 0.01), but this sex difference was only significant using single images cranial to L4-L5 + 2 cm. Age-related increases in VAT tended to be greatest 5 to 10 cm above L4-L5 in men and near L4-L5 in women. Discussion: A single MR image 5 to 10 cm above L4-L5 may allow more accurate conclusions than the L4-L5 image regarding group differences in visceral adiposity. Copyright © 2007 NAASO.","author":[{"dropping-particle":"","family":"Demerath","given":"Ellen W.","non-dropping-particle":"","parse-names":false,"suffix":""},{"dropping-particle":"","family":"Sun","given":"Shumei S.","non-dropping-particle":"","parse-names":false,"suffix":""},{"dropping-particle":"","family":"Rogers","given":"Nikki","non-dropping-particle":"","parse-names":false,"suffix":""},{"dropping-particle":"","family":"Lee","given":"Miryoung","non-dropping-particle":"","parse-names":false,"suffix":""},{"dropping-particle":"","family":"Reed","given":"Derek","non-dropping-particle":"","parse-names":false,"suffix":""},{"dropping-particle":"","family":"Choh","given":"Audrey C.","non-dropping-particle":"","parse-names":false,"suffix":""},{"dropping-particle":"","family":"Couch","given":"William","non-dropping-particle":"","parse-names":false,"suffix":""},{"dropping-particle":"","family":"Czerwinski","given":"Stefan A.","non-dropping-particle":"","parse-names":false,"suffix":""},{"dropping-particle":"","family":"Cameron Chumlea","given":"W.","non-dropping-particle":"","parse-names":false,"suffix":""},{"dropping-particle":"","family":"Siervogel","given":"Roger M.","non-dropping-particle":"","parse-names":false,"suffix":""},{"dropping-particle":"","family":"Towne","given":"Bradford","non-dropping-particle":"","parse-names":false,"suffix":""}],"container-title":"Obesity","id":"ITEM-1","issue":"12","issued":{"date-parts":[["2007"]]},"page":"2984-2993","title":"Anatomical patterning of visceral adipose tissue: Race, sex, and age variation","type":"article-journal","volume":"15"},"uris":["http://www.mendeley.com/documents/?uuid=7b667de3-7749-46ad-8731-c9f8ccee5e1f"]}],"mendeley":{"formattedCitation":"(49)","plainTextFormattedCitation":"(49)","previouslyFormattedCitation":"(49)"},"properties":{"noteIndex":0},"schema":"https://github.com/citation-style-language/schema/raw/master/csl-citation.json"}</w:instrText>
      </w:r>
      <w:r w:rsidR="00C62CA3" w:rsidRPr="004B0BC2">
        <w:rPr>
          <w:rFonts w:asciiTheme="minorHAnsi" w:hAnsiTheme="minorHAnsi" w:cstheme="minorHAnsi"/>
          <w:spacing w:val="2"/>
          <w:sz w:val="22"/>
          <w:szCs w:val="22"/>
          <w:shd w:val="clear" w:color="auto" w:fill="FCFCFC"/>
        </w:rPr>
        <w:fldChar w:fldCharType="separate"/>
      </w:r>
      <w:r w:rsidR="00693DD5" w:rsidRPr="00693DD5">
        <w:rPr>
          <w:rFonts w:asciiTheme="minorHAnsi" w:hAnsiTheme="minorHAnsi" w:cstheme="minorHAnsi"/>
          <w:noProof/>
          <w:spacing w:val="2"/>
          <w:sz w:val="22"/>
          <w:szCs w:val="22"/>
          <w:shd w:val="clear" w:color="auto" w:fill="FCFCFC"/>
        </w:rPr>
        <w:t>(49)</w:t>
      </w:r>
      <w:r w:rsidR="00C62CA3" w:rsidRPr="004B0BC2">
        <w:rPr>
          <w:rFonts w:asciiTheme="minorHAnsi" w:hAnsiTheme="minorHAnsi" w:cstheme="minorHAnsi"/>
          <w:spacing w:val="2"/>
          <w:sz w:val="22"/>
          <w:szCs w:val="22"/>
          <w:shd w:val="clear" w:color="auto" w:fill="FCFCFC"/>
        </w:rPr>
        <w:fldChar w:fldCharType="end"/>
      </w:r>
      <w:r w:rsidR="001301C2" w:rsidRPr="004B0BC2">
        <w:rPr>
          <w:rFonts w:asciiTheme="minorHAnsi" w:hAnsiTheme="minorHAnsi" w:cstheme="minorHAnsi"/>
          <w:sz w:val="22"/>
          <w:szCs w:val="22"/>
          <w:shd w:val="clear" w:color="auto" w:fill="FFFFFF" w:themeFill="background1"/>
        </w:rPr>
        <w:t>.</w:t>
      </w:r>
      <w:r w:rsidR="0057193A" w:rsidRPr="004B0BC2">
        <w:rPr>
          <w:rFonts w:asciiTheme="minorHAnsi" w:hAnsiTheme="minorHAnsi" w:cstheme="minorHAnsi"/>
          <w:sz w:val="22"/>
          <w:szCs w:val="22"/>
          <w:shd w:val="clear" w:color="auto" w:fill="FFFFFF" w:themeFill="background1"/>
        </w:rPr>
        <w:t xml:space="preserve"> These results have been supporte</w:t>
      </w:r>
      <w:r w:rsidR="00EB5077" w:rsidRPr="004B0BC2">
        <w:rPr>
          <w:rFonts w:asciiTheme="minorHAnsi" w:hAnsiTheme="minorHAnsi" w:cstheme="minorHAnsi"/>
          <w:sz w:val="22"/>
          <w:szCs w:val="22"/>
          <w:shd w:val="clear" w:color="auto" w:fill="FFFFFF" w:themeFill="background1"/>
        </w:rPr>
        <w:t xml:space="preserve">d by a </w:t>
      </w:r>
      <w:r w:rsidR="00C62CA3">
        <w:rPr>
          <w:rFonts w:asciiTheme="minorHAnsi" w:hAnsiTheme="minorHAnsi" w:cstheme="minorHAnsi"/>
          <w:sz w:val="22"/>
          <w:szCs w:val="22"/>
          <w:shd w:val="clear" w:color="auto" w:fill="FFFFFF" w:themeFill="background1"/>
        </w:rPr>
        <w:t xml:space="preserve">separate </w:t>
      </w:r>
      <w:r w:rsidR="00EB5077" w:rsidRPr="004B0BC2">
        <w:rPr>
          <w:rFonts w:asciiTheme="minorHAnsi" w:hAnsiTheme="minorHAnsi" w:cstheme="minorHAnsi"/>
          <w:sz w:val="22"/>
          <w:szCs w:val="22"/>
          <w:shd w:val="clear" w:color="auto" w:fill="FFFFFF" w:themeFill="background1"/>
        </w:rPr>
        <w:t xml:space="preserve">study </w:t>
      </w:r>
      <w:r w:rsidR="00C62CA3">
        <w:rPr>
          <w:rFonts w:asciiTheme="minorHAnsi" w:hAnsiTheme="minorHAnsi" w:cstheme="minorHAnsi"/>
          <w:sz w:val="22"/>
          <w:szCs w:val="22"/>
          <w:shd w:val="clear" w:color="auto" w:fill="FFFFFF" w:themeFill="background1"/>
        </w:rPr>
        <w:t>that also</w:t>
      </w:r>
      <w:r w:rsidR="00EB5077" w:rsidRPr="004B0BC2">
        <w:rPr>
          <w:rFonts w:asciiTheme="minorHAnsi" w:hAnsiTheme="minorHAnsi" w:cstheme="minorHAnsi"/>
          <w:sz w:val="22"/>
          <w:szCs w:val="22"/>
          <w:shd w:val="clear" w:color="auto" w:fill="FFFFFF" w:themeFill="background1"/>
        </w:rPr>
        <w:t xml:space="preserve"> </w:t>
      </w:r>
      <w:r w:rsidR="00140997" w:rsidRPr="004B0BC2">
        <w:rPr>
          <w:rFonts w:asciiTheme="minorHAnsi" w:hAnsiTheme="minorHAnsi" w:cstheme="minorHAnsi"/>
          <w:sz w:val="22"/>
          <w:szCs w:val="22"/>
          <w:shd w:val="clear" w:color="auto" w:fill="FFFFFF" w:themeFill="background1"/>
        </w:rPr>
        <w:t>compared adipose tissue distribution in different sexes using</w:t>
      </w:r>
      <w:r w:rsidR="00C62CA3">
        <w:rPr>
          <w:rFonts w:asciiTheme="minorHAnsi" w:hAnsiTheme="minorHAnsi" w:cstheme="minorHAnsi"/>
          <w:sz w:val="22"/>
          <w:szCs w:val="22"/>
          <w:shd w:val="clear" w:color="auto" w:fill="FFFFFF" w:themeFill="background1"/>
        </w:rPr>
        <w:t xml:space="preserve"> MRI, which showed that</w:t>
      </w:r>
      <w:r w:rsidR="00EB5077" w:rsidRPr="004B0BC2">
        <w:rPr>
          <w:rFonts w:asciiTheme="minorHAnsi" w:hAnsiTheme="minorHAnsi" w:cstheme="minorHAnsi"/>
          <w:sz w:val="22"/>
          <w:szCs w:val="22"/>
          <w:shd w:val="clear" w:color="auto" w:fill="FFFFFF" w:themeFill="background1"/>
        </w:rPr>
        <w:t xml:space="preserve"> </w:t>
      </w:r>
      <w:r w:rsidR="00140997" w:rsidRPr="004B0BC2">
        <w:rPr>
          <w:rFonts w:asciiTheme="minorHAnsi" w:hAnsiTheme="minorHAnsi" w:cstheme="minorHAnsi"/>
          <w:sz w:val="22"/>
          <w:szCs w:val="22"/>
          <w:shd w:val="clear" w:color="auto" w:fill="FFFFFF" w:themeFill="background1"/>
        </w:rPr>
        <w:t>women</w:t>
      </w:r>
      <w:r w:rsidR="00EB5077" w:rsidRPr="004B0BC2">
        <w:rPr>
          <w:rFonts w:asciiTheme="minorHAnsi" w:hAnsiTheme="minorHAnsi" w:cstheme="minorHAnsi"/>
          <w:sz w:val="22"/>
          <w:szCs w:val="22"/>
          <w:shd w:val="clear" w:color="auto" w:fill="FFFFFF" w:themeFill="background1"/>
        </w:rPr>
        <w:t xml:space="preserve"> </w:t>
      </w:r>
      <w:r w:rsidR="00EB5077" w:rsidRPr="004B0BC2">
        <w:rPr>
          <w:rFonts w:asciiTheme="minorHAnsi" w:hAnsiTheme="minorHAnsi" w:cstheme="minorHAnsi"/>
          <w:sz w:val="22"/>
          <w:szCs w:val="22"/>
          <w:shd w:val="clear" w:color="auto" w:fill="FFFFFF"/>
        </w:rPr>
        <w:t>had</w:t>
      </w:r>
      <w:r w:rsidR="00CA5427" w:rsidRPr="004B0BC2">
        <w:rPr>
          <w:rFonts w:asciiTheme="minorHAnsi" w:hAnsiTheme="minorHAnsi" w:cstheme="minorHAnsi"/>
          <w:sz w:val="22"/>
          <w:szCs w:val="22"/>
          <w:shd w:val="clear" w:color="auto" w:fill="FFFFFF"/>
        </w:rPr>
        <w:t xml:space="preserve"> a</w:t>
      </w:r>
      <w:r w:rsidR="003C11E1">
        <w:rPr>
          <w:rFonts w:asciiTheme="minorHAnsi" w:hAnsiTheme="minorHAnsi" w:cstheme="minorHAnsi"/>
          <w:sz w:val="22"/>
          <w:szCs w:val="22"/>
          <w:shd w:val="clear" w:color="auto" w:fill="FFFFFF"/>
        </w:rPr>
        <w:t xml:space="preserve"> </w:t>
      </w:r>
      <w:r w:rsidR="00EB5077" w:rsidRPr="004B0BC2">
        <w:rPr>
          <w:rFonts w:asciiTheme="minorHAnsi" w:hAnsiTheme="minorHAnsi" w:cstheme="minorHAnsi"/>
          <w:sz w:val="22"/>
          <w:szCs w:val="22"/>
          <w:shd w:val="clear" w:color="auto" w:fill="FFFFFF"/>
        </w:rPr>
        <w:t>significantly</w:t>
      </w:r>
      <w:r w:rsidR="00140997" w:rsidRPr="004B0BC2">
        <w:rPr>
          <w:rFonts w:asciiTheme="minorHAnsi" w:hAnsiTheme="minorHAnsi" w:cstheme="minorHAnsi"/>
          <w:sz w:val="22"/>
          <w:szCs w:val="22"/>
          <w:shd w:val="clear" w:color="auto" w:fill="FFFFFF"/>
        </w:rPr>
        <w:t xml:space="preserve"> higher</w:t>
      </w:r>
      <w:r w:rsidR="00EB5077" w:rsidRPr="004B0BC2">
        <w:rPr>
          <w:rFonts w:asciiTheme="minorHAnsi" w:hAnsiTheme="minorHAnsi" w:cstheme="minorHAnsi"/>
          <w:sz w:val="22"/>
          <w:szCs w:val="22"/>
          <w:shd w:val="clear" w:color="auto" w:fill="FFFFFF"/>
        </w:rPr>
        <w:t xml:space="preserve"> </w:t>
      </w:r>
      <w:r w:rsidR="00140997" w:rsidRPr="004B0BC2">
        <w:rPr>
          <w:rFonts w:asciiTheme="minorHAnsi" w:hAnsiTheme="minorHAnsi" w:cstheme="minorHAnsi"/>
          <w:sz w:val="22"/>
          <w:szCs w:val="22"/>
          <w:shd w:val="clear" w:color="auto" w:fill="FFFFFF"/>
        </w:rPr>
        <w:t>volume (litres) of</w:t>
      </w:r>
      <w:r w:rsidR="00EB5077" w:rsidRPr="004B0BC2">
        <w:rPr>
          <w:rFonts w:asciiTheme="minorHAnsi" w:hAnsiTheme="minorHAnsi" w:cstheme="minorHAnsi"/>
          <w:sz w:val="22"/>
          <w:szCs w:val="22"/>
          <w:shd w:val="clear" w:color="auto" w:fill="FFFFFF"/>
        </w:rPr>
        <w:t xml:space="preserve"> </w:t>
      </w:r>
      <w:r w:rsidR="00140997" w:rsidRPr="004B0BC2">
        <w:rPr>
          <w:rFonts w:asciiTheme="minorHAnsi" w:hAnsiTheme="minorHAnsi" w:cstheme="minorHAnsi"/>
          <w:sz w:val="22"/>
          <w:szCs w:val="22"/>
          <w:shd w:val="clear" w:color="auto" w:fill="FFFFFF"/>
        </w:rPr>
        <w:t>subcutaneous</w:t>
      </w:r>
      <w:r w:rsidR="00C85CA2" w:rsidRPr="004B0BC2">
        <w:rPr>
          <w:rFonts w:asciiTheme="minorHAnsi" w:hAnsiTheme="minorHAnsi" w:cstheme="minorHAnsi"/>
          <w:sz w:val="22"/>
          <w:szCs w:val="22"/>
          <w:shd w:val="clear" w:color="auto" w:fill="FFFFFF"/>
        </w:rPr>
        <w:t xml:space="preserve"> adipose tissue</w:t>
      </w:r>
      <w:r w:rsidR="00EB5077" w:rsidRPr="004B0BC2">
        <w:rPr>
          <w:rFonts w:asciiTheme="minorHAnsi" w:hAnsiTheme="minorHAnsi" w:cstheme="minorHAnsi"/>
          <w:sz w:val="22"/>
          <w:szCs w:val="22"/>
          <w:shd w:val="clear" w:color="auto" w:fill="FFFFFF"/>
        </w:rPr>
        <w:t xml:space="preserve"> </w:t>
      </w:r>
      <w:r w:rsidR="00C62CA3">
        <w:rPr>
          <w:rFonts w:asciiTheme="minorHAnsi" w:hAnsiTheme="minorHAnsi" w:cstheme="minorHAnsi"/>
          <w:sz w:val="22"/>
          <w:szCs w:val="22"/>
          <w:shd w:val="clear" w:color="auto" w:fill="FFFFFF"/>
        </w:rPr>
        <w:t xml:space="preserve">than men </w:t>
      </w:r>
      <w:r w:rsidR="00EB5077" w:rsidRPr="004B0BC2">
        <w:rPr>
          <w:rFonts w:asciiTheme="minorHAnsi" w:hAnsiTheme="minorHAnsi" w:cstheme="minorHAnsi"/>
          <w:sz w:val="22"/>
          <w:szCs w:val="22"/>
          <w:shd w:val="clear" w:color="auto" w:fill="FFFFFF"/>
        </w:rPr>
        <w:t>(39.6 +/- 11.6 v</w:t>
      </w:r>
      <w:r w:rsidR="00C62CA3">
        <w:rPr>
          <w:rFonts w:asciiTheme="minorHAnsi" w:hAnsiTheme="minorHAnsi" w:cstheme="minorHAnsi"/>
          <w:sz w:val="22"/>
          <w:szCs w:val="22"/>
          <w:shd w:val="clear" w:color="auto" w:fill="FFFFFF"/>
        </w:rPr>
        <w:t>ersu</w:t>
      </w:r>
      <w:r w:rsidR="00EB5077" w:rsidRPr="004B0BC2">
        <w:rPr>
          <w:rFonts w:asciiTheme="minorHAnsi" w:hAnsiTheme="minorHAnsi" w:cstheme="minorHAnsi"/>
          <w:sz w:val="22"/>
          <w:szCs w:val="22"/>
          <w:shd w:val="clear" w:color="auto" w:fill="FFFFFF"/>
        </w:rPr>
        <w:t>s 30.7 +/- 7.5</w:t>
      </w:r>
      <w:r w:rsidR="00140997" w:rsidRPr="004B0BC2">
        <w:rPr>
          <w:rFonts w:asciiTheme="minorHAnsi" w:hAnsiTheme="minorHAnsi" w:cstheme="minorHAnsi"/>
          <w:sz w:val="22"/>
          <w:szCs w:val="22"/>
          <w:shd w:val="clear" w:color="auto" w:fill="FFFFFF"/>
        </w:rPr>
        <w:t xml:space="preserve">, </w:t>
      </w:r>
      <w:r w:rsidR="007D457B" w:rsidRPr="004B0BC2">
        <w:rPr>
          <w:rFonts w:asciiTheme="minorHAnsi" w:hAnsiTheme="minorHAnsi" w:cstheme="minorHAnsi"/>
          <w:sz w:val="22"/>
          <w:szCs w:val="22"/>
          <w:shd w:val="clear" w:color="auto" w:fill="FFFFFF"/>
        </w:rPr>
        <w:t>p</w:t>
      </w:r>
      <w:r w:rsidR="00140997" w:rsidRPr="004B0BC2">
        <w:rPr>
          <w:rFonts w:asciiTheme="minorHAnsi" w:hAnsiTheme="minorHAnsi" w:cstheme="minorHAnsi"/>
          <w:sz w:val="22"/>
          <w:szCs w:val="22"/>
          <w:shd w:val="clear" w:color="auto" w:fill="FFFFFF"/>
        </w:rPr>
        <w:t>&lt;0.01)</w:t>
      </w:r>
      <w:r w:rsidR="00EB5077" w:rsidRPr="004B0BC2">
        <w:rPr>
          <w:rFonts w:asciiTheme="minorHAnsi" w:hAnsiTheme="minorHAnsi" w:cstheme="minorHAnsi"/>
          <w:sz w:val="22"/>
          <w:szCs w:val="22"/>
          <w:shd w:val="clear" w:color="auto" w:fill="FFFFFF"/>
        </w:rPr>
        <w:t xml:space="preserve">) but significantly </w:t>
      </w:r>
      <w:r w:rsidR="00140997" w:rsidRPr="004B0BC2">
        <w:rPr>
          <w:rFonts w:asciiTheme="minorHAnsi" w:hAnsiTheme="minorHAnsi" w:cstheme="minorHAnsi"/>
          <w:sz w:val="22"/>
          <w:szCs w:val="22"/>
          <w:shd w:val="clear" w:color="auto" w:fill="FFFFFF"/>
        </w:rPr>
        <w:t>lower volume</w:t>
      </w:r>
      <w:r w:rsidR="00C62CA3">
        <w:rPr>
          <w:rFonts w:asciiTheme="minorHAnsi" w:hAnsiTheme="minorHAnsi" w:cstheme="minorHAnsi"/>
          <w:sz w:val="22"/>
          <w:szCs w:val="22"/>
          <w:shd w:val="clear" w:color="auto" w:fill="FFFFFF"/>
        </w:rPr>
        <w:t>s</w:t>
      </w:r>
      <w:r w:rsidR="00140997" w:rsidRPr="004B0BC2">
        <w:rPr>
          <w:rFonts w:asciiTheme="minorHAnsi" w:hAnsiTheme="minorHAnsi" w:cstheme="minorHAnsi"/>
          <w:sz w:val="22"/>
          <w:szCs w:val="22"/>
          <w:shd w:val="clear" w:color="auto" w:fill="FFFFFF"/>
        </w:rPr>
        <w:t xml:space="preserve"> of</w:t>
      </w:r>
      <w:r w:rsidR="00EB5077" w:rsidRPr="004B0BC2">
        <w:rPr>
          <w:rFonts w:asciiTheme="minorHAnsi" w:hAnsiTheme="minorHAnsi" w:cstheme="minorHAnsi"/>
          <w:sz w:val="22"/>
          <w:szCs w:val="22"/>
          <w:shd w:val="clear" w:color="auto" w:fill="FFFFFF"/>
        </w:rPr>
        <w:t xml:space="preserve"> visceral </w:t>
      </w:r>
      <w:r w:rsidR="00C85CA2" w:rsidRPr="004B0BC2">
        <w:rPr>
          <w:rFonts w:asciiTheme="minorHAnsi" w:hAnsiTheme="minorHAnsi" w:cstheme="minorHAnsi"/>
          <w:sz w:val="22"/>
          <w:szCs w:val="22"/>
          <w:shd w:val="clear" w:color="auto" w:fill="FFFFFF"/>
        </w:rPr>
        <w:t>adipose tissue</w:t>
      </w:r>
      <w:r w:rsidR="00EB5077" w:rsidRPr="004B0BC2">
        <w:rPr>
          <w:rFonts w:asciiTheme="minorHAnsi" w:hAnsiTheme="minorHAnsi" w:cstheme="minorHAnsi"/>
          <w:sz w:val="22"/>
          <w:szCs w:val="22"/>
          <w:shd w:val="clear" w:color="auto" w:fill="FFFFFF"/>
        </w:rPr>
        <w:t xml:space="preserve"> </w:t>
      </w:r>
      <w:r w:rsidR="00C62CA3">
        <w:rPr>
          <w:rFonts w:asciiTheme="minorHAnsi" w:hAnsiTheme="minorHAnsi" w:cstheme="minorHAnsi"/>
          <w:sz w:val="22"/>
          <w:szCs w:val="22"/>
          <w:shd w:val="clear" w:color="auto" w:fill="FFFFFF"/>
        </w:rPr>
        <w:t xml:space="preserve">and lean tissue </w:t>
      </w:r>
      <w:r w:rsidR="00EB5077" w:rsidRPr="004B0BC2">
        <w:rPr>
          <w:rFonts w:asciiTheme="minorHAnsi" w:hAnsiTheme="minorHAnsi" w:cstheme="minorHAnsi"/>
          <w:sz w:val="22"/>
          <w:szCs w:val="22"/>
          <w:shd w:val="clear" w:color="auto" w:fill="FFFFFF"/>
        </w:rPr>
        <w:t>(2.5 +/- 1.1 v</w:t>
      </w:r>
      <w:r w:rsidR="00C62CA3">
        <w:rPr>
          <w:rFonts w:asciiTheme="minorHAnsi" w:hAnsiTheme="minorHAnsi" w:cstheme="minorHAnsi"/>
          <w:sz w:val="22"/>
          <w:szCs w:val="22"/>
          <w:shd w:val="clear" w:color="auto" w:fill="FFFFFF"/>
        </w:rPr>
        <w:t>ersu</w:t>
      </w:r>
      <w:r w:rsidR="00EB5077" w:rsidRPr="004B0BC2">
        <w:rPr>
          <w:rFonts w:asciiTheme="minorHAnsi" w:hAnsiTheme="minorHAnsi" w:cstheme="minorHAnsi"/>
          <w:sz w:val="22"/>
          <w:szCs w:val="22"/>
          <w:shd w:val="clear" w:color="auto" w:fill="FFFFFF"/>
        </w:rPr>
        <w:t>s 4.8 +/- 2.1</w:t>
      </w:r>
      <w:r w:rsidR="00140997" w:rsidRPr="004B0BC2">
        <w:rPr>
          <w:rFonts w:asciiTheme="minorHAnsi" w:hAnsiTheme="minorHAnsi" w:cstheme="minorHAnsi"/>
          <w:sz w:val="22"/>
          <w:szCs w:val="22"/>
          <w:shd w:val="clear" w:color="auto" w:fill="FFFFFF"/>
        </w:rPr>
        <w:t xml:space="preserve"> </w:t>
      </w:r>
      <w:r w:rsidR="007D457B" w:rsidRPr="004B0BC2">
        <w:rPr>
          <w:rFonts w:asciiTheme="minorHAnsi" w:hAnsiTheme="minorHAnsi" w:cstheme="minorHAnsi"/>
          <w:sz w:val="22"/>
          <w:szCs w:val="22"/>
          <w:shd w:val="clear" w:color="auto" w:fill="FFFFFF"/>
        </w:rPr>
        <w:t>p</w:t>
      </w:r>
      <w:r w:rsidR="00140997" w:rsidRPr="004B0BC2">
        <w:rPr>
          <w:rFonts w:asciiTheme="minorHAnsi" w:hAnsiTheme="minorHAnsi" w:cstheme="minorHAnsi"/>
          <w:sz w:val="22"/>
          <w:szCs w:val="22"/>
          <w:shd w:val="clear" w:color="auto" w:fill="FFFFFF"/>
        </w:rPr>
        <w:t>&lt;0.01</w:t>
      </w:r>
      <w:r w:rsidR="00EB5077" w:rsidRPr="004B0BC2">
        <w:rPr>
          <w:rFonts w:asciiTheme="minorHAnsi" w:hAnsiTheme="minorHAnsi" w:cstheme="minorHAnsi"/>
          <w:sz w:val="22"/>
          <w:szCs w:val="22"/>
          <w:shd w:val="clear" w:color="auto" w:fill="FFFFFF"/>
        </w:rPr>
        <w:t xml:space="preserve"> and 42.8 +/- 4.7 v</w:t>
      </w:r>
      <w:r w:rsidR="00C62CA3">
        <w:rPr>
          <w:rFonts w:asciiTheme="minorHAnsi" w:hAnsiTheme="minorHAnsi" w:cstheme="minorHAnsi"/>
          <w:sz w:val="22"/>
          <w:szCs w:val="22"/>
          <w:shd w:val="clear" w:color="auto" w:fill="FFFFFF"/>
        </w:rPr>
        <w:t>ersu</w:t>
      </w:r>
      <w:r w:rsidR="00EB5077" w:rsidRPr="004B0BC2">
        <w:rPr>
          <w:rFonts w:asciiTheme="minorHAnsi" w:hAnsiTheme="minorHAnsi" w:cstheme="minorHAnsi"/>
          <w:sz w:val="22"/>
          <w:szCs w:val="22"/>
          <w:shd w:val="clear" w:color="auto" w:fill="FFFFFF"/>
        </w:rPr>
        <w:t>s 58.2 +/- 6.2 L</w:t>
      </w:r>
      <w:r w:rsidR="00140997" w:rsidRPr="004B0BC2">
        <w:rPr>
          <w:rFonts w:asciiTheme="minorHAnsi" w:hAnsiTheme="minorHAnsi" w:cstheme="minorHAnsi"/>
          <w:sz w:val="22"/>
          <w:szCs w:val="22"/>
          <w:shd w:val="clear" w:color="auto" w:fill="FFFFFF"/>
        </w:rPr>
        <w:t xml:space="preserve">, </w:t>
      </w:r>
      <w:r w:rsidR="00C62CA3">
        <w:rPr>
          <w:rFonts w:asciiTheme="minorHAnsi" w:hAnsiTheme="minorHAnsi" w:cstheme="minorHAnsi"/>
          <w:sz w:val="22"/>
          <w:szCs w:val="22"/>
          <w:shd w:val="clear" w:color="auto" w:fill="FFFFFF"/>
        </w:rPr>
        <w:t xml:space="preserve">respectively; </w:t>
      </w:r>
      <w:r w:rsidR="007D457B" w:rsidRPr="004B0BC2">
        <w:rPr>
          <w:rFonts w:asciiTheme="minorHAnsi" w:hAnsiTheme="minorHAnsi" w:cstheme="minorHAnsi"/>
          <w:sz w:val="22"/>
          <w:szCs w:val="22"/>
          <w:shd w:val="clear" w:color="auto" w:fill="FFFFFF"/>
        </w:rPr>
        <w:t>p</w:t>
      </w:r>
      <w:r w:rsidR="00140997" w:rsidRPr="004B0BC2">
        <w:rPr>
          <w:rFonts w:asciiTheme="minorHAnsi" w:hAnsiTheme="minorHAnsi" w:cstheme="minorHAnsi"/>
          <w:sz w:val="22"/>
          <w:szCs w:val="22"/>
          <w:shd w:val="clear" w:color="auto" w:fill="FFFFFF"/>
        </w:rPr>
        <w:t>&lt;0.01)</w:t>
      </w:r>
      <w:r w:rsidR="00EB5077"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{"citationItems":[{"id":"ITEM-1","itemData":{"DOI":"10.1093/ajcn/59.6.1277","ISSN":"00029165","PMID":"8198051","abstract":"This study compared total and regional adipose tissue (AT) and lean tissue (LT) distribution measured by magnetic resonance imaging (MRI) in obese, android women (n = 40) and men (n = 17). Women had significantly (P &lt; 0.01) greater subcutaneous AT (39.6 ± 11.6 vs 30.7 ± 7.5 L) but significantly (P &lt; 0.01) less visceral AT (2.5 ± 1.1 vs 4.8 ± 2.1 L) and LT (42.8 ± 4.7 vs 58.2 ± 6.2 L) compared with men. Segmentation of the visceral AT volume demonstrated that women had significantly (P &lt; 0.01) less intraperitoneal (1.98 ± 0.84 vs 3.74 ± 1.61 L) and extraperitoneal AT (0.51 ± 0.23 vs 1.04 ± 0.47 L). When the legs, hip and pelvic region, and abdomen and torso regions were compared, women had significantly greater absolute quantities of subcutaneous AT and significantly less LT in all regions (P &lt; 0.01); however, in all regions the relative distribution of both was similar. Anthropometric prediction of MRI-measured total AT gave SEs of 7.7% for women and 7.5% for men, for visceral AT 30% for women and 19% for men. Anthropometric prediction of LT gave SEs of 6.5% for women and 3.6% for men.","author":[{"dropping-particle":"","family":"Ross","given":"Robert","non-dropping-particle":"","parse-names":false,"suffix":""},{"dropping-particle":"","family":"Shaw","given":"Kimberley D.","non-dropping-particle":"","parse-names":false,"suffix":""},{"dropping-particle":"","family":"Rissanen","given":"John","non-dropping-particle":"","parse-names":false,"suffix":""},{"dropping-particle":"","family":"Martel","given":"Yves","non-dropping-particle":"","parse-names":false,"suffix":""},{"dropping-particle":"","family":"Guise","given":"Jacques","non-dropping-particle":"De","parse-names":false,"suffix":""},{"dropping-particle":"","family":"Avruch","given":"Leonard","non-dropping-particle":"","parse-names":false,"suffix":""}],"container-title":"American Journal of Clinical Nutrition","id":"ITEM-1","issue":"6","issued":{"date-parts":[["1994"]]},"page":"1277-85","title":"Sex differences in lean and adipose tissue distribution by magnetic resonance imaging: Anthropometric relationships","type":"article-journal","volume":"59"},"uris":["http://www.mendeley.com/documents/?uuid=4eeb0719-a0f0-41aa-a47a-0cd494c94098"]}],"mendeley":{"formattedCitation":"(50)","plainTextFormattedCitation":"(50)","previouslyFormattedCitation":"(50)"},"properties":{"noteIndex":0},"schema":"https://github.com/citation-style-language/schema/raw/master/csl-citation.json"}</w:instrText>
      </w:r>
      <w:r w:rsidR="00EB5077"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(50)</w:t>
      </w:r>
      <w:r w:rsidR="00EB5077" w:rsidRPr="004B0BC2">
        <w:rPr>
          <w:rFonts w:asciiTheme="minorHAnsi" w:hAnsiTheme="minorHAnsi" w:cstheme="minorHAnsi"/>
          <w:sz w:val="22"/>
          <w:szCs w:val="22"/>
          <w:shd w:val="clear" w:color="auto" w:fill="FFFFFF"/>
        </w:rPr>
        <w:fldChar w:fldCharType="end"/>
      </w:r>
      <w:r w:rsidR="00EB5077" w:rsidRPr="004B0BC2">
        <w:rPr>
          <w:rFonts w:asciiTheme="minorHAnsi" w:hAnsiTheme="minorHAnsi" w:cstheme="minorHAnsi"/>
          <w:sz w:val="22"/>
          <w:szCs w:val="22"/>
          <w:shd w:val="clear" w:color="auto" w:fill="FFFFFF"/>
        </w:rPr>
        <w:t xml:space="preserve">. </w:t>
      </w:r>
      <w:r w:rsidR="00F32CED">
        <w:rPr>
          <w:rFonts w:asciiTheme="minorHAnsi" w:hAnsiTheme="minorHAnsi" w:cstheme="minorHAnsi"/>
          <w:sz w:val="22"/>
          <w:szCs w:val="22"/>
          <w:shd w:val="clear" w:color="auto" w:fill="FFFFFF"/>
        </w:rPr>
        <w:t xml:space="preserve">A study </w:t>
      </w:r>
      <w:r w:rsidR="009860AE">
        <w:rPr>
          <w:rFonts w:asciiTheme="minorHAnsi" w:hAnsiTheme="minorHAnsi" w:cstheme="minorHAnsi"/>
          <w:sz w:val="22"/>
          <w:szCs w:val="22"/>
          <w:shd w:val="clear" w:color="auto" w:fill="FFFFFF"/>
        </w:rPr>
        <w:t>in which</w:t>
      </w:r>
      <w:r w:rsidR="00EB5077" w:rsidRPr="004B0BC2">
        <w:rPr>
          <w:rFonts w:asciiTheme="minorHAnsi" w:hAnsiTheme="minorHAnsi" w:cstheme="minorHAnsi"/>
          <w:sz w:val="22"/>
          <w:szCs w:val="22"/>
          <w:shd w:val="clear" w:color="auto" w:fill="FFFFFF"/>
        </w:rPr>
        <w:t xml:space="preserve"> </w:t>
      </w:r>
      <w:r w:rsidR="00F01362" w:rsidRPr="004B0BC2">
        <w:rPr>
          <w:rFonts w:asciiTheme="minorHAnsi" w:hAnsiTheme="minorHAnsi" w:cstheme="minorHAnsi"/>
          <w:sz w:val="22"/>
          <w:szCs w:val="22"/>
          <w:shd w:val="clear" w:color="auto" w:fill="FFFFFF"/>
        </w:rPr>
        <w:t>annual measurements of</w:t>
      </w:r>
      <w:r w:rsidR="00AE1260" w:rsidRPr="004B0BC2">
        <w:rPr>
          <w:rFonts w:asciiTheme="minorHAnsi" w:hAnsiTheme="minorHAnsi" w:cstheme="minorHAnsi"/>
          <w:sz w:val="22"/>
          <w:szCs w:val="22"/>
          <w:shd w:val="clear" w:color="auto" w:fill="FFFFFF"/>
        </w:rPr>
        <w:t xml:space="preserve"> body composition and fat distribution </w:t>
      </w:r>
      <w:r w:rsidR="009860AE">
        <w:rPr>
          <w:rFonts w:asciiTheme="minorHAnsi" w:hAnsiTheme="minorHAnsi" w:cstheme="minorHAnsi"/>
          <w:sz w:val="22"/>
          <w:szCs w:val="22"/>
          <w:shd w:val="clear" w:color="auto" w:fill="FFFFFF"/>
        </w:rPr>
        <w:t xml:space="preserve">were assessed </w:t>
      </w:r>
      <w:r w:rsidR="00AE1260" w:rsidRPr="004B0BC2">
        <w:rPr>
          <w:rFonts w:asciiTheme="minorHAnsi" w:hAnsiTheme="minorHAnsi" w:cstheme="minorHAnsi"/>
          <w:sz w:val="22"/>
          <w:szCs w:val="22"/>
          <w:shd w:val="clear" w:color="auto" w:fill="FFFFFF"/>
        </w:rPr>
        <w:t>in</w:t>
      </w:r>
      <w:r w:rsidR="00F01362" w:rsidRPr="004B0BC2">
        <w:rPr>
          <w:rFonts w:asciiTheme="minorHAnsi" w:hAnsiTheme="minorHAnsi" w:cstheme="minorHAnsi"/>
          <w:sz w:val="22"/>
          <w:szCs w:val="22"/>
          <w:shd w:val="clear" w:color="auto" w:fill="FFFFFF"/>
        </w:rPr>
        <w:t xml:space="preserve"> </w:t>
      </w:r>
      <w:r w:rsidR="00F01362" w:rsidRPr="004B0BC2">
        <w:rPr>
          <w:rFonts w:asciiTheme="minorHAnsi" w:hAnsiTheme="minorHAnsi" w:cstheme="minorHAnsi"/>
          <w:sz w:val="22"/>
          <w:szCs w:val="22"/>
          <w:shd w:val="clear" w:color="auto" w:fill="FFFFFF" w:themeFill="background1"/>
        </w:rPr>
        <w:t>153 women</w:t>
      </w:r>
      <w:r w:rsidR="00AE1260" w:rsidRPr="004B0BC2">
        <w:rPr>
          <w:rFonts w:asciiTheme="minorHAnsi" w:hAnsiTheme="minorHAnsi" w:cstheme="minorHAnsi"/>
          <w:sz w:val="22"/>
          <w:szCs w:val="22"/>
          <w:shd w:val="clear" w:color="auto" w:fill="FFFFFF" w:themeFill="background1"/>
        </w:rPr>
        <w:t xml:space="preserve"> reported</w:t>
      </w:r>
      <w:r w:rsidR="00F01362" w:rsidRPr="004B0BC2">
        <w:rPr>
          <w:rFonts w:asciiTheme="minorHAnsi" w:hAnsiTheme="minorHAnsi" w:cstheme="minorHAnsi"/>
          <w:sz w:val="22"/>
          <w:szCs w:val="22"/>
          <w:shd w:val="clear" w:color="auto" w:fill="FFFFFF" w:themeFill="background1"/>
        </w:rPr>
        <w:t xml:space="preserve"> that</w:t>
      </w:r>
      <w:r w:rsidR="00F32CED">
        <w:rPr>
          <w:rFonts w:asciiTheme="minorHAnsi" w:hAnsiTheme="minorHAnsi" w:cstheme="minorHAnsi"/>
          <w:sz w:val="22"/>
          <w:szCs w:val="22"/>
          <w:shd w:val="clear" w:color="auto" w:fill="FFFFFF" w:themeFill="background1"/>
        </w:rPr>
        <w:t>, although</w:t>
      </w:r>
      <w:r w:rsidR="00F01362" w:rsidRPr="004B0BC2">
        <w:rPr>
          <w:rFonts w:asciiTheme="minorHAnsi" w:hAnsiTheme="minorHAnsi" w:cstheme="minorHAnsi"/>
          <w:sz w:val="22"/>
          <w:szCs w:val="22"/>
          <w:shd w:val="clear" w:color="auto" w:fill="FFFFFF" w:themeFill="background1"/>
        </w:rPr>
        <w:t xml:space="preserve"> increasing age </w:t>
      </w:r>
      <w:r w:rsidR="00360E02" w:rsidRPr="004B0BC2">
        <w:rPr>
          <w:rFonts w:asciiTheme="minorHAnsi" w:hAnsiTheme="minorHAnsi" w:cstheme="minorHAnsi"/>
          <w:sz w:val="22"/>
          <w:szCs w:val="22"/>
          <w:shd w:val="clear" w:color="auto" w:fill="FFFFFF" w:themeFill="background1"/>
        </w:rPr>
        <w:t>was associated with</w:t>
      </w:r>
      <w:r w:rsidR="00F01362" w:rsidRPr="004B0BC2">
        <w:rPr>
          <w:rFonts w:asciiTheme="minorHAnsi" w:hAnsiTheme="minorHAnsi" w:cstheme="minorHAnsi"/>
          <w:sz w:val="22"/>
          <w:szCs w:val="22"/>
          <w:shd w:val="clear" w:color="auto" w:fill="FFFFFF" w:themeFill="background1"/>
        </w:rPr>
        <w:t xml:space="preserve"> </w:t>
      </w:r>
      <w:r w:rsidR="00AE1260" w:rsidRPr="004B0BC2">
        <w:rPr>
          <w:rFonts w:asciiTheme="minorHAnsi" w:hAnsiTheme="minorHAnsi" w:cstheme="minorHAnsi"/>
          <w:sz w:val="22"/>
          <w:szCs w:val="22"/>
          <w:shd w:val="clear" w:color="auto" w:fill="FFFFFF" w:themeFill="background1"/>
        </w:rPr>
        <w:t>increase</w:t>
      </w:r>
      <w:r w:rsidR="00360E02" w:rsidRPr="004B0BC2">
        <w:rPr>
          <w:rFonts w:asciiTheme="minorHAnsi" w:hAnsiTheme="minorHAnsi" w:cstheme="minorHAnsi"/>
          <w:sz w:val="22"/>
          <w:szCs w:val="22"/>
          <w:shd w:val="clear" w:color="auto" w:fill="FFFFFF" w:themeFill="background1"/>
        </w:rPr>
        <w:t>d</w:t>
      </w:r>
      <w:r w:rsidR="00F01362" w:rsidRPr="004B0BC2">
        <w:rPr>
          <w:rFonts w:asciiTheme="minorHAnsi" w:hAnsiTheme="minorHAnsi" w:cstheme="minorHAnsi"/>
          <w:sz w:val="22"/>
          <w:szCs w:val="22"/>
          <w:shd w:val="clear" w:color="auto" w:fill="FFFFFF" w:themeFill="background1"/>
        </w:rPr>
        <w:t xml:space="preserve"> subcutaneous fat (p&lt;0.001)</w:t>
      </w:r>
      <w:r w:rsidR="00360E02" w:rsidRPr="004B0BC2">
        <w:rPr>
          <w:rFonts w:asciiTheme="minorHAnsi" w:hAnsiTheme="minorHAnsi" w:cstheme="minorHAnsi"/>
          <w:sz w:val="22"/>
          <w:szCs w:val="22"/>
          <w:shd w:val="clear" w:color="auto" w:fill="FFFFFF" w:themeFill="background1"/>
        </w:rPr>
        <w:t>,</w:t>
      </w:r>
      <w:r w:rsidR="00AE1260" w:rsidRPr="004B0BC2">
        <w:rPr>
          <w:rFonts w:asciiTheme="minorHAnsi" w:hAnsiTheme="minorHAnsi" w:cstheme="minorHAnsi"/>
          <w:sz w:val="22"/>
          <w:szCs w:val="22"/>
          <w:shd w:val="clear" w:color="auto" w:fill="FFFFFF" w:themeFill="background1"/>
        </w:rPr>
        <w:t xml:space="preserve"> </w:t>
      </w:r>
      <w:r w:rsidR="00F01362" w:rsidRPr="004B0BC2">
        <w:rPr>
          <w:rFonts w:asciiTheme="minorHAnsi" w:hAnsiTheme="minorHAnsi" w:cstheme="minorHAnsi"/>
          <w:sz w:val="22"/>
          <w:szCs w:val="22"/>
          <w:shd w:val="clear" w:color="auto" w:fill="FFFFFF" w:themeFill="background1"/>
        </w:rPr>
        <w:t>visceral fat only signi</w:t>
      </w:r>
      <w:r w:rsidR="00360E02" w:rsidRPr="004B0BC2">
        <w:rPr>
          <w:rFonts w:asciiTheme="minorHAnsi" w:hAnsiTheme="minorHAnsi" w:cstheme="minorHAnsi"/>
          <w:sz w:val="22"/>
          <w:szCs w:val="22"/>
          <w:shd w:val="clear" w:color="auto" w:fill="FFFFFF" w:themeFill="background1"/>
        </w:rPr>
        <w:t>fi</w:t>
      </w:r>
      <w:r w:rsidR="00F01362" w:rsidRPr="004B0BC2">
        <w:rPr>
          <w:rFonts w:asciiTheme="minorHAnsi" w:hAnsiTheme="minorHAnsi" w:cstheme="minorHAnsi"/>
          <w:sz w:val="22"/>
          <w:szCs w:val="22"/>
          <w:shd w:val="clear" w:color="auto" w:fill="FFFFFF" w:themeFill="background1"/>
        </w:rPr>
        <w:t xml:space="preserve">cantly increased in </w:t>
      </w:r>
      <w:r w:rsidR="00360E02" w:rsidRPr="004B0BC2">
        <w:rPr>
          <w:rFonts w:asciiTheme="minorHAnsi" w:hAnsiTheme="minorHAnsi" w:cstheme="minorHAnsi"/>
          <w:sz w:val="22"/>
          <w:szCs w:val="22"/>
          <w:shd w:val="clear" w:color="auto" w:fill="FFFFFF" w:themeFill="background1"/>
        </w:rPr>
        <w:t xml:space="preserve">women who became </w:t>
      </w:r>
      <w:r w:rsidR="00F01362" w:rsidRPr="004B0BC2">
        <w:rPr>
          <w:rFonts w:asciiTheme="minorHAnsi" w:hAnsiTheme="minorHAnsi" w:cstheme="minorHAnsi"/>
          <w:sz w:val="22"/>
          <w:szCs w:val="22"/>
          <w:shd w:val="clear" w:color="auto" w:fill="FFFFFF" w:themeFill="background1"/>
        </w:rPr>
        <w:t>post</w:t>
      </w:r>
      <w:r w:rsidR="00360E02" w:rsidRPr="004B0BC2">
        <w:rPr>
          <w:rFonts w:asciiTheme="minorHAnsi" w:hAnsiTheme="minorHAnsi" w:cstheme="minorHAnsi"/>
          <w:sz w:val="22"/>
          <w:szCs w:val="22"/>
          <w:shd w:val="clear" w:color="auto" w:fill="FFFFFF" w:themeFill="background1"/>
        </w:rPr>
        <w:t>-</w:t>
      </w:r>
      <w:r w:rsidR="00F01362" w:rsidRPr="004B0BC2">
        <w:rPr>
          <w:rFonts w:asciiTheme="minorHAnsi" w:hAnsiTheme="minorHAnsi" w:cstheme="minorHAnsi"/>
          <w:sz w:val="22"/>
          <w:szCs w:val="22"/>
          <w:shd w:val="clear" w:color="auto" w:fill="FFFFFF" w:themeFill="background1"/>
        </w:rPr>
        <w:t>menopausal (</w:t>
      </w:r>
      <w:r w:rsidR="00263190" w:rsidRPr="004B0BC2">
        <w:rPr>
          <w:rFonts w:asciiTheme="minorHAnsi" w:hAnsiTheme="minorHAnsi" w:cstheme="minorHAnsi"/>
          <w:sz w:val="22"/>
          <w:szCs w:val="22"/>
          <w:shd w:val="clear" w:color="auto" w:fill="FFFFFF" w:themeFill="background1"/>
        </w:rPr>
        <w:t xml:space="preserve">80.8 </w:t>
      </w:r>
      <w:r w:rsidR="00F01362" w:rsidRPr="004B0BC2">
        <w:rPr>
          <w:rFonts w:asciiTheme="minorHAnsi" w:hAnsiTheme="minorHAnsi" w:cstheme="minorHAnsi"/>
          <w:sz w:val="22"/>
          <w:szCs w:val="22"/>
          <w:shd w:val="clear" w:color="auto" w:fill="FFFFFF" w:themeFill="background1"/>
        </w:rPr>
        <w:t xml:space="preserve">to </w:t>
      </w:r>
      <w:r w:rsidR="00263190" w:rsidRPr="004B0BC2">
        <w:rPr>
          <w:rFonts w:asciiTheme="minorHAnsi" w:hAnsiTheme="minorHAnsi" w:cstheme="minorHAnsi"/>
          <w:sz w:val="22"/>
          <w:szCs w:val="22"/>
          <w:shd w:val="clear" w:color="auto" w:fill="FFFFFF" w:themeFill="background1"/>
        </w:rPr>
        <w:t>101.7</w:t>
      </w:r>
      <w:r w:rsidR="00F01362" w:rsidRPr="004B0BC2">
        <w:rPr>
          <w:rFonts w:asciiTheme="minorHAnsi" w:hAnsiTheme="minorHAnsi" w:cstheme="minorHAnsi"/>
          <w:sz w:val="22"/>
          <w:szCs w:val="22"/>
          <w:shd w:val="clear" w:color="auto" w:fill="FFFFFF" w:themeFill="background1"/>
        </w:rPr>
        <w:t>cm</w:t>
      </w:r>
      <w:r w:rsidR="00F01362" w:rsidRPr="004B0BC2">
        <w:rPr>
          <w:rFonts w:asciiTheme="minorHAnsi" w:hAnsiTheme="minorHAnsi" w:cstheme="minorHAnsi"/>
          <w:sz w:val="22"/>
          <w:szCs w:val="22"/>
          <w:shd w:val="clear" w:color="auto" w:fill="FFFFFF" w:themeFill="background1"/>
          <w:vertAlign w:val="superscript"/>
        </w:rPr>
        <w:t>2</w:t>
      </w:r>
      <w:r w:rsidR="00630CAC" w:rsidRPr="004B0BC2">
        <w:rPr>
          <w:rFonts w:asciiTheme="minorHAnsi" w:hAnsiTheme="minorHAnsi" w:cstheme="minorHAnsi"/>
          <w:sz w:val="22"/>
          <w:szCs w:val="22"/>
          <w:shd w:val="clear" w:color="auto" w:fill="FFFFFF" w:themeFill="background1"/>
        </w:rPr>
        <w:t xml:space="preserve">, </w:t>
      </w:r>
      <w:r w:rsidR="007D457B" w:rsidRPr="004B0BC2">
        <w:rPr>
          <w:rFonts w:asciiTheme="minorHAnsi" w:hAnsiTheme="minorHAnsi" w:cstheme="minorHAnsi"/>
          <w:sz w:val="22"/>
          <w:szCs w:val="22"/>
          <w:shd w:val="clear" w:color="auto" w:fill="FFFFFF" w:themeFill="background1"/>
        </w:rPr>
        <w:t>p</w:t>
      </w:r>
      <w:r w:rsidR="00F01362" w:rsidRPr="004B0BC2">
        <w:rPr>
          <w:rFonts w:asciiTheme="minorHAnsi" w:hAnsiTheme="minorHAnsi" w:cstheme="minorHAnsi"/>
          <w:sz w:val="22"/>
          <w:szCs w:val="22"/>
          <w:shd w:val="clear" w:color="auto" w:fill="FFFFFF" w:themeFill="background1"/>
        </w:rPr>
        <w:t>&lt;0.0</w:t>
      </w:r>
      <w:r w:rsidR="00263190" w:rsidRPr="004B0BC2">
        <w:rPr>
          <w:rFonts w:asciiTheme="minorHAnsi" w:hAnsiTheme="minorHAnsi" w:cstheme="minorHAnsi"/>
          <w:sz w:val="22"/>
          <w:szCs w:val="22"/>
          <w:shd w:val="clear" w:color="auto" w:fill="FFFFFF" w:themeFill="background1"/>
        </w:rPr>
        <w:t>5</w:t>
      </w:r>
      <w:r w:rsidR="00F01362" w:rsidRPr="004B0BC2">
        <w:rPr>
          <w:rFonts w:asciiTheme="minorHAnsi" w:hAnsiTheme="minorHAnsi" w:cstheme="minorHAnsi"/>
          <w:sz w:val="22"/>
          <w:szCs w:val="22"/>
          <w:shd w:val="clear" w:color="auto" w:fill="FFFFFF" w:themeFill="background1"/>
        </w:rPr>
        <w:t>)</w:t>
      </w:r>
      <w:r w:rsidR="00F01362" w:rsidRPr="004B0BC2">
        <w:rPr>
          <w:rFonts w:asciiTheme="minorHAnsi" w:hAnsiTheme="minorHAnsi" w:cstheme="minorHAnsi"/>
          <w:sz w:val="22"/>
          <w:szCs w:val="22"/>
          <w:shd w:val="clear" w:color="auto" w:fill="FFFFFF" w:themeFill="background1"/>
        </w:rPr>
        <w:fldChar w:fldCharType="begin" w:fldLock="1"/>
      </w:r>
      <w:r w:rsidR="00693DD5">
        <w:rPr>
          <w:rFonts w:asciiTheme="minorHAnsi" w:hAnsiTheme="minorHAnsi" w:cstheme="minorHAnsi"/>
          <w:sz w:val="22"/>
          <w:szCs w:val="22"/>
          <w:shd w:val="clear" w:color="auto" w:fill="FFFFFF" w:themeFill="background1"/>
        </w:rPr>
        <w:instrText>ADDIN CSL_CITATION {"citationItems":[{"id":"ITEM-1","itemData":{"DOI":"10.1038/ijo.2008.25","ISSN":"03070565","abstract":"Objective: This study assessed longitudinal changes in body composition, fat distribution and energy balance in perimenopausal women. We hypothesized that total fat and abdominal body fat would increase at menopause due to decreased energy expenditure (EE) and declining estrogen, respectively. Design: Observational, longitudinal study with annual measurements for 4 years. Subjects: Healthy women (103 Caucasian; 53 African-American), initially premenopausal. During follow-up, lack of menstruation for 1 year and follicle-stimulating hormone &gt;30 mIU ml-1 defined a subject as postmenopausal. Measurements: Fat and lean mass (dual-energy X-ray absorptiometry), visceral (VAT) and subcutaneous abdominal fat (SAT) (computed tomography), dietary intake (4-day food record), serum sex hormones and physical activity (tri-axial accelerometry). Twenty-four hour EE was measured by whole-room calorimeter in a subset of 34 women at baseline and at year 4. Results: Body fat and weight increased significantly over time only in those women who became postmenopausal by year 4 (n=51). All women gained SAT over time; however, only those who became postmenopausal had a significant increase in VAT. The postmenopausal group also exhibited a significant decrease in serum estradiol. Physical activity decreased significantly 2 years before menopause and remained low. Dietary energy, protein, carbohydrate and fiber intake were significantly higher 3-4 years before the onset of menopause compared with menopause onset. Twenty-four hour EE and sleeping EE decreased significantly with age; however, the decrease in sleeping EE was 1.5-fold greater in women who became postmenopausal compared with premenopausal controls (-7.9 vs -5.3%). Fat oxidation decreased by 32% in women who became postmenopausal (P&lt;0.05), but did not change in those who remained premenopausal. Conclusion: Middle-aged women gained SAT with age, whereas menopause per se was associated with an increase in total body fat and VAT. Menopause onset is associated with decreased EE and fat oxidation that can predispose to obesity if lifestyle changes are not made. © 2008 Nature Publishing Group All rights reserved.","author":[{"dropping-particle":"","family":"Lovejoy","given":"J. C.","non-dropping-particle":"","parse-names":false,"suffix":""},{"dropping-particle":"","family":"Champagne","given":"C. M.","non-dropping-particle":"","parse-names":false,"suffix":""},{"dropping-particle":"","family":"Jonge","given":"L.","non-dropping-particle":"De","parse-names":false,"suffix":""},{"dropping-particle":"","family":"Xie","given":"H.","non-dropping-particle":"","parse-names":false,"suffix":""},{"dropping-particle":"","family":"Smith","given":"S. R.","non-dropping-particle":"","parse-names":false,"suffix":""}],"container-title":"International Journal of Obesity","id":"ITEM-1","issue":"6","issued":{"date-parts":[["2008"]]},"page":"949-58","title":"Increased visceral fat and decreased energy expenditure during the menopausal transition","type":"article-journal","volume":"32"},"uris":["http://www.mendeley.com/documents/?uuid=b63a5de3-f70f-4c94-9fec-c798b8e033ce"]}],"mendeley":{"formattedCitation":"(51)","plainTextFormattedCitation":"(51)","previouslyFormattedCitation":"(51)"},"properties":{"noteIndex":0},"schema":"https://github.com/citation-style-language/schema/raw/master/csl-citation.json"}</w:instrText>
      </w:r>
      <w:r w:rsidR="00F01362" w:rsidRPr="004B0BC2">
        <w:rPr>
          <w:rFonts w:asciiTheme="minorHAnsi" w:hAnsiTheme="minorHAnsi" w:cstheme="minorHAnsi"/>
          <w:sz w:val="22"/>
          <w:szCs w:val="22"/>
          <w:shd w:val="clear" w:color="auto" w:fill="FFFFFF" w:themeFill="background1"/>
        </w:rPr>
        <w:fldChar w:fldCharType="separate"/>
      </w:r>
      <w:r w:rsidR="00693DD5" w:rsidRPr="00693DD5">
        <w:rPr>
          <w:rFonts w:asciiTheme="minorHAnsi" w:hAnsiTheme="minorHAnsi" w:cstheme="minorHAnsi"/>
          <w:noProof/>
          <w:sz w:val="22"/>
          <w:szCs w:val="22"/>
          <w:shd w:val="clear" w:color="auto" w:fill="FFFFFF" w:themeFill="background1"/>
        </w:rPr>
        <w:t>(51)</w:t>
      </w:r>
      <w:r w:rsidR="00F01362" w:rsidRPr="004B0BC2">
        <w:rPr>
          <w:rFonts w:asciiTheme="minorHAnsi" w:hAnsiTheme="minorHAnsi" w:cstheme="minorHAnsi"/>
          <w:sz w:val="22"/>
          <w:szCs w:val="22"/>
          <w:shd w:val="clear" w:color="auto" w:fill="FFFFFF" w:themeFill="background1"/>
        </w:rPr>
        <w:fldChar w:fldCharType="end"/>
      </w:r>
      <w:r w:rsidR="00F01362" w:rsidRPr="004B0BC2">
        <w:rPr>
          <w:rFonts w:asciiTheme="minorHAnsi" w:hAnsiTheme="minorHAnsi" w:cstheme="minorHAnsi"/>
          <w:sz w:val="22"/>
          <w:szCs w:val="22"/>
          <w:shd w:val="clear" w:color="auto" w:fill="FFFFFF" w:themeFill="background1"/>
        </w:rPr>
        <w:t>.</w:t>
      </w:r>
      <w:r w:rsidR="00866A8E" w:rsidRPr="004B0BC2">
        <w:rPr>
          <w:rFonts w:asciiTheme="minorHAnsi" w:hAnsiTheme="minorHAnsi" w:cstheme="minorHAnsi"/>
          <w:sz w:val="22"/>
          <w:szCs w:val="22"/>
          <w:shd w:val="clear" w:color="auto" w:fill="FFFFFF" w:themeFill="background1"/>
        </w:rPr>
        <w:t xml:space="preserve"> </w:t>
      </w:r>
      <w:r w:rsidR="00F32CED">
        <w:rPr>
          <w:rFonts w:asciiTheme="minorHAnsi" w:hAnsiTheme="minorHAnsi" w:cstheme="minorHAnsi"/>
          <w:sz w:val="22"/>
          <w:szCs w:val="22"/>
          <w:shd w:val="clear" w:color="auto" w:fill="FFFFFF" w:themeFill="background1"/>
        </w:rPr>
        <w:t>A</w:t>
      </w:r>
      <w:r w:rsidR="008A75E3" w:rsidRPr="004B0BC2">
        <w:rPr>
          <w:rFonts w:asciiTheme="minorHAnsi" w:hAnsiTheme="minorHAnsi" w:cstheme="minorHAnsi"/>
          <w:sz w:val="22"/>
          <w:szCs w:val="22"/>
          <w:shd w:val="clear" w:color="auto" w:fill="FFFFFF" w:themeFill="background1"/>
        </w:rPr>
        <w:t>nimal</w:t>
      </w:r>
      <w:r w:rsidR="00C23649" w:rsidRPr="004B0BC2">
        <w:rPr>
          <w:rFonts w:asciiTheme="minorHAnsi" w:hAnsiTheme="minorHAnsi" w:cstheme="minorHAnsi"/>
          <w:sz w:val="22"/>
          <w:szCs w:val="22"/>
          <w:shd w:val="clear" w:color="auto" w:fill="FFFFFF" w:themeFill="background1"/>
        </w:rPr>
        <w:t xml:space="preserve"> data</w:t>
      </w:r>
      <w:r w:rsidR="00E829C4" w:rsidRPr="004B0BC2">
        <w:rPr>
          <w:rFonts w:asciiTheme="minorHAnsi" w:hAnsiTheme="minorHAnsi" w:cstheme="minorHAnsi"/>
          <w:sz w:val="22"/>
          <w:szCs w:val="22"/>
          <w:shd w:val="clear" w:color="auto" w:fill="FFFFFF" w:themeFill="background1"/>
        </w:rPr>
        <w:t xml:space="preserve"> ha</w:t>
      </w:r>
      <w:r w:rsidR="00F32CED">
        <w:rPr>
          <w:rFonts w:asciiTheme="minorHAnsi" w:hAnsiTheme="minorHAnsi" w:cstheme="minorHAnsi"/>
          <w:sz w:val="22"/>
          <w:szCs w:val="22"/>
          <w:shd w:val="clear" w:color="auto" w:fill="FFFFFF" w:themeFill="background1"/>
        </w:rPr>
        <w:t>ve</w:t>
      </w:r>
      <w:r w:rsidR="00C23649" w:rsidRPr="004B0BC2">
        <w:rPr>
          <w:rFonts w:asciiTheme="minorHAnsi" w:hAnsiTheme="minorHAnsi" w:cstheme="minorHAnsi"/>
          <w:sz w:val="22"/>
          <w:szCs w:val="22"/>
          <w:shd w:val="clear" w:color="auto" w:fill="FFFFFF" w:themeFill="background1"/>
        </w:rPr>
        <w:t xml:space="preserve"> </w:t>
      </w:r>
      <w:r w:rsidR="00C35232" w:rsidRPr="004B0BC2">
        <w:rPr>
          <w:rFonts w:asciiTheme="minorHAnsi" w:hAnsiTheme="minorHAnsi" w:cstheme="minorHAnsi"/>
          <w:sz w:val="22"/>
          <w:szCs w:val="22"/>
          <w:shd w:val="clear" w:color="auto" w:fill="FFFFFF" w:themeFill="background1"/>
        </w:rPr>
        <w:t>demonstrated</w:t>
      </w:r>
      <w:r w:rsidR="00C23649" w:rsidRPr="004B0BC2">
        <w:rPr>
          <w:rFonts w:asciiTheme="minorHAnsi" w:hAnsiTheme="minorHAnsi" w:cstheme="minorHAnsi"/>
          <w:sz w:val="22"/>
          <w:szCs w:val="22"/>
          <w:shd w:val="clear" w:color="auto" w:fill="FFFFFF" w:themeFill="background1"/>
        </w:rPr>
        <w:t xml:space="preserve"> that visceral</w:t>
      </w:r>
      <w:r w:rsidR="00F32CED">
        <w:rPr>
          <w:rFonts w:asciiTheme="minorHAnsi" w:hAnsiTheme="minorHAnsi" w:cstheme="minorHAnsi"/>
          <w:sz w:val="22"/>
          <w:szCs w:val="22"/>
          <w:shd w:val="clear" w:color="auto" w:fill="FFFFFF" w:themeFill="background1"/>
        </w:rPr>
        <w:t xml:space="preserve"> as opposed to </w:t>
      </w:r>
      <w:r w:rsidR="00630CAC" w:rsidRPr="004B0BC2">
        <w:rPr>
          <w:rFonts w:asciiTheme="minorHAnsi" w:hAnsiTheme="minorHAnsi" w:cstheme="minorHAnsi"/>
          <w:sz w:val="22"/>
          <w:szCs w:val="22"/>
          <w:shd w:val="clear" w:color="auto" w:fill="FFFFFF" w:themeFill="background1"/>
        </w:rPr>
        <w:t>subcutaneous,</w:t>
      </w:r>
      <w:r w:rsidR="00C23649" w:rsidRPr="004B0BC2">
        <w:rPr>
          <w:rFonts w:asciiTheme="minorHAnsi" w:hAnsiTheme="minorHAnsi" w:cstheme="minorHAnsi"/>
          <w:sz w:val="22"/>
          <w:szCs w:val="22"/>
          <w:shd w:val="clear" w:color="auto" w:fill="FFFFFF" w:themeFill="background1"/>
        </w:rPr>
        <w:t xml:space="preserve"> adipose tissue confers to </w:t>
      </w:r>
      <w:r w:rsidR="00E82922" w:rsidRPr="004B0BC2">
        <w:rPr>
          <w:rFonts w:asciiTheme="minorHAnsi" w:hAnsiTheme="minorHAnsi" w:cstheme="minorHAnsi"/>
          <w:sz w:val="22"/>
          <w:szCs w:val="22"/>
          <w:shd w:val="clear" w:color="auto" w:fill="FFFFFF" w:themeFill="background1"/>
        </w:rPr>
        <w:t xml:space="preserve">metabolic changes that </w:t>
      </w:r>
      <w:r w:rsidR="009860AE">
        <w:rPr>
          <w:rFonts w:asciiTheme="minorHAnsi" w:hAnsiTheme="minorHAnsi" w:cstheme="minorHAnsi"/>
          <w:sz w:val="22"/>
          <w:szCs w:val="22"/>
          <w:shd w:val="clear" w:color="auto" w:fill="FFFFFF" w:themeFill="background1"/>
        </w:rPr>
        <w:t>can</w:t>
      </w:r>
      <w:r w:rsidR="00E82922" w:rsidRPr="004B0BC2">
        <w:rPr>
          <w:rFonts w:asciiTheme="minorHAnsi" w:hAnsiTheme="minorHAnsi" w:cstheme="minorHAnsi"/>
          <w:sz w:val="22"/>
          <w:szCs w:val="22"/>
          <w:shd w:val="clear" w:color="auto" w:fill="FFFFFF" w:themeFill="background1"/>
        </w:rPr>
        <w:t xml:space="preserve"> increase</w:t>
      </w:r>
      <w:r w:rsidR="00866A8E" w:rsidRPr="004B0BC2">
        <w:rPr>
          <w:rFonts w:asciiTheme="minorHAnsi" w:hAnsiTheme="minorHAnsi" w:cstheme="minorHAnsi"/>
          <w:sz w:val="22"/>
          <w:szCs w:val="22"/>
          <w:shd w:val="clear" w:color="auto" w:fill="FFFFFF" w:themeFill="background1"/>
        </w:rPr>
        <w:t xml:space="preserve"> susceptibility to diabetes.</w:t>
      </w:r>
      <w:r w:rsidR="00C23649" w:rsidRPr="004B0BC2">
        <w:rPr>
          <w:rFonts w:asciiTheme="minorHAnsi" w:hAnsiTheme="minorHAnsi" w:cstheme="minorHAnsi"/>
          <w:sz w:val="22"/>
          <w:szCs w:val="22"/>
          <w:shd w:val="clear" w:color="auto" w:fill="FFFFFF" w:themeFill="background1"/>
        </w:rPr>
        <w:t xml:space="preserve"> </w:t>
      </w:r>
      <w:r w:rsidR="00F32CED">
        <w:rPr>
          <w:rFonts w:asciiTheme="minorHAnsi" w:hAnsiTheme="minorHAnsi" w:cstheme="minorHAnsi"/>
          <w:sz w:val="22"/>
          <w:szCs w:val="22"/>
          <w:shd w:val="clear" w:color="auto" w:fill="FFFFFF" w:themeFill="background1"/>
        </w:rPr>
        <w:t xml:space="preserve">For example, in a mouse study, after </w:t>
      </w:r>
      <w:r w:rsidR="00F01362" w:rsidRPr="004B0BC2">
        <w:rPr>
          <w:rFonts w:asciiTheme="minorHAnsi" w:hAnsiTheme="minorHAnsi" w:cstheme="minorHAnsi"/>
          <w:sz w:val="22"/>
          <w:szCs w:val="22"/>
          <w:shd w:val="clear" w:color="auto" w:fill="FFFFFF" w:themeFill="background1"/>
        </w:rPr>
        <w:t>transplant</w:t>
      </w:r>
      <w:r w:rsidR="00F32CED">
        <w:rPr>
          <w:rFonts w:asciiTheme="minorHAnsi" w:hAnsiTheme="minorHAnsi" w:cstheme="minorHAnsi"/>
          <w:sz w:val="22"/>
          <w:szCs w:val="22"/>
          <w:shd w:val="clear" w:color="auto" w:fill="FFFFFF" w:themeFill="background1"/>
        </w:rPr>
        <w:t>ation of</w:t>
      </w:r>
      <w:r w:rsidR="00F01362" w:rsidRPr="004B0BC2">
        <w:rPr>
          <w:rFonts w:asciiTheme="minorHAnsi" w:hAnsiTheme="minorHAnsi" w:cstheme="minorHAnsi"/>
          <w:sz w:val="22"/>
          <w:szCs w:val="22"/>
          <w:shd w:val="clear" w:color="auto" w:fill="FFFFFF" w:themeFill="background1"/>
        </w:rPr>
        <w:t xml:space="preserve"> </w:t>
      </w:r>
      <w:r w:rsidR="00263190" w:rsidRPr="004B0BC2">
        <w:rPr>
          <w:rFonts w:asciiTheme="minorHAnsi" w:hAnsiTheme="minorHAnsi" w:cstheme="minorHAnsi"/>
          <w:sz w:val="22"/>
          <w:szCs w:val="22"/>
          <w:shd w:val="clear" w:color="auto" w:fill="FFFFFF" w:themeFill="background1"/>
        </w:rPr>
        <w:t>epididymal</w:t>
      </w:r>
      <w:r w:rsidR="00114B3E" w:rsidRPr="004B0BC2">
        <w:rPr>
          <w:rFonts w:asciiTheme="minorHAnsi" w:hAnsiTheme="minorHAnsi" w:cstheme="minorHAnsi"/>
          <w:sz w:val="22"/>
          <w:szCs w:val="22"/>
          <w:shd w:val="clear" w:color="auto" w:fill="FFFFFF" w:themeFill="background1"/>
        </w:rPr>
        <w:t xml:space="preserve"> fat pads into </w:t>
      </w:r>
      <w:r w:rsidR="00D37D15" w:rsidRPr="004B0BC2">
        <w:rPr>
          <w:rFonts w:asciiTheme="minorHAnsi" w:hAnsiTheme="minorHAnsi" w:cstheme="minorHAnsi"/>
          <w:sz w:val="22"/>
          <w:szCs w:val="22"/>
          <w:shd w:val="clear" w:color="auto" w:fill="FFFFFF" w:themeFill="background1"/>
        </w:rPr>
        <w:t>either the</w:t>
      </w:r>
      <w:r w:rsidR="008A75E3" w:rsidRPr="004B0BC2">
        <w:rPr>
          <w:rFonts w:asciiTheme="minorHAnsi" w:hAnsiTheme="minorHAnsi" w:cstheme="minorHAnsi"/>
          <w:sz w:val="22"/>
          <w:szCs w:val="22"/>
          <w:shd w:val="clear" w:color="auto" w:fill="FFFFFF" w:themeFill="background1"/>
        </w:rPr>
        <w:t xml:space="preserve"> parietal</w:t>
      </w:r>
      <w:r w:rsidR="00095551" w:rsidRPr="004B0BC2">
        <w:rPr>
          <w:rFonts w:asciiTheme="minorHAnsi" w:hAnsiTheme="minorHAnsi" w:cstheme="minorHAnsi"/>
          <w:sz w:val="22"/>
          <w:szCs w:val="22"/>
          <w:shd w:val="clear" w:color="auto" w:fill="FFFFFF" w:themeFill="background1"/>
        </w:rPr>
        <w:t xml:space="preserve"> </w:t>
      </w:r>
      <w:r w:rsidR="008A75E3" w:rsidRPr="004B0BC2">
        <w:rPr>
          <w:rFonts w:asciiTheme="minorHAnsi" w:hAnsiTheme="minorHAnsi" w:cstheme="minorHAnsi"/>
          <w:sz w:val="22"/>
          <w:szCs w:val="22"/>
          <w:shd w:val="clear" w:color="auto" w:fill="FFFFFF" w:themeFill="background1"/>
        </w:rPr>
        <w:t>peritoneum</w:t>
      </w:r>
      <w:r w:rsidR="00D37D15" w:rsidRPr="004B0BC2">
        <w:rPr>
          <w:rFonts w:asciiTheme="minorHAnsi" w:hAnsiTheme="minorHAnsi" w:cstheme="minorHAnsi"/>
          <w:sz w:val="22"/>
          <w:szCs w:val="22"/>
          <w:shd w:val="clear" w:color="auto" w:fill="FFFFFF" w:themeFill="background1"/>
        </w:rPr>
        <w:t xml:space="preserve"> (draining into the caval or systematic venous system)</w:t>
      </w:r>
      <w:r w:rsidR="00114B3E" w:rsidRPr="004B0BC2">
        <w:rPr>
          <w:rFonts w:asciiTheme="minorHAnsi" w:hAnsiTheme="minorHAnsi" w:cstheme="minorHAnsi"/>
          <w:sz w:val="22"/>
          <w:szCs w:val="22"/>
          <w:shd w:val="clear" w:color="auto" w:fill="FFFFFF" w:themeFill="background1"/>
        </w:rPr>
        <w:t xml:space="preserve"> </w:t>
      </w:r>
      <w:r w:rsidR="00D37D15" w:rsidRPr="004B0BC2">
        <w:rPr>
          <w:rFonts w:asciiTheme="minorHAnsi" w:hAnsiTheme="minorHAnsi" w:cstheme="minorHAnsi"/>
          <w:sz w:val="22"/>
          <w:szCs w:val="22"/>
          <w:shd w:val="clear" w:color="auto" w:fill="FFFFFF" w:themeFill="background1"/>
        </w:rPr>
        <w:t>or</w:t>
      </w:r>
      <w:r w:rsidR="00114B3E" w:rsidRPr="004B0BC2">
        <w:rPr>
          <w:rFonts w:asciiTheme="minorHAnsi" w:hAnsiTheme="minorHAnsi" w:cstheme="minorHAnsi"/>
          <w:sz w:val="22"/>
          <w:szCs w:val="22"/>
          <w:shd w:val="clear" w:color="auto" w:fill="FFFFFF" w:themeFill="background1"/>
        </w:rPr>
        <w:t xml:space="preserve"> mesenterium</w:t>
      </w:r>
      <w:r w:rsidR="008A75E3" w:rsidRPr="004B0BC2">
        <w:rPr>
          <w:rFonts w:asciiTheme="minorHAnsi" w:hAnsiTheme="minorHAnsi" w:cstheme="minorHAnsi"/>
          <w:sz w:val="22"/>
          <w:szCs w:val="22"/>
          <w:shd w:val="clear" w:color="auto" w:fill="FFFFFF" w:themeFill="background1"/>
        </w:rPr>
        <w:t xml:space="preserve"> </w:t>
      </w:r>
      <w:r w:rsidR="00D37D15" w:rsidRPr="004B0BC2">
        <w:rPr>
          <w:rFonts w:asciiTheme="minorHAnsi" w:hAnsiTheme="minorHAnsi" w:cstheme="minorHAnsi"/>
          <w:sz w:val="22"/>
          <w:szCs w:val="22"/>
          <w:shd w:val="clear" w:color="auto" w:fill="FFFFFF" w:themeFill="background1"/>
        </w:rPr>
        <w:t>(</w:t>
      </w:r>
      <w:r w:rsidR="008A75E3" w:rsidRPr="004B0BC2">
        <w:rPr>
          <w:rFonts w:asciiTheme="minorHAnsi" w:hAnsiTheme="minorHAnsi" w:cstheme="minorHAnsi"/>
          <w:sz w:val="22"/>
          <w:szCs w:val="22"/>
          <w:shd w:val="clear" w:color="auto" w:fill="FFFFFF" w:themeFill="background1"/>
        </w:rPr>
        <w:t xml:space="preserve">the </w:t>
      </w:r>
      <w:r w:rsidR="00D37D15" w:rsidRPr="004B0BC2">
        <w:rPr>
          <w:rFonts w:asciiTheme="minorHAnsi" w:hAnsiTheme="minorHAnsi" w:cstheme="minorHAnsi"/>
          <w:sz w:val="22"/>
          <w:szCs w:val="22"/>
          <w:shd w:val="clear" w:color="auto" w:fill="FFFFFF" w:themeFill="background1"/>
        </w:rPr>
        <w:t xml:space="preserve">portal venous </w:t>
      </w:r>
      <w:r w:rsidR="008A75E3" w:rsidRPr="004B0BC2">
        <w:rPr>
          <w:rFonts w:asciiTheme="minorHAnsi" w:hAnsiTheme="minorHAnsi" w:cstheme="minorHAnsi"/>
          <w:sz w:val="22"/>
          <w:szCs w:val="22"/>
          <w:shd w:val="clear" w:color="auto" w:fill="FFFFFF" w:themeFill="background1"/>
        </w:rPr>
        <w:t>drainage</w:t>
      </w:r>
      <w:r w:rsidR="00D37D15" w:rsidRPr="004B0BC2">
        <w:rPr>
          <w:rFonts w:asciiTheme="minorHAnsi" w:hAnsiTheme="minorHAnsi" w:cstheme="minorHAnsi"/>
          <w:sz w:val="22"/>
          <w:szCs w:val="22"/>
          <w:shd w:val="clear" w:color="auto" w:fill="FFFFFF" w:themeFill="background1"/>
        </w:rPr>
        <w:t xml:space="preserve"> system)</w:t>
      </w:r>
      <w:r w:rsidR="00F32CED">
        <w:rPr>
          <w:rFonts w:asciiTheme="minorHAnsi" w:hAnsiTheme="minorHAnsi" w:cstheme="minorHAnsi"/>
          <w:sz w:val="22"/>
          <w:szCs w:val="22"/>
          <w:shd w:val="clear" w:color="auto" w:fill="FFFFFF" w:themeFill="background1"/>
        </w:rPr>
        <w:t>,</w:t>
      </w:r>
      <w:r w:rsidR="00114B3E" w:rsidRPr="004B0BC2">
        <w:rPr>
          <w:rFonts w:asciiTheme="minorHAnsi" w:hAnsiTheme="minorHAnsi" w:cstheme="minorHAnsi"/>
          <w:sz w:val="22"/>
          <w:szCs w:val="22"/>
          <w:shd w:val="clear" w:color="auto" w:fill="FFFFFF" w:themeFill="background1"/>
        </w:rPr>
        <w:t xml:space="preserve"> </w:t>
      </w:r>
      <w:r w:rsidR="00095551" w:rsidRPr="004B0BC2">
        <w:rPr>
          <w:rFonts w:asciiTheme="minorHAnsi" w:hAnsiTheme="minorHAnsi" w:cstheme="minorHAnsi"/>
          <w:sz w:val="22"/>
          <w:szCs w:val="22"/>
          <w:shd w:val="clear" w:color="auto" w:fill="FFFFFF" w:themeFill="background1"/>
        </w:rPr>
        <w:t>mice</w:t>
      </w:r>
      <w:r w:rsidR="00114B3E" w:rsidRPr="004B0BC2">
        <w:rPr>
          <w:rFonts w:asciiTheme="minorHAnsi" w:hAnsiTheme="minorHAnsi" w:cstheme="minorHAnsi"/>
          <w:sz w:val="22"/>
          <w:szCs w:val="22"/>
          <w:shd w:val="clear" w:color="auto" w:fill="FFFFFF" w:themeFill="background1"/>
        </w:rPr>
        <w:t xml:space="preserve"> </w:t>
      </w:r>
      <w:r w:rsidR="00095551" w:rsidRPr="004B0BC2">
        <w:rPr>
          <w:rFonts w:asciiTheme="minorHAnsi" w:hAnsiTheme="minorHAnsi" w:cstheme="minorHAnsi"/>
          <w:sz w:val="22"/>
          <w:szCs w:val="22"/>
          <w:shd w:val="clear" w:color="auto" w:fill="FFFFFF" w:themeFill="background1"/>
        </w:rPr>
        <w:t xml:space="preserve">with a </w:t>
      </w:r>
      <w:r w:rsidR="00114B3E" w:rsidRPr="004B0BC2">
        <w:rPr>
          <w:rFonts w:asciiTheme="minorHAnsi" w:hAnsiTheme="minorHAnsi" w:cstheme="minorHAnsi"/>
          <w:sz w:val="22"/>
          <w:szCs w:val="22"/>
          <w:shd w:val="clear" w:color="auto" w:fill="FFFFFF" w:themeFill="background1"/>
        </w:rPr>
        <w:t>fat transpla</w:t>
      </w:r>
      <w:r w:rsidR="00114B3E" w:rsidRPr="004B0BC2">
        <w:rPr>
          <w:rFonts w:asciiTheme="minorHAnsi" w:hAnsiTheme="minorHAnsi" w:cstheme="minorHAnsi"/>
          <w:sz w:val="22"/>
          <w:szCs w:val="22"/>
          <w:shd w:val="clear" w:color="auto" w:fill="FFFFFF"/>
        </w:rPr>
        <w:t>nt in the mesent</w:t>
      </w:r>
      <w:r w:rsidR="00C20D2D" w:rsidRPr="004B0BC2">
        <w:rPr>
          <w:rFonts w:asciiTheme="minorHAnsi" w:hAnsiTheme="minorHAnsi" w:cstheme="minorHAnsi"/>
          <w:sz w:val="22"/>
          <w:szCs w:val="22"/>
          <w:shd w:val="clear" w:color="auto" w:fill="FFFFFF"/>
        </w:rPr>
        <w:t>e</w:t>
      </w:r>
      <w:r w:rsidR="00114B3E" w:rsidRPr="004B0BC2">
        <w:rPr>
          <w:rFonts w:asciiTheme="minorHAnsi" w:hAnsiTheme="minorHAnsi" w:cstheme="minorHAnsi"/>
          <w:sz w:val="22"/>
          <w:szCs w:val="22"/>
          <w:shd w:val="clear" w:color="auto" w:fill="FFFFFF"/>
        </w:rPr>
        <w:t xml:space="preserve">rium had a </w:t>
      </w:r>
      <w:r w:rsidR="008A75E3" w:rsidRPr="004B0BC2">
        <w:rPr>
          <w:rFonts w:asciiTheme="minorHAnsi" w:hAnsiTheme="minorHAnsi" w:cstheme="minorHAnsi"/>
          <w:sz w:val="22"/>
          <w:szCs w:val="22"/>
          <w:shd w:val="clear" w:color="auto" w:fill="FFFFFF"/>
        </w:rPr>
        <w:t>significantly</w:t>
      </w:r>
      <w:r w:rsidR="00114B3E" w:rsidRPr="004B0BC2">
        <w:rPr>
          <w:rFonts w:asciiTheme="minorHAnsi" w:hAnsiTheme="minorHAnsi" w:cstheme="minorHAnsi"/>
          <w:sz w:val="22"/>
          <w:szCs w:val="22"/>
          <w:shd w:val="clear" w:color="auto" w:fill="FFFFFF"/>
        </w:rPr>
        <w:t xml:space="preserve"> higher glucose concentration </w:t>
      </w:r>
      <w:r w:rsidR="00F32CED">
        <w:rPr>
          <w:rFonts w:asciiTheme="minorHAnsi" w:hAnsiTheme="minorHAnsi" w:cstheme="minorHAnsi"/>
          <w:sz w:val="22"/>
          <w:szCs w:val="22"/>
          <w:shd w:val="clear" w:color="auto" w:fill="FFFFFF"/>
        </w:rPr>
        <w:t>after</w:t>
      </w:r>
      <w:r w:rsidR="00003962" w:rsidRPr="004B0BC2">
        <w:rPr>
          <w:rFonts w:asciiTheme="minorHAnsi" w:hAnsiTheme="minorHAnsi" w:cstheme="minorHAnsi"/>
          <w:sz w:val="22"/>
          <w:szCs w:val="22"/>
          <w:shd w:val="clear" w:color="auto" w:fill="FFFFFF"/>
        </w:rPr>
        <w:t xml:space="preserve"> an</w:t>
      </w:r>
      <w:r w:rsidR="00114B3E" w:rsidRPr="004B0BC2">
        <w:rPr>
          <w:rFonts w:asciiTheme="minorHAnsi" w:hAnsiTheme="minorHAnsi" w:cstheme="minorHAnsi"/>
          <w:sz w:val="22"/>
          <w:szCs w:val="22"/>
          <w:shd w:val="clear" w:color="auto" w:fill="FFFFFF"/>
        </w:rPr>
        <w:t xml:space="preserve"> intraperitoneal glucose load </w:t>
      </w:r>
      <w:r w:rsidR="00F32CED">
        <w:rPr>
          <w:rFonts w:asciiTheme="minorHAnsi" w:hAnsiTheme="minorHAnsi" w:cstheme="minorHAnsi"/>
          <w:sz w:val="22"/>
          <w:szCs w:val="22"/>
          <w:shd w:val="clear" w:color="auto" w:fill="FFFFFF"/>
        </w:rPr>
        <w:t>than</w:t>
      </w:r>
      <w:r w:rsidR="00114B3E" w:rsidRPr="004B0BC2">
        <w:rPr>
          <w:rFonts w:asciiTheme="minorHAnsi" w:hAnsiTheme="minorHAnsi" w:cstheme="minorHAnsi"/>
          <w:sz w:val="22"/>
          <w:szCs w:val="22"/>
          <w:shd w:val="clear" w:color="auto" w:fill="FFFFFF"/>
        </w:rPr>
        <w:t xml:space="preserve"> the mice that received a fat transplant in the periton</w:t>
      </w:r>
      <w:r w:rsidR="008A75E3" w:rsidRPr="004B0BC2">
        <w:rPr>
          <w:rFonts w:asciiTheme="minorHAnsi" w:hAnsiTheme="minorHAnsi" w:cstheme="minorHAnsi"/>
          <w:sz w:val="22"/>
          <w:szCs w:val="22"/>
          <w:shd w:val="clear" w:color="auto" w:fill="FFFFFF"/>
        </w:rPr>
        <w:t>e</w:t>
      </w:r>
      <w:r w:rsidR="00114B3E" w:rsidRPr="004B0BC2">
        <w:rPr>
          <w:rFonts w:asciiTheme="minorHAnsi" w:hAnsiTheme="minorHAnsi" w:cstheme="minorHAnsi"/>
          <w:sz w:val="22"/>
          <w:szCs w:val="22"/>
          <w:shd w:val="clear" w:color="auto" w:fill="FFFFFF"/>
        </w:rPr>
        <w:t xml:space="preserve">um </w:t>
      </w:r>
      <w:r w:rsidR="00114B3E" w:rsidRPr="004B0BC2">
        <w:rPr>
          <w:rFonts w:asciiTheme="minorHAnsi" w:hAnsiTheme="minorHAnsi" w:cstheme="minorHAnsi"/>
          <w:sz w:val="22"/>
          <w:szCs w:val="22"/>
          <w:shd w:val="clear" w:color="auto" w:fill="FFFFFF" w:themeFill="background1"/>
        </w:rPr>
        <w:t>(</w:t>
      </w:r>
      <w:r w:rsidR="007D457B" w:rsidRPr="004B0BC2">
        <w:rPr>
          <w:rStyle w:val="Emphasis"/>
          <w:rFonts w:asciiTheme="minorHAnsi" w:hAnsiTheme="minorHAnsi" w:cstheme="minorHAnsi"/>
          <w:i w:val="0"/>
          <w:iCs w:val="0"/>
          <w:sz w:val="22"/>
          <w:szCs w:val="22"/>
          <w:shd w:val="clear" w:color="auto" w:fill="FFFFFF" w:themeFill="background1"/>
        </w:rPr>
        <w:t>p</w:t>
      </w:r>
      <w:r w:rsidR="00114B3E" w:rsidRPr="004B0BC2">
        <w:rPr>
          <w:rFonts w:asciiTheme="minorHAnsi" w:hAnsiTheme="minorHAnsi" w:cstheme="minorHAnsi"/>
          <w:sz w:val="22"/>
          <w:szCs w:val="22"/>
          <w:shd w:val="clear" w:color="auto" w:fill="FFFFFF" w:themeFill="background1"/>
        </w:rPr>
        <w:t>&lt;0.001)</w:t>
      </w:r>
      <w:r w:rsidR="00F32CED" w:rsidRPr="004B0BC2">
        <w:rPr>
          <w:rFonts w:asciiTheme="minorHAnsi" w:hAnsiTheme="minorHAnsi" w:cstheme="minorHAnsi"/>
          <w:sz w:val="22"/>
          <w:szCs w:val="22"/>
          <w:shd w:val="clear" w:color="auto" w:fill="FFFFFF" w:themeFill="background1"/>
        </w:rPr>
        <w:fldChar w:fldCharType="begin" w:fldLock="1"/>
      </w:r>
      <w:r w:rsidR="00693DD5">
        <w:rPr>
          <w:rFonts w:asciiTheme="minorHAnsi" w:hAnsiTheme="minorHAnsi" w:cstheme="minorHAnsi"/>
          <w:sz w:val="22"/>
          <w:szCs w:val="22"/>
          <w:shd w:val="clear" w:color="auto" w:fill="FFFFFF" w:themeFill="background1"/>
        </w:rPr>
        <w:instrText>ADDIN CSL_CITATION {"citationItems":[{"id":"ITEM-1","itemData":{"DOI":"10.2337/db10-0697","ISSN":"00121797","abstract":"OBJECTIVE: The \"portal hypothesis\" proposes that the liver is directly exposed to free fatty acids and cytokines increasingly released from visceral fat tissue into the portal vein of obese subjects, thus rendering visceral fat accumulation particularly hazardous for the development of hepatic insulin resistance and type 2 diabetes. In the present study, we used a fat transplantation paradigm to (artificially) increase intra-abdominal fat mass to test the hypothesis that venous drainage of fat tissue determines its impact on glucose homeostasis. RESEARCH DESIGN AND METHODS: Epididymal fat pads of C57Bl6/J donor mice were transplanted into littermates, either to the parietal peritoneum (caval/systemic venous drainage) or, by using a novel approach, to the mesenterium, which confers portal venous drainage. RESULTS: Only mice receiving the portal drained fat transplant developed impaired glucose tolerance and hepatic insulin resistance. mRNA expression of proinflammatory cytokines was increased in both portally and systemically transplanted fat pads. However, portal vein (but not systemic) plasma levels of interleukin (IL)-6 were elevated only in mice receiving a portal fat transplant. Intriguingly, mice receiving portal drained transplants from IL-6 knockout mice showed normal glucose tolerance. CONCLUSIONS: These results demonstrate that the metabolic fate of intra-abdominal fat tissue transplantation is determined by the delivery of inflammatory cytokines to the liver specifically via the portal system, providing direct evidence in support of the portal hypothesis. © 2011 by the American Diabetes Association.","author":[{"dropping-particle":"","family":"Rytka","given":"Julia M.","non-dropping-particle":"","parse-names":false,"suffix":""},{"dropping-particle":"","family":"Wueest","given":"Stephan","non-dropping-particle":"","parse-names":false,"suffix":""},{"dropping-particle":"","family":"Schoenle","given":"Eugen J.","non-dropping-particle":"","parse-names":false,"suffix":""},{"dropping-particle":"","family":"Konrad","given":"Daniel","non-dropping-particle":"","parse-names":false,"suffix":""}],"container-title":"Diabetes","id":"ITEM-1","issue":"1","issued":{"date-parts":[["2011"]]},"page":"56-63","title":"The portal theory supported by venous drainage-selective fat transplantation","type":"article-journal","volume":"60"},"uris":["http://www.mendeley.com/documents/?uuid=e1dc1e5c-8721-4a39-b82b-2977f9cd956a"]}],"mendeley":{"formattedCitation":"(52)","plainTextFormattedCitation":"(52)","previouslyFormattedCitation":"(52)"},"properties":{"noteIndex":0},"schema":"https://github.com/citation-style-language/schema/raw/master/csl-citation.json"}</w:instrText>
      </w:r>
      <w:r w:rsidR="00F32CED" w:rsidRPr="004B0BC2">
        <w:rPr>
          <w:rFonts w:asciiTheme="minorHAnsi" w:hAnsiTheme="minorHAnsi" w:cstheme="minorHAnsi"/>
          <w:sz w:val="22"/>
          <w:szCs w:val="22"/>
          <w:shd w:val="clear" w:color="auto" w:fill="FFFFFF" w:themeFill="background1"/>
        </w:rPr>
        <w:fldChar w:fldCharType="separate"/>
      </w:r>
      <w:r w:rsidR="00693DD5" w:rsidRPr="00693DD5">
        <w:rPr>
          <w:rFonts w:asciiTheme="minorHAnsi" w:hAnsiTheme="minorHAnsi" w:cstheme="minorHAnsi"/>
          <w:noProof/>
          <w:sz w:val="22"/>
          <w:szCs w:val="22"/>
          <w:shd w:val="clear" w:color="auto" w:fill="FFFFFF" w:themeFill="background1"/>
        </w:rPr>
        <w:t>(52)</w:t>
      </w:r>
      <w:r w:rsidR="00F32CED" w:rsidRPr="004B0BC2">
        <w:rPr>
          <w:rFonts w:asciiTheme="minorHAnsi" w:hAnsiTheme="minorHAnsi" w:cstheme="minorHAnsi"/>
          <w:sz w:val="22"/>
          <w:szCs w:val="22"/>
          <w:shd w:val="clear" w:color="auto" w:fill="FFFFFF" w:themeFill="background1"/>
        </w:rPr>
        <w:fldChar w:fldCharType="end"/>
      </w:r>
      <w:r w:rsidR="0036238B" w:rsidRPr="004B0BC2">
        <w:rPr>
          <w:rFonts w:asciiTheme="minorHAnsi" w:hAnsiTheme="minorHAnsi" w:cstheme="minorHAnsi"/>
          <w:sz w:val="22"/>
          <w:szCs w:val="22"/>
          <w:shd w:val="clear" w:color="auto" w:fill="FFFFFF" w:themeFill="background1"/>
        </w:rPr>
        <w:t>. This</w:t>
      </w:r>
      <w:r w:rsidR="00F32CED">
        <w:rPr>
          <w:rFonts w:asciiTheme="minorHAnsi" w:hAnsiTheme="minorHAnsi" w:cstheme="minorHAnsi"/>
          <w:sz w:val="22"/>
          <w:szCs w:val="22"/>
          <w:shd w:val="clear" w:color="auto" w:fill="FFFFFF" w:themeFill="background1"/>
        </w:rPr>
        <w:t xml:space="preserve"> glucose concentration</w:t>
      </w:r>
      <w:r w:rsidR="0036238B" w:rsidRPr="004B0BC2">
        <w:rPr>
          <w:rFonts w:asciiTheme="minorHAnsi" w:hAnsiTheme="minorHAnsi" w:cstheme="minorHAnsi"/>
          <w:sz w:val="22"/>
          <w:szCs w:val="22"/>
          <w:shd w:val="clear" w:color="auto" w:fill="FFFFFF" w:themeFill="background1"/>
        </w:rPr>
        <w:t xml:space="preserve"> corresponded with an increase in portal but not systematic IL-6 concentrations.</w:t>
      </w:r>
      <w:r w:rsidR="0036238B" w:rsidRPr="004B0BC2">
        <w:rPr>
          <w:rFonts w:asciiTheme="minorHAnsi" w:hAnsiTheme="minorHAnsi" w:cstheme="minorHAnsi"/>
          <w:sz w:val="22"/>
          <w:szCs w:val="22"/>
          <w:shd w:val="clear" w:color="auto" w:fill="FFFCF0"/>
        </w:rPr>
        <w:t xml:space="preserve"> </w:t>
      </w:r>
      <w:r w:rsidR="00F658DF" w:rsidRPr="004B0BC2">
        <w:rPr>
          <w:rFonts w:asciiTheme="minorHAnsi" w:hAnsiTheme="minorHAnsi" w:cstheme="minorHAnsi"/>
          <w:sz w:val="22"/>
          <w:szCs w:val="22"/>
          <w:shd w:val="clear" w:color="auto" w:fill="FFFFFF"/>
        </w:rPr>
        <w:t>A</w:t>
      </w:r>
      <w:r w:rsidR="00F32CED">
        <w:rPr>
          <w:rFonts w:asciiTheme="minorHAnsi" w:hAnsiTheme="minorHAnsi" w:cstheme="minorHAnsi"/>
          <w:sz w:val="22"/>
          <w:szCs w:val="22"/>
          <w:shd w:val="clear" w:color="auto" w:fill="FFFFFF"/>
        </w:rPr>
        <w:t>pplication of a</w:t>
      </w:r>
      <w:r w:rsidR="00F658DF" w:rsidRPr="004B0BC2">
        <w:rPr>
          <w:rFonts w:asciiTheme="minorHAnsi" w:hAnsiTheme="minorHAnsi" w:cstheme="minorHAnsi"/>
          <w:sz w:val="22"/>
          <w:szCs w:val="22"/>
          <w:shd w:val="clear" w:color="auto" w:fill="FFFFFF"/>
        </w:rPr>
        <w:t xml:space="preserve"> </w:t>
      </w:r>
      <w:r w:rsidR="00F32CED">
        <w:rPr>
          <w:rFonts w:asciiTheme="minorHAnsi" w:hAnsiTheme="minorHAnsi" w:cstheme="minorHAnsi"/>
          <w:sz w:val="22"/>
          <w:szCs w:val="22"/>
          <w:shd w:val="clear" w:color="auto" w:fill="FFFFFF"/>
        </w:rPr>
        <w:t>h</w:t>
      </w:r>
      <w:r w:rsidR="0036238B" w:rsidRPr="004B0BC2">
        <w:rPr>
          <w:rFonts w:asciiTheme="minorHAnsi" w:hAnsiTheme="minorHAnsi" w:cstheme="minorHAnsi"/>
          <w:sz w:val="22"/>
          <w:szCs w:val="22"/>
          <w:shd w:val="clear" w:color="auto" w:fill="FFFFFF"/>
        </w:rPr>
        <w:t>yperinsulinemic-euglycemic clamp</w:t>
      </w:r>
      <w:r w:rsidR="00F32CED">
        <w:rPr>
          <w:rFonts w:asciiTheme="minorHAnsi" w:hAnsiTheme="minorHAnsi" w:cstheme="minorHAnsi"/>
          <w:sz w:val="22"/>
          <w:szCs w:val="22"/>
          <w:shd w:val="clear" w:color="auto" w:fill="FFFFFF"/>
        </w:rPr>
        <w:t xml:space="preserve"> </w:t>
      </w:r>
      <w:r w:rsidR="00F658DF" w:rsidRPr="004B0BC2">
        <w:rPr>
          <w:rFonts w:asciiTheme="minorHAnsi" w:hAnsiTheme="minorHAnsi" w:cstheme="minorHAnsi"/>
          <w:sz w:val="22"/>
          <w:szCs w:val="22"/>
          <w:shd w:val="clear" w:color="auto" w:fill="FFFFFF"/>
        </w:rPr>
        <w:t>to both sham</w:t>
      </w:r>
      <w:r w:rsidR="00F32CED">
        <w:rPr>
          <w:rFonts w:asciiTheme="minorHAnsi" w:hAnsiTheme="minorHAnsi" w:cstheme="minorHAnsi"/>
          <w:sz w:val="22"/>
          <w:szCs w:val="22"/>
          <w:shd w:val="clear" w:color="auto" w:fill="FFFFFF"/>
        </w:rPr>
        <w:t>-</w:t>
      </w:r>
      <w:r w:rsidR="00F658DF" w:rsidRPr="004B0BC2">
        <w:rPr>
          <w:rFonts w:asciiTheme="minorHAnsi" w:hAnsiTheme="minorHAnsi" w:cstheme="minorHAnsi"/>
          <w:sz w:val="22"/>
          <w:szCs w:val="22"/>
          <w:shd w:val="clear" w:color="auto" w:fill="FFFFFF"/>
        </w:rPr>
        <w:t>operated and fat</w:t>
      </w:r>
      <w:r w:rsidR="00F32CED">
        <w:rPr>
          <w:rFonts w:asciiTheme="minorHAnsi" w:hAnsiTheme="minorHAnsi" w:cstheme="minorHAnsi"/>
          <w:sz w:val="22"/>
          <w:szCs w:val="22"/>
          <w:shd w:val="clear" w:color="auto" w:fill="FFFFFF"/>
        </w:rPr>
        <w:t>-</w:t>
      </w:r>
      <w:r w:rsidR="00F658DF" w:rsidRPr="004B0BC2">
        <w:rPr>
          <w:rFonts w:asciiTheme="minorHAnsi" w:hAnsiTheme="minorHAnsi" w:cstheme="minorHAnsi"/>
          <w:sz w:val="22"/>
          <w:szCs w:val="22"/>
          <w:shd w:val="clear" w:color="auto" w:fill="FFFFFF"/>
        </w:rPr>
        <w:t xml:space="preserve">transplanted mice </w:t>
      </w:r>
      <w:r w:rsidR="00F32CED">
        <w:rPr>
          <w:rFonts w:asciiTheme="minorHAnsi" w:hAnsiTheme="minorHAnsi" w:cstheme="minorHAnsi"/>
          <w:sz w:val="22"/>
          <w:szCs w:val="22"/>
          <w:shd w:val="clear" w:color="auto" w:fill="FFFFFF"/>
        </w:rPr>
        <w:t>resulted in</w:t>
      </w:r>
      <w:r w:rsidR="00F658DF" w:rsidRPr="004B0BC2">
        <w:rPr>
          <w:rFonts w:asciiTheme="minorHAnsi" w:hAnsiTheme="minorHAnsi" w:cstheme="minorHAnsi"/>
          <w:sz w:val="22"/>
          <w:szCs w:val="22"/>
          <w:shd w:val="clear" w:color="auto" w:fill="FFFFFF"/>
        </w:rPr>
        <w:t xml:space="preserve"> an </w:t>
      </w:r>
      <w:r w:rsidR="0036238B" w:rsidRPr="004B0BC2">
        <w:rPr>
          <w:rFonts w:asciiTheme="minorHAnsi" w:hAnsiTheme="minorHAnsi" w:cstheme="minorHAnsi"/>
          <w:sz w:val="22"/>
          <w:szCs w:val="22"/>
          <w:shd w:val="clear" w:color="auto" w:fill="FFFFFF"/>
        </w:rPr>
        <w:t>insulin-induced suppression of endogenous glucose production in sham</w:t>
      </w:r>
      <w:r w:rsidR="00F32CED">
        <w:rPr>
          <w:rFonts w:asciiTheme="minorHAnsi" w:hAnsiTheme="minorHAnsi" w:cstheme="minorHAnsi"/>
          <w:sz w:val="22"/>
          <w:szCs w:val="22"/>
          <w:shd w:val="clear" w:color="auto" w:fill="FFFFFF"/>
        </w:rPr>
        <w:t>-</w:t>
      </w:r>
      <w:r w:rsidR="0036238B" w:rsidRPr="004B0BC2">
        <w:rPr>
          <w:rFonts w:asciiTheme="minorHAnsi" w:hAnsiTheme="minorHAnsi" w:cstheme="minorHAnsi"/>
          <w:sz w:val="22"/>
          <w:szCs w:val="22"/>
          <w:shd w:val="clear" w:color="auto" w:fill="FFFFFF"/>
        </w:rPr>
        <w:t xml:space="preserve">operated </w:t>
      </w:r>
      <w:r w:rsidR="007230AE" w:rsidRPr="004B0BC2">
        <w:rPr>
          <w:rFonts w:asciiTheme="minorHAnsi" w:hAnsiTheme="minorHAnsi" w:cstheme="minorHAnsi"/>
          <w:sz w:val="22"/>
          <w:szCs w:val="22"/>
          <w:shd w:val="clear" w:color="auto" w:fill="FFFFFF"/>
        </w:rPr>
        <w:t>mice,</w:t>
      </w:r>
      <w:r w:rsidR="0036238B" w:rsidRPr="004B0BC2">
        <w:rPr>
          <w:rFonts w:asciiTheme="minorHAnsi" w:hAnsiTheme="minorHAnsi" w:cstheme="minorHAnsi"/>
          <w:sz w:val="22"/>
          <w:szCs w:val="22"/>
          <w:shd w:val="clear" w:color="auto" w:fill="FFFFFF"/>
        </w:rPr>
        <w:t xml:space="preserve"> but this </w:t>
      </w:r>
      <w:r w:rsidR="00F658DF" w:rsidRPr="004B0BC2">
        <w:rPr>
          <w:rFonts w:asciiTheme="minorHAnsi" w:hAnsiTheme="minorHAnsi" w:cstheme="minorHAnsi"/>
          <w:sz w:val="22"/>
          <w:szCs w:val="22"/>
          <w:shd w:val="clear" w:color="auto" w:fill="FFFFFF"/>
        </w:rPr>
        <w:t>effect was</w:t>
      </w:r>
      <w:r w:rsidR="0036238B" w:rsidRPr="004B0BC2">
        <w:rPr>
          <w:rFonts w:asciiTheme="minorHAnsi" w:hAnsiTheme="minorHAnsi" w:cstheme="minorHAnsi"/>
          <w:sz w:val="22"/>
          <w:szCs w:val="22"/>
          <w:shd w:val="clear" w:color="auto" w:fill="FFFFFF"/>
        </w:rPr>
        <w:t xml:space="preserve"> blunted in mice </w:t>
      </w:r>
      <w:r w:rsidR="00F658DF" w:rsidRPr="004B0BC2">
        <w:rPr>
          <w:rFonts w:asciiTheme="minorHAnsi" w:hAnsiTheme="minorHAnsi" w:cstheme="minorHAnsi"/>
          <w:sz w:val="22"/>
          <w:szCs w:val="22"/>
          <w:shd w:val="clear" w:color="auto" w:fill="FFFFFF"/>
        </w:rPr>
        <w:t>with a mesenterium fat</w:t>
      </w:r>
      <w:r w:rsidR="0036238B" w:rsidRPr="004B0BC2">
        <w:rPr>
          <w:rFonts w:asciiTheme="minorHAnsi" w:hAnsiTheme="minorHAnsi" w:cstheme="minorHAnsi"/>
          <w:sz w:val="22"/>
          <w:szCs w:val="22"/>
          <w:shd w:val="clear" w:color="auto" w:fill="FFFFFF"/>
        </w:rPr>
        <w:t xml:space="preserve"> transplant (</w:t>
      </w:r>
      <w:r w:rsidR="007D457B" w:rsidRPr="004B0BC2">
        <w:rPr>
          <w:rFonts w:asciiTheme="minorHAnsi" w:hAnsiTheme="minorHAnsi" w:cstheme="minorHAnsi"/>
          <w:sz w:val="22"/>
          <w:szCs w:val="22"/>
          <w:shd w:val="clear" w:color="auto" w:fill="FFFFFF"/>
        </w:rPr>
        <w:t>p</w:t>
      </w:r>
      <w:r w:rsidR="0036238B" w:rsidRPr="004B0BC2">
        <w:rPr>
          <w:rFonts w:asciiTheme="minorHAnsi" w:hAnsiTheme="minorHAnsi" w:cstheme="minorHAnsi"/>
          <w:sz w:val="22"/>
          <w:szCs w:val="22"/>
          <w:shd w:val="clear" w:color="auto" w:fill="FFFFFF"/>
        </w:rPr>
        <w:t>&lt;0.05). Collectively th</w:t>
      </w:r>
      <w:r w:rsidR="00F32CED">
        <w:rPr>
          <w:rFonts w:asciiTheme="minorHAnsi" w:hAnsiTheme="minorHAnsi" w:cstheme="minorHAnsi"/>
          <w:sz w:val="22"/>
          <w:szCs w:val="22"/>
          <w:shd w:val="clear" w:color="auto" w:fill="FFFFFF"/>
        </w:rPr>
        <w:t>ese data</w:t>
      </w:r>
      <w:r w:rsidR="00866A8E" w:rsidRPr="004B0BC2">
        <w:rPr>
          <w:rFonts w:asciiTheme="minorHAnsi" w:hAnsiTheme="minorHAnsi" w:cstheme="minorHAnsi"/>
          <w:sz w:val="22"/>
          <w:szCs w:val="22"/>
          <w:shd w:val="clear" w:color="auto" w:fill="FFFFFF"/>
        </w:rPr>
        <w:t xml:space="preserve"> suggest that mice with fat pad transplants in the mesenterium developed hepatic insulin resistance and impaired glucose tolerance</w:t>
      </w:r>
      <w:r w:rsidR="00F32CED">
        <w:rPr>
          <w:rFonts w:asciiTheme="minorHAnsi" w:hAnsiTheme="minorHAnsi" w:cstheme="minorHAnsi"/>
          <w:sz w:val="22"/>
          <w:szCs w:val="22"/>
          <w:shd w:val="clear" w:color="auto" w:fill="FFFFFF"/>
        </w:rPr>
        <w:t>, which</w:t>
      </w:r>
      <w:r w:rsidR="00866A8E" w:rsidRPr="004B0BC2">
        <w:rPr>
          <w:rFonts w:asciiTheme="minorHAnsi" w:hAnsiTheme="minorHAnsi" w:cstheme="minorHAnsi"/>
          <w:sz w:val="22"/>
          <w:szCs w:val="22"/>
          <w:shd w:val="clear" w:color="auto" w:fill="FFFFFF"/>
        </w:rPr>
        <w:t xml:space="preserve"> was associated with an increase in cytokine Il-6. </w:t>
      </w:r>
      <w:r w:rsidR="00E82922" w:rsidRPr="004B0BC2">
        <w:rPr>
          <w:rFonts w:asciiTheme="minorHAnsi" w:hAnsiTheme="minorHAnsi" w:cstheme="minorHAnsi"/>
          <w:sz w:val="22"/>
          <w:szCs w:val="22"/>
          <w:shd w:val="clear" w:color="auto" w:fill="FFFFFF"/>
        </w:rPr>
        <w:t xml:space="preserve">Thus, men </w:t>
      </w:r>
      <w:r w:rsidR="00F32CED">
        <w:rPr>
          <w:rFonts w:asciiTheme="minorHAnsi" w:hAnsiTheme="minorHAnsi" w:cstheme="minorHAnsi"/>
          <w:sz w:val="22"/>
          <w:szCs w:val="22"/>
          <w:shd w:val="clear" w:color="auto" w:fill="FFFFFF"/>
        </w:rPr>
        <w:t xml:space="preserve">might </w:t>
      </w:r>
      <w:r w:rsidR="00E82922" w:rsidRPr="004B0BC2">
        <w:rPr>
          <w:rFonts w:asciiTheme="minorHAnsi" w:hAnsiTheme="minorHAnsi" w:cstheme="minorHAnsi"/>
          <w:sz w:val="22"/>
          <w:szCs w:val="22"/>
          <w:shd w:val="clear" w:color="auto" w:fill="FFFFFF"/>
        </w:rPr>
        <w:t>develop diabetes at</w:t>
      </w:r>
      <w:r w:rsidR="00F32CED">
        <w:rPr>
          <w:rFonts w:asciiTheme="minorHAnsi" w:hAnsiTheme="minorHAnsi" w:cstheme="minorHAnsi"/>
          <w:sz w:val="22"/>
          <w:szCs w:val="22"/>
          <w:shd w:val="clear" w:color="auto" w:fill="FFFFFF"/>
        </w:rPr>
        <w:t xml:space="preserve"> a</w:t>
      </w:r>
      <w:r w:rsidR="00E82922" w:rsidRPr="004B0BC2">
        <w:rPr>
          <w:rFonts w:asciiTheme="minorHAnsi" w:hAnsiTheme="minorHAnsi" w:cstheme="minorHAnsi"/>
          <w:sz w:val="22"/>
          <w:szCs w:val="22"/>
          <w:shd w:val="clear" w:color="auto" w:fill="FFFFFF"/>
        </w:rPr>
        <w:t xml:space="preserve"> lower BMI than </w:t>
      </w:r>
      <w:r w:rsidR="00F32CED">
        <w:rPr>
          <w:rFonts w:asciiTheme="minorHAnsi" w:hAnsiTheme="minorHAnsi" w:cstheme="minorHAnsi"/>
          <w:sz w:val="22"/>
          <w:szCs w:val="22"/>
          <w:shd w:val="clear" w:color="auto" w:fill="FFFFFF"/>
        </w:rPr>
        <w:lastRenderedPageBreak/>
        <w:t>women</w:t>
      </w:r>
      <w:r w:rsidR="00E82922" w:rsidRPr="004B0BC2">
        <w:rPr>
          <w:rFonts w:asciiTheme="minorHAnsi" w:hAnsiTheme="minorHAnsi" w:cstheme="minorHAnsi"/>
          <w:sz w:val="22"/>
          <w:szCs w:val="22"/>
          <w:shd w:val="clear" w:color="auto" w:fill="FFFFFF"/>
        </w:rPr>
        <w:t xml:space="preserve"> because they have a higher proportion of visceral adipose tissue</w:t>
      </w:r>
      <w:r w:rsidR="00F32CED">
        <w:rPr>
          <w:rFonts w:asciiTheme="minorHAnsi" w:hAnsiTheme="minorHAnsi" w:cstheme="minorHAnsi"/>
          <w:sz w:val="22"/>
          <w:szCs w:val="22"/>
          <w:shd w:val="clear" w:color="auto" w:fill="FFFFFF"/>
        </w:rPr>
        <w:t>, which might</w:t>
      </w:r>
      <w:r w:rsidR="00E82922" w:rsidRPr="004B0BC2">
        <w:rPr>
          <w:rFonts w:asciiTheme="minorHAnsi" w:hAnsiTheme="minorHAnsi" w:cstheme="minorHAnsi"/>
          <w:sz w:val="22"/>
          <w:szCs w:val="22"/>
          <w:shd w:val="clear" w:color="auto" w:fill="FFFFFF"/>
        </w:rPr>
        <w:t xml:space="preserve"> increase their insulin resistance.</w:t>
      </w:r>
    </w:p>
    <w:p w14:paraId="35A5125E" w14:textId="77777777" w:rsidR="00134517" w:rsidRPr="004B0BC2" w:rsidRDefault="00134517" w:rsidP="00B66369">
      <w:pPr>
        <w:spacing w:line="480" w:lineRule="auto"/>
        <w:rPr>
          <w:rFonts w:asciiTheme="minorHAnsi" w:hAnsiTheme="minorHAnsi" w:cstheme="minorHAnsi"/>
          <w:spacing w:val="2"/>
          <w:sz w:val="22"/>
          <w:szCs w:val="22"/>
          <w:shd w:val="clear" w:color="auto" w:fill="FCFCFC"/>
        </w:rPr>
      </w:pPr>
    </w:p>
    <w:p w14:paraId="389031CE" w14:textId="68389269" w:rsidR="00AD4DD6" w:rsidRPr="00A14B64" w:rsidRDefault="00691B77" w:rsidP="00B66369">
      <w:pPr>
        <w:spacing w:line="480" w:lineRule="auto"/>
        <w:rPr>
          <w:rFonts w:asciiTheme="minorHAnsi" w:hAnsiTheme="minorHAnsi" w:cstheme="minorHAnsi"/>
          <w:sz w:val="22"/>
          <w:szCs w:val="22"/>
          <w:shd w:val="clear" w:color="auto" w:fill="FFFFFF"/>
        </w:rPr>
      </w:pPr>
      <w:r w:rsidRPr="006636B5">
        <w:rPr>
          <w:rFonts w:asciiTheme="minorHAnsi" w:hAnsiTheme="minorHAnsi" w:cstheme="minorHAnsi"/>
          <w:spacing w:val="2"/>
          <w:sz w:val="22"/>
          <w:szCs w:val="22"/>
          <w:shd w:val="clear" w:color="auto" w:fill="FCFCFC"/>
        </w:rPr>
        <w:t>Although</w:t>
      </w:r>
      <w:r w:rsidR="00AD4DD6" w:rsidRPr="006636B5">
        <w:rPr>
          <w:rFonts w:asciiTheme="minorHAnsi" w:hAnsiTheme="minorHAnsi" w:cstheme="minorHAnsi"/>
          <w:spacing w:val="2"/>
          <w:sz w:val="22"/>
          <w:szCs w:val="22"/>
          <w:shd w:val="clear" w:color="auto" w:fill="FCFCFC"/>
        </w:rPr>
        <w:t xml:space="preserve"> not specific to sex, male obesity rates are rising and the average BMI has increased by 3.3kg/m</w:t>
      </w:r>
      <w:r w:rsidR="00AD4DD6" w:rsidRPr="006636B5">
        <w:rPr>
          <w:rFonts w:asciiTheme="minorHAnsi" w:hAnsiTheme="minorHAnsi" w:cstheme="minorHAnsi"/>
          <w:spacing w:val="2"/>
          <w:sz w:val="22"/>
          <w:szCs w:val="22"/>
          <w:shd w:val="clear" w:color="auto" w:fill="FCFCFC"/>
          <w:vertAlign w:val="superscript"/>
        </w:rPr>
        <w:t>2</w:t>
      </w:r>
      <w:r w:rsidR="00AD4DD6" w:rsidRPr="006636B5">
        <w:rPr>
          <w:rFonts w:asciiTheme="minorHAnsi" w:hAnsiTheme="minorHAnsi" w:cstheme="minorHAnsi"/>
          <w:spacing w:val="2"/>
          <w:sz w:val="22"/>
          <w:szCs w:val="22"/>
          <w:shd w:val="clear" w:color="auto" w:fill="FCFCFC"/>
        </w:rPr>
        <w:t xml:space="preserve"> within a 39 year period</w:t>
      </w:r>
      <w:r w:rsidR="006636B5">
        <w:rPr>
          <w:rFonts w:asciiTheme="minorHAnsi" w:hAnsiTheme="minorHAnsi" w:cstheme="minorHAnsi"/>
          <w:spacing w:val="2"/>
          <w:sz w:val="22"/>
          <w:szCs w:val="22"/>
          <w:shd w:val="clear" w:color="auto" w:fill="FCFCFC"/>
        </w:rPr>
        <w:t xml:space="preserve"> (1975</w:t>
      </w:r>
      <w:r w:rsidR="009D7862">
        <w:rPr>
          <w:rFonts w:asciiTheme="minorHAnsi" w:hAnsiTheme="minorHAnsi" w:cstheme="minorHAnsi"/>
          <w:spacing w:val="2"/>
          <w:sz w:val="22"/>
          <w:szCs w:val="22"/>
          <w:shd w:val="clear" w:color="auto" w:fill="FCFCFC"/>
        </w:rPr>
        <w:t>–</w:t>
      </w:r>
      <w:r w:rsidR="006636B5">
        <w:rPr>
          <w:rFonts w:asciiTheme="minorHAnsi" w:hAnsiTheme="minorHAnsi" w:cstheme="minorHAnsi"/>
          <w:spacing w:val="2"/>
          <w:sz w:val="22"/>
          <w:szCs w:val="22"/>
          <w:shd w:val="clear" w:color="auto" w:fill="FCFCFC"/>
        </w:rPr>
        <w:t>2014)</w:t>
      </w:r>
      <w:r w:rsidR="00AD4DD6" w:rsidRPr="006636B5">
        <w:rPr>
          <w:rFonts w:asciiTheme="minorHAnsi" w:hAnsiTheme="minorHAnsi" w:cstheme="minorHAnsi"/>
          <w:sz w:val="22"/>
          <w:szCs w:val="22"/>
          <w:shd w:val="clear" w:color="auto" w:fill="FFFFFF" w:themeFill="background1"/>
        </w:rPr>
        <w:fldChar w:fldCharType="begin" w:fldLock="1"/>
      </w:r>
      <w:r w:rsidR="002410DF">
        <w:rPr>
          <w:rFonts w:asciiTheme="minorHAnsi" w:hAnsiTheme="minorHAnsi" w:cstheme="minorHAnsi"/>
          <w:sz w:val="22"/>
          <w:szCs w:val="22"/>
          <w:shd w:val="clear" w:color="auto" w:fill="FFFFFF" w:themeFill="background1"/>
        </w:rPr>
        <w:instrText>ADDIN CSL_CITATION {"citationItems":[{"id":"ITEM-1","itemData":{"DOI":"10.1016/S0140-6736(16)30054-X","ISSN":"1474-547X","PMID":"27115820","abstract":"BACKGROUND Underweight and severe and morbid obesity are associated with highly elevated risks of adverse health outcomes. We estimated trends in mean body-mass index (BMI), which characterises its population distribution, and in the prevalences of a complete set of BMI categories for adults in all countries. METHODS We analysed, with use of a consistent protocol, population-based studies that had measured height and weight in adults aged 18 years and older. We applied a Bayesian hierarchical model to these data to estimate trends from 1975 to 2014 in mean BMI and in the prevalences of BMI categories (&lt;18·5 kg/m(2) [underweight], 18·5 kg/m(2) to &lt;20 kg/m(2), 20 kg/m(2) to &lt;25 kg/m(2), 25 kg/m(2) to &lt;30 kg/m(2), 30 kg/m(2) to &lt;35 kg/m(2), 35 kg/m(2) to &lt;40 kg/m(2), ≥40 kg/m(2) [morbid obesity]), by sex in 200 countries and territories, organised in 21 regions. We calculated the posterior probability of meeting the target of halting by 2025 the rise in obesity at its 2010 levels, if post-2000 trends continue. FINDINGS We used 1698 population-based data sources, with more than 19·2 million adult participants (9·9 million men and 9·3 million women) in 186 of 200 countries for which estimates were made. Global age-standardised mean BMI increased from 21·7 kg/m(2) (95% credible interval 21·3-22·1) in 1975 to 24·2 kg/m(2) (24·0-24·4) in 2014 in men, and from 22·1 kg/m(2) (21·7-22·5) in 1975 to 24·4 kg/m(2) (24·2-24·6) in 2014 in women. Regional mean BMIs in 2014 for men ranged from 21·4 kg/m(2) in central Africa and south Asia to 29·2 kg/m(2) (28·6-29·8) in Polynesia and Micronesia; for women the range was from 21·8 kg/m(2) (21·4-22·3) in south Asia to 32·2 kg/m(2) (31·5-32·8) in Polynesia and Micronesia. Over these four decades, age-standardised global prevalence of underweight decreased from 13·8% (10·5-17·4) to 8·8% (7·4-10·3) in men and from 14·6% (11·6-17·9) to 9·7% (8·3-11·1) in women. South Asia had the highest prevalence of underweight in 2014, 23·4% (17·8-29·2) in men and 24·0% (18·9-29·3) in women. Age-standardised prevalence of obesity increased from 3·2% (2·4-4·1) in 1975 to 10·8% (9·7-12·0) in 2014 in men, and from 6·4% (5·1-7·8) to 14·9% (13·6-16·1) in women. 2·3% (2·0-2·7) of the world's men and 5·0% (4·4-5·6) of women were severely obese (ie, have BMI ≥35 kg/m(2)). Globally, prevalence of morbid obesity was 0·64% (0·46-0·86) in men and 1·6% (1·3-1·9) in women. INTERPRETATION If post-2000 trends continue, the probability of meeting the global ob…","author":[{"dropping-particle":"","family":"NCD Risk Factor Collaboration (NCD-RisC)","given":"","non-dropping-particle":"","parse-names":false,"suffix":""}],"container-title":"Lancet (London, England)","id":"ITEM-1","issue":"10026","issued":{"date-parts":[["2016"]]},"page":"1377-1396","title":"Trends in adult body-mass index in 200 countries from 1975 to 2014: a pooled analysis of 1698 population-based measurement studies with 19·2 million participants.","type":"article-journal","volume":"387"},"uris":["http://www.mendeley.com/documents/?uuid=aeece123-b596-32eb-8ac8-e8e4c40b3234"]}],"mendeley":{"formattedCitation":"(53)","plainTextFormattedCitation":"(53)","previouslyFormattedCitation":"(53)"},"properties":{"noteIndex":0},"schema":"https://github.com/citation-style-language/schema/raw/master/csl-citation.json"}</w:instrText>
      </w:r>
      <w:r w:rsidR="00AD4DD6" w:rsidRPr="006636B5">
        <w:rPr>
          <w:rFonts w:asciiTheme="minorHAnsi" w:hAnsiTheme="minorHAnsi" w:cstheme="minorHAnsi"/>
          <w:sz w:val="22"/>
          <w:szCs w:val="22"/>
          <w:shd w:val="clear" w:color="auto" w:fill="FFFFFF" w:themeFill="background1"/>
        </w:rPr>
        <w:fldChar w:fldCharType="separate"/>
      </w:r>
      <w:r w:rsidR="00693DD5" w:rsidRPr="00693DD5">
        <w:rPr>
          <w:rFonts w:asciiTheme="minorHAnsi" w:hAnsiTheme="minorHAnsi" w:cstheme="minorHAnsi"/>
          <w:noProof/>
          <w:sz w:val="22"/>
          <w:szCs w:val="22"/>
          <w:shd w:val="clear" w:color="auto" w:fill="FFFFFF" w:themeFill="background1"/>
        </w:rPr>
        <w:t>(53)</w:t>
      </w:r>
      <w:r w:rsidR="00AD4DD6" w:rsidRPr="006636B5">
        <w:rPr>
          <w:rFonts w:asciiTheme="minorHAnsi" w:hAnsiTheme="minorHAnsi" w:cstheme="minorHAnsi"/>
          <w:sz w:val="22"/>
          <w:szCs w:val="22"/>
          <w:shd w:val="clear" w:color="auto" w:fill="FFFFFF" w:themeFill="background1"/>
        </w:rPr>
        <w:fldChar w:fldCharType="end"/>
      </w:r>
      <w:r w:rsidR="00AD4DD6" w:rsidRPr="006636B5">
        <w:rPr>
          <w:rFonts w:asciiTheme="minorHAnsi" w:hAnsiTheme="minorHAnsi" w:cstheme="minorHAnsi"/>
          <w:sz w:val="22"/>
          <w:szCs w:val="22"/>
          <w:shd w:val="clear" w:color="auto" w:fill="FFFFFF" w:themeFill="background1"/>
        </w:rPr>
        <w:fldChar w:fldCharType="begin" w:fldLock="1"/>
      </w:r>
      <w:r w:rsidR="002C021B" w:rsidRPr="00897521">
        <w:rPr>
          <w:rFonts w:asciiTheme="minorHAnsi" w:hAnsiTheme="minorHAnsi" w:cstheme="minorHAnsi"/>
          <w:sz w:val="22"/>
          <w:szCs w:val="22"/>
          <w:shd w:val="clear" w:color="auto" w:fill="FFFFFF" w:themeFill="background1"/>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AD4DD6" w:rsidRPr="006636B5">
        <w:rPr>
          <w:rFonts w:asciiTheme="minorHAnsi" w:hAnsiTheme="minorHAnsi" w:cstheme="minorHAnsi"/>
          <w:sz w:val="22"/>
          <w:szCs w:val="22"/>
          <w:shd w:val="clear" w:color="auto" w:fill="FFFFFF" w:themeFill="background1"/>
        </w:rPr>
        <w:fldChar w:fldCharType="separate"/>
      </w:r>
      <w:r w:rsidR="00AD4DD6" w:rsidRPr="006636B5">
        <w:rPr>
          <w:rFonts w:asciiTheme="minorHAnsi" w:hAnsiTheme="minorHAnsi" w:cstheme="minorHAnsi"/>
          <w:noProof/>
          <w:sz w:val="22"/>
          <w:szCs w:val="22"/>
          <w:shd w:val="clear" w:color="auto" w:fill="FFFFFF" w:themeFill="background1"/>
        </w:rPr>
        <w:t>(3)</w:t>
      </w:r>
      <w:r w:rsidR="00AD4DD6" w:rsidRPr="006636B5">
        <w:rPr>
          <w:rFonts w:asciiTheme="minorHAnsi" w:hAnsiTheme="minorHAnsi" w:cstheme="minorHAnsi"/>
          <w:sz w:val="22"/>
          <w:szCs w:val="22"/>
          <w:shd w:val="clear" w:color="auto" w:fill="FFFFFF" w:themeFill="background1"/>
        </w:rPr>
        <w:fldChar w:fldCharType="end"/>
      </w:r>
      <w:r w:rsidR="00AD4DD6" w:rsidRPr="006636B5">
        <w:rPr>
          <w:rFonts w:asciiTheme="minorHAnsi" w:hAnsiTheme="minorHAnsi" w:cstheme="minorHAnsi"/>
          <w:sz w:val="22"/>
          <w:szCs w:val="22"/>
          <w:shd w:val="clear" w:color="auto" w:fill="FFFFFF" w:themeFill="background1"/>
        </w:rPr>
        <w:t xml:space="preserve">. This </w:t>
      </w:r>
      <w:r w:rsidRPr="006636B5">
        <w:rPr>
          <w:rFonts w:asciiTheme="minorHAnsi" w:hAnsiTheme="minorHAnsi" w:cstheme="minorHAnsi"/>
          <w:sz w:val="22"/>
          <w:szCs w:val="22"/>
          <w:shd w:val="clear" w:color="auto" w:fill="FFFFFF" w:themeFill="background1"/>
        </w:rPr>
        <w:t xml:space="preserve">increase </w:t>
      </w:r>
      <w:r w:rsidR="00AD4DD6" w:rsidRPr="006636B5">
        <w:rPr>
          <w:rFonts w:asciiTheme="minorHAnsi" w:hAnsiTheme="minorHAnsi" w:cstheme="minorHAnsi"/>
          <w:sz w:val="22"/>
          <w:szCs w:val="22"/>
          <w:shd w:val="clear" w:color="auto" w:fill="FFFFFF" w:themeFill="background1"/>
        </w:rPr>
        <w:t xml:space="preserve">is </w:t>
      </w:r>
      <w:r w:rsidRPr="006636B5">
        <w:rPr>
          <w:rFonts w:asciiTheme="minorHAnsi" w:hAnsiTheme="minorHAnsi" w:cstheme="minorHAnsi"/>
          <w:sz w:val="22"/>
          <w:szCs w:val="22"/>
          <w:shd w:val="clear" w:color="auto" w:fill="FFFFFF" w:themeFill="background1"/>
        </w:rPr>
        <w:t xml:space="preserve">especially </w:t>
      </w:r>
      <w:r w:rsidR="00AD4DD6" w:rsidRPr="006636B5">
        <w:rPr>
          <w:rFonts w:asciiTheme="minorHAnsi" w:hAnsiTheme="minorHAnsi" w:cstheme="minorHAnsi"/>
          <w:sz w:val="22"/>
          <w:szCs w:val="22"/>
          <w:shd w:val="clear" w:color="auto" w:fill="FFFFFF" w:themeFill="background1"/>
        </w:rPr>
        <w:t>relevant as one European study highlighted that obesity was associated</w:t>
      </w:r>
      <w:r w:rsidR="00AD4DD6" w:rsidRPr="0064543E">
        <w:rPr>
          <w:rFonts w:asciiTheme="minorHAnsi" w:hAnsiTheme="minorHAnsi" w:cstheme="minorHAnsi"/>
          <w:sz w:val="22"/>
          <w:szCs w:val="22"/>
          <w:shd w:val="clear" w:color="auto" w:fill="FFFFFF"/>
        </w:rPr>
        <w:t xml:space="preserve"> with </w:t>
      </w:r>
      <w:r w:rsidR="00003962" w:rsidRPr="00A14B64">
        <w:rPr>
          <w:rFonts w:asciiTheme="minorHAnsi" w:hAnsiTheme="minorHAnsi" w:cstheme="minorHAnsi"/>
          <w:sz w:val="22"/>
          <w:szCs w:val="22"/>
          <w:shd w:val="clear" w:color="auto" w:fill="FFFFFF"/>
        </w:rPr>
        <w:t xml:space="preserve">an </w:t>
      </w:r>
      <w:r w:rsidR="00AD4DD6" w:rsidRPr="00A14B64">
        <w:rPr>
          <w:rFonts w:asciiTheme="minorHAnsi" w:hAnsiTheme="minorHAnsi" w:cstheme="minorHAnsi"/>
          <w:sz w:val="22"/>
          <w:szCs w:val="22"/>
          <w:shd w:val="clear" w:color="auto" w:fill="FFFFFF"/>
        </w:rPr>
        <w:t>increased use of mechanical ventilation following COVID-19</w:t>
      </w:r>
      <w:r w:rsidR="00003962" w:rsidRPr="00A14B64">
        <w:rPr>
          <w:rFonts w:asciiTheme="minorHAnsi" w:hAnsiTheme="minorHAnsi" w:cstheme="minorHAnsi"/>
          <w:sz w:val="22"/>
          <w:szCs w:val="22"/>
          <w:shd w:val="clear" w:color="auto" w:fill="FFFFFF"/>
        </w:rPr>
        <w:t xml:space="preserve"> infection</w:t>
      </w:r>
      <w:r w:rsidR="00AD4DD6" w:rsidRPr="006636B5">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{"citationItems":[{"id":"ITEM-1","itemData":{"DOI":"10.1002/oby.22831","ISSN":"1930-739X","PMID":"32271993","abstract":"OBJECTIVE The Covid-19 pandemic is rapidly spreading worldwide, notably in Europe and North America, where obesity is highly prevalent. The relation between obesity and severe acute respiratory syndrome coronavirus-2 (SARS-CoV-2) has not been fully documented. METHODS In this retrospective cohort study we analyzed the relationship between clinical characteristics, including body mass index (BMI), and the requirement for invasive mechanical ventilation (IMV) in 124 consecutive patients admitted in intensive care for SARS-CoV-2, in a single French center. RESULTS Obesity (BMI &gt;30 kg/m2) and severe obesity (BMI &gt;35 kg/m2) were present in 47.6% and 28.2% of cases, respectively. Overall, 85 patients (68.6%) required IMV. The proportion of patients who required IMV increased with BMI categories (p&lt;0.01, Chi square test for trend), and it was greatest in patients with BMI &gt;35 kg/m2 (85.7%). In multivariate logistic regression, the need for IMV was significantly associated with male sex (p&lt;0.05) and BMI (p&lt;0.05), independent of age, diabetes, and hypertension. The odds ratio for IMV in patients with BMI &gt;35 kg/m2 vs patients with BMI &lt;25 kg/m2 was 7.36 (1.63-33.14; p=0.02) CONCLUSION: The present study showed a high frequency of obesity among patients admitted in intensive care for SARS-CoV-2. Disease severity increased with BMI. Obesity is a risk factor for SARS-CoV-2 severity requiring increased attention to preventive measures in susceptible individuals.","author":[{"dropping-particle":"","family":"Simonnet","given":"Arthur","non-dropping-particle":"","parse-names":false,"suffix":""},{"dropping-particle":"","family":"Chetboun","given":"Mikael","non-dropping-particle":"","parse-names":false,"suffix":""},{"dropping-particle":"","family":"Poissy","given":"Julien","non-dropping-particle":"","parse-names":false,"suffix":""},{"dropping-particle":"","family":"Raverdy","given":"Violeta","non-dropping-particle":"","parse-names":false,"suffix":""},{"dropping-particle":"","family":"Noulette","given":"Jerome","non-dropping-particle":"","parse-names":false,"suffix":""},{"dropping-particle":"","family":"Duhamel","given":"Alain","non-dropping-particle":"","parse-names":false,"suffix":""},{"dropping-particle":"","family":"Labreuche","given":"Julien","non-dropping-particle":"","parse-names":false,"suffix":""},{"dropping-particle":"","family":"Mathieu","given":"Daniel","non-dropping-particle":"","parse-names":false,"suffix":""},{"dropping-particle":"","family":"Pattou","given":"Francois","non-dropping-particle":"","parse-names":false,"suffix":""},{"dropping-particle":"","family":"Jourdain","given":"Merce","non-dropping-particle":"","parse-names":false,"suffix":""}],"container-title":"Obesity","id":"ITEM-1","issue":"7","issued":{"date-parts":[["2020","4","9"]]},"page":"1195-1199","publisher":"Wiley","title":"High prevalence of obesity in severe acute respiratory syndrome coronavirus-2 (SARS-CoV-2) requiring invasive mechanical ventilation","type":"article-journal","volume":"28"},"uris":["http://www.mendeley.com/documents/?uuid=407b1f7f-b86d-3b8b-a726-bb79bcf5aaa6"]}],"mendeley":{"formattedCitation":"(54)","plainTextFormattedCitation":"(54)","previouslyFormattedCitation":"(54)"},"properties":{"noteIndex":0},"schema":"https://github.com/citation-style-language/schema/raw/master/csl-citation.json"}</w:instrText>
      </w:r>
      <w:r w:rsidR="00AD4DD6" w:rsidRPr="006636B5">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(54)</w:t>
      </w:r>
      <w:r w:rsidR="00AD4DD6" w:rsidRPr="006636B5">
        <w:rPr>
          <w:rFonts w:asciiTheme="minorHAnsi" w:hAnsiTheme="minorHAnsi" w:cstheme="minorHAnsi"/>
          <w:sz w:val="22"/>
          <w:szCs w:val="22"/>
          <w:shd w:val="clear" w:color="auto" w:fill="FFFFFF"/>
        </w:rPr>
        <w:fldChar w:fldCharType="end"/>
      </w:r>
      <w:r w:rsidR="00AD4DD6" w:rsidRPr="006636B5">
        <w:rPr>
          <w:rFonts w:asciiTheme="minorHAnsi" w:hAnsiTheme="minorHAnsi" w:cstheme="minorHAnsi"/>
          <w:sz w:val="22"/>
          <w:szCs w:val="22"/>
          <w:shd w:val="clear" w:color="auto" w:fill="FFFFFF"/>
        </w:rPr>
        <w:t>.</w:t>
      </w:r>
      <w:r w:rsidR="006636B5">
        <w:rPr>
          <w:rFonts w:asciiTheme="minorHAnsi" w:hAnsiTheme="minorHAnsi" w:cstheme="minorHAnsi"/>
          <w:sz w:val="22"/>
          <w:szCs w:val="22"/>
          <w:shd w:val="clear" w:color="auto" w:fill="FFFFFF"/>
        </w:rPr>
        <w:t xml:space="preserve"> Simonet et al. investigated the association between </w:t>
      </w:r>
      <w:r w:rsidR="00A14B64">
        <w:rPr>
          <w:rFonts w:asciiTheme="minorHAnsi" w:hAnsiTheme="minorHAnsi" w:cstheme="minorHAnsi"/>
          <w:sz w:val="22"/>
          <w:szCs w:val="22"/>
          <w:shd w:val="clear" w:color="auto" w:fill="FFFFFF"/>
        </w:rPr>
        <w:t>BMI</w:t>
      </w:r>
      <w:r w:rsidR="006636B5">
        <w:rPr>
          <w:rFonts w:asciiTheme="minorHAnsi" w:hAnsiTheme="minorHAnsi" w:cstheme="minorHAnsi"/>
          <w:sz w:val="22"/>
          <w:szCs w:val="22"/>
          <w:shd w:val="clear" w:color="auto" w:fill="FFFFFF"/>
        </w:rPr>
        <w:t xml:space="preserve"> and the requirement for invasive mechanical ventilation in patients infected with COV</w:t>
      </w:r>
      <w:r w:rsidR="0064543E">
        <w:rPr>
          <w:rFonts w:asciiTheme="minorHAnsi" w:hAnsiTheme="minorHAnsi" w:cstheme="minorHAnsi"/>
          <w:sz w:val="22"/>
          <w:szCs w:val="22"/>
          <w:shd w:val="clear" w:color="auto" w:fill="FFFFFF"/>
        </w:rPr>
        <w:t xml:space="preserve">ID-19 </w:t>
      </w:r>
      <w:r w:rsidR="006636B5">
        <w:rPr>
          <w:rFonts w:asciiTheme="minorHAnsi" w:hAnsiTheme="minorHAnsi" w:cstheme="minorHAnsi"/>
          <w:sz w:val="22"/>
          <w:szCs w:val="22"/>
          <w:shd w:val="clear" w:color="auto" w:fill="FFFFFF"/>
        </w:rPr>
        <w:t xml:space="preserve">admitted to </w:t>
      </w:r>
      <w:r w:rsidR="0064543E">
        <w:rPr>
          <w:rFonts w:asciiTheme="minorHAnsi" w:hAnsiTheme="minorHAnsi" w:cstheme="minorHAnsi"/>
          <w:sz w:val="22"/>
          <w:szCs w:val="22"/>
          <w:shd w:val="clear" w:color="auto" w:fill="FFFFFF"/>
        </w:rPr>
        <w:t xml:space="preserve">the intensive care unit at the Roger Salengro Hospital </w:t>
      </w:r>
      <w:r w:rsidR="009D7862">
        <w:rPr>
          <w:rFonts w:asciiTheme="minorHAnsi" w:hAnsiTheme="minorHAnsi" w:cstheme="minorHAnsi"/>
          <w:sz w:val="22"/>
          <w:szCs w:val="22"/>
          <w:shd w:val="clear" w:color="auto" w:fill="FFFFFF"/>
        </w:rPr>
        <w:t>between</w:t>
      </w:r>
      <w:r w:rsidR="0064543E">
        <w:rPr>
          <w:rFonts w:asciiTheme="minorHAnsi" w:hAnsiTheme="minorHAnsi" w:cstheme="minorHAnsi"/>
          <w:sz w:val="22"/>
          <w:szCs w:val="22"/>
          <w:shd w:val="clear" w:color="auto" w:fill="FFFFFF"/>
        </w:rPr>
        <w:t xml:space="preserve"> 27</w:t>
      </w:r>
      <w:r w:rsidR="009D7862" w:rsidRPr="000242C7">
        <w:rPr>
          <w:rFonts w:asciiTheme="minorHAnsi" w:hAnsiTheme="minorHAnsi" w:cstheme="minorHAnsi"/>
          <w:sz w:val="22"/>
          <w:szCs w:val="22"/>
          <w:shd w:val="clear" w:color="auto" w:fill="FFFFFF"/>
          <w:vertAlign w:val="superscript"/>
        </w:rPr>
        <w:t>th</w:t>
      </w:r>
      <w:r w:rsidR="009D7862">
        <w:rPr>
          <w:rFonts w:asciiTheme="minorHAnsi" w:hAnsiTheme="minorHAnsi" w:cstheme="minorHAnsi"/>
          <w:sz w:val="22"/>
          <w:szCs w:val="22"/>
          <w:shd w:val="clear" w:color="auto" w:fill="FFFFFF"/>
        </w:rPr>
        <w:t xml:space="preserve"> February 20</w:t>
      </w:r>
      <w:r w:rsidR="0064543E">
        <w:rPr>
          <w:rFonts w:asciiTheme="minorHAnsi" w:hAnsiTheme="minorHAnsi" w:cstheme="minorHAnsi"/>
          <w:sz w:val="22"/>
          <w:szCs w:val="22"/>
          <w:shd w:val="clear" w:color="auto" w:fill="FFFFFF"/>
        </w:rPr>
        <w:t>20</w:t>
      </w:r>
      <w:r w:rsidR="009D7862">
        <w:rPr>
          <w:rFonts w:asciiTheme="minorHAnsi" w:hAnsiTheme="minorHAnsi" w:cstheme="minorHAnsi"/>
          <w:sz w:val="22"/>
          <w:szCs w:val="22"/>
          <w:shd w:val="clear" w:color="auto" w:fill="FFFFFF"/>
        </w:rPr>
        <w:t xml:space="preserve"> and 5</w:t>
      </w:r>
      <w:r w:rsidR="009D7862" w:rsidRPr="000242C7">
        <w:rPr>
          <w:rFonts w:asciiTheme="minorHAnsi" w:hAnsiTheme="minorHAnsi" w:cstheme="minorHAnsi"/>
          <w:sz w:val="22"/>
          <w:szCs w:val="22"/>
          <w:shd w:val="clear" w:color="auto" w:fill="FFFFFF"/>
          <w:vertAlign w:val="superscript"/>
        </w:rPr>
        <w:t>th</w:t>
      </w:r>
      <w:r w:rsidR="009D7862">
        <w:rPr>
          <w:rFonts w:asciiTheme="minorHAnsi" w:hAnsiTheme="minorHAnsi" w:cstheme="minorHAnsi"/>
          <w:sz w:val="22"/>
          <w:szCs w:val="22"/>
          <w:shd w:val="clear" w:color="auto" w:fill="FFFFFF"/>
        </w:rPr>
        <w:t xml:space="preserve"> April 20</w:t>
      </w:r>
      <w:r w:rsidR="00A14B64">
        <w:rPr>
          <w:rFonts w:asciiTheme="minorHAnsi" w:hAnsiTheme="minorHAnsi" w:cstheme="minorHAnsi"/>
          <w:sz w:val="22"/>
          <w:szCs w:val="22"/>
          <w:shd w:val="clear" w:color="auto" w:fill="FFFFFF"/>
        </w:rPr>
        <w:t>20</w:t>
      </w:r>
      <w:r w:rsidR="00A14B64" w:rsidRPr="006636B5">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{"citationItems":[{"id":"ITEM-1","itemData":{"DOI":"10.1002/oby.22831","ISSN":"1930-739X","PMID":"32271993","abstract":"OBJECTIVE The Covid-19 pandemic is rapidly spreading worldwide, notably in Europe and North America, where obesity is highly prevalent. The relation between obesity and severe acute respiratory syndrome coronavirus-2 (SARS-CoV-2) has not been fully documented. METHODS In this retrospective cohort study we analyzed the relationship between clinical characteristics, including body mass index (BMI), and the requirement for invasive mechanical ventilation (IMV) in 124 consecutive patients admitted in intensive care for SARS-CoV-2, in a single French center. RESULTS Obesity (BMI &gt;30 kg/m2) and severe obesity (BMI &gt;35 kg/m2) were present in 47.6% and 28.2% of cases, respectively. Overall, 85 patients (68.6%) required IMV. The proportion of patients who required IMV increased with BMI categories (p&lt;0.01, Chi square test for trend), and it was greatest in patients with BMI &gt;35 kg/m2 (85.7%). In multivariate logistic regression, the need for IMV was significantly associated with male sex (p&lt;0.05) and BMI (p&lt;0.05), independent of age, diabetes, and hypertension. The odds ratio for IMV in patients with BMI &gt;35 kg/m2 vs patients with BMI &lt;25 kg/m2 was 7.36 (1.63-33.14; p=0.02) CONCLUSION: The present study showed a high frequency of obesity among patients admitted in intensive care for SARS-CoV-2. Disease severity increased with BMI. Obesity is a risk factor for SARS-CoV-2 severity requiring increased attention to preventive measures in susceptible individuals.","author":[{"dropping-particle":"","family":"Simonnet","given":"Arthur","non-dropping-particle":"","parse-names":false,"suffix":""},{"dropping-particle":"","family":"Chetboun","given":"Mikael","non-dropping-particle":"","parse-names":false,"suffix":""},{"dropping-particle":"","family":"Poissy","given":"Julien","non-dropping-particle":"","parse-names":false,"suffix":""},{"dropping-particle":"","family":"Raverdy","given":"Violeta","non-dropping-particle":"","parse-names":false,"suffix":""},{"dropping-particle":"","family":"Noulette","given":"Jerome","non-dropping-particle":"","parse-names":false,"suffix":""},{"dropping-particle":"","family":"Duhamel","given":"Alain","non-dropping-particle":"","parse-names":false,"suffix":""},{"dropping-particle":"","family":"Labreuche","given":"Julien","non-dropping-particle":"","parse-names":false,"suffix":""},{"dropping-particle":"","family":"Mathieu","given":"Daniel","non-dropping-particle":"","parse-names":false,"suffix":""},{"dropping-particle":"","family":"Pattou","given":"Francois","non-dropping-particle":"","parse-names":false,"suffix":""},{"dropping-particle":"","family":"Jourdain","given":"Merce","non-dropping-particle":"","parse-names":false,"suffix":""}],"container-title":"Obesity","id":"ITEM-1","issue":"7","issued":{"date-parts":[["2020","4","9"]]},"page":"1195-1199","publisher":"Wiley","title":"High prevalence of obesity in severe acute respiratory syndrome coronavirus-2 (SARS-CoV-2) requiring invasive mechanical ventilation","type":"article-journal","volume":"28"},"uris":["http://www.mendeley.com/documents/?uuid=407b1f7f-b86d-3b8b-a726-bb79bcf5aaa6"]}],"mendeley":{"formattedCitation":"(54)","plainTextFormattedCitation":"(54)","previouslyFormattedCitation":"(54)"},"properties":{"noteIndex":0},"schema":"https://github.com/citation-style-language/schema/raw/master/csl-citation.json"}</w:instrText>
      </w:r>
      <w:r w:rsidR="00A14B64" w:rsidRPr="006636B5">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(54)</w:t>
      </w:r>
      <w:r w:rsidR="00A14B64" w:rsidRPr="006636B5">
        <w:rPr>
          <w:rFonts w:asciiTheme="minorHAnsi" w:hAnsiTheme="minorHAnsi" w:cstheme="minorHAnsi"/>
          <w:sz w:val="22"/>
          <w:szCs w:val="22"/>
          <w:shd w:val="clear" w:color="auto" w:fill="FFFFFF"/>
        </w:rPr>
        <w:fldChar w:fldCharType="end"/>
      </w:r>
      <w:r w:rsidR="00A14B64">
        <w:rPr>
          <w:rFonts w:asciiTheme="minorHAnsi" w:hAnsiTheme="minorHAnsi" w:cstheme="minorHAnsi"/>
          <w:sz w:val="22"/>
          <w:szCs w:val="22"/>
          <w:shd w:val="clear" w:color="auto" w:fill="FFFFFF"/>
        </w:rPr>
        <w:t>.</w:t>
      </w:r>
      <w:r w:rsidR="006636B5">
        <w:rPr>
          <w:rFonts w:asciiTheme="minorHAnsi" w:hAnsiTheme="minorHAnsi" w:cstheme="minorHAnsi"/>
          <w:sz w:val="22"/>
          <w:szCs w:val="22"/>
          <w:shd w:val="clear" w:color="auto" w:fill="FFFFFF"/>
        </w:rPr>
        <w:t xml:space="preserve"> </w:t>
      </w:r>
      <w:r w:rsidR="00A14B64">
        <w:rPr>
          <w:rFonts w:asciiTheme="minorHAnsi" w:hAnsiTheme="minorHAnsi" w:cstheme="minorHAnsi"/>
          <w:sz w:val="22"/>
          <w:szCs w:val="22"/>
          <w:shd w:val="clear" w:color="auto" w:fill="FFFFFF"/>
        </w:rPr>
        <w:t>The authors observed that the patients that required invasive mechanical ventilation had a significantly higher median BMI than those who did not (31.1kg/m</w:t>
      </w:r>
      <w:r w:rsidR="00A14B64" w:rsidRPr="000242C7">
        <w:rPr>
          <w:rFonts w:asciiTheme="minorHAnsi" w:hAnsiTheme="minorHAnsi" w:cstheme="minorHAnsi"/>
          <w:sz w:val="22"/>
          <w:szCs w:val="22"/>
          <w:shd w:val="clear" w:color="auto" w:fill="FFFFFF"/>
          <w:vertAlign w:val="superscript"/>
        </w:rPr>
        <w:t>2</w:t>
      </w:r>
      <w:r w:rsidR="00A14B64">
        <w:rPr>
          <w:rFonts w:asciiTheme="minorHAnsi" w:hAnsiTheme="minorHAnsi" w:cstheme="minorHAnsi"/>
          <w:sz w:val="22"/>
          <w:szCs w:val="22"/>
          <w:shd w:val="clear" w:color="auto" w:fill="FFFFFF"/>
        </w:rPr>
        <w:t xml:space="preserve"> v</w:t>
      </w:r>
      <w:r w:rsidR="009D7862">
        <w:rPr>
          <w:rFonts w:asciiTheme="minorHAnsi" w:hAnsiTheme="minorHAnsi" w:cstheme="minorHAnsi"/>
          <w:sz w:val="22"/>
          <w:szCs w:val="22"/>
          <w:shd w:val="clear" w:color="auto" w:fill="FFFFFF"/>
        </w:rPr>
        <w:t>ersu</w:t>
      </w:r>
      <w:r w:rsidR="00A14B64">
        <w:rPr>
          <w:rFonts w:asciiTheme="minorHAnsi" w:hAnsiTheme="minorHAnsi" w:cstheme="minorHAnsi"/>
          <w:sz w:val="22"/>
          <w:szCs w:val="22"/>
          <w:shd w:val="clear" w:color="auto" w:fill="FFFFFF"/>
        </w:rPr>
        <w:t>s 27</w:t>
      </w:r>
      <w:r w:rsidR="00A14B64" w:rsidRPr="00A14B64">
        <w:rPr>
          <w:rFonts w:asciiTheme="minorHAnsi" w:hAnsiTheme="minorHAnsi" w:cstheme="minorHAnsi"/>
          <w:sz w:val="22"/>
          <w:szCs w:val="22"/>
          <w:shd w:val="clear" w:color="auto" w:fill="FFFFFF"/>
        </w:rPr>
        <w:t xml:space="preserve"> </w:t>
      </w:r>
      <w:r w:rsidR="00A14B64">
        <w:rPr>
          <w:rFonts w:asciiTheme="minorHAnsi" w:hAnsiTheme="minorHAnsi" w:cstheme="minorHAnsi"/>
          <w:sz w:val="22"/>
          <w:szCs w:val="22"/>
          <w:shd w:val="clear" w:color="auto" w:fill="FFFFFF"/>
        </w:rPr>
        <w:t>kg/m</w:t>
      </w:r>
      <w:r w:rsidR="00A14B64" w:rsidRPr="00831749">
        <w:rPr>
          <w:rFonts w:asciiTheme="minorHAnsi" w:hAnsiTheme="minorHAnsi" w:cstheme="minorHAnsi"/>
          <w:sz w:val="22"/>
          <w:szCs w:val="22"/>
          <w:shd w:val="clear" w:color="auto" w:fill="FFFFFF"/>
          <w:vertAlign w:val="superscript"/>
        </w:rPr>
        <w:t>2</w:t>
      </w:r>
      <w:r w:rsidR="00A14B64">
        <w:rPr>
          <w:rFonts w:asciiTheme="minorHAnsi" w:hAnsiTheme="minorHAnsi" w:cstheme="minorHAnsi"/>
          <w:sz w:val="22"/>
          <w:szCs w:val="22"/>
          <w:shd w:val="clear" w:color="auto" w:fill="FFFFFF"/>
        </w:rPr>
        <w:t>, p&lt;0.001)</w:t>
      </w:r>
      <w:r w:rsidR="00D115F1">
        <w:rPr>
          <w:rFonts w:asciiTheme="minorHAnsi" w:hAnsiTheme="minorHAnsi" w:cstheme="minorHAnsi"/>
          <w:sz w:val="22"/>
          <w:szCs w:val="22"/>
          <w:shd w:val="clear" w:color="auto" w:fill="FFFFFF"/>
        </w:rPr>
        <w:t xml:space="preserve">. </w:t>
      </w:r>
    </w:p>
    <w:p w14:paraId="0EAA9DD5" w14:textId="77777777" w:rsidR="001C0FAD" w:rsidRPr="004B0BC2" w:rsidRDefault="001C0FAD" w:rsidP="00B66369">
      <w:pPr>
        <w:spacing w:line="480" w:lineRule="auto"/>
        <w:rPr>
          <w:rFonts w:asciiTheme="minorHAnsi" w:hAnsiTheme="minorHAnsi" w:cstheme="minorHAnsi"/>
          <w:sz w:val="22"/>
          <w:szCs w:val="22"/>
        </w:rPr>
      </w:pPr>
    </w:p>
    <w:p w14:paraId="57A78354" w14:textId="0066ED8C" w:rsidR="00A33AB7" w:rsidRPr="00500FBD" w:rsidRDefault="000606CD"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A WHO study reported that</w:t>
      </w:r>
      <w:r w:rsidR="00234579">
        <w:rPr>
          <w:rFonts w:asciiTheme="minorHAnsi" w:hAnsiTheme="minorHAnsi" w:cstheme="minorHAnsi"/>
          <w:sz w:val="22"/>
          <w:szCs w:val="22"/>
        </w:rPr>
        <w:t>, globally, the</w:t>
      </w:r>
      <w:r w:rsidRPr="004B0BC2">
        <w:rPr>
          <w:rFonts w:asciiTheme="minorHAnsi" w:hAnsiTheme="minorHAnsi" w:cstheme="minorHAnsi"/>
          <w:sz w:val="22"/>
          <w:szCs w:val="22"/>
        </w:rPr>
        <w:t xml:space="preserve"> mean systolic blood pressure (age</w:t>
      </w:r>
      <w:r w:rsidR="00234579">
        <w:rPr>
          <w:rFonts w:asciiTheme="minorHAnsi" w:hAnsiTheme="minorHAnsi" w:cstheme="minorHAnsi"/>
          <w:sz w:val="22"/>
          <w:szCs w:val="22"/>
        </w:rPr>
        <w:t>-</w:t>
      </w:r>
      <w:r w:rsidRPr="004B0BC2">
        <w:rPr>
          <w:rFonts w:asciiTheme="minorHAnsi" w:hAnsiTheme="minorHAnsi" w:cstheme="minorHAnsi"/>
          <w:sz w:val="22"/>
          <w:szCs w:val="22"/>
        </w:rPr>
        <w:t>standardi</w:t>
      </w:r>
      <w:r w:rsidR="00234579">
        <w:rPr>
          <w:rFonts w:asciiTheme="minorHAnsi" w:hAnsiTheme="minorHAnsi" w:cstheme="minorHAnsi"/>
          <w:sz w:val="22"/>
          <w:szCs w:val="22"/>
        </w:rPr>
        <w:t>z</w:t>
      </w:r>
      <w:r w:rsidRPr="004B0BC2">
        <w:rPr>
          <w:rFonts w:asciiTheme="minorHAnsi" w:hAnsiTheme="minorHAnsi" w:cstheme="minorHAnsi"/>
          <w:sz w:val="22"/>
          <w:szCs w:val="22"/>
        </w:rPr>
        <w:t xml:space="preserve">ed estimate) was </w:t>
      </w:r>
      <w:r w:rsidRPr="004B0BC2">
        <w:rPr>
          <w:rFonts w:asciiTheme="minorHAnsi" w:hAnsiTheme="minorHAnsi" w:cstheme="minorHAnsi"/>
          <w:sz w:val="22"/>
          <w:szCs w:val="22"/>
          <w:shd w:val="clear" w:color="auto" w:fill="FFFFFF"/>
        </w:rPr>
        <w:t xml:space="preserve">127.0 </w:t>
      </w:r>
      <w:r w:rsidR="001344A6"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125.7-128.3</w:t>
      </w:r>
      <w:r w:rsidR="001344A6"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in men compared </w:t>
      </w:r>
      <w:r w:rsidR="00234579">
        <w:rPr>
          <w:rFonts w:asciiTheme="minorHAnsi" w:hAnsiTheme="minorHAnsi" w:cstheme="minorHAnsi"/>
          <w:sz w:val="22"/>
          <w:szCs w:val="22"/>
          <w:shd w:val="clear" w:color="auto" w:fill="FFFFFF"/>
        </w:rPr>
        <w:t>with</w:t>
      </w:r>
      <w:r w:rsidRPr="004B0BC2">
        <w:rPr>
          <w:rFonts w:asciiTheme="minorHAnsi" w:hAnsiTheme="minorHAnsi" w:cstheme="minorHAnsi"/>
          <w:sz w:val="22"/>
          <w:szCs w:val="22"/>
          <w:shd w:val="clear" w:color="auto" w:fill="FFFFFF"/>
        </w:rPr>
        <w:t xml:space="preserve"> 122.3 </w:t>
      </w:r>
      <w:r w:rsidR="001344A6"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121.0-123.6</w:t>
      </w:r>
      <w:r w:rsidR="001344A6"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in women</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URL":"https://apps.who.int/gho/data/view.main.12467GLOBAL?lang=en","accessed":{"date-parts":[["2020","7","19"]]},"author":[{"dropping-particle":"","family":"WHO","given":"","non-dropping-particle":"","parse-names":false,"suffix":""}],"id":"ITEM-1","issued":{"date-parts":[["0"]]},"title":"WHO | By category | Mean systolic blood pressure trends, age-standardized (mmHg) - Global estimates","type":"webpage"},"uris":["http://www.mendeley.com/documents/?uuid=7e7e5313-8a6d-41a7-84c8-bd2f1b239273"]}],"mendeley":{"formattedCitation":"(55)","plainTextFormattedCitation":"(55)","previouslyFormattedCitation":"(55)"},"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(55)</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rPr>
        <w:t xml:space="preserve"> </w:t>
      </w:r>
      <w:r w:rsidR="00234579">
        <w:rPr>
          <w:rFonts w:asciiTheme="minorHAnsi" w:hAnsiTheme="minorHAnsi" w:cstheme="minorHAnsi"/>
          <w:sz w:val="22"/>
          <w:szCs w:val="22"/>
        </w:rPr>
        <w:t>In a</w:t>
      </w:r>
      <w:r w:rsidR="009860AE">
        <w:rPr>
          <w:rFonts w:asciiTheme="minorHAnsi" w:hAnsiTheme="minorHAnsi" w:cstheme="minorHAnsi"/>
          <w:sz w:val="22"/>
          <w:szCs w:val="22"/>
        </w:rPr>
        <w:t>ccorda</w:t>
      </w:r>
      <w:r w:rsidR="00234579">
        <w:rPr>
          <w:rFonts w:asciiTheme="minorHAnsi" w:hAnsiTheme="minorHAnsi" w:cstheme="minorHAnsi"/>
          <w:sz w:val="22"/>
          <w:szCs w:val="22"/>
        </w:rPr>
        <w:t xml:space="preserve">nce with these data, a study using </w:t>
      </w:r>
      <w:r w:rsidR="0040722F" w:rsidRPr="004B0BC2">
        <w:rPr>
          <w:rFonts w:asciiTheme="minorHAnsi" w:hAnsiTheme="minorHAnsi" w:cstheme="minorHAnsi"/>
          <w:sz w:val="22"/>
          <w:szCs w:val="22"/>
        </w:rPr>
        <w:t xml:space="preserve">data from </w:t>
      </w:r>
      <w:r w:rsidR="00AE7E37" w:rsidRPr="004B0BC2">
        <w:rPr>
          <w:rFonts w:asciiTheme="minorHAnsi" w:hAnsiTheme="minorHAnsi" w:cstheme="minorHAnsi"/>
          <w:sz w:val="22"/>
          <w:szCs w:val="22"/>
        </w:rPr>
        <w:t xml:space="preserve">The National Health and Nutrition Examination </w:t>
      </w:r>
      <w:r w:rsidR="0040722F" w:rsidRPr="004B0BC2">
        <w:rPr>
          <w:rFonts w:asciiTheme="minorHAnsi" w:hAnsiTheme="minorHAnsi" w:cstheme="minorHAnsi"/>
          <w:sz w:val="22"/>
          <w:szCs w:val="22"/>
        </w:rPr>
        <w:t>Survey</w:t>
      </w:r>
      <w:r w:rsidR="000B12D8" w:rsidRPr="004B0BC2">
        <w:rPr>
          <w:rFonts w:asciiTheme="minorHAnsi" w:hAnsiTheme="minorHAnsi" w:cstheme="minorHAnsi"/>
          <w:sz w:val="22"/>
          <w:szCs w:val="22"/>
        </w:rPr>
        <w:t xml:space="preserve"> (NHANES)</w:t>
      </w:r>
      <w:r w:rsidR="0040722F" w:rsidRPr="004B0BC2">
        <w:rPr>
          <w:rFonts w:asciiTheme="minorHAnsi" w:hAnsiTheme="minorHAnsi" w:cstheme="minorHAnsi"/>
          <w:sz w:val="22"/>
          <w:szCs w:val="22"/>
        </w:rPr>
        <w:t xml:space="preserve"> reported that</w:t>
      </w:r>
      <w:r w:rsidR="005F521C" w:rsidRPr="004B0BC2">
        <w:rPr>
          <w:rFonts w:asciiTheme="minorHAnsi" w:hAnsiTheme="minorHAnsi" w:cstheme="minorHAnsi"/>
          <w:sz w:val="22"/>
          <w:szCs w:val="22"/>
        </w:rPr>
        <w:t>,</w:t>
      </w:r>
      <w:r w:rsidR="00234579">
        <w:rPr>
          <w:rFonts w:asciiTheme="minorHAnsi" w:hAnsiTheme="minorHAnsi" w:cstheme="minorHAnsi"/>
          <w:sz w:val="22"/>
          <w:szCs w:val="22"/>
        </w:rPr>
        <w:t xml:space="preserve"> </w:t>
      </w:r>
      <w:r w:rsidR="005F521C" w:rsidRPr="004B0BC2">
        <w:rPr>
          <w:rFonts w:asciiTheme="minorHAnsi" w:hAnsiTheme="minorHAnsi" w:cstheme="minorHAnsi"/>
          <w:sz w:val="22"/>
          <w:szCs w:val="22"/>
        </w:rPr>
        <w:t xml:space="preserve">in </w:t>
      </w:r>
      <w:r w:rsidR="00234579">
        <w:rPr>
          <w:rFonts w:asciiTheme="minorHAnsi" w:hAnsiTheme="minorHAnsi" w:cstheme="minorHAnsi"/>
          <w:sz w:val="22"/>
          <w:szCs w:val="22"/>
        </w:rPr>
        <w:t xml:space="preserve">the USA </w:t>
      </w:r>
      <w:r w:rsidR="00AA5A4C" w:rsidRPr="004B0BC2">
        <w:rPr>
          <w:rFonts w:asciiTheme="minorHAnsi" w:hAnsiTheme="minorHAnsi" w:cstheme="minorHAnsi"/>
          <w:sz w:val="22"/>
          <w:szCs w:val="22"/>
        </w:rPr>
        <w:t xml:space="preserve">the prevalence of hypertension </w:t>
      </w:r>
      <w:r w:rsidR="005F521C" w:rsidRPr="004B0BC2">
        <w:rPr>
          <w:rFonts w:asciiTheme="minorHAnsi" w:hAnsiTheme="minorHAnsi" w:cstheme="minorHAnsi"/>
          <w:sz w:val="22"/>
          <w:szCs w:val="22"/>
        </w:rPr>
        <w:t>was</w:t>
      </w:r>
      <w:r w:rsidR="00AA5A4C" w:rsidRPr="004B0BC2">
        <w:rPr>
          <w:rFonts w:asciiTheme="minorHAnsi" w:hAnsiTheme="minorHAnsi" w:cstheme="minorHAnsi"/>
          <w:sz w:val="22"/>
          <w:szCs w:val="22"/>
        </w:rPr>
        <w:t xml:space="preserve"> higher in </w:t>
      </w:r>
      <w:r w:rsidR="00DB6CC7" w:rsidRPr="004B0BC2">
        <w:rPr>
          <w:rFonts w:asciiTheme="minorHAnsi" w:hAnsiTheme="minorHAnsi" w:cstheme="minorHAnsi"/>
          <w:sz w:val="22"/>
          <w:szCs w:val="22"/>
        </w:rPr>
        <w:t>men</w:t>
      </w:r>
      <w:r w:rsidR="00FB2F4E" w:rsidRPr="004B0BC2">
        <w:rPr>
          <w:rFonts w:asciiTheme="minorHAnsi" w:hAnsiTheme="minorHAnsi" w:cstheme="minorHAnsi"/>
          <w:sz w:val="22"/>
          <w:szCs w:val="22"/>
        </w:rPr>
        <w:t xml:space="preserve"> </w:t>
      </w:r>
      <w:r w:rsidR="00234579">
        <w:rPr>
          <w:rFonts w:asciiTheme="minorHAnsi" w:hAnsiTheme="minorHAnsi" w:cstheme="minorHAnsi"/>
          <w:sz w:val="22"/>
          <w:szCs w:val="22"/>
        </w:rPr>
        <w:t>than</w:t>
      </w:r>
      <w:r w:rsidR="00FB2F4E" w:rsidRPr="004B0BC2">
        <w:rPr>
          <w:rFonts w:asciiTheme="minorHAnsi" w:hAnsiTheme="minorHAnsi" w:cstheme="minorHAnsi"/>
          <w:sz w:val="22"/>
          <w:szCs w:val="22"/>
        </w:rPr>
        <w:t xml:space="preserve"> </w:t>
      </w:r>
      <w:r w:rsidR="00DB6CC7" w:rsidRPr="004B0BC2">
        <w:rPr>
          <w:rFonts w:asciiTheme="minorHAnsi" w:hAnsiTheme="minorHAnsi" w:cstheme="minorHAnsi"/>
          <w:sz w:val="22"/>
          <w:szCs w:val="22"/>
        </w:rPr>
        <w:t>women</w:t>
      </w:r>
      <w:r w:rsidR="00AA5A4C" w:rsidRPr="004B0BC2">
        <w:rPr>
          <w:rFonts w:asciiTheme="minorHAnsi" w:hAnsiTheme="minorHAnsi" w:cstheme="minorHAnsi"/>
          <w:sz w:val="22"/>
          <w:szCs w:val="22"/>
        </w:rPr>
        <w:t xml:space="preserve"> </w:t>
      </w:r>
      <w:r w:rsidR="00AE7E37" w:rsidRPr="004B0BC2">
        <w:rPr>
          <w:rFonts w:asciiTheme="minorHAnsi" w:hAnsiTheme="minorHAnsi" w:cstheme="minorHAnsi"/>
          <w:sz w:val="22"/>
          <w:szCs w:val="22"/>
        </w:rPr>
        <w:t>in</w:t>
      </w:r>
      <w:r w:rsidR="0040722F" w:rsidRPr="004B0BC2">
        <w:rPr>
          <w:rFonts w:asciiTheme="minorHAnsi" w:hAnsiTheme="minorHAnsi" w:cstheme="minorHAnsi"/>
          <w:sz w:val="22"/>
          <w:szCs w:val="22"/>
        </w:rPr>
        <w:t xml:space="preserve"> all age groups</w:t>
      </w:r>
      <w:r w:rsidR="00B64274">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www.cdc.gov/nchs/data/factsheets/factsheet_nhanes.pdf","author":[{"dropping-particle":"","family":"CDG","given":"","non-dropping-particle":"","parse-names":false,"suffix":""}],"id":"ITEM-1","issued":{"date-parts":[["2020"]]},"page":"1-2","title":"National Health and Nutrition Examination Survey 2020","type":"webpage"},"uris":["http://www.mendeley.com/documents/?uuid=0c7aa939-9886-418a-858b-cbba8d4cbb3a"]}],"mendeley":{"formattedCitation":"(56)","plainTextFormattedCitation":"(56)","previouslyFormattedCitation":"(56)"},"properties":{"noteIndex":0},"schema":"https://github.com/citation-style-language/schema/raw/master/csl-citation.json"}</w:instrText>
      </w:r>
      <w:r w:rsidR="00B64274">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(56)</w:t>
      </w:r>
      <w:r w:rsidR="00B64274">
        <w:rPr>
          <w:rFonts w:asciiTheme="minorHAnsi" w:hAnsiTheme="minorHAnsi" w:cstheme="minorHAnsi"/>
          <w:sz w:val="22"/>
          <w:szCs w:val="22"/>
        </w:rPr>
        <w:fldChar w:fldCharType="end"/>
      </w:r>
      <w:r w:rsidR="0040722F" w:rsidRPr="004B0BC2">
        <w:rPr>
          <w:rFonts w:asciiTheme="minorHAnsi" w:hAnsiTheme="minorHAnsi" w:cstheme="minorHAnsi"/>
          <w:sz w:val="22"/>
          <w:szCs w:val="22"/>
        </w:rPr>
        <w:t>. However, t</w:t>
      </w:r>
      <w:r w:rsidR="00234579">
        <w:rPr>
          <w:rFonts w:asciiTheme="minorHAnsi" w:hAnsiTheme="minorHAnsi" w:cstheme="minorHAnsi"/>
          <w:sz w:val="22"/>
          <w:szCs w:val="22"/>
        </w:rPr>
        <w:t>his</w:t>
      </w:r>
      <w:r w:rsidR="0040722F" w:rsidRPr="004B0BC2">
        <w:rPr>
          <w:rFonts w:asciiTheme="minorHAnsi" w:hAnsiTheme="minorHAnsi" w:cstheme="minorHAnsi"/>
          <w:sz w:val="22"/>
          <w:szCs w:val="22"/>
        </w:rPr>
        <w:t xml:space="preserve"> gap in hypertension prevalence between</w:t>
      </w:r>
      <w:r w:rsidR="00234579">
        <w:rPr>
          <w:rFonts w:asciiTheme="minorHAnsi" w:hAnsiTheme="minorHAnsi" w:cstheme="minorHAnsi"/>
          <w:sz w:val="22"/>
          <w:szCs w:val="22"/>
        </w:rPr>
        <w:t xml:space="preserve"> the</w:t>
      </w:r>
      <w:r w:rsidR="0040722F" w:rsidRPr="004B0BC2">
        <w:rPr>
          <w:rFonts w:asciiTheme="minorHAnsi" w:hAnsiTheme="minorHAnsi" w:cstheme="minorHAnsi"/>
          <w:sz w:val="22"/>
          <w:szCs w:val="22"/>
        </w:rPr>
        <w:t xml:space="preserve"> sexes narrowed </w:t>
      </w:r>
      <w:r w:rsidR="0040722F" w:rsidRPr="00F46C92">
        <w:rPr>
          <w:rFonts w:asciiTheme="minorHAnsi" w:hAnsiTheme="minorHAnsi" w:cstheme="minorHAnsi"/>
          <w:sz w:val="22"/>
          <w:szCs w:val="22"/>
        </w:rPr>
        <w:t>with age; in the 18-39</w:t>
      </w:r>
      <w:r w:rsidR="008025B4">
        <w:rPr>
          <w:rFonts w:asciiTheme="minorHAnsi" w:hAnsiTheme="minorHAnsi" w:cstheme="minorHAnsi"/>
          <w:sz w:val="22"/>
          <w:szCs w:val="22"/>
        </w:rPr>
        <w:t>-</w:t>
      </w:r>
      <w:r w:rsidR="00234579" w:rsidRPr="00B64274">
        <w:rPr>
          <w:rFonts w:asciiTheme="minorHAnsi" w:hAnsiTheme="minorHAnsi" w:cstheme="minorHAnsi"/>
          <w:sz w:val="22"/>
          <w:szCs w:val="22"/>
        </w:rPr>
        <w:t>years group, the</w:t>
      </w:r>
      <w:r w:rsidR="0040722F" w:rsidRPr="00B64274">
        <w:rPr>
          <w:rFonts w:asciiTheme="minorHAnsi" w:hAnsiTheme="minorHAnsi" w:cstheme="minorHAnsi"/>
          <w:sz w:val="22"/>
          <w:szCs w:val="22"/>
        </w:rPr>
        <w:t xml:space="preserve"> difference in prevalence rate</w:t>
      </w:r>
      <w:r w:rsidR="00234579" w:rsidRPr="00B64274">
        <w:rPr>
          <w:rFonts w:asciiTheme="minorHAnsi" w:hAnsiTheme="minorHAnsi" w:cstheme="minorHAnsi"/>
          <w:sz w:val="22"/>
          <w:szCs w:val="22"/>
        </w:rPr>
        <w:t xml:space="preserve"> between men and women was</w:t>
      </w:r>
      <w:r w:rsidR="0040722F" w:rsidRPr="00B64274">
        <w:rPr>
          <w:rFonts w:asciiTheme="minorHAnsi" w:hAnsiTheme="minorHAnsi" w:cstheme="minorHAnsi"/>
          <w:sz w:val="22"/>
          <w:szCs w:val="22"/>
        </w:rPr>
        <w:t xml:space="preserve"> </w:t>
      </w:r>
      <w:r w:rsidR="0040722F" w:rsidRPr="008025B4">
        <w:rPr>
          <w:rFonts w:asciiTheme="minorHAnsi" w:hAnsiTheme="minorHAnsi" w:cstheme="minorHAnsi"/>
          <w:sz w:val="22"/>
          <w:szCs w:val="22"/>
        </w:rPr>
        <w:t>18.2%</w:t>
      </w:r>
      <w:r w:rsidR="00234579" w:rsidRPr="008025B4">
        <w:rPr>
          <w:rFonts w:asciiTheme="minorHAnsi" w:hAnsiTheme="minorHAnsi" w:cstheme="minorHAnsi"/>
          <w:sz w:val="22"/>
          <w:szCs w:val="22"/>
        </w:rPr>
        <w:t>,</w:t>
      </w:r>
      <w:r w:rsidR="0040722F" w:rsidRPr="008025B4">
        <w:rPr>
          <w:rFonts w:asciiTheme="minorHAnsi" w:hAnsiTheme="minorHAnsi" w:cstheme="minorHAnsi"/>
          <w:sz w:val="22"/>
          <w:szCs w:val="22"/>
        </w:rPr>
        <w:t xml:space="preserve"> wh</w:t>
      </w:r>
      <w:r w:rsidR="00234579" w:rsidRPr="008025B4">
        <w:rPr>
          <w:rFonts w:asciiTheme="minorHAnsi" w:hAnsiTheme="minorHAnsi" w:cstheme="minorHAnsi"/>
          <w:sz w:val="22"/>
          <w:szCs w:val="22"/>
        </w:rPr>
        <w:t>ereas</w:t>
      </w:r>
      <w:r w:rsidR="0040722F" w:rsidRPr="008025B4">
        <w:rPr>
          <w:rFonts w:asciiTheme="minorHAnsi" w:hAnsiTheme="minorHAnsi" w:cstheme="minorHAnsi"/>
          <w:sz w:val="22"/>
          <w:szCs w:val="22"/>
        </w:rPr>
        <w:t xml:space="preserve"> in the &gt;60</w:t>
      </w:r>
      <w:r w:rsidR="00234579" w:rsidRPr="008025B4">
        <w:rPr>
          <w:rFonts w:asciiTheme="minorHAnsi" w:hAnsiTheme="minorHAnsi" w:cstheme="minorHAnsi"/>
          <w:sz w:val="22"/>
          <w:szCs w:val="22"/>
        </w:rPr>
        <w:t xml:space="preserve"> years group</w:t>
      </w:r>
      <w:r w:rsidR="0040722F" w:rsidRPr="008025B4">
        <w:rPr>
          <w:rFonts w:asciiTheme="minorHAnsi" w:hAnsiTheme="minorHAnsi" w:cstheme="minorHAnsi"/>
          <w:sz w:val="22"/>
          <w:szCs w:val="22"/>
        </w:rPr>
        <w:t xml:space="preserve"> the difference</w:t>
      </w:r>
      <w:r w:rsidR="00234579" w:rsidRPr="00B64274">
        <w:rPr>
          <w:rFonts w:asciiTheme="minorHAnsi" w:hAnsiTheme="minorHAnsi" w:cstheme="minorHAnsi"/>
          <w:sz w:val="22"/>
          <w:szCs w:val="22"/>
        </w:rPr>
        <w:t xml:space="preserve"> reduced to just</w:t>
      </w:r>
      <w:r w:rsidR="0040722F" w:rsidRPr="00B64274">
        <w:rPr>
          <w:rFonts w:asciiTheme="minorHAnsi" w:hAnsiTheme="minorHAnsi" w:cstheme="minorHAnsi"/>
          <w:sz w:val="22"/>
          <w:szCs w:val="22"/>
        </w:rPr>
        <w:t xml:space="preserve"> 1.3</w:t>
      </w:r>
      <w:r w:rsidR="0040722F" w:rsidRPr="00FF59DF">
        <w:rPr>
          <w:rFonts w:asciiTheme="minorHAnsi" w:hAnsiTheme="minorHAnsi" w:cstheme="minorHAnsi"/>
          <w:sz w:val="22"/>
          <w:szCs w:val="22"/>
        </w:rPr>
        <w:t>%.</w:t>
      </w:r>
      <w:r w:rsidR="00851874" w:rsidRPr="00851874">
        <w:rPr>
          <w:rFonts w:asciiTheme="minorHAnsi" w:hAnsiTheme="minorHAnsi" w:cstheme="minorHAnsi"/>
          <w:sz w:val="22"/>
          <w:szCs w:val="22"/>
        </w:rPr>
        <w:t xml:space="preserve"> </w:t>
      </w:r>
      <w:r w:rsidR="00851874" w:rsidRPr="00FF59DF">
        <w:rPr>
          <w:rFonts w:asciiTheme="minorHAnsi" w:hAnsiTheme="minorHAnsi" w:cstheme="minorHAnsi"/>
          <w:sz w:val="22"/>
          <w:szCs w:val="22"/>
        </w:rPr>
        <w:t>Tamara et al. investigated sex differences in age</w:t>
      </w:r>
      <w:r w:rsidR="008025B4">
        <w:rPr>
          <w:rFonts w:asciiTheme="minorHAnsi" w:hAnsiTheme="minorHAnsi" w:cstheme="minorHAnsi"/>
          <w:sz w:val="22"/>
          <w:szCs w:val="22"/>
        </w:rPr>
        <w:t>-</w:t>
      </w:r>
      <w:r w:rsidR="00851874" w:rsidRPr="00FF59DF">
        <w:rPr>
          <w:rFonts w:asciiTheme="minorHAnsi" w:hAnsiTheme="minorHAnsi" w:cstheme="minorHAnsi"/>
          <w:sz w:val="22"/>
          <w:szCs w:val="22"/>
        </w:rPr>
        <w:t>related stiffening of large arterie</w:t>
      </w:r>
      <w:r w:rsidR="00851874" w:rsidRPr="00831749">
        <w:rPr>
          <w:rFonts w:asciiTheme="minorHAnsi" w:hAnsiTheme="minorHAnsi" w:cstheme="minorHAnsi"/>
          <w:sz w:val="22"/>
          <w:szCs w:val="22"/>
        </w:rPr>
        <w:t xml:space="preserve">s in a cohort </w:t>
      </w:r>
      <w:r w:rsidR="008025B4">
        <w:rPr>
          <w:rFonts w:asciiTheme="minorHAnsi" w:hAnsiTheme="minorHAnsi" w:cstheme="minorHAnsi"/>
          <w:sz w:val="22"/>
          <w:szCs w:val="22"/>
        </w:rPr>
        <w:t xml:space="preserve">of </w:t>
      </w:r>
      <w:r w:rsidR="00851874" w:rsidRPr="00831749">
        <w:rPr>
          <w:rFonts w:asciiTheme="minorHAnsi" w:hAnsiTheme="minorHAnsi" w:cstheme="minorHAnsi"/>
          <w:sz w:val="22"/>
          <w:szCs w:val="22"/>
        </w:rPr>
        <w:t>123 participants at a single institution</w:t>
      </w:r>
      <w:r w:rsidR="00851874" w:rsidRPr="00FF59DF">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{"citationItems":[{"id":"ITEM-1","itemData":{"DOI":"10.1097/00004872-200112000-00014","ISSN":"02636352","PMID":"11725165","abstract":"Background: Large artery mechanical properties are a major determinant of pulse pressure and cardiovascular outcome. Sex differences in these properties may underlie the variation in cardiovascular risk profile between men and women, in relation to age. Objective: To investigate sex differences in the age-related stiffening of large arteries. Design: Cross-sectional. Methods: One hundred and twenty healthy men and women were recruited and divided equally into tertiles by age: young (mean ± SD, 23 ± 5 years), middle-age (47 ± 3 years) and older (62 ± 7 years). Lipids, mean arterial pressure and heart rate were matched within each tertile. Carotid tonometry and Doppler velocimetry were used to measure indices of large artery stiffness. Results: There was no sex difference in systemic arterial compliance (SAC) in the young group (mean ± SEM, 0.61 ± 0.05 arbitrary compliance units (ACU) in women compared with 0.67 ± 0.04 ACU in men), but in the older population women had lower SAC than men (0.27 ± 0.03 ACU compared with 0.57 ± 0.04 ACU respectively; P &lt; 0.001). Measures independent of aortic geometry (distensibility index and aortic impedance) indicated that stiffness was lower in young women than in men (P &lt; 0.05), but the reverse was true in the older population (P &lt; 0.01). This paralleled the brachial and carotid pulse pressures, which were lower in young (P &lt; 0.01) and higher in older women compared with those in men (P &lt; 0.05). Follicle stimulating hormone concentrations correlated strongly (r values 0.39-0.65) with all indices of central, but not peripheral, arterial function, whereas concentrations of luteinizing hormone, progesterone and oestradiol correlated less strongly. Conclusions: In men and women matched for mean pressures, the age-related stiffening of large arteries is more pronounced in women, which is consistent with changes in female hormonal status. © 2001 Lippincott Williams &amp; Wilkins.","author":[{"dropping-particle":"","family":"Waddell","given":"Tamara K.","non-dropping-particle":"","parse-names":false,"suffix":""},{"dropping-particle":"","family":"Dart","given":"Anthony M.","non-dropping-particle":"","parse-names":false,"suffix":""},{"dropping-particle":"","family":"Gatzka","given":"Christoph D.","non-dropping-particle":"","parse-names":false,"suffix":""},{"dropping-particle":"","family":"Cameron","given":"James D.","non-dropping-particle":"","parse-names":false,"suffix":""},{"dropping-particle":"","family":"Kingwell","given":"Bronwyn A.","non-dropping-particle":"","parse-names":false,"suffix":""}],"container-title":"Journal of Hypertension","id":"ITEM-1","issue":"12","issued":{"date-parts":[["2001"]]},"page":"2205-12","title":"Women exhibit a greater age-related increase in proximal aortic stiffness than men","type":"article-journal","volume":"19"},"uris":["http://www.mendeley.com/documents/?uuid=73acf75c-d0ad-45ea-8755-955a51084730"]}],"mendeley":{"formattedCitation":"(57)","plainTextFormattedCitation":"(57)","previouslyFormattedCitation":"(57)"},"properties":{"noteIndex":0},"schema":"https://github.com/citation-style-language/schema/raw/master/csl-citation.json"}</w:instrText>
      </w:r>
      <w:r w:rsidR="00851874" w:rsidRPr="00FF59DF">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(57)</w:t>
      </w:r>
      <w:r w:rsidR="00851874" w:rsidRPr="00FF59DF">
        <w:rPr>
          <w:rFonts w:asciiTheme="minorHAnsi" w:hAnsiTheme="minorHAnsi" w:cstheme="minorHAnsi"/>
          <w:sz w:val="22"/>
          <w:szCs w:val="22"/>
        </w:rPr>
        <w:fldChar w:fldCharType="end"/>
      </w:r>
      <w:r w:rsidR="00851874" w:rsidRPr="00FF59DF">
        <w:rPr>
          <w:rFonts w:asciiTheme="minorHAnsi" w:hAnsiTheme="minorHAnsi" w:cstheme="minorHAnsi"/>
          <w:sz w:val="22"/>
          <w:szCs w:val="22"/>
        </w:rPr>
        <w:t xml:space="preserve">. </w:t>
      </w:r>
      <w:r w:rsidR="00851874" w:rsidRPr="00851874">
        <w:rPr>
          <w:rFonts w:asciiTheme="minorHAnsi" w:hAnsiTheme="minorHAnsi" w:cstheme="minorHAnsi"/>
          <w:sz w:val="22"/>
          <w:szCs w:val="22"/>
        </w:rPr>
        <w:t>The authors observ</w:t>
      </w:r>
      <w:r w:rsidR="00851874" w:rsidRPr="00831749">
        <w:rPr>
          <w:rFonts w:asciiTheme="minorHAnsi" w:hAnsiTheme="minorHAnsi" w:cstheme="minorHAnsi"/>
          <w:sz w:val="22"/>
          <w:szCs w:val="22"/>
        </w:rPr>
        <w:t xml:space="preserve">ed that </w:t>
      </w:r>
      <w:r w:rsidR="00851874" w:rsidRPr="00831749">
        <w:rPr>
          <w:rFonts w:asciiTheme="minorHAnsi" w:hAnsiTheme="minorHAnsi" w:cstheme="minorHAnsi"/>
          <w:sz w:val="22"/>
          <w:szCs w:val="22"/>
          <w:shd w:val="clear" w:color="auto" w:fill="FFFFFF" w:themeFill="background1"/>
        </w:rPr>
        <w:t>the brachial and carotid pulse pressures were significantly lower in young women (mean age 23 years) than in men of the same age (</w:t>
      </w:r>
      <w:r w:rsidR="00851874" w:rsidRPr="00831749">
        <w:rPr>
          <w:rStyle w:val="fulltext-it"/>
          <w:rFonts w:asciiTheme="minorHAnsi" w:hAnsiTheme="minorHAnsi" w:cstheme="minorHAnsi"/>
          <w:sz w:val="22"/>
          <w:szCs w:val="22"/>
          <w:shd w:val="clear" w:color="auto" w:fill="FFFFFF" w:themeFill="background1"/>
        </w:rPr>
        <w:t>p</w:t>
      </w:r>
      <w:r w:rsidR="00851874" w:rsidRPr="00831749">
        <w:rPr>
          <w:rStyle w:val="fulltext-bd"/>
          <w:rFonts w:asciiTheme="minorHAnsi" w:hAnsiTheme="minorHAnsi" w:cstheme="minorHAnsi"/>
          <w:b/>
          <w:bCs/>
          <w:sz w:val="22"/>
          <w:szCs w:val="22"/>
          <w:shd w:val="clear" w:color="auto" w:fill="FFFFFF" w:themeFill="background1"/>
        </w:rPr>
        <w:t>&lt;</w:t>
      </w:r>
      <w:r w:rsidR="00851874" w:rsidRPr="00831749">
        <w:rPr>
          <w:rFonts w:asciiTheme="minorHAnsi" w:hAnsiTheme="minorHAnsi" w:cstheme="minorHAnsi"/>
          <w:sz w:val="22"/>
          <w:szCs w:val="22"/>
          <w:shd w:val="clear" w:color="auto" w:fill="FFFFFF" w:themeFill="background1"/>
        </w:rPr>
        <w:t>0.01) but significantly higher in women than men in the elderly population (mean age 62 years) (</w:t>
      </w:r>
      <w:r w:rsidR="00851874" w:rsidRPr="00831749">
        <w:rPr>
          <w:rStyle w:val="fulltext-it"/>
          <w:rFonts w:asciiTheme="minorHAnsi" w:hAnsiTheme="minorHAnsi" w:cstheme="minorHAnsi"/>
          <w:sz w:val="22"/>
          <w:szCs w:val="22"/>
          <w:shd w:val="clear" w:color="auto" w:fill="FFFFFF" w:themeFill="background1"/>
        </w:rPr>
        <w:t>p</w:t>
      </w:r>
      <w:r w:rsidR="00851874" w:rsidRPr="00831749">
        <w:rPr>
          <w:rStyle w:val="fulltext-bd"/>
          <w:rFonts w:asciiTheme="minorHAnsi" w:hAnsiTheme="minorHAnsi" w:cstheme="minorHAnsi"/>
          <w:b/>
          <w:bCs/>
          <w:sz w:val="22"/>
          <w:szCs w:val="22"/>
          <w:shd w:val="clear" w:color="auto" w:fill="FFFFFF" w:themeFill="background1"/>
        </w:rPr>
        <w:t>&lt;</w:t>
      </w:r>
      <w:r w:rsidR="00851874" w:rsidRPr="00831749">
        <w:rPr>
          <w:rFonts w:asciiTheme="minorHAnsi" w:hAnsiTheme="minorHAnsi" w:cstheme="minorHAnsi"/>
          <w:sz w:val="22"/>
          <w:szCs w:val="22"/>
          <w:shd w:val="clear" w:color="auto" w:fill="FFFFFF" w:themeFill="background1"/>
        </w:rPr>
        <w:t xml:space="preserve">0.05). The same study also compared systemic arterial compliance (SAC) in both sexes and observed no sex difference in SAC in the young cohorts (mean age 23 years) but in the older group (mean age 62 </w:t>
      </w:r>
      <w:r w:rsidR="00851874" w:rsidRPr="00831749">
        <w:rPr>
          <w:rFonts w:asciiTheme="minorHAnsi" w:hAnsiTheme="minorHAnsi" w:cstheme="minorHAnsi"/>
          <w:sz w:val="22"/>
          <w:szCs w:val="22"/>
          <w:shd w:val="clear" w:color="auto" w:fill="FFFFFF" w:themeFill="background1"/>
        </w:rPr>
        <w:lastRenderedPageBreak/>
        <w:t>years), women had a lower SAC than men (0.27 </w:t>
      </w:r>
      <w:r w:rsidR="00851874" w:rsidRPr="00831749">
        <w:rPr>
          <w:rStyle w:val="fulltext-bd"/>
          <w:rFonts w:asciiTheme="minorHAnsi" w:hAnsiTheme="minorHAnsi" w:cstheme="minorHAnsi"/>
          <w:b/>
          <w:bCs/>
          <w:sz w:val="22"/>
          <w:szCs w:val="22"/>
          <w:shd w:val="clear" w:color="auto" w:fill="FFFFFF" w:themeFill="background1"/>
        </w:rPr>
        <w:t>+/-</w:t>
      </w:r>
      <w:r w:rsidR="00851874" w:rsidRPr="00831749">
        <w:rPr>
          <w:rFonts w:asciiTheme="minorHAnsi" w:hAnsiTheme="minorHAnsi" w:cstheme="minorHAnsi"/>
          <w:sz w:val="22"/>
          <w:szCs w:val="22"/>
          <w:shd w:val="clear" w:color="auto" w:fill="FFFFFF" w:themeFill="background1"/>
        </w:rPr>
        <w:t> 0.03 vs 0.57 </w:t>
      </w:r>
      <w:r w:rsidR="00851874" w:rsidRPr="00831749">
        <w:rPr>
          <w:rStyle w:val="fulltext-bd"/>
          <w:rFonts w:asciiTheme="minorHAnsi" w:hAnsiTheme="minorHAnsi" w:cstheme="minorHAnsi"/>
          <w:b/>
          <w:bCs/>
          <w:sz w:val="22"/>
          <w:szCs w:val="22"/>
          <w:shd w:val="clear" w:color="auto" w:fill="FFFFFF" w:themeFill="background1"/>
        </w:rPr>
        <w:t>+/-</w:t>
      </w:r>
      <w:r w:rsidR="00851874" w:rsidRPr="00831749">
        <w:rPr>
          <w:rFonts w:asciiTheme="minorHAnsi" w:hAnsiTheme="minorHAnsi" w:cstheme="minorHAnsi"/>
          <w:sz w:val="22"/>
          <w:szCs w:val="22"/>
          <w:shd w:val="clear" w:color="auto" w:fill="FFFFFF" w:themeFill="background1"/>
        </w:rPr>
        <w:t> 0.04, p</w:t>
      </w:r>
      <w:r w:rsidR="00851874" w:rsidRPr="00831749">
        <w:rPr>
          <w:rStyle w:val="fulltext-bd"/>
          <w:rFonts w:asciiTheme="minorHAnsi" w:hAnsiTheme="minorHAnsi" w:cstheme="minorHAnsi"/>
          <w:b/>
          <w:bCs/>
          <w:sz w:val="22"/>
          <w:szCs w:val="22"/>
          <w:shd w:val="clear" w:color="auto" w:fill="FFFFFF" w:themeFill="background1"/>
        </w:rPr>
        <w:t>&lt;</w:t>
      </w:r>
      <w:r w:rsidR="00851874" w:rsidRPr="00831749">
        <w:rPr>
          <w:rFonts w:asciiTheme="minorHAnsi" w:hAnsiTheme="minorHAnsi" w:cstheme="minorHAnsi"/>
          <w:sz w:val="22"/>
          <w:szCs w:val="22"/>
          <w:shd w:val="clear" w:color="auto" w:fill="FFFFFF" w:themeFill="background1"/>
        </w:rPr>
        <w:t>0.001).</w:t>
      </w:r>
      <w:r w:rsidR="00851874">
        <w:rPr>
          <w:rFonts w:asciiTheme="minorHAnsi" w:hAnsiTheme="minorHAnsi" w:cstheme="minorHAnsi"/>
          <w:sz w:val="22"/>
          <w:szCs w:val="22"/>
          <w:shd w:val="clear" w:color="auto" w:fill="FFFFFF" w:themeFill="background1"/>
        </w:rPr>
        <w:t xml:space="preserve"> </w:t>
      </w:r>
      <w:r w:rsidR="00926805">
        <w:rPr>
          <w:rFonts w:asciiTheme="minorHAnsi" w:hAnsiTheme="minorHAnsi" w:cstheme="minorHAnsi"/>
          <w:sz w:val="22"/>
          <w:szCs w:val="22"/>
          <w:shd w:val="clear" w:color="auto" w:fill="FFFFFF" w:themeFill="background1"/>
        </w:rPr>
        <w:t xml:space="preserve"> The authors reported that FSH levels were significantly increased in the older group compared </w:t>
      </w:r>
      <w:r w:rsidR="008025B4">
        <w:rPr>
          <w:rFonts w:asciiTheme="minorHAnsi" w:hAnsiTheme="minorHAnsi" w:cstheme="minorHAnsi"/>
          <w:sz w:val="22"/>
          <w:szCs w:val="22"/>
          <w:shd w:val="clear" w:color="auto" w:fill="FFFFFF" w:themeFill="background1"/>
        </w:rPr>
        <w:t>with</w:t>
      </w:r>
      <w:r w:rsidR="00926805">
        <w:rPr>
          <w:rFonts w:asciiTheme="minorHAnsi" w:hAnsiTheme="minorHAnsi" w:cstheme="minorHAnsi"/>
          <w:sz w:val="22"/>
          <w:szCs w:val="22"/>
          <w:shd w:val="clear" w:color="auto" w:fill="FFFFFF" w:themeFill="background1"/>
        </w:rPr>
        <w:t xml:space="preserve"> the younger group and FSH correlated strongly with indices of central arterial function (r= 0.39-0.65).</w:t>
      </w:r>
      <w:r w:rsidR="00851874">
        <w:rPr>
          <w:rFonts w:asciiTheme="minorHAnsi" w:hAnsiTheme="minorHAnsi" w:cstheme="minorHAnsi"/>
          <w:sz w:val="22"/>
          <w:szCs w:val="22"/>
          <w:shd w:val="clear" w:color="auto" w:fill="FFFFFF" w:themeFill="background1"/>
        </w:rPr>
        <w:t xml:space="preserve"> </w:t>
      </w:r>
      <w:r w:rsidR="00851874" w:rsidRPr="00831749">
        <w:rPr>
          <w:rFonts w:asciiTheme="minorHAnsi" w:hAnsiTheme="minorHAnsi" w:cstheme="minorHAnsi"/>
          <w:sz w:val="22"/>
          <w:szCs w:val="22"/>
          <w:shd w:val="clear" w:color="auto" w:fill="FFFFFF" w:themeFill="background1"/>
        </w:rPr>
        <w:t xml:space="preserve">Thus, </w:t>
      </w:r>
      <w:r w:rsidR="00851874">
        <w:rPr>
          <w:rFonts w:asciiTheme="minorHAnsi" w:hAnsiTheme="minorHAnsi" w:cstheme="minorHAnsi"/>
          <w:sz w:val="22"/>
          <w:szCs w:val="22"/>
          <w:shd w:val="clear" w:color="auto" w:fill="FFFFFF" w:themeFill="background1"/>
        </w:rPr>
        <w:t>increasing age is associated with a more pronounced stiffening of large arteries in females than males</w:t>
      </w:r>
      <w:r w:rsidR="00926805">
        <w:rPr>
          <w:rFonts w:asciiTheme="minorHAnsi" w:hAnsiTheme="minorHAnsi" w:cstheme="minorHAnsi"/>
          <w:sz w:val="22"/>
          <w:szCs w:val="22"/>
          <w:shd w:val="clear" w:color="auto" w:fill="FFFFFF" w:themeFill="background1"/>
        </w:rPr>
        <w:t xml:space="preserve"> and this </w:t>
      </w:r>
      <w:r w:rsidR="008025B4">
        <w:rPr>
          <w:rFonts w:asciiTheme="minorHAnsi" w:hAnsiTheme="minorHAnsi" w:cstheme="minorHAnsi"/>
          <w:sz w:val="22"/>
          <w:szCs w:val="22"/>
          <w:shd w:val="clear" w:color="auto" w:fill="FFFFFF" w:themeFill="background1"/>
        </w:rPr>
        <w:t xml:space="preserve">discrepancy </w:t>
      </w:r>
      <w:r w:rsidR="00926805">
        <w:rPr>
          <w:rFonts w:asciiTheme="minorHAnsi" w:hAnsiTheme="minorHAnsi" w:cstheme="minorHAnsi"/>
          <w:sz w:val="22"/>
          <w:szCs w:val="22"/>
          <w:shd w:val="clear" w:color="auto" w:fill="FFFFFF" w:themeFill="background1"/>
        </w:rPr>
        <w:t>corresponds with changes in FSH</w:t>
      </w:r>
      <w:r w:rsidR="00851874">
        <w:rPr>
          <w:rFonts w:asciiTheme="minorHAnsi" w:hAnsiTheme="minorHAnsi" w:cstheme="minorHAnsi"/>
          <w:sz w:val="22"/>
          <w:szCs w:val="22"/>
          <w:shd w:val="clear" w:color="auto" w:fill="FFFFFF" w:themeFill="background1"/>
        </w:rPr>
        <w:t xml:space="preserve">. </w:t>
      </w:r>
    </w:p>
    <w:p w14:paraId="4955A7BC" w14:textId="5FC574E3" w:rsidR="00851874" w:rsidRDefault="00851874" w:rsidP="00B66369">
      <w:pPr>
        <w:spacing w:line="480" w:lineRule="auto"/>
        <w:rPr>
          <w:rFonts w:asciiTheme="minorHAnsi" w:hAnsiTheme="minorHAnsi" w:cstheme="minorHAnsi"/>
          <w:sz w:val="22"/>
          <w:szCs w:val="22"/>
        </w:rPr>
      </w:pPr>
      <w:r>
        <w:rPr>
          <w:rFonts w:asciiTheme="minorHAnsi" w:hAnsiTheme="minorHAnsi" w:cstheme="minorHAnsi"/>
          <w:sz w:val="22"/>
          <w:szCs w:val="22"/>
        </w:rPr>
        <w:t>S</w:t>
      </w:r>
      <w:r w:rsidR="005F521C" w:rsidRPr="004B0BC2">
        <w:rPr>
          <w:rFonts w:asciiTheme="minorHAnsi" w:hAnsiTheme="minorHAnsi" w:cstheme="minorHAnsi"/>
          <w:sz w:val="22"/>
          <w:szCs w:val="22"/>
        </w:rPr>
        <w:t>ex differences in hypertension</w:t>
      </w:r>
      <w:r w:rsidR="00A33AB7" w:rsidRPr="004B0BC2">
        <w:rPr>
          <w:rFonts w:asciiTheme="minorHAnsi" w:hAnsiTheme="minorHAnsi" w:cstheme="minorHAnsi"/>
          <w:sz w:val="22"/>
          <w:szCs w:val="22"/>
        </w:rPr>
        <w:t xml:space="preserve"> prevalence </w:t>
      </w:r>
      <w:r>
        <w:rPr>
          <w:rFonts w:asciiTheme="minorHAnsi" w:hAnsiTheme="minorHAnsi" w:cstheme="minorHAnsi"/>
          <w:sz w:val="22"/>
          <w:szCs w:val="22"/>
        </w:rPr>
        <w:t>m</w:t>
      </w:r>
      <w:r w:rsidR="008025B4">
        <w:rPr>
          <w:rFonts w:asciiTheme="minorHAnsi" w:hAnsiTheme="minorHAnsi" w:cstheme="minorHAnsi"/>
          <w:sz w:val="22"/>
          <w:szCs w:val="22"/>
        </w:rPr>
        <w:t>ight</w:t>
      </w:r>
      <w:r w:rsidR="00926805">
        <w:rPr>
          <w:rFonts w:asciiTheme="minorHAnsi" w:hAnsiTheme="minorHAnsi" w:cstheme="minorHAnsi"/>
          <w:sz w:val="22"/>
          <w:szCs w:val="22"/>
        </w:rPr>
        <w:t xml:space="preserve"> also</w:t>
      </w:r>
      <w:r>
        <w:rPr>
          <w:rFonts w:asciiTheme="minorHAnsi" w:hAnsiTheme="minorHAnsi" w:cstheme="minorHAnsi"/>
          <w:sz w:val="22"/>
          <w:szCs w:val="22"/>
        </w:rPr>
        <w:t xml:space="preserve"> </w:t>
      </w:r>
      <w:r w:rsidR="005F521C" w:rsidRPr="004B0BC2">
        <w:rPr>
          <w:rFonts w:asciiTheme="minorHAnsi" w:hAnsiTheme="minorHAnsi" w:cstheme="minorHAnsi"/>
          <w:sz w:val="22"/>
          <w:szCs w:val="22"/>
        </w:rPr>
        <w:t>be</w:t>
      </w:r>
      <w:r w:rsidR="00A33AB7" w:rsidRPr="004B0BC2">
        <w:rPr>
          <w:rFonts w:asciiTheme="minorHAnsi" w:hAnsiTheme="minorHAnsi" w:cstheme="minorHAnsi"/>
          <w:sz w:val="22"/>
          <w:szCs w:val="22"/>
        </w:rPr>
        <w:t xml:space="preserve"> related to lifestyle factors.</w:t>
      </w:r>
      <w:r w:rsidR="003C11E1">
        <w:rPr>
          <w:rFonts w:asciiTheme="minorHAnsi" w:hAnsiTheme="minorHAnsi" w:cstheme="minorHAnsi"/>
          <w:sz w:val="22"/>
          <w:szCs w:val="22"/>
        </w:rPr>
        <w:t xml:space="preserve"> </w:t>
      </w:r>
      <w:r w:rsidR="006870FD">
        <w:rPr>
          <w:rFonts w:asciiTheme="minorHAnsi" w:hAnsiTheme="minorHAnsi" w:cstheme="minorHAnsi"/>
          <w:sz w:val="22"/>
          <w:szCs w:val="22"/>
        </w:rPr>
        <w:t>In addition to the higher prevalence of smoking in men than women, men</w:t>
      </w:r>
      <w:r w:rsidR="00A33AB7" w:rsidRPr="004B0BC2">
        <w:rPr>
          <w:rFonts w:asciiTheme="minorHAnsi" w:hAnsiTheme="minorHAnsi" w:cstheme="minorHAnsi"/>
          <w:sz w:val="22"/>
          <w:szCs w:val="22"/>
        </w:rPr>
        <w:t xml:space="preserve"> also</w:t>
      </w:r>
      <w:r w:rsidR="00DB6CC7" w:rsidRPr="004B0BC2">
        <w:rPr>
          <w:rFonts w:asciiTheme="minorHAnsi" w:hAnsiTheme="minorHAnsi" w:cstheme="minorHAnsi"/>
          <w:sz w:val="22"/>
          <w:szCs w:val="22"/>
        </w:rPr>
        <w:t xml:space="preserve"> have a higher</w:t>
      </w:r>
      <w:r w:rsidR="00A33AB7" w:rsidRPr="004B0BC2">
        <w:rPr>
          <w:rFonts w:asciiTheme="minorHAnsi" w:hAnsiTheme="minorHAnsi" w:cstheme="minorHAnsi"/>
          <w:sz w:val="22"/>
          <w:szCs w:val="22"/>
        </w:rPr>
        <w:t xml:space="preserve"> salt intake.</w:t>
      </w:r>
      <w:r w:rsidR="004C5F90" w:rsidRPr="004B0BC2">
        <w:rPr>
          <w:rFonts w:asciiTheme="minorHAnsi" w:hAnsiTheme="minorHAnsi" w:cstheme="minorHAnsi"/>
          <w:sz w:val="22"/>
          <w:szCs w:val="22"/>
        </w:rPr>
        <w:t xml:space="preserve"> </w:t>
      </w:r>
      <w:r w:rsidR="006870FD">
        <w:rPr>
          <w:rFonts w:asciiTheme="minorHAnsi" w:hAnsiTheme="minorHAnsi" w:cstheme="minorHAnsi"/>
          <w:sz w:val="22"/>
          <w:szCs w:val="22"/>
        </w:rPr>
        <w:t>In 2014, t</w:t>
      </w:r>
      <w:r w:rsidR="004C5F90" w:rsidRPr="004B0BC2">
        <w:rPr>
          <w:rFonts w:asciiTheme="minorHAnsi" w:hAnsiTheme="minorHAnsi" w:cstheme="minorHAnsi"/>
          <w:sz w:val="22"/>
          <w:szCs w:val="22"/>
        </w:rPr>
        <w:t xml:space="preserve">he national diet and nutrition </w:t>
      </w:r>
      <w:r w:rsidR="00DB6CC7" w:rsidRPr="004B0BC2">
        <w:rPr>
          <w:rFonts w:asciiTheme="minorHAnsi" w:hAnsiTheme="minorHAnsi" w:cstheme="minorHAnsi"/>
          <w:sz w:val="22"/>
          <w:szCs w:val="22"/>
        </w:rPr>
        <w:t>survey</w:t>
      </w:r>
      <w:r w:rsidR="004C5F90" w:rsidRPr="004B0BC2">
        <w:rPr>
          <w:rFonts w:asciiTheme="minorHAnsi" w:hAnsiTheme="minorHAnsi" w:cstheme="minorHAnsi"/>
          <w:sz w:val="22"/>
          <w:szCs w:val="22"/>
        </w:rPr>
        <w:t xml:space="preserve"> in the UK reported that </w:t>
      </w:r>
      <w:r w:rsidR="00DB6CC7" w:rsidRPr="004B0BC2">
        <w:rPr>
          <w:rFonts w:asciiTheme="minorHAnsi" w:hAnsiTheme="minorHAnsi" w:cstheme="minorHAnsi"/>
          <w:sz w:val="22"/>
          <w:szCs w:val="22"/>
        </w:rPr>
        <w:t>m</w:t>
      </w:r>
      <w:r w:rsidR="004C5F90" w:rsidRPr="004B0BC2">
        <w:rPr>
          <w:rFonts w:asciiTheme="minorHAnsi" w:hAnsiTheme="minorHAnsi" w:cstheme="minorHAnsi"/>
          <w:sz w:val="22"/>
          <w:szCs w:val="22"/>
        </w:rPr>
        <w:t>en had a mean daily</w:t>
      </w:r>
      <w:r w:rsidR="00E232C9" w:rsidRPr="004B0BC2">
        <w:rPr>
          <w:rFonts w:asciiTheme="minorHAnsi" w:hAnsiTheme="minorHAnsi" w:cstheme="minorHAnsi"/>
          <w:sz w:val="22"/>
          <w:szCs w:val="22"/>
        </w:rPr>
        <w:t xml:space="preserve"> salt</w:t>
      </w:r>
      <w:r w:rsidR="004C5F90" w:rsidRPr="004B0BC2">
        <w:rPr>
          <w:rFonts w:asciiTheme="minorHAnsi" w:hAnsiTheme="minorHAnsi" w:cstheme="minorHAnsi"/>
          <w:sz w:val="22"/>
          <w:szCs w:val="22"/>
        </w:rPr>
        <w:t xml:space="preserve"> intake of 9.1g/day</w:t>
      </w:r>
      <w:r w:rsidR="005F521C" w:rsidRPr="004B0BC2">
        <w:rPr>
          <w:rFonts w:asciiTheme="minorHAnsi" w:hAnsiTheme="minorHAnsi" w:cstheme="minorHAnsi"/>
          <w:sz w:val="22"/>
          <w:szCs w:val="22"/>
        </w:rPr>
        <w:t>, wh</w:t>
      </w:r>
      <w:r w:rsidR="006870FD">
        <w:rPr>
          <w:rFonts w:asciiTheme="minorHAnsi" w:hAnsiTheme="minorHAnsi" w:cstheme="minorHAnsi"/>
          <w:sz w:val="22"/>
          <w:szCs w:val="22"/>
        </w:rPr>
        <w:t>ereas</w:t>
      </w:r>
      <w:r w:rsidR="005F521C" w:rsidRPr="004B0BC2">
        <w:rPr>
          <w:rFonts w:asciiTheme="minorHAnsi" w:hAnsiTheme="minorHAnsi" w:cstheme="minorHAnsi"/>
          <w:sz w:val="22"/>
          <w:szCs w:val="22"/>
        </w:rPr>
        <w:t xml:space="preserve"> </w:t>
      </w:r>
      <w:r w:rsidR="004C5F90" w:rsidRPr="004B0BC2">
        <w:rPr>
          <w:rFonts w:asciiTheme="minorHAnsi" w:hAnsiTheme="minorHAnsi" w:cstheme="minorHAnsi"/>
          <w:sz w:val="22"/>
          <w:szCs w:val="22"/>
        </w:rPr>
        <w:t xml:space="preserve">women </w:t>
      </w:r>
      <w:r w:rsidR="005F521C" w:rsidRPr="004B0BC2">
        <w:rPr>
          <w:rFonts w:asciiTheme="minorHAnsi" w:hAnsiTheme="minorHAnsi" w:cstheme="minorHAnsi"/>
          <w:sz w:val="22"/>
          <w:szCs w:val="22"/>
        </w:rPr>
        <w:t>consumed</w:t>
      </w:r>
      <w:r w:rsidR="006870FD">
        <w:rPr>
          <w:rFonts w:asciiTheme="minorHAnsi" w:hAnsiTheme="minorHAnsi" w:cstheme="minorHAnsi"/>
          <w:sz w:val="22"/>
          <w:szCs w:val="22"/>
        </w:rPr>
        <w:t xml:space="preserve"> an average</w:t>
      </w:r>
      <w:r w:rsidR="004C5F90" w:rsidRPr="004B0BC2">
        <w:rPr>
          <w:rFonts w:asciiTheme="minorHAnsi" w:hAnsiTheme="minorHAnsi" w:cstheme="minorHAnsi"/>
          <w:sz w:val="22"/>
          <w:szCs w:val="22"/>
        </w:rPr>
        <w:t xml:space="preserve"> 6.8g/day</w:t>
      </w:r>
      <w:r w:rsidR="005F521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{"citationItems":[{"id":"ITEM-1","itemData":{"abstract":"Public Health England exists to protect and improve the nation's health and wellbeing, and reduce health inequalities. It does this through world-class science, knowledge and intelligence, advocacy, partnerships and the delivery of specialist public health services. PHE is an operationally autonomous executive agency of the Department of Health.","author":[{"dropping-particle":"","family":"Bates","given":"B","non-dropping-particle":"","parse-names":false,"suffix":""},{"dropping-particle":"","family":"Cox","given":"L","non-dropping-particle":"","parse-names":false,"suffix":""},{"dropping-particle":"","family":"N","given":"Maplethorpe","non-dropping-particle":"","parse-names":false,"suffix":""},{"dropping-particle":"","family":"Mazumder","given":"A","non-dropping-particle":"","parse-names":false,"suffix":""},{"dropping-particle":"","family":"Nicholson","given":"S","non-dropping-particle":"","parse-names":false,"suffix":""},{"dropping-particle":"","family":"Page","given":"P","non-dropping-particle":"","parse-names":false,"suffix":""},{"dropping-particle":"","family":"Prentice","given":"A","non-dropping-particle":"","parse-names":false,"suffix":""},{"dropping-particle":"","family":"Rooney","given":"K","non-dropping-particle":"","parse-names":false,"suffix":""},{"dropping-particle":"","family":"Ziauddeen","given":"N","non-dropping-particle":"","parse-names":false,"suffix":""},{"dropping-particle":"","family":"Swan","given":"G","non-dropping-particle":"","parse-names":false,"suffix":""}],"container-title":"Department of Health","id":"ITEM-1","issued":{"date-parts":[["2016"]]},"title":"National Diet and Nutrition Survey - Assessment of dietary sodium in adults (aged 19 to 64 years) in England, 2014","type":"report"},"uris":["http://www.mendeley.com/documents/?uuid=c0114424-4e79-43a6-86f7-549e59b4bd05"]}],"mendeley":{"formattedCitation":"(58)","plainTextFormattedCitation":"(58)","previouslyFormattedCitation":"(58)"},"properties":{"noteIndex":0},"schema":"https://github.com/citation-style-language/schema/raw/master/csl-citation.json"}</w:instrText>
      </w:r>
      <w:r w:rsidR="005F521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(58)</w:t>
      </w:r>
      <w:r w:rsidR="005F521C" w:rsidRPr="004B0BC2">
        <w:rPr>
          <w:rFonts w:asciiTheme="minorHAnsi" w:hAnsiTheme="minorHAnsi" w:cstheme="minorHAnsi"/>
          <w:sz w:val="22"/>
          <w:szCs w:val="22"/>
        </w:rPr>
        <w:fldChar w:fldCharType="end"/>
      </w:r>
      <w:r w:rsidR="004C5F90" w:rsidRPr="004B0BC2">
        <w:rPr>
          <w:rFonts w:asciiTheme="minorHAnsi" w:hAnsiTheme="minorHAnsi" w:cstheme="minorHAnsi"/>
          <w:sz w:val="22"/>
          <w:szCs w:val="22"/>
        </w:rPr>
        <w:t>.</w:t>
      </w:r>
      <w:r w:rsidR="00DA1CCA" w:rsidRPr="004B0BC2">
        <w:rPr>
          <w:rFonts w:asciiTheme="minorHAnsi" w:hAnsiTheme="minorHAnsi" w:cstheme="minorHAnsi"/>
          <w:sz w:val="22"/>
          <w:szCs w:val="22"/>
        </w:rPr>
        <w:t xml:space="preserve"> </w:t>
      </w:r>
      <w:r w:rsidR="00ED3888" w:rsidRPr="004B0BC2">
        <w:rPr>
          <w:rFonts w:asciiTheme="minorHAnsi" w:hAnsiTheme="minorHAnsi" w:cstheme="minorHAnsi"/>
          <w:sz w:val="22"/>
          <w:szCs w:val="22"/>
        </w:rPr>
        <w:t xml:space="preserve">Moreover, the </w:t>
      </w:r>
      <w:r w:rsidR="00DA1CCA" w:rsidRPr="004B0BC2">
        <w:rPr>
          <w:rFonts w:asciiTheme="minorHAnsi" w:hAnsiTheme="minorHAnsi" w:cstheme="minorHAnsi"/>
          <w:sz w:val="22"/>
          <w:szCs w:val="22"/>
        </w:rPr>
        <w:t>mean sodium intake in the U</w:t>
      </w:r>
      <w:r w:rsidR="006870FD">
        <w:rPr>
          <w:rFonts w:asciiTheme="minorHAnsi" w:hAnsiTheme="minorHAnsi" w:cstheme="minorHAnsi"/>
          <w:sz w:val="22"/>
          <w:szCs w:val="22"/>
        </w:rPr>
        <w:t>SA</w:t>
      </w:r>
      <w:r w:rsidR="00DA1CCA" w:rsidRPr="004B0BC2">
        <w:rPr>
          <w:rFonts w:asciiTheme="minorHAnsi" w:hAnsiTheme="minorHAnsi" w:cstheme="minorHAnsi"/>
          <w:sz w:val="22"/>
          <w:szCs w:val="22"/>
        </w:rPr>
        <w:t xml:space="preserve"> </w:t>
      </w:r>
      <w:r w:rsidR="00ED3888" w:rsidRPr="004B0BC2">
        <w:rPr>
          <w:rFonts w:asciiTheme="minorHAnsi" w:hAnsiTheme="minorHAnsi" w:cstheme="minorHAnsi"/>
          <w:sz w:val="22"/>
          <w:szCs w:val="22"/>
        </w:rPr>
        <w:t xml:space="preserve">estimated </w:t>
      </w:r>
      <w:r w:rsidR="006870FD">
        <w:rPr>
          <w:rFonts w:asciiTheme="minorHAnsi" w:hAnsiTheme="minorHAnsi" w:cstheme="minorHAnsi"/>
          <w:sz w:val="22"/>
          <w:szCs w:val="22"/>
        </w:rPr>
        <w:t>using</w:t>
      </w:r>
      <w:r w:rsidR="00DA1CCA" w:rsidRPr="004B0BC2">
        <w:rPr>
          <w:rFonts w:asciiTheme="minorHAnsi" w:hAnsiTheme="minorHAnsi" w:cstheme="minorHAnsi"/>
          <w:sz w:val="22"/>
          <w:szCs w:val="22"/>
        </w:rPr>
        <w:t xml:space="preserve"> 24-hour urinary excretion was 4</w:t>
      </w:r>
      <w:r w:rsidR="006870FD">
        <w:rPr>
          <w:rFonts w:asciiTheme="minorHAnsi" w:hAnsiTheme="minorHAnsi" w:cstheme="minorHAnsi"/>
          <w:sz w:val="22"/>
          <w:szCs w:val="22"/>
        </w:rPr>
        <w:t>,</w:t>
      </w:r>
      <w:r w:rsidR="00DA1CCA" w:rsidRPr="004B0BC2">
        <w:rPr>
          <w:rFonts w:asciiTheme="minorHAnsi" w:hAnsiTheme="minorHAnsi" w:cstheme="minorHAnsi"/>
          <w:sz w:val="22"/>
          <w:szCs w:val="22"/>
        </w:rPr>
        <w:t xml:space="preserve">205 mg/d </w:t>
      </w:r>
      <w:r w:rsidR="00003962" w:rsidRPr="004B0BC2">
        <w:rPr>
          <w:rFonts w:asciiTheme="minorHAnsi" w:hAnsiTheme="minorHAnsi" w:cstheme="minorHAnsi"/>
          <w:sz w:val="22"/>
          <w:szCs w:val="22"/>
        </w:rPr>
        <w:t xml:space="preserve">in </w:t>
      </w:r>
      <w:r w:rsidR="00DA1CCA" w:rsidRPr="004B0BC2">
        <w:rPr>
          <w:rFonts w:asciiTheme="minorHAnsi" w:hAnsiTheme="minorHAnsi" w:cstheme="minorHAnsi"/>
          <w:sz w:val="22"/>
          <w:szCs w:val="22"/>
        </w:rPr>
        <w:t>males and 3</w:t>
      </w:r>
      <w:r w:rsidR="006870FD">
        <w:rPr>
          <w:rFonts w:asciiTheme="minorHAnsi" w:hAnsiTheme="minorHAnsi" w:cstheme="minorHAnsi"/>
          <w:sz w:val="22"/>
          <w:szCs w:val="22"/>
        </w:rPr>
        <w:t>,</w:t>
      </w:r>
      <w:r w:rsidR="00DA1CCA" w:rsidRPr="004B0BC2">
        <w:rPr>
          <w:rFonts w:asciiTheme="minorHAnsi" w:hAnsiTheme="minorHAnsi" w:cstheme="minorHAnsi"/>
          <w:sz w:val="22"/>
          <w:szCs w:val="22"/>
        </w:rPr>
        <w:t xml:space="preserve">039 mg/d </w:t>
      </w:r>
      <w:r w:rsidR="00003962" w:rsidRPr="004B0BC2">
        <w:rPr>
          <w:rFonts w:asciiTheme="minorHAnsi" w:hAnsiTheme="minorHAnsi" w:cstheme="minorHAnsi"/>
          <w:sz w:val="22"/>
          <w:szCs w:val="22"/>
        </w:rPr>
        <w:t xml:space="preserve">in </w:t>
      </w:r>
      <w:r w:rsidR="00DA1CCA" w:rsidRPr="004B0BC2">
        <w:rPr>
          <w:rFonts w:asciiTheme="minorHAnsi" w:hAnsiTheme="minorHAnsi" w:cstheme="minorHAnsi"/>
          <w:sz w:val="22"/>
          <w:szCs w:val="22"/>
        </w:rPr>
        <w:t>females</w:t>
      </w:r>
      <w:r w:rsidR="005F521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{"citationItems":[{"id":"ITEM-1","itemData":{"DOI":"10.1161/CIR.0000000000000659","ISSN":"15244539","PMID":"30700139","author":[{"dropping-particle":"","family":"Benjamin","given":"Emelia J.","non-dropping-particle":"","parse-names":false,"suffix":""},{"dropping-particle":"","family":"Muntner","given":"Paul","non-dropping-particle":"","parse-names":false,"suffix":""},{"dropping-particle":"","family":"Alonso","given":"Alvaro","non-dropping-particle":"","parse-names":false,"suffix":""},{"dropping-particle":"","family":"Bittencourt","given":"Marcio S.","non-dropping-particle":"","parse-names":false,"suffix":""},{"dropping-particle":"","family":"Callaway","given":"Clifton W.","non-dropping-particle":"","parse-names":false,"suffix":""},{"dropping-particle":"","family":"Carson","given":"April P.","non-dropping-particle":"","parse-names":false,"suffix":""},{"dropping-particle":"","family":"Chamberlain","given":"Alanna M.","non-dropping-particle":"","parse-names":false,"suffix":""},{"dropping-particle":"","family":"Chang","given":"Alexander R.","non-dropping-particle":"","parse-names":false,"suffix":""},{"dropping-particle":"","family":"Cheng","given":"Susan","non-dropping-particle":"","parse-names":false,"suffix":""},{"dropping-particle":"","family":"Das","given":"Sandeep R.","non-dropping-particle":"","parse-names":false,"suffix":""},{"dropping-particle":"","family":"Delling","given":"Francesca N.","non-dropping-particle":"","parse-names":false,"suffix":""},{"dropping-particle":"","family":"Djousse","given":"Luc","non-dropping-particle":"","parse-names":false,"suffix":""},{"dropping-particle":"","family":"Elkind","given":"Mitchell S.V.","non-dropping-particle":"","parse-names":false,"suffix":""},{"dropping-particle":"","family":"Ferguson","given":"Jane F.","non-dropping-particle":"","parse-names":false,"suffix":""},{"dropping-particle":"","family":"Fornage","given":"Myriam","non-dropping-particle":"","parse-names":false,"suffix":""},{"dropping-particle":"","family":"Jordan","given":"Lori Chaffin","non-dropping-particle":"","parse-names":false,"suffix":""},{"dropping-particle":"","family":"Khan","given":"Sadiya S.","non-dropping-particle":"","parse-names":false,"suffix":""},{"dropping-particle":"","family":"Kissela","given":"Brett M.","non-dropping-particle":"","parse-names":false,"suffix":""},{"dropping-particle":"","family":"Knutson","given":"Kristen L.","non-dropping-particle":"","parse-names":false,"suffix":""},{"dropping-particle":"","family":"Kwan","given":"Tak W.","non-dropping-particle":"","parse-names":false,"suffix":""},{"dropping-particle":"","family":"Lackland","given":"Daniel T.","non-dropping-particle":"","parse-names":false,"suffix":""},{"dropping-particle":"","family":"Lewis","given":"Tené T.","non-dropping-particle":"","parse-names":false,"suffix":""},{"dropping-particle":"","family":"Lichtman","given":"Judith H.","non-dropping-particle":"","parse-names":false,"suffix":""},{"dropping-particle":"","family":"Longenecker","given":"Chris T.","non-dropping-particle":"","parse-names":false,"suffix":""},{"dropping-particle":"","family":"Loop","given":"Matthew Shane","non-dropping-particle":"","parse-names":false,"suffix":""},{"dropping-particle":"","family":"Lutsey","given":"Pamela L.","non-dropping-particle":"","parse-names":false,"suffix":""},{"dropping-particle":"","family":"Martin","given":"Seth S.","non-dropping-particle":"","parse-names":false,"suffix":""},{"dropping-particle":"","family":"Matsushita","given":"Kunihiro","non-dropping-particle":"","parse-names":false,"suffix":""},{"dropping-particle":"","family":"Moran","given":"Andrew E.","non-dropping-particle":"","parse-names":false,"suffix":""},{"dropping-particle":"","family":"Mussolino","given":"Michael E.","non-dropping-particle":"","parse-names":false,"suffix":""},{"dropping-particle":"","family":"O'Flaherty","given":"Martin","non-dropping-particle":"","parse-names":false,"suffix":""},{"dropping-particle":"","family":"Pandey","given":"Ambarish","non-dropping-particle":"","parse-names":false,"suffix":""},{"dropping-particle":"","family":"Perak","given":"Amanda M.","non-dropping-particle":"","parse-names":false,"suffix":""},{"dropping-particle":"","family":"Rosamond","given":"Wayne D.","non-dropping-particle":"","parse-names":false,"suffix":""},{"dropping-particle":"","family":"Roth","given":"Gregory A.","non-dropping-particle":"","parse-names":false,"suffix":""},{"dropping-particle":"","family":"Sampson","given":"Uchechukwu K.A.","non-dropping-particle":"","parse-names":false,"suffix":""},{"dropping-particle":"","family":"Satou","given":"Gary M.","non-dropping-particle":"","parse-names":false,"suffix":""},{"dropping-particle":"","family":"Schroeder","given":"Emily B.","non-dropping-particle":"","parse-names":false,"suffix":""},{"dropping-particle":"","family":"Shah","given":"Svati H.","non-dropping-particle":"","parse-names":false,"suffix":""},{"dropping-particle":"","family":"Spartano","given":"Nicole L.","non-dropping-particle":"","parse-names":false,"suffix":""},{"dropping-particle":"","family":"Stokes","given":"Andrew","non-dropping-particle":"","parse-names":false,"suffix":""},{"dropping-particle":"","family":"Tirschwell","given":"David L.","non-dropping-particle":"","parse-names":false,"suffix":""},{"dropping-particle":"","family":"Tsao","given":"Connie W.","non-dropping-particle":"","parse-names":false,"suffix":""},{"dropping-particle":"","family":"Turakhia","given":"Mintu P.","non-dropping-particle":"","parse-names":false,"suffix":""},{"dropping-particle":"","family":"VanWagner","given":"Lisa B.","non-dropping-particle":"","parse-names":false,"suffix":""},{"dropping-particle":"","family":"Wilkins","given":"John T.","non-dropping-particle":"","parse-names":false,"suffix":""},{"dropping-particle":"","family":"Wong","given":"Sally S.","non-dropping-particle":"","parse-names":false,"suffix":""},{"dropping-particle":"","family":"Virani","given":"Salim S.","non-dropping-particle":"","parse-names":false,"suffix":""}],"container-title":"Circulation","id":"ITEM-1","issued":{"date-parts":[["2019"]]},"page":"056–528","title":"Heart Disease and Stroke Statistics-2019 Update: A Report From the American Heart Association","type":"article-journal","volume":"139"},"uris":["http://www.mendeley.com/documents/?uuid=0eca681d-5319-4c39-8779-0f4fe8faa103"]}],"mendeley":{"formattedCitation":"(59)","plainTextFormattedCitation":"(59)","previouslyFormattedCitation":"(59)"},"properties":{"noteIndex":0},"schema":"https://github.com/citation-style-language/schema/raw/master/csl-citation.json"}</w:instrText>
      </w:r>
      <w:r w:rsidR="005F521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(59)</w:t>
      </w:r>
      <w:r w:rsidR="005F521C" w:rsidRPr="004B0BC2">
        <w:rPr>
          <w:rFonts w:asciiTheme="minorHAnsi" w:hAnsiTheme="minorHAnsi" w:cstheme="minorHAnsi"/>
          <w:sz w:val="22"/>
          <w:szCs w:val="22"/>
        </w:rPr>
        <w:fldChar w:fldCharType="end"/>
      </w:r>
      <w:r w:rsidR="00C76D75" w:rsidRPr="004B0BC2">
        <w:rPr>
          <w:rFonts w:asciiTheme="minorHAnsi" w:hAnsiTheme="minorHAnsi" w:cstheme="minorHAnsi"/>
          <w:sz w:val="22"/>
          <w:szCs w:val="22"/>
        </w:rPr>
        <w:t>.</w:t>
      </w:r>
      <w:r w:rsidR="00ED3888" w:rsidRPr="004B0BC2">
        <w:rPr>
          <w:rFonts w:asciiTheme="minorHAnsi" w:hAnsiTheme="minorHAnsi" w:cstheme="minorHAnsi"/>
          <w:sz w:val="22"/>
          <w:szCs w:val="22"/>
        </w:rPr>
        <w:t xml:space="preserve"> </w:t>
      </w:r>
    </w:p>
    <w:p w14:paraId="2F427446" w14:textId="366FB264" w:rsidR="00B10247" w:rsidRPr="004B0BC2" w:rsidRDefault="00B10247" w:rsidP="00B66369">
      <w:pPr>
        <w:spacing w:line="480" w:lineRule="auto"/>
        <w:rPr>
          <w:rFonts w:asciiTheme="minorHAnsi" w:hAnsiTheme="minorHAnsi" w:cstheme="minorHAnsi"/>
          <w:sz w:val="22"/>
          <w:szCs w:val="22"/>
        </w:rPr>
      </w:pPr>
    </w:p>
    <w:p w14:paraId="4930F363" w14:textId="011E7C4E" w:rsidR="00B34118" w:rsidRPr="004B0BC2" w:rsidRDefault="007C075F" w:rsidP="00B66369">
      <w:pPr>
        <w:spacing w:line="480" w:lineRule="auto"/>
        <w:rPr>
          <w:rFonts w:asciiTheme="minorHAnsi" w:hAnsiTheme="minorHAnsi" w:cstheme="minorHAnsi"/>
          <w:sz w:val="22"/>
          <w:szCs w:val="22"/>
          <w:shd w:val="clear" w:color="auto" w:fill="FFFFFF"/>
        </w:rPr>
      </w:pPr>
      <w:r w:rsidRPr="004B0BC2">
        <w:rPr>
          <w:rFonts w:asciiTheme="minorHAnsi" w:hAnsiTheme="minorHAnsi" w:cstheme="minorHAnsi"/>
          <w:sz w:val="22"/>
          <w:szCs w:val="22"/>
        </w:rPr>
        <w:t>The</w:t>
      </w:r>
      <w:r w:rsidR="004C5F90" w:rsidRPr="004B0BC2">
        <w:rPr>
          <w:rFonts w:asciiTheme="minorHAnsi" w:hAnsiTheme="minorHAnsi" w:cstheme="minorHAnsi"/>
          <w:sz w:val="22"/>
          <w:szCs w:val="22"/>
        </w:rPr>
        <w:t xml:space="preserve"> higher prevalence of hypertension, smoking and diabetes </w:t>
      </w:r>
      <w:r w:rsidRPr="004B0BC2">
        <w:rPr>
          <w:rFonts w:asciiTheme="minorHAnsi" w:hAnsiTheme="minorHAnsi" w:cstheme="minorHAnsi"/>
          <w:sz w:val="22"/>
          <w:szCs w:val="22"/>
        </w:rPr>
        <w:t>m</w:t>
      </w:r>
      <w:r w:rsidR="006870FD">
        <w:rPr>
          <w:rFonts w:asciiTheme="minorHAnsi" w:hAnsiTheme="minorHAnsi" w:cstheme="minorHAnsi"/>
          <w:sz w:val="22"/>
          <w:szCs w:val="22"/>
        </w:rPr>
        <w:t>ight</w:t>
      </w:r>
      <w:r w:rsidR="00E232C9" w:rsidRPr="004B0BC2">
        <w:rPr>
          <w:rFonts w:asciiTheme="minorHAnsi" w:hAnsiTheme="minorHAnsi" w:cstheme="minorHAnsi"/>
          <w:sz w:val="22"/>
          <w:szCs w:val="22"/>
        </w:rPr>
        <w:t xml:space="preserve"> also</w:t>
      </w:r>
      <w:r w:rsidR="004C5F90" w:rsidRPr="004B0BC2">
        <w:rPr>
          <w:rFonts w:asciiTheme="minorHAnsi" w:hAnsiTheme="minorHAnsi" w:cstheme="minorHAnsi"/>
          <w:sz w:val="22"/>
          <w:szCs w:val="22"/>
        </w:rPr>
        <w:t xml:space="preserve"> account for </w:t>
      </w:r>
      <w:r w:rsidR="00ED3888" w:rsidRPr="004B0BC2">
        <w:rPr>
          <w:rFonts w:asciiTheme="minorHAnsi" w:hAnsiTheme="minorHAnsi" w:cstheme="minorHAnsi"/>
          <w:sz w:val="22"/>
          <w:szCs w:val="22"/>
        </w:rPr>
        <w:t>the</w:t>
      </w:r>
      <w:r w:rsidR="004C5F90" w:rsidRPr="004B0BC2">
        <w:rPr>
          <w:rFonts w:asciiTheme="minorHAnsi" w:hAnsiTheme="minorHAnsi" w:cstheme="minorHAnsi"/>
          <w:sz w:val="22"/>
          <w:szCs w:val="22"/>
        </w:rPr>
        <w:t xml:space="preserve"> higher </w:t>
      </w:r>
      <w:r w:rsidR="006870FD">
        <w:rPr>
          <w:rFonts w:asciiTheme="minorHAnsi" w:hAnsiTheme="minorHAnsi" w:cstheme="minorHAnsi"/>
          <w:sz w:val="22"/>
          <w:szCs w:val="22"/>
        </w:rPr>
        <w:t xml:space="preserve">levels of </w:t>
      </w:r>
      <w:r w:rsidR="004C5F90" w:rsidRPr="004B0BC2">
        <w:rPr>
          <w:rFonts w:asciiTheme="minorHAnsi" w:hAnsiTheme="minorHAnsi" w:cstheme="minorHAnsi"/>
          <w:sz w:val="22"/>
          <w:szCs w:val="22"/>
        </w:rPr>
        <w:t>coronary heart disease reported in men than women</w:t>
      </w:r>
      <w:r w:rsidR="00B10247" w:rsidRPr="004B0BC2">
        <w:rPr>
          <w:rFonts w:asciiTheme="minorHAnsi" w:hAnsiTheme="minorHAnsi" w:cstheme="minorHAnsi"/>
          <w:sz w:val="22"/>
          <w:szCs w:val="22"/>
        </w:rPr>
        <w:t>.</w:t>
      </w:r>
      <w:r w:rsidRPr="004B0BC2">
        <w:rPr>
          <w:rFonts w:asciiTheme="minorHAnsi" w:hAnsiTheme="minorHAnsi" w:cstheme="minorHAnsi"/>
          <w:sz w:val="22"/>
          <w:szCs w:val="22"/>
        </w:rPr>
        <w:t xml:space="preserve"> </w:t>
      </w:r>
      <w:r w:rsidR="005F521C" w:rsidRPr="004B0BC2">
        <w:rPr>
          <w:rFonts w:asciiTheme="minorHAnsi" w:hAnsiTheme="minorHAnsi" w:cstheme="minorHAnsi"/>
          <w:sz w:val="22"/>
          <w:szCs w:val="22"/>
        </w:rPr>
        <w:t>The</w:t>
      </w:r>
      <w:r w:rsidRPr="004B0BC2">
        <w:rPr>
          <w:rFonts w:asciiTheme="minorHAnsi" w:hAnsiTheme="minorHAnsi" w:cstheme="minorHAnsi"/>
          <w:sz w:val="22"/>
          <w:szCs w:val="22"/>
        </w:rPr>
        <w:t xml:space="preserve"> WHO mortality database reported a</w:t>
      </w:r>
      <w:r w:rsidR="003C11E1">
        <w:rPr>
          <w:rFonts w:asciiTheme="minorHAnsi" w:hAnsiTheme="minorHAnsi" w:cstheme="minorHAnsi"/>
          <w:sz w:val="22"/>
          <w:szCs w:val="22"/>
        </w:rPr>
        <w:t xml:space="preserve"> </w:t>
      </w:r>
      <w:r w:rsidR="006870FD">
        <w:rPr>
          <w:rFonts w:asciiTheme="minorHAnsi" w:hAnsiTheme="minorHAnsi" w:cstheme="minorHAnsi"/>
          <w:sz w:val="22"/>
          <w:szCs w:val="22"/>
        </w:rPr>
        <w:t>fourfold</w:t>
      </w:r>
      <w:r w:rsidR="000B12D8" w:rsidRPr="004B0BC2">
        <w:rPr>
          <w:rFonts w:asciiTheme="minorHAnsi" w:hAnsiTheme="minorHAnsi" w:cstheme="minorHAnsi"/>
          <w:sz w:val="22"/>
          <w:szCs w:val="22"/>
        </w:rPr>
        <w:t xml:space="preserve"> </w:t>
      </w:r>
      <w:r w:rsidRPr="004B0BC2">
        <w:rPr>
          <w:rFonts w:asciiTheme="minorHAnsi" w:hAnsiTheme="minorHAnsi" w:cstheme="minorHAnsi"/>
          <w:sz w:val="22"/>
          <w:szCs w:val="22"/>
        </w:rPr>
        <w:t xml:space="preserve">higher </w:t>
      </w:r>
      <w:r w:rsidR="00104A08" w:rsidRPr="004B0BC2">
        <w:rPr>
          <w:rFonts w:asciiTheme="minorHAnsi" w:hAnsiTheme="minorHAnsi" w:cstheme="minorHAnsi"/>
          <w:sz w:val="22"/>
          <w:szCs w:val="22"/>
        </w:rPr>
        <w:t>coronary heart disease</w:t>
      </w:r>
      <w:r w:rsidRPr="004B0BC2">
        <w:rPr>
          <w:rFonts w:asciiTheme="minorHAnsi" w:hAnsiTheme="minorHAnsi" w:cstheme="minorHAnsi"/>
          <w:sz w:val="22"/>
          <w:szCs w:val="22"/>
        </w:rPr>
        <w:t xml:space="preserve"> mortality rate in men </w:t>
      </w:r>
      <w:r w:rsidR="006870FD">
        <w:rPr>
          <w:rFonts w:asciiTheme="minorHAnsi" w:hAnsiTheme="minorHAnsi" w:cstheme="minorHAnsi"/>
          <w:sz w:val="22"/>
          <w:szCs w:val="22"/>
        </w:rPr>
        <w:t>than</w:t>
      </w:r>
      <w:r w:rsidRPr="004B0BC2">
        <w:rPr>
          <w:rFonts w:asciiTheme="minorHAnsi" w:hAnsiTheme="minorHAnsi" w:cstheme="minorHAnsi"/>
          <w:sz w:val="22"/>
          <w:szCs w:val="22"/>
        </w:rPr>
        <w:t xml:space="preserve"> women</w:t>
      </w:r>
      <w:r w:rsidR="000B12D8" w:rsidRPr="004B0BC2">
        <w:rPr>
          <w:rFonts w:asciiTheme="minorHAnsi" w:hAnsiTheme="minorHAnsi" w:cstheme="minorHAnsi"/>
          <w:sz w:val="22"/>
          <w:szCs w:val="22"/>
        </w:rPr>
        <w:t xml:space="preserve"> aged 30-64 years and </w:t>
      </w:r>
      <w:r w:rsidR="006870FD" w:rsidRPr="00327DEA">
        <w:rPr>
          <w:rFonts w:asciiTheme="minorHAnsi" w:hAnsiTheme="minorHAnsi" w:cstheme="minorHAnsi"/>
          <w:sz w:val="22"/>
          <w:szCs w:val="22"/>
        </w:rPr>
        <w:t>twof</w:t>
      </w:r>
      <w:r w:rsidR="00C35232" w:rsidRPr="00364372">
        <w:rPr>
          <w:rFonts w:asciiTheme="minorHAnsi" w:hAnsiTheme="minorHAnsi" w:cstheme="minorHAnsi"/>
          <w:sz w:val="22"/>
          <w:szCs w:val="22"/>
        </w:rPr>
        <w:t>old</w:t>
      </w:r>
      <w:r w:rsidR="000B12D8" w:rsidRPr="00CA3B35">
        <w:rPr>
          <w:rFonts w:asciiTheme="minorHAnsi" w:hAnsiTheme="minorHAnsi" w:cstheme="minorHAnsi"/>
          <w:sz w:val="22"/>
          <w:szCs w:val="22"/>
        </w:rPr>
        <w:t xml:space="preserve"> in those a</w:t>
      </w:r>
      <w:r w:rsidR="000B12D8" w:rsidRPr="00ED1FBD">
        <w:rPr>
          <w:rFonts w:asciiTheme="minorHAnsi" w:hAnsiTheme="minorHAnsi" w:cstheme="minorHAnsi"/>
          <w:sz w:val="22"/>
          <w:szCs w:val="22"/>
        </w:rPr>
        <w:t>ged 65-89 years</w:t>
      </w:r>
      <w:r w:rsidR="004C5F90" w:rsidRPr="0036437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{"citationItems":[{"id":"ITEM-1","itemData":{"DOI":"10.1136/bmjgh-2017-000298","ISSN":"20597908","abstract":"Background: Cardiovascular disease mortality rates are well known to be lower in women than men and to increase with age. Whether these sex and age effects have changed over recent decades, and how much they differ by country, is unclear. Method: From the WHO Mortality Database, we obtained age-specific and sex-specific coronary heart disease (CHD) and stroke mortality rates for the world’s most populous countries with data available between 1980 and 2010. We calculated age-specific, country-specific and period-specific men-to-women CHD and stroke mortality rate ratios for 26 countries and compared the differences between and within countries over time. Results: CHD and stroke mortality decreased substantially between 1980 and 2010 in most countries, in both sexes. Mostly there was an attenuation of the effect of ageing over calendar time, more so in men than in women. CHD mortality was higher in men than in women throughout adulthood, but the magnitude of the difference varied by age. Men-to-women CHD mortality rate ratios were 4–5 in middle age (30–64 years) and 2 thereafter (65–89 years). Stroke mortality was more similar between sexes, with men-to-women stroke mortality rate ratios of around 1.5–2 until old age. Conclusions: While CHD and stroke mortality rates declined considerably between 1980 and 2010 in both sexes, there was some indication for stronger age-specific reductions in CHD in men than women. Mortality from CHD and stroke remains higher among men than women until old age across a range of economically, socially and culturally diverse countries.","author":[{"dropping-particle":"","family":"Bots","given":"Sophie H.","non-dropping-particle":"","parse-names":false,"suffix":""},{"dropping-particle":"","family":"Peters","given":"Sanne A.E.","non-dropping-particle":"","parse-names":false,"suffix":""},{"dropping-particle":"","family":"Woodward","given":"Mark","non-dropping-particle":"","parse-names":false,"suffix":""}],"container-title":"BMJ Global Health","id":"ITEM-1","issue":"2","issued":{"date-parts":[["2017"]]},"page":"1-8","title":"Sex differences in coronary heart disease and stroke mortality: A global assessment of the effect of ageing between 1980 and 2010","type":"article-journal","volume":"2"},"uris":["http://www.mendeley.com/documents/?uuid=726cbbd3-445a-4016-b669-5b125bc16ef3"]}],"mendeley":{"formattedCitation":"(60)","plainTextFormattedCitation":"(60)","previouslyFormattedCitation":"(60)"},"properties":{"noteIndex":0},"schema":"https://github.com/citation-style-language/schema/raw/master/csl-citation.json"}</w:instrText>
      </w:r>
      <w:r w:rsidR="004C5F90" w:rsidRPr="0036437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(60)</w:t>
      </w:r>
      <w:r w:rsidR="004C5F90" w:rsidRPr="00364372">
        <w:rPr>
          <w:rFonts w:asciiTheme="minorHAnsi" w:hAnsiTheme="minorHAnsi" w:cstheme="minorHAnsi"/>
          <w:sz w:val="22"/>
          <w:szCs w:val="22"/>
          <w:shd w:val="clear" w:color="auto" w:fill="FFFFFF"/>
        </w:rPr>
        <w:fldChar w:fldCharType="end"/>
      </w:r>
      <w:r w:rsidR="00DA1CCA" w:rsidRPr="00327DEA">
        <w:rPr>
          <w:rFonts w:asciiTheme="minorHAnsi" w:hAnsiTheme="minorHAnsi" w:cstheme="minorHAnsi"/>
          <w:sz w:val="22"/>
          <w:szCs w:val="22"/>
          <w:shd w:val="clear" w:color="auto" w:fill="FFFFFF"/>
        </w:rPr>
        <w:t>.</w:t>
      </w:r>
      <w:r w:rsidR="00C76D75" w:rsidRPr="00364372">
        <w:rPr>
          <w:rFonts w:asciiTheme="minorHAnsi" w:hAnsiTheme="minorHAnsi" w:cstheme="minorHAnsi"/>
          <w:sz w:val="22"/>
          <w:szCs w:val="22"/>
          <w:shd w:val="clear" w:color="auto" w:fill="FFFFFF"/>
        </w:rPr>
        <w:t xml:space="preserve"> Furthermore,</w:t>
      </w:r>
      <w:r w:rsidR="00E232C9" w:rsidRPr="00CA3B35">
        <w:rPr>
          <w:rFonts w:asciiTheme="minorHAnsi" w:hAnsiTheme="minorHAnsi" w:cstheme="minorHAnsi"/>
          <w:sz w:val="22"/>
          <w:szCs w:val="22"/>
          <w:shd w:val="clear" w:color="auto" w:fill="FFFFFF"/>
        </w:rPr>
        <w:t xml:space="preserve"> </w:t>
      </w:r>
      <w:r w:rsidR="006870FD" w:rsidRPr="00ED1FBD">
        <w:rPr>
          <w:rFonts w:asciiTheme="minorHAnsi" w:hAnsiTheme="minorHAnsi" w:cstheme="minorHAnsi"/>
          <w:sz w:val="22"/>
          <w:szCs w:val="22"/>
          <w:shd w:val="clear" w:color="auto" w:fill="FFFFFF"/>
        </w:rPr>
        <w:t>a</w:t>
      </w:r>
      <w:r w:rsidR="00C76D75" w:rsidRPr="003702D4">
        <w:rPr>
          <w:rFonts w:asciiTheme="minorHAnsi" w:hAnsiTheme="minorHAnsi" w:cstheme="minorHAnsi"/>
          <w:sz w:val="22"/>
          <w:szCs w:val="22"/>
          <w:shd w:val="clear" w:color="auto" w:fill="FFFFFF"/>
        </w:rPr>
        <w:t xml:space="preserve"> </w:t>
      </w:r>
      <w:r w:rsidR="007B65D7" w:rsidRPr="00334B7D">
        <w:rPr>
          <w:rFonts w:asciiTheme="minorHAnsi" w:hAnsiTheme="minorHAnsi" w:cstheme="minorHAnsi"/>
          <w:sz w:val="22"/>
          <w:szCs w:val="22"/>
          <w:shd w:val="clear" w:color="auto" w:fill="FFFFFF"/>
        </w:rPr>
        <w:t>stud</w:t>
      </w:r>
      <w:r w:rsidR="006870FD" w:rsidRPr="00C33834">
        <w:rPr>
          <w:rFonts w:asciiTheme="minorHAnsi" w:hAnsiTheme="minorHAnsi" w:cstheme="minorHAnsi"/>
          <w:sz w:val="22"/>
          <w:szCs w:val="22"/>
          <w:shd w:val="clear" w:color="auto" w:fill="FFFFFF"/>
        </w:rPr>
        <w:t>y of</w:t>
      </w:r>
      <w:r w:rsidR="007B65D7" w:rsidRPr="00C33834">
        <w:rPr>
          <w:rFonts w:asciiTheme="minorHAnsi" w:hAnsiTheme="minorHAnsi" w:cstheme="minorHAnsi"/>
          <w:sz w:val="22"/>
          <w:szCs w:val="22"/>
          <w:shd w:val="clear" w:color="auto" w:fill="FFFFFF"/>
        </w:rPr>
        <w:t xml:space="preserve"> NHANES</w:t>
      </w:r>
      <w:r w:rsidR="000B12D8" w:rsidRPr="004B56F0">
        <w:rPr>
          <w:rFonts w:asciiTheme="minorHAnsi" w:hAnsiTheme="minorHAnsi" w:cstheme="minorHAnsi"/>
          <w:sz w:val="22"/>
          <w:szCs w:val="22"/>
          <w:shd w:val="clear" w:color="auto" w:fill="FFFFFF"/>
        </w:rPr>
        <w:t xml:space="preserve"> data </w:t>
      </w:r>
      <w:r w:rsidR="007B65D7" w:rsidRPr="00391107">
        <w:rPr>
          <w:rFonts w:asciiTheme="minorHAnsi" w:hAnsiTheme="minorHAnsi" w:cstheme="minorHAnsi"/>
          <w:sz w:val="22"/>
          <w:szCs w:val="22"/>
          <w:shd w:val="clear" w:color="auto" w:fill="FFFFFF"/>
        </w:rPr>
        <w:t>reported that the</w:t>
      </w:r>
      <w:r w:rsidR="00E232C9" w:rsidRPr="00541B1F">
        <w:rPr>
          <w:rFonts w:asciiTheme="minorHAnsi" w:hAnsiTheme="minorHAnsi" w:cstheme="minorHAnsi"/>
          <w:sz w:val="22"/>
          <w:szCs w:val="22"/>
          <w:shd w:val="clear" w:color="auto" w:fill="FFFFFF"/>
        </w:rPr>
        <w:t xml:space="preserve"> US</w:t>
      </w:r>
      <w:r w:rsidR="00C76D75" w:rsidRPr="00897521">
        <w:rPr>
          <w:rFonts w:asciiTheme="minorHAnsi" w:hAnsiTheme="minorHAnsi" w:cstheme="minorHAnsi"/>
          <w:sz w:val="22"/>
          <w:szCs w:val="22"/>
          <w:shd w:val="clear" w:color="auto" w:fill="FFFFFF"/>
        </w:rPr>
        <w:t xml:space="preserve"> prevalence of CVD in men </w:t>
      </w:r>
      <w:r w:rsidR="00E232C9" w:rsidRPr="00897521">
        <w:rPr>
          <w:rFonts w:asciiTheme="minorHAnsi" w:hAnsiTheme="minorHAnsi" w:cstheme="minorHAnsi"/>
          <w:sz w:val="22"/>
          <w:szCs w:val="22"/>
          <w:shd w:val="clear" w:color="auto" w:fill="FFFFFF"/>
        </w:rPr>
        <w:t>was</w:t>
      </w:r>
      <w:r w:rsidR="00C76D75" w:rsidRPr="00897521">
        <w:rPr>
          <w:rFonts w:asciiTheme="minorHAnsi" w:hAnsiTheme="minorHAnsi" w:cstheme="minorHAnsi"/>
          <w:sz w:val="22"/>
          <w:szCs w:val="22"/>
          <w:shd w:val="clear" w:color="auto" w:fill="FFFFFF"/>
        </w:rPr>
        <w:t xml:space="preserve"> </w:t>
      </w:r>
      <w:r w:rsidR="00C76D75" w:rsidRPr="00897521">
        <w:rPr>
          <w:rFonts w:asciiTheme="minorHAnsi" w:hAnsiTheme="minorHAnsi" w:cstheme="minorHAnsi"/>
          <w:sz w:val="22"/>
          <w:szCs w:val="22"/>
        </w:rPr>
        <w:t>61</w:t>
      </w:r>
      <w:r w:rsidR="006870FD" w:rsidRPr="00897521">
        <w:rPr>
          <w:rFonts w:asciiTheme="minorHAnsi" w:hAnsiTheme="minorHAnsi" w:cstheme="minorHAnsi"/>
          <w:sz w:val="22"/>
          <w:szCs w:val="22"/>
        </w:rPr>
        <w:t>,</w:t>
      </w:r>
      <w:r w:rsidR="00C76D75" w:rsidRPr="00897521">
        <w:rPr>
          <w:rFonts w:asciiTheme="minorHAnsi" w:hAnsiTheme="minorHAnsi" w:cstheme="minorHAnsi"/>
          <w:sz w:val="22"/>
          <w:szCs w:val="22"/>
        </w:rPr>
        <w:t> 500</w:t>
      </w:r>
      <w:r w:rsidR="006870FD" w:rsidRPr="00897521">
        <w:rPr>
          <w:rFonts w:asciiTheme="minorHAnsi" w:hAnsiTheme="minorHAnsi" w:cstheme="minorHAnsi"/>
          <w:sz w:val="22"/>
          <w:szCs w:val="22"/>
        </w:rPr>
        <w:t>,</w:t>
      </w:r>
      <w:r w:rsidR="00C76D75" w:rsidRPr="00897521">
        <w:rPr>
          <w:rFonts w:asciiTheme="minorHAnsi" w:hAnsiTheme="minorHAnsi" w:cstheme="minorHAnsi"/>
          <w:sz w:val="22"/>
          <w:szCs w:val="22"/>
        </w:rPr>
        <w:t> 000 (51.2%</w:t>
      </w:r>
      <w:r w:rsidR="006870FD" w:rsidRPr="00897521">
        <w:rPr>
          <w:rFonts w:asciiTheme="minorHAnsi" w:hAnsiTheme="minorHAnsi" w:cstheme="minorHAnsi"/>
          <w:sz w:val="22"/>
          <w:szCs w:val="22"/>
        </w:rPr>
        <w:t xml:space="preserve"> </w:t>
      </w:r>
      <w:r w:rsidR="006870FD" w:rsidRPr="000242C7">
        <w:rPr>
          <w:rFonts w:asciiTheme="minorHAnsi" w:hAnsiTheme="minorHAnsi" w:cstheme="minorHAnsi"/>
          <w:bCs/>
          <w:color w:val="000000" w:themeColor="text1"/>
          <w:sz w:val="22"/>
          <w:szCs w:val="22"/>
        </w:rPr>
        <w:t>of the population</w:t>
      </w:r>
      <w:r w:rsidR="00C76D75" w:rsidRPr="00897521">
        <w:rPr>
          <w:rFonts w:asciiTheme="minorHAnsi" w:hAnsiTheme="minorHAnsi" w:cstheme="minorHAnsi"/>
          <w:sz w:val="22"/>
          <w:szCs w:val="22"/>
        </w:rPr>
        <w:t xml:space="preserve">) compared </w:t>
      </w:r>
      <w:r w:rsidR="006870FD" w:rsidRPr="00897521">
        <w:rPr>
          <w:rFonts w:asciiTheme="minorHAnsi" w:hAnsiTheme="minorHAnsi" w:cstheme="minorHAnsi"/>
          <w:sz w:val="22"/>
          <w:szCs w:val="22"/>
        </w:rPr>
        <w:t>with</w:t>
      </w:r>
      <w:r w:rsidR="00C76D75" w:rsidRPr="00897521">
        <w:rPr>
          <w:rFonts w:asciiTheme="minorHAnsi" w:hAnsiTheme="minorHAnsi" w:cstheme="minorHAnsi"/>
          <w:sz w:val="22"/>
          <w:szCs w:val="22"/>
        </w:rPr>
        <w:t xml:space="preserve"> 60</w:t>
      </w:r>
      <w:r w:rsidR="006870FD" w:rsidRPr="00897521">
        <w:rPr>
          <w:rFonts w:asciiTheme="minorHAnsi" w:hAnsiTheme="minorHAnsi" w:cstheme="minorHAnsi"/>
          <w:sz w:val="22"/>
          <w:szCs w:val="22"/>
        </w:rPr>
        <w:t>,</w:t>
      </w:r>
      <w:r w:rsidR="00C76D75" w:rsidRPr="00897521">
        <w:rPr>
          <w:rFonts w:asciiTheme="minorHAnsi" w:hAnsiTheme="minorHAnsi" w:cstheme="minorHAnsi"/>
          <w:sz w:val="22"/>
          <w:szCs w:val="22"/>
        </w:rPr>
        <w:t> 000</w:t>
      </w:r>
      <w:r w:rsidR="006870FD" w:rsidRPr="00897521">
        <w:rPr>
          <w:rFonts w:asciiTheme="minorHAnsi" w:hAnsiTheme="minorHAnsi" w:cstheme="minorHAnsi"/>
          <w:sz w:val="22"/>
          <w:szCs w:val="22"/>
        </w:rPr>
        <w:t>,</w:t>
      </w:r>
      <w:r w:rsidR="00C76D75" w:rsidRPr="00897521">
        <w:rPr>
          <w:rFonts w:asciiTheme="minorHAnsi" w:hAnsiTheme="minorHAnsi" w:cstheme="minorHAnsi"/>
          <w:sz w:val="22"/>
          <w:szCs w:val="22"/>
        </w:rPr>
        <w:t> 000 (44.7%</w:t>
      </w:r>
      <w:r w:rsidR="006870FD" w:rsidRPr="00897521">
        <w:rPr>
          <w:rFonts w:asciiTheme="minorHAnsi" w:hAnsiTheme="minorHAnsi" w:cstheme="minorHAnsi"/>
          <w:sz w:val="22"/>
          <w:szCs w:val="22"/>
        </w:rPr>
        <w:t xml:space="preserve"> </w:t>
      </w:r>
      <w:r w:rsidR="006870FD" w:rsidRPr="000242C7">
        <w:rPr>
          <w:rFonts w:asciiTheme="minorHAnsi" w:hAnsiTheme="minorHAnsi" w:cstheme="minorHAnsi"/>
          <w:bCs/>
          <w:color w:val="000000" w:themeColor="text1"/>
          <w:sz w:val="22"/>
          <w:szCs w:val="22"/>
        </w:rPr>
        <w:t>of the population</w:t>
      </w:r>
      <w:r w:rsidR="00C76D75" w:rsidRPr="00897521">
        <w:rPr>
          <w:rFonts w:asciiTheme="minorHAnsi" w:hAnsiTheme="minorHAnsi" w:cstheme="minorHAnsi"/>
          <w:sz w:val="22"/>
          <w:szCs w:val="22"/>
        </w:rPr>
        <w:t>) in women</w:t>
      </w:r>
      <w:r w:rsidR="007B65D7" w:rsidRPr="00327DEA">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{"citationItems":[{"id":"ITEM-1","itemData":{"DOI":"10.1161/CIR.0000000000000659","ISSN":"15244539","PMID":"30700139","author":[{"dropping-particle":"","family":"Benjamin","given":"Emelia J.","non-dropping-particle":"","parse-names":false,"suffix":""},{"dropping-particle":"","family":"Muntner","given":"Paul","non-dropping-particle":"","parse-names":false,"suffix":""},{"dropping-particle":"","family":"Alonso","given":"Alvaro","non-dropping-particle":"","parse-names":false,"suffix":""},{"dropping-particle":"","family":"Bittencourt","given":"Marcio S.","non-dropping-particle":"","parse-names":false,"suffix":""},{"dropping-particle":"","family":"Callaway","given":"Clifton W.","non-dropping-particle":"","parse-names":false,"suffix":""},{"dropping-particle":"","family":"Carson","given":"April P.","non-dropping-particle":"","parse-names":false,"suffix":""},{"dropping-particle":"","family":"Chamberlain","given":"Alanna M.","non-dropping-particle":"","parse-names":false,"suffix":""},{"dropping-particle":"","family":"Chang","given":"Alexander R.","non-dropping-particle":"","parse-names":false,"suffix":""},{"dropping-particle":"","family":"Cheng","given":"Susan","non-dropping-particle":"","parse-names":false,"suffix":""},{"dropping-particle":"","family":"Das","given":"Sandeep R.","non-dropping-particle":"","parse-names":false,"suffix":""},{"dropping-particle":"","family":"Delling","given":"Francesca N.","non-dropping-particle":"","parse-names":false,"suffix":""},{"dropping-particle":"","family":"Djousse","given":"Luc","non-dropping-particle":"","parse-names":false,"suffix":""},{"dropping-particle":"","family":"Elkind","given":"Mitchell S.V.","non-dropping-particle":"","parse-names":false,"suffix":""},{"dropping-particle":"","family":"Ferguson","given":"Jane F.","non-dropping-particle":"","parse-names":false,"suffix":""},{"dropping-particle":"","family":"Fornage","given":"Myriam","non-dropping-particle":"","parse-names":false,"suffix":""},{"dropping-particle":"","family":"Jordan","given":"Lori Chaffin","non-dropping-particle":"","parse-names":false,"suffix":""},{"dropping-particle":"","family":"Khan","given":"Sadiya S.","non-dropping-particle":"","parse-names":false,"suffix":""},{"dropping-particle":"","family":"Kissela","given":"Brett M.","non-dropping-particle":"","parse-names":false,"suffix":""},{"dropping-particle":"","family":"Knutson","given":"Kristen L.","non-dropping-particle":"","parse-names":false,"suffix":""},{"dropping-particle":"","family":"Kwan","given":"Tak W.","non-dropping-particle":"","parse-names":false,"suffix":""},{"dropping-particle":"","family":"Lackland","given":"Daniel T.","non-dropping-particle":"","parse-names":false,"suffix":""},{"dropping-particle":"","family":"Lewis","given":"Tené T.","non-dropping-particle":"","parse-names":false,"suffix":""},{"dropping-particle":"","family":"Lichtman","given":"Judith H.","non-dropping-particle":"","parse-names":false,"suffix":""},{"dropping-particle":"","family":"Longenecker","given":"Chris T.","non-dropping-particle":"","parse-names":false,"suffix":""},{"dropping-particle":"","family":"Loop","given":"Matthew Shane","non-dropping-particle":"","parse-names":false,"suffix":""},{"dropping-particle":"","family":"Lutsey","given":"Pamela L.","non-dropping-particle":"","parse-names":false,"suffix":""},{"dropping-particle":"","family":"Martin","given":"Seth S.","non-dropping-particle":"","parse-names":false,"suffix":""},{"dropping-particle":"","family":"Matsushita","given":"Kunihiro","non-dropping-particle":"","parse-names":false,"suffix":""},{"dropping-particle":"","family":"Moran","given":"Andrew E.","non-dropping-particle":"","parse-names":false,"suffix":""},{"dropping-particle":"","family":"Mussolino","given":"Michael E.","non-dropping-particle":"","parse-names":false,"suffix":""},{"dropping-particle":"","family":"O'Flaherty","given":"Martin","non-dropping-particle":"","parse-names":false,"suffix":""},{"dropping-particle":"","family":"Pandey","given":"Ambarish","non-dropping-particle":"","parse-names":false,"suffix":""},{"dropping-particle":"","family":"Perak","given":"Amanda M.","non-dropping-particle":"","parse-names":false,"suffix":""},{"dropping-particle":"","family":"Rosamond","given":"Wayne D.","non-dropping-particle":"","parse-names":false,"suffix":""},{"dropping-particle":"","family":"Roth","given":"Gregory A.","non-dropping-particle":"","parse-names":false,"suffix":""},{"dropping-particle":"","family":"Sampson","given":"Uchechukwu K.A.","non-dropping-particle":"","parse-names":false,"suffix":""},{"dropping-particle":"","family":"Satou","given":"Gary M.","non-dropping-particle":"","parse-names":false,"suffix":""},{"dropping-particle":"","family":"Schroeder","given":"Emily B.","non-dropping-particle":"","parse-names":false,"suffix":""},{"dropping-particle":"","family":"Shah","given":"Svati H.","non-dropping-particle":"","parse-names":false,"suffix":""},{"dropping-particle":"","family":"Spartano","given":"Nicole L.","non-dropping-particle":"","parse-names":false,"suffix":""},{"dropping-particle":"","family":"Stokes","given":"Andrew","non-dropping-particle":"","parse-names":false,"suffix":""},{"dropping-particle":"","family":"Tirschwell","given":"David L.","non-dropping-particle":"","parse-names":false,"suffix":""},{"dropping-particle":"","family":"Tsao","given":"Connie W.","non-dropping-particle":"","parse-names":false,"suffix":""},{"dropping-particle":"","family":"Turakhia","given":"Mintu P.","non-dropping-particle":"","parse-names":false,"suffix":""},{"dropping-particle":"","family":"VanWagner","given":"Lisa B.","non-dropping-particle":"","parse-names":false,"suffix":""},{"dropping-particle":"","family":"Wilkins","given":"John T.","non-dropping-particle":"","parse-names":false,"suffix":""},{"dropping-particle":"","family":"Wong","given":"Sally S.","non-dropping-particle":"","parse-names":false,"suffix":""},{"dropping-particle":"","family":"Virani","given":"Salim S.","non-dropping-particle":"","parse-names":false,"suffix":""}],"container-title":"Circulation","id":"ITEM-1","issued":{"date-parts":[["2019"]]},"page":"056–528","title":"Heart Disease and Stroke Statistics-2019 Update: A Report From the American Heart Association","type":"article-journal","volume":"139"},"uris":["http://www.mendeley.com/documents/?uuid=0eca681d-5319-4c39-8779-0f4fe8faa103"]}],"mendeley":{"formattedCitation":"(59)","plainTextFormattedCitation":"(59)","previouslyFormattedCitation":"(59)"},"properties":{"noteIndex":0},"schema":"https://github.com/citation-style-language/schema/raw/master/csl-citation.json"}</w:instrText>
      </w:r>
      <w:r w:rsidR="007B65D7" w:rsidRPr="00327DEA">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(59)</w:t>
      </w:r>
      <w:r w:rsidR="007B65D7" w:rsidRPr="00327DEA">
        <w:rPr>
          <w:rFonts w:asciiTheme="minorHAnsi" w:hAnsiTheme="minorHAnsi" w:cstheme="minorHAnsi"/>
          <w:sz w:val="22"/>
          <w:szCs w:val="22"/>
        </w:rPr>
        <w:fldChar w:fldCharType="end"/>
      </w:r>
      <w:r w:rsidR="00C76D75" w:rsidRPr="00327DEA">
        <w:rPr>
          <w:rFonts w:asciiTheme="minorHAnsi" w:hAnsiTheme="minorHAnsi" w:cstheme="minorHAnsi"/>
          <w:sz w:val="22"/>
          <w:szCs w:val="22"/>
        </w:rPr>
        <w:t xml:space="preserve">. </w:t>
      </w:r>
      <w:r w:rsidR="00963617" w:rsidRPr="00327DEA">
        <w:rPr>
          <w:rFonts w:asciiTheme="minorHAnsi" w:hAnsiTheme="minorHAnsi" w:cstheme="minorHAnsi"/>
          <w:sz w:val="22"/>
          <w:szCs w:val="22"/>
          <w:shd w:val="clear" w:color="auto" w:fill="FFFFFF"/>
        </w:rPr>
        <w:t xml:space="preserve">The UK Biobank </w:t>
      </w:r>
      <w:r w:rsidR="00E232C9" w:rsidRPr="00327DEA">
        <w:rPr>
          <w:rFonts w:asciiTheme="minorHAnsi" w:hAnsiTheme="minorHAnsi" w:cstheme="minorHAnsi"/>
          <w:sz w:val="22"/>
          <w:szCs w:val="22"/>
          <w:shd w:val="clear" w:color="auto" w:fill="FFFFFF"/>
        </w:rPr>
        <w:t>was</w:t>
      </w:r>
      <w:r w:rsidR="00963617" w:rsidRPr="00327DEA">
        <w:rPr>
          <w:rFonts w:asciiTheme="minorHAnsi" w:hAnsiTheme="minorHAnsi" w:cstheme="minorHAnsi"/>
          <w:sz w:val="22"/>
          <w:szCs w:val="22"/>
          <w:shd w:val="clear" w:color="auto" w:fill="FFFFFF"/>
        </w:rPr>
        <w:t xml:space="preserve"> a large prospective study of 502</w:t>
      </w:r>
      <w:r w:rsidR="006870FD" w:rsidRPr="00327DEA">
        <w:rPr>
          <w:rFonts w:asciiTheme="minorHAnsi" w:hAnsiTheme="minorHAnsi" w:cstheme="minorHAnsi"/>
          <w:sz w:val="22"/>
          <w:szCs w:val="22"/>
          <w:shd w:val="clear" w:color="auto" w:fill="FFFFFF"/>
        </w:rPr>
        <w:t>,</w:t>
      </w:r>
      <w:r w:rsidR="00963617" w:rsidRPr="00327DEA">
        <w:rPr>
          <w:rFonts w:asciiTheme="minorHAnsi" w:hAnsiTheme="minorHAnsi" w:cstheme="minorHAnsi"/>
          <w:sz w:val="22"/>
          <w:szCs w:val="22"/>
          <w:shd w:val="clear" w:color="auto" w:fill="FFFFFF"/>
        </w:rPr>
        <w:t>628 participants recruited between 2006 and 2010</w:t>
      </w:r>
      <w:r w:rsidR="007B65D7" w:rsidRPr="00327DEA">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{"citationItems":[{"id":"ITEM-1","itemData":{"DOI":"10.1136/bmj.k4247","ISSN":"17561833","PMID":"30404896","abstract":"Objectives: To investigate sex differences in risk factors for incident myocardial infarction (MI) and whether they vary with age. Design: Prospective population based study. Setting: UK Biobank. Participants: 471 998 participants (56% women; mean age 56.2) with no history of cardiovascular disease. Main outcome measure: Incident (fatal and non-fatal) MI. Results: 5081 participants (1463 (28.8%) of whom were women) had MI over seven years' mean follow-up, resulting in an incidence per 10 000 person years of 7.76 (95% confidence interval 7.37 to 8.16) for women and 24.35 (23.57 to 25.16) for men. Higher blood pressure indices, smoking intensity, body mass index, and the presence of diabetes were associated with an increased risk of MI in men and women, but associations were attenuated with age. In women, systolic blood pressure and hypertension, smoking status and intensity, and diabetes were associated with higher hazard ratios for MI compared with men: ratio of hazard ratios 1.09 (95% confidence interval 1.02 to 1.16) for systolic blood pressure, 1.55 (1.32 to 1.83) for current smoking, 2.91 (1.56 to 5.45) for type 1 diabetes, and 1.47 (1.16 to 1.87) for type 2 diabetes. There was no evidence that any of these ratios of hazard ratios decreased with age (P&gt;0.2). With the exception of type 1 diabetes, the incidence of MI was higher in men than in women for all risk factors. Conclusions: Although the incidence of MI was higher in men than in women, several risk factors were more strongly associated with MI in women compared with men. Sex specific associations between risk factors and MI declined with age, but, where it occurred, the higher relative risk in women remained. As the population ages and the prevalence of lifestyle associated risk factors increase, the incidence of MI in women will likely become more similar to that in men.","author":[{"dropping-particle":"","family":"Millett","given":"Elizabeth R.C.","non-dropping-particle":"","parse-names":false,"suffix":""},{"dropping-particle":"","family":"Peters","given":"Sanne A.E.","non-dropping-particle":"","parse-names":false,"suffix":""},{"dropping-particle":"","family":"Woodward","given":"Mark","non-dropping-particle":"","parse-names":false,"suffix":""}],"container-title":"BMJ (Online)","id":"ITEM-1","issued":{"date-parts":[["2018"]]},"page":"1-11","title":"Sex differences in risk factors for myocardial infarction: Cohort study of UK Biobank participants","type":"article-journal","volume":"363"},"uris":["http://www.mendeley.com/documents/?uuid=2121d067-310f-4819-b176-bcadbb95ae09"]}],"mendeley":{"formattedCitation":"(61)","plainTextFormattedCitation":"(61)","previouslyFormattedCitation":"(61)"},"properties":{"noteIndex":0},"schema":"https://github.com/citation-style-language/schema/raw/master/csl-citation.json"}</w:instrText>
      </w:r>
      <w:r w:rsidR="007B65D7" w:rsidRPr="00327DEA">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(61)</w:t>
      </w:r>
      <w:r w:rsidR="007B65D7" w:rsidRPr="00327DEA">
        <w:rPr>
          <w:rFonts w:asciiTheme="minorHAnsi" w:hAnsiTheme="minorHAnsi" w:cstheme="minorHAnsi"/>
          <w:sz w:val="22"/>
          <w:szCs w:val="22"/>
          <w:shd w:val="clear" w:color="auto" w:fill="FFFFFF"/>
        </w:rPr>
        <w:fldChar w:fldCharType="end"/>
      </w:r>
      <w:r w:rsidR="007B65D7" w:rsidRPr="00327DEA">
        <w:rPr>
          <w:rFonts w:asciiTheme="minorHAnsi" w:hAnsiTheme="minorHAnsi" w:cstheme="minorHAnsi"/>
          <w:sz w:val="22"/>
          <w:szCs w:val="22"/>
          <w:shd w:val="clear" w:color="auto" w:fill="FFFFFF"/>
        </w:rPr>
        <w:t>.</w:t>
      </w:r>
      <w:r w:rsidR="00E232C9" w:rsidRPr="00327DEA">
        <w:rPr>
          <w:rFonts w:asciiTheme="minorHAnsi" w:hAnsiTheme="minorHAnsi" w:cstheme="minorHAnsi"/>
          <w:sz w:val="22"/>
          <w:szCs w:val="22"/>
          <w:shd w:val="clear" w:color="auto" w:fill="FFFFFF"/>
        </w:rPr>
        <w:t xml:space="preserve"> </w:t>
      </w:r>
      <w:r w:rsidR="007B65D7" w:rsidRPr="00327DEA">
        <w:rPr>
          <w:rFonts w:asciiTheme="minorHAnsi" w:hAnsiTheme="minorHAnsi" w:cstheme="minorHAnsi"/>
          <w:sz w:val="22"/>
          <w:szCs w:val="22"/>
          <w:shd w:val="clear" w:color="auto" w:fill="FFFFFF"/>
        </w:rPr>
        <w:t xml:space="preserve">The </w:t>
      </w:r>
      <w:r w:rsidR="006870FD" w:rsidRPr="00327DEA">
        <w:rPr>
          <w:rFonts w:asciiTheme="minorHAnsi" w:hAnsiTheme="minorHAnsi" w:cstheme="minorHAnsi"/>
          <w:sz w:val="22"/>
          <w:szCs w:val="22"/>
          <w:shd w:val="clear" w:color="auto" w:fill="FFFFFF"/>
        </w:rPr>
        <w:t xml:space="preserve">study </w:t>
      </w:r>
      <w:r w:rsidR="00963617" w:rsidRPr="00327DEA">
        <w:rPr>
          <w:rFonts w:asciiTheme="minorHAnsi" w:hAnsiTheme="minorHAnsi" w:cstheme="minorHAnsi"/>
          <w:sz w:val="22"/>
          <w:szCs w:val="22"/>
          <w:shd w:val="clear" w:color="auto" w:fill="FFFFFF"/>
        </w:rPr>
        <w:t>reported that the</w:t>
      </w:r>
      <w:r w:rsidR="00963617" w:rsidRPr="00327DEA">
        <w:rPr>
          <w:rFonts w:asciiTheme="minorHAnsi" w:hAnsiTheme="minorHAnsi" w:cstheme="minorHAnsi"/>
          <w:sz w:val="22"/>
          <w:szCs w:val="22"/>
        </w:rPr>
        <w:t xml:space="preserve"> i</w:t>
      </w:r>
      <w:r w:rsidR="00963617" w:rsidRPr="00327DEA">
        <w:rPr>
          <w:rFonts w:asciiTheme="minorHAnsi" w:hAnsiTheme="minorHAnsi" w:cstheme="minorHAnsi"/>
          <w:sz w:val="22"/>
          <w:szCs w:val="22"/>
          <w:shd w:val="clear" w:color="auto" w:fill="FFFFFF"/>
        </w:rPr>
        <w:t xml:space="preserve">ncidence rates of </w:t>
      </w:r>
      <w:r w:rsidR="00385D45" w:rsidRPr="00364372">
        <w:rPr>
          <w:rFonts w:asciiTheme="minorHAnsi" w:hAnsiTheme="minorHAnsi" w:cstheme="minorHAnsi"/>
          <w:sz w:val="22"/>
          <w:szCs w:val="22"/>
          <w:shd w:val="clear" w:color="auto" w:fill="FFFFFF"/>
        </w:rPr>
        <w:t>myocardial</w:t>
      </w:r>
      <w:r w:rsidR="00385D45" w:rsidRPr="00CA3B35">
        <w:rPr>
          <w:rFonts w:asciiTheme="minorHAnsi" w:hAnsiTheme="minorHAnsi" w:cstheme="minorHAnsi"/>
          <w:sz w:val="22"/>
          <w:szCs w:val="22"/>
          <w:shd w:val="clear" w:color="auto" w:fill="FFFFFF"/>
        </w:rPr>
        <w:t xml:space="preserve"> infarction</w:t>
      </w:r>
      <w:r w:rsidR="00963617" w:rsidRPr="004B0BC2">
        <w:rPr>
          <w:rFonts w:asciiTheme="minorHAnsi" w:hAnsiTheme="minorHAnsi" w:cstheme="minorHAnsi"/>
          <w:sz w:val="22"/>
          <w:szCs w:val="22"/>
          <w:shd w:val="clear" w:color="auto" w:fill="FFFFFF"/>
        </w:rPr>
        <w:t xml:space="preserve"> per 10 000 person years were 7.76 (95% </w:t>
      </w:r>
      <w:r w:rsidR="007B65D7" w:rsidRPr="004B0BC2">
        <w:rPr>
          <w:rFonts w:asciiTheme="minorHAnsi" w:hAnsiTheme="minorHAnsi" w:cstheme="minorHAnsi"/>
          <w:sz w:val="22"/>
          <w:szCs w:val="22"/>
          <w:shd w:val="clear" w:color="auto" w:fill="FFFFFF"/>
        </w:rPr>
        <w:t>CI:</w:t>
      </w:r>
      <w:r w:rsidR="00963617" w:rsidRPr="004B0BC2">
        <w:rPr>
          <w:rFonts w:asciiTheme="minorHAnsi" w:hAnsiTheme="minorHAnsi" w:cstheme="minorHAnsi"/>
          <w:sz w:val="22"/>
          <w:szCs w:val="22"/>
          <w:shd w:val="clear" w:color="auto" w:fill="FFFFFF"/>
        </w:rPr>
        <w:t xml:space="preserve"> 7.37 to 8.16) in women and 24.35 (</w:t>
      </w:r>
      <w:r w:rsidR="007B65D7" w:rsidRPr="004B0BC2">
        <w:rPr>
          <w:rFonts w:asciiTheme="minorHAnsi" w:hAnsiTheme="minorHAnsi" w:cstheme="minorHAnsi"/>
          <w:sz w:val="22"/>
          <w:szCs w:val="22"/>
          <w:shd w:val="clear" w:color="auto" w:fill="FFFFFF"/>
        </w:rPr>
        <w:t xml:space="preserve">95% CI: </w:t>
      </w:r>
      <w:r w:rsidR="00963617" w:rsidRPr="004B0BC2">
        <w:rPr>
          <w:rFonts w:asciiTheme="minorHAnsi" w:hAnsiTheme="minorHAnsi" w:cstheme="minorHAnsi"/>
          <w:sz w:val="22"/>
          <w:szCs w:val="22"/>
          <w:shd w:val="clear" w:color="auto" w:fill="FFFFFF"/>
        </w:rPr>
        <w:t>23.57 to 25.16) in men</w:t>
      </w:r>
      <w:r w:rsidR="00251FF2"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{"citationItems":[{"id":"ITEM-1","itemData":{"DOI":"10.1136/bmj.k4247","ISSN":"17561833","PMID":"30404896","abstract":"Objectives: To investigate sex differences in risk factors for incident myocardial infarction (MI) and whether they vary with age. Design: Prospective population based study. Setting: UK Biobank. Participants: 471 998 participants (56% women; mean age 56.2) with no history of cardiovascular disease. Main outcome measure: Incident (fatal and non-fatal) MI. Results: 5081 participants (1463 (28.8%) of whom were women) had MI over seven years' mean follow-up, resulting in an incidence per 10 000 person years of 7.76 (95% confidence interval 7.37 to 8.16) for women and 24.35 (23.57 to 25.16) for men. Higher blood pressure indices, smoking intensity, body mass index, and the presence of diabetes were associated with an increased risk of MI in men and women, but associations were attenuated with age. In women, systolic blood pressure and hypertension, smoking status and intensity, and diabetes were associated with higher hazard ratios for MI compared with men: ratio of hazard ratios 1.09 (95% confidence interval 1.02 to 1.16) for systolic blood pressure, 1.55 (1.32 to 1.83) for current smoking, 2.91 (1.56 to 5.45) for type 1 diabetes, and 1.47 (1.16 to 1.87) for type 2 diabetes. There was no evidence that any of these ratios of hazard ratios decreased with age (P&gt;0.2). With the exception of type 1 diabetes, the incidence of MI was higher in men than in women for all risk factors. Conclusions: Although the incidence of MI was higher in men than in women, several risk factors were more strongly associated with MI in women compared with men. Sex specific associations between risk factors and MI declined with age, but, where it occurred, the higher relative risk in women remained. As the population ages and the prevalence of lifestyle associated risk factors increase, the incidence of MI in women will likely become more similar to that in men.","author":[{"dropping-particle":"","family":"Millett","given":"Elizabeth R.C.","non-dropping-particle":"","parse-names":false,"suffix":""},{"dropping-particle":"","family":"Peters","given":"Sanne A.E.","non-dropping-particle":"","parse-names":false,"suffix":""},{"dropping-particle":"","family":"Woodward","given":"Mark","non-dropping-particle":"","parse-names":false,"suffix":""}],"container-title":"BMJ (Online)","id":"ITEM-1","issued":{"date-parts":[["2018"]]},"page":"1-11","title":"Sex differences in risk factors for myocardial infarction: Cohort study of UK Biobank participants","type":"article-journal","volume":"363"},"uris":["http://www.mendeley.com/documents/?uuid=2121d067-310f-4819-b176-bcadbb95ae09"]}],"mendeley":{"formattedCitation":"(61)","plainTextFormattedCitation":"(61)","previouslyFormattedCitation":"(61)"},"properties":{"noteIndex":0},"schema":"https://github.com/citation-style-language/schema/raw/master/csl-citation.json"}</w:instrText>
      </w:r>
      <w:r w:rsidR="00251FF2"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(61)</w:t>
      </w:r>
      <w:r w:rsidR="00251FF2" w:rsidRPr="004B0BC2">
        <w:rPr>
          <w:rFonts w:asciiTheme="minorHAnsi" w:hAnsiTheme="minorHAnsi" w:cstheme="minorHAnsi"/>
          <w:sz w:val="22"/>
          <w:szCs w:val="22"/>
          <w:shd w:val="clear" w:color="auto" w:fill="FFFFFF"/>
        </w:rPr>
        <w:fldChar w:fldCharType="end"/>
      </w:r>
      <w:r w:rsidR="00251FF2" w:rsidRPr="004B0BC2">
        <w:rPr>
          <w:rFonts w:asciiTheme="minorHAnsi" w:hAnsiTheme="minorHAnsi" w:cstheme="minorHAnsi"/>
          <w:sz w:val="22"/>
          <w:szCs w:val="22"/>
          <w:shd w:val="clear" w:color="auto" w:fill="FFFFFF"/>
        </w:rPr>
        <w:t>.</w:t>
      </w:r>
      <w:r w:rsidR="00385D45" w:rsidRPr="004B0BC2">
        <w:rPr>
          <w:rFonts w:asciiTheme="minorHAnsi" w:hAnsiTheme="minorHAnsi" w:cstheme="minorHAnsi"/>
          <w:sz w:val="22"/>
          <w:szCs w:val="22"/>
          <w:shd w:val="clear" w:color="auto" w:fill="FFFFFF"/>
        </w:rPr>
        <w:t xml:space="preserve"> </w:t>
      </w:r>
      <w:r w:rsidR="006870FD">
        <w:rPr>
          <w:rFonts w:asciiTheme="minorHAnsi" w:hAnsiTheme="minorHAnsi" w:cstheme="minorHAnsi"/>
          <w:sz w:val="22"/>
          <w:szCs w:val="22"/>
          <w:shd w:val="clear" w:color="auto" w:fill="FFFFFF"/>
        </w:rPr>
        <w:t>D</w:t>
      </w:r>
      <w:r w:rsidR="007B65D7" w:rsidRPr="004B0BC2">
        <w:rPr>
          <w:rFonts w:asciiTheme="minorHAnsi" w:hAnsiTheme="minorHAnsi" w:cstheme="minorHAnsi"/>
          <w:sz w:val="22"/>
          <w:szCs w:val="22"/>
          <w:shd w:val="clear" w:color="auto" w:fill="FFFFFF"/>
        </w:rPr>
        <w:t>ata</w:t>
      </w:r>
      <w:r w:rsidR="006870FD">
        <w:rPr>
          <w:rFonts w:asciiTheme="minorHAnsi" w:hAnsiTheme="minorHAnsi" w:cstheme="minorHAnsi"/>
          <w:sz w:val="22"/>
          <w:szCs w:val="22"/>
          <w:shd w:val="clear" w:color="auto" w:fill="FFFFFF"/>
        </w:rPr>
        <w:t xml:space="preserve"> also</w:t>
      </w:r>
      <w:r w:rsidR="007B65D7" w:rsidRPr="004B0BC2">
        <w:rPr>
          <w:rFonts w:asciiTheme="minorHAnsi" w:hAnsiTheme="minorHAnsi" w:cstheme="minorHAnsi"/>
          <w:sz w:val="22"/>
          <w:szCs w:val="22"/>
          <w:shd w:val="clear" w:color="auto" w:fill="FFFFFF"/>
        </w:rPr>
        <w:t xml:space="preserve"> show that</w:t>
      </w:r>
      <w:r w:rsidR="00385D45" w:rsidRPr="004B0BC2">
        <w:rPr>
          <w:rFonts w:asciiTheme="minorHAnsi" w:hAnsiTheme="minorHAnsi" w:cstheme="minorHAnsi"/>
          <w:sz w:val="22"/>
          <w:szCs w:val="22"/>
          <w:shd w:val="clear" w:color="auto" w:fill="FFFFFF"/>
        </w:rPr>
        <w:t xml:space="preserve"> </w:t>
      </w:r>
      <w:r w:rsidR="00B734D7" w:rsidRPr="004B0BC2">
        <w:rPr>
          <w:rFonts w:asciiTheme="minorHAnsi" w:hAnsiTheme="minorHAnsi" w:cstheme="minorHAnsi"/>
          <w:sz w:val="22"/>
          <w:szCs w:val="22"/>
          <w:shd w:val="clear" w:color="auto" w:fill="FFFFFF"/>
        </w:rPr>
        <w:t xml:space="preserve">men </w:t>
      </w:r>
      <w:r w:rsidR="007B65D7" w:rsidRPr="004B0BC2">
        <w:rPr>
          <w:rFonts w:asciiTheme="minorHAnsi" w:hAnsiTheme="minorHAnsi" w:cstheme="minorHAnsi"/>
          <w:sz w:val="22"/>
          <w:szCs w:val="22"/>
          <w:shd w:val="clear" w:color="auto" w:fill="FFFFFF"/>
        </w:rPr>
        <w:t>develop</w:t>
      </w:r>
      <w:r w:rsidR="00662630" w:rsidRPr="004B0BC2">
        <w:rPr>
          <w:rFonts w:asciiTheme="minorHAnsi" w:hAnsiTheme="minorHAnsi" w:cstheme="minorHAnsi"/>
          <w:sz w:val="22"/>
          <w:szCs w:val="22"/>
          <w:shd w:val="clear" w:color="auto" w:fill="FFFFFF"/>
        </w:rPr>
        <w:t xml:space="preserve"> CVD at an earlier age than </w:t>
      </w:r>
      <w:r w:rsidR="00B734D7" w:rsidRPr="004B0BC2">
        <w:rPr>
          <w:rFonts w:asciiTheme="minorHAnsi" w:hAnsiTheme="minorHAnsi" w:cstheme="minorHAnsi"/>
          <w:sz w:val="22"/>
          <w:szCs w:val="22"/>
          <w:shd w:val="clear" w:color="auto" w:fill="FFFFFF"/>
        </w:rPr>
        <w:t>women</w:t>
      </w:r>
      <w:r w:rsidR="00662630" w:rsidRPr="004B0BC2">
        <w:rPr>
          <w:rFonts w:asciiTheme="minorHAnsi" w:hAnsiTheme="minorHAnsi" w:cstheme="minorHAnsi"/>
          <w:sz w:val="22"/>
          <w:szCs w:val="22"/>
          <w:shd w:val="clear" w:color="auto" w:fill="FFFFFF"/>
        </w:rPr>
        <w:t xml:space="preserve">. </w:t>
      </w:r>
      <w:r w:rsidR="006870FD">
        <w:rPr>
          <w:rFonts w:asciiTheme="minorHAnsi" w:hAnsiTheme="minorHAnsi" w:cstheme="minorHAnsi"/>
          <w:sz w:val="22"/>
          <w:szCs w:val="22"/>
        </w:rPr>
        <w:t>In</w:t>
      </w:r>
      <w:r w:rsidR="00963617" w:rsidRPr="004B0BC2">
        <w:rPr>
          <w:rFonts w:asciiTheme="minorHAnsi" w:hAnsiTheme="minorHAnsi" w:cstheme="minorHAnsi"/>
          <w:sz w:val="22"/>
          <w:szCs w:val="22"/>
        </w:rPr>
        <w:t xml:space="preserve"> a prospective cohort study </w:t>
      </w:r>
      <w:r w:rsidR="006870FD">
        <w:rPr>
          <w:rFonts w:asciiTheme="minorHAnsi" w:hAnsiTheme="minorHAnsi" w:cstheme="minorHAnsi"/>
          <w:sz w:val="22"/>
          <w:szCs w:val="22"/>
        </w:rPr>
        <w:t>from</w:t>
      </w:r>
      <w:r w:rsidR="00963617" w:rsidRPr="004B0BC2">
        <w:rPr>
          <w:rFonts w:asciiTheme="minorHAnsi" w:hAnsiTheme="minorHAnsi" w:cstheme="minorHAnsi"/>
          <w:sz w:val="22"/>
          <w:szCs w:val="22"/>
        </w:rPr>
        <w:t xml:space="preserve"> the Netherlands</w:t>
      </w:r>
      <w:r w:rsidR="00662630" w:rsidRPr="004B0BC2">
        <w:rPr>
          <w:rFonts w:asciiTheme="minorHAnsi" w:hAnsiTheme="minorHAnsi" w:cstheme="minorHAnsi"/>
          <w:sz w:val="22"/>
          <w:szCs w:val="22"/>
        </w:rPr>
        <w:t xml:space="preserve"> </w:t>
      </w:r>
      <w:r w:rsidR="006870FD">
        <w:rPr>
          <w:rFonts w:asciiTheme="minorHAnsi" w:hAnsiTheme="minorHAnsi" w:cstheme="minorHAnsi"/>
          <w:sz w:val="22"/>
          <w:szCs w:val="22"/>
        </w:rPr>
        <w:t>that included</w:t>
      </w:r>
      <w:r w:rsidR="00662630" w:rsidRPr="004B0BC2">
        <w:rPr>
          <w:rFonts w:asciiTheme="minorHAnsi" w:hAnsiTheme="minorHAnsi" w:cstheme="minorHAnsi"/>
          <w:sz w:val="22"/>
          <w:szCs w:val="22"/>
        </w:rPr>
        <w:t xml:space="preserve"> </w:t>
      </w:r>
      <w:r w:rsidR="00662630" w:rsidRPr="004B0BC2">
        <w:rPr>
          <w:rFonts w:asciiTheme="minorHAnsi" w:hAnsiTheme="minorHAnsi" w:cstheme="minorHAnsi"/>
          <w:sz w:val="22"/>
          <w:szCs w:val="22"/>
          <w:shd w:val="clear" w:color="auto" w:fill="FFFFFF" w:themeFill="background1"/>
        </w:rPr>
        <w:t>8</w:t>
      </w:r>
      <w:r w:rsidR="006870FD">
        <w:rPr>
          <w:rFonts w:asciiTheme="minorHAnsi" w:hAnsiTheme="minorHAnsi" w:cstheme="minorHAnsi"/>
          <w:sz w:val="22"/>
          <w:szCs w:val="22"/>
          <w:shd w:val="clear" w:color="auto" w:fill="FFFFFF" w:themeFill="background1"/>
        </w:rPr>
        <w:t>,</w:t>
      </w:r>
      <w:r w:rsidR="00662630" w:rsidRPr="004B0BC2">
        <w:rPr>
          <w:rFonts w:asciiTheme="minorHAnsi" w:hAnsiTheme="minorHAnsi" w:cstheme="minorHAnsi"/>
          <w:sz w:val="22"/>
          <w:szCs w:val="22"/>
          <w:shd w:val="clear" w:color="auto" w:fill="FFFFFF" w:themeFill="background1"/>
        </w:rPr>
        <w:t>419 participants</w:t>
      </w:r>
      <w:r w:rsidR="00385D45" w:rsidRPr="004B0BC2">
        <w:rPr>
          <w:rFonts w:asciiTheme="minorHAnsi" w:hAnsiTheme="minorHAnsi" w:cstheme="minorHAnsi"/>
          <w:sz w:val="22"/>
          <w:szCs w:val="22"/>
          <w:shd w:val="clear" w:color="auto" w:fill="FFFFFF" w:themeFill="background1"/>
        </w:rPr>
        <w:t xml:space="preserve"> </w:t>
      </w:r>
      <w:r w:rsidR="00963617" w:rsidRPr="004B0BC2">
        <w:rPr>
          <w:rFonts w:asciiTheme="minorHAnsi" w:hAnsiTheme="minorHAnsi" w:cstheme="minorHAnsi"/>
          <w:sz w:val="22"/>
          <w:szCs w:val="22"/>
        </w:rPr>
        <w:t xml:space="preserve">and </w:t>
      </w:r>
      <w:r w:rsidR="0060125F" w:rsidRPr="004B0BC2">
        <w:rPr>
          <w:rFonts w:asciiTheme="minorHAnsi" w:hAnsiTheme="minorHAnsi" w:cstheme="minorHAnsi"/>
          <w:sz w:val="22"/>
          <w:szCs w:val="22"/>
        </w:rPr>
        <w:t>studied</w:t>
      </w:r>
      <w:r w:rsidR="00963617" w:rsidRPr="004B0BC2">
        <w:rPr>
          <w:rFonts w:asciiTheme="minorHAnsi" w:hAnsiTheme="minorHAnsi" w:cstheme="minorHAnsi"/>
          <w:sz w:val="22"/>
          <w:szCs w:val="22"/>
        </w:rPr>
        <w:t xml:space="preserve"> the average age of</w:t>
      </w:r>
      <w:r w:rsidR="00662630" w:rsidRPr="004B0BC2">
        <w:rPr>
          <w:rFonts w:asciiTheme="minorHAnsi" w:hAnsiTheme="minorHAnsi" w:cstheme="minorHAnsi"/>
          <w:sz w:val="22"/>
          <w:szCs w:val="22"/>
        </w:rPr>
        <w:t xml:space="preserve"> the </w:t>
      </w:r>
      <w:r w:rsidR="00963617" w:rsidRPr="004B0BC2">
        <w:rPr>
          <w:rFonts w:asciiTheme="minorHAnsi" w:hAnsiTheme="minorHAnsi" w:cstheme="minorHAnsi"/>
          <w:sz w:val="22"/>
          <w:szCs w:val="22"/>
        </w:rPr>
        <w:t xml:space="preserve">first manifestation of </w:t>
      </w:r>
      <w:r w:rsidR="00B826B6" w:rsidRPr="004B0BC2">
        <w:rPr>
          <w:rFonts w:asciiTheme="minorHAnsi" w:hAnsiTheme="minorHAnsi" w:cstheme="minorHAnsi"/>
          <w:sz w:val="22"/>
          <w:szCs w:val="22"/>
        </w:rPr>
        <w:t>coronary hea</w:t>
      </w:r>
      <w:r w:rsidR="00385D45" w:rsidRPr="004B0BC2">
        <w:rPr>
          <w:rFonts w:asciiTheme="minorHAnsi" w:hAnsiTheme="minorHAnsi" w:cstheme="minorHAnsi"/>
          <w:sz w:val="22"/>
          <w:szCs w:val="22"/>
        </w:rPr>
        <w:t>r</w:t>
      </w:r>
      <w:r w:rsidR="00B826B6" w:rsidRPr="004B0BC2">
        <w:rPr>
          <w:rFonts w:asciiTheme="minorHAnsi" w:hAnsiTheme="minorHAnsi" w:cstheme="minorHAnsi"/>
          <w:sz w:val="22"/>
          <w:szCs w:val="22"/>
        </w:rPr>
        <w:t>t dise</w:t>
      </w:r>
      <w:r w:rsidR="007B65D7" w:rsidRPr="004B0BC2">
        <w:rPr>
          <w:rFonts w:asciiTheme="minorHAnsi" w:hAnsiTheme="minorHAnsi" w:cstheme="minorHAnsi"/>
          <w:sz w:val="22"/>
          <w:szCs w:val="22"/>
          <w:shd w:val="clear" w:color="auto" w:fill="FFFFFF"/>
        </w:rPr>
        <w:t>ase</w:t>
      </w:r>
      <w:r w:rsidR="007B65D7"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{"citationItems":[{"id":"ITEM-1","itemData":{"DOI":"10.1136/bmj.g5992","ISSN":"17561833","PMID":"25403476","abstract":"Objective: To evaluate differences in first manifestations of cardiovascular disease between men and women in a competing risks framework. Design: Prospective population based cohort study. Setting: People living in the community in Rotterdam, the Netherlands. Participants: 8419 participants (60.9% women) aged ≥55 and free from cardiovascular disease at baseline. Main outcome measures: First diagnosis of coronary heart disease (myocardial infarction, revascularisation, and coronary death), cerebrovascular disease (stroke, transient ischaemic attack, and carotid revascularisation), heart failure, or other cardiovascular death; or death from non-cardiovascular causes. Data were used to calculate lifetime risks of cardiovascular disease and its first incident manifestations adjusted for competing non-cardiovascular death. Results: During follow-up of up to 20.1 years, 2888 participants developed cardiovascular disease (826 coronary heart disease, 1198 cerebrovascular disease, 762 heart failure, and 102 other cardiovascular death). At age 55, overall lifetime risks of cardiovascular disease were 67.1% (95% confidence interval 64.7% to 69.5%) for men and 66.4% (64.2% to 68.7%) for women. Lifetime risks of first incident manifestations of cardiovascular disease in men were 27.2% (24.1% to 30.3%) for coronary heart disease, 22.8% (20.4% to 25.1%) for cerebrovascular disease, 14.9% (13.3% to 16.6%) for heart failure, and 2.3% (1.6% to 2.9%) for other deaths from cardiovascular disease. For women the figures were 16.9% (13.5% to 20.4%), 29.8% (27.7% to 31.9%), 17.5% (15.9% to 19.2%), and 2.1% (1.6% to 2.7%), respectively. Differences in the number of events that developed over the lifespan in women compared with men (per 1000) were -7 for any cardiovascular disease, -102 for coronary heart disease, 70 for cerebrovascular disease, 26 for heart failure, and -1 for other cardiovascular death; all outcomes manifested at a higher age in women. Patterns were similar when analyses were restricted to hard atherosclerotic cardiovascular disease outcomes, but absolute risk differences between men and women were attenuated for both coronary heart disease and stroke. Conclusions: At age 55, though men and women have similar lifetime risks of cardiovascular disease, there are considerable differences in the first manifestation. Men are more likely to develop coronary heart disease as a first event, while women are more likely to have cerebrovascular disease or heart failure …","author":[{"dropping-particle":"","family":"Leening","given":"Maarten J.G.","non-dropping-particle":"","parse-names":false,"suffix":""},{"dropping-particle":"","family":"Ferket","given":"Bart S.","non-dropping-particle":"","parse-names":false,"suffix":""},{"dropping-particle":"","family":"Steyerberg","given":"Ewout W.","non-dropping-particle":"","parse-names":false,"suffix":""},{"dropping-particle":"","family":"Kavousi","given":"Maryam","non-dropping-particle":"","parse-names":false,"suffix":""},{"dropping-particle":"","family":"Deckers","given":"Jaap W.","non-dropping-particle":"","parse-names":false,"suffix":""},{"dropping-particle":"","family":"Nieboer","given":"Daan","non-dropping-particle":"","parse-names":false,"suffix":""},{"dropping-particle":"","family":"Heeringa","given":"Jan","non-dropping-particle":"","parse-names":false,"suffix":""},{"dropping-particle":"","family":"Portegies","given":"Marileen L.P.","non-dropping-particle":"","parse-names":false,"suffix":""},{"dropping-particle":"","family":"Hofman","given":"Albert","non-dropping-particle":"","parse-names":false,"suffix":""},{"dropping-particle":"","family":"Ikram","given":"M. Arfan","non-dropping-particle":"","parse-names":false,"suffix":""},{"dropping-particle":"","family":"Hunink","given":"M. G.Myriam","non-dropping-particle":"","parse-names":false,"suffix":""},{"dropping-particle":"","family":"Franco","given":"Oscar H.","non-dropping-particle":"","parse-names":false,"suffix":""},{"dropping-particle":"","family":"Stricker","given":"Bruno H.","non-dropping-particle":"","parse-names":false,"suffix":""},{"dropping-particle":"","family":"Witteman","given":"Jacqueline C.M.","non-dropping-particle":"","parse-names":false,"suffix":""},{"dropping-particle":"","family":"Roos-Hesselink","given":"Jolien W.","non-dropping-particle":"","parse-names":false,"suffix":""}],"container-title":"BMJ (Online)","id":"ITEM-1","issued":{"date-parts":[["2014"]]},"page":"1-13","title":"Sex differences in lifetime risk and first manifestation of cardiovascular disease: Prospective population based cohort study","type":"article-journal","volume":"349"},"uris":["http://www.mendeley.com/documents/?uuid=56af55d3-e132-434a-9f78-612a29b47891"]}],"mendeley":{"formattedCitation":"(62)","plainTextFormattedCitation":"(62)","previouslyFormattedCitation":"(62)"},"properties":{"noteIndex":0},"schema":"https://github.com/citation-style-language/schema/raw/master/csl-citation.json"}</w:instrText>
      </w:r>
      <w:r w:rsidR="007B65D7"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(62)</w:t>
      </w:r>
      <w:r w:rsidR="007B65D7" w:rsidRPr="004B0BC2">
        <w:rPr>
          <w:rFonts w:asciiTheme="minorHAnsi" w:hAnsiTheme="minorHAnsi" w:cstheme="minorHAnsi"/>
          <w:sz w:val="22"/>
          <w:szCs w:val="22"/>
        </w:rPr>
        <w:fldChar w:fldCharType="end"/>
      </w:r>
      <w:r w:rsidR="006870FD">
        <w:rPr>
          <w:rFonts w:asciiTheme="minorHAnsi" w:hAnsiTheme="minorHAnsi" w:cstheme="minorHAnsi"/>
          <w:sz w:val="22"/>
          <w:szCs w:val="22"/>
        </w:rPr>
        <w:t>, men</w:t>
      </w:r>
      <w:r w:rsidR="00B826B6" w:rsidRPr="004B0BC2">
        <w:rPr>
          <w:rFonts w:asciiTheme="minorHAnsi" w:hAnsiTheme="minorHAnsi" w:cstheme="minorHAnsi"/>
          <w:sz w:val="22"/>
          <w:szCs w:val="22"/>
        </w:rPr>
        <w:t xml:space="preserve"> between the ages 55-64 years</w:t>
      </w:r>
      <w:r w:rsidR="00963617" w:rsidRPr="004B0BC2">
        <w:rPr>
          <w:rFonts w:asciiTheme="minorHAnsi" w:hAnsiTheme="minorHAnsi" w:cstheme="minorHAnsi"/>
          <w:sz w:val="22"/>
          <w:szCs w:val="22"/>
        </w:rPr>
        <w:t xml:space="preserve"> </w:t>
      </w:r>
      <w:r w:rsidR="00B826B6" w:rsidRPr="004B0BC2">
        <w:rPr>
          <w:rFonts w:asciiTheme="minorHAnsi" w:hAnsiTheme="minorHAnsi" w:cstheme="minorHAnsi"/>
          <w:sz w:val="22"/>
          <w:szCs w:val="22"/>
        </w:rPr>
        <w:t xml:space="preserve">had a </w:t>
      </w:r>
      <w:r w:rsidR="008A75E3" w:rsidRPr="004B0BC2">
        <w:rPr>
          <w:rFonts w:asciiTheme="minorHAnsi" w:hAnsiTheme="minorHAnsi" w:cstheme="minorHAnsi"/>
          <w:sz w:val="22"/>
          <w:szCs w:val="22"/>
        </w:rPr>
        <w:t>significantly</w:t>
      </w:r>
      <w:r w:rsidR="00B826B6" w:rsidRPr="004B0BC2">
        <w:rPr>
          <w:rFonts w:asciiTheme="minorHAnsi" w:hAnsiTheme="minorHAnsi" w:cstheme="minorHAnsi"/>
          <w:sz w:val="22"/>
          <w:szCs w:val="22"/>
        </w:rPr>
        <w:t xml:space="preserve"> higher </w:t>
      </w:r>
      <w:r w:rsidR="00B826B6" w:rsidRPr="004B0BC2">
        <w:rPr>
          <w:rFonts w:asciiTheme="minorHAnsi" w:hAnsiTheme="minorHAnsi" w:cstheme="minorHAnsi"/>
          <w:sz w:val="22"/>
          <w:szCs w:val="22"/>
          <w:shd w:val="clear" w:color="auto" w:fill="FFFFFF"/>
        </w:rPr>
        <w:t xml:space="preserve">lifetime risk of the first manifestations of </w:t>
      </w:r>
      <w:r w:rsidR="00005E49" w:rsidRPr="004B0BC2">
        <w:rPr>
          <w:rFonts w:asciiTheme="minorHAnsi" w:hAnsiTheme="minorHAnsi" w:cstheme="minorHAnsi"/>
          <w:sz w:val="22"/>
          <w:szCs w:val="22"/>
          <w:shd w:val="clear" w:color="auto" w:fill="FFFFFF"/>
        </w:rPr>
        <w:t>coronary heart disease</w:t>
      </w:r>
      <w:r w:rsidR="00B826B6" w:rsidRPr="004B0BC2">
        <w:rPr>
          <w:rFonts w:asciiTheme="minorHAnsi" w:hAnsiTheme="minorHAnsi" w:cstheme="minorHAnsi"/>
          <w:sz w:val="22"/>
          <w:szCs w:val="22"/>
          <w:shd w:val="clear" w:color="auto" w:fill="FFFFFF"/>
        </w:rPr>
        <w:t xml:space="preserve"> than women (27.2 % </w:t>
      </w:r>
      <w:r w:rsidR="00851874">
        <w:rPr>
          <w:rFonts w:asciiTheme="minorHAnsi" w:hAnsiTheme="minorHAnsi" w:cstheme="minorHAnsi"/>
          <w:sz w:val="22"/>
          <w:szCs w:val="22"/>
          <w:shd w:val="clear" w:color="auto" w:fill="FFFFFF"/>
        </w:rPr>
        <w:t>versus</w:t>
      </w:r>
      <w:r w:rsidR="00851874" w:rsidRPr="004B0BC2">
        <w:rPr>
          <w:rFonts w:asciiTheme="minorHAnsi" w:hAnsiTheme="minorHAnsi" w:cstheme="minorHAnsi"/>
          <w:sz w:val="22"/>
          <w:szCs w:val="22"/>
          <w:shd w:val="clear" w:color="auto" w:fill="FFFFFF"/>
        </w:rPr>
        <w:t xml:space="preserve"> </w:t>
      </w:r>
      <w:r w:rsidR="00B826B6" w:rsidRPr="004B0BC2">
        <w:rPr>
          <w:rFonts w:asciiTheme="minorHAnsi" w:hAnsiTheme="minorHAnsi" w:cstheme="minorHAnsi"/>
          <w:sz w:val="22"/>
          <w:szCs w:val="22"/>
          <w:shd w:val="clear" w:color="auto" w:fill="FFFFFF"/>
        </w:rPr>
        <w:t xml:space="preserve">16.9%, </w:t>
      </w:r>
      <w:r w:rsidR="007D457B" w:rsidRPr="004B0BC2">
        <w:rPr>
          <w:rFonts w:asciiTheme="minorHAnsi" w:hAnsiTheme="minorHAnsi" w:cstheme="minorHAnsi"/>
          <w:sz w:val="22"/>
          <w:szCs w:val="22"/>
          <w:shd w:val="clear" w:color="auto" w:fill="FFFFFF"/>
        </w:rPr>
        <w:t>p</w:t>
      </w:r>
      <w:r w:rsidR="00B826B6" w:rsidRPr="004B0BC2">
        <w:rPr>
          <w:rFonts w:asciiTheme="minorHAnsi" w:hAnsiTheme="minorHAnsi" w:cstheme="minorHAnsi"/>
          <w:sz w:val="22"/>
          <w:szCs w:val="22"/>
          <w:shd w:val="clear" w:color="auto" w:fill="FFFFFF"/>
        </w:rPr>
        <w:t>&lt;0.001)</w:t>
      </w:r>
      <w:r w:rsidR="00963617" w:rsidRPr="004B0BC2">
        <w:rPr>
          <w:rFonts w:asciiTheme="minorHAnsi" w:hAnsiTheme="minorHAnsi" w:cstheme="minorHAnsi"/>
          <w:sz w:val="22"/>
          <w:szCs w:val="22"/>
        </w:rPr>
        <w:t xml:space="preserve">. </w:t>
      </w:r>
      <w:r w:rsidR="006870FD">
        <w:rPr>
          <w:rFonts w:asciiTheme="minorHAnsi" w:hAnsiTheme="minorHAnsi" w:cstheme="minorHAnsi"/>
          <w:sz w:val="22"/>
          <w:szCs w:val="22"/>
        </w:rPr>
        <w:t>In</w:t>
      </w:r>
      <w:r w:rsidR="00963617" w:rsidRPr="004B0BC2">
        <w:rPr>
          <w:rFonts w:asciiTheme="minorHAnsi" w:hAnsiTheme="minorHAnsi" w:cstheme="minorHAnsi"/>
          <w:sz w:val="22"/>
          <w:szCs w:val="22"/>
        </w:rPr>
        <w:t xml:space="preserve"> the </w:t>
      </w:r>
      <w:r w:rsidR="00005E49" w:rsidRPr="004B0BC2">
        <w:rPr>
          <w:rFonts w:asciiTheme="minorHAnsi" w:hAnsiTheme="minorHAnsi" w:cstheme="minorHAnsi"/>
          <w:sz w:val="22"/>
          <w:szCs w:val="22"/>
        </w:rPr>
        <w:t>I</w:t>
      </w:r>
      <w:r w:rsidR="00963617" w:rsidRPr="004B0BC2">
        <w:rPr>
          <w:rFonts w:asciiTheme="minorHAnsi" w:hAnsiTheme="minorHAnsi" w:cstheme="minorHAnsi"/>
          <w:sz w:val="22"/>
          <w:szCs w:val="22"/>
          <w:shd w:val="clear" w:color="auto" w:fill="FFFFFF"/>
        </w:rPr>
        <w:t>NTERHEART global case-control study</w:t>
      </w:r>
      <w:r w:rsidR="006870FD">
        <w:rPr>
          <w:rFonts w:asciiTheme="minorHAnsi" w:hAnsiTheme="minorHAnsi" w:cstheme="minorHAnsi"/>
          <w:sz w:val="22"/>
          <w:szCs w:val="22"/>
          <w:shd w:val="clear" w:color="auto" w:fill="FFFFFF"/>
        </w:rPr>
        <w:t>,</w:t>
      </w:r>
      <w:r w:rsidR="00963617" w:rsidRPr="004B0BC2">
        <w:rPr>
          <w:rFonts w:asciiTheme="minorHAnsi" w:hAnsiTheme="minorHAnsi" w:cstheme="minorHAnsi"/>
          <w:sz w:val="22"/>
          <w:szCs w:val="22"/>
          <w:shd w:val="clear" w:color="auto" w:fill="FFFFFF"/>
        </w:rPr>
        <w:t xml:space="preserve"> </w:t>
      </w:r>
      <w:r w:rsidR="0050475D" w:rsidRPr="004B0BC2">
        <w:rPr>
          <w:rFonts w:asciiTheme="minorHAnsi" w:hAnsiTheme="minorHAnsi" w:cstheme="minorHAnsi"/>
          <w:sz w:val="22"/>
          <w:szCs w:val="22"/>
          <w:shd w:val="clear" w:color="auto" w:fill="FFFFFF"/>
        </w:rPr>
        <w:t>which included</w:t>
      </w:r>
      <w:r w:rsidR="00963617" w:rsidRPr="004B0BC2">
        <w:rPr>
          <w:rFonts w:asciiTheme="minorHAnsi" w:hAnsiTheme="minorHAnsi" w:cstheme="minorHAnsi"/>
          <w:sz w:val="22"/>
          <w:szCs w:val="22"/>
          <w:shd w:val="clear" w:color="auto" w:fill="FFFFFF"/>
        </w:rPr>
        <w:t xml:space="preserve"> 27</w:t>
      </w:r>
      <w:r w:rsidR="006870FD">
        <w:rPr>
          <w:rFonts w:asciiTheme="minorHAnsi" w:hAnsiTheme="minorHAnsi" w:cstheme="minorHAnsi"/>
          <w:sz w:val="22"/>
          <w:szCs w:val="22"/>
          <w:shd w:val="clear" w:color="auto" w:fill="FFFFFF"/>
        </w:rPr>
        <w:t>,</w:t>
      </w:r>
      <w:r w:rsidR="00963617" w:rsidRPr="004B0BC2">
        <w:rPr>
          <w:rFonts w:asciiTheme="minorHAnsi" w:hAnsiTheme="minorHAnsi" w:cstheme="minorHAnsi"/>
          <w:sz w:val="22"/>
          <w:szCs w:val="22"/>
          <w:shd w:val="clear" w:color="auto" w:fill="FFFFFF"/>
        </w:rPr>
        <w:t>098 participants from 52 countrie</w:t>
      </w:r>
      <w:r w:rsidR="006870FD">
        <w:rPr>
          <w:rFonts w:asciiTheme="minorHAnsi" w:hAnsiTheme="minorHAnsi" w:cstheme="minorHAnsi"/>
          <w:sz w:val="22"/>
          <w:szCs w:val="22"/>
          <w:shd w:val="clear" w:color="auto" w:fill="FFFFFF"/>
        </w:rPr>
        <w:t>s, t</w:t>
      </w:r>
      <w:r w:rsidR="00963617" w:rsidRPr="004B0BC2">
        <w:rPr>
          <w:rFonts w:asciiTheme="minorHAnsi" w:hAnsiTheme="minorHAnsi" w:cstheme="minorHAnsi"/>
          <w:sz w:val="22"/>
          <w:szCs w:val="22"/>
          <w:shd w:val="clear" w:color="auto" w:fill="FFFFFF"/>
        </w:rPr>
        <w:t>he median age of</w:t>
      </w:r>
      <w:r w:rsidR="00B734D7" w:rsidRPr="004B0BC2">
        <w:rPr>
          <w:rFonts w:asciiTheme="minorHAnsi" w:hAnsiTheme="minorHAnsi" w:cstheme="minorHAnsi"/>
          <w:sz w:val="22"/>
          <w:szCs w:val="22"/>
          <w:shd w:val="clear" w:color="auto" w:fill="FFFFFF"/>
        </w:rPr>
        <w:t xml:space="preserve"> the</w:t>
      </w:r>
      <w:r w:rsidR="00963617" w:rsidRPr="004B0BC2">
        <w:rPr>
          <w:rFonts w:asciiTheme="minorHAnsi" w:hAnsiTheme="minorHAnsi" w:cstheme="minorHAnsi"/>
          <w:sz w:val="22"/>
          <w:szCs w:val="22"/>
          <w:shd w:val="clear" w:color="auto" w:fill="FFFFFF"/>
        </w:rPr>
        <w:t xml:space="preserve"> first </w:t>
      </w:r>
      <w:r w:rsidR="00963617" w:rsidRPr="004B0BC2">
        <w:rPr>
          <w:rFonts w:asciiTheme="minorHAnsi" w:hAnsiTheme="minorHAnsi" w:cstheme="minorHAnsi"/>
          <w:sz w:val="22"/>
          <w:szCs w:val="22"/>
          <w:shd w:val="clear" w:color="auto" w:fill="FFFFFF"/>
        </w:rPr>
        <w:lastRenderedPageBreak/>
        <w:t xml:space="preserve">acute </w:t>
      </w:r>
      <w:r w:rsidR="00B734D7" w:rsidRPr="004B0BC2">
        <w:rPr>
          <w:rFonts w:asciiTheme="minorHAnsi" w:hAnsiTheme="minorHAnsi" w:cstheme="minorHAnsi"/>
          <w:sz w:val="22"/>
          <w:szCs w:val="22"/>
          <w:shd w:val="clear" w:color="auto" w:fill="FFFFFF"/>
        </w:rPr>
        <w:t>myocardial infarction</w:t>
      </w:r>
      <w:r w:rsidR="00963617" w:rsidRPr="004B0BC2">
        <w:rPr>
          <w:rFonts w:asciiTheme="minorHAnsi" w:hAnsiTheme="minorHAnsi" w:cstheme="minorHAnsi"/>
          <w:sz w:val="22"/>
          <w:szCs w:val="22"/>
          <w:shd w:val="clear" w:color="auto" w:fill="FFFFFF"/>
        </w:rPr>
        <w:t xml:space="preserve"> was higher in women than men (65 v</w:t>
      </w:r>
      <w:r w:rsidR="006870FD">
        <w:rPr>
          <w:rFonts w:asciiTheme="minorHAnsi" w:hAnsiTheme="minorHAnsi" w:cstheme="minorHAnsi"/>
          <w:sz w:val="22"/>
          <w:szCs w:val="22"/>
          <w:shd w:val="clear" w:color="auto" w:fill="FFFFFF"/>
        </w:rPr>
        <w:t>ersus</w:t>
      </w:r>
      <w:r w:rsidR="00963617" w:rsidRPr="004B0BC2">
        <w:rPr>
          <w:rFonts w:asciiTheme="minorHAnsi" w:hAnsiTheme="minorHAnsi" w:cstheme="minorHAnsi"/>
          <w:sz w:val="22"/>
          <w:szCs w:val="22"/>
          <w:shd w:val="clear" w:color="auto" w:fill="FFFFFF"/>
        </w:rPr>
        <w:t xml:space="preserve"> 56 years; </w:t>
      </w:r>
      <w:r w:rsidR="007D457B" w:rsidRPr="004B0BC2">
        <w:rPr>
          <w:rFonts w:asciiTheme="minorHAnsi" w:hAnsiTheme="minorHAnsi" w:cstheme="minorHAnsi"/>
          <w:sz w:val="22"/>
          <w:szCs w:val="22"/>
          <w:shd w:val="clear" w:color="auto" w:fill="FFFFFF"/>
        </w:rPr>
        <w:t>p</w:t>
      </w:r>
      <w:r w:rsidR="00963617" w:rsidRPr="004B0BC2">
        <w:rPr>
          <w:rFonts w:asciiTheme="minorHAnsi" w:hAnsiTheme="minorHAnsi" w:cstheme="minorHAnsi"/>
          <w:sz w:val="22"/>
          <w:szCs w:val="22"/>
          <w:shd w:val="clear" w:color="auto" w:fill="FFFFFF"/>
        </w:rPr>
        <w:t>&lt;0.0001)</w:t>
      </w:r>
      <w:r w:rsidR="00963617"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{"citationItems":[{"id":"ITEM-1","itemData":{"DOI":"10.1093/eurheartj/ehn018","ISSN":"0195668X","PMID":"18334475","abstract":"Aims: Coronary heart disease (CHD) is a leading cause of death among men and women globally. Women develop CHD about 10 years later than men, yet the reasons for this are unclear. The purpose of this report is to determine if differences in risk factor distributions exist between women and men across various age categories to help explain why women develop acute MI later than men. Methods and results: We used the INTERHEART global case-control study including 27 098 participants from 52 countries, 6787 of whom were women. The median age of first acute MI was higher in women than men (65 vs. 56 years; P &lt; 0.0001). Nine modifiable risk factors were associated with MI in women and men. Hypertension [2.95(2.66 -3.28) vs. 2.32(2.16-2.48)], diabetes [4.26(3.68-4.94) vs. 2.67(2.43-2.94), physical activity [0.48(0.41-0.57) vs. 0.77(0.71-0.83)], and moderate alcohol use [0.41(0.34-0.50) vs. 0.88(0.82-0.94)] were more strongly associated with MI among women than men. The association of abnormal lipids, current smoking, abdominal obesity, high risk diet, and psychosocial stress factors with MI was similar in women and men. Risk factors associations were generally stronger among younger individuals compared to older women and men. The population attributable risk (PAR) of all nine risk factors exceeded 94%, and was similar among women and men (96 vs. 93%). Men were significantly more likely to suffer a MI prior to 60 years of age than were women, however, after adjusting for levels of risk factors, the sex difference in the probability of MI cases occurring before the age of 60 years was reduced by more than 80%. Conclusion: Women experience their first acute MI on average 9 years later than men. Nine modifiable risk factors are significantly associated with acute MI in both men and women and explain greater than 90% of the PAR. The difference in age of first MI is largely explained by the higher risk factor levels at younger ages in men compared to women. © The Author 2008.","author":[{"dropping-particle":"","family":"Anand","given":"Sonia S.","non-dropping-particle":"","parse-names":false,"suffix":""},{"dropping-particle":"","family":"Islam","given":"Shofiqul","non-dropping-particle":"","parse-names":false,"suffix":""},{"dropping-particle":"","family":"Rosengren","given":"Annika","non-dropping-particle":"","parse-names":false,"suffix":""},{"dropping-particle":"","family":"Franzosi","given":"Maria Grazia","non-dropping-particle":"","parse-names":false,"suffix":""},{"dropping-particle":"","family":"Steyn","given":"Krisela","non-dropping-particle":"","parse-names":false,"suffix":""},{"dropping-particle":"","family":"Yusufali","given":"Afzal Hussein","non-dropping-particle":"","parse-names":false,"suffix":""},{"dropping-particle":"","family":"Keltai","given":"Matyas","non-dropping-particle":"","parse-names":false,"suffix":""},{"dropping-particle":"","family":"Diaz","given":"Rafael","non-dropping-particle":"","parse-names":false,"suffix":""},{"dropping-particle":"","family":"Rangarajan","given":"Sumathy","non-dropping-particle":"","parse-names":false,"suffix":""},{"dropping-particle":"","family":"Yusuf","given":"Salim","non-dropping-particle":"","parse-names":false,"suffix":""}],"container-title":"European Heart Journal","id":"ITEM-1","issue":"7","issued":{"date-parts":[["2008"]]},"page":"932-40","title":"Risk factors for myocardial infarction in women and men: Insights from the INTERHEART study","type":"article-journal","volume":"29"},"uris":["http://www.mendeley.com/documents/?uuid=448b58f3-abe9-4a30-9d14-7622ee88ddab"]}],"mendeley":{"formattedCitation":"(63)","plainTextFormattedCitation":"(63)","previouslyFormattedCitation":"(63)"},"properties":{"noteIndex":0},"schema":"https://github.com/citation-style-language/schema/raw/master/csl-citation.json"}</w:instrText>
      </w:r>
      <w:r w:rsidR="00963617"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(63)</w:t>
      </w:r>
      <w:r w:rsidR="00963617" w:rsidRPr="004B0BC2">
        <w:rPr>
          <w:rFonts w:asciiTheme="minorHAnsi" w:hAnsiTheme="minorHAnsi" w:cstheme="minorHAnsi"/>
          <w:sz w:val="22"/>
          <w:szCs w:val="22"/>
          <w:shd w:val="clear" w:color="auto" w:fill="FFFFFF"/>
        </w:rPr>
        <w:fldChar w:fldCharType="end"/>
      </w:r>
      <w:r w:rsidR="00963617" w:rsidRPr="004B0BC2">
        <w:rPr>
          <w:rFonts w:asciiTheme="minorHAnsi" w:hAnsiTheme="minorHAnsi" w:cstheme="minorHAnsi"/>
          <w:sz w:val="22"/>
          <w:szCs w:val="22"/>
          <w:shd w:val="clear" w:color="auto" w:fill="FFFFFF"/>
        </w:rPr>
        <w:t xml:space="preserve">. This delay in CVD onset has been attributed to </w:t>
      </w:r>
      <w:r w:rsidR="00251FF2" w:rsidRPr="004B0BC2">
        <w:rPr>
          <w:rFonts w:asciiTheme="minorHAnsi" w:hAnsiTheme="minorHAnsi" w:cstheme="minorHAnsi"/>
          <w:sz w:val="22"/>
          <w:szCs w:val="22"/>
          <w:shd w:val="clear" w:color="auto" w:fill="FFFFFF"/>
        </w:rPr>
        <w:t>the cardioprotective effects of oestrogen in premenopausal women.</w:t>
      </w:r>
      <w:r w:rsidR="003C11E1">
        <w:rPr>
          <w:rFonts w:asciiTheme="minorHAnsi" w:hAnsiTheme="minorHAnsi" w:cstheme="minorHAnsi"/>
          <w:sz w:val="22"/>
          <w:szCs w:val="22"/>
          <w:shd w:val="clear" w:color="auto" w:fill="FFFFFF"/>
        </w:rPr>
        <w:t xml:space="preserve"> </w:t>
      </w:r>
      <w:r w:rsidR="00251FF2" w:rsidRPr="004B0BC2">
        <w:rPr>
          <w:rFonts w:asciiTheme="minorHAnsi" w:hAnsiTheme="minorHAnsi" w:cstheme="minorHAnsi"/>
          <w:sz w:val="22"/>
          <w:szCs w:val="22"/>
          <w:shd w:val="clear" w:color="auto" w:fill="FFFFFF"/>
        </w:rPr>
        <w:t xml:space="preserve">Several studies have shown that bilateral oophorectomy confers a higher risk of CVD compared to </w:t>
      </w:r>
      <w:r w:rsidR="006870FD">
        <w:rPr>
          <w:rFonts w:asciiTheme="minorHAnsi" w:hAnsiTheme="minorHAnsi" w:cstheme="minorHAnsi"/>
          <w:sz w:val="22"/>
          <w:szCs w:val="22"/>
          <w:shd w:val="clear" w:color="auto" w:fill="FFFFFF"/>
        </w:rPr>
        <w:t xml:space="preserve">an </w:t>
      </w:r>
      <w:r w:rsidR="00251FF2" w:rsidRPr="004B0BC2">
        <w:rPr>
          <w:rFonts w:asciiTheme="minorHAnsi" w:hAnsiTheme="minorHAnsi" w:cstheme="minorHAnsi"/>
          <w:sz w:val="22"/>
          <w:szCs w:val="22"/>
          <w:shd w:val="clear" w:color="auto" w:fill="FFFFFF"/>
        </w:rPr>
        <w:t>age</w:t>
      </w:r>
      <w:r w:rsidR="006870FD">
        <w:rPr>
          <w:rFonts w:asciiTheme="minorHAnsi" w:hAnsiTheme="minorHAnsi" w:cstheme="minorHAnsi"/>
          <w:sz w:val="22"/>
          <w:szCs w:val="22"/>
          <w:shd w:val="clear" w:color="auto" w:fill="FFFFFF"/>
        </w:rPr>
        <w:t>-</w:t>
      </w:r>
      <w:r w:rsidR="00251FF2" w:rsidRPr="004B0BC2">
        <w:rPr>
          <w:rFonts w:asciiTheme="minorHAnsi" w:hAnsiTheme="minorHAnsi" w:cstheme="minorHAnsi"/>
          <w:sz w:val="22"/>
          <w:szCs w:val="22"/>
          <w:shd w:val="clear" w:color="auto" w:fill="FFFFFF"/>
        </w:rPr>
        <w:t>matched control</w:t>
      </w:r>
      <w:r w:rsidR="006870FD">
        <w:rPr>
          <w:rFonts w:asciiTheme="minorHAnsi" w:hAnsiTheme="minorHAnsi" w:cstheme="minorHAnsi"/>
          <w:sz w:val="22"/>
          <w:szCs w:val="22"/>
          <w:shd w:val="clear" w:color="auto" w:fill="FFFFFF"/>
        </w:rPr>
        <w:t xml:space="preserve"> group of women who have not undergone the procedure </w:t>
      </w:r>
      <w:r w:rsidR="00EF59BA"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{"citationItems":[{"id":"ITEM-1","itemData":{"DOI":"10.1097/gme.0b013e31818888f7","ISSN":"10723714","abstract":"OBJECTIVE: To investigate the mortality associated with cardiovascular diseases and the effect of estrogen treatment in women who underwent unilateral or bilateral oophorectomy before menopause. DESIGN: We conducted a cohort study with long-term follow-up of women in Olmsted County, MN, who underwent either unilateral or bilateral oophorectomy before the onset of menopause from 1950 through 1987. Each member of the oophorectomy cohort was matched by age to a referent woman from the same population who had not undergone any oophorectomy. We studied the mortality associated with cardiovascular disease in a total of 1,274 women with unilateral oophorectomy, 1,091 women with bilateral oophorectomy, and 2,383 referent women. RESULTS: Women who underwent unilateral oophorectomy experienced a reduced mortality associated with cardiovascular disease compared with referent women (hazard ratio [HR], 0.82; 95% CI, 0.67-0.99; P = 0.04). In contrast, women who underwent bilateral oophorectomy before age 45 years experienced an increased mortality associated with cardiovascular disease compared with referent women (HR, 1.44; 95% CI, 1.01-2.05; P = 0.04). Within this age stratum, the HR for mortality was significantly increased in women who were not treated with estrogen through age 45 years or longer (HR, 1.84; 95% CI, 1.27-2.68; P = 0.001) but not in women treated with estrogen (HR, 0.65; 95% CI, 0.30-1.41; P = 0.28; test of interaction, P = 0.01). Mortality was further increased after deaths associated with cerebrovascular causes were excluded. CONCLUSIONS: Bilateral oophorectomy performed before age 45 years is associated with increased cardiovascular mortality, especially with cardiac mortality. However, estrogen treatment may reduce this risk. Copyright © 2009 The North American Menopause Society.","author":[{"dropping-particle":"","family":"Rivera","given":"Cathleen M.","non-dropping-particle":"","parse-names":false,"suffix":""},{"dropping-particle":"","family":"Grossardt","given":"Brandon R.","non-dropping-particle":"","parse-names":false,"suffix":""},{"dropping-particle":"","family":"Rhodes","given":"Deborah J.","non-dropping-particle":"","parse-names":false,"suffix":""},{"dropping-particle":"","family":"Brown","given":"Robert D.","non-dropping-particle":"","parse-names":false,"suffix":""},{"dropping-particle":"","family":"Roger","given":"Véronique L.","non-dropping-particle":"","parse-names":false,"suffix":""},{"dropping-particle":"","family":"Melton","given":"L. Joseph","non-dropping-particle":"","parse-names":false,"suffix":""},{"dropping-particle":"","family":"Rocca","given":"Walter A.","non-dropping-particle":"","parse-names":false,"suffix":""}],"container-title":"Menopause","id":"ITEM-1","issue":"1","issued":{"date-parts":[["2009"]]},"page":"15-23","title":"Increased cardiovascular mortality after early bilateral oophorectomy","type":"article-journal","volume":"16"},"uris":["http://www.mendeley.com/documents/?uuid=85c64219-3640-405e-8e89-bec814fb56a5"]}],"mendeley":{"formattedCitation":"(64)","plainTextFormattedCitation":"(64)","previouslyFormattedCitation":"(64)"},"properties":{"noteIndex":0},"schema":"https://github.com/citation-style-language/schema/raw/master/csl-citation.json"}</w:instrText>
      </w:r>
      <w:r w:rsidR="00EF59BA"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(64)</w:t>
      </w:r>
      <w:r w:rsidR="00EF59BA" w:rsidRPr="004B0BC2">
        <w:rPr>
          <w:rFonts w:asciiTheme="minorHAnsi" w:hAnsiTheme="minorHAnsi" w:cstheme="minorHAnsi"/>
          <w:sz w:val="22"/>
          <w:szCs w:val="22"/>
          <w:shd w:val="clear" w:color="auto" w:fill="FFFFFF"/>
        </w:rPr>
        <w:fldChar w:fldCharType="end"/>
      </w:r>
      <w:r w:rsidR="00EF59BA"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{"citationItems":[{"id":"ITEM-1","itemData":{"DOI":"10.1016/0002-9378(81)90410-5","ISSN":"00029378","PMID":"7457520","abstract":"We evaluated the relation between age at menopause and the risk of nonfatal mycardial infarction (MI) among 121,964 nurses who responded to a mail questionnaire. Of 279 women who reported having been hospitalized for MI, 123 (44%) were postmenopausal (i.e., no longer menstruating) at the time of hospitalization, compared with 1,859 (33%) of 5,580 age-matched control subjects. Among women who became menopausal because of bilateral oophorectomy, the estimated relative risk of MI increased with decreasing age at menopause, and women who underwent bilateral oophorectomy before age 35 were estimated to have a risk of hospitalization for MI approximately 7.2 times (95% confidence interval, 4.5 to 11.4) that of premenopausal women. Hysterectomy without the removal of both ovaries was only weakly associated with an increased risk. The data support the hypothesis that premature cessation of ovarian function increases the risk of nonfatal MI. © 1981.","author":[{"dropping-particle":"","family":"Rosenberg","given":"Lynn","non-dropping-particle":"","parse-names":false,"suffix":""},{"dropping-particle":"","family":"Hennekens","given":"Charles H.","non-dropping-particle":"","parse-names":false,"suffix":""},{"dropping-particle":"","family":"Rosner","given":"Bernard","non-dropping-particle":"","parse-names":false,"suffix":""},{"dropping-particle":"","family":"Belanger","given":"Charlene","non-dropping-particle":"","parse-names":false,"suffix":""},{"dropping-particle":"","family":"Rothman","given":"Kenneth J.","non-dropping-particle":"","parse-names":false,"suffix":""},{"dropping-particle":"","family":"Speizer","given":"Frank E.","non-dropping-particle":"","parse-names":false,"suffix":""}],"container-title":"American Journal of Obstetrics and Gynecology","id":"ITEM-1","issue":"1","issued":{"date-parts":[["1981"]]},"page":"47-51","title":"Early menopause and the risk of myocardial infarction","type":"article-journal","volume":"139"},"uris":["http://www.mendeley.com/documents/?uuid=834d8118-40ed-4907-a348-5a8756a9fef3"]}],"mendeley":{"formattedCitation":"(65)","plainTextFormattedCitation":"(65)","previouslyFormattedCitation":"(65)"},"properties":{"noteIndex":0},"schema":"https://github.com/citation-style-language/schema/raw/master/csl-citation.json"}</w:instrText>
      </w:r>
      <w:r w:rsidR="00EF59BA"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(65)</w:t>
      </w:r>
      <w:r w:rsidR="00EF59BA" w:rsidRPr="004B0BC2">
        <w:rPr>
          <w:rFonts w:asciiTheme="minorHAnsi" w:hAnsiTheme="minorHAnsi" w:cstheme="minorHAnsi"/>
          <w:sz w:val="22"/>
          <w:szCs w:val="22"/>
          <w:shd w:val="clear" w:color="auto" w:fill="FFFFFF"/>
        </w:rPr>
        <w:fldChar w:fldCharType="end"/>
      </w:r>
      <w:r w:rsidR="00251FF2" w:rsidRPr="004B0BC2">
        <w:rPr>
          <w:rFonts w:asciiTheme="minorHAnsi" w:hAnsiTheme="minorHAnsi" w:cstheme="minorHAnsi"/>
          <w:sz w:val="22"/>
          <w:szCs w:val="22"/>
          <w:shd w:val="clear" w:color="auto" w:fill="FFFFFF"/>
        </w:rPr>
        <w:t xml:space="preserve">. </w:t>
      </w:r>
      <w:r w:rsidR="00251FF2" w:rsidRPr="007E597A">
        <w:rPr>
          <w:rFonts w:asciiTheme="minorHAnsi" w:hAnsiTheme="minorHAnsi" w:cstheme="minorHAnsi"/>
          <w:sz w:val="22"/>
          <w:szCs w:val="22"/>
          <w:shd w:val="clear" w:color="auto" w:fill="FFFFFF"/>
        </w:rPr>
        <w:t>Rivera et al</w:t>
      </w:r>
      <w:r w:rsidR="00FD6EB2" w:rsidRPr="007E597A">
        <w:rPr>
          <w:rFonts w:asciiTheme="minorHAnsi" w:hAnsiTheme="minorHAnsi" w:cstheme="minorHAnsi"/>
          <w:sz w:val="22"/>
          <w:szCs w:val="22"/>
          <w:shd w:val="clear" w:color="auto" w:fill="FFFFFF"/>
        </w:rPr>
        <w:t>.</w:t>
      </w:r>
      <w:r w:rsidR="00EF59BA" w:rsidRPr="007E597A">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{"citationItems":[{"id":"ITEM-1","itemData":{"DOI":"10.1097/gme.0b013e31818888f7","ISSN":"10723714","abstract":"OBJECTIVE: To investigate the mortality associated with cardiovascular diseases and the effect of estrogen treatment in women who underwent unilateral or bilateral oophorectomy before menopause. DESIGN: We conducted a cohort study with long-term follow-up of women in Olmsted County, MN, who underwent either unilateral or bilateral oophorectomy before the onset of menopause from 1950 through 1987. Each member of the oophorectomy cohort was matched by age to a referent woman from the same population who had not undergone any oophorectomy. We studied the mortality associated with cardiovascular disease in a total of 1,274 women with unilateral oophorectomy, 1,091 women with bilateral oophorectomy, and 2,383 referent women. RESULTS: Women who underwent unilateral oophorectomy experienced a reduced mortality associated with cardiovascular disease compared with referent women (hazard ratio [HR], 0.82; 95% CI, 0.67-0.99; P = 0.04). In contrast, women who underwent bilateral oophorectomy before age 45 years experienced an increased mortality associated with cardiovascular disease compared with referent women (HR, 1.44; 95% CI, 1.01-2.05; P = 0.04). Within this age stratum, the HR for mortality was significantly increased in women who were not treated with estrogen through age 45 years or longer (HR, 1.84; 95% CI, 1.27-2.68; P = 0.001) but not in women treated with estrogen (HR, 0.65; 95% CI, 0.30-1.41; P = 0.28; test of interaction, P = 0.01). Mortality was further increased after deaths associated with cerebrovascular causes were excluded. CONCLUSIONS: Bilateral oophorectomy performed before age 45 years is associated with increased cardiovascular mortality, especially with cardiac mortality. However, estrogen treatment may reduce this risk. Copyright © 2009 The North American Menopause Society.","author":[{"dropping-particle":"","family":"Rivera","given":"Cathleen M.","non-dropping-particle":"","parse-names":false,"suffix":""},{"dropping-particle":"","family":"Grossardt","given":"Brandon R.","non-dropping-particle":"","parse-names":false,"suffix":""},{"dropping-particle":"","family":"Rhodes","given":"Deborah J.","non-dropping-particle":"","parse-names":false,"suffix":""},{"dropping-particle":"","family":"Brown","given":"Robert D.","non-dropping-particle":"","parse-names":false,"suffix":""},{"dropping-particle":"","family":"Roger","given":"Véronique L.","non-dropping-particle":"","parse-names":false,"suffix":""},{"dropping-particle":"","family":"Melton","given":"L. Joseph","non-dropping-particle":"","parse-names":false,"suffix":""},{"dropping-particle":"","family":"Rocca","given":"Walter A.","non-dropping-particle":"","parse-names":false,"suffix":""}],"container-title":"Menopause","id":"ITEM-1","issue":"1","issued":{"date-parts":[["2009"]]},"page":"15-23","title":"Increased cardiovascular mortality after early bilateral oophorectomy","type":"article-journal","volume":"16"},"uris":["http://www.mendeley.com/documents/?uuid=85c64219-3640-405e-8e89-bec814fb56a5"]}],"mendeley":{"formattedCitation":"(64)","plainTextFormattedCitation":"(64)","previouslyFormattedCitation":"(64)"},"properties":{"noteIndex":0},"schema":"https://github.com/citation-style-language/schema/raw/master/csl-citation.json"}</w:instrText>
      </w:r>
      <w:r w:rsidR="00EF59BA" w:rsidRPr="007E597A">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(64)</w:t>
      </w:r>
      <w:r w:rsidR="00EF59BA" w:rsidRPr="007E597A">
        <w:rPr>
          <w:rFonts w:asciiTheme="minorHAnsi" w:hAnsiTheme="minorHAnsi" w:cstheme="minorHAnsi"/>
          <w:sz w:val="22"/>
          <w:szCs w:val="22"/>
          <w:shd w:val="clear" w:color="auto" w:fill="FFFFFF"/>
        </w:rPr>
        <w:fldChar w:fldCharType="end"/>
      </w:r>
      <w:r w:rsidR="00251FF2" w:rsidRPr="007E597A">
        <w:rPr>
          <w:rFonts w:asciiTheme="minorHAnsi" w:hAnsiTheme="minorHAnsi" w:cstheme="minorHAnsi"/>
          <w:sz w:val="22"/>
          <w:szCs w:val="22"/>
          <w:shd w:val="clear" w:color="auto" w:fill="FFFFFF"/>
        </w:rPr>
        <w:t xml:space="preserve"> reported that </w:t>
      </w:r>
      <w:r w:rsidR="00B734D7" w:rsidRPr="007E597A">
        <w:rPr>
          <w:rFonts w:asciiTheme="minorHAnsi" w:hAnsiTheme="minorHAnsi" w:cstheme="minorHAnsi"/>
          <w:sz w:val="22"/>
          <w:szCs w:val="22"/>
          <w:shd w:val="clear" w:color="auto" w:fill="FFFFFF"/>
        </w:rPr>
        <w:t>w</w:t>
      </w:r>
      <w:r w:rsidR="00251FF2" w:rsidRPr="007E597A">
        <w:rPr>
          <w:rFonts w:asciiTheme="minorHAnsi" w:hAnsiTheme="minorHAnsi" w:cstheme="minorHAnsi"/>
          <w:sz w:val="22"/>
          <w:szCs w:val="22"/>
          <w:shd w:val="clear" w:color="auto" w:fill="FFFFFF"/>
        </w:rPr>
        <w:t>omen who underwent bi</w:t>
      </w:r>
      <w:r w:rsidR="00251FF2" w:rsidRPr="00364372">
        <w:rPr>
          <w:rFonts w:asciiTheme="minorHAnsi" w:hAnsiTheme="minorHAnsi" w:cstheme="minorHAnsi"/>
          <w:sz w:val="22"/>
          <w:szCs w:val="22"/>
          <w:shd w:val="clear" w:color="auto" w:fill="FFFFFF"/>
        </w:rPr>
        <w:t>lateral oophorectomy before</w:t>
      </w:r>
      <w:r w:rsidR="00EF59BA" w:rsidRPr="00364372">
        <w:rPr>
          <w:rFonts w:asciiTheme="minorHAnsi" w:hAnsiTheme="minorHAnsi" w:cstheme="minorHAnsi"/>
          <w:sz w:val="22"/>
          <w:szCs w:val="22"/>
          <w:shd w:val="clear" w:color="auto" w:fill="FFFFFF"/>
        </w:rPr>
        <w:t xml:space="preserve"> the</w:t>
      </w:r>
      <w:r w:rsidR="00251FF2" w:rsidRPr="00364372">
        <w:rPr>
          <w:rFonts w:asciiTheme="minorHAnsi" w:hAnsiTheme="minorHAnsi" w:cstheme="minorHAnsi"/>
          <w:sz w:val="22"/>
          <w:szCs w:val="22"/>
          <w:shd w:val="clear" w:color="auto" w:fill="FFFFFF"/>
        </w:rPr>
        <w:t xml:space="preserve"> age</w:t>
      </w:r>
      <w:r w:rsidR="006870FD" w:rsidRPr="00364372">
        <w:rPr>
          <w:rFonts w:asciiTheme="minorHAnsi" w:hAnsiTheme="minorHAnsi" w:cstheme="minorHAnsi"/>
          <w:sz w:val="22"/>
          <w:szCs w:val="22"/>
          <w:shd w:val="clear" w:color="auto" w:fill="FFFFFF"/>
        </w:rPr>
        <w:t xml:space="preserve"> o</w:t>
      </w:r>
      <w:r w:rsidR="006870FD" w:rsidRPr="00CA3B35">
        <w:rPr>
          <w:rFonts w:asciiTheme="minorHAnsi" w:hAnsiTheme="minorHAnsi" w:cstheme="minorHAnsi"/>
          <w:sz w:val="22"/>
          <w:szCs w:val="22"/>
          <w:shd w:val="clear" w:color="auto" w:fill="FFFFFF"/>
        </w:rPr>
        <w:t>f</w:t>
      </w:r>
      <w:r w:rsidR="00251FF2" w:rsidRPr="00CA3B35">
        <w:rPr>
          <w:rFonts w:asciiTheme="minorHAnsi" w:hAnsiTheme="minorHAnsi" w:cstheme="minorHAnsi"/>
          <w:sz w:val="22"/>
          <w:szCs w:val="22"/>
          <w:shd w:val="clear" w:color="auto" w:fill="FFFFFF"/>
        </w:rPr>
        <w:t xml:space="preserve"> 45 years </w:t>
      </w:r>
      <w:r w:rsidR="00C35232" w:rsidRPr="00CA3B35">
        <w:rPr>
          <w:rFonts w:asciiTheme="minorHAnsi" w:hAnsiTheme="minorHAnsi" w:cstheme="minorHAnsi"/>
          <w:sz w:val="22"/>
          <w:szCs w:val="22"/>
          <w:shd w:val="clear" w:color="auto" w:fill="FFFFFF"/>
        </w:rPr>
        <w:t>had</w:t>
      </w:r>
      <w:r w:rsidR="00251FF2" w:rsidRPr="00CA3B35">
        <w:rPr>
          <w:rFonts w:asciiTheme="minorHAnsi" w:hAnsiTheme="minorHAnsi" w:cstheme="minorHAnsi"/>
          <w:sz w:val="22"/>
          <w:szCs w:val="22"/>
          <w:shd w:val="clear" w:color="auto" w:fill="FFFFFF"/>
        </w:rPr>
        <w:t xml:space="preserve"> an increased mortality associated with </w:t>
      </w:r>
      <w:r w:rsidR="00FD6EB2" w:rsidRPr="00CA3B35">
        <w:rPr>
          <w:rFonts w:asciiTheme="minorHAnsi" w:hAnsiTheme="minorHAnsi" w:cstheme="minorHAnsi"/>
          <w:sz w:val="22"/>
          <w:szCs w:val="22"/>
          <w:shd w:val="clear" w:color="auto" w:fill="FFFFFF"/>
        </w:rPr>
        <w:t>CVD</w:t>
      </w:r>
      <w:r w:rsidR="00251FF2" w:rsidRPr="00CA3B35">
        <w:rPr>
          <w:rFonts w:asciiTheme="minorHAnsi" w:hAnsiTheme="minorHAnsi" w:cstheme="minorHAnsi"/>
          <w:sz w:val="22"/>
          <w:szCs w:val="22"/>
          <w:shd w:val="clear" w:color="auto" w:fill="FFFFFF"/>
        </w:rPr>
        <w:t xml:space="preserve"> compared with </w:t>
      </w:r>
      <w:r w:rsidR="00EF59BA" w:rsidRPr="00CA3B35">
        <w:rPr>
          <w:rFonts w:asciiTheme="minorHAnsi" w:hAnsiTheme="minorHAnsi" w:cstheme="minorHAnsi"/>
          <w:sz w:val="22"/>
          <w:szCs w:val="22"/>
          <w:shd w:val="clear" w:color="auto" w:fill="FFFFFF"/>
        </w:rPr>
        <w:t>age</w:t>
      </w:r>
      <w:r w:rsidR="006870FD" w:rsidRPr="00CA3B35">
        <w:rPr>
          <w:rFonts w:asciiTheme="minorHAnsi" w:hAnsiTheme="minorHAnsi" w:cstheme="minorHAnsi"/>
          <w:sz w:val="22"/>
          <w:szCs w:val="22"/>
          <w:shd w:val="clear" w:color="auto" w:fill="FFFFFF"/>
        </w:rPr>
        <w:t>-</w:t>
      </w:r>
      <w:r w:rsidR="00EF59BA" w:rsidRPr="00ED1FBD">
        <w:rPr>
          <w:rFonts w:asciiTheme="minorHAnsi" w:hAnsiTheme="minorHAnsi" w:cstheme="minorHAnsi"/>
          <w:sz w:val="22"/>
          <w:szCs w:val="22"/>
          <w:shd w:val="clear" w:color="auto" w:fill="FFFFFF"/>
        </w:rPr>
        <w:t>matched control</w:t>
      </w:r>
      <w:r w:rsidR="0050475D" w:rsidRPr="003702D4">
        <w:rPr>
          <w:rFonts w:asciiTheme="minorHAnsi" w:hAnsiTheme="minorHAnsi" w:cstheme="minorHAnsi"/>
          <w:sz w:val="22"/>
          <w:szCs w:val="22"/>
          <w:shd w:val="clear" w:color="auto" w:fill="FFFFFF"/>
        </w:rPr>
        <w:t>s</w:t>
      </w:r>
      <w:r w:rsidR="00251FF2" w:rsidRPr="003702D4">
        <w:rPr>
          <w:rFonts w:asciiTheme="minorHAnsi" w:hAnsiTheme="minorHAnsi" w:cstheme="minorHAnsi"/>
          <w:sz w:val="22"/>
          <w:szCs w:val="22"/>
          <w:shd w:val="clear" w:color="auto" w:fill="FFFFFF"/>
        </w:rPr>
        <w:t xml:space="preserve"> (HR</w:t>
      </w:r>
      <w:r w:rsidR="00B734D7" w:rsidRPr="003702D4">
        <w:rPr>
          <w:rFonts w:asciiTheme="minorHAnsi" w:hAnsiTheme="minorHAnsi" w:cstheme="minorHAnsi"/>
          <w:sz w:val="22"/>
          <w:szCs w:val="22"/>
          <w:shd w:val="clear" w:color="auto" w:fill="FFFFFF"/>
        </w:rPr>
        <w:t>:</w:t>
      </w:r>
      <w:r w:rsidR="00251FF2" w:rsidRPr="003702D4">
        <w:rPr>
          <w:rFonts w:asciiTheme="minorHAnsi" w:hAnsiTheme="minorHAnsi" w:cstheme="minorHAnsi"/>
          <w:sz w:val="22"/>
          <w:szCs w:val="22"/>
          <w:shd w:val="clear" w:color="auto" w:fill="FFFFFF"/>
        </w:rPr>
        <w:t xml:space="preserve"> 1.44</w:t>
      </w:r>
      <w:r w:rsidR="00B734D7" w:rsidRPr="00334B7D">
        <w:rPr>
          <w:rFonts w:asciiTheme="minorHAnsi" w:hAnsiTheme="minorHAnsi" w:cstheme="minorHAnsi"/>
          <w:sz w:val="22"/>
          <w:szCs w:val="22"/>
          <w:shd w:val="clear" w:color="auto" w:fill="FFFFFF"/>
        </w:rPr>
        <w:t>,</w:t>
      </w:r>
      <w:r w:rsidR="00251FF2" w:rsidRPr="00C33834">
        <w:rPr>
          <w:rFonts w:asciiTheme="minorHAnsi" w:hAnsiTheme="minorHAnsi" w:cstheme="minorHAnsi"/>
          <w:sz w:val="22"/>
          <w:szCs w:val="22"/>
          <w:shd w:val="clear" w:color="auto" w:fill="FFFFFF"/>
        </w:rPr>
        <w:t xml:space="preserve"> 95% CI</w:t>
      </w:r>
      <w:r w:rsidR="00B734D7" w:rsidRPr="00C33834">
        <w:rPr>
          <w:rFonts w:asciiTheme="minorHAnsi" w:hAnsiTheme="minorHAnsi" w:cstheme="minorHAnsi"/>
          <w:sz w:val="22"/>
          <w:szCs w:val="22"/>
          <w:shd w:val="clear" w:color="auto" w:fill="FFFFFF"/>
        </w:rPr>
        <w:t>:</w:t>
      </w:r>
      <w:r w:rsidR="00251FF2" w:rsidRPr="004B56F0">
        <w:rPr>
          <w:rFonts w:asciiTheme="minorHAnsi" w:hAnsiTheme="minorHAnsi" w:cstheme="minorHAnsi"/>
          <w:sz w:val="22"/>
          <w:szCs w:val="22"/>
          <w:shd w:val="clear" w:color="auto" w:fill="FFFFFF"/>
        </w:rPr>
        <w:t>1.01–2.05</w:t>
      </w:r>
      <w:r w:rsidR="00B734D7" w:rsidRPr="00391107">
        <w:rPr>
          <w:rFonts w:asciiTheme="minorHAnsi" w:hAnsiTheme="minorHAnsi" w:cstheme="minorHAnsi"/>
          <w:sz w:val="22"/>
          <w:szCs w:val="22"/>
          <w:shd w:val="clear" w:color="auto" w:fill="FFFFFF"/>
        </w:rPr>
        <w:t>,</w:t>
      </w:r>
      <w:r w:rsidR="00251FF2" w:rsidRPr="00541B1F">
        <w:rPr>
          <w:rFonts w:asciiTheme="minorHAnsi" w:hAnsiTheme="minorHAnsi" w:cstheme="minorHAnsi"/>
          <w:sz w:val="22"/>
          <w:szCs w:val="22"/>
          <w:shd w:val="clear" w:color="auto" w:fill="FFFFFF"/>
        </w:rPr>
        <w:t> </w:t>
      </w:r>
      <w:r w:rsidR="007D457B" w:rsidRPr="00897521">
        <w:rPr>
          <w:rStyle w:val="Emphasis"/>
          <w:rFonts w:asciiTheme="minorHAnsi" w:hAnsiTheme="minorHAnsi" w:cstheme="minorHAnsi"/>
          <w:i w:val="0"/>
          <w:iCs w:val="0"/>
          <w:sz w:val="22"/>
          <w:szCs w:val="22"/>
          <w:shd w:val="clear" w:color="auto" w:fill="FFFFFF"/>
        </w:rPr>
        <w:t>p</w:t>
      </w:r>
      <w:r w:rsidR="00251FF2" w:rsidRPr="00897521">
        <w:rPr>
          <w:rFonts w:asciiTheme="minorHAnsi" w:hAnsiTheme="minorHAnsi" w:cstheme="minorHAnsi"/>
          <w:i/>
          <w:iCs/>
          <w:sz w:val="22"/>
          <w:szCs w:val="22"/>
          <w:shd w:val="clear" w:color="auto" w:fill="FFFFFF"/>
        </w:rPr>
        <w:t>=</w:t>
      </w:r>
      <w:r w:rsidR="00251FF2" w:rsidRPr="00897521">
        <w:rPr>
          <w:rFonts w:asciiTheme="minorHAnsi" w:hAnsiTheme="minorHAnsi" w:cstheme="minorHAnsi"/>
          <w:sz w:val="22"/>
          <w:szCs w:val="22"/>
          <w:shd w:val="clear" w:color="auto" w:fill="FFFFFF"/>
        </w:rPr>
        <w:t xml:space="preserve">0.04). </w:t>
      </w:r>
      <w:r w:rsidR="00EF59BA" w:rsidRPr="00897521">
        <w:rPr>
          <w:rFonts w:asciiTheme="minorHAnsi" w:hAnsiTheme="minorHAnsi" w:cstheme="minorHAnsi"/>
          <w:sz w:val="22"/>
          <w:szCs w:val="22"/>
          <w:shd w:val="clear" w:color="auto" w:fill="FFFFFF"/>
        </w:rPr>
        <w:t>Furthermore, those treated with oestrogen replacement</w:t>
      </w:r>
      <w:r w:rsidR="00B734D7" w:rsidRPr="00897521">
        <w:rPr>
          <w:rFonts w:asciiTheme="minorHAnsi" w:hAnsiTheme="minorHAnsi" w:cstheme="minorHAnsi"/>
          <w:sz w:val="22"/>
          <w:szCs w:val="22"/>
          <w:shd w:val="clear" w:color="auto" w:fill="FFFFFF"/>
        </w:rPr>
        <w:t xml:space="preserve"> therapy</w:t>
      </w:r>
      <w:r w:rsidR="00EF59BA" w:rsidRPr="00897521">
        <w:rPr>
          <w:rFonts w:asciiTheme="minorHAnsi" w:hAnsiTheme="minorHAnsi" w:cstheme="minorHAnsi"/>
          <w:sz w:val="22"/>
          <w:szCs w:val="22"/>
          <w:shd w:val="clear" w:color="auto" w:fill="FFFFFF"/>
        </w:rPr>
        <w:t xml:space="preserve"> following surgery and up to the age of 45 years or longer had no </w:t>
      </w:r>
      <w:r w:rsidR="0050475D" w:rsidRPr="00897521">
        <w:rPr>
          <w:rFonts w:asciiTheme="minorHAnsi" w:hAnsiTheme="minorHAnsi" w:cstheme="minorHAnsi"/>
          <w:sz w:val="22"/>
          <w:szCs w:val="22"/>
          <w:shd w:val="clear" w:color="auto" w:fill="FFFFFF"/>
        </w:rPr>
        <w:t>significant</w:t>
      </w:r>
      <w:r w:rsidR="00EF59BA" w:rsidRPr="00897521">
        <w:rPr>
          <w:rFonts w:asciiTheme="minorHAnsi" w:hAnsiTheme="minorHAnsi" w:cstheme="minorHAnsi"/>
          <w:sz w:val="22"/>
          <w:szCs w:val="22"/>
          <w:shd w:val="clear" w:color="auto" w:fill="FFFFFF"/>
        </w:rPr>
        <w:t xml:space="preserve"> increase in mortality compared </w:t>
      </w:r>
      <w:r w:rsidR="006870FD" w:rsidRPr="00897521">
        <w:rPr>
          <w:rFonts w:asciiTheme="minorHAnsi" w:hAnsiTheme="minorHAnsi" w:cstheme="minorHAnsi"/>
          <w:sz w:val="22"/>
          <w:szCs w:val="22"/>
          <w:shd w:val="clear" w:color="auto" w:fill="FFFFFF"/>
        </w:rPr>
        <w:t>with</w:t>
      </w:r>
      <w:r w:rsidR="00EF59BA" w:rsidRPr="00897521">
        <w:rPr>
          <w:rFonts w:asciiTheme="minorHAnsi" w:hAnsiTheme="minorHAnsi" w:cstheme="minorHAnsi"/>
          <w:sz w:val="22"/>
          <w:szCs w:val="22"/>
          <w:shd w:val="clear" w:color="auto" w:fill="FFFFFF"/>
        </w:rPr>
        <w:t xml:space="preserve"> </w:t>
      </w:r>
      <w:r w:rsidR="009860AE" w:rsidRPr="00897521">
        <w:rPr>
          <w:rFonts w:asciiTheme="minorHAnsi" w:hAnsiTheme="minorHAnsi" w:cstheme="minorHAnsi"/>
          <w:sz w:val="22"/>
          <w:szCs w:val="22"/>
          <w:shd w:val="clear" w:color="auto" w:fill="FFFFFF"/>
        </w:rPr>
        <w:t xml:space="preserve">a </w:t>
      </w:r>
      <w:r w:rsidR="00EF59BA" w:rsidRPr="00897521">
        <w:rPr>
          <w:rFonts w:asciiTheme="minorHAnsi" w:hAnsiTheme="minorHAnsi" w:cstheme="minorHAnsi"/>
          <w:sz w:val="22"/>
          <w:szCs w:val="22"/>
          <w:shd w:val="clear" w:color="auto" w:fill="FFFFFF"/>
        </w:rPr>
        <w:t>control</w:t>
      </w:r>
      <w:r w:rsidR="009860AE" w:rsidRPr="00897521">
        <w:rPr>
          <w:rFonts w:asciiTheme="minorHAnsi" w:hAnsiTheme="minorHAnsi" w:cstheme="minorHAnsi"/>
          <w:sz w:val="22"/>
          <w:szCs w:val="22"/>
          <w:shd w:val="clear" w:color="auto" w:fill="FFFFFF"/>
        </w:rPr>
        <w:t xml:space="preserve"> cohort</w:t>
      </w:r>
      <w:r w:rsidR="00EF59BA" w:rsidRPr="00897521">
        <w:rPr>
          <w:rFonts w:asciiTheme="minorHAnsi" w:hAnsiTheme="minorHAnsi" w:cstheme="minorHAnsi"/>
          <w:sz w:val="22"/>
          <w:szCs w:val="22"/>
          <w:shd w:val="clear" w:color="auto" w:fill="FFFFFF"/>
        </w:rPr>
        <w:t xml:space="preserve"> (HR</w:t>
      </w:r>
      <w:r w:rsidR="00B734D7" w:rsidRPr="00897521">
        <w:rPr>
          <w:rFonts w:asciiTheme="minorHAnsi" w:hAnsiTheme="minorHAnsi" w:cstheme="minorHAnsi"/>
          <w:sz w:val="22"/>
          <w:szCs w:val="22"/>
          <w:shd w:val="clear" w:color="auto" w:fill="FFFFFF"/>
        </w:rPr>
        <w:t>:</w:t>
      </w:r>
      <w:r w:rsidR="00EF59BA" w:rsidRPr="00897521">
        <w:rPr>
          <w:rFonts w:asciiTheme="minorHAnsi" w:hAnsiTheme="minorHAnsi" w:cstheme="minorHAnsi"/>
          <w:sz w:val="22"/>
          <w:szCs w:val="22"/>
          <w:shd w:val="clear" w:color="auto" w:fill="FFFFFF"/>
        </w:rPr>
        <w:t xml:space="preserve"> 0.65</w:t>
      </w:r>
      <w:r w:rsidR="00B734D7" w:rsidRPr="00897521">
        <w:rPr>
          <w:rFonts w:asciiTheme="minorHAnsi" w:hAnsiTheme="minorHAnsi" w:cstheme="minorHAnsi"/>
          <w:sz w:val="22"/>
          <w:szCs w:val="22"/>
          <w:shd w:val="clear" w:color="auto" w:fill="FFFFFF"/>
        </w:rPr>
        <w:t>,</w:t>
      </w:r>
      <w:r w:rsidR="00EF59BA" w:rsidRPr="00897521">
        <w:rPr>
          <w:rFonts w:asciiTheme="minorHAnsi" w:hAnsiTheme="minorHAnsi" w:cstheme="minorHAnsi"/>
          <w:sz w:val="22"/>
          <w:szCs w:val="22"/>
          <w:shd w:val="clear" w:color="auto" w:fill="FFFFFF"/>
        </w:rPr>
        <w:t xml:space="preserve"> 95% CI</w:t>
      </w:r>
      <w:r w:rsidR="00B734D7" w:rsidRPr="00897521">
        <w:rPr>
          <w:rFonts w:asciiTheme="minorHAnsi" w:hAnsiTheme="minorHAnsi" w:cstheme="minorHAnsi"/>
          <w:sz w:val="22"/>
          <w:szCs w:val="22"/>
          <w:shd w:val="clear" w:color="auto" w:fill="FFFFFF"/>
        </w:rPr>
        <w:t>:</w:t>
      </w:r>
      <w:r w:rsidR="00EF59BA" w:rsidRPr="00897521">
        <w:rPr>
          <w:rFonts w:asciiTheme="minorHAnsi" w:hAnsiTheme="minorHAnsi" w:cstheme="minorHAnsi"/>
          <w:sz w:val="22"/>
          <w:szCs w:val="22"/>
          <w:shd w:val="clear" w:color="auto" w:fill="FFFFFF"/>
        </w:rPr>
        <w:t>0.30–1.41</w:t>
      </w:r>
      <w:r w:rsidR="00B734D7" w:rsidRPr="00897521">
        <w:rPr>
          <w:rFonts w:asciiTheme="minorHAnsi" w:hAnsiTheme="minorHAnsi" w:cstheme="minorHAnsi"/>
          <w:sz w:val="22"/>
          <w:szCs w:val="22"/>
          <w:shd w:val="clear" w:color="auto" w:fill="FFFFFF"/>
        </w:rPr>
        <w:t>,</w:t>
      </w:r>
      <w:r w:rsidR="00EF59BA" w:rsidRPr="00897521">
        <w:rPr>
          <w:rFonts w:asciiTheme="minorHAnsi" w:hAnsiTheme="minorHAnsi" w:cstheme="minorHAnsi"/>
          <w:sz w:val="22"/>
          <w:szCs w:val="22"/>
          <w:shd w:val="clear" w:color="auto" w:fill="FFFFFF"/>
        </w:rPr>
        <w:t> </w:t>
      </w:r>
      <w:r w:rsidR="007D457B" w:rsidRPr="00897521">
        <w:rPr>
          <w:rFonts w:asciiTheme="minorHAnsi" w:hAnsiTheme="minorHAnsi" w:cstheme="minorHAnsi"/>
          <w:sz w:val="22"/>
          <w:szCs w:val="22"/>
          <w:shd w:val="clear" w:color="auto" w:fill="FFFFFF"/>
        </w:rPr>
        <w:t>p</w:t>
      </w:r>
      <w:r w:rsidR="00EF59BA" w:rsidRPr="00897521">
        <w:rPr>
          <w:rFonts w:asciiTheme="minorHAnsi" w:hAnsiTheme="minorHAnsi" w:cstheme="minorHAnsi"/>
          <w:i/>
          <w:iCs/>
          <w:sz w:val="22"/>
          <w:szCs w:val="22"/>
          <w:shd w:val="clear" w:color="auto" w:fill="FFFFFF"/>
        </w:rPr>
        <w:t>=</w:t>
      </w:r>
      <w:r w:rsidR="00EF59BA" w:rsidRPr="00897521">
        <w:rPr>
          <w:rFonts w:asciiTheme="minorHAnsi" w:hAnsiTheme="minorHAnsi" w:cstheme="minorHAnsi"/>
          <w:sz w:val="22"/>
          <w:szCs w:val="22"/>
          <w:shd w:val="clear" w:color="auto" w:fill="FFFFFF"/>
        </w:rPr>
        <w:t xml:space="preserve">0.28). However, </w:t>
      </w:r>
      <w:r w:rsidR="006870FD" w:rsidRPr="00897521">
        <w:rPr>
          <w:rFonts w:asciiTheme="minorHAnsi" w:hAnsiTheme="minorHAnsi" w:cstheme="minorHAnsi"/>
          <w:sz w:val="22"/>
          <w:szCs w:val="22"/>
          <w:shd w:val="clear" w:color="auto" w:fill="FFFFFF"/>
        </w:rPr>
        <w:t xml:space="preserve">women </w:t>
      </w:r>
      <w:r w:rsidR="00EF59BA" w:rsidRPr="00897521">
        <w:rPr>
          <w:rFonts w:asciiTheme="minorHAnsi" w:hAnsiTheme="minorHAnsi" w:cstheme="minorHAnsi"/>
          <w:sz w:val="22"/>
          <w:szCs w:val="22"/>
          <w:shd w:val="clear" w:color="auto" w:fill="FFFFFF"/>
        </w:rPr>
        <w:t xml:space="preserve">who </w:t>
      </w:r>
      <w:r w:rsidR="0050475D" w:rsidRPr="00897521">
        <w:rPr>
          <w:rFonts w:asciiTheme="minorHAnsi" w:hAnsiTheme="minorHAnsi" w:cstheme="minorHAnsi"/>
          <w:sz w:val="22"/>
          <w:szCs w:val="22"/>
          <w:shd w:val="clear" w:color="auto" w:fill="FFFFFF"/>
        </w:rPr>
        <w:t>had not</w:t>
      </w:r>
      <w:r w:rsidR="00EF59BA" w:rsidRPr="00897521">
        <w:rPr>
          <w:rFonts w:asciiTheme="minorHAnsi" w:hAnsiTheme="minorHAnsi" w:cstheme="minorHAnsi"/>
          <w:sz w:val="22"/>
          <w:szCs w:val="22"/>
          <w:shd w:val="clear" w:color="auto" w:fill="FFFFFF"/>
        </w:rPr>
        <w:t xml:space="preserve"> received oestrogen treatment or did not continue the treatment up to the age of 45 years were noted to have an increased mortality</w:t>
      </w:r>
      <w:r w:rsidR="006870FD" w:rsidRPr="00897521">
        <w:rPr>
          <w:rFonts w:asciiTheme="minorHAnsi" w:hAnsiTheme="minorHAnsi" w:cstheme="minorHAnsi"/>
          <w:sz w:val="22"/>
          <w:szCs w:val="22"/>
          <w:shd w:val="clear" w:color="auto" w:fill="FFFFFF"/>
        </w:rPr>
        <w:t xml:space="preserve"> </w:t>
      </w:r>
      <w:r w:rsidR="007E597A" w:rsidRPr="000242C7">
        <w:rPr>
          <w:rFonts w:asciiTheme="minorHAnsi" w:hAnsiTheme="minorHAnsi" w:cstheme="minorHAnsi"/>
          <w:bCs/>
          <w:color w:val="000000" w:themeColor="text1"/>
          <w:sz w:val="22"/>
          <w:szCs w:val="22"/>
          <w:shd w:val="clear" w:color="auto" w:fill="FFFFFF"/>
        </w:rPr>
        <w:t xml:space="preserve">compared </w:t>
      </w:r>
      <w:r w:rsidR="008025B4">
        <w:rPr>
          <w:rFonts w:asciiTheme="minorHAnsi" w:hAnsiTheme="minorHAnsi" w:cstheme="minorHAnsi"/>
          <w:bCs/>
          <w:color w:val="000000" w:themeColor="text1"/>
          <w:sz w:val="22"/>
          <w:szCs w:val="22"/>
          <w:shd w:val="clear" w:color="auto" w:fill="FFFFFF"/>
        </w:rPr>
        <w:t>with</w:t>
      </w:r>
      <w:r w:rsidR="007E597A" w:rsidRPr="000242C7">
        <w:rPr>
          <w:rFonts w:asciiTheme="minorHAnsi" w:hAnsiTheme="minorHAnsi" w:cstheme="minorHAnsi"/>
          <w:bCs/>
          <w:color w:val="000000" w:themeColor="text1"/>
          <w:sz w:val="22"/>
          <w:szCs w:val="22"/>
          <w:shd w:val="clear" w:color="auto" w:fill="FFFFFF"/>
        </w:rPr>
        <w:t xml:space="preserve"> a referen</w:t>
      </w:r>
      <w:r w:rsidR="008025B4">
        <w:rPr>
          <w:rFonts w:asciiTheme="minorHAnsi" w:hAnsiTheme="minorHAnsi" w:cstheme="minorHAnsi"/>
          <w:bCs/>
          <w:color w:val="000000" w:themeColor="text1"/>
          <w:sz w:val="22"/>
          <w:szCs w:val="22"/>
          <w:shd w:val="clear" w:color="auto" w:fill="FFFFFF"/>
        </w:rPr>
        <w:t>ce</w:t>
      </w:r>
      <w:r w:rsidR="007E597A" w:rsidRPr="000242C7">
        <w:rPr>
          <w:rFonts w:asciiTheme="minorHAnsi" w:hAnsiTheme="minorHAnsi" w:cstheme="minorHAnsi"/>
          <w:bCs/>
          <w:color w:val="000000" w:themeColor="text1"/>
          <w:sz w:val="22"/>
          <w:szCs w:val="22"/>
          <w:shd w:val="clear" w:color="auto" w:fill="FFFFFF"/>
        </w:rPr>
        <w:t xml:space="preserve"> cohort</w:t>
      </w:r>
      <w:r w:rsidR="006870FD" w:rsidRPr="000242C7">
        <w:rPr>
          <w:rFonts w:asciiTheme="minorHAnsi" w:hAnsiTheme="minorHAnsi" w:cstheme="minorHAnsi"/>
          <w:color w:val="000000" w:themeColor="text1"/>
          <w:sz w:val="22"/>
          <w:szCs w:val="22"/>
          <w:shd w:val="clear" w:color="auto" w:fill="FFFFFF"/>
        </w:rPr>
        <w:t xml:space="preserve"> </w:t>
      </w:r>
      <w:r w:rsidR="00251FF2" w:rsidRPr="007E597A">
        <w:rPr>
          <w:rFonts w:asciiTheme="minorHAnsi" w:hAnsiTheme="minorHAnsi" w:cstheme="minorHAnsi"/>
          <w:sz w:val="22"/>
          <w:szCs w:val="22"/>
          <w:shd w:val="clear" w:color="auto" w:fill="FFFFFF"/>
        </w:rPr>
        <w:t>(HR, 1.84; 95% CI, 1.27–2.68; </w:t>
      </w:r>
      <w:r w:rsidR="007D457B" w:rsidRPr="007E597A">
        <w:rPr>
          <w:rStyle w:val="Emphasis"/>
          <w:rFonts w:asciiTheme="minorHAnsi" w:hAnsiTheme="minorHAnsi" w:cstheme="minorHAnsi"/>
          <w:i w:val="0"/>
          <w:iCs w:val="0"/>
          <w:sz w:val="22"/>
          <w:szCs w:val="22"/>
          <w:shd w:val="clear" w:color="auto" w:fill="FFFFFF"/>
        </w:rPr>
        <w:t>p</w:t>
      </w:r>
      <w:r w:rsidR="00251FF2" w:rsidRPr="007E597A">
        <w:rPr>
          <w:rFonts w:asciiTheme="minorHAnsi" w:hAnsiTheme="minorHAnsi" w:cstheme="minorHAnsi"/>
          <w:sz w:val="22"/>
          <w:szCs w:val="22"/>
          <w:shd w:val="clear" w:color="auto" w:fill="FFFFFF"/>
        </w:rPr>
        <w:t>=0.001)</w:t>
      </w:r>
      <w:r w:rsidR="00EF59BA" w:rsidRPr="007E597A">
        <w:rPr>
          <w:rFonts w:asciiTheme="minorHAnsi" w:hAnsiTheme="minorHAnsi" w:cstheme="minorHAnsi"/>
          <w:sz w:val="22"/>
          <w:szCs w:val="22"/>
          <w:shd w:val="clear" w:color="auto" w:fill="FFFFFF"/>
        </w:rPr>
        <w:t>.</w:t>
      </w:r>
      <w:r w:rsidR="0050475D" w:rsidRPr="007E597A">
        <w:rPr>
          <w:rFonts w:asciiTheme="minorHAnsi" w:hAnsiTheme="minorHAnsi" w:cstheme="minorHAnsi"/>
          <w:sz w:val="22"/>
          <w:szCs w:val="22"/>
          <w:shd w:val="clear" w:color="auto" w:fill="FFFFFF"/>
        </w:rPr>
        <w:t xml:space="preserve"> A</w:t>
      </w:r>
      <w:r w:rsidR="00B34118" w:rsidRPr="007E597A">
        <w:rPr>
          <w:rFonts w:asciiTheme="minorHAnsi" w:hAnsiTheme="minorHAnsi" w:cstheme="minorHAnsi"/>
          <w:sz w:val="22"/>
          <w:szCs w:val="22"/>
          <w:shd w:val="clear" w:color="auto" w:fill="FFFFFF"/>
        </w:rPr>
        <w:t xml:space="preserve"> meta-analysis</w:t>
      </w:r>
      <w:r w:rsidR="008717DC" w:rsidRPr="007E597A">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{"citationItems":[{"id":"ITEM-1","itemData":{"DOI":"10.1016/S2468-2667(19)30155-0","ISSN":"24682667","PMID":"31588031","abstract":"Background: Early menopause is linked to an increased risk of cardiovascular disease mortality; however, the association between early menopause and incidence and timing of cardiovascular disease is unclear. We aimed to assess the associations between age at natural menopause and incidence and timing of cardiovascular disease. Methods: We harmonised and pooled individual-level data from 15 observational studies done across five countries and regions (Australia, Scandinavia, the USA, Japan, and the UK) between 1946 and 2013. Women who had reported their menopause status, age at natural menopause (if postmenopausal), and cardiovascular disease status (including coronary heart disease and stroke) were included. We excluded women who had hysterectomy or oophorectomy and women who did not report their age at menopause. The primary endpoint of this study was the occurrence of first non-fatal cardiovascular disease, defined as a composite outcome of incident coronary heart disease (including heart attack and angina) or stroke (including ischaemic stroke or haemorrhagic stroke). We used Cox proportional hazards models to estimate multivariate hazard ratios (HRs) and 95% CIs for the associations between age at menopause and incident cardiovascular disease event. We also adjusted the model to account for smoking status, menopausal hormone therapy status, body-mass index, and education levels. Age at natural menopause was categorised as premenopausal or perimenopausal, younger than 40 years (premature menopause), 40–44 years (early menopause), 45–49 years (relatively early), 50–51 years (reference category), 52–54 years (relatively late), and 55 years or older (late menopause). Findings: Overall, 301 438 women were included in our analysis. Of these 301 438 women, 12 962 (4·3%) had a first non-fatal cardiovascular disease event after menopause, of whom 9369 (3·1%) had coronary heart disease and 4338 (1·4%) had strokes. Compared with women who had menopause at age 50–51 years, the risk of cardiovascular disease was higher in women who had premature menopause (age &lt;40 years; HR 1·55, 95% CI 1·38–1·73; p&lt;0·0001), early menopause (age 40–44 years; 1·30, 1·22–1·39; p&lt;0·0001), and relatively early menopause (age 45–49 years; 1·12, 1·07–1·18; p&lt;0·0001), with a significantly reduced risk of cardiovascular disease following menopause after age 51 years (p&lt;0·0001 for trend). The associations persisted in never smokers, and were strongest before age 60 years for women with p…","author":[{"dropping-particle":"","family":"Zhu","given":"Dongshan","non-dropping-particle":"","parse-names":false,"suffix":""},{"dropping-particle":"","family":"Chung","given":"Hsin Fang","non-dropping-particle":"","parse-names":false,"suffix":""},{"dropping-particle":"","family":"Dobson","given":"Annette J.","non-dropping-particle":"","parse-names":false,"suffix":""},{"dropping-particle":"","family":"Pandeya","given":"Nirmala","non-dropping-particle":"","parse-names":false,"suffix":""},{"dropping-particle":"","family":"Giles","given":"Graham G.","non-dropping-particle":"","parse-names":false,"suffix":""},{"dropping-particle":"","family":"Bruinsma","given":"Fiona","non-dropping-particle":"","parse-names":false,"suffix":""},{"dropping-particle":"","family":"Brunner","given":"Eric J.","non-dropping-particle":"","parse-names":false,"suffix":""},{"dropping-particle":"","family":"Kuh","given":"Diana","non-dropping-particle":"","parse-names":false,"suffix":""},{"dropping-particle":"","family":"Hardy","given":"Rebecca","non-dropping-particle":"","parse-names":false,"suffix":""},{"dropping-particle":"","family":"Avis","given":"Nancy E.","non-dropping-particle":"","parse-names":false,"suffix":""},{"dropping-particle":"","family":"Gold","given":"Ellen B.","non-dropping-particle":"","parse-names":false,"suffix":""},{"dropping-particle":"","family":"Derby","given":"Carol A.","non-dropping-particle":"","parse-names":false,"suffix":""},{"dropping-particle":"","family":"Matthews","given":"Karen A.","non-dropping-particle":"","parse-names":false,"suffix":""},{"dropping-particle":"","family":"Cade","given":"Janet E.","non-dropping-particle":"","parse-names":false,"suffix":""},{"dropping-particle":"","family":"Greenwood","given":"Darren C.","non-dropping-particle":"","parse-names":false,"suffix":""},{"dropping-particle":"","family":"Demakakos","given":"Panayotes","non-dropping-particle":"","parse-names":false,"suffix":""},{"dropping-particle":"","family":"Brown","given":"Daniel E.","non-dropping-particle":"","parse-names":false,"suffix":""},{"dropping-particle":"","family":"Sievert","given":"Lynnette L.","non-dropping-particle":"","parse-names":false,"suffix":""},{"dropping-particle":"","family":"Anderson","given":"Debra","non-dropping-particle":"","parse-names":false,"suffix":""},{"dropping-particle":"","family":"Hayashi","given":"Kunihiko","non-dropping-particle":"","parse-names":false,"suffix":""},{"dropping-particle":"","family":"Lee","given":"Jung Su","non-dropping-particle":"","parse-names":false,"suffix":""},{"dropping-particle":"","family":"Mizunuma","given":"Hideki","non-dropping-particle":"","parse-names":false,"suffix":""},{"dropping-particle":"","family":"Tillin","given":"Therese","non-dropping-particle":"","parse-names":false,"suffix":""},{"dropping-particle":"","family":"Simonsen","given":"Mette Kildevæld","non-dropping-particle":"","parse-names":false,"suffix":""},{"dropping-particle":"","family":"Adami","given":"Hans Olov","non-dropping-particle":"","parse-names":false,"suffix":""},{"dropping-particle":"","family":"Weiderpass","given":"Elisabete","non-dropping-particle":"","parse-names":false,"suffix":""},{"dropping-particle":"","family":"Mishra","given":"Gita D.","non-dropping-particle":"","parse-names":false,"suffix":""}],"container-title":"The Lancet Public Health","id":"ITEM-1","issue":"11","issued":{"date-parts":[["2019"]]},"page":"553-564","title":"Age at natural menopause and risk of incident cardiovascular disease: a pooled analysis of individual patient data","type":"article-journal","volume":"4"},"uris":["http://www.mendeley.com/documents/?uuid=0a0ab479-bcb6-4de4-88a8-208ae35fcded"]}],"mendeley":{"formattedCitation":"(66)","plainTextFormattedCitation":"(66)","previouslyFormattedCitation":"(66)"},"properties":{"noteIndex":0},"schema":"https://github.com/citation-style-language/schema/raw/master/csl-citation.json"}</w:instrText>
      </w:r>
      <w:r w:rsidR="008717DC" w:rsidRPr="007E597A">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(66)</w:t>
      </w:r>
      <w:r w:rsidR="008717DC" w:rsidRPr="007E597A">
        <w:rPr>
          <w:rFonts w:asciiTheme="minorHAnsi" w:hAnsiTheme="minorHAnsi" w:cstheme="minorHAnsi"/>
          <w:sz w:val="22"/>
          <w:szCs w:val="22"/>
          <w:shd w:val="clear" w:color="auto" w:fill="FFFFFF"/>
        </w:rPr>
        <w:fldChar w:fldCharType="end"/>
      </w:r>
      <w:r w:rsidR="00B34118" w:rsidRPr="007E597A">
        <w:rPr>
          <w:rFonts w:asciiTheme="minorHAnsi" w:hAnsiTheme="minorHAnsi" w:cstheme="minorHAnsi"/>
          <w:sz w:val="22"/>
          <w:szCs w:val="22"/>
          <w:shd w:val="clear" w:color="auto" w:fill="FFFFFF"/>
        </w:rPr>
        <w:t xml:space="preserve"> </w:t>
      </w:r>
      <w:r w:rsidR="00005E49" w:rsidRPr="007E597A">
        <w:rPr>
          <w:rFonts w:asciiTheme="minorHAnsi" w:hAnsiTheme="minorHAnsi" w:cstheme="minorHAnsi"/>
          <w:sz w:val="22"/>
          <w:szCs w:val="22"/>
          <w:shd w:val="clear" w:color="auto" w:fill="FFFFFF"/>
        </w:rPr>
        <w:t>reported</w:t>
      </w:r>
      <w:r w:rsidR="00B34118" w:rsidRPr="007E597A">
        <w:rPr>
          <w:rFonts w:asciiTheme="minorHAnsi" w:hAnsiTheme="minorHAnsi" w:cstheme="minorHAnsi"/>
          <w:sz w:val="22"/>
          <w:szCs w:val="22"/>
          <w:shd w:val="clear" w:color="auto" w:fill="FFFFFF"/>
        </w:rPr>
        <w:t xml:space="preserve"> that</w:t>
      </w:r>
      <w:r w:rsidR="00B34118" w:rsidRPr="004B0BC2">
        <w:rPr>
          <w:rFonts w:asciiTheme="minorHAnsi" w:hAnsiTheme="minorHAnsi" w:cstheme="minorHAnsi"/>
          <w:sz w:val="22"/>
          <w:szCs w:val="22"/>
          <w:shd w:val="clear" w:color="auto" w:fill="FFFFFF"/>
        </w:rPr>
        <w:t xml:space="preserve"> the risk of </w:t>
      </w:r>
      <w:r w:rsidR="00FD6EB2" w:rsidRPr="004B0BC2">
        <w:rPr>
          <w:rFonts w:asciiTheme="minorHAnsi" w:hAnsiTheme="minorHAnsi" w:cstheme="minorHAnsi"/>
          <w:sz w:val="22"/>
          <w:szCs w:val="22"/>
          <w:shd w:val="clear" w:color="auto" w:fill="FFFFFF"/>
        </w:rPr>
        <w:t>CVD</w:t>
      </w:r>
      <w:r w:rsidR="00B34118" w:rsidRPr="004B0BC2">
        <w:rPr>
          <w:rFonts w:asciiTheme="minorHAnsi" w:hAnsiTheme="minorHAnsi" w:cstheme="minorHAnsi"/>
          <w:sz w:val="22"/>
          <w:szCs w:val="22"/>
          <w:shd w:val="clear" w:color="auto" w:fill="FFFFFF"/>
        </w:rPr>
        <w:t xml:space="preserve"> was higher in women who had premature menopause (</w:t>
      </w:r>
      <w:r w:rsidR="00B734D7" w:rsidRPr="004B0BC2">
        <w:rPr>
          <w:rFonts w:asciiTheme="minorHAnsi" w:hAnsiTheme="minorHAnsi" w:cstheme="minorHAnsi"/>
          <w:sz w:val="22"/>
          <w:szCs w:val="22"/>
          <w:shd w:val="clear" w:color="auto" w:fill="FFFFFF"/>
        </w:rPr>
        <w:t>defined as</w:t>
      </w:r>
      <w:r w:rsidR="00FD6EB2" w:rsidRPr="004B0BC2">
        <w:rPr>
          <w:rFonts w:asciiTheme="minorHAnsi" w:hAnsiTheme="minorHAnsi" w:cstheme="minorHAnsi"/>
          <w:sz w:val="22"/>
          <w:szCs w:val="22"/>
          <w:shd w:val="clear" w:color="auto" w:fill="FFFFFF"/>
        </w:rPr>
        <w:t xml:space="preserve"> </w:t>
      </w:r>
      <w:r w:rsidR="006870FD">
        <w:rPr>
          <w:rFonts w:asciiTheme="minorHAnsi" w:hAnsiTheme="minorHAnsi" w:cstheme="minorHAnsi"/>
          <w:sz w:val="22"/>
          <w:szCs w:val="22"/>
          <w:shd w:val="clear" w:color="auto" w:fill="FFFFFF"/>
        </w:rPr>
        <w:t>menopause at</w:t>
      </w:r>
      <w:r w:rsidR="00B34118" w:rsidRPr="004B0BC2">
        <w:rPr>
          <w:rFonts w:asciiTheme="minorHAnsi" w:hAnsiTheme="minorHAnsi" w:cstheme="minorHAnsi"/>
          <w:sz w:val="22"/>
          <w:szCs w:val="22"/>
          <w:shd w:val="clear" w:color="auto" w:fill="FFFFFF"/>
        </w:rPr>
        <w:t xml:space="preserve"> &lt;40 years</w:t>
      </w:r>
      <w:r w:rsidR="00B734D7"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 xml:space="preserve"> HR</w:t>
      </w:r>
      <w:r w:rsidR="00B734D7"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 xml:space="preserve"> 1</w:t>
      </w:r>
      <w:r w:rsidR="007D457B"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55, 95% CI</w:t>
      </w:r>
      <w:r w:rsidR="00B734D7"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1</w:t>
      </w:r>
      <w:r w:rsidR="007D457B"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38–1</w:t>
      </w:r>
      <w:r w:rsidR="007D457B"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73</w:t>
      </w:r>
      <w:r w:rsidR="00B734D7"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 xml:space="preserve"> p&lt;0</w:t>
      </w:r>
      <w:r w:rsidR="007D457B" w:rsidRPr="004B0BC2">
        <w:rPr>
          <w:rFonts w:asciiTheme="minorHAnsi" w:hAnsiTheme="minorHAnsi" w:cstheme="minorHAnsi"/>
          <w:sz w:val="22"/>
          <w:szCs w:val="22"/>
          <w:shd w:val="clear" w:color="auto" w:fill="FFFFFF"/>
        </w:rPr>
        <w:t>.</w:t>
      </w:r>
      <w:r w:rsidR="00B34118" w:rsidRPr="004B0BC2">
        <w:rPr>
          <w:rFonts w:asciiTheme="minorHAnsi" w:hAnsiTheme="minorHAnsi" w:cstheme="minorHAnsi"/>
          <w:sz w:val="22"/>
          <w:szCs w:val="22"/>
          <w:shd w:val="clear" w:color="auto" w:fill="FFFFFF"/>
        </w:rPr>
        <w:t xml:space="preserve">0001), </w:t>
      </w:r>
      <w:r w:rsidR="00B34118" w:rsidRPr="00BE690D">
        <w:rPr>
          <w:rFonts w:asciiTheme="minorHAnsi" w:hAnsiTheme="minorHAnsi" w:cstheme="minorHAnsi"/>
          <w:sz w:val="22"/>
          <w:szCs w:val="22"/>
          <w:shd w:val="clear" w:color="auto" w:fill="FFFFFF"/>
        </w:rPr>
        <w:t>early menopause (</w:t>
      </w:r>
      <w:r w:rsidR="00B734D7" w:rsidRPr="00364372">
        <w:rPr>
          <w:rFonts w:asciiTheme="minorHAnsi" w:hAnsiTheme="minorHAnsi" w:cstheme="minorHAnsi"/>
          <w:sz w:val="22"/>
          <w:szCs w:val="22"/>
          <w:shd w:val="clear" w:color="auto" w:fill="FFFFFF"/>
        </w:rPr>
        <w:t>defined as</w:t>
      </w:r>
      <w:r w:rsidR="00FD6EB2" w:rsidRPr="00364372">
        <w:rPr>
          <w:rFonts w:asciiTheme="minorHAnsi" w:hAnsiTheme="minorHAnsi" w:cstheme="minorHAnsi"/>
          <w:sz w:val="22"/>
          <w:szCs w:val="22"/>
          <w:shd w:val="clear" w:color="auto" w:fill="FFFFFF"/>
        </w:rPr>
        <w:t xml:space="preserve"> a</w:t>
      </w:r>
      <w:r w:rsidR="006870FD" w:rsidRPr="00364372">
        <w:rPr>
          <w:rFonts w:asciiTheme="minorHAnsi" w:hAnsiTheme="minorHAnsi" w:cstheme="minorHAnsi"/>
          <w:sz w:val="22"/>
          <w:szCs w:val="22"/>
          <w:shd w:val="clear" w:color="auto" w:fill="FFFFFF"/>
        </w:rPr>
        <w:t>t</w:t>
      </w:r>
      <w:r w:rsidR="00B734D7" w:rsidRPr="00364372">
        <w:rPr>
          <w:rFonts w:asciiTheme="minorHAnsi" w:hAnsiTheme="minorHAnsi" w:cstheme="minorHAnsi"/>
          <w:sz w:val="22"/>
          <w:szCs w:val="22"/>
          <w:shd w:val="clear" w:color="auto" w:fill="FFFFFF"/>
        </w:rPr>
        <w:t xml:space="preserve"> </w:t>
      </w:r>
      <w:r w:rsidR="00B34118" w:rsidRPr="00364372">
        <w:rPr>
          <w:rFonts w:asciiTheme="minorHAnsi" w:hAnsiTheme="minorHAnsi" w:cstheme="minorHAnsi"/>
          <w:sz w:val="22"/>
          <w:szCs w:val="22"/>
          <w:shd w:val="clear" w:color="auto" w:fill="FFFFFF"/>
        </w:rPr>
        <w:t xml:space="preserve">age 40–44 years; </w:t>
      </w:r>
      <w:r w:rsidR="00B734D7" w:rsidRPr="00364372">
        <w:rPr>
          <w:rFonts w:asciiTheme="minorHAnsi" w:hAnsiTheme="minorHAnsi" w:cstheme="minorHAnsi"/>
          <w:sz w:val="22"/>
          <w:szCs w:val="22"/>
          <w:shd w:val="clear" w:color="auto" w:fill="FFFFFF"/>
        </w:rPr>
        <w:t>HR:</w:t>
      </w:r>
      <w:r w:rsidR="00B34118" w:rsidRPr="00364372">
        <w:rPr>
          <w:rFonts w:asciiTheme="minorHAnsi" w:hAnsiTheme="minorHAnsi" w:cstheme="minorHAnsi"/>
          <w:sz w:val="22"/>
          <w:szCs w:val="22"/>
          <w:shd w:val="clear" w:color="auto" w:fill="FFFFFF"/>
        </w:rPr>
        <w:t>1</w:t>
      </w:r>
      <w:r w:rsidR="007D457B" w:rsidRPr="00CA3B35">
        <w:rPr>
          <w:rFonts w:asciiTheme="minorHAnsi" w:hAnsiTheme="minorHAnsi" w:cstheme="minorHAnsi"/>
          <w:sz w:val="22"/>
          <w:szCs w:val="22"/>
          <w:shd w:val="clear" w:color="auto" w:fill="FFFFFF"/>
        </w:rPr>
        <w:t>.</w:t>
      </w:r>
      <w:r w:rsidR="00B34118" w:rsidRPr="00CA3B35">
        <w:rPr>
          <w:rFonts w:asciiTheme="minorHAnsi" w:hAnsiTheme="minorHAnsi" w:cstheme="minorHAnsi"/>
          <w:sz w:val="22"/>
          <w:szCs w:val="22"/>
          <w:shd w:val="clear" w:color="auto" w:fill="FFFFFF"/>
        </w:rPr>
        <w:t>30, 1</w:t>
      </w:r>
      <w:r w:rsidR="007D457B" w:rsidRPr="00CA3B35">
        <w:rPr>
          <w:rFonts w:asciiTheme="minorHAnsi" w:hAnsiTheme="minorHAnsi" w:cstheme="minorHAnsi"/>
          <w:sz w:val="22"/>
          <w:szCs w:val="22"/>
          <w:shd w:val="clear" w:color="auto" w:fill="FFFFFF"/>
        </w:rPr>
        <w:t>.</w:t>
      </w:r>
      <w:r w:rsidR="00B34118" w:rsidRPr="00CA3B35">
        <w:rPr>
          <w:rFonts w:asciiTheme="minorHAnsi" w:hAnsiTheme="minorHAnsi" w:cstheme="minorHAnsi"/>
          <w:sz w:val="22"/>
          <w:szCs w:val="22"/>
          <w:shd w:val="clear" w:color="auto" w:fill="FFFFFF"/>
        </w:rPr>
        <w:t>22–1</w:t>
      </w:r>
      <w:r w:rsidR="007D457B" w:rsidRPr="00CA3B35">
        <w:rPr>
          <w:rFonts w:asciiTheme="minorHAnsi" w:hAnsiTheme="minorHAnsi" w:cstheme="minorHAnsi"/>
          <w:sz w:val="22"/>
          <w:szCs w:val="22"/>
          <w:shd w:val="clear" w:color="auto" w:fill="FFFFFF"/>
        </w:rPr>
        <w:t>.</w:t>
      </w:r>
      <w:r w:rsidR="00B34118" w:rsidRPr="00CA3B35">
        <w:rPr>
          <w:rFonts w:asciiTheme="minorHAnsi" w:hAnsiTheme="minorHAnsi" w:cstheme="minorHAnsi"/>
          <w:sz w:val="22"/>
          <w:szCs w:val="22"/>
          <w:shd w:val="clear" w:color="auto" w:fill="FFFFFF"/>
        </w:rPr>
        <w:t>39; p&lt;0</w:t>
      </w:r>
      <w:r w:rsidR="007D457B" w:rsidRPr="00CA3B35">
        <w:rPr>
          <w:rFonts w:asciiTheme="minorHAnsi" w:hAnsiTheme="minorHAnsi" w:cstheme="minorHAnsi"/>
          <w:sz w:val="22"/>
          <w:szCs w:val="22"/>
          <w:shd w:val="clear" w:color="auto" w:fill="FFFFFF"/>
        </w:rPr>
        <w:t>.</w:t>
      </w:r>
      <w:r w:rsidR="00B34118" w:rsidRPr="00CA3B35">
        <w:rPr>
          <w:rFonts w:asciiTheme="minorHAnsi" w:hAnsiTheme="minorHAnsi" w:cstheme="minorHAnsi"/>
          <w:sz w:val="22"/>
          <w:szCs w:val="22"/>
          <w:shd w:val="clear" w:color="auto" w:fill="FFFFFF"/>
        </w:rPr>
        <w:t>0001), and rela</w:t>
      </w:r>
      <w:r w:rsidR="00B34118" w:rsidRPr="00ED1FBD">
        <w:rPr>
          <w:rFonts w:asciiTheme="minorHAnsi" w:hAnsiTheme="minorHAnsi" w:cstheme="minorHAnsi"/>
          <w:sz w:val="22"/>
          <w:szCs w:val="22"/>
          <w:shd w:val="clear" w:color="auto" w:fill="FFFFFF"/>
        </w:rPr>
        <w:t>tively early menopause (</w:t>
      </w:r>
      <w:r w:rsidR="00FD6EB2" w:rsidRPr="00ED1FBD">
        <w:rPr>
          <w:rFonts w:asciiTheme="minorHAnsi" w:hAnsiTheme="minorHAnsi" w:cstheme="minorHAnsi"/>
          <w:sz w:val="22"/>
          <w:szCs w:val="22"/>
          <w:shd w:val="clear" w:color="auto" w:fill="FFFFFF"/>
        </w:rPr>
        <w:t>defined as a</w:t>
      </w:r>
      <w:r w:rsidR="006870FD" w:rsidRPr="003702D4">
        <w:rPr>
          <w:rFonts w:asciiTheme="minorHAnsi" w:hAnsiTheme="minorHAnsi" w:cstheme="minorHAnsi"/>
          <w:sz w:val="22"/>
          <w:szCs w:val="22"/>
          <w:shd w:val="clear" w:color="auto" w:fill="FFFFFF"/>
        </w:rPr>
        <w:t>t</w:t>
      </w:r>
      <w:r w:rsidR="00FD6EB2" w:rsidRPr="003702D4">
        <w:rPr>
          <w:rFonts w:asciiTheme="minorHAnsi" w:hAnsiTheme="minorHAnsi" w:cstheme="minorHAnsi"/>
          <w:sz w:val="22"/>
          <w:szCs w:val="22"/>
          <w:shd w:val="clear" w:color="auto" w:fill="FFFFFF"/>
        </w:rPr>
        <w:t xml:space="preserve"> </w:t>
      </w:r>
      <w:r w:rsidR="00B34118" w:rsidRPr="003702D4">
        <w:rPr>
          <w:rFonts w:asciiTheme="minorHAnsi" w:hAnsiTheme="minorHAnsi" w:cstheme="minorHAnsi"/>
          <w:sz w:val="22"/>
          <w:szCs w:val="22"/>
          <w:shd w:val="clear" w:color="auto" w:fill="FFFFFF"/>
        </w:rPr>
        <w:t xml:space="preserve">age 45–49 years; </w:t>
      </w:r>
      <w:r w:rsidR="00B734D7" w:rsidRPr="003702D4">
        <w:rPr>
          <w:rFonts w:asciiTheme="minorHAnsi" w:hAnsiTheme="minorHAnsi" w:cstheme="minorHAnsi"/>
          <w:sz w:val="22"/>
          <w:szCs w:val="22"/>
          <w:shd w:val="clear" w:color="auto" w:fill="FFFFFF"/>
        </w:rPr>
        <w:t>HR:</w:t>
      </w:r>
      <w:r w:rsidR="00B34118" w:rsidRPr="00334B7D">
        <w:rPr>
          <w:rFonts w:asciiTheme="minorHAnsi" w:hAnsiTheme="minorHAnsi" w:cstheme="minorHAnsi"/>
          <w:sz w:val="22"/>
          <w:szCs w:val="22"/>
          <w:shd w:val="clear" w:color="auto" w:fill="FFFFFF"/>
        </w:rPr>
        <w:t>1</w:t>
      </w:r>
      <w:r w:rsidR="007D457B" w:rsidRPr="00C33834">
        <w:rPr>
          <w:rFonts w:asciiTheme="minorHAnsi" w:hAnsiTheme="minorHAnsi" w:cstheme="minorHAnsi"/>
          <w:sz w:val="22"/>
          <w:szCs w:val="22"/>
          <w:shd w:val="clear" w:color="auto" w:fill="FFFFFF"/>
        </w:rPr>
        <w:t>.</w:t>
      </w:r>
      <w:r w:rsidR="00B34118" w:rsidRPr="00C33834">
        <w:rPr>
          <w:rFonts w:asciiTheme="minorHAnsi" w:hAnsiTheme="minorHAnsi" w:cstheme="minorHAnsi"/>
          <w:sz w:val="22"/>
          <w:szCs w:val="22"/>
          <w:shd w:val="clear" w:color="auto" w:fill="FFFFFF"/>
        </w:rPr>
        <w:t>12, 1</w:t>
      </w:r>
      <w:r w:rsidR="007D457B" w:rsidRPr="004B56F0">
        <w:rPr>
          <w:rFonts w:asciiTheme="minorHAnsi" w:hAnsiTheme="minorHAnsi" w:cstheme="minorHAnsi"/>
          <w:sz w:val="22"/>
          <w:szCs w:val="22"/>
          <w:shd w:val="clear" w:color="auto" w:fill="FFFFFF"/>
        </w:rPr>
        <w:t>.</w:t>
      </w:r>
      <w:r w:rsidR="00B34118" w:rsidRPr="00391107">
        <w:rPr>
          <w:rFonts w:asciiTheme="minorHAnsi" w:hAnsiTheme="minorHAnsi" w:cstheme="minorHAnsi"/>
          <w:sz w:val="22"/>
          <w:szCs w:val="22"/>
          <w:shd w:val="clear" w:color="auto" w:fill="FFFFFF"/>
        </w:rPr>
        <w:t>07–1</w:t>
      </w:r>
      <w:r w:rsidR="007D457B" w:rsidRPr="00541B1F">
        <w:rPr>
          <w:rFonts w:asciiTheme="minorHAnsi" w:hAnsiTheme="minorHAnsi" w:cstheme="minorHAnsi"/>
          <w:sz w:val="22"/>
          <w:szCs w:val="22"/>
          <w:shd w:val="clear" w:color="auto" w:fill="FFFFFF"/>
        </w:rPr>
        <w:t>.</w:t>
      </w:r>
      <w:r w:rsidR="00B34118" w:rsidRPr="00897521">
        <w:rPr>
          <w:rFonts w:asciiTheme="minorHAnsi" w:hAnsiTheme="minorHAnsi" w:cstheme="minorHAnsi"/>
          <w:sz w:val="22"/>
          <w:szCs w:val="22"/>
          <w:shd w:val="clear" w:color="auto" w:fill="FFFFFF"/>
        </w:rPr>
        <w:t>18; p&lt;0</w:t>
      </w:r>
      <w:r w:rsidR="007D457B" w:rsidRPr="00897521">
        <w:rPr>
          <w:rFonts w:asciiTheme="minorHAnsi" w:hAnsiTheme="minorHAnsi" w:cstheme="minorHAnsi"/>
          <w:sz w:val="22"/>
          <w:szCs w:val="22"/>
          <w:shd w:val="clear" w:color="auto" w:fill="FFFFFF"/>
        </w:rPr>
        <w:t>.</w:t>
      </w:r>
      <w:r w:rsidR="00B34118" w:rsidRPr="00897521">
        <w:rPr>
          <w:rFonts w:asciiTheme="minorHAnsi" w:hAnsiTheme="minorHAnsi" w:cstheme="minorHAnsi"/>
          <w:sz w:val="22"/>
          <w:szCs w:val="22"/>
          <w:shd w:val="clear" w:color="auto" w:fill="FFFFFF"/>
        </w:rPr>
        <w:t xml:space="preserve">0001), </w:t>
      </w:r>
      <w:r w:rsidR="00385D45" w:rsidRPr="00897521">
        <w:rPr>
          <w:rFonts w:asciiTheme="minorHAnsi" w:hAnsiTheme="minorHAnsi" w:cstheme="minorHAnsi"/>
          <w:sz w:val="22"/>
          <w:szCs w:val="22"/>
          <w:shd w:val="clear" w:color="auto" w:fill="FFFFFF"/>
        </w:rPr>
        <w:t xml:space="preserve">compared </w:t>
      </w:r>
      <w:r w:rsidR="006870FD" w:rsidRPr="00897521">
        <w:rPr>
          <w:rFonts w:asciiTheme="minorHAnsi" w:hAnsiTheme="minorHAnsi" w:cstheme="minorHAnsi"/>
          <w:sz w:val="22"/>
          <w:szCs w:val="22"/>
          <w:shd w:val="clear" w:color="auto" w:fill="FFFFFF"/>
        </w:rPr>
        <w:t>with</w:t>
      </w:r>
      <w:r w:rsidR="00385D45" w:rsidRPr="00897521">
        <w:rPr>
          <w:rFonts w:asciiTheme="minorHAnsi" w:hAnsiTheme="minorHAnsi" w:cstheme="minorHAnsi"/>
          <w:sz w:val="22"/>
          <w:szCs w:val="22"/>
          <w:shd w:val="clear" w:color="auto" w:fill="FFFFFF"/>
        </w:rPr>
        <w:t xml:space="preserve"> those who underwent</w:t>
      </w:r>
      <w:r w:rsidR="00B34118" w:rsidRPr="00897521">
        <w:rPr>
          <w:rFonts w:asciiTheme="minorHAnsi" w:hAnsiTheme="minorHAnsi" w:cstheme="minorHAnsi"/>
          <w:sz w:val="22"/>
          <w:szCs w:val="22"/>
          <w:shd w:val="clear" w:color="auto" w:fill="FFFFFF"/>
        </w:rPr>
        <w:t xml:space="preserve"> menopause </w:t>
      </w:r>
      <w:r w:rsidR="00B34118" w:rsidRPr="00721ACC">
        <w:rPr>
          <w:rFonts w:asciiTheme="minorHAnsi" w:hAnsiTheme="minorHAnsi" w:cstheme="minorHAnsi"/>
          <w:sz w:val="22"/>
          <w:szCs w:val="22"/>
          <w:shd w:val="clear" w:color="auto" w:fill="FFFFFF"/>
        </w:rPr>
        <w:t>age</w:t>
      </w:r>
      <w:r w:rsidR="004D6819">
        <w:rPr>
          <w:rFonts w:asciiTheme="minorHAnsi" w:hAnsiTheme="minorHAnsi" w:cstheme="minorHAnsi"/>
          <w:sz w:val="22"/>
          <w:szCs w:val="22"/>
          <w:shd w:val="clear" w:color="auto" w:fill="FFFFFF"/>
        </w:rPr>
        <w:t>d</w:t>
      </w:r>
      <w:r w:rsidR="00B34118" w:rsidRPr="00721ACC">
        <w:rPr>
          <w:rFonts w:asciiTheme="minorHAnsi" w:hAnsiTheme="minorHAnsi" w:cstheme="minorHAnsi"/>
          <w:sz w:val="22"/>
          <w:szCs w:val="22"/>
          <w:shd w:val="clear" w:color="auto" w:fill="FFFFFF"/>
        </w:rPr>
        <w:t xml:space="preserve"> </w:t>
      </w:r>
      <w:r w:rsidR="00BE690D" w:rsidRPr="00897521">
        <w:rPr>
          <w:rFonts w:asciiTheme="minorHAnsi" w:hAnsiTheme="minorHAnsi" w:cstheme="minorHAnsi"/>
          <w:sz w:val="22"/>
          <w:szCs w:val="22"/>
          <w:shd w:val="clear" w:color="auto" w:fill="FFFFFF"/>
        </w:rPr>
        <w:t>5</w:t>
      </w:r>
      <w:r w:rsidR="00BE690D">
        <w:rPr>
          <w:rFonts w:asciiTheme="minorHAnsi" w:hAnsiTheme="minorHAnsi" w:cstheme="minorHAnsi"/>
          <w:sz w:val="22"/>
          <w:szCs w:val="22"/>
          <w:shd w:val="clear" w:color="auto" w:fill="FFFFFF"/>
        </w:rPr>
        <w:t>0</w:t>
      </w:r>
      <w:r w:rsidR="008025B4">
        <w:rPr>
          <w:rFonts w:asciiTheme="minorHAnsi" w:hAnsiTheme="minorHAnsi" w:cstheme="minorHAnsi"/>
          <w:sz w:val="22"/>
          <w:szCs w:val="22"/>
          <w:shd w:val="clear" w:color="auto" w:fill="FFFFFF"/>
        </w:rPr>
        <w:t>–</w:t>
      </w:r>
      <w:r w:rsidR="00721ACC">
        <w:rPr>
          <w:rFonts w:asciiTheme="minorHAnsi" w:hAnsiTheme="minorHAnsi" w:cstheme="minorHAnsi"/>
          <w:sz w:val="22"/>
          <w:szCs w:val="22"/>
          <w:shd w:val="clear" w:color="auto" w:fill="FFFFFF"/>
        </w:rPr>
        <w:t>51</w:t>
      </w:r>
      <w:r w:rsidR="00BE690D" w:rsidRPr="00BE690D">
        <w:rPr>
          <w:rFonts w:asciiTheme="minorHAnsi" w:hAnsiTheme="minorHAnsi" w:cstheme="minorHAnsi"/>
          <w:sz w:val="22"/>
          <w:szCs w:val="22"/>
          <w:shd w:val="clear" w:color="auto" w:fill="FFFFFF"/>
        </w:rPr>
        <w:t xml:space="preserve"> </w:t>
      </w:r>
      <w:r w:rsidR="00B34118" w:rsidRPr="00BE690D">
        <w:rPr>
          <w:rFonts w:asciiTheme="minorHAnsi" w:hAnsiTheme="minorHAnsi" w:cstheme="minorHAnsi"/>
          <w:sz w:val="22"/>
          <w:szCs w:val="22"/>
          <w:shd w:val="clear" w:color="auto" w:fill="FFFFFF"/>
        </w:rPr>
        <w:t>years</w:t>
      </w:r>
      <w:r w:rsidR="00721ACC">
        <w:rPr>
          <w:rFonts w:asciiTheme="minorHAnsi" w:hAnsiTheme="minorHAnsi" w:cstheme="minorHAnsi"/>
          <w:sz w:val="22"/>
          <w:szCs w:val="22"/>
          <w:shd w:val="clear" w:color="auto" w:fill="FFFFFF"/>
        </w:rPr>
        <w:t>.</w:t>
      </w:r>
      <w:r w:rsidR="006870FD" w:rsidRPr="00721ACC">
        <w:rPr>
          <w:rFonts w:asciiTheme="minorHAnsi" w:hAnsiTheme="minorHAnsi" w:cstheme="minorHAnsi"/>
          <w:sz w:val="22"/>
          <w:szCs w:val="22"/>
          <w:shd w:val="clear" w:color="auto" w:fill="FFFFFF"/>
        </w:rPr>
        <w:t xml:space="preserve"> </w:t>
      </w:r>
      <w:r w:rsidR="00D065B6" w:rsidRPr="004B0BC2">
        <w:rPr>
          <w:rFonts w:asciiTheme="minorHAnsi" w:hAnsiTheme="minorHAnsi" w:cstheme="minorHAnsi"/>
          <w:sz w:val="22"/>
          <w:szCs w:val="22"/>
          <w:shd w:val="clear" w:color="auto" w:fill="FFFFFF"/>
        </w:rPr>
        <w:t>Oestrogen has been observed to stimulate vasodilation and maintain endothelial integrity in vascular injury</w:t>
      </w:r>
      <w:r w:rsidR="009860AE">
        <w:rPr>
          <w:rFonts w:asciiTheme="minorHAnsi" w:hAnsiTheme="minorHAnsi" w:cstheme="minorHAnsi"/>
          <w:sz w:val="22"/>
          <w:szCs w:val="22"/>
          <w:shd w:val="clear" w:color="auto" w:fill="FFFFFF"/>
        </w:rPr>
        <w:t>,</w:t>
      </w:r>
      <w:r w:rsidR="00D065B6" w:rsidRPr="004B0BC2">
        <w:rPr>
          <w:rFonts w:asciiTheme="minorHAnsi" w:hAnsiTheme="minorHAnsi" w:cstheme="minorHAnsi"/>
          <w:sz w:val="22"/>
          <w:szCs w:val="22"/>
          <w:shd w:val="clear" w:color="auto" w:fill="FFFFFF"/>
        </w:rPr>
        <w:t xml:space="preserve"> preventing the development of </w:t>
      </w:r>
      <w:r w:rsidR="00005E49" w:rsidRPr="004B0BC2">
        <w:rPr>
          <w:rFonts w:asciiTheme="minorHAnsi" w:hAnsiTheme="minorHAnsi" w:cstheme="minorHAnsi"/>
          <w:sz w:val="22"/>
          <w:szCs w:val="22"/>
          <w:shd w:val="clear" w:color="auto" w:fill="FFFFFF"/>
        </w:rPr>
        <w:t>atherosclerotic</w:t>
      </w:r>
      <w:r w:rsidR="00D065B6" w:rsidRPr="004B0BC2">
        <w:rPr>
          <w:rFonts w:asciiTheme="minorHAnsi" w:hAnsiTheme="minorHAnsi" w:cstheme="minorHAnsi"/>
          <w:sz w:val="22"/>
          <w:szCs w:val="22"/>
          <w:shd w:val="clear" w:color="auto" w:fill="FFFFFF"/>
        </w:rPr>
        <w:t xml:space="preserve"> plaques</w:t>
      </w:r>
      <w:r w:rsidR="00D065B6"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{"citationItems":[{"id":"ITEM-1","itemData":{"DOI":"10.1056/NEJM199906103402306","ISSN":"0028-4793","author":[{"dropping-particle":"","family":"Mendelsohn","given":"Michael E.","non-dropping-particle":"","parse-names":false,"suffix":""},{"dropping-particle":"","family":"Karas","given":"Richard H.","non-dropping-particle":"","parse-names":false,"suffix":""}],"container-title":"New England Journal of Medicine","id":"ITEM-1","issue":"23","issued":{"date-parts":[["1999"]]},"page":"1801-1811","title":"The Protective Effects of Estrogen on the Cardiovascular System","type":"article-journal","volume":"340"},"uris":["http://www.mendeley.com/documents/?uuid=3e501af2-efee-3310-90c2-55be72e665cc"]}],"mendeley":{"formattedCitation":"(67)","plainTextFormattedCitation":"(67)","previouslyFormattedCitation":"(67)"},"properties":{"noteIndex":0},"schema":"https://github.com/citation-style-language/schema/raw/master/csl-citation.json"}</w:instrText>
      </w:r>
      <w:r w:rsidR="00D065B6"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(67)</w:t>
      </w:r>
      <w:r w:rsidR="00D065B6" w:rsidRPr="004B0BC2">
        <w:rPr>
          <w:rFonts w:asciiTheme="minorHAnsi" w:hAnsiTheme="minorHAnsi" w:cstheme="minorHAnsi"/>
          <w:sz w:val="22"/>
          <w:szCs w:val="22"/>
          <w:shd w:val="clear" w:color="auto" w:fill="FFFFFF"/>
        </w:rPr>
        <w:fldChar w:fldCharType="end"/>
      </w:r>
      <w:r w:rsidR="00D065B6" w:rsidRPr="004B0BC2">
        <w:rPr>
          <w:rFonts w:asciiTheme="minorHAnsi" w:hAnsiTheme="minorHAnsi" w:cstheme="minorHAnsi"/>
          <w:sz w:val="22"/>
          <w:szCs w:val="22"/>
          <w:shd w:val="clear" w:color="auto" w:fill="FFFFFF"/>
        </w:rPr>
        <w:t>. Given that atherosclerosis is a chronic process</w:t>
      </w:r>
      <w:r w:rsidR="007D457B" w:rsidRPr="004B0BC2">
        <w:rPr>
          <w:rFonts w:asciiTheme="minorHAnsi" w:hAnsiTheme="minorHAnsi" w:cstheme="minorHAnsi"/>
          <w:sz w:val="22"/>
          <w:szCs w:val="22"/>
          <w:shd w:val="clear" w:color="auto" w:fill="FFFFFF"/>
        </w:rPr>
        <w:t>,</w:t>
      </w:r>
      <w:r w:rsidR="00D065B6" w:rsidRPr="004B0BC2">
        <w:rPr>
          <w:rFonts w:asciiTheme="minorHAnsi" w:hAnsiTheme="minorHAnsi" w:cstheme="minorHAnsi"/>
          <w:sz w:val="22"/>
          <w:szCs w:val="22"/>
          <w:shd w:val="clear" w:color="auto" w:fill="FFFFFF"/>
        </w:rPr>
        <w:t xml:space="preserve"> it is not su</w:t>
      </w:r>
      <w:r w:rsidR="007D457B" w:rsidRPr="004B0BC2">
        <w:rPr>
          <w:rFonts w:asciiTheme="minorHAnsi" w:hAnsiTheme="minorHAnsi" w:cstheme="minorHAnsi"/>
          <w:sz w:val="22"/>
          <w:szCs w:val="22"/>
          <w:shd w:val="clear" w:color="auto" w:fill="FFFFFF"/>
        </w:rPr>
        <w:t>r</w:t>
      </w:r>
      <w:r w:rsidR="00D065B6" w:rsidRPr="004B0BC2">
        <w:rPr>
          <w:rFonts w:asciiTheme="minorHAnsi" w:hAnsiTheme="minorHAnsi" w:cstheme="minorHAnsi"/>
          <w:sz w:val="22"/>
          <w:szCs w:val="22"/>
          <w:shd w:val="clear" w:color="auto" w:fill="FFFFFF"/>
        </w:rPr>
        <w:t>pri</w:t>
      </w:r>
      <w:r w:rsidR="008717DC" w:rsidRPr="004B0BC2">
        <w:rPr>
          <w:rFonts w:asciiTheme="minorHAnsi" w:hAnsiTheme="minorHAnsi" w:cstheme="minorHAnsi"/>
          <w:sz w:val="22"/>
          <w:szCs w:val="22"/>
          <w:shd w:val="clear" w:color="auto" w:fill="FFFFFF"/>
        </w:rPr>
        <w:t>si</w:t>
      </w:r>
      <w:r w:rsidR="00D065B6" w:rsidRPr="004B0BC2">
        <w:rPr>
          <w:rFonts w:asciiTheme="minorHAnsi" w:hAnsiTheme="minorHAnsi" w:cstheme="minorHAnsi"/>
          <w:sz w:val="22"/>
          <w:szCs w:val="22"/>
          <w:shd w:val="clear" w:color="auto" w:fill="FFFFFF"/>
        </w:rPr>
        <w:t>ng that early menopause is associated with CVD. Hence, oestrogen m</w:t>
      </w:r>
      <w:r w:rsidR="009860AE">
        <w:rPr>
          <w:rFonts w:asciiTheme="minorHAnsi" w:hAnsiTheme="minorHAnsi" w:cstheme="minorHAnsi"/>
          <w:sz w:val="22"/>
          <w:szCs w:val="22"/>
          <w:shd w:val="clear" w:color="auto" w:fill="FFFFFF"/>
        </w:rPr>
        <w:t xml:space="preserve">ight </w:t>
      </w:r>
      <w:r w:rsidR="00D065B6" w:rsidRPr="004B0BC2">
        <w:rPr>
          <w:rFonts w:asciiTheme="minorHAnsi" w:hAnsiTheme="minorHAnsi" w:cstheme="minorHAnsi"/>
          <w:sz w:val="22"/>
          <w:szCs w:val="22"/>
          <w:shd w:val="clear" w:color="auto" w:fill="FFFFFF"/>
        </w:rPr>
        <w:t>be cardioprotective for women and</w:t>
      </w:r>
      <w:r w:rsidR="009860AE">
        <w:rPr>
          <w:rFonts w:asciiTheme="minorHAnsi" w:hAnsiTheme="minorHAnsi" w:cstheme="minorHAnsi"/>
          <w:sz w:val="22"/>
          <w:szCs w:val="22"/>
          <w:shd w:val="clear" w:color="auto" w:fill="FFFFFF"/>
        </w:rPr>
        <w:t>,</w:t>
      </w:r>
      <w:r w:rsidR="00D065B6" w:rsidRPr="004B0BC2">
        <w:rPr>
          <w:rFonts w:asciiTheme="minorHAnsi" w:hAnsiTheme="minorHAnsi" w:cstheme="minorHAnsi"/>
          <w:sz w:val="22"/>
          <w:szCs w:val="22"/>
          <w:shd w:val="clear" w:color="auto" w:fill="FFFFFF"/>
        </w:rPr>
        <w:t xml:space="preserve"> th</w:t>
      </w:r>
      <w:r w:rsidR="009860AE">
        <w:rPr>
          <w:rFonts w:asciiTheme="minorHAnsi" w:hAnsiTheme="minorHAnsi" w:cstheme="minorHAnsi"/>
          <w:sz w:val="22"/>
          <w:szCs w:val="22"/>
          <w:shd w:val="clear" w:color="auto" w:fill="FFFFFF"/>
        </w:rPr>
        <w:t>erefore,</w:t>
      </w:r>
      <w:r w:rsidR="00D065B6" w:rsidRPr="004B0BC2">
        <w:rPr>
          <w:rFonts w:asciiTheme="minorHAnsi" w:hAnsiTheme="minorHAnsi" w:cstheme="minorHAnsi"/>
          <w:sz w:val="22"/>
          <w:szCs w:val="22"/>
          <w:shd w:val="clear" w:color="auto" w:fill="FFFFFF"/>
        </w:rPr>
        <w:t xml:space="preserve"> make men more susceptible to CVD.</w:t>
      </w:r>
      <w:r w:rsidR="003C11E1">
        <w:rPr>
          <w:rFonts w:asciiTheme="minorHAnsi" w:hAnsiTheme="minorHAnsi" w:cstheme="minorHAnsi"/>
          <w:sz w:val="22"/>
          <w:szCs w:val="22"/>
          <w:shd w:val="clear" w:color="auto" w:fill="FFFFFF"/>
        </w:rPr>
        <w:t xml:space="preserve"> </w:t>
      </w:r>
    </w:p>
    <w:p w14:paraId="5EE8D3B0" w14:textId="77777777" w:rsidR="000D6E0A" w:rsidRPr="004B0BC2" w:rsidRDefault="000D6E0A" w:rsidP="00B66369">
      <w:pPr>
        <w:spacing w:line="480" w:lineRule="auto"/>
        <w:rPr>
          <w:rFonts w:asciiTheme="minorHAnsi" w:hAnsiTheme="minorHAnsi" w:cstheme="minorHAnsi"/>
          <w:b/>
          <w:bCs/>
          <w:sz w:val="22"/>
          <w:szCs w:val="22"/>
          <w:u w:val="single"/>
          <w:shd w:val="clear" w:color="auto" w:fill="FFFFFF"/>
        </w:rPr>
      </w:pPr>
    </w:p>
    <w:p w14:paraId="041AF9BC" w14:textId="08E1CB00" w:rsidR="00A52AE0" w:rsidRPr="004B0BC2" w:rsidRDefault="003276FA" w:rsidP="00B66369">
      <w:pPr>
        <w:pStyle w:val="NoSpacing"/>
        <w:shd w:val="clear" w:color="auto" w:fill="FFFFFF" w:themeFill="background1"/>
        <w:spacing w:line="480" w:lineRule="auto"/>
        <w:rPr>
          <w:rFonts w:cstheme="minorHAnsi"/>
          <w:sz w:val="22"/>
          <w:szCs w:val="22"/>
          <w:shd w:val="clear" w:color="auto" w:fill="FFFFFF"/>
        </w:rPr>
      </w:pPr>
      <w:r>
        <w:rPr>
          <w:rFonts w:cstheme="minorHAnsi"/>
          <w:sz w:val="22"/>
          <w:szCs w:val="22"/>
          <w:shd w:val="clear" w:color="auto" w:fill="FFFFFF"/>
        </w:rPr>
        <w:t>Thus, overall</w:t>
      </w:r>
      <w:r w:rsidR="00A50D4C" w:rsidRPr="004B0BC2">
        <w:rPr>
          <w:rFonts w:cstheme="minorHAnsi"/>
          <w:sz w:val="22"/>
          <w:szCs w:val="22"/>
          <w:shd w:val="clear" w:color="auto" w:fill="FFFFFF"/>
        </w:rPr>
        <w:t xml:space="preserve">, men </w:t>
      </w:r>
      <w:r>
        <w:rPr>
          <w:rFonts w:cstheme="minorHAnsi"/>
          <w:sz w:val="22"/>
          <w:szCs w:val="22"/>
          <w:shd w:val="clear" w:color="auto" w:fill="FFFFFF"/>
        </w:rPr>
        <w:t>seem</w:t>
      </w:r>
      <w:r w:rsidR="00A50D4C" w:rsidRPr="004B0BC2">
        <w:rPr>
          <w:rFonts w:cstheme="minorHAnsi"/>
          <w:sz w:val="22"/>
          <w:szCs w:val="22"/>
          <w:shd w:val="clear" w:color="auto" w:fill="FFFFFF"/>
        </w:rPr>
        <w:t xml:space="preserve"> to be more susceptible to death from both non</w:t>
      </w:r>
      <w:r w:rsidR="009778BD" w:rsidRPr="004B0BC2">
        <w:rPr>
          <w:rFonts w:cstheme="minorHAnsi"/>
          <w:sz w:val="22"/>
          <w:szCs w:val="22"/>
          <w:shd w:val="clear" w:color="auto" w:fill="FFFFFF"/>
        </w:rPr>
        <w:t>-</w:t>
      </w:r>
      <w:r w:rsidR="00A50D4C" w:rsidRPr="004B0BC2">
        <w:rPr>
          <w:rFonts w:cstheme="minorHAnsi"/>
          <w:sz w:val="22"/>
          <w:szCs w:val="22"/>
          <w:shd w:val="clear" w:color="auto" w:fill="FFFFFF"/>
        </w:rPr>
        <w:t>communicable diseases and COVID</w:t>
      </w:r>
      <w:r w:rsidR="007D457B" w:rsidRPr="004B0BC2">
        <w:rPr>
          <w:rFonts w:cstheme="minorHAnsi"/>
          <w:sz w:val="22"/>
          <w:szCs w:val="22"/>
          <w:shd w:val="clear" w:color="auto" w:fill="FFFFFF"/>
        </w:rPr>
        <w:t>-</w:t>
      </w:r>
      <w:r w:rsidR="00A50D4C" w:rsidRPr="004B0BC2">
        <w:rPr>
          <w:rFonts w:cstheme="minorHAnsi"/>
          <w:sz w:val="22"/>
          <w:szCs w:val="22"/>
          <w:shd w:val="clear" w:color="auto" w:fill="FFFFFF"/>
        </w:rPr>
        <w:t xml:space="preserve">19 because they are at </w:t>
      </w:r>
      <w:r>
        <w:rPr>
          <w:rFonts w:cstheme="minorHAnsi"/>
          <w:sz w:val="22"/>
          <w:szCs w:val="22"/>
          <w:shd w:val="clear" w:color="auto" w:fill="FFFFFF"/>
        </w:rPr>
        <w:t xml:space="preserve">a </w:t>
      </w:r>
      <w:r w:rsidR="00A50D4C" w:rsidRPr="004B0BC2">
        <w:rPr>
          <w:rFonts w:cstheme="minorHAnsi"/>
          <w:sz w:val="22"/>
          <w:szCs w:val="22"/>
          <w:shd w:val="clear" w:color="auto" w:fill="FFFFFF"/>
        </w:rPr>
        <w:t>higher risk of underlying CVD, respiratory conditions and</w:t>
      </w:r>
      <w:r w:rsidR="00560F52" w:rsidRPr="004B0BC2">
        <w:rPr>
          <w:rFonts w:cstheme="minorHAnsi"/>
          <w:sz w:val="22"/>
          <w:szCs w:val="22"/>
          <w:shd w:val="clear" w:color="auto" w:fill="FFFFFF"/>
        </w:rPr>
        <w:t xml:space="preserve"> other</w:t>
      </w:r>
      <w:r w:rsidR="00A50D4C" w:rsidRPr="004B0BC2">
        <w:rPr>
          <w:rFonts w:cstheme="minorHAnsi"/>
          <w:sz w:val="22"/>
          <w:szCs w:val="22"/>
          <w:shd w:val="clear" w:color="auto" w:fill="FFFFFF"/>
        </w:rPr>
        <w:t xml:space="preserve"> major risk factors for atherosclerosis</w:t>
      </w:r>
      <w:r w:rsidR="0035636E">
        <w:rPr>
          <w:rFonts w:cstheme="minorHAnsi"/>
          <w:sz w:val="22"/>
          <w:szCs w:val="22"/>
          <w:shd w:val="clear" w:color="auto" w:fill="FFFFFF"/>
        </w:rPr>
        <w:t xml:space="preserve"> than women</w:t>
      </w:r>
      <w:r w:rsidR="0050475D" w:rsidRPr="004B0BC2">
        <w:rPr>
          <w:rFonts w:cstheme="minorHAnsi"/>
          <w:sz w:val="22"/>
          <w:szCs w:val="22"/>
          <w:shd w:val="clear" w:color="auto" w:fill="FFFFFF"/>
        </w:rPr>
        <w:t>. This</w:t>
      </w:r>
      <w:r>
        <w:rPr>
          <w:rFonts w:cstheme="minorHAnsi"/>
          <w:sz w:val="22"/>
          <w:szCs w:val="22"/>
          <w:shd w:val="clear" w:color="auto" w:fill="FFFFFF"/>
        </w:rPr>
        <w:t xml:space="preserve"> increased risk</w:t>
      </w:r>
      <w:r w:rsidR="0050475D" w:rsidRPr="004B0BC2">
        <w:rPr>
          <w:rFonts w:cstheme="minorHAnsi"/>
          <w:sz w:val="22"/>
          <w:szCs w:val="22"/>
          <w:shd w:val="clear" w:color="auto" w:fill="FFFFFF"/>
        </w:rPr>
        <w:t xml:space="preserve"> is due to a combination of biological factors</w:t>
      </w:r>
      <w:r>
        <w:rPr>
          <w:rFonts w:cstheme="minorHAnsi"/>
          <w:sz w:val="22"/>
          <w:szCs w:val="22"/>
          <w:shd w:val="clear" w:color="auto" w:fill="FFFFFF"/>
        </w:rPr>
        <w:t xml:space="preserve">, such as </w:t>
      </w:r>
      <w:r w:rsidR="0050475D" w:rsidRPr="004B0BC2">
        <w:rPr>
          <w:rFonts w:cstheme="minorHAnsi"/>
          <w:sz w:val="22"/>
          <w:szCs w:val="22"/>
          <w:shd w:val="clear" w:color="auto" w:fill="FFFFFF"/>
        </w:rPr>
        <w:t>the beneficial effects of oestrogen</w:t>
      </w:r>
      <w:r>
        <w:rPr>
          <w:rFonts w:cstheme="minorHAnsi"/>
          <w:sz w:val="22"/>
          <w:szCs w:val="22"/>
          <w:shd w:val="clear" w:color="auto" w:fill="FFFFFF"/>
        </w:rPr>
        <w:t xml:space="preserve"> in women,</w:t>
      </w:r>
      <w:r w:rsidR="0050475D" w:rsidRPr="004B0BC2">
        <w:rPr>
          <w:rFonts w:cstheme="minorHAnsi"/>
          <w:sz w:val="22"/>
          <w:szCs w:val="22"/>
          <w:shd w:val="clear" w:color="auto" w:fill="FFFFFF"/>
        </w:rPr>
        <w:t xml:space="preserve"> but m</w:t>
      </w:r>
      <w:r>
        <w:rPr>
          <w:rFonts w:cstheme="minorHAnsi"/>
          <w:sz w:val="22"/>
          <w:szCs w:val="22"/>
          <w:shd w:val="clear" w:color="auto" w:fill="FFFFFF"/>
        </w:rPr>
        <w:t xml:space="preserve">ight </w:t>
      </w:r>
      <w:r w:rsidR="0050475D" w:rsidRPr="004B0BC2">
        <w:rPr>
          <w:rFonts w:cstheme="minorHAnsi"/>
          <w:sz w:val="22"/>
          <w:szCs w:val="22"/>
          <w:shd w:val="clear" w:color="auto" w:fill="FFFFFF"/>
        </w:rPr>
        <w:t xml:space="preserve">also be </w:t>
      </w:r>
      <w:r>
        <w:rPr>
          <w:rFonts w:cstheme="minorHAnsi"/>
          <w:sz w:val="22"/>
          <w:szCs w:val="22"/>
          <w:shd w:val="clear" w:color="auto" w:fill="FFFFFF"/>
        </w:rPr>
        <w:t>attributable</w:t>
      </w:r>
      <w:r w:rsidR="00A90266" w:rsidRPr="004B0BC2">
        <w:rPr>
          <w:rFonts w:cstheme="minorHAnsi"/>
          <w:sz w:val="22"/>
          <w:szCs w:val="22"/>
          <w:shd w:val="clear" w:color="auto" w:fill="FFFFFF"/>
        </w:rPr>
        <w:t xml:space="preserve"> </w:t>
      </w:r>
      <w:r w:rsidR="00A50D4C" w:rsidRPr="004B0BC2">
        <w:rPr>
          <w:rFonts w:cstheme="minorHAnsi"/>
          <w:sz w:val="22"/>
          <w:szCs w:val="22"/>
          <w:shd w:val="clear" w:color="auto" w:fill="FFFFFF"/>
        </w:rPr>
        <w:t>to a</w:t>
      </w:r>
      <w:r>
        <w:rPr>
          <w:rFonts w:cstheme="minorHAnsi"/>
          <w:sz w:val="22"/>
          <w:szCs w:val="22"/>
          <w:shd w:val="clear" w:color="auto" w:fill="FFFFFF"/>
        </w:rPr>
        <w:t xml:space="preserve">n increased </w:t>
      </w:r>
      <w:r w:rsidR="00A50D4C" w:rsidRPr="004B0BC2">
        <w:rPr>
          <w:rFonts w:cstheme="minorHAnsi"/>
          <w:sz w:val="22"/>
          <w:szCs w:val="22"/>
          <w:shd w:val="clear" w:color="auto" w:fill="FFFFFF"/>
        </w:rPr>
        <w:t xml:space="preserve">incidence of lifestyle and modifiable risk factors </w:t>
      </w:r>
      <w:r w:rsidR="000F1EDE" w:rsidRPr="004B0BC2">
        <w:rPr>
          <w:rFonts w:cstheme="minorHAnsi"/>
          <w:sz w:val="22"/>
          <w:szCs w:val="22"/>
          <w:shd w:val="clear" w:color="auto" w:fill="FFFFFF"/>
        </w:rPr>
        <w:t xml:space="preserve">in men </w:t>
      </w:r>
      <w:r>
        <w:rPr>
          <w:rFonts w:cstheme="minorHAnsi"/>
          <w:sz w:val="22"/>
          <w:szCs w:val="22"/>
          <w:shd w:val="clear" w:color="auto" w:fill="FFFFFF"/>
        </w:rPr>
        <w:t>versus</w:t>
      </w:r>
      <w:r w:rsidR="00A50D4C" w:rsidRPr="004B0BC2">
        <w:rPr>
          <w:rFonts w:cstheme="minorHAnsi"/>
          <w:sz w:val="22"/>
          <w:szCs w:val="22"/>
          <w:shd w:val="clear" w:color="auto" w:fill="FFFFFF"/>
        </w:rPr>
        <w:t xml:space="preserve"> women</w:t>
      </w:r>
      <w:r w:rsidR="0050475D" w:rsidRPr="004B0BC2">
        <w:rPr>
          <w:rFonts w:cstheme="minorHAnsi"/>
          <w:sz w:val="22"/>
          <w:szCs w:val="22"/>
          <w:shd w:val="clear" w:color="auto" w:fill="FFFFFF"/>
        </w:rPr>
        <w:t xml:space="preserve">. </w:t>
      </w:r>
    </w:p>
    <w:p w14:paraId="41391171" w14:textId="77777777" w:rsidR="00FD6EB2" w:rsidRPr="004B0BC2" w:rsidRDefault="00FD6EB2" w:rsidP="00B66369">
      <w:pPr>
        <w:pStyle w:val="NoSpacing"/>
        <w:shd w:val="clear" w:color="auto" w:fill="FFFFFF" w:themeFill="background1"/>
        <w:spacing w:line="480" w:lineRule="auto"/>
        <w:rPr>
          <w:rFonts w:cstheme="minorHAnsi"/>
          <w:sz w:val="22"/>
          <w:szCs w:val="22"/>
          <w:shd w:val="clear" w:color="auto" w:fill="FFFFFF"/>
        </w:rPr>
      </w:pPr>
    </w:p>
    <w:p w14:paraId="5CECBF93" w14:textId="030DC2AF" w:rsidR="008717DC" w:rsidRPr="004B0BC2" w:rsidRDefault="003276FA" w:rsidP="00B66369">
      <w:pPr>
        <w:pStyle w:val="NoSpacing"/>
        <w:shd w:val="clear" w:color="auto" w:fill="FFFFFF" w:themeFill="background1"/>
        <w:spacing w:line="480" w:lineRule="auto"/>
        <w:rPr>
          <w:rFonts w:cstheme="minorHAnsi"/>
          <w:b/>
          <w:bCs/>
          <w:sz w:val="22"/>
          <w:szCs w:val="22"/>
          <w:u w:val="single"/>
          <w:shd w:val="clear" w:color="auto" w:fill="FFFFFF"/>
        </w:rPr>
      </w:pPr>
      <w:r>
        <w:rPr>
          <w:rFonts w:cstheme="minorHAnsi"/>
          <w:b/>
          <w:bCs/>
          <w:sz w:val="22"/>
          <w:szCs w:val="22"/>
          <w:u w:val="single"/>
          <w:shd w:val="clear" w:color="auto" w:fill="FFFFFF"/>
        </w:rPr>
        <w:t>[H1]</w:t>
      </w:r>
      <w:r w:rsidR="008717DC" w:rsidRPr="004B0BC2">
        <w:rPr>
          <w:rFonts w:cstheme="minorHAnsi"/>
          <w:b/>
          <w:bCs/>
          <w:sz w:val="22"/>
          <w:szCs w:val="22"/>
          <w:u w:val="single"/>
          <w:shd w:val="clear" w:color="auto" w:fill="FFFFFF"/>
        </w:rPr>
        <w:t xml:space="preserve">The </w:t>
      </w:r>
      <w:r w:rsidR="00FD6EB2" w:rsidRPr="004B0BC2">
        <w:rPr>
          <w:rFonts w:cstheme="minorHAnsi"/>
          <w:b/>
          <w:bCs/>
          <w:sz w:val="22"/>
          <w:szCs w:val="22"/>
          <w:u w:val="single"/>
          <w:shd w:val="clear" w:color="auto" w:fill="FFFFFF"/>
        </w:rPr>
        <w:t xml:space="preserve">sex </w:t>
      </w:r>
      <w:r w:rsidR="008717DC" w:rsidRPr="004B0BC2">
        <w:rPr>
          <w:rFonts w:cstheme="minorHAnsi"/>
          <w:b/>
          <w:bCs/>
          <w:sz w:val="22"/>
          <w:szCs w:val="22"/>
          <w:u w:val="single"/>
          <w:shd w:val="clear" w:color="auto" w:fill="FFFFFF"/>
        </w:rPr>
        <w:t>gap in health</w:t>
      </w:r>
      <w:r>
        <w:rPr>
          <w:rFonts w:cstheme="minorHAnsi"/>
          <w:b/>
          <w:bCs/>
          <w:sz w:val="22"/>
          <w:szCs w:val="22"/>
          <w:u w:val="single"/>
          <w:shd w:val="clear" w:color="auto" w:fill="FFFFFF"/>
        </w:rPr>
        <w:t>-</w:t>
      </w:r>
      <w:r w:rsidR="008717DC" w:rsidRPr="004B0BC2">
        <w:rPr>
          <w:rFonts w:cstheme="minorHAnsi"/>
          <w:b/>
          <w:bCs/>
          <w:sz w:val="22"/>
          <w:szCs w:val="22"/>
          <w:u w:val="single"/>
          <w:shd w:val="clear" w:color="auto" w:fill="FFFFFF"/>
        </w:rPr>
        <w:t>care utilisation</w:t>
      </w:r>
      <w:r w:rsidR="004C7E1A">
        <w:rPr>
          <w:rFonts w:cstheme="minorHAnsi"/>
          <w:b/>
          <w:bCs/>
          <w:sz w:val="22"/>
          <w:szCs w:val="22"/>
          <w:u w:val="single"/>
          <w:shd w:val="clear" w:color="auto" w:fill="FFFFFF"/>
        </w:rPr>
        <w:t xml:space="preserve"> </w:t>
      </w:r>
    </w:p>
    <w:p w14:paraId="245CD07A" w14:textId="443E0A72" w:rsidR="004C7E1A" w:rsidRDefault="000613F4" w:rsidP="00B66369">
      <w:pPr>
        <w:spacing w:line="480" w:lineRule="auto"/>
        <w:rPr>
          <w:rFonts w:asciiTheme="minorHAnsi" w:hAnsiTheme="minorHAnsi" w:cstheme="minorHAnsi"/>
          <w:sz w:val="22"/>
          <w:szCs w:val="22"/>
        </w:rPr>
      </w:pPr>
      <w:r>
        <w:rPr>
          <w:rFonts w:asciiTheme="minorHAnsi" w:hAnsiTheme="minorHAnsi" w:cstheme="minorHAnsi"/>
          <w:sz w:val="22"/>
          <w:szCs w:val="22"/>
        </w:rPr>
        <w:t>T</w:t>
      </w:r>
      <w:r w:rsidR="00A50D4C" w:rsidRPr="004B0BC2">
        <w:rPr>
          <w:rFonts w:asciiTheme="minorHAnsi" w:hAnsiTheme="minorHAnsi" w:cstheme="minorHAnsi"/>
          <w:sz w:val="22"/>
          <w:szCs w:val="22"/>
        </w:rPr>
        <w:t xml:space="preserve">he </w:t>
      </w:r>
      <w:r w:rsidR="00FD6EB2" w:rsidRPr="004B0BC2">
        <w:rPr>
          <w:rFonts w:asciiTheme="minorHAnsi" w:hAnsiTheme="minorHAnsi" w:cstheme="minorHAnsi"/>
          <w:sz w:val="22"/>
          <w:szCs w:val="22"/>
        </w:rPr>
        <w:t xml:space="preserve">sex </w:t>
      </w:r>
      <w:r w:rsidR="00A50D4C" w:rsidRPr="004B0BC2">
        <w:rPr>
          <w:rFonts w:asciiTheme="minorHAnsi" w:hAnsiTheme="minorHAnsi" w:cstheme="minorHAnsi"/>
          <w:sz w:val="22"/>
          <w:szCs w:val="22"/>
        </w:rPr>
        <w:t>gap in COVID</w:t>
      </w:r>
      <w:r w:rsidR="007D457B" w:rsidRPr="004B0BC2">
        <w:rPr>
          <w:rFonts w:asciiTheme="minorHAnsi" w:hAnsiTheme="minorHAnsi" w:cstheme="minorHAnsi"/>
          <w:sz w:val="22"/>
          <w:szCs w:val="22"/>
        </w:rPr>
        <w:t>-</w:t>
      </w:r>
      <w:r w:rsidR="00A50D4C" w:rsidRPr="004B0BC2">
        <w:rPr>
          <w:rFonts w:asciiTheme="minorHAnsi" w:hAnsiTheme="minorHAnsi" w:cstheme="minorHAnsi"/>
          <w:sz w:val="22"/>
          <w:szCs w:val="22"/>
        </w:rPr>
        <w:t xml:space="preserve">19 is </w:t>
      </w:r>
      <w:r w:rsidR="000F1EDE" w:rsidRPr="004B0BC2">
        <w:rPr>
          <w:rFonts w:asciiTheme="minorHAnsi" w:hAnsiTheme="minorHAnsi" w:cstheme="minorHAnsi"/>
          <w:sz w:val="22"/>
          <w:szCs w:val="22"/>
        </w:rPr>
        <w:t xml:space="preserve">currently </w:t>
      </w:r>
      <w:r w:rsidR="00A50D4C" w:rsidRPr="004B0BC2">
        <w:rPr>
          <w:rFonts w:asciiTheme="minorHAnsi" w:hAnsiTheme="minorHAnsi" w:cstheme="minorHAnsi"/>
          <w:sz w:val="22"/>
          <w:szCs w:val="22"/>
        </w:rPr>
        <w:t>making headlines</w:t>
      </w:r>
      <w:r w:rsidR="00AF1849" w:rsidRPr="004B0BC2">
        <w:rPr>
          <w:rFonts w:asciiTheme="minorHAnsi" w:hAnsiTheme="minorHAnsi" w:cstheme="minorHAnsi"/>
          <w:sz w:val="22"/>
          <w:szCs w:val="22"/>
        </w:rPr>
        <w:t>,</w:t>
      </w:r>
      <w:r w:rsidR="00A50D4C" w:rsidRPr="004B0BC2">
        <w:rPr>
          <w:rFonts w:asciiTheme="minorHAnsi" w:hAnsiTheme="minorHAnsi" w:cstheme="minorHAnsi"/>
          <w:sz w:val="22"/>
          <w:szCs w:val="22"/>
        </w:rPr>
        <w:t xml:space="preserve"> </w:t>
      </w:r>
      <w:r>
        <w:rPr>
          <w:rFonts w:asciiTheme="minorHAnsi" w:hAnsiTheme="minorHAnsi" w:cstheme="minorHAnsi"/>
          <w:sz w:val="22"/>
          <w:szCs w:val="22"/>
        </w:rPr>
        <w:t>but, notably,</w:t>
      </w:r>
      <w:r w:rsidR="00A50D4C" w:rsidRPr="004B0BC2">
        <w:rPr>
          <w:rFonts w:asciiTheme="minorHAnsi" w:hAnsiTheme="minorHAnsi" w:cstheme="minorHAnsi"/>
          <w:sz w:val="22"/>
          <w:szCs w:val="22"/>
        </w:rPr>
        <w:t xml:space="preserve"> </w:t>
      </w:r>
      <w:r w:rsidR="007D457B" w:rsidRPr="004B0BC2">
        <w:rPr>
          <w:rFonts w:asciiTheme="minorHAnsi" w:hAnsiTheme="minorHAnsi" w:cstheme="minorHAnsi"/>
          <w:sz w:val="22"/>
          <w:szCs w:val="22"/>
        </w:rPr>
        <w:t>differences</w:t>
      </w:r>
      <w:r w:rsidR="002D2331" w:rsidRPr="004B0BC2">
        <w:rPr>
          <w:rFonts w:asciiTheme="minorHAnsi" w:hAnsiTheme="minorHAnsi" w:cstheme="minorHAnsi"/>
          <w:sz w:val="22"/>
          <w:szCs w:val="22"/>
        </w:rPr>
        <w:t xml:space="preserve"> in</w:t>
      </w:r>
      <w:r w:rsidR="007D457B" w:rsidRPr="004B0BC2">
        <w:rPr>
          <w:rFonts w:asciiTheme="minorHAnsi" w:hAnsiTheme="minorHAnsi" w:cstheme="minorHAnsi"/>
          <w:sz w:val="22"/>
          <w:szCs w:val="22"/>
        </w:rPr>
        <w:t xml:space="preserve"> </w:t>
      </w:r>
      <w:r w:rsidR="002D2331" w:rsidRPr="004B0BC2">
        <w:rPr>
          <w:rFonts w:asciiTheme="minorHAnsi" w:hAnsiTheme="minorHAnsi" w:cstheme="minorHAnsi"/>
          <w:sz w:val="22"/>
          <w:szCs w:val="22"/>
        </w:rPr>
        <w:t xml:space="preserve">life expectancy </w:t>
      </w:r>
      <w:r>
        <w:rPr>
          <w:rFonts w:asciiTheme="minorHAnsi" w:hAnsiTheme="minorHAnsi" w:cstheme="minorHAnsi"/>
          <w:sz w:val="22"/>
          <w:szCs w:val="22"/>
        </w:rPr>
        <w:t xml:space="preserve">according to sex </w:t>
      </w:r>
      <w:r w:rsidR="00FD6EB2" w:rsidRPr="004B0BC2">
        <w:rPr>
          <w:rFonts w:asciiTheme="minorHAnsi" w:hAnsiTheme="minorHAnsi" w:cstheme="minorHAnsi"/>
          <w:sz w:val="22"/>
          <w:szCs w:val="22"/>
        </w:rPr>
        <w:t>have been</w:t>
      </w:r>
      <w:r w:rsidR="002D2331" w:rsidRPr="004B0BC2">
        <w:rPr>
          <w:rFonts w:asciiTheme="minorHAnsi" w:hAnsiTheme="minorHAnsi" w:cstheme="minorHAnsi"/>
          <w:sz w:val="22"/>
          <w:szCs w:val="22"/>
        </w:rPr>
        <w:t xml:space="preserve"> </w:t>
      </w:r>
      <w:r w:rsidR="000B24F7" w:rsidRPr="004B0BC2">
        <w:rPr>
          <w:rFonts w:asciiTheme="minorHAnsi" w:hAnsiTheme="minorHAnsi" w:cstheme="minorHAnsi"/>
          <w:sz w:val="22"/>
          <w:szCs w:val="22"/>
        </w:rPr>
        <w:t>reported</w:t>
      </w:r>
      <w:r w:rsidR="00F86434" w:rsidRPr="004B0BC2">
        <w:rPr>
          <w:rFonts w:asciiTheme="minorHAnsi" w:hAnsiTheme="minorHAnsi" w:cstheme="minorHAnsi"/>
          <w:sz w:val="22"/>
          <w:szCs w:val="22"/>
        </w:rPr>
        <w:t xml:space="preserve"> as</w:t>
      </w:r>
      <w:r w:rsidR="002D2331" w:rsidRPr="004B0BC2">
        <w:rPr>
          <w:rFonts w:asciiTheme="minorHAnsi" w:hAnsiTheme="minorHAnsi" w:cstheme="minorHAnsi"/>
          <w:sz w:val="22"/>
          <w:szCs w:val="22"/>
        </w:rPr>
        <w:t xml:space="preserve"> </w:t>
      </w:r>
      <w:r w:rsidR="00F86434" w:rsidRPr="004B0BC2">
        <w:rPr>
          <w:rFonts w:asciiTheme="minorHAnsi" w:hAnsiTheme="minorHAnsi" w:cstheme="minorHAnsi"/>
          <w:sz w:val="22"/>
          <w:szCs w:val="22"/>
        </w:rPr>
        <w:t>early as the 19</w:t>
      </w:r>
      <w:r w:rsidR="00F86434" w:rsidRPr="004B0BC2">
        <w:rPr>
          <w:rFonts w:asciiTheme="minorHAnsi" w:hAnsiTheme="minorHAnsi" w:cstheme="minorHAnsi"/>
          <w:sz w:val="22"/>
          <w:szCs w:val="22"/>
          <w:vertAlign w:val="superscript"/>
        </w:rPr>
        <w:t>th</w:t>
      </w:r>
      <w:r w:rsidR="00F86434" w:rsidRPr="004B0BC2">
        <w:rPr>
          <w:rFonts w:asciiTheme="minorHAnsi" w:hAnsiTheme="minorHAnsi" w:cstheme="minorHAnsi"/>
          <w:sz w:val="22"/>
          <w:szCs w:val="22"/>
        </w:rPr>
        <w:t xml:space="preserve"> century</w:t>
      </w:r>
      <w:r w:rsidR="00F86434"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www.ons.gov.uk/peoplepopulationandcommunity/birthsdeathsandmarriages/lifeexpectancies/bulletins/englishlifetablesno17/2015-09-01","accessed":{"date-parts":[["2020","1","28"]]},"id":"ITEM-1","issued":{"date-parts":[["0"]]},"title":"English Life Tables - Office for National Statistics","type":"webpage"},"uris":["http://www.mendeley.com/documents/?uuid=8e77e296-dcd6-3772-aa05-48f9be351f55"]}],"mendeley":{"formattedCitation":"(68)","plainTextFormattedCitation":"(68)","previouslyFormattedCitation":"(68)"},"properties":{"noteIndex":0},"schema":"https://github.com/citation-style-language/schema/raw/master/csl-citation.json"}</w:instrText>
      </w:r>
      <w:r w:rsidR="00F86434"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(68)</w:t>
      </w:r>
      <w:r w:rsidR="00F86434" w:rsidRPr="004B0BC2">
        <w:rPr>
          <w:rFonts w:asciiTheme="minorHAnsi" w:hAnsiTheme="minorHAnsi" w:cstheme="minorHAnsi"/>
          <w:sz w:val="22"/>
          <w:szCs w:val="22"/>
        </w:rPr>
        <w:fldChar w:fldCharType="end"/>
      </w:r>
      <w:r w:rsidR="002D2331" w:rsidRPr="004B0BC2">
        <w:rPr>
          <w:rFonts w:asciiTheme="minorHAnsi" w:hAnsiTheme="minorHAnsi" w:cstheme="minorHAnsi"/>
          <w:sz w:val="22"/>
          <w:szCs w:val="22"/>
        </w:rPr>
        <w:t xml:space="preserve"> and</w:t>
      </w:r>
      <w:r w:rsidR="00D0050D" w:rsidRPr="004B0BC2">
        <w:rPr>
          <w:rFonts w:asciiTheme="minorHAnsi" w:hAnsiTheme="minorHAnsi" w:cstheme="minorHAnsi"/>
          <w:sz w:val="22"/>
          <w:szCs w:val="22"/>
        </w:rPr>
        <w:t xml:space="preserve"> </w:t>
      </w:r>
      <w:r>
        <w:rPr>
          <w:rFonts w:asciiTheme="minorHAnsi" w:hAnsiTheme="minorHAnsi" w:cstheme="minorHAnsi"/>
          <w:sz w:val="22"/>
          <w:szCs w:val="22"/>
        </w:rPr>
        <w:t xml:space="preserve">still persist </w:t>
      </w:r>
      <w:r w:rsidR="002D2331" w:rsidRPr="004B0BC2">
        <w:rPr>
          <w:rFonts w:asciiTheme="minorHAnsi" w:hAnsiTheme="minorHAnsi" w:cstheme="minorHAnsi"/>
          <w:sz w:val="22"/>
          <w:szCs w:val="22"/>
        </w:rPr>
        <w:t xml:space="preserve">despite the establishment of </w:t>
      </w:r>
      <w:r w:rsidR="007E5816" w:rsidRPr="004B0BC2">
        <w:rPr>
          <w:rFonts w:asciiTheme="minorHAnsi" w:hAnsiTheme="minorHAnsi" w:cstheme="minorHAnsi"/>
          <w:sz w:val="22"/>
          <w:szCs w:val="22"/>
        </w:rPr>
        <w:t xml:space="preserve">focused </w:t>
      </w:r>
      <w:r w:rsidR="00560F52" w:rsidRPr="004B0BC2">
        <w:rPr>
          <w:rFonts w:asciiTheme="minorHAnsi" w:hAnsiTheme="minorHAnsi" w:cstheme="minorHAnsi"/>
          <w:sz w:val="22"/>
          <w:szCs w:val="22"/>
        </w:rPr>
        <w:t>M</w:t>
      </w:r>
      <w:r w:rsidR="007E5816" w:rsidRPr="004B0BC2">
        <w:rPr>
          <w:rFonts w:asciiTheme="minorHAnsi" w:hAnsiTheme="minorHAnsi" w:cstheme="minorHAnsi"/>
          <w:sz w:val="22"/>
          <w:szCs w:val="22"/>
        </w:rPr>
        <w:t>en</w:t>
      </w:r>
      <w:r w:rsidR="00560F52" w:rsidRPr="004B0BC2">
        <w:rPr>
          <w:rFonts w:asciiTheme="minorHAnsi" w:hAnsiTheme="minorHAnsi" w:cstheme="minorHAnsi"/>
          <w:sz w:val="22"/>
          <w:szCs w:val="22"/>
        </w:rPr>
        <w:t>’</w:t>
      </w:r>
      <w:r w:rsidR="007E5816" w:rsidRPr="004B0BC2">
        <w:rPr>
          <w:rFonts w:asciiTheme="minorHAnsi" w:hAnsiTheme="minorHAnsi" w:cstheme="minorHAnsi"/>
          <w:sz w:val="22"/>
          <w:szCs w:val="22"/>
        </w:rPr>
        <w:t xml:space="preserve">s </w:t>
      </w:r>
      <w:r>
        <w:rPr>
          <w:rFonts w:asciiTheme="minorHAnsi" w:hAnsiTheme="minorHAnsi" w:cstheme="minorHAnsi"/>
          <w:sz w:val="22"/>
          <w:szCs w:val="22"/>
        </w:rPr>
        <w:t>H</w:t>
      </w:r>
      <w:r w:rsidR="007E5816" w:rsidRPr="004B0BC2">
        <w:rPr>
          <w:rFonts w:asciiTheme="minorHAnsi" w:hAnsiTheme="minorHAnsi" w:cstheme="minorHAnsi"/>
          <w:sz w:val="22"/>
          <w:szCs w:val="22"/>
        </w:rPr>
        <w:t xml:space="preserve">ealth </w:t>
      </w:r>
      <w:r w:rsidR="002D2331" w:rsidRPr="004B0BC2">
        <w:rPr>
          <w:rFonts w:asciiTheme="minorHAnsi" w:hAnsiTheme="minorHAnsi" w:cstheme="minorHAnsi"/>
          <w:sz w:val="22"/>
          <w:szCs w:val="22"/>
        </w:rPr>
        <w:t>charities</w:t>
      </w:r>
      <w:r w:rsidR="00455A93" w:rsidRPr="004B0BC2">
        <w:rPr>
          <w:rFonts w:asciiTheme="minorHAnsi" w:hAnsiTheme="minorHAnsi" w:cstheme="minorHAnsi"/>
          <w:sz w:val="22"/>
          <w:szCs w:val="22"/>
        </w:rPr>
        <w:t xml:space="preserve"> </w:t>
      </w:r>
      <w:r w:rsidR="00E339BD" w:rsidRPr="004B0BC2">
        <w:rPr>
          <w:rFonts w:asciiTheme="minorHAnsi" w:hAnsiTheme="minorHAnsi" w:cstheme="minorHAnsi"/>
          <w:sz w:val="22"/>
          <w:szCs w:val="22"/>
        </w:rPr>
        <w:t>(</w:t>
      </w:r>
      <w:r>
        <w:rPr>
          <w:rFonts w:asciiTheme="minorHAnsi" w:hAnsiTheme="minorHAnsi" w:cstheme="minorHAnsi"/>
          <w:sz w:val="22"/>
          <w:szCs w:val="22"/>
        </w:rPr>
        <w:t>for example the</w:t>
      </w:r>
      <w:r w:rsidR="00455A93" w:rsidRPr="004B0BC2">
        <w:rPr>
          <w:rFonts w:asciiTheme="minorHAnsi" w:hAnsiTheme="minorHAnsi" w:cstheme="minorHAnsi"/>
          <w:sz w:val="22"/>
          <w:szCs w:val="22"/>
        </w:rPr>
        <w:t xml:space="preserve"> </w:t>
      </w:r>
      <w:r w:rsidR="00865982" w:rsidRPr="004B0BC2">
        <w:rPr>
          <w:rFonts w:asciiTheme="minorHAnsi" w:hAnsiTheme="minorHAnsi" w:cstheme="minorHAnsi"/>
          <w:sz w:val="22"/>
          <w:szCs w:val="22"/>
        </w:rPr>
        <w:t xml:space="preserve">Men’s </w:t>
      </w:r>
      <w:r>
        <w:rPr>
          <w:rFonts w:asciiTheme="minorHAnsi" w:hAnsiTheme="minorHAnsi" w:cstheme="minorHAnsi"/>
          <w:sz w:val="22"/>
          <w:szCs w:val="22"/>
        </w:rPr>
        <w:t>H</w:t>
      </w:r>
      <w:r w:rsidR="00865982" w:rsidRPr="004B0BC2">
        <w:rPr>
          <w:rFonts w:asciiTheme="minorHAnsi" w:hAnsiTheme="minorHAnsi" w:cstheme="minorHAnsi"/>
          <w:sz w:val="22"/>
          <w:szCs w:val="22"/>
        </w:rPr>
        <w:t xml:space="preserve">ealth </w:t>
      </w:r>
      <w:r>
        <w:rPr>
          <w:rFonts w:asciiTheme="minorHAnsi" w:hAnsiTheme="minorHAnsi" w:cstheme="minorHAnsi"/>
          <w:sz w:val="22"/>
          <w:szCs w:val="22"/>
        </w:rPr>
        <w:t>F</w:t>
      </w:r>
      <w:r w:rsidR="00865982" w:rsidRPr="004B0BC2">
        <w:rPr>
          <w:rFonts w:asciiTheme="minorHAnsi" w:hAnsiTheme="minorHAnsi" w:cstheme="minorHAnsi"/>
          <w:sz w:val="22"/>
          <w:szCs w:val="22"/>
        </w:rPr>
        <w:t>orum</w:t>
      </w:r>
      <w:r w:rsidR="00721ACC">
        <w:rPr>
          <w:rFonts w:asciiTheme="minorHAnsi" w:hAnsiTheme="minorHAnsi" w:cstheme="minorHAnsi"/>
          <w:sz w:val="22"/>
          <w:szCs w:val="22"/>
        </w:rPr>
        <w:t>, which aims to improve</w:t>
      </w:r>
      <w:r w:rsidR="00364372">
        <w:rPr>
          <w:rFonts w:asciiTheme="minorHAnsi" w:hAnsiTheme="minorHAnsi" w:cstheme="minorHAnsi"/>
          <w:sz w:val="22"/>
          <w:szCs w:val="22"/>
        </w:rPr>
        <w:t xml:space="preserve"> both</w:t>
      </w:r>
      <w:r w:rsidR="00721ACC">
        <w:rPr>
          <w:rFonts w:asciiTheme="minorHAnsi" w:hAnsiTheme="minorHAnsi" w:cstheme="minorHAnsi"/>
          <w:sz w:val="22"/>
          <w:szCs w:val="22"/>
        </w:rPr>
        <w:t xml:space="preserve"> men</w:t>
      </w:r>
      <w:r w:rsidR="00364372">
        <w:rPr>
          <w:rFonts w:asciiTheme="minorHAnsi" w:hAnsiTheme="minorHAnsi" w:cstheme="minorHAnsi"/>
          <w:sz w:val="22"/>
          <w:szCs w:val="22"/>
        </w:rPr>
        <w:t>’</w:t>
      </w:r>
      <w:r w:rsidR="00721ACC">
        <w:rPr>
          <w:rFonts w:asciiTheme="minorHAnsi" w:hAnsiTheme="minorHAnsi" w:cstheme="minorHAnsi"/>
          <w:sz w:val="22"/>
          <w:szCs w:val="22"/>
        </w:rPr>
        <w:t>s health</w:t>
      </w:r>
      <w:r w:rsidR="00364372">
        <w:rPr>
          <w:rFonts w:asciiTheme="minorHAnsi" w:hAnsiTheme="minorHAnsi" w:cstheme="minorHAnsi"/>
          <w:sz w:val="22"/>
          <w:szCs w:val="22"/>
        </w:rPr>
        <w:t xml:space="preserve"> and male health</w:t>
      </w:r>
      <w:r w:rsidR="00721ACC">
        <w:rPr>
          <w:rFonts w:asciiTheme="minorHAnsi" w:hAnsiTheme="minorHAnsi" w:cstheme="minorHAnsi"/>
          <w:sz w:val="22"/>
          <w:szCs w:val="22"/>
        </w:rPr>
        <w:t xml:space="preserve"> services</w:t>
      </w:r>
      <w:r w:rsidR="0036437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{"citationItems":[{"id":"ITEM-1","itemData":{"URL":"https://www.menshealthforum.org.uk/mens-health-manifesto","author":[{"dropping-particle":"","family":"Men's Health Forum","given":"","non-dropping-particle":"","parse-names":false,"suffix":""}],"id":"ITEM-1","issued":{"date-parts":[["0"]]},"title":"MEN’S HEALTH MANIFESTO","type":"webpage"},"uris":["http://www.mendeley.com/documents/?uuid=40afe92d-237e-4a86-8c20-75a5c3d1766b"]}],"mendeley":{"formattedCitation":"(69)","plainTextFormattedCitation":"(69)","previouslyFormattedCitation":"(69)"},"properties":{"noteIndex":0},"schema":"https://github.com/citation-style-language/schema/raw/master/csl-citation.json"}</w:instrText>
      </w:r>
      <w:r w:rsidR="0036437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(69)</w:t>
      </w:r>
      <w:r w:rsidR="00364372">
        <w:rPr>
          <w:rFonts w:asciiTheme="minorHAnsi" w:hAnsiTheme="minorHAnsi" w:cstheme="minorHAnsi"/>
          <w:sz w:val="22"/>
          <w:szCs w:val="22"/>
        </w:rPr>
        <w:fldChar w:fldCharType="end"/>
      </w:r>
      <w:r w:rsidR="00721ACC">
        <w:rPr>
          <w:rFonts w:asciiTheme="minorHAnsi" w:hAnsiTheme="minorHAnsi" w:cstheme="minorHAnsi"/>
          <w:sz w:val="22"/>
          <w:szCs w:val="22"/>
        </w:rPr>
        <w:t>)</w:t>
      </w:r>
      <w:r w:rsidR="00865982" w:rsidRPr="004B0BC2">
        <w:rPr>
          <w:rFonts w:asciiTheme="minorHAnsi" w:hAnsiTheme="minorHAnsi" w:cstheme="minorHAnsi"/>
          <w:sz w:val="22"/>
          <w:szCs w:val="22"/>
        </w:rPr>
        <w:t xml:space="preserve"> </w:t>
      </w:r>
      <w:r w:rsidR="002D2331" w:rsidRPr="004B0BC2">
        <w:rPr>
          <w:rFonts w:asciiTheme="minorHAnsi" w:hAnsiTheme="minorHAnsi" w:cstheme="minorHAnsi"/>
          <w:sz w:val="22"/>
          <w:szCs w:val="22"/>
        </w:rPr>
        <w:t>and</w:t>
      </w:r>
      <w:r w:rsidR="00A52AE0" w:rsidRPr="004B0BC2">
        <w:rPr>
          <w:rFonts w:asciiTheme="minorHAnsi" w:hAnsiTheme="minorHAnsi" w:cstheme="minorHAnsi"/>
          <w:sz w:val="22"/>
          <w:szCs w:val="22"/>
        </w:rPr>
        <w:t xml:space="preserve"> </w:t>
      </w:r>
      <w:r w:rsidR="005C6ED1" w:rsidRPr="004B0BC2">
        <w:rPr>
          <w:rFonts w:asciiTheme="minorHAnsi" w:hAnsiTheme="minorHAnsi" w:cstheme="minorHAnsi"/>
          <w:sz w:val="22"/>
          <w:szCs w:val="22"/>
        </w:rPr>
        <w:t>equality legislation</w:t>
      </w:r>
      <w:r w:rsidR="00865982" w:rsidRPr="004B0BC2">
        <w:rPr>
          <w:rFonts w:asciiTheme="minorHAnsi" w:hAnsiTheme="minorHAnsi" w:cstheme="minorHAnsi"/>
          <w:sz w:val="22"/>
          <w:szCs w:val="22"/>
        </w:rPr>
        <w:t xml:space="preserve"> </w:t>
      </w:r>
      <w:r w:rsidR="00FD6EB2" w:rsidRPr="004B0BC2">
        <w:rPr>
          <w:rFonts w:asciiTheme="minorHAnsi" w:hAnsiTheme="minorHAnsi" w:cstheme="minorHAnsi"/>
          <w:sz w:val="22"/>
          <w:szCs w:val="22"/>
        </w:rPr>
        <w:t>(</w:t>
      </w:r>
      <w:r w:rsidR="00865982" w:rsidRPr="004B0BC2">
        <w:rPr>
          <w:rFonts w:asciiTheme="minorHAnsi" w:hAnsiTheme="minorHAnsi" w:cstheme="minorHAnsi"/>
          <w:sz w:val="22"/>
          <w:szCs w:val="22"/>
        </w:rPr>
        <w:t>such as The Equality Act of 2006</w:t>
      </w:r>
      <w:r w:rsidR="00721ACC">
        <w:rPr>
          <w:rFonts w:asciiTheme="minorHAnsi" w:hAnsiTheme="minorHAnsi" w:cstheme="minorHAnsi"/>
          <w:sz w:val="22"/>
          <w:szCs w:val="22"/>
        </w:rPr>
        <w:t>, which</w:t>
      </w:r>
      <w:r w:rsidR="00364372">
        <w:rPr>
          <w:rFonts w:asciiTheme="minorHAnsi" w:hAnsiTheme="minorHAnsi" w:cstheme="minorHAnsi"/>
          <w:sz w:val="22"/>
          <w:szCs w:val="22"/>
        </w:rPr>
        <w:t xml:space="preserve"> </w:t>
      </w:r>
      <w:r w:rsidR="00CB5FDB">
        <w:rPr>
          <w:rFonts w:asciiTheme="minorHAnsi" w:hAnsiTheme="minorHAnsi" w:cstheme="minorHAnsi"/>
          <w:sz w:val="22"/>
          <w:szCs w:val="22"/>
        </w:rPr>
        <w:t>mandated</w:t>
      </w:r>
      <w:r w:rsidR="00364372">
        <w:rPr>
          <w:rFonts w:asciiTheme="minorHAnsi" w:hAnsiTheme="minorHAnsi" w:cstheme="minorHAnsi"/>
          <w:sz w:val="22"/>
          <w:szCs w:val="22"/>
        </w:rPr>
        <w:t xml:space="preserve"> all public health </w:t>
      </w:r>
      <w:r w:rsidR="00CA3B35">
        <w:rPr>
          <w:rFonts w:asciiTheme="minorHAnsi" w:hAnsiTheme="minorHAnsi" w:cstheme="minorHAnsi"/>
          <w:sz w:val="22"/>
          <w:szCs w:val="22"/>
        </w:rPr>
        <w:t>sectors</w:t>
      </w:r>
      <w:r w:rsidR="00364372">
        <w:rPr>
          <w:rFonts w:asciiTheme="minorHAnsi" w:hAnsiTheme="minorHAnsi" w:cstheme="minorHAnsi"/>
          <w:sz w:val="22"/>
          <w:szCs w:val="22"/>
        </w:rPr>
        <w:t xml:space="preserve"> to promote</w:t>
      </w:r>
      <w:r w:rsidR="00CA3B35">
        <w:rPr>
          <w:rFonts w:asciiTheme="minorHAnsi" w:hAnsiTheme="minorHAnsi" w:cstheme="minorHAnsi"/>
          <w:sz w:val="22"/>
          <w:szCs w:val="22"/>
        </w:rPr>
        <w:t xml:space="preserve"> gender equality</w:t>
      </w:r>
      <w:r w:rsidR="00CA3B35">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{"citationItems":[{"id":"ITEM-1","itemData":{"author":[{"dropping-particle":"","family":"Payne","given":"Sarah","non-dropping-particle":"","parse-names":false,"suffix":""}],"id":"ITEM-1","issued":{"date-parts":[["2009"]]},"number-of-pages":"1-45","title":"How can gender equity be addressed through health systems?","type":"report"},"uris":["http://www.mendeley.com/documents/?uuid=30819e8c-5441-42f0-81b7-4fecef1be12a"]}],"mendeley":{"formattedCitation":"(70)","plainTextFormattedCitation":"(70)","previouslyFormattedCitation":"(70)"},"properties":{"noteIndex":0},"schema":"https://github.com/citation-style-language/schema/raw/master/csl-citation.json"}</w:instrText>
      </w:r>
      <w:r w:rsidR="00CA3B35">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(70)</w:t>
      </w:r>
      <w:r w:rsidR="00CA3B35">
        <w:rPr>
          <w:rFonts w:asciiTheme="minorHAnsi" w:hAnsiTheme="minorHAnsi" w:cstheme="minorHAnsi"/>
          <w:sz w:val="22"/>
          <w:szCs w:val="22"/>
        </w:rPr>
        <w:fldChar w:fldCharType="end"/>
      </w:r>
      <w:r w:rsidR="00FD6EB2" w:rsidRPr="004B0BC2">
        <w:rPr>
          <w:rFonts w:asciiTheme="minorHAnsi" w:hAnsiTheme="minorHAnsi" w:cstheme="minorHAnsi"/>
          <w:sz w:val="22"/>
          <w:szCs w:val="22"/>
        </w:rPr>
        <w:t>)</w:t>
      </w:r>
      <w:r w:rsidR="00865982"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{"citationItems":[{"id":"ITEM-1","itemData":{"DOI":"10.1002/tre.588","ISSN":"20443730","author":[{"dropping-particle":"","family":"Baker","given":"Peter","non-dropping-particle":"","parse-names":false,"suffix":""}],"container-title":"Trends in Urology &amp; Men's Health","id":"ITEM-1","issue":"4","issued":{"date-parts":[["2017"]]},"page":"13-16","title":"25 years post-Calman: the state of men's health in the UK","type":"article-journal","volume":"8"},"uris":["http://www.mendeley.com/documents/?uuid=1ecae99f-5fd3-339b-b36c-e98de1f3081b"]}],"mendeley":{"formattedCitation":"(71)","plainTextFormattedCitation":"(71)","previouslyFormattedCitation":"(71)"},"properties":{"noteIndex":0},"schema":"https://github.com/citation-style-language/schema/raw/master/csl-citation.json"}</w:instrText>
      </w:r>
      <w:r w:rsidR="00865982"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(71)</w:t>
      </w:r>
      <w:r w:rsidR="00865982" w:rsidRPr="004B0BC2">
        <w:rPr>
          <w:rFonts w:asciiTheme="minorHAnsi" w:hAnsiTheme="minorHAnsi" w:cstheme="minorHAnsi"/>
          <w:sz w:val="22"/>
          <w:szCs w:val="22"/>
        </w:rPr>
        <w:fldChar w:fldCharType="end"/>
      </w:r>
      <w:r w:rsidR="00D0050D" w:rsidRPr="004B0BC2">
        <w:rPr>
          <w:rFonts w:asciiTheme="minorHAnsi" w:hAnsiTheme="minorHAnsi" w:cstheme="minorHAnsi"/>
          <w:sz w:val="22"/>
          <w:szCs w:val="22"/>
        </w:rPr>
        <w:t>.</w:t>
      </w:r>
      <w:r w:rsidR="008717DC" w:rsidRPr="004B0BC2">
        <w:rPr>
          <w:rFonts w:asciiTheme="minorHAnsi" w:hAnsiTheme="minorHAnsi" w:cstheme="minorHAnsi"/>
          <w:sz w:val="22"/>
          <w:szCs w:val="22"/>
          <w:shd w:val="clear" w:color="auto" w:fill="FFFFFF"/>
        </w:rPr>
        <w:t xml:space="preserve"> </w:t>
      </w:r>
      <w:r w:rsidR="00DC6909" w:rsidRPr="004B0BC2">
        <w:rPr>
          <w:rFonts w:asciiTheme="minorHAnsi" w:hAnsiTheme="minorHAnsi" w:cstheme="minorHAnsi"/>
          <w:sz w:val="22"/>
          <w:szCs w:val="22"/>
        </w:rPr>
        <w:t>Globally</w:t>
      </w:r>
      <w:r w:rsidR="00285946" w:rsidRPr="004B0BC2">
        <w:rPr>
          <w:rFonts w:asciiTheme="minorHAnsi" w:hAnsiTheme="minorHAnsi" w:cstheme="minorHAnsi"/>
          <w:sz w:val="22"/>
          <w:szCs w:val="22"/>
        </w:rPr>
        <w:t>, men</w:t>
      </w:r>
      <w:r>
        <w:rPr>
          <w:rFonts w:asciiTheme="minorHAnsi" w:hAnsiTheme="minorHAnsi" w:cstheme="minorHAnsi"/>
          <w:sz w:val="22"/>
          <w:szCs w:val="22"/>
        </w:rPr>
        <w:t>’s</w:t>
      </w:r>
      <w:r w:rsidR="00285946" w:rsidRPr="004B0BC2">
        <w:rPr>
          <w:rFonts w:asciiTheme="minorHAnsi" w:hAnsiTheme="minorHAnsi" w:cstheme="minorHAnsi"/>
          <w:sz w:val="22"/>
          <w:szCs w:val="22"/>
        </w:rPr>
        <w:t xml:space="preserve"> life expectancy </w:t>
      </w:r>
      <w:r>
        <w:rPr>
          <w:rFonts w:asciiTheme="minorHAnsi" w:hAnsiTheme="minorHAnsi" w:cstheme="minorHAnsi"/>
          <w:sz w:val="22"/>
          <w:szCs w:val="22"/>
        </w:rPr>
        <w:t xml:space="preserve">is </w:t>
      </w:r>
      <w:r w:rsidR="00285946" w:rsidRPr="004B0BC2">
        <w:rPr>
          <w:rFonts w:asciiTheme="minorHAnsi" w:hAnsiTheme="minorHAnsi" w:cstheme="minorHAnsi"/>
          <w:sz w:val="22"/>
          <w:szCs w:val="22"/>
        </w:rPr>
        <w:t>5.1 years</w:t>
      </w:r>
      <w:r>
        <w:rPr>
          <w:rFonts w:asciiTheme="minorHAnsi" w:hAnsiTheme="minorHAnsi" w:cstheme="minorHAnsi"/>
          <w:sz w:val="22"/>
          <w:szCs w:val="22"/>
        </w:rPr>
        <w:t xml:space="preserve"> lower</w:t>
      </w:r>
      <w:r w:rsidR="00285946" w:rsidRPr="004B0BC2">
        <w:rPr>
          <w:rFonts w:asciiTheme="minorHAnsi" w:hAnsiTheme="minorHAnsi" w:cstheme="minorHAnsi"/>
          <w:sz w:val="22"/>
          <w:szCs w:val="22"/>
        </w:rPr>
        <w:t xml:space="preserve"> than women</w:t>
      </w:r>
      <w:r>
        <w:rPr>
          <w:rFonts w:asciiTheme="minorHAnsi" w:hAnsiTheme="minorHAnsi" w:cstheme="minorHAnsi"/>
          <w:sz w:val="22"/>
          <w:szCs w:val="22"/>
        </w:rPr>
        <w:t>’s</w:t>
      </w:r>
      <w:r w:rsidR="00DC6909"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{"citationItems":[{"id":"ITEM-1","itemData":{"DOI":"10.1016/S0140-6736(18)31891-9","ISSN":"1474-547X","PMID":"30496102","abstract":"BACKGROUND Assessments of age-specific mortality and life expectancy have been done by the UN Population Division, Department of Economics and Social Affairs (UNPOP), the United States Census Bureau, WHO, and as part of previous iterations of the Global Burden of Diseases, Injuries, and Risk Factors Study (GBD). Previous iterations of the GBD used population estimates from UNPOP, which were not derived in a way that was internally consistent with the estimates of the numbers of deaths in the GBD. The present iteration of the GBD, GBD 2017, improves on previous assessments and provides timely estimates of the mortality experience of populations globally. METHODS The GBD uses all available data to produce estimates of mortality rates between 1950 and 2017 for 23 age groups, both sexes, and 918 locations, including 195 countries and territories and subnational locations for 16 countries. Data used include vital registration systems, sample registration systems, household surveys (complete birth histories, summary birth histories, sibling histories), censuses (summary birth histories, household deaths), and Demographic Surveillance Sites. In total, this analysis used 8259 data sources. Estimates of the probability of death between birth and the age of 5 years and between ages 15 and 60 years are generated and then input into a model life table system to produce complete life tables for all locations and years. Fatal discontinuities and mortality due to HIV/AIDS are analysed separately and then incorporated into the estimation. We analyse the relationship between age-specific mortality and development status using the Socio-demographic Index, a composite measure based on fertility under the age of 25 years, education, and income. There are four main methodological improvements in GBD 2017 compared with GBD 2016: 622 additional data sources have been incorporated; new estimates of population, generated by the GBD study, are used; statistical methods used in different components of the analysis have been further standardised and improved; and the analysis has been extended backwards in time by two decades to start in 1950. FINDINGS Globally, 18·7% (95% uncertainty interval 18·4-19·0) of deaths were registered in 1950 and that proportion has been steadily increasing since, with 58·8% (58·2-59·3) of all deaths being registered in 2015. At the global level, between 1950 and 2017, life expectancy increased from 48·1 years (46·5-49·6) to 70·5 years (70·1-70·8) for …","author":[{"dropping-particle":"","family":"GBD 2017 Population and Fertility Collaborators","given":"","non-dropping-particle":"","parse-names":false,"suffix":""}],"container-title":"Lancet (London, England)","id":"ITEM-1","issue":"10159","issued":{"date-parts":[["2018"]]},"page":"1684-1735","title":"Global, regional, and national age-sex-specific mortality and life expectancy, 1950-2017: a systematic analysis for the Global Burden of Disease Study 2017.","type":"article-journal","volume":"392"},"uris":["http://www.mendeley.com/documents/?uuid=1be132a4-70ed-347d-9320-b4657ba6a7b7"]}],"mendeley":{"formattedCitation":"(72)","plainTextFormattedCitation":"(72)","previouslyFormattedCitation":"(72)"},"properties":{"noteIndex":0},"schema":"https://github.com/citation-style-language/schema/raw/master/csl-citation.json"}</w:instrText>
      </w:r>
      <w:r w:rsidR="00DC6909"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(72)</w:t>
      </w:r>
      <w:r w:rsidR="00DC6909" w:rsidRPr="004B0BC2">
        <w:rPr>
          <w:rFonts w:asciiTheme="minorHAnsi" w:hAnsiTheme="minorHAnsi" w:cstheme="minorHAnsi"/>
          <w:sz w:val="22"/>
          <w:szCs w:val="22"/>
        </w:rPr>
        <w:fldChar w:fldCharType="end"/>
      </w:r>
      <w:r w:rsidR="00DC6909" w:rsidRPr="004B0BC2">
        <w:rPr>
          <w:rFonts w:asciiTheme="minorHAnsi" w:hAnsiTheme="minorHAnsi" w:cstheme="minorHAnsi"/>
          <w:sz w:val="22"/>
          <w:szCs w:val="22"/>
        </w:rPr>
        <w:t xml:space="preserve">. A </w:t>
      </w:r>
      <w:r>
        <w:rPr>
          <w:rFonts w:asciiTheme="minorHAnsi" w:hAnsiTheme="minorHAnsi" w:cstheme="minorHAnsi"/>
          <w:sz w:val="22"/>
          <w:szCs w:val="22"/>
        </w:rPr>
        <w:t>2018</w:t>
      </w:r>
      <w:r w:rsidR="00DC6909" w:rsidRPr="004B0BC2">
        <w:rPr>
          <w:rFonts w:asciiTheme="minorHAnsi" w:hAnsiTheme="minorHAnsi" w:cstheme="minorHAnsi"/>
          <w:sz w:val="22"/>
          <w:szCs w:val="22"/>
        </w:rPr>
        <w:t xml:space="preserve"> WHO report highlighted that</w:t>
      </w:r>
      <w:r>
        <w:rPr>
          <w:rFonts w:asciiTheme="minorHAnsi" w:hAnsiTheme="minorHAnsi" w:cstheme="minorHAnsi"/>
          <w:sz w:val="22"/>
          <w:szCs w:val="22"/>
        </w:rPr>
        <w:t>,</w:t>
      </w:r>
      <w:r w:rsidR="00DC6909" w:rsidRPr="004B0BC2">
        <w:rPr>
          <w:rFonts w:asciiTheme="minorHAnsi" w:hAnsiTheme="minorHAnsi" w:cstheme="minorHAnsi"/>
          <w:sz w:val="22"/>
          <w:szCs w:val="22"/>
        </w:rPr>
        <w:t xml:space="preserve"> within Europe</w:t>
      </w:r>
      <w:r>
        <w:rPr>
          <w:rFonts w:asciiTheme="minorHAnsi" w:hAnsiTheme="minorHAnsi" w:cstheme="minorHAnsi"/>
          <w:sz w:val="22"/>
          <w:szCs w:val="22"/>
        </w:rPr>
        <w:t>,</w:t>
      </w:r>
      <w:r w:rsidR="00DC6909" w:rsidRPr="004B0BC2">
        <w:rPr>
          <w:rFonts w:asciiTheme="minorHAnsi" w:hAnsiTheme="minorHAnsi" w:cstheme="minorHAnsi"/>
          <w:sz w:val="22"/>
          <w:szCs w:val="22"/>
        </w:rPr>
        <w:t xml:space="preserve"> this gap i</w:t>
      </w:r>
      <w:r w:rsidR="00C20D2D" w:rsidRPr="004B0BC2">
        <w:rPr>
          <w:rFonts w:asciiTheme="minorHAnsi" w:hAnsiTheme="minorHAnsi" w:cstheme="minorHAnsi"/>
          <w:sz w:val="22"/>
          <w:szCs w:val="22"/>
        </w:rPr>
        <w:t>n</w:t>
      </w:r>
      <w:r w:rsidR="00DC6909" w:rsidRPr="004B0BC2">
        <w:rPr>
          <w:rFonts w:asciiTheme="minorHAnsi" w:hAnsiTheme="minorHAnsi" w:cstheme="minorHAnsi"/>
          <w:sz w:val="22"/>
          <w:szCs w:val="22"/>
        </w:rPr>
        <w:t xml:space="preserve"> life expectancy </w:t>
      </w:r>
      <w:r w:rsidR="00285946" w:rsidRPr="004B0BC2">
        <w:rPr>
          <w:rFonts w:asciiTheme="minorHAnsi" w:hAnsiTheme="minorHAnsi" w:cstheme="minorHAnsi"/>
          <w:sz w:val="22"/>
          <w:szCs w:val="22"/>
        </w:rPr>
        <w:t>is due</w:t>
      </w:r>
      <w:r w:rsidR="00BF4D5A" w:rsidRPr="004B0BC2">
        <w:rPr>
          <w:rFonts w:asciiTheme="minorHAnsi" w:hAnsiTheme="minorHAnsi" w:cstheme="minorHAnsi"/>
          <w:sz w:val="22"/>
          <w:szCs w:val="22"/>
        </w:rPr>
        <w:t xml:space="preserve"> </w:t>
      </w:r>
      <w:r w:rsidR="00285946" w:rsidRPr="004B0BC2">
        <w:rPr>
          <w:rFonts w:asciiTheme="minorHAnsi" w:hAnsiTheme="minorHAnsi" w:cstheme="minorHAnsi"/>
          <w:sz w:val="22"/>
          <w:szCs w:val="22"/>
        </w:rPr>
        <w:t xml:space="preserve">to a higher frequency of premature deaths (deaths occurring between the ages of 30-69 years) </w:t>
      </w:r>
      <w:r w:rsidR="0035636E">
        <w:rPr>
          <w:rFonts w:asciiTheme="minorHAnsi" w:hAnsiTheme="minorHAnsi" w:cstheme="minorHAnsi"/>
          <w:sz w:val="22"/>
          <w:szCs w:val="22"/>
        </w:rPr>
        <w:t>as a result of</w:t>
      </w:r>
      <w:r w:rsidR="00285946" w:rsidRPr="004B0BC2">
        <w:rPr>
          <w:rFonts w:asciiTheme="minorHAnsi" w:hAnsiTheme="minorHAnsi" w:cstheme="minorHAnsi"/>
          <w:sz w:val="22"/>
          <w:szCs w:val="22"/>
        </w:rPr>
        <w:t xml:space="preserve"> </w:t>
      </w:r>
      <w:r w:rsidR="00BF4D5A" w:rsidRPr="004B0BC2">
        <w:rPr>
          <w:rFonts w:asciiTheme="minorHAnsi" w:hAnsiTheme="minorHAnsi" w:cstheme="minorHAnsi"/>
          <w:sz w:val="22"/>
          <w:szCs w:val="22"/>
        </w:rPr>
        <w:t>CVD</w:t>
      </w:r>
      <w:r w:rsidR="00DC6909" w:rsidRPr="004B0BC2">
        <w:rPr>
          <w:rFonts w:asciiTheme="minorHAnsi" w:hAnsiTheme="minorHAnsi" w:cstheme="minorHAnsi"/>
          <w:sz w:val="22"/>
          <w:szCs w:val="22"/>
        </w:rPr>
        <w:t>, cancer, chronic respiratory diseases and diabetes</w:t>
      </w:r>
      <w:r w:rsidR="00DC6909"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{"citationItems":[{"id":"ITEM-1","itemData":{"ISBN":"9789289053532","abstract":"The health and well-being of men in the WHO European Region: better health through a gender approach Although declining, high levels of premature mortality among men in some countries of the WHO European Region and gaps between men within countries require specific attention. A growing evidence base on the effectiveness of gender-responsive approaches to men's health, and on the positive health impact gender equality policy has on men, need to be considered in relation to improving the health of men and women. Building on the guiding principles of the 2030 Agenda and Health 2020, and the interconnected nature of Sustainable Development Goals 3, 5 and 10, a strategy on the health and well-being of men in the WHO European Region will be considered by the 68th session of the WHO Regional Committee for Europe in September 2018. This report provides a background to the strategy and presents a snapshot of the evidence of the health issues men face and the underlying social determinants of health. It presents a special focus on the impact of gender norms and stereotypes on health while also looking at gender-responsive health system approaches for men's health, and the health impacts of gender equality policy and engagement of men in achieving gender equality goals. The health and well-being of men in the WHO European Region: better health through a gender approach","author":[{"dropping-particle":"","family":"The WHO Regional Office For Europe","given":"","non-dropping-particle":"","parse-names":false,"suffix":""}],"id":"ITEM-1","issued":{"date-parts":[["2018"]]},"number-of-pages":"1-130","title":"The health and well-being of men in the WHO European Region: better health through a gender approach","type":"report"},"uris":["http://www.mendeley.com/documents/?uuid=0a497367-8501-3d6a-87ae-06bd4de14988"]}],"mendeley":{"formattedCitation":"(73)","plainTextFormattedCitation":"(73)","previouslyFormattedCitation":"(73)"},"properties":{"noteIndex":0},"schema":"https://github.com/citation-style-language/schema/raw/master/csl-citation.json"}</w:instrText>
      </w:r>
      <w:r w:rsidR="00DC6909"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(73)</w:t>
      </w:r>
      <w:r w:rsidR="00DC6909" w:rsidRPr="004B0BC2">
        <w:rPr>
          <w:rFonts w:asciiTheme="minorHAnsi" w:hAnsiTheme="minorHAnsi" w:cstheme="minorHAnsi"/>
          <w:sz w:val="22"/>
          <w:szCs w:val="22"/>
        </w:rPr>
        <w:fldChar w:fldCharType="end"/>
      </w:r>
      <w:r w:rsidR="00285946" w:rsidRPr="004B0BC2">
        <w:rPr>
          <w:rFonts w:asciiTheme="minorHAnsi" w:hAnsiTheme="minorHAnsi" w:cstheme="minorHAnsi"/>
          <w:sz w:val="22"/>
          <w:szCs w:val="22"/>
        </w:rPr>
        <w:fldChar w:fldCharType="begin" w:fldLock="1"/>
      </w:r>
      <w:r w:rsidR="002C021B" w:rsidRPr="004B0BC2">
        <w:rPr>
          <w:rFonts w:asciiTheme="minorHAnsi" w:hAnsiTheme="minorHAnsi" w:cstheme="minorHAnsi"/>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285946" w:rsidRPr="004B0BC2">
        <w:rPr>
          <w:rFonts w:asciiTheme="minorHAnsi" w:hAnsiTheme="minorHAnsi" w:cstheme="minorHAnsi"/>
          <w:sz w:val="22"/>
          <w:szCs w:val="22"/>
        </w:rPr>
        <w:fldChar w:fldCharType="separate"/>
      </w:r>
      <w:r w:rsidR="00DC6909" w:rsidRPr="004B0BC2">
        <w:rPr>
          <w:rFonts w:asciiTheme="minorHAnsi" w:hAnsiTheme="minorHAnsi" w:cstheme="minorHAnsi"/>
          <w:noProof/>
          <w:sz w:val="22"/>
          <w:szCs w:val="22"/>
        </w:rPr>
        <w:t>(3)</w:t>
      </w:r>
      <w:r w:rsidR="00285946" w:rsidRPr="004B0BC2">
        <w:rPr>
          <w:rFonts w:asciiTheme="minorHAnsi" w:hAnsiTheme="minorHAnsi" w:cstheme="minorHAnsi"/>
          <w:sz w:val="22"/>
          <w:szCs w:val="22"/>
        </w:rPr>
        <w:fldChar w:fldCharType="end"/>
      </w:r>
      <w:r w:rsidR="00BF4D5A" w:rsidRPr="004B0BC2">
        <w:rPr>
          <w:rFonts w:asciiTheme="minorHAnsi" w:hAnsiTheme="minorHAnsi" w:cstheme="minorHAnsi"/>
          <w:sz w:val="22"/>
          <w:szCs w:val="22"/>
        </w:rPr>
        <w:t xml:space="preserve">. </w:t>
      </w:r>
    </w:p>
    <w:p w14:paraId="5981ABE5" w14:textId="2EB2F3BB" w:rsidR="00F67875" w:rsidRDefault="00A90266" w:rsidP="00B66369">
      <w:pPr>
        <w:spacing w:line="480" w:lineRule="auto"/>
        <w:rPr>
          <w:rFonts w:asciiTheme="minorHAnsi" w:hAnsiTheme="minorHAnsi" w:cstheme="minorHAnsi"/>
          <w:sz w:val="22"/>
          <w:szCs w:val="22"/>
          <w:shd w:val="clear" w:color="auto" w:fill="FFFFFF"/>
        </w:rPr>
      </w:pPr>
      <w:r w:rsidRPr="004B0BC2">
        <w:rPr>
          <w:rFonts w:asciiTheme="minorHAnsi" w:hAnsiTheme="minorHAnsi" w:cstheme="minorHAnsi"/>
          <w:sz w:val="22"/>
          <w:szCs w:val="22"/>
          <w:shd w:val="clear" w:color="auto" w:fill="FFFFFF"/>
        </w:rPr>
        <w:t>A further</w:t>
      </w:r>
      <w:r w:rsidR="00BB1E0D" w:rsidRPr="004B0BC2">
        <w:rPr>
          <w:rFonts w:asciiTheme="minorHAnsi" w:hAnsiTheme="minorHAnsi" w:cstheme="minorHAnsi"/>
          <w:sz w:val="22"/>
          <w:szCs w:val="22"/>
          <w:shd w:val="clear" w:color="auto" w:fill="FFFFFF"/>
        </w:rPr>
        <w:t xml:space="preserve"> </w:t>
      </w:r>
      <w:r w:rsidR="00D0050D" w:rsidRPr="004B0BC2">
        <w:rPr>
          <w:rFonts w:asciiTheme="minorHAnsi" w:hAnsiTheme="minorHAnsi" w:cstheme="minorHAnsi"/>
          <w:sz w:val="22"/>
          <w:szCs w:val="22"/>
          <w:shd w:val="clear" w:color="auto" w:fill="FFFFFF"/>
        </w:rPr>
        <w:t>contributing</w:t>
      </w:r>
      <w:r w:rsidR="007523AA" w:rsidRPr="004B0BC2">
        <w:rPr>
          <w:rFonts w:asciiTheme="minorHAnsi" w:hAnsiTheme="minorHAnsi" w:cstheme="minorHAnsi"/>
          <w:sz w:val="22"/>
          <w:szCs w:val="22"/>
          <w:shd w:val="clear" w:color="auto" w:fill="FFFFFF"/>
        </w:rPr>
        <w:t xml:space="preserve"> factor</w:t>
      </w:r>
      <w:r w:rsidR="00F90842" w:rsidRPr="004B0BC2">
        <w:rPr>
          <w:rFonts w:asciiTheme="minorHAnsi" w:hAnsiTheme="minorHAnsi" w:cstheme="minorHAnsi"/>
          <w:sz w:val="22"/>
          <w:szCs w:val="22"/>
          <w:shd w:val="clear" w:color="auto" w:fill="FFFFFF"/>
        </w:rPr>
        <w:t xml:space="preserve"> is</w:t>
      </w:r>
      <w:r w:rsidR="00560F52" w:rsidRPr="004B0BC2">
        <w:rPr>
          <w:rFonts w:asciiTheme="minorHAnsi" w:hAnsiTheme="minorHAnsi" w:cstheme="minorHAnsi"/>
          <w:sz w:val="22"/>
          <w:szCs w:val="22"/>
          <w:shd w:val="clear" w:color="auto" w:fill="FFFFFF"/>
        </w:rPr>
        <w:t xml:space="preserve"> the </w:t>
      </w:r>
      <w:r w:rsidR="0091315E" w:rsidRPr="004B0BC2">
        <w:rPr>
          <w:rFonts w:asciiTheme="minorHAnsi" w:hAnsiTheme="minorHAnsi" w:cstheme="minorHAnsi"/>
          <w:sz w:val="22"/>
          <w:szCs w:val="22"/>
          <w:shd w:val="clear" w:color="auto" w:fill="FFFFFF"/>
        </w:rPr>
        <w:t xml:space="preserve">utilisation of </w:t>
      </w:r>
      <w:r w:rsidR="007523AA" w:rsidRPr="004B0BC2">
        <w:rPr>
          <w:rFonts w:asciiTheme="minorHAnsi" w:hAnsiTheme="minorHAnsi" w:cstheme="minorHAnsi"/>
          <w:sz w:val="22"/>
          <w:szCs w:val="22"/>
          <w:shd w:val="clear" w:color="auto" w:fill="FFFFFF"/>
        </w:rPr>
        <w:t>health</w:t>
      </w:r>
      <w:r w:rsidR="000613F4">
        <w:rPr>
          <w:rFonts w:asciiTheme="minorHAnsi" w:hAnsiTheme="minorHAnsi" w:cstheme="minorHAnsi"/>
          <w:sz w:val="22"/>
          <w:szCs w:val="22"/>
          <w:shd w:val="clear" w:color="auto" w:fill="FFFFFF"/>
        </w:rPr>
        <w:t>-</w:t>
      </w:r>
      <w:r w:rsidR="00D0050D" w:rsidRPr="004B0BC2">
        <w:rPr>
          <w:rFonts w:asciiTheme="minorHAnsi" w:hAnsiTheme="minorHAnsi" w:cstheme="minorHAnsi"/>
          <w:sz w:val="22"/>
          <w:szCs w:val="22"/>
          <w:shd w:val="clear" w:color="auto" w:fill="FFFFFF"/>
        </w:rPr>
        <w:t>care</w:t>
      </w:r>
      <w:r w:rsidR="007523AA" w:rsidRPr="004B0BC2">
        <w:rPr>
          <w:rFonts w:asciiTheme="minorHAnsi" w:hAnsiTheme="minorHAnsi" w:cstheme="minorHAnsi"/>
          <w:sz w:val="22"/>
          <w:szCs w:val="22"/>
          <w:shd w:val="clear" w:color="auto" w:fill="FFFFFF"/>
        </w:rPr>
        <w:t xml:space="preserve"> services</w:t>
      </w:r>
      <w:r w:rsidR="00455A93" w:rsidRPr="004B0BC2">
        <w:rPr>
          <w:rFonts w:asciiTheme="minorHAnsi" w:hAnsiTheme="minorHAnsi" w:cstheme="minorHAnsi"/>
          <w:sz w:val="22"/>
          <w:szCs w:val="22"/>
          <w:shd w:val="clear" w:color="auto" w:fill="FFFFFF"/>
        </w:rPr>
        <w:t xml:space="preserve"> by men</w:t>
      </w:r>
      <w:r w:rsidR="007523AA" w:rsidRPr="004B0BC2">
        <w:rPr>
          <w:rFonts w:asciiTheme="minorHAnsi" w:hAnsiTheme="minorHAnsi" w:cstheme="minorHAnsi"/>
          <w:sz w:val="22"/>
          <w:szCs w:val="22"/>
          <w:shd w:val="clear" w:color="auto" w:fill="FFFFFF"/>
        </w:rPr>
        <w:t>.</w:t>
      </w:r>
      <w:r w:rsidR="0091315E" w:rsidRPr="004B0BC2">
        <w:rPr>
          <w:rFonts w:asciiTheme="minorHAnsi" w:hAnsiTheme="minorHAnsi" w:cstheme="minorHAnsi"/>
          <w:sz w:val="22"/>
          <w:szCs w:val="22"/>
          <w:shd w:val="clear" w:color="auto" w:fill="FFFFFF"/>
        </w:rPr>
        <w:t xml:space="preserve"> </w:t>
      </w:r>
      <w:r w:rsidR="00D0050D" w:rsidRPr="004B0BC2">
        <w:rPr>
          <w:rFonts w:asciiTheme="minorHAnsi" w:hAnsiTheme="minorHAnsi" w:cstheme="minorHAnsi"/>
          <w:sz w:val="22"/>
          <w:szCs w:val="22"/>
          <w:shd w:val="clear" w:color="auto" w:fill="FFFFFF"/>
        </w:rPr>
        <w:t>W</w:t>
      </w:r>
      <w:r w:rsidR="007523AA" w:rsidRPr="004B0BC2">
        <w:rPr>
          <w:rFonts w:asciiTheme="minorHAnsi" w:hAnsiTheme="minorHAnsi" w:cstheme="minorHAnsi"/>
          <w:sz w:val="22"/>
          <w:szCs w:val="22"/>
          <w:shd w:val="clear" w:color="auto" w:fill="FFFFFF"/>
        </w:rPr>
        <w:t>omen</w:t>
      </w:r>
      <w:r w:rsidR="00560F52" w:rsidRPr="004B0BC2">
        <w:rPr>
          <w:rFonts w:asciiTheme="minorHAnsi" w:hAnsiTheme="minorHAnsi" w:cstheme="minorHAnsi"/>
          <w:sz w:val="22"/>
          <w:szCs w:val="22"/>
          <w:shd w:val="clear" w:color="auto" w:fill="FFFFFF"/>
        </w:rPr>
        <w:t xml:space="preserve"> </w:t>
      </w:r>
      <w:r w:rsidR="007523AA" w:rsidRPr="004B0BC2">
        <w:rPr>
          <w:rFonts w:asciiTheme="minorHAnsi" w:hAnsiTheme="minorHAnsi" w:cstheme="minorHAnsi"/>
          <w:sz w:val="22"/>
          <w:szCs w:val="22"/>
          <w:shd w:val="clear" w:color="auto" w:fill="FFFFFF"/>
        </w:rPr>
        <w:t xml:space="preserve">attend primary care services </w:t>
      </w:r>
      <w:r w:rsidR="000F1EDE" w:rsidRPr="004B0BC2">
        <w:rPr>
          <w:rFonts w:asciiTheme="minorHAnsi" w:hAnsiTheme="minorHAnsi" w:cstheme="minorHAnsi"/>
          <w:sz w:val="22"/>
          <w:szCs w:val="22"/>
          <w:shd w:val="clear" w:color="auto" w:fill="FFFFFF"/>
        </w:rPr>
        <w:t>more frequently than</w:t>
      </w:r>
      <w:r w:rsidR="007523AA" w:rsidRPr="004B0BC2">
        <w:rPr>
          <w:rFonts w:asciiTheme="minorHAnsi" w:hAnsiTheme="minorHAnsi" w:cstheme="minorHAnsi"/>
          <w:sz w:val="22"/>
          <w:szCs w:val="22"/>
          <w:shd w:val="clear" w:color="auto" w:fill="FFFFFF"/>
        </w:rPr>
        <w:t xml:space="preserve"> men</w:t>
      </w:r>
      <w:r w:rsidR="00D0050D" w:rsidRPr="004B0BC2">
        <w:rPr>
          <w:rFonts w:asciiTheme="minorHAnsi" w:hAnsiTheme="minorHAnsi" w:cstheme="minorHAnsi"/>
          <w:sz w:val="22"/>
          <w:szCs w:val="22"/>
          <w:shd w:val="clear" w:color="auto" w:fill="FFFFFF"/>
        </w:rPr>
        <w:t xml:space="preserve"> but</w:t>
      </w:r>
      <w:r w:rsidR="0091315E" w:rsidRPr="004B0BC2">
        <w:rPr>
          <w:rFonts w:asciiTheme="minorHAnsi" w:hAnsiTheme="minorHAnsi" w:cstheme="minorHAnsi"/>
          <w:sz w:val="22"/>
          <w:szCs w:val="22"/>
          <w:shd w:val="clear" w:color="auto" w:fill="FFFFFF"/>
        </w:rPr>
        <w:t xml:space="preserve"> </w:t>
      </w:r>
      <w:r w:rsidR="007523AA" w:rsidRPr="004B0BC2">
        <w:rPr>
          <w:rFonts w:asciiTheme="minorHAnsi" w:hAnsiTheme="minorHAnsi" w:cstheme="minorHAnsi"/>
          <w:sz w:val="22"/>
          <w:szCs w:val="22"/>
          <w:shd w:val="clear" w:color="auto" w:fill="FFFFFF"/>
        </w:rPr>
        <w:t>men have been</w:t>
      </w:r>
      <w:r w:rsidR="0091315E" w:rsidRPr="004B0BC2">
        <w:rPr>
          <w:rFonts w:asciiTheme="minorHAnsi" w:hAnsiTheme="minorHAnsi" w:cstheme="minorHAnsi"/>
          <w:sz w:val="22"/>
          <w:szCs w:val="22"/>
          <w:shd w:val="clear" w:color="auto" w:fill="FFFFFF"/>
        </w:rPr>
        <w:t xml:space="preserve"> </w:t>
      </w:r>
      <w:r w:rsidR="00552A3E" w:rsidRPr="004B0BC2">
        <w:rPr>
          <w:rFonts w:asciiTheme="minorHAnsi" w:hAnsiTheme="minorHAnsi" w:cstheme="minorHAnsi"/>
          <w:sz w:val="22"/>
          <w:szCs w:val="22"/>
          <w:shd w:val="clear" w:color="auto" w:fill="FFFFFF"/>
        </w:rPr>
        <w:t xml:space="preserve">reported </w:t>
      </w:r>
      <w:r w:rsidR="007523AA" w:rsidRPr="004B0BC2">
        <w:rPr>
          <w:rFonts w:asciiTheme="minorHAnsi" w:hAnsiTheme="minorHAnsi" w:cstheme="minorHAnsi"/>
          <w:sz w:val="22"/>
          <w:szCs w:val="22"/>
          <w:shd w:val="clear" w:color="auto" w:fill="FFFFFF"/>
        </w:rPr>
        <w:t xml:space="preserve">to have </w:t>
      </w:r>
      <w:r w:rsidR="00552A3E" w:rsidRPr="004B0BC2">
        <w:rPr>
          <w:rFonts w:asciiTheme="minorHAnsi" w:hAnsiTheme="minorHAnsi" w:cstheme="minorHAnsi"/>
          <w:sz w:val="22"/>
          <w:szCs w:val="22"/>
          <w:shd w:val="clear" w:color="auto" w:fill="FFFFFF"/>
        </w:rPr>
        <w:t xml:space="preserve">increased </w:t>
      </w:r>
      <w:r w:rsidR="007523AA" w:rsidRPr="004B0BC2">
        <w:rPr>
          <w:rFonts w:asciiTheme="minorHAnsi" w:hAnsiTheme="minorHAnsi" w:cstheme="minorHAnsi"/>
          <w:sz w:val="22"/>
          <w:szCs w:val="22"/>
          <w:shd w:val="clear" w:color="auto" w:fill="FFFFFF"/>
        </w:rPr>
        <w:t>hospital admissions</w:t>
      </w:r>
      <w:r w:rsidR="007523AA"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10.1093/pubmed/fdm072","ISSN":"1741-3842","author":[{"dropping-particle":"","family":"Juel","given":"K.","non-dropping-particle":"","parse-names":false,"suffix":""},{"dropping-particle":"","family":"Christensen","given":"K.","non-dropping-particle":"","parse-names":false,"suffix":""}],"container-title":"Journal of Public Health","id":"ITEM-1","issue":"1","issued":{"date-parts":[["2008"]]},"page":"111-113","title":"Are men seeking medical advice too late? Contacts to general practitioners and hospital admissions in Denmark 2005","type":"article-journal","volume":"30"},"uris":["http://www.mendeley.com/documents/?uuid=11648101-944e-33c9-83a2-9f32d450ee90"]}],"mendeley":{"formattedCitation":"(74)","plainTextFormattedCitation":"(74)","previouslyFormattedCitation":"(74)"},"properties":{"noteIndex":0},"schema":"https://github.com/citation-style-language/schema/raw/master/csl-citation.json"}</w:instrText>
      </w:r>
      <w:r w:rsidR="007523AA"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(74)</w:t>
      </w:r>
      <w:r w:rsidR="007523AA" w:rsidRPr="004B0BC2">
        <w:rPr>
          <w:rFonts w:asciiTheme="minorHAnsi" w:hAnsiTheme="minorHAnsi" w:cstheme="minorHAnsi"/>
          <w:sz w:val="22"/>
          <w:szCs w:val="22"/>
          <w:shd w:val="clear" w:color="auto" w:fill="FFFFFF"/>
        </w:rPr>
        <w:fldChar w:fldCharType="end"/>
      </w:r>
      <w:r w:rsidR="00552A3E"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{"citationItems":[{"id":"ITEM-1","itemData":{"DOI":"10.1038/s41443-020-0260-6","ISSN":"0955-9930","abstract":"Globally, the life expectancy for men is 5.1 years less than for women. This gender gap in mortality is intrinsically linked to a higher proportion of premature male mortality and is a significant economic, social and healthcare issue. We explore the main causes for premature male death and also discuss the need for a dedicated men's health clinic, especially in the context of potential commercial exploitation.","author":[{"dropping-particle":"","family":"Tharakan","given":"Tharu","non-dropping-particle":"","parse-names":false,"suffix":""},{"dropping-particle":"","family":"Jayasena","given":"Channa","non-dropping-particle":"","parse-names":false,"suffix":""},{"dropping-particle":"","family":"Minhas","given":"Suks","non-dropping-particle":"","parse-names":false,"suffix":""}],"container-title":"International Journal of Impotence Research","id":"ITEM-1","issued":{"date-parts":[["2020"]]},"page":"1-4","title":"Men’s health clinics: a real need or a marketing strategy","type":"article-journal"},"uris":["http://www.mendeley.com/documents/?uuid=01e7dc52-d5dc-3412-9d63-2fbade209ff9"]}],"mendeley":{"formattedCitation":"(4)","plainTextFormattedCitation":"(4)","previouslyFormattedCitation":"(4)"},"properties":{"noteIndex":0},"schema":"https://github.com/citation-style-language/schema/raw/master/csl-citation.json"}</w:instrText>
      </w:r>
      <w:r w:rsidR="00552A3E" w:rsidRPr="004B0BC2">
        <w:rPr>
          <w:rFonts w:asciiTheme="minorHAnsi" w:hAnsiTheme="minorHAnsi" w:cstheme="minorHAnsi"/>
          <w:sz w:val="22"/>
          <w:szCs w:val="22"/>
          <w:shd w:val="clear" w:color="auto" w:fill="FFFFFF"/>
        </w:rPr>
        <w:fldChar w:fldCharType="separate"/>
      </w:r>
      <w:r w:rsidR="006B35BC" w:rsidRPr="004B0BC2">
        <w:rPr>
          <w:rFonts w:asciiTheme="minorHAnsi" w:hAnsiTheme="minorHAnsi" w:cstheme="minorHAnsi"/>
          <w:noProof/>
          <w:sz w:val="22"/>
          <w:szCs w:val="22"/>
          <w:shd w:val="clear" w:color="auto" w:fill="FFFFFF"/>
        </w:rPr>
        <w:t>(4)</w:t>
      </w:r>
      <w:r w:rsidR="00552A3E" w:rsidRPr="004B0BC2">
        <w:rPr>
          <w:rFonts w:asciiTheme="minorHAnsi" w:hAnsiTheme="minorHAnsi" w:cstheme="minorHAnsi"/>
          <w:sz w:val="22"/>
          <w:szCs w:val="22"/>
          <w:shd w:val="clear" w:color="auto" w:fill="FFFFFF"/>
        </w:rPr>
        <w:fldChar w:fldCharType="end"/>
      </w:r>
      <w:r w:rsidR="007523AA" w:rsidRPr="004B0BC2">
        <w:rPr>
          <w:rFonts w:asciiTheme="minorHAnsi" w:hAnsiTheme="minorHAnsi" w:cstheme="minorHAnsi"/>
          <w:sz w:val="22"/>
          <w:szCs w:val="22"/>
          <w:shd w:val="clear" w:color="auto" w:fill="FFFFFF"/>
        </w:rPr>
        <w:t>.</w:t>
      </w:r>
      <w:r w:rsidR="00F67875" w:rsidRPr="004B0BC2">
        <w:rPr>
          <w:rFonts w:asciiTheme="minorHAnsi" w:hAnsiTheme="minorHAnsi" w:cstheme="minorHAnsi"/>
          <w:sz w:val="22"/>
          <w:szCs w:val="22"/>
          <w:shd w:val="clear" w:color="auto" w:fill="FFFFFF"/>
        </w:rPr>
        <w:t xml:space="preserve"> A </w:t>
      </w:r>
      <w:r w:rsidR="007D457B" w:rsidRPr="004B0BC2">
        <w:rPr>
          <w:rFonts w:asciiTheme="minorHAnsi" w:hAnsiTheme="minorHAnsi" w:cstheme="minorHAnsi"/>
          <w:sz w:val="22"/>
          <w:szCs w:val="22"/>
          <w:shd w:val="clear" w:color="auto" w:fill="FFFFFF"/>
        </w:rPr>
        <w:t>c</w:t>
      </w:r>
      <w:r w:rsidR="00F67875" w:rsidRPr="004B0BC2">
        <w:rPr>
          <w:rFonts w:asciiTheme="minorHAnsi" w:hAnsiTheme="minorHAnsi" w:cstheme="minorHAnsi"/>
          <w:sz w:val="22"/>
          <w:szCs w:val="22"/>
          <w:shd w:val="clear" w:color="auto" w:fill="FFFFFF"/>
        </w:rPr>
        <w:t>ross-sectional study of 446</w:t>
      </w:r>
      <w:r w:rsidR="00C40E8A" w:rsidRPr="004B0BC2">
        <w:rPr>
          <w:rFonts w:asciiTheme="minorHAnsi" w:hAnsiTheme="minorHAnsi" w:cstheme="minorHAnsi"/>
          <w:sz w:val="22"/>
          <w:szCs w:val="22"/>
          <w:shd w:val="clear" w:color="auto" w:fill="FFFFFF"/>
        </w:rPr>
        <w:t xml:space="preserve"> UK</w:t>
      </w:r>
      <w:r w:rsidR="00F67875" w:rsidRPr="004B0BC2">
        <w:rPr>
          <w:rFonts w:asciiTheme="minorHAnsi" w:hAnsiTheme="minorHAnsi" w:cstheme="minorHAnsi"/>
          <w:sz w:val="22"/>
          <w:szCs w:val="22"/>
          <w:shd w:val="clear" w:color="auto" w:fill="FFFFFF"/>
        </w:rPr>
        <w:t xml:space="preserve"> General </w:t>
      </w:r>
      <w:r w:rsidR="000613F4">
        <w:rPr>
          <w:rFonts w:asciiTheme="minorHAnsi" w:hAnsiTheme="minorHAnsi" w:cstheme="minorHAnsi"/>
          <w:sz w:val="22"/>
          <w:szCs w:val="22"/>
          <w:shd w:val="clear" w:color="auto" w:fill="FFFFFF"/>
        </w:rPr>
        <w:t>P</w:t>
      </w:r>
      <w:r w:rsidR="000B24F7" w:rsidRPr="004B0BC2">
        <w:rPr>
          <w:rFonts w:asciiTheme="minorHAnsi" w:hAnsiTheme="minorHAnsi" w:cstheme="minorHAnsi"/>
          <w:sz w:val="22"/>
          <w:szCs w:val="22"/>
          <w:shd w:val="clear" w:color="auto" w:fill="FFFFFF"/>
        </w:rPr>
        <w:t>ractices</w:t>
      </w:r>
      <w:r w:rsidR="00C22419" w:rsidRPr="004B0BC2">
        <w:rPr>
          <w:rFonts w:asciiTheme="minorHAnsi" w:hAnsiTheme="minorHAnsi" w:cstheme="minorHAnsi"/>
          <w:sz w:val="22"/>
          <w:szCs w:val="22"/>
          <w:shd w:val="clear" w:color="auto" w:fill="FFFFFF"/>
        </w:rPr>
        <w:t xml:space="preserve"> reported that the crude consultation rate was 32% lower in men than women and the greatest </w:t>
      </w:r>
      <w:r w:rsidR="00BF4D5A" w:rsidRPr="004B0BC2">
        <w:rPr>
          <w:rFonts w:asciiTheme="minorHAnsi" w:hAnsiTheme="minorHAnsi" w:cstheme="minorHAnsi"/>
          <w:sz w:val="22"/>
          <w:szCs w:val="22"/>
          <w:shd w:val="clear" w:color="auto" w:fill="FFFFFF"/>
        </w:rPr>
        <w:t xml:space="preserve">sex </w:t>
      </w:r>
      <w:r w:rsidR="00C22419" w:rsidRPr="004B0BC2">
        <w:rPr>
          <w:rFonts w:asciiTheme="minorHAnsi" w:hAnsiTheme="minorHAnsi" w:cstheme="minorHAnsi"/>
          <w:sz w:val="22"/>
          <w:szCs w:val="22"/>
          <w:shd w:val="clear" w:color="auto" w:fill="FFFFFF"/>
        </w:rPr>
        <w:t xml:space="preserve">gap in primary care consultations was seen among </w:t>
      </w:r>
      <w:r w:rsidR="000613F4">
        <w:rPr>
          <w:rFonts w:asciiTheme="minorHAnsi" w:hAnsiTheme="minorHAnsi" w:cstheme="minorHAnsi"/>
          <w:sz w:val="22"/>
          <w:szCs w:val="22"/>
          <w:shd w:val="clear" w:color="auto" w:fill="FFFFFF"/>
        </w:rPr>
        <w:t>patients</w:t>
      </w:r>
      <w:r w:rsidR="00C22419" w:rsidRPr="004B0BC2">
        <w:rPr>
          <w:rFonts w:asciiTheme="minorHAnsi" w:hAnsiTheme="minorHAnsi" w:cstheme="minorHAnsi"/>
          <w:sz w:val="22"/>
          <w:szCs w:val="22"/>
          <w:shd w:val="clear" w:color="auto" w:fill="FFFFFF"/>
        </w:rPr>
        <w:t xml:space="preserve"> aged between 16 and 60 years</w:t>
      </w:r>
      <w:r w:rsidR="00C22419"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{"citationItems":[{"id":"ITEM-1","itemData":{"DOI":"10.1136/bmjopen-2013-003320","ISSN":"20446055","abstract":"Objective: To examine whether gender differences in primary care consultation rates (1) vary by age and deprivation status and (2) diminish when consultation for reproductive reasons or common underlying morbidities are accounted for. Design: Cross-sectional study of a cohort of patients registered with general practice. Setting: UK primary care. Subjects: Patients (1 869 149 men and 1 916 898 women) registered with 446 eligible practices in 2010. Primary outcome measures: Primary care consultation rate. Results: This study analyses routinely collected primary care consultation data. The crude consultation rate was 32% lower in men than women. The magnitude of gender difference varied across the life course, and there was no 'excess' female consulting in early and later life. The greatest gender gap in primary care consultations was seen among those aged between 16 and 60 years. Gender differences in consulting were higher in people from more deprived areas than among those from more affluent areas. Accounting for reproductive-related consultations diminished but did not eradicate the gender gap. However, consultation rates in men and women who had comparable underlying morbidities (as assessed by receipt of medication) were similar; men in receipt of antidepressant medication were only 8% less likely to consult than women in receipt of antidepressant medication (relative risk (RR) 0.916, 95% CI 0.913 to 0.918), and men in receipt of medication to treat cardiovascular disease were just 5% less likely to consult (RR=0.950, 95% CI 0.948 to 0.952) than women receiving similar medication. These small gender differences diminished further, particularly for depression (RR=0.950, 95% CI 0.947 to 0.953), after also taking account of reproductive consultations. Conclusions: Overall gender differences in consulting are most marked between the ages of 16 and 60 years; these differences are only partially accounted for by consultations for reproductive reasons. Differences in consultation rates between men and women were largely eradicated when comparing men and women in receipt of medication for similar underlying morbidities.","author":[{"dropping-particle":"","family":"Wang","given":"Yingying","non-dropping-particle":"","parse-names":false,"suffix":""},{"dropping-particle":"","family":"Hunt","given":"Kate","non-dropping-particle":"","parse-names":false,"suffix":""},{"dropping-particle":"","family":"Nazareth","given":"Irwin","non-dropping-particle":"","parse-names":false,"suffix":""},{"dropping-particle":"","family":"Freemantle","given":"Nick","non-dropping-particle":"","parse-names":false,"suffix":""},{"dropping-particle":"","family":"Petersen","given":"Irene","non-dropping-particle":"","parse-names":false,"suffix":""}],"container-title":"BMJ Open","id":"ITEM-1","issued":{"date-parts":[["2013"]]},"page":"1-7","title":"Do men consult less than women? An analysis of routinely collected UK general practice data","type":"article-journal","volume":"3"},"uris":["http://www.mendeley.com/documents/?uuid=0751d931-4080-488e-8de6-8f5c1cf5ed52"]}],"mendeley":{"formattedCitation":"(75)","plainTextFormattedCitation":"(75)","previouslyFormattedCitation":"(75)"},"properties":{"noteIndex":0},"schema":"https://github.com/citation-style-language/schema/raw/master/csl-citation.json"}</w:instrText>
      </w:r>
      <w:r w:rsidR="00C22419"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(75)</w:t>
      </w:r>
      <w:r w:rsidR="00C22419" w:rsidRPr="004B0BC2">
        <w:rPr>
          <w:rFonts w:asciiTheme="minorHAnsi" w:hAnsiTheme="minorHAnsi" w:cstheme="minorHAnsi"/>
          <w:sz w:val="22"/>
          <w:szCs w:val="22"/>
          <w:shd w:val="clear" w:color="auto" w:fill="FFFFFF"/>
        </w:rPr>
        <w:fldChar w:fldCharType="end"/>
      </w:r>
      <w:r w:rsidR="00C22419" w:rsidRPr="004B0BC2">
        <w:rPr>
          <w:rFonts w:asciiTheme="minorHAnsi" w:hAnsiTheme="minorHAnsi" w:cstheme="minorHAnsi"/>
          <w:sz w:val="22"/>
          <w:szCs w:val="22"/>
          <w:shd w:val="clear" w:color="auto" w:fill="FFFFFF"/>
        </w:rPr>
        <w:t>.</w:t>
      </w:r>
    </w:p>
    <w:p w14:paraId="673503BF" w14:textId="5AA70FD0" w:rsidR="00D315A8" w:rsidRPr="004B0BC2" w:rsidRDefault="000613F4" w:rsidP="00B66369">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Although</w:t>
      </w:r>
      <w:r w:rsidRPr="004B0BC2">
        <w:rPr>
          <w:rFonts w:asciiTheme="minorHAnsi" w:hAnsiTheme="minorHAnsi" w:cstheme="minorHAnsi"/>
          <w:sz w:val="22"/>
          <w:szCs w:val="22"/>
          <w:shd w:val="clear" w:color="auto" w:fill="FFFFFF"/>
        </w:rPr>
        <w:t xml:space="preserve"> </w:t>
      </w:r>
      <w:r w:rsidR="000A5728" w:rsidRPr="004B0BC2">
        <w:rPr>
          <w:rFonts w:asciiTheme="minorHAnsi" w:hAnsiTheme="minorHAnsi" w:cstheme="minorHAnsi"/>
          <w:sz w:val="22"/>
          <w:szCs w:val="22"/>
          <w:shd w:val="clear" w:color="auto" w:fill="FFFFFF"/>
        </w:rPr>
        <w:t xml:space="preserve">overall admission rates for the </w:t>
      </w:r>
      <w:r w:rsidR="00FA11CD" w:rsidRPr="004B0BC2">
        <w:rPr>
          <w:rFonts w:asciiTheme="minorHAnsi" w:hAnsiTheme="minorHAnsi" w:cstheme="minorHAnsi"/>
          <w:sz w:val="22"/>
          <w:szCs w:val="22"/>
          <w:shd w:val="clear" w:color="auto" w:fill="FFFFFF"/>
        </w:rPr>
        <w:t xml:space="preserve">NHS </w:t>
      </w:r>
      <w:r w:rsidR="00F67875" w:rsidRPr="004B0BC2">
        <w:rPr>
          <w:rFonts w:asciiTheme="minorHAnsi" w:hAnsiTheme="minorHAnsi" w:cstheme="minorHAnsi"/>
          <w:sz w:val="22"/>
          <w:szCs w:val="22"/>
          <w:shd w:val="clear" w:color="auto" w:fill="FFFFFF"/>
        </w:rPr>
        <w:t>within the period</w:t>
      </w:r>
      <w:r w:rsidR="000A5728" w:rsidRPr="004B0BC2">
        <w:rPr>
          <w:rFonts w:asciiTheme="minorHAnsi" w:hAnsiTheme="minorHAnsi" w:cstheme="minorHAnsi"/>
          <w:sz w:val="22"/>
          <w:szCs w:val="22"/>
          <w:shd w:val="clear" w:color="auto" w:fill="FFFFFF"/>
        </w:rPr>
        <w:t xml:space="preserve"> 2018</w:t>
      </w:r>
      <w:r>
        <w:rPr>
          <w:rFonts w:asciiTheme="minorHAnsi" w:hAnsiTheme="minorHAnsi" w:cstheme="minorHAnsi"/>
          <w:sz w:val="22"/>
          <w:szCs w:val="22"/>
          <w:shd w:val="clear" w:color="auto" w:fill="FFFFFF"/>
        </w:rPr>
        <w:t>–</w:t>
      </w:r>
      <w:r w:rsidR="000A5728" w:rsidRPr="004B0BC2">
        <w:rPr>
          <w:rFonts w:asciiTheme="minorHAnsi" w:hAnsiTheme="minorHAnsi" w:cstheme="minorHAnsi"/>
          <w:sz w:val="22"/>
          <w:szCs w:val="22"/>
          <w:shd w:val="clear" w:color="auto" w:fill="FFFFFF"/>
        </w:rPr>
        <w:t>2019 were higher for females than males, when analys</w:t>
      </w:r>
      <w:r>
        <w:rPr>
          <w:rFonts w:asciiTheme="minorHAnsi" w:hAnsiTheme="minorHAnsi" w:cstheme="minorHAnsi"/>
          <w:sz w:val="22"/>
          <w:szCs w:val="22"/>
          <w:shd w:val="clear" w:color="auto" w:fill="FFFFFF"/>
        </w:rPr>
        <w:t>is is limited to</w:t>
      </w:r>
      <w:r w:rsidR="00F67875" w:rsidRPr="004B0BC2">
        <w:rPr>
          <w:rFonts w:asciiTheme="minorHAnsi" w:hAnsiTheme="minorHAnsi" w:cstheme="minorHAnsi"/>
          <w:sz w:val="22"/>
          <w:szCs w:val="22"/>
          <w:shd w:val="clear" w:color="auto" w:fill="FFFFFF"/>
        </w:rPr>
        <w:t xml:space="preserve"> patients</w:t>
      </w:r>
      <w:r w:rsidR="000A5728" w:rsidRPr="004B0BC2">
        <w:rPr>
          <w:rFonts w:asciiTheme="minorHAnsi" w:hAnsiTheme="minorHAnsi" w:cstheme="minorHAnsi"/>
          <w:sz w:val="22"/>
          <w:szCs w:val="22"/>
          <w:shd w:val="clear" w:color="auto" w:fill="FFFFFF"/>
        </w:rPr>
        <w:t xml:space="preserve"> age</w:t>
      </w:r>
      <w:r w:rsidR="008717DC" w:rsidRPr="004B0BC2">
        <w:rPr>
          <w:rFonts w:asciiTheme="minorHAnsi" w:hAnsiTheme="minorHAnsi" w:cstheme="minorHAnsi"/>
          <w:sz w:val="22"/>
          <w:szCs w:val="22"/>
          <w:shd w:val="clear" w:color="auto" w:fill="FFFFFF"/>
        </w:rPr>
        <w:t>d</w:t>
      </w:r>
      <w:r w:rsidR="000A5728" w:rsidRPr="004B0BC2">
        <w:rPr>
          <w:rFonts w:asciiTheme="minorHAnsi" w:hAnsiTheme="minorHAnsi" w:cstheme="minorHAnsi"/>
          <w:sz w:val="22"/>
          <w:szCs w:val="22"/>
          <w:shd w:val="clear" w:color="auto" w:fill="FFFFFF"/>
        </w:rPr>
        <w:t xml:space="preserve"> between 45</w:t>
      </w:r>
      <w:r>
        <w:rPr>
          <w:rFonts w:asciiTheme="minorHAnsi" w:hAnsiTheme="minorHAnsi" w:cstheme="minorHAnsi"/>
          <w:sz w:val="22"/>
          <w:szCs w:val="22"/>
          <w:shd w:val="clear" w:color="auto" w:fill="FFFFFF"/>
        </w:rPr>
        <w:t>–</w:t>
      </w:r>
      <w:r w:rsidR="000A5728" w:rsidRPr="004B0BC2">
        <w:rPr>
          <w:rFonts w:asciiTheme="minorHAnsi" w:hAnsiTheme="minorHAnsi" w:cstheme="minorHAnsi"/>
          <w:sz w:val="22"/>
          <w:szCs w:val="22"/>
          <w:shd w:val="clear" w:color="auto" w:fill="FFFFFF"/>
        </w:rPr>
        <w:t>84 (</w:t>
      </w:r>
      <w:r>
        <w:rPr>
          <w:rFonts w:asciiTheme="minorHAnsi" w:hAnsiTheme="minorHAnsi" w:cstheme="minorHAnsi"/>
          <w:sz w:val="22"/>
          <w:szCs w:val="22"/>
          <w:shd w:val="clear" w:color="auto" w:fill="FFFFFF"/>
        </w:rPr>
        <w:t xml:space="preserve">which </w:t>
      </w:r>
      <w:r w:rsidR="000A5728" w:rsidRPr="004B0BC2">
        <w:rPr>
          <w:rFonts w:asciiTheme="minorHAnsi" w:hAnsiTheme="minorHAnsi" w:cstheme="minorHAnsi"/>
          <w:sz w:val="22"/>
          <w:szCs w:val="22"/>
          <w:shd w:val="clear" w:color="auto" w:fill="FFFFFF"/>
        </w:rPr>
        <w:t>exclud</w:t>
      </w:r>
      <w:r>
        <w:rPr>
          <w:rFonts w:asciiTheme="minorHAnsi" w:hAnsiTheme="minorHAnsi" w:cstheme="minorHAnsi"/>
          <w:sz w:val="22"/>
          <w:szCs w:val="22"/>
          <w:shd w:val="clear" w:color="auto" w:fill="FFFFFF"/>
        </w:rPr>
        <w:t>es</w:t>
      </w:r>
      <w:r w:rsidR="000A5728" w:rsidRPr="004B0BC2">
        <w:rPr>
          <w:rFonts w:asciiTheme="minorHAnsi" w:hAnsiTheme="minorHAnsi" w:cstheme="minorHAnsi"/>
          <w:sz w:val="22"/>
          <w:szCs w:val="22"/>
          <w:shd w:val="clear" w:color="auto" w:fill="FFFFFF"/>
        </w:rPr>
        <w:t xml:space="preserve"> maternal services) the hospital admission rate for men </w:t>
      </w:r>
      <w:r w:rsidR="00005E49" w:rsidRPr="004B0BC2">
        <w:rPr>
          <w:rFonts w:asciiTheme="minorHAnsi" w:hAnsiTheme="minorHAnsi" w:cstheme="minorHAnsi"/>
          <w:sz w:val="22"/>
          <w:szCs w:val="22"/>
          <w:shd w:val="clear" w:color="auto" w:fill="FFFFFF"/>
        </w:rPr>
        <w:t>was</w:t>
      </w:r>
      <w:r w:rsidR="00F67875" w:rsidRPr="004B0BC2">
        <w:rPr>
          <w:rFonts w:asciiTheme="minorHAnsi" w:hAnsiTheme="minorHAnsi" w:cstheme="minorHAnsi"/>
          <w:sz w:val="22"/>
          <w:szCs w:val="22"/>
          <w:shd w:val="clear" w:color="auto" w:fill="FFFFFF"/>
        </w:rPr>
        <w:t xml:space="preserve"> marginally higher than </w:t>
      </w:r>
      <w:r>
        <w:rPr>
          <w:rFonts w:asciiTheme="minorHAnsi" w:hAnsiTheme="minorHAnsi" w:cstheme="minorHAnsi"/>
          <w:sz w:val="22"/>
          <w:szCs w:val="22"/>
          <w:shd w:val="clear" w:color="auto" w:fill="FFFFFF"/>
        </w:rPr>
        <w:t xml:space="preserve">women </w:t>
      </w:r>
      <w:r w:rsidR="00F67875" w:rsidRPr="004B0BC2">
        <w:rPr>
          <w:rFonts w:asciiTheme="minorHAnsi" w:hAnsiTheme="minorHAnsi" w:cstheme="minorHAnsi"/>
          <w:sz w:val="22"/>
          <w:szCs w:val="22"/>
          <w:shd w:val="clear" w:color="auto" w:fill="FFFFFF"/>
        </w:rPr>
        <w:t>(5</w:t>
      </w:r>
      <w:r>
        <w:rPr>
          <w:rFonts w:asciiTheme="minorHAnsi" w:hAnsiTheme="minorHAnsi" w:cstheme="minorHAnsi"/>
          <w:sz w:val="22"/>
          <w:szCs w:val="22"/>
          <w:shd w:val="clear" w:color="auto" w:fill="FFFFFF"/>
        </w:rPr>
        <w:t>,</w:t>
      </w:r>
      <w:r w:rsidR="00F67875" w:rsidRPr="004B0BC2">
        <w:rPr>
          <w:rFonts w:asciiTheme="minorHAnsi" w:hAnsiTheme="minorHAnsi" w:cstheme="minorHAnsi"/>
          <w:sz w:val="22"/>
          <w:szCs w:val="22"/>
          <w:shd w:val="clear" w:color="auto" w:fill="FFFFFF"/>
        </w:rPr>
        <w:t>872</w:t>
      </w:r>
      <w:r>
        <w:rPr>
          <w:rFonts w:asciiTheme="minorHAnsi" w:hAnsiTheme="minorHAnsi" w:cstheme="minorHAnsi"/>
          <w:sz w:val="22"/>
          <w:szCs w:val="22"/>
          <w:shd w:val="clear" w:color="auto" w:fill="FFFFFF"/>
        </w:rPr>
        <w:t>,</w:t>
      </w:r>
      <w:r w:rsidR="00F67875" w:rsidRPr="004B0BC2">
        <w:rPr>
          <w:rFonts w:asciiTheme="minorHAnsi" w:hAnsiTheme="minorHAnsi" w:cstheme="minorHAnsi"/>
          <w:sz w:val="22"/>
          <w:szCs w:val="22"/>
          <w:shd w:val="clear" w:color="auto" w:fill="FFFFFF"/>
        </w:rPr>
        <w:t>710 v</w:t>
      </w:r>
      <w:r>
        <w:rPr>
          <w:rFonts w:asciiTheme="minorHAnsi" w:hAnsiTheme="minorHAnsi" w:cstheme="minorHAnsi"/>
          <w:sz w:val="22"/>
          <w:szCs w:val="22"/>
          <w:shd w:val="clear" w:color="auto" w:fill="FFFFFF"/>
        </w:rPr>
        <w:t>ersu</w:t>
      </w:r>
      <w:r w:rsidR="00F67875" w:rsidRPr="004B0BC2">
        <w:rPr>
          <w:rFonts w:asciiTheme="minorHAnsi" w:hAnsiTheme="minorHAnsi" w:cstheme="minorHAnsi"/>
          <w:sz w:val="22"/>
          <w:szCs w:val="22"/>
          <w:shd w:val="clear" w:color="auto" w:fill="FFFFFF"/>
        </w:rPr>
        <w:t>s 5</w:t>
      </w:r>
      <w:r>
        <w:rPr>
          <w:rFonts w:asciiTheme="minorHAnsi" w:hAnsiTheme="minorHAnsi" w:cstheme="minorHAnsi"/>
          <w:sz w:val="22"/>
          <w:szCs w:val="22"/>
          <w:shd w:val="clear" w:color="auto" w:fill="FFFFFF"/>
        </w:rPr>
        <w:t>,</w:t>
      </w:r>
      <w:r w:rsidR="00F67875" w:rsidRPr="004B0BC2">
        <w:rPr>
          <w:rFonts w:asciiTheme="minorHAnsi" w:hAnsiTheme="minorHAnsi" w:cstheme="minorHAnsi"/>
          <w:sz w:val="22"/>
          <w:szCs w:val="22"/>
          <w:shd w:val="clear" w:color="auto" w:fill="FFFFFF"/>
        </w:rPr>
        <w:t>830</w:t>
      </w:r>
      <w:r>
        <w:rPr>
          <w:rFonts w:asciiTheme="minorHAnsi" w:hAnsiTheme="minorHAnsi" w:cstheme="minorHAnsi"/>
          <w:sz w:val="22"/>
          <w:szCs w:val="22"/>
          <w:shd w:val="clear" w:color="auto" w:fill="FFFFFF"/>
        </w:rPr>
        <w:t>,</w:t>
      </w:r>
      <w:r w:rsidR="00F67875" w:rsidRPr="004B0BC2">
        <w:rPr>
          <w:rFonts w:asciiTheme="minorHAnsi" w:hAnsiTheme="minorHAnsi" w:cstheme="minorHAnsi"/>
          <w:sz w:val="22"/>
          <w:szCs w:val="22"/>
          <w:shd w:val="clear" w:color="auto" w:fill="FFFFFF"/>
        </w:rPr>
        <w:t>144)</w:t>
      </w:r>
      <w:r w:rsidR="00E735B9"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{"citationItems":[{"id":"ITEM-1","itemData":{"URL":"https://digital.nhs.uk/data-and-information/publications/statistical/hospital-admitted-patient-care-activity/2018-19","author":[{"dropping-particle":"","family":"NHS Digital","given":"","non-dropping-particle":"","parse-names":false,"suffix":""}],"id":"ITEM-1","issued":{"date-parts":[["2019"]]},"title":"Hospital Admitted Patient Care Activity 2018-19 - NHS Digital","type":"webpage"},"uris":["http://www.mendeley.com/documents/?uuid=f6fc0642-d5ee-4d00-87e1-3fc244fd8975"]}],"mendeley":{"formattedCitation":"(76)","plainTextFormattedCitation":"(76)","previouslyFormattedCitation":"(76)"},"properties":{"noteIndex":0},"schema":"https://github.com/citation-style-language/schema/raw/master/csl-citation.json"}</w:instrText>
      </w:r>
      <w:r w:rsidR="00E735B9"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(76)</w:t>
      </w:r>
      <w:r w:rsidR="00E735B9" w:rsidRPr="004B0BC2">
        <w:rPr>
          <w:rFonts w:asciiTheme="minorHAnsi" w:hAnsiTheme="minorHAnsi" w:cstheme="minorHAnsi"/>
          <w:sz w:val="22"/>
          <w:szCs w:val="22"/>
          <w:shd w:val="clear" w:color="auto" w:fill="FFFFFF"/>
        </w:rPr>
        <w:fldChar w:fldCharType="end"/>
      </w:r>
      <w:r w:rsidR="00E735B9" w:rsidRPr="004B0BC2">
        <w:rPr>
          <w:rFonts w:asciiTheme="minorHAnsi" w:hAnsiTheme="minorHAnsi" w:cstheme="minorHAnsi"/>
          <w:sz w:val="22"/>
          <w:szCs w:val="22"/>
          <w:shd w:val="clear" w:color="auto" w:fill="FFFFFF"/>
        </w:rPr>
        <w:t>.</w:t>
      </w:r>
      <w:r w:rsidR="00F67875" w:rsidRPr="004B0BC2">
        <w:rPr>
          <w:rFonts w:asciiTheme="minorHAnsi" w:hAnsiTheme="minorHAnsi" w:cstheme="minorHAnsi"/>
          <w:sz w:val="22"/>
          <w:szCs w:val="22"/>
          <w:shd w:val="clear" w:color="auto" w:fill="FFFFFF"/>
        </w:rPr>
        <w:t xml:space="preserve"> However, the </w:t>
      </w:r>
      <w:r w:rsidR="00C35232" w:rsidRPr="004B0BC2">
        <w:rPr>
          <w:rFonts w:asciiTheme="minorHAnsi" w:hAnsiTheme="minorHAnsi" w:cstheme="minorHAnsi"/>
          <w:sz w:val="22"/>
          <w:szCs w:val="22"/>
          <w:shd w:val="clear" w:color="auto" w:fill="FFFFFF"/>
        </w:rPr>
        <w:t xml:space="preserve">overall </w:t>
      </w:r>
      <w:r w:rsidR="00F67875" w:rsidRPr="004B0BC2">
        <w:rPr>
          <w:rFonts w:asciiTheme="minorHAnsi" w:hAnsiTheme="minorHAnsi" w:cstheme="minorHAnsi"/>
          <w:sz w:val="22"/>
          <w:szCs w:val="22"/>
          <w:shd w:val="clear" w:color="auto" w:fill="FFFFFF"/>
        </w:rPr>
        <w:t>proportion of patients requiring critical care admission was higher in men than women (57% v</w:t>
      </w:r>
      <w:r>
        <w:rPr>
          <w:rFonts w:asciiTheme="minorHAnsi" w:hAnsiTheme="minorHAnsi" w:cstheme="minorHAnsi"/>
          <w:sz w:val="22"/>
          <w:szCs w:val="22"/>
          <w:shd w:val="clear" w:color="auto" w:fill="FFFFFF"/>
        </w:rPr>
        <w:t>ersu</w:t>
      </w:r>
      <w:r w:rsidR="00F67875" w:rsidRPr="004B0BC2">
        <w:rPr>
          <w:rFonts w:asciiTheme="minorHAnsi" w:hAnsiTheme="minorHAnsi" w:cstheme="minorHAnsi"/>
          <w:sz w:val="22"/>
          <w:szCs w:val="22"/>
          <w:shd w:val="clear" w:color="auto" w:fill="FFFFFF"/>
        </w:rPr>
        <w:t>s 43%)</w:t>
      </w:r>
      <w:r w:rsidR="00F67875"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{"citationItems":[{"id":"ITEM-1","itemData":{"URL":"https://digital.nhs.uk/data-and-information/publications/statistical/hospital-admitted-patient-care-activity/2018-19","author":[{"dropping-particle":"","family":"NHS Digital","given":"","non-dropping-particle":"","parse-names":false,"suffix":""}],"id":"ITEM-1","issued":{"date-parts":[["2019"]]},"title":"Hospital Admitted Patient Care Activity 2018-19 - NHS Digital","type":"webpage"},"uris":["http://www.mendeley.com/documents/?uuid=f6fc0642-d5ee-4d00-87e1-3fc244fd8975"]}],"mendeley":{"formattedCitation":"(76)","plainTextFormattedCitation":"(76)","previouslyFormattedCitation":"(76)"},"properties":{"noteIndex":0},"schema":"https://github.com/citation-style-language/schema/raw/master/csl-citation.json"}</w:instrText>
      </w:r>
      <w:r w:rsidR="00F67875"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(76)</w:t>
      </w:r>
      <w:r w:rsidR="00F67875" w:rsidRPr="004B0BC2">
        <w:rPr>
          <w:rFonts w:asciiTheme="minorHAnsi" w:hAnsiTheme="minorHAnsi" w:cstheme="minorHAnsi"/>
          <w:sz w:val="22"/>
          <w:szCs w:val="22"/>
          <w:shd w:val="clear" w:color="auto" w:fill="FFFFFF"/>
        </w:rPr>
        <w:fldChar w:fldCharType="end"/>
      </w:r>
      <w:r w:rsidR="00F67875" w:rsidRPr="004B0BC2">
        <w:rPr>
          <w:rFonts w:asciiTheme="minorHAnsi" w:hAnsiTheme="minorHAnsi" w:cstheme="minorHAnsi"/>
          <w:sz w:val="22"/>
          <w:szCs w:val="22"/>
          <w:shd w:val="clear" w:color="auto" w:fill="FFFFFF"/>
        </w:rPr>
        <w:t>.</w:t>
      </w:r>
      <w:r w:rsidR="00B04D70" w:rsidRPr="004B0BC2">
        <w:rPr>
          <w:rFonts w:asciiTheme="minorHAnsi" w:hAnsiTheme="minorHAnsi" w:cstheme="minorHAnsi"/>
          <w:sz w:val="22"/>
          <w:szCs w:val="22"/>
          <w:shd w:val="clear" w:color="auto" w:fill="FFFFFF"/>
        </w:rPr>
        <w:t xml:space="preserve"> </w:t>
      </w:r>
    </w:p>
    <w:p w14:paraId="5B595122" w14:textId="52469D1A" w:rsidR="0032162E" w:rsidRPr="004B0BC2" w:rsidRDefault="00D315A8" w:rsidP="00B66369">
      <w:pPr>
        <w:spacing w:line="480" w:lineRule="auto"/>
        <w:rPr>
          <w:rFonts w:asciiTheme="minorHAnsi" w:hAnsiTheme="minorHAnsi" w:cstheme="minorHAnsi"/>
          <w:sz w:val="22"/>
          <w:szCs w:val="22"/>
        </w:rPr>
      </w:pPr>
      <w:r w:rsidRPr="003702D4">
        <w:rPr>
          <w:rFonts w:asciiTheme="minorHAnsi" w:hAnsiTheme="minorHAnsi" w:cstheme="minorHAnsi"/>
          <w:sz w:val="22"/>
          <w:szCs w:val="22"/>
          <w:shd w:val="clear" w:color="auto" w:fill="FFFFFF"/>
        </w:rPr>
        <w:t xml:space="preserve">An Australian </w:t>
      </w:r>
      <w:r w:rsidR="00D974D5" w:rsidRPr="003702D4">
        <w:rPr>
          <w:rFonts w:asciiTheme="minorHAnsi" w:hAnsiTheme="minorHAnsi" w:cstheme="minorHAnsi"/>
          <w:sz w:val="22"/>
          <w:szCs w:val="22"/>
          <w:shd w:val="clear" w:color="auto" w:fill="FFFFFF"/>
        </w:rPr>
        <w:t>survey</w:t>
      </w:r>
      <w:r w:rsidR="004B1FD2" w:rsidRPr="003702D4">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{"citationItems":[{"id":"ITEM-1","itemData":{"DOI":"10.1186/1471-2458-9-213","ISSN":"14712458","PMID":"19563685","abstract":"Background. Lifestyle-related diseases, including diabetes, cardiovascular disease, and some cancers represent the greatest global health threat. Greater insight into health needs and beliefs, using broad community samples, is vital to reduce the burden of chronic disease. This study aimed to investigate gender, age, screening practices, health beliefs, and perceived future health needs for healthy ageing. Methods. Random probability sampling using self-completion surveys in 1456 adults residing in Australia. Results. Screening behaviors were associated with gender and age. Men and women &gt;51 years were more likely (27%) to have screening health checks than those &lt;50 years (2%). Factors nominated to influence health were lifestyle (92%), relationships (82%), and environment (80%). Women were more likely to nominate preparedness to have an annual health check, willingness to seek advice from their medical practitioner and to attend education sessions. Numerous health fears were associated with ageing, however participants were more likely to have a financial (72%) rather than a health plan (42%). More women and participants &gt;51 years wanted information regarding illness prevention than men or those aged &lt;30 years. Conclusion. Age and gender are associated with health related behaviors. Optimal health is perceived as a priority, yet often this perception is not translated into preventative action. These findings will inform future research and policy makers as we strive towards a healthier ageing society and the prevention of chronic disease. © 2009 Deeks et al.","author":[{"dropping-particle":"","family":"Deeks","given":"Amanda","non-dropping-particle":"","parse-names":false,"suffix":""},{"dropping-particle":"","family":"Lombard","given":"Catherine","non-dropping-particle":"","parse-names":false,"suffix":""},{"dropping-particle":"","family":"Michelmore","given":"Janet","non-dropping-particle":"","parse-names":false,"suffix":""},{"dropping-particle":"","family":"Teede","given":"Helena","non-dropping-particle":"","parse-names":false,"suffix":""}],"container-title":"BMC Public Health","id":"ITEM-1","issue":"213","issued":{"date-parts":[["2009"]]},"page":"1-8","title":"The effects of gender and age on health related behaviors","type":"article-journal","volume":"9"},"uris":["http://www.mendeley.com/documents/?uuid=99f12ddf-151c-4f08-ad1d-4a17732c3ba3"]}],"mendeley":{"formattedCitation":"(77)","plainTextFormattedCitation":"(77)","previouslyFormattedCitation":"(77)"},"properties":{"noteIndex":0},"schema":"https://github.com/citation-style-language/schema/raw/master/csl-citation.json"}</w:instrText>
      </w:r>
      <w:r w:rsidR="004B1FD2" w:rsidRPr="003702D4">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(77)</w:t>
      </w:r>
      <w:r w:rsidR="004B1FD2" w:rsidRPr="003702D4">
        <w:rPr>
          <w:rFonts w:asciiTheme="minorHAnsi" w:hAnsiTheme="minorHAnsi" w:cstheme="minorHAnsi"/>
          <w:sz w:val="22"/>
          <w:szCs w:val="22"/>
          <w:shd w:val="clear" w:color="auto" w:fill="FFFFFF"/>
        </w:rPr>
        <w:fldChar w:fldCharType="end"/>
      </w:r>
      <w:r w:rsidRPr="003702D4">
        <w:rPr>
          <w:rFonts w:asciiTheme="minorHAnsi" w:hAnsiTheme="minorHAnsi" w:cstheme="minorHAnsi"/>
          <w:sz w:val="22"/>
          <w:szCs w:val="22"/>
          <w:shd w:val="clear" w:color="auto" w:fill="FFFFFF"/>
        </w:rPr>
        <w:t xml:space="preserve"> assessing health attitudes and behaviours </w:t>
      </w:r>
      <w:r w:rsidR="00D974D5" w:rsidRPr="003702D4">
        <w:rPr>
          <w:rFonts w:asciiTheme="minorHAnsi" w:hAnsiTheme="minorHAnsi" w:cstheme="minorHAnsi"/>
          <w:sz w:val="22"/>
          <w:szCs w:val="22"/>
          <w:shd w:val="clear" w:color="auto" w:fill="FFFFFF"/>
        </w:rPr>
        <w:t>of</w:t>
      </w:r>
      <w:r w:rsidRPr="003702D4">
        <w:rPr>
          <w:rFonts w:asciiTheme="minorHAnsi" w:hAnsiTheme="minorHAnsi" w:cstheme="minorHAnsi"/>
          <w:sz w:val="22"/>
          <w:szCs w:val="22"/>
          <w:shd w:val="clear" w:color="auto" w:fill="FFFFFF"/>
        </w:rPr>
        <w:t xml:space="preserve"> 1</w:t>
      </w:r>
      <w:r w:rsidR="000613F4" w:rsidRPr="003702D4">
        <w:rPr>
          <w:rFonts w:asciiTheme="minorHAnsi" w:hAnsiTheme="minorHAnsi" w:cstheme="minorHAnsi"/>
          <w:sz w:val="22"/>
          <w:szCs w:val="22"/>
          <w:shd w:val="clear" w:color="auto" w:fill="FFFFFF"/>
        </w:rPr>
        <w:t>,</w:t>
      </w:r>
      <w:r w:rsidRPr="003702D4">
        <w:rPr>
          <w:rFonts w:asciiTheme="minorHAnsi" w:hAnsiTheme="minorHAnsi" w:cstheme="minorHAnsi"/>
          <w:sz w:val="22"/>
          <w:szCs w:val="22"/>
          <w:shd w:val="clear" w:color="auto" w:fill="FFFFFF"/>
        </w:rPr>
        <w:t>456 adults reported that</w:t>
      </w:r>
      <w:r w:rsidR="000B24F7" w:rsidRPr="003702D4">
        <w:rPr>
          <w:rFonts w:asciiTheme="minorHAnsi" w:hAnsiTheme="minorHAnsi" w:cstheme="minorHAnsi"/>
          <w:sz w:val="22"/>
          <w:szCs w:val="22"/>
          <w:shd w:val="clear" w:color="auto" w:fill="FFFFFF"/>
        </w:rPr>
        <w:t xml:space="preserve"> w</w:t>
      </w:r>
      <w:r w:rsidRPr="003702D4">
        <w:rPr>
          <w:rFonts w:asciiTheme="minorHAnsi" w:hAnsiTheme="minorHAnsi" w:cstheme="minorHAnsi"/>
          <w:sz w:val="22"/>
          <w:szCs w:val="22"/>
          <w:shd w:val="clear" w:color="auto" w:fill="FFFFFF"/>
        </w:rPr>
        <w:t xml:space="preserve">omen were more likely to have their </w:t>
      </w:r>
      <w:r w:rsidR="002176BD" w:rsidRPr="003702D4">
        <w:rPr>
          <w:rFonts w:asciiTheme="minorHAnsi" w:hAnsiTheme="minorHAnsi" w:cstheme="minorHAnsi"/>
          <w:sz w:val="22"/>
          <w:szCs w:val="22"/>
          <w:shd w:val="clear" w:color="auto" w:fill="FFFFFF"/>
        </w:rPr>
        <w:t xml:space="preserve">blood pressure </w:t>
      </w:r>
      <w:r w:rsidRPr="003702D4">
        <w:rPr>
          <w:rFonts w:asciiTheme="minorHAnsi" w:hAnsiTheme="minorHAnsi" w:cstheme="minorHAnsi"/>
          <w:sz w:val="22"/>
          <w:szCs w:val="22"/>
          <w:shd w:val="clear" w:color="auto" w:fill="FFFFFF"/>
        </w:rPr>
        <w:t>checked</w:t>
      </w:r>
      <w:r w:rsidR="003702D4">
        <w:rPr>
          <w:rFonts w:asciiTheme="minorHAnsi" w:hAnsiTheme="minorHAnsi" w:cstheme="minorHAnsi"/>
          <w:sz w:val="22"/>
          <w:szCs w:val="22"/>
          <w:shd w:val="clear" w:color="auto" w:fill="FFFFFF"/>
        </w:rPr>
        <w:t xml:space="preserve"> regularly </w:t>
      </w:r>
      <w:r w:rsidR="000613F4" w:rsidRPr="003702D4">
        <w:rPr>
          <w:rFonts w:asciiTheme="minorHAnsi" w:hAnsiTheme="minorHAnsi" w:cstheme="minorHAnsi"/>
          <w:sz w:val="22"/>
          <w:szCs w:val="22"/>
          <w:shd w:val="clear" w:color="auto" w:fill="FFFFFF"/>
        </w:rPr>
        <w:t>than</w:t>
      </w:r>
      <w:r w:rsidRPr="003702D4">
        <w:rPr>
          <w:rFonts w:asciiTheme="minorHAnsi" w:hAnsiTheme="minorHAnsi" w:cstheme="minorHAnsi"/>
          <w:sz w:val="22"/>
          <w:szCs w:val="22"/>
          <w:shd w:val="clear" w:color="auto" w:fill="FFFFFF"/>
        </w:rPr>
        <w:t xml:space="preserve"> men (</w:t>
      </w:r>
      <w:r w:rsidR="004B1FD2" w:rsidRPr="003702D4">
        <w:rPr>
          <w:rFonts w:asciiTheme="minorHAnsi" w:hAnsiTheme="minorHAnsi" w:cstheme="minorHAnsi"/>
          <w:sz w:val="22"/>
          <w:szCs w:val="22"/>
          <w:shd w:val="clear" w:color="auto" w:fill="FFFFFF"/>
        </w:rPr>
        <w:t>72% v</w:t>
      </w:r>
      <w:r w:rsidR="000613F4" w:rsidRPr="003702D4">
        <w:rPr>
          <w:rFonts w:asciiTheme="minorHAnsi" w:hAnsiTheme="minorHAnsi" w:cstheme="minorHAnsi"/>
          <w:sz w:val="22"/>
          <w:szCs w:val="22"/>
          <w:shd w:val="clear" w:color="auto" w:fill="FFFFFF"/>
        </w:rPr>
        <w:t>ersu</w:t>
      </w:r>
      <w:r w:rsidR="004B1FD2" w:rsidRPr="003702D4">
        <w:rPr>
          <w:rFonts w:asciiTheme="minorHAnsi" w:hAnsiTheme="minorHAnsi" w:cstheme="minorHAnsi"/>
          <w:sz w:val="22"/>
          <w:szCs w:val="22"/>
          <w:shd w:val="clear" w:color="auto" w:fill="FFFFFF"/>
        </w:rPr>
        <w:t xml:space="preserve">s </w:t>
      </w:r>
      <w:r w:rsidRPr="003702D4">
        <w:rPr>
          <w:rFonts w:asciiTheme="minorHAnsi" w:hAnsiTheme="minorHAnsi" w:cstheme="minorHAnsi"/>
          <w:sz w:val="22"/>
          <w:szCs w:val="22"/>
          <w:shd w:val="clear" w:color="auto" w:fill="FFFFFF"/>
        </w:rPr>
        <w:t>60%</w:t>
      </w:r>
      <w:r w:rsidR="004B1FD2" w:rsidRPr="003702D4">
        <w:rPr>
          <w:rFonts w:asciiTheme="minorHAnsi" w:hAnsiTheme="minorHAnsi" w:cstheme="minorHAnsi"/>
          <w:sz w:val="22"/>
          <w:szCs w:val="22"/>
          <w:shd w:val="clear" w:color="auto" w:fill="FFFFFF"/>
        </w:rPr>
        <w:t xml:space="preserve">, </w:t>
      </w:r>
      <w:r w:rsidR="007D457B" w:rsidRPr="00C33834">
        <w:rPr>
          <w:rFonts w:asciiTheme="minorHAnsi" w:hAnsiTheme="minorHAnsi" w:cstheme="minorHAnsi"/>
          <w:sz w:val="22"/>
          <w:szCs w:val="22"/>
          <w:shd w:val="clear" w:color="auto" w:fill="FFFFFF"/>
        </w:rPr>
        <w:t>p</w:t>
      </w:r>
      <w:r w:rsidRPr="00C33834">
        <w:rPr>
          <w:rFonts w:asciiTheme="minorHAnsi" w:hAnsiTheme="minorHAnsi" w:cstheme="minorHAnsi"/>
          <w:sz w:val="22"/>
          <w:szCs w:val="22"/>
          <w:shd w:val="clear" w:color="auto" w:fill="FFFFFF"/>
        </w:rPr>
        <w:t>&lt;0.001)</w:t>
      </w:r>
      <w:r w:rsidR="000B24F7" w:rsidRPr="004B56F0">
        <w:rPr>
          <w:rFonts w:asciiTheme="minorHAnsi" w:hAnsiTheme="minorHAnsi" w:cstheme="minorHAnsi"/>
          <w:sz w:val="22"/>
          <w:szCs w:val="22"/>
          <w:shd w:val="clear" w:color="auto" w:fill="FFFFFF"/>
        </w:rPr>
        <w:t xml:space="preserve"> and </w:t>
      </w:r>
      <w:r w:rsidR="004B1FD2" w:rsidRPr="00391107">
        <w:rPr>
          <w:rFonts w:asciiTheme="minorHAnsi" w:hAnsiTheme="minorHAnsi" w:cstheme="minorHAnsi"/>
          <w:sz w:val="22"/>
          <w:szCs w:val="22"/>
          <w:shd w:val="clear" w:color="auto" w:fill="FFFFFF"/>
        </w:rPr>
        <w:t>w</w:t>
      </w:r>
      <w:r w:rsidRPr="00391107">
        <w:rPr>
          <w:rFonts w:asciiTheme="minorHAnsi" w:hAnsiTheme="minorHAnsi" w:cstheme="minorHAnsi"/>
          <w:sz w:val="22"/>
          <w:szCs w:val="22"/>
          <w:shd w:val="clear" w:color="auto" w:fill="FFFFFF"/>
        </w:rPr>
        <w:t xml:space="preserve">omen were more likely to </w:t>
      </w:r>
      <w:r w:rsidR="00D974D5" w:rsidRPr="00541B1F">
        <w:rPr>
          <w:rFonts w:asciiTheme="minorHAnsi" w:hAnsiTheme="minorHAnsi" w:cstheme="minorHAnsi"/>
          <w:sz w:val="22"/>
          <w:szCs w:val="22"/>
          <w:shd w:val="clear" w:color="auto" w:fill="FFFFFF"/>
        </w:rPr>
        <w:t>be aware of the influences of</w:t>
      </w:r>
      <w:r w:rsidRPr="00FF7482">
        <w:rPr>
          <w:rFonts w:asciiTheme="minorHAnsi" w:hAnsiTheme="minorHAnsi" w:cstheme="minorHAnsi"/>
          <w:sz w:val="22"/>
          <w:szCs w:val="22"/>
          <w:shd w:val="clear" w:color="auto" w:fill="FFFFFF"/>
        </w:rPr>
        <w:t xml:space="preserve"> disease</w:t>
      </w:r>
      <w:r w:rsidRPr="004B0BC2">
        <w:rPr>
          <w:rFonts w:asciiTheme="minorHAnsi" w:hAnsiTheme="minorHAnsi" w:cstheme="minorHAnsi"/>
          <w:sz w:val="22"/>
          <w:szCs w:val="22"/>
          <w:shd w:val="clear" w:color="auto" w:fill="FFFFFF"/>
        </w:rPr>
        <w:t xml:space="preserve"> prevention strateg</w:t>
      </w:r>
      <w:r w:rsidR="00D974D5" w:rsidRPr="004B0BC2">
        <w:rPr>
          <w:rFonts w:asciiTheme="minorHAnsi" w:hAnsiTheme="minorHAnsi" w:cstheme="minorHAnsi"/>
          <w:sz w:val="22"/>
          <w:szCs w:val="22"/>
          <w:shd w:val="clear" w:color="auto" w:fill="FFFFFF"/>
        </w:rPr>
        <w:t>ies</w:t>
      </w:r>
      <w:r w:rsidR="004B1FD2"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lifestyl</w:t>
      </w:r>
      <w:r w:rsidR="004B1FD2" w:rsidRPr="004B0BC2">
        <w:rPr>
          <w:rFonts w:asciiTheme="minorHAnsi" w:hAnsiTheme="minorHAnsi" w:cstheme="minorHAnsi"/>
          <w:sz w:val="22"/>
          <w:szCs w:val="22"/>
          <w:shd w:val="clear" w:color="auto" w:fill="FFFFFF"/>
        </w:rPr>
        <w:t>e</w:t>
      </w:r>
      <w:r w:rsidR="00D974D5" w:rsidRPr="004B0BC2">
        <w:rPr>
          <w:rFonts w:asciiTheme="minorHAnsi" w:hAnsiTheme="minorHAnsi" w:cstheme="minorHAnsi"/>
          <w:sz w:val="22"/>
          <w:szCs w:val="22"/>
          <w:shd w:val="clear" w:color="auto" w:fill="FFFFFF"/>
        </w:rPr>
        <w:t xml:space="preserve"> and</w:t>
      </w:r>
      <w:r w:rsidRPr="004B0BC2">
        <w:rPr>
          <w:rFonts w:asciiTheme="minorHAnsi" w:hAnsiTheme="minorHAnsi" w:cstheme="minorHAnsi"/>
          <w:sz w:val="22"/>
          <w:szCs w:val="22"/>
          <w:shd w:val="clear" w:color="auto" w:fill="FFFFFF"/>
        </w:rPr>
        <w:t xml:space="preserve"> genetics </w:t>
      </w:r>
      <w:r w:rsidR="00D974D5" w:rsidRPr="004B0BC2">
        <w:rPr>
          <w:rFonts w:asciiTheme="minorHAnsi" w:hAnsiTheme="minorHAnsi" w:cstheme="minorHAnsi"/>
          <w:sz w:val="22"/>
          <w:szCs w:val="22"/>
          <w:shd w:val="clear" w:color="auto" w:fill="FFFFFF"/>
        </w:rPr>
        <w:t>on</w:t>
      </w:r>
      <w:r w:rsidRPr="004B0BC2">
        <w:rPr>
          <w:rFonts w:asciiTheme="minorHAnsi" w:hAnsiTheme="minorHAnsi" w:cstheme="minorHAnsi"/>
          <w:sz w:val="22"/>
          <w:szCs w:val="22"/>
          <w:shd w:val="clear" w:color="auto" w:fill="FFFFFF"/>
        </w:rPr>
        <w:t xml:space="preserve"> health</w:t>
      </w:r>
      <w:r w:rsidR="004B1FD2" w:rsidRPr="004B0BC2">
        <w:rPr>
          <w:rFonts w:asciiTheme="minorHAnsi" w:hAnsiTheme="minorHAnsi" w:cstheme="minorHAnsi"/>
          <w:sz w:val="22"/>
          <w:szCs w:val="22"/>
          <w:shd w:val="clear" w:color="auto" w:fill="FFFFFF"/>
        </w:rPr>
        <w:t xml:space="preserve"> (p&lt;0.01)</w:t>
      </w:r>
      <w:r w:rsidRPr="004B0BC2">
        <w:rPr>
          <w:rFonts w:asciiTheme="minorHAnsi" w:hAnsiTheme="minorHAnsi" w:cstheme="minorHAnsi"/>
          <w:sz w:val="22"/>
          <w:szCs w:val="22"/>
          <w:shd w:val="clear" w:color="auto" w:fill="FFFFFF"/>
        </w:rPr>
        <w:t>.</w:t>
      </w:r>
      <w:r w:rsidR="00D974D5" w:rsidRPr="004B0BC2">
        <w:rPr>
          <w:rFonts w:asciiTheme="minorHAnsi" w:hAnsiTheme="minorHAnsi" w:cstheme="minorHAnsi"/>
          <w:sz w:val="22"/>
          <w:szCs w:val="22"/>
          <w:shd w:val="clear" w:color="auto" w:fill="FFFFFF"/>
        </w:rPr>
        <w:t xml:space="preserve"> Moreover,</w:t>
      </w:r>
      <w:r w:rsidRPr="004B0BC2">
        <w:rPr>
          <w:rFonts w:asciiTheme="minorHAnsi" w:hAnsiTheme="minorHAnsi" w:cstheme="minorHAnsi"/>
          <w:sz w:val="22"/>
          <w:szCs w:val="22"/>
          <w:shd w:val="clear" w:color="auto" w:fill="FFFFFF"/>
        </w:rPr>
        <w:t> </w:t>
      </w:r>
      <w:r w:rsidR="00D974D5" w:rsidRPr="004B0BC2">
        <w:rPr>
          <w:rFonts w:asciiTheme="minorHAnsi" w:hAnsiTheme="minorHAnsi" w:cstheme="minorHAnsi"/>
          <w:sz w:val="22"/>
          <w:szCs w:val="22"/>
          <w:shd w:val="clear" w:color="auto" w:fill="FFFFFF"/>
        </w:rPr>
        <w:t>w</w:t>
      </w:r>
      <w:r w:rsidRPr="004B0BC2">
        <w:rPr>
          <w:rFonts w:asciiTheme="minorHAnsi" w:hAnsiTheme="minorHAnsi" w:cstheme="minorHAnsi"/>
          <w:sz w:val="22"/>
          <w:szCs w:val="22"/>
          <w:shd w:val="clear" w:color="auto" w:fill="FFFFFF"/>
        </w:rPr>
        <w:t>omen</w:t>
      </w:r>
      <w:r w:rsidR="004B1FD2"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were</w:t>
      </w:r>
      <w:r w:rsidR="004B1FD2" w:rsidRPr="004B0BC2">
        <w:rPr>
          <w:rFonts w:asciiTheme="minorHAnsi" w:hAnsiTheme="minorHAnsi" w:cstheme="minorHAnsi"/>
          <w:sz w:val="22"/>
          <w:szCs w:val="22"/>
          <w:shd w:val="clear" w:color="auto" w:fill="FFFFFF"/>
        </w:rPr>
        <w:t xml:space="preserve"> more</w:t>
      </w:r>
      <w:r w:rsidRPr="004B0BC2">
        <w:rPr>
          <w:rFonts w:asciiTheme="minorHAnsi" w:hAnsiTheme="minorHAnsi" w:cstheme="minorHAnsi"/>
          <w:sz w:val="22"/>
          <w:szCs w:val="22"/>
          <w:shd w:val="clear" w:color="auto" w:fill="FFFFFF"/>
        </w:rPr>
        <w:t xml:space="preserve"> </w:t>
      </w:r>
      <w:r w:rsidR="00E66C20" w:rsidRPr="004B0BC2">
        <w:rPr>
          <w:rFonts w:asciiTheme="minorHAnsi" w:hAnsiTheme="minorHAnsi" w:cstheme="minorHAnsi"/>
          <w:sz w:val="22"/>
          <w:szCs w:val="22"/>
          <w:shd w:val="clear" w:color="auto" w:fill="FFFFFF"/>
        </w:rPr>
        <w:t>inclined</w:t>
      </w:r>
      <w:r w:rsidR="000613F4">
        <w:rPr>
          <w:rFonts w:asciiTheme="minorHAnsi" w:hAnsiTheme="minorHAnsi" w:cstheme="minorHAnsi"/>
          <w:sz w:val="22"/>
          <w:szCs w:val="22"/>
          <w:shd w:val="clear" w:color="auto" w:fill="FFFFFF"/>
        </w:rPr>
        <w:t xml:space="preserve"> than men</w:t>
      </w:r>
      <w:r w:rsidRPr="004B0BC2">
        <w:rPr>
          <w:rFonts w:asciiTheme="minorHAnsi" w:hAnsiTheme="minorHAnsi" w:cstheme="minorHAnsi"/>
          <w:sz w:val="22"/>
          <w:szCs w:val="22"/>
          <w:shd w:val="clear" w:color="auto" w:fill="FFFFFF"/>
        </w:rPr>
        <w:t xml:space="preserve"> to </w:t>
      </w:r>
      <w:r w:rsidR="00E66C20" w:rsidRPr="004B0BC2">
        <w:rPr>
          <w:rFonts w:asciiTheme="minorHAnsi" w:hAnsiTheme="minorHAnsi" w:cstheme="minorHAnsi"/>
          <w:sz w:val="22"/>
          <w:szCs w:val="22"/>
          <w:shd w:val="clear" w:color="auto" w:fill="FFFFFF"/>
        </w:rPr>
        <w:t>pursue</w:t>
      </w:r>
      <w:r w:rsidRPr="004B0BC2">
        <w:rPr>
          <w:rFonts w:asciiTheme="minorHAnsi" w:hAnsiTheme="minorHAnsi" w:cstheme="minorHAnsi"/>
          <w:sz w:val="22"/>
          <w:szCs w:val="22"/>
          <w:shd w:val="clear" w:color="auto" w:fill="FFFFFF"/>
        </w:rPr>
        <w:t xml:space="preserve"> advice on disease prevention (</w:t>
      </w:r>
      <w:r w:rsidR="004B1FD2" w:rsidRPr="004B0BC2">
        <w:rPr>
          <w:rFonts w:asciiTheme="minorHAnsi" w:hAnsiTheme="minorHAnsi" w:cstheme="minorHAnsi"/>
          <w:sz w:val="22"/>
          <w:szCs w:val="22"/>
          <w:shd w:val="clear" w:color="auto" w:fill="FFFFFF"/>
        </w:rPr>
        <w:t>94% v</w:t>
      </w:r>
      <w:r w:rsidR="000613F4">
        <w:rPr>
          <w:rFonts w:asciiTheme="minorHAnsi" w:hAnsiTheme="minorHAnsi" w:cstheme="minorHAnsi"/>
          <w:sz w:val="22"/>
          <w:szCs w:val="22"/>
          <w:shd w:val="clear" w:color="auto" w:fill="FFFFFF"/>
        </w:rPr>
        <w:t>ersu</w:t>
      </w:r>
      <w:r w:rsidR="004B1FD2" w:rsidRPr="004B0BC2">
        <w:rPr>
          <w:rFonts w:asciiTheme="minorHAnsi" w:hAnsiTheme="minorHAnsi" w:cstheme="minorHAnsi"/>
          <w:sz w:val="22"/>
          <w:szCs w:val="22"/>
          <w:shd w:val="clear" w:color="auto" w:fill="FFFFFF"/>
        </w:rPr>
        <w:t xml:space="preserve">s </w:t>
      </w:r>
      <w:r w:rsidRPr="004B0BC2">
        <w:rPr>
          <w:rFonts w:asciiTheme="minorHAnsi" w:hAnsiTheme="minorHAnsi" w:cstheme="minorHAnsi"/>
          <w:sz w:val="22"/>
          <w:szCs w:val="22"/>
          <w:shd w:val="clear" w:color="auto" w:fill="FFFFFF"/>
        </w:rPr>
        <w:t xml:space="preserve">89%, p&lt;0.001), and more likely </w:t>
      </w:r>
      <w:r w:rsidR="00D974D5" w:rsidRPr="004B0BC2">
        <w:rPr>
          <w:rFonts w:asciiTheme="minorHAnsi" w:hAnsiTheme="minorHAnsi" w:cstheme="minorHAnsi"/>
          <w:sz w:val="22"/>
          <w:szCs w:val="22"/>
          <w:shd w:val="clear" w:color="auto" w:fill="FFFFFF"/>
        </w:rPr>
        <w:t xml:space="preserve">to </w:t>
      </w:r>
      <w:r w:rsidRPr="004B0BC2">
        <w:rPr>
          <w:rFonts w:asciiTheme="minorHAnsi" w:hAnsiTheme="minorHAnsi" w:cstheme="minorHAnsi"/>
          <w:sz w:val="22"/>
          <w:szCs w:val="22"/>
          <w:shd w:val="clear" w:color="auto" w:fill="FFFFFF"/>
        </w:rPr>
        <w:t xml:space="preserve">participate in </w:t>
      </w:r>
      <w:r w:rsidRPr="004B0BC2">
        <w:rPr>
          <w:rFonts w:asciiTheme="minorHAnsi" w:hAnsiTheme="minorHAnsi" w:cstheme="minorHAnsi"/>
          <w:sz w:val="22"/>
          <w:szCs w:val="22"/>
          <w:shd w:val="clear" w:color="auto" w:fill="FFFFFF"/>
        </w:rPr>
        <w:lastRenderedPageBreak/>
        <w:t>health prevention</w:t>
      </w:r>
      <w:r w:rsidR="0035636E">
        <w:rPr>
          <w:rFonts w:asciiTheme="minorHAnsi" w:hAnsiTheme="minorHAnsi" w:cstheme="minorHAnsi"/>
          <w:sz w:val="22"/>
          <w:szCs w:val="22"/>
          <w:shd w:val="clear" w:color="auto" w:fill="FFFFFF"/>
        </w:rPr>
        <w:t xml:space="preserve"> </w:t>
      </w:r>
      <w:r w:rsidR="003702D4" w:rsidRPr="000242C7">
        <w:rPr>
          <w:rFonts w:asciiTheme="minorHAnsi" w:hAnsiTheme="minorHAnsi" w:cstheme="minorHAnsi"/>
          <w:bCs/>
          <w:color w:val="000000" w:themeColor="text1"/>
          <w:sz w:val="22"/>
          <w:szCs w:val="22"/>
          <w:shd w:val="clear" w:color="auto" w:fill="FFFFFF"/>
        </w:rPr>
        <w:t>promotion</w:t>
      </w:r>
      <w:r w:rsidR="0035636E" w:rsidRPr="000242C7">
        <w:rPr>
          <w:rFonts w:asciiTheme="minorHAnsi" w:hAnsiTheme="minorHAnsi" w:cstheme="minorHAnsi"/>
          <w:color w:val="000000" w:themeColor="text1"/>
          <w:sz w:val="22"/>
          <w:szCs w:val="22"/>
          <w:shd w:val="clear" w:color="auto" w:fill="FFFFFF"/>
        </w:rPr>
        <w:t xml:space="preserve"> </w:t>
      </w:r>
      <w:r w:rsidRPr="004B0BC2">
        <w:rPr>
          <w:rFonts w:asciiTheme="minorHAnsi" w:hAnsiTheme="minorHAnsi" w:cstheme="minorHAnsi"/>
          <w:sz w:val="22"/>
          <w:szCs w:val="22"/>
          <w:shd w:val="clear" w:color="auto" w:fill="FFFFFF"/>
        </w:rPr>
        <w:t>strategies (p&lt;0.001).</w:t>
      </w:r>
      <w:r w:rsidR="00D974D5" w:rsidRPr="004B0BC2">
        <w:rPr>
          <w:rFonts w:asciiTheme="minorHAnsi" w:hAnsiTheme="minorHAnsi" w:cstheme="minorHAnsi"/>
          <w:sz w:val="22"/>
          <w:szCs w:val="22"/>
          <w:shd w:val="clear" w:color="auto" w:fill="FFFFFF"/>
        </w:rPr>
        <w:t xml:space="preserve"> A</w:t>
      </w:r>
      <w:r w:rsidRPr="004B0BC2">
        <w:rPr>
          <w:rFonts w:asciiTheme="minorHAnsi" w:hAnsiTheme="minorHAnsi" w:cstheme="minorHAnsi"/>
          <w:sz w:val="22"/>
          <w:szCs w:val="22"/>
          <w:shd w:val="clear" w:color="auto" w:fill="FFFFFF"/>
        </w:rPr>
        <w:t xml:space="preserve"> </w:t>
      </w:r>
      <w:r w:rsidR="00D974D5" w:rsidRPr="004B0BC2">
        <w:rPr>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xml:space="preserve">ignificantly </w:t>
      </w:r>
      <w:r w:rsidR="00D974D5" w:rsidRPr="004B0BC2">
        <w:rPr>
          <w:rFonts w:asciiTheme="minorHAnsi" w:hAnsiTheme="minorHAnsi" w:cstheme="minorHAnsi"/>
          <w:sz w:val="22"/>
          <w:szCs w:val="22"/>
          <w:shd w:val="clear" w:color="auto" w:fill="FFFFFF"/>
        </w:rPr>
        <w:t>higher number of</w:t>
      </w:r>
      <w:r w:rsidRPr="004B0BC2">
        <w:rPr>
          <w:rFonts w:asciiTheme="minorHAnsi" w:hAnsiTheme="minorHAnsi" w:cstheme="minorHAnsi"/>
          <w:sz w:val="22"/>
          <w:szCs w:val="22"/>
          <w:shd w:val="clear" w:color="auto" w:fill="FFFFFF"/>
        </w:rPr>
        <w:t xml:space="preserve"> men than women</w:t>
      </w:r>
      <w:r w:rsidR="000613F4">
        <w:rPr>
          <w:rFonts w:asciiTheme="minorHAnsi" w:hAnsiTheme="minorHAnsi" w:cstheme="minorHAnsi"/>
          <w:sz w:val="22"/>
          <w:szCs w:val="22"/>
          <w:shd w:val="clear" w:color="auto" w:fill="FFFFFF"/>
        </w:rPr>
        <w:t xml:space="preserve"> indicated that they</w:t>
      </w:r>
      <w:r w:rsidRPr="004B0BC2">
        <w:rPr>
          <w:rFonts w:asciiTheme="minorHAnsi" w:hAnsiTheme="minorHAnsi" w:cstheme="minorHAnsi"/>
          <w:sz w:val="22"/>
          <w:szCs w:val="22"/>
          <w:shd w:val="clear" w:color="auto" w:fill="FFFFFF"/>
        </w:rPr>
        <w:t xml:space="preserve"> were not interested in receiving information on illness prevention (12% </w:t>
      </w:r>
      <w:r w:rsidR="004B1FD2" w:rsidRPr="004B0BC2">
        <w:rPr>
          <w:rFonts w:asciiTheme="minorHAnsi" w:hAnsiTheme="minorHAnsi" w:cstheme="minorHAnsi"/>
          <w:sz w:val="22"/>
          <w:szCs w:val="22"/>
          <w:shd w:val="clear" w:color="auto" w:fill="FFFFFF"/>
        </w:rPr>
        <w:t>v</w:t>
      </w:r>
      <w:r w:rsidR="000613F4">
        <w:rPr>
          <w:rFonts w:asciiTheme="minorHAnsi" w:hAnsiTheme="minorHAnsi" w:cstheme="minorHAnsi"/>
          <w:sz w:val="22"/>
          <w:szCs w:val="22"/>
          <w:shd w:val="clear" w:color="auto" w:fill="FFFFFF"/>
        </w:rPr>
        <w:t>ersu</w:t>
      </w:r>
      <w:r w:rsidR="004B1FD2" w:rsidRPr="004B0BC2">
        <w:rPr>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xml:space="preserve"> 6%</w:t>
      </w:r>
      <w:r w:rsidR="004B1FD2" w:rsidRPr="004B0BC2">
        <w:rPr>
          <w:rFonts w:asciiTheme="minorHAnsi" w:hAnsiTheme="minorHAnsi" w:cstheme="minorHAnsi"/>
          <w:sz w:val="22"/>
          <w:szCs w:val="22"/>
          <w:shd w:val="clear" w:color="auto" w:fill="FFFFFF"/>
        </w:rPr>
        <w:t xml:space="preserve">, </w:t>
      </w:r>
      <w:r w:rsidR="00E322F9" w:rsidRPr="004B0BC2">
        <w:rPr>
          <w:rFonts w:asciiTheme="minorHAnsi" w:hAnsiTheme="minorHAnsi" w:cstheme="minorHAnsi"/>
          <w:sz w:val="22"/>
          <w:szCs w:val="22"/>
          <w:shd w:val="clear" w:color="auto" w:fill="FFFFFF"/>
        </w:rPr>
        <w:t>p</w:t>
      </w:r>
      <w:r w:rsidRPr="004B0BC2">
        <w:rPr>
          <w:rFonts w:asciiTheme="minorHAnsi" w:hAnsiTheme="minorHAnsi" w:cstheme="minorHAnsi"/>
          <w:sz w:val="22"/>
          <w:szCs w:val="22"/>
          <w:shd w:val="clear" w:color="auto" w:fill="FFFFFF"/>
        </w:rPr>
        <w:t>&lt;0.001)</w:t>
      </w:r>
      <w:r w:rsidR="0032162E" w:rsidRPr="004B0BC2">
        <w:rPr>
          <w:rFonts w:asciiTheme="minorHAnsi" w:hAnsiTheme="minorHAnsi" w:cstheme="minorHAnsi"/>
          <w:sz w:val="22"/>
          <w:szCs w:val="22"/>
          <w:shd w:val="clear" w:color="auto" w:fill="FFFFFF"/>
        </w:rPr>
        <w:t xml:space="preserve">. </w:t>
      </w:r>
      <w:r w:rsidR="000613F4">
        <w:rPr>
          <w:rFonts w:asciiTheme="minorHAnsi" w:hAnsiTheme="minorHAnsi" w:cstheme="minorHAnsi"/>
          <w:sz w:val="22"/>
          <w:szCs w:val="22"/>
          <w:shd w:val="clear" w:color="auto" w:fill="FFFFFF"/>
        </w:rPr>
        <w:t xml:space="preserve">In a US study, </w:t>
      </w:r>
      <w:r w:rsidR="0032162E" w:rsidRPr="004B0BC2">
        <w:rPr>
          <w:rFonts w:asciiTheme="minorHAnsi" w:hAnsiTheme="minorHAnsi" w:cstheme="minorHAnsi"/>
          <w:sz w:val="22"/>
          <w:szCs w:val="22"/>
          <w:shd w:val="clear" w:color="auto" w:fill="FFFFFF"/>
        </w:rPr>
        <w:t>Green et al</w:t>
      </w:r>
      <w:r w:rsidR="00BF4D5A" w:rsidRPr="004B0BC2">
        <w:rPr>
          <w:rFonts w:asciiTheme="minorHAnsi" w:hAnsiTheme="minorHAnsi" w:cstheme="minorHAnsi"/>
          <w:sz w:val="22"/>
          <w:szCs w:val="22"/>
          <w:shd w:val="clear" w:color="auto" w:fill="FFFFFF"/>
        </w:rPr>
        <w:t>.</w:t>
      </w:r>
      <w:r w:rsidR="0032162E"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{"citationItems":[{"id":"ITEM-1","itemData":{"DOI":"10.1016/S0277-9536(98)00440-7","ISSN":"02779536","PMID":"10369437","abstract":"Many researchers have reported gender differences in levels of reported symptoms, morbidity, mortality and medical care utilization, but the debate continues about the underlying causes of these differences. Some have argued that women use more medical services because they are more sensitive to symptoms and interested in health, while others believe that women's greater service utilization arises from the fact that women experience more morbidities than do men. To date, these questions have not been studied prospectively. Using data from a household interview survey carried out in 1970-1971 and linked to 22 years of health services utilization records, we explored the effects of gender, self-reported health status, mental and physical symptom levels, health knowledge, illness behaviors and health concerns and interest on the long-term use of health services. After controlling for the aforementioned factors, female gender remained an independent predictor of higher utilization over the 22-year period studied, and psychosocial and health factors measured at the initial interview predicted service use even 1922 years later. Controlling for factors identified as likely causes of gender-related differences: in healthcare utilization, gender remains an important predictor of medical care use before and after removing sex-specific utilization. In addition, the consistent predictive ability of attitudinal and behavioral factors, combined with the finding that health knowledge did not predict utilization, indicates that efforts to help patients assess their service needs should target the attitudinal and behavioral factors that vary with gender, rather than health- related knowledge alone.","author":[{"dropping-particle":"","family":"Green","given":"Carla A.","non-dropping-particle":"","parse-names":false,"suffix":""},{"dropping-particle":"","family":"Pope","given":"Clyde R.","non-dropping-particle":"","parse-names":false,"suffix":""}],"container-title":"Social Science and Medicine","id":"ITEM-1","issue":"10","issued":{"date-parts":[["1999"]]},"page":"1363-72","title":"Gender, psychosocial factors and the use of medical services: A longitudinal analysis","type":"article-journal","volume":"48"},"uris":["http://www.mendeley.com/documents/?uuid=a4305bb2-5ab6-43ed-9d16-8fbbb5c1195d"]}],"mendeley":{"formattedCitation":"(78)","plainTextFormattedCitation":"(78)","previouslyFormattedCitation":"(78)"},"properties":{"noteIndex":0},"schema":"https://github.com/citation-style-language/schema/raw/master/csl-citation.json"}</w:instrText>
      </w:r>
      <w:r w:rsidR="0032162E"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(78)</w:t>
      </w:r>
      <w:r w:rsidR="0032162E" w:rsidRPr="004B0BC2">
        <w:rPr>
          <w:rFonts w:asciiTheme="minorHAnsi" w:hAnsiTheme="minorHAnsi" w:cstheme="minorHAnsi"/>
          <w:sz w:val="22"/>
          <w:szCs w:val="22"/>
          <w:shd w:val="clear" w:color="auto" w:fill="FFFFFF"/>
        </w:rPr>
        <w:fldChar w:fldCharType="end"/>
      </w:r>
      <w:r w:rsidR="0032162E" w:rsidRPr="004B0BC2">
        <w:rPr>
          <w:rFonts w:asciiTheme="minorHAnsi" w:hAnsiTheme="minorHAnsi" w:cstheme="minorHAnsi"/>
          <w:sz w:val="22"/>
          <w:szCs w:val="22"/>
          <w:shd w:val="clear" w:color="auto" w:fill="FFFFFF"/>
        </w:rPr>
        <w:t xml:space="preserve"> performed a household interview survey for members of a non-profit health maintenance organisation. This</w:t>
      </w:r>
      <w:r w:rsidR="000613F4">
        <w:rPr>
          <w:rFonts w:asciiTheme="minorHAnsi" w:hAnsiTheme="minorHAnsi" w:cstheme="minorHAnsi"/>
          <w:sz w:val="22"/>
          <w:szCs w:val="22"/>
          <w:shd w:val="clear" w:color="auto" w:fill="FFFFFF"/>
        </w:rPr>
        <w:t xml:space="preserve"> study</w:t>
      </w:r>
      <w:r w:rsidR="0032162E" w:rsidRPr="004B0BC2">
        <w:rPr>
          <w:rFonts w:asciiTheme="minorHAnsi" w:hAnsiTheme="minorHAnsi" w:cstheme="minorHAnsi"/>
          <w:sz w:val="22"/>
          <w:szCs w:val="22"/>
          <w:shd w:val="clear" w:color="auto" w:fill="FFFFFF"/>
        </w:rPr>
        <w:t xml:space="preserve"> included 2</w:t>
      </w:r>
      <w:r w:rsidR="000613F4">
        <w:rPr>
          <w:rFonts w:asciiTheme="minorHAnsi" w:hAnsiTheme="minorHAnsi" w:cstheme="minorHAnsi"/>
          <w:sz w:val="22"/>
          <w:szCs w:val="22"/>
          <w:shd w:val="clear" w:color="auto" w:fill="FFFFFF"/>
        </w:rPr>
        <w:t>,</w:t>
      </w:r>
      <w:r w:rsidR="0032162E" w:rsidRPr="004B0BC2">
        <w:rPr>
          <w:rFonts w:asciiTheme="minorHAnsi" w:hAnsiTheme="minorHAnsi" w:cstheme="minorHAnsi"/>
          <w:sz w:val="22"/>
          <w:szCs w:val="22"/>
          <w:shd w:val="clear" w:color="auto" w:fill="FFFFFF"/>
        </w:rPr>
        <w:t>603</w:t>
      </w:r>
      <w:r w:rsidR="004B1FD2" w:rsidRPr="004B0BC2">
        <w:rPr>
          <w:rFonts w:asciiTheme="minorHAnsi" w:hAnsiTheme="minorHAnsi" w:cstheme="minorHAnsi"/>
          <w:sz w:val="22"/>
          <w:szCs w:val="22"/>
          <w:shd w:val="clear" w:color="auto" w:fill="FFFFFF"/>
        </w:rPr>
        <w:t xml:space="preserve"> </w:t>
      </w:r>
      <w:r w:rsidR="0032162E" w:rsidRPr="004B0BC2">
        <w:rPr>
          <w:rFonts w:asciiTheme="minorHAnsi" w:hAnsiTheme="minorHAnsi" w:cstheme="minorHAnsi"/>
          <w:sz w:val="22"/>
          <w:szCs w:val="22"/>
          <w:shd w:val="clear" w:color="auto" w:fill="FFFFFF"/>
        </w:rPr>
        <w:t>(</w:t>
      </w:r>
      <w:r w:rsidR="0032162E" w:rsidRPr="004B0BC2">
        <w:rPr>
          <w:rFonts w:asciiTheme="minorHAnsi" w:hAnsiTheme="minorHAnsi" w:cstheme="minorHAnsi"/>
          <w:sz w:val="22"/>
          <w:szCs w:val="22"/>
        </w:rPr>
        <w:t>1</w:t>
      </w:r>
      <w:r w:rsidR="000613F4">
        <w:rPr>
          <w:rFonts w:asciiTheme="minorHAnsi" w:hAnsiTheme="minorHAnsi" w:cstheme="minorHAnsi"/>
          <w:sz w:val="22"/>
          <w:szCs w:val="22"/>
        </w:rPr>
        <w:t>,</w:t>
      </w:r>
      <w:r w:rsidR="0032162E" w:rsidRPr="004B0BC2">
        <w:rPr>
          <w:rFonts w:asciiTheme="minorHAnsi" w:hAnsiTheme="minorHAnsi" w:cstheme="minorHAnsi"/>
          <w:sz w:val="22"/>
          <w:szCs w:val="22"/>
        </w:rPr>
        <w:t>401 female and 1</w:t>
      </w:r>
      <w:r w:rsidR="000613F4">
        <w:rPr>
          <w:rFonts w:asciiTheme="minorHAnsi" w:hAnsiTheme="minorHAnsi" w:cstheme="minorHAnsi"/>
          <w:sz w:val="22"/>
          <w:szCs w:val="22"/>
        </w:rPr>
        <w:t>,</w:t>
      </w:r>
      <w:r w:rsidR="0032162E" w:rsidRPr="004B0BC2">
        <w:rPr>
          <w:rFonts w:asciiTheme="minorHAnsi" w:hAnsiTheme="minorHAnsi" w:cstheme="minorHAnsi"/>
          <w:sz w:val="22"/>
          <w:szCs w:val="22"/>
        </w:rPr>
        <w:t>202 male)</w:t>
      </w:r>
      <w:r w:rsidR="004B1FD2" w:rsidRPr="004B0BC2">
        <w:rPr>
          <w:rFonts w:asciiTheme="minorHAnsi" w:hAnsiTheme="minorHAnsi" w:cstheme="minorHAnsi"/>
          <w:sz w:val="22"/>
          <w:szCs w:val="22"/>
        </w:rPr>
        <w:t xml:space="preserve"> </w:t>
      </w:r>
      <w:r w:rsidR="0032162E" w:rsidRPr="004B0BC2">
        <w:rPr>
          <w:rFonts w:asciiTheme="minorHAnsi" w:hAnsiTheme="minorHAnsi" w:cstheme="minorHAnsi"/>
          <w:sz w:val="22"/>
          <w:szCs w:val="22"/>
          <w:shd w:val="clear" w:color="auto" w:fill="FFFFFF"/>
        </w:rPr>
        <w:t>participants and the authors reported that</w:t>
      </w:r>
      <w:r w:rsidR="000613F4">
        <w:rPr>
          <w:rFonts w:asciiTheme="minorHAnsi" w:hAnsiTheme="minorHAnsi" w:cstheme="minorHAnsi"/>
          <w:sz w:val="22"/>
          <w:szCs w:val="22"/>
          <w:shd w:val="clear" w:color="auto" w:fill="FFFFFF"/>
        </w:rPr>
        <w:t>, although</w:t>
      </w:r>
      <w:r w:rsidR="0032162E" w:rsidRPr="004B0BC2">
        <w:rPr>
          <w:rFonts w:asciiTheme="minorHAnsi" w:hAnsiTheme="minorHAnsi" w:cstheme="minorHAnsi"/>
          <w:sz w:val="22"/>
          <w:szCs w:val="22"/>
          <w:shd w:val="clear" w:color="auto" w:fill="FFFFFF"/>
        </w:rPr>
        <w:t xml:space="preserve"> women are more likely to report mental</w:t>
      </w:r>
      <w:r w:rsidR="004B1FD2" w:rsidRPr="004B0BC2">
        <w:rPr>
          <w:rFonts w:asciiTheme="minorHAnsi" w:hAnsiTheme="minorHAnsi" w:cstheme="minorHAnsi"/>
          <w:sz w:val="22"/>
          <w:szCs w:val="22"/>
          <w:shd w:val="clear" w:color="auto" w:fill="FFFFFF"/>
        </w:rPr>
        <w:t xml:space="preserve"> </w:t>
      </w:r>
      <w:r w:rsidR="0032162E" w:rsidRPr="004B0BC2">
        <w:rPr>
          <w:rFonts w:asciiTheme="minorHAnsi" w:hAnsiTheme="minorHAnsi" w:cstheme="minorHAnsi"/>
          <w:sz w:val="22"/>
          <w:szCs w:val="22"/>
          <w:shd w:val="clear" w:color="auto" w:fill="FFFFFF"/>
        </w:rPr>
        <w:t>(</w:t>
      </w:r>
      <w:r w:rsidR="00E322F9" w:rsidRPr="004B0BC2">
        <w:rPr>
          <w:rFonts w:asciiTheme="minorHAnsi" w:hAnsiTheme="minorHAnsi" w:cstheme="minorHAnsi"/>
          <w:sz w:val="22"/>
          <w:szCs w:val="22"/>
        </w:rPr>
        <w:t>p</w:t>
      </w:r>
      <w:r w:rsidR="0032162E" w:rsidRPr="004B0BC2">
        <w:rPr>
          <w:rFonts w:asciiTheme="minorHAnsi" w:hAnsiTheme="minorHAnsi" w:cstheme="minorHAnsi"/>
          <w:sz w:val="22"/>
          <w:szCs w:val="22"/>
        </w:rPr>
        <w:t xml:space="preserve">&lt;0.001) </w:t>
      </w:r>
      <w:r w:rsidR="0032162E" w:rsidRPr="004B0BC2">
        <w:rPr>
          <w:rFonts w:asciiTheme="minorHAnsi" w:hAnsiTheme="minorHAnsi" w:cstheme="minorHAnsi"/>
          <w:sz w:val="22"/>
          <w:szCs w:val="22"/>
          <w:shd w:val="clear" w:color="auto" w:fill="FFFFFF"/>
        </w:rPr>
        <w:t>and physical</w:t>
      </w:r>
      <w:r w:rsidR="004B1FD2" w:rsidRPr="004B0BC2">
        <w:rPr>
          <w:rFonts w:asciiTheme="minorHAnsi" w:hAnsiTheme="minorHAnsi" w:cstheme="minorHAnsi"/>
          <w:sz w:val="22"/>
          <w:szCs w:val="22"/>
          <w:shd w:val="clear" w:color="auto" w:fill="FFFFFF"/>
        </w:rPr>
        <w:t xml:space="preserve"> </w:t>
      </w:r>
      <w:r w:rsidR="0032162E" w:rsidRPr="004B0BC2">
        <w:rPr>
          <w:rFonts w:asciiTheme="minorHAnsi" w:hAnsiTheme="minorHAnsi" w:cstheme="minorHAnsi"/>
          <w:sz w:val="22"/>
          <w:szCs w:val="22"/>
          <w:shd w:val="clear" w:color="auto" w:fill="FFFFFF"/>
        </w:rPr>
        <w:t>(</w:t>
      </w:r>
      <w:r w:rsidR="00E322F9" w:rsidRPr="004B0BC2">
        <w:rPr>
          <w:rFonts w:asciiTheme="minorHAnsi" w:hAnsiTheme="minorHAnsi" w:cstheme="minorHAnsi"/>
          <w:sz w:val="22"/>
          <w:szCs w:val="22"/>
        </w:rPr>
        <w:t>p</w:t>
      </w:r>
      <w:r w:rsidR="0032162E" w:rsidRPr="004B0BC2">
        <w:rPr>
          <w:rFonts w:asciiTheme="minorHAnsi" w:hAnsiTheme="minorHAnsi" w:cstheme="minorHAnsi"/>
          <w:sz w:val="22"/>
          <w:szCs w:val="22"/>
        </w:rPr>
        <w:t>&lt;0.001</w:t>
      </w:r>
      <w:r w:rsidR="0032162E" w:rsidRPr="004B0BC2">
        <w:rPr>
          <w:rFonts w:asciiTheme="minorHAnsi" w:hAnsiTheme="minorHAnsi" w:cstheme="minorHAnsi"/>
          <w:sz w:val="22"/>
          <w:szCs w:val="22"/>
          <w:shd w:val="clear" w:color="auto" w:fill="FFFFFF"/>
        </w:rPr>
        <w:t>) health symptoms than men</w:t>
      </w:r>
      <w:r w:rsidR="000613F4">
        <w:rPr>
          <w:rFonts w:asciiTheme="minorHAnsi" w:hAnsiTheme="minorHAnsi" w:cstheme="minorHAnsi"/>
          <w:sz w:val="22"/>
          <w:szCs w:val="22"/>
          <w:shd w:val="clear" w:color="auto" w:fill="FFFFFF"/>
        </w:rPr>
        <w:t>,</w:t>
      </w:r>
      <w:r w:rsidR="0032162E" w:rsidRPr="004B0BC2">
        <w:rPr>
          <w:rFonts w:asciiTheme="minorHAnsi" w:hAnsiTheme="minorHAnsi" w:cstheme="minorHAnsi"/>
          <w:sz w:val="22"/>
          <w:szCs w:val="22"/>
          <w:shd w:val="clear" w:color="auto" w:fill="FFFFFF"/>
        </w:rPr>
        <w:t xml:space="preserve"> self-reported measures of health concerns</w:t>
      </w:r>
      <w:r w:rsidR="000613F4">
        <w:rPr>
          <w:rFonts w:asciiTheme="minorHAnsi" w:hAnsiTheme="minorHAnsi" w:cstheme="minorHAnsi"/>
          <w:sz w:val="22"/>
          <w:szCs w:val="22"/>
          <w:shd w:val="clear" w:color="auto" w:fill="FFFFFF"/>
        </w:rPr>
        <w:t xml:space="preserve"> were not significantly different</w:t>
      </w:r>
      <w:r w:rsidR="0032162E" w:rsidRPr="004B0BC2">
        <w:rPr>
          <w:rFonts w:asciiTheme="minorHAnsi" w:hAnsiTheme="minorHAnsi" w:cstheme="minorHAnsi"/>
          <w:sz w:val="22"/>
          <w:szCs w:val="22"/>
          <w:shd w:val="clear" w:color="auto" w:fill="FFFFFF"/>
        </w:rPr>
        <w:t>. However, women were observed to have significantly higher measures of interest in their health than men</w:t>
      </w:r>
      <w:r w:rsidR="004B1FD2" w:rsidRPr="004B0BC2">
        <w:rPr>
          <w:rFonts w:asciiTheme="minorHAnsi" w:hAnsiTheme="minorHAnsi" w:cstheme="minorHAnsi"/>
          <w:sz w:val="22"/>
          <w:szCs w:val="22"/>
          <w:shd w:val="clear" w:color="auto" w:fill="FFFFFF"/>
        </w:rPr>
        <w:t xml:space="preserve"> </w:t>
      </w:r>
      <w:r w:rsidR="0032162E" w:rsidRPr="004B0BC2">
        <w:rPr>
          <w:rFonts w:asciiTheme="minorHAnsi" w:hAnsiTheme="minorHAnsi" w:cstheme="minorHAnsi"/>
          <w:sz w:val="22"/>
          <w:szCs w:val="22"/>
          <w:shd w:val="clear" w:color="auto" w:fill="FFFFFF"/>
        </w:rPr>
        <w:t>(</w:t>
      </w:r>
      <w:r w:rsidR="0032162E" w:rsidRPr="004B0BC2">
        <w:rPr>
          <w:rFonts w:asciiTheme="minorHAnsi" w:hAnsiTheme="minorHAnsi" w:cstheme="minorHAnsi"/>
          <w:sz w:val="22"/>
          <w:szCs w:val="22"/>
        </w:rPr>
        <w:t>p&lt;0.001).</w:t>
      </w:r>
    </w:p>
    <w:p w14:paraId="32B7E919" w14:textId="72DCF820" w:rsidR="002B1BFC" w:rsidRPr="00500FBD" w:rsidRDefault="002B1BFC" w:rsidP="001C26F0">
      <w:pPr>
        <w:spacing w:line="480" w:lineRule="auto"/>
        <w:rPr>
          <w:rFonts w:asciiTheme="minorHAnsi" w:hAnsiTheme="minorHAnsi" w:cstheme="minorHAnsi"/>
          <w:color w:val="000000"/>
          <w:sz w:val="22"/>
          <w:szCs w:val="22"/>
        </w:rPr>
      </w:pPr>
      <w:r w:rsidRPr="003702D4">
        <w:rPr>
          <w:rFonts w:asciiTheme="minorHAnsi" w:hAnsiTheme="minorHAnsi" w:cstheme="minorHAnsi"/>
          <w:color w:val="000000"/>
          <w:sz w:val="22"/>
          <w:szCs w:val="22"/>
        </w:rPr>
        <w:t>The QUALICOPC study</w:t>
      </w:r>
      <w:r w:rsidR="000613F4" w:rsidRPr="003702D4">
        <w:rPr>
          <w:rFonts w:asciiTheme="minorHAnsi" w:hAnsiTheme="minorHAnsi" w:cstheme="minorHAnsi"/>
          <w:color w:val="000000"/>
          <w:sz w:val="22"/>
          <w:szCs w:val="22"/>
        </w:rPr>
        <w:t>, which was</w:t>
      </w:r>
      <w:r w:rsidRPr="00334B7D">
        <w:rPr>
          <w:rFonts w:asciiTheme="minorHAnsi" w:hAnsiTheme="minorHAnsi" w:cstheme="minorHAnsi"/>
          <w:color w:val="000000"/>
          <w:sz w:val="22"/>
          <w:szCs w:val="22"/>
        </w:rPr>
        <w:t xml:space="preserve"> </w:t>
      </w:r>
      <w:r w:rsidRPr="00C33834">
        <w:rPr>
          <w:rFonts w:asciiTheme="minorHAnsi" w:hAnsiTheme="minorHAnsi" w:cstheme="minorHAnsi"/>
          <w:color w:val="000000"/>
          <w:sz w:val="22"/>
          <w:szCs w:val="22"/>
        </w:rPr>
        <w:t>conducted in Canada in 2013</w:t>
      </w:r>
      <w:r w:rsidR="000613F4" w:rsidRPr="00C33834">
        <w:rPr>
          <w:rFonts w:asciiTheme="minorHAnsi" w:hAnsiTheme="minorHAnsi" w:cstheme="minorHAnsi"/>
          <w:color w:val="000000"/>
          <w:sz w:val="22"/>
          <w:szCs w:val="22"/>
        </w:rPr>
        <w:t xml:space="preserve">, </w:t>
      </w:r>
      <w:r w:rsidRPr="00C33834">
        <w:rPr>
          <w:rFonts w:asciiTheme="minorHAnsi" w:hAnsiTheme="minorHAnsi" w:cstheme="minorHAnsi"/>
          <w:color w:val="000000"/>
          <w:sz w:val="22"/>
          <w:szCs w:val="22"/>
        </w:rPr>
        <w:t>investigated the health</w:t>
      </w:r>
      <w:r w:rsidR="000613F4" w:rsidRPr="00C33834">
        <w:rPr>
          <w:rFonts w:asciiTheme="minorHAnsi" w:hAnsiTheme="minorHAnsi" w:cstheme="minorHAnsi"/>
          <w:color w:val="000000"/>
          <w:sz w:val="22"/>
          <w:szCs w:val="22"/>
        </w:rPr>
        <w:t>-</w:t>
      </w:r>
      <w:r w:rsidRPr="00C33834">
        <w:rPr>
          <w:rFonts w:asciiTheme="minorHAnsi" w:hAnsiTheme="minorHAnsi" w:cstheme="minorHAnsi"/>
          <w:color w:val="000000"/>
          <w:sz w:val="22"/>
          <w:szCs w:val="22"/>
        </w:rPr>
        <w:t>care seeking practices and behaviours of 7</w:t>
      </w:r>
      <w:r w:rsidR="000613F4" w:rsidRPr="00C33834">
        <w:rPr>
          <w:rFonts w:asciiTheme="minorHAnsi" w:hAnsiTheme="minorHAnsi" w:cstheme="minorHAnsi"/>
          <w:color w:val="000000"/>
          <w:sz w:val="22"/>
          <w:szCs w:val="22"/>
        </w:rPr>
        <w:t>,</w:t>
      </w:r>
      <w:r w:rsidRPr="00C33834">
        <w:rPr>
          <w:rFonts w:asciiTheme="minorHAnsi" w:hAnsiTheme="minorHAnsi" w:cstheme="minorHAnsi"/>
          <w:color w:val="000000"/>
          <w:sz w:val="22"/>
          <w:szCs w:val="22"/>
        </w:rPr>
        <w:t>260 primary care patients. Thompson et al.</w:t>
      </w:r>
      <w:r w:rsidRPr="003702D4">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{"citationItems":[{"id":"ITEM-1","itemData":{"DOI":"10.1186/s12875-016-0440-0","ISSN":"14712296","PMID":"27036116","abstract":"Background: Canadians' health care-seeking behaviour for physical and mental health issues was examined using the international Quality and Cost of Primary Care (QUALICOPC) survey that was conducted in 2013 in Canada. Method: This study used the cross-sectional Patient Experiences Survey collected from 7260 patients in 759 practices across 10 Canadian provinces as part of the QUALICOPC study. A Responsive Care Scale (RCS) was constructed to reflect the degree of health care-seeking behaviour across 11 health conditions. Using several patient characteristics as independent variables, four multiple regression analyses were conducted. Results: Patients' self-reports indicated that there were gender differences in health care-seeking behaviour, with women reporting they visited their primary care provider to a greater extent than did men for both physical and mental health concerns. Overall, patients were less likely to seek care for mental health concerns in comparison to physical health concerns. For both women and men, the results of the regressions indicated that age, illness prevention, trust in physicians and chronic conditions were important factors when explaining health care-seeking behaviours for mental health concerns. Conclusion: This study confirms the gender differences in health care-seeking behaviour advances previous research by exploring in detail the variables predicting differences in health care-seeking behaviour for men and women. The variables were better predictors of health care-seeking behaviour in response to mental health concerns than physical health concerns, likely reflecting greater variation among those seeking mental health care. This study has implications for those working to improve barriers to health care access by identifying those more likely to engage in health care-seeking behaviours and the variables predicting health care-seeking. Consequently, those who are not accessing primary care can be targeted and policies can be developed and put in place to promote their health care-seeking behavior.","author":[{"dropping-particle":"","family":"Thompson","given":"Ashley E.","non-dropping-particle":"","parse-names":false,"suffix":""},{"dropping-particle":"","family":"Anisimowicz","given":"Yvonne","non-dropping-particle":"","parse-names":false,"suffix":""},{"dropping-particle":"","family":"Miedema","given":"Baukje","non-dropping-particle":"","parse-names":false,"suffix":""},{"dropping-particle":"","family":"Hogg","given":"William","non-dropping-particle":"","parse-names":false,"suffix":""},{"dropping-particle":"","family":"Wodchis","given":"Walter P.","non-dropping-particle":"","parse-names":false,"suffix":""},{"dropping-particle":"","family":"Aubrey-Bassler","given":"Kris","non-dropping-particle":"","parse-names":false,"suffix":""}],"container-title":"BMC Family Practice","id":"ITEM-1","issue":"38","issued":{"date-parts":[["2016"]]},"page":"1-7","title":"The influence of gender and other patient characteristics on health care-seeking behaviour: A QUALICOPC study","type":"article-journal","volume":"17"},"uris":["http://www.mendeley.com/documents/?uuid=da9dfb35-72dd-4c0b-8d33-64650968d46e"]}],"mendeley":{"formattedCitation":"(79)","plainTextFormattedCitation":"(79)","previouslyFormattedCitation":"(79)"},"properties":{"noteIndex":0},"schema":"https://github.com/citation-style-language/schema/raw/master/csl-citation.json"}</w:instrText>
      </w:r>
      <w:r w:rsidRPr="003702D4">
        <w:rPr>
          <w:rFonts w:asciiTheme="minorHAnsi" w:hAnsiTheme="minorHAnsi" w:cstheme="minorHAnsi"/>
          <w:color w:val="000000"/>
          <w:sz w:val="22"/>
          <w:szCs w:val="22"/>
        </w:rPr>
        <w:fldChar w:fldCharType="separate"/>
      </w:r>
      <w:r w:rsidR="00693DD5" w:rsidRPr="00693DD5">
        <w:rPr>
          <w:rFonts w:asciiTheme="minorHAnsi" w:hAnsiTheme="minorHAnsi" w:cstheme="minorHAnsi"/>
          <w:noProof/>
          <w:color w:val="000000"/>
          <w:sz w:val="22"/>
          <w:szCs w:val="22"/>
        </w:rPr>
        <w:t>(79)</w:t>
      </w:r>
      <w:r w:rsidRPr="003702D4">
        <w:rPr>
          <w:rFonts w:asciiTheme="minorHAnsi" w:hAnsiTheme="minorHAnsi" w:cstheme="minorHAnsi"/>
          <w:color w:val="000000"/>
          <w:sz w:val="22"/>
          <w:szCs w:val="22"/>
        </w:rPr>
        <w:fldChar w:fldCharType="end"/>
      </w:r>
      <w:r w:rsidRPr="003702D4">
        <w:rPr>
          <w:rFonts w:asciiTheme="minorHAnsi" w:hAnsiTheme="minorHAnsi" w:cstheme="minorHAnsi"/>
          <w:noProof/>
          <w:sz w:val="22"/>
          <w:szCs w:val="22"/>
        </w:rPr>
        <w:t xml:space="preserve"> </w:t>
      </w:r>
      <w:r w:rsidRPr="003702D4">
        <w:rPr>
          <w:rFonts w:asciiTheme="minorHAnsi" w:hAnsiTheme="minorHAnsi" w:cstheme="minorHAnsi"/>
          <w:color w:val="000000"/>
          <w:sz w:val="22"/>
          <w:szCs w:val="22"/>
        </w:rPr>
        <w:t>studied patient exper</w:t>
      </w:r>
      <w:r w:rsidRPr="00C33834">
        <w:rPr>
          <w:rFonts w:asciiTheme="minorHAnsi" w:hAnsiTheme="minorHAnsi" w:cstheme="minorHAnsi"/>
          <w:color w:val="000000"/>
          <w:sz w:val="22"/>
          <w:szCs w:val="22"/>
        </w:rPr>
        <w:t xml:space="preserve">iences </w:t>
      </w:r>
      <w:r w:rsidR="0035636E" w:rsidRPr="00C33834">
        <w:rPr>
          <w:rFonts w:asciiTheme="minorHAnsi" w:hAnsiTheme="minorHAnsi" w:cstheme="minorHAnsi"/>
          <w:color w:val="000000"/>
          <w:sz w:val="22"/>
          <w:szCs w:val="22"/>
        </w:rPr>
        <w:t xml:space="preserve">as reported in </w:t>
      </w:r>
      <w:r w:rsidRPr="00C33834">
        <w:rPr>
          <w:rFonts w:asciiTheme="minorHAnsi" w:hAnsiTheme="minorHAnsi" w:cstheme="minorHAnsi"/>
          <w:color w:val="000000"/>
          <w:sz w:val="22"/>
          <w:szCs w:val="22"/>
        </w:rPr>
        <w:t xml:space="preserve">survey questionnaires </w:t>
      </w:r>
      <w:r w:rsidR="0035636E" w:rsidRPr="00C33834">
        <w:rPr>
          <w:rFonts w:asciiTheme="minorHAnsi" w:hAnsiTheme="minorHAnsi" w:cstheme="minorHAnsi"/>
          <w:color w:val="000000"/>
          <w:sz w:val="22"/>
          <w:szCs w:val="22"/>
        </w:rPr>
        <w:t>, finding</w:t>
      </w:r>
      <w:r w:rsidRPr="00C33834">
        <w:rPr>
          <w:rFonts w:asciiTheme="minorHAnsi" w:hAnsiTheme="minorHAnsi" w:cstheme="minorHAnsi"/>
          <w:color w:val="000000"/>
          <w:sz w:val="22"/>
          <w:szCs w:val="22"/>
        </w:rPr>
        <w:t xml:space="preserve"> that women reported they would consult their primary care doctor more readily than men in response to </w:t>
      </w:r>
      <w:r w:rsidR="000613F4" w:rsidRPr="00C33834">
        <w:rPr>
          <w:rFonts w:asciiTheme="minorHAnsi" w:hAnsiTheme="minorHAnsi" w:cstheme="minorHAnsi"/>
          <w:color w:val="000000"/>
          <w:sz w:val="22"/>
          <w:szCs w:val="22"/>
        </w:rPr>
        <w:t xml:space="preserve">both </w:t>
      </w:r>
      <w:r w:rsidRPr="00C33834">
        <w:rPr>
          <w:rFonts w:asciiTheme="minorHAnsi" w:hAnsiTheme="minorHAnsi" w:cstheme="minorHAnsi"/>
          <w:color w:val="000000"/>
          <w:sz w:val="22"/>
          <w:szCs w:val="22"/>
        </w:rPr>
        <w:t>mental (p&lt;0.001) and physical (p&lt;0.001) concerns</w:t>
      </w:r>
      <w:r w:rsidRPr="004B56F0">
        <w:rPr>
          <w:rFonts w:asciiTheme="minorHAnsi" w:hAnsiTheme="minorHAnsi" w:cstheme="minorHAnsi"/>
          <w:color w:val="000000"/>
          <w:sz w:val="22"/>
          <w:szCs w:val="22"/>
        </w:rPr>
        <w:t xml:space="preserve">. Multiple regression analysis demonstrated that </w:t>
      </w:r>
      <w:r w:rsidRPr="00FF7482">
        <w:rPr>
          <w:rFonts w:asciiTheme="minorHAnsi" w:hAnsiTheme="minorHAnsi" w:cstheme="minorHAnsi"/>
          <w:color w:val="000000"/>
          <w:sz w:val="22"/>
          <w:szCs w:val="22"/>
        </w:rPr>
        <w:t>age</w:t>
      </w:r>
      <w:r w:rsidR="003D32B7" w:rsidRPr="00FF7482">
        <w:rPr>
          <w:rFonts w:asciiTheme="minorHAnsi" w:hAnsiTheme="minorHAnsi" w:cstheme="minorHAnsi"/>
          <w:color w:val="000000"/>
          <w:sz w:val="22"/>
          <w:szCs w:val="22"/>
        </w:rPr>
        <w:t xml:space="preserve"> </w:t>
      </w:r>
      <w:r w:rsidRPr="00FF7482">
        <w:rPr>
          <w:rFonts w:asciiTheme="minorHAnsi" w:hAnsiTheme="minorHAnsi" w:cstheme="minorHAnsi"/>
          <w:color w:val="000000"/>
          <w:sz w:val="22"/>
          <w:szCs w:val="22"/>
        </w:rPr>
        <w:t>(p&lt;0.001), trust in their physician (p&lt;0.001), presence of chronic conditions (p=0.001) and patient confidence in their</w:t>
      </w:r>
      <w:r w:rsidR="00F64D4A" w:rsidRPr="00FF7482">
        <w:rPr>
          <w:rFonts w:asciiTheme="minorHAnsi" w:hAnsiTheme="minorHAnsi" w:cstheme="minorHAnsi"/>
          <w:color w:val="000000"/>
          <w:sz w:val="22"/>
          <w:szCs w:val="22"/>
        </w:rPr>
        <w:t xml:space="preserve"> </w:t>
      </w:r>
      <w:r w:rsidR="00334B7D" w:rsidRPr="000242C7">
        <w:rPr>
          <w:rFonts w:asciiTheme="minorHAnsi" w:hAnsiTheme="minorHAnsi" w:cstheme="minorHAnsi"/>
          <w:bCs/>
          <w:color w:val="0000FF"/>
          <w:sz w:val="22"/>
          <w:szCs w:val="22"/>
        </w:rPr>
        <w:t>own</w:t>
      </w:r>
      <w:r w:rsidR="00F64D4A" w:rsidRPr="00334B7D">
        <w:rPr>
          <w:rFonts w:asciiTheme="minorHAnsi" w:hAnsiTheme="minorHAnsi" w:cstheme="minorHAnsi"/>
          <w:color w:val="000000"/>
          <w:sz w:val="22"/>
          <w:szCs w:val="22"/>
        </w:rPr>
        <w:t xml:space="preserve"> </w:t>
      </w:r>
      <w:r w:rsidRPr="00334B7D">
        <w:rPr>
          <w:rFonts w:asciiTheme="minorHAnsi" w:hAnsiTheme="minorHAnsi" w:cstheme="minorHAnsi"/>
          <w:color w:val="000000"/>
          <w:sz w:val="22"/>
          <w:szCs w:val="22"/>
        </w:rPr>
        <w:t xml:space="preserve">ability to </w:t>
      </w:r>
      <w:r w:rsidR="00334B7D">
        <w:rPr>
          <w:rFonts w:asciiTheme="minorHAnsi" w:hAnsiTheme="minorHAnsi" w:cstheme="minorHAnsi"/>
          <w:color w:val="000000"/>
          <w:sz w:val="22"/>
          <w:szCs w:val="22"/>
        </w:rPr>
        <w:t>prevent illness</w:t>
      </w:r>
      <w:r w:rsidR="00334B7D" w:rsidRPr="00334B7D">
        <w:rPr>
          <w:rFonts w:asciiTheme="minorHAnsi" w:hAnsiTheme="minorHAnsi" w:cstheme="minorHAnsi"/>
          <w:color w:val="000000"/>
          <w:sz w:val="22"/>
          <w:szCs w:val="22"/>
        </w:rPr>
        <w:t xml:space="preserve"> </w:t>
      </w:r>
      <w:r w:rsidRPr="00334B7D">
        <w:rPr>
          <w:rFonts w:asciiTheme="minorHAnsi" w:hAnsiTheme="minorHAnsi" w:cstheme="minorHAnsi"/>
          <w:color w:val="000000"/>
          <w:sz w:val="22"/>
          <w:szCs w:val="22"/>
        </w:rPr>
        <w:t>(p=0.001) were significantly associated with increased male medical consultation rates for mental health concerns. However, none of the aforementioned factors were able to predict male medical consultation rate for physical health concerns.</w:t>
      </w:r>
    </w:p>
    <w:p w14:paraId="54764470" w14:textId="777657FB" w:rsidR="002B1BFC" w:rsidRDefault="00F64D4A" w:rsidP="001C26F0">
      <w:pPr>
        <w:spacing w:line="480"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A literature review based on </w:t>
      </w:r>
      <w:r w:rsidR="002B1BFC" w:rsidRPr="00500FBD">
        <w:rPr>
          <w:rFonts w:asciiTheme="minorHAnsi" w:hAnsiTheme="minorHAnsi" w:cstheme="minorHAnsi"/>
          <w:color w:val="000000"/>
          <w:sz w:val="22"/>
          <w:szCs w:val="22"/>
        </w:rPr>
        <w:t>Cent</w:t>
      </w:r>
      <w:r>
        <w:rPr>
          <w:rFonts w:asciiTheme="minorHAnsi" w:hAnsiTheme="minorHAnsi" w:cstheme="minorHAnsi"/>
          <w:color w:val="000000"/>
          <w:sz w:val="22"/>
          <w:szCs w:val="22"/>
        </w:rPr>
        <w:t>er</w:t>
      </w:r>
      <w:r w:rsidR="002B1BFC" w:rsidRPr="00500FBD">
        <w:rPr>
          <w:rFonts w:asciiTheme="minorHAnsi" w:hAnsiTheme="minorHAnsi" w:cstheme="minorHAnsi"/>
          <w:color w:val="000000"/>
          <w:sz w:val="22"/>
          <w:szCs w:val="22"/>
        </w:rPr>
        <w:t xml:space="preserve">s for Disease Control and Prevention data </w:t>
      </w:r>
      <w:r>
        <w:rPr>
          <w:rFonts w:asciiTheme="minorHAnsi" w:hAnsiTheme="minorHAnsi" w:cstheme="minorHAnsi"/>
          <w:color w:val="000000"/>
          <w:sz w:val="22"/>
          <w:szCs w:val="22"/>
        </w:rPr>
        <w:t>o</w:t>
      </w:r>
      <w:r w:rsidR="002B1BFC" w:rsidRPr="00500FBD">
        <w:rPr>
          <w:rFonts w:asciiTheme="minorHAnsi" w:hAnsiTheme="minorHAnsi" w:cstheme="minorHAnsi"/>
          <w:color w:val="000000"/>
          <w:sz w:val="22"/>
          <w:szCs w:val="22"/>
        </w:rPr>
        <w:t>n male health</w:t>
      </w:r>
      <w:r>
        <w:rPr>
          <w:rFonts w:asciiTheme="minorHAnsi" w:hAnsiTheme="minorHAnsi" w:cstheme="minorHAnsi"/>
          <w:color w:val="000000"/>
          <w:sz w:val="22"/>
          <w:szCs w:val="22"/>
        </w:rPr>
        <w:t>-</w:t>
      </w:r>
      <w:r w:rsidR="002B1BFC" w:rsidRPr="00500FBD">
        <w:rPr>
          <w:rFonts w:asciiTheme="minorHAnsi" w:hAnsiTheme="minorHAnsi" w:cstheme="minorHAnsi"/>
          <w:color w:val="000000"/>
          <w:sz w:val="22"/>
          <w:szCs w:val="22"/>
        </w:rPr>
        <w:t>care utilisation in the U</w:t>
      </w:r>
      <w:r>
        <w:rPr>
          <w:rFonts w:asciiTheme="minorHAnsi" w:hAnsiTheme="minorHAnsi" w:cstheme="minorHAnsi"/>
          <w:color w:val="000000"/>
          <w:sz w:val="22"/>
          <w:szCs w:val="22"/>
        </w:rPr>
        <w:t xml:space="preserve">SA </w:t>
      </w:r>
      <w:r w:rsidR="002B1BFC" w:rsidRPr="00500FBD">
        <w:rPr>
          <w:rFonts w:asciiTheme="minorHAnsi" w:hAnsiTheme="minorHAnsi" w:cstheme="minorHAnsi"/>
          <w:color w:val="000000"/>
          <w:sz w:val="22"/>
          <w:szCs w:val="22"/>
        </w:rPr>
        <w:t xml:space="preserve">reported that more men </w:t>
      </w:r>
      <w:r>
        <w:rPr>
          <w:rFonts w:asciiTheme="minorHAnsi" w:hAnsiTheme="minorHAnsi" w:cstheme="minorHAnsi"/>
          <w:color w:val="000000"/>
          <w:sz w:val="22"/>
          <w:szCs w:val="22"/>
        </w:rPr>
        <w:t>than</w:t>
      </w:r>
      <w:r w:rsidR="002B1BFC" w:rsidRPr="00500FBD">
        <w:rPr>
          <w:rFonts w:asciiTheme="minorHAnsi" w:hAnsiTheme="minorHAnsi" w:cstheme="minorHAnsi"/>
          <w:color w:val="000000"/>
          <w:sz w:val="22"/>
          <w:szCs w:val="22"/>
        </w:rPr>
        <w:t xml:space="preserve"> women (22.8% v</w:t>
      </w:r>
      <w:r>
        <w:rPr>
          <w:rFonts w:asciiTheme="minorHAnsi" w:hAnsiTheme="minorHAnsi" w:cstheme="minorHAnsi"/>
          <w:color w:val="000000"/>
          <w:sz w:val="22"/>
          <w:szCs w:val="22"/>
        </w:rPr>
        <w:t>ersu</w:t>
      </w:r>
      <w:r w:rsidR="002B1BFC" w:rsidRPr="00500FBD">
        <w:rPr>
          <w:rFonts w:asciiTheme="minorHAnsi" w:hAnsiTheme="minorHAnsi" w:cstheme="minorHAnsi"/>
          <w:color w:val="000000"/>
          <w:sz w:val="22"/>
          <w:szCs w:val="22"/>
        </w:rPr>
        <w:t xml:space="preserve">s 11.8%) did not attend either a doctor’s surgery, emergency department or have a doctor home visit </w:t>
      </w:r>
      <w:r>
        <w:rPr>
          <w:rFonts w:asciiTheme="minorHAnsi" w:hAnsiTheme="minorHAnsi" w:cstheme="minorHAnsi"/>
          <w:color w:val="000000"/>
          <w:sz w:val="22"/>
          <w:szCs w:val="22"/>
        </w:rPr>
        <w:t>during</w:t>
      </w:r>
      <w:r w:rsidRPr="00500FBD">
        <w:rPr>
          <w:rFonts w:asciiTheme="minorHAnsi" w:hAnsiTheme="minorHAnsi" w:cstheme="minorHAnsi"/>
          <w:color w:val="000000"/>
          <w:sz w:val="22"/>
          <w:szCs w:val="22"/>
        </w:rPr>
        <w:t xml:space="preserve"> </w:t>
      </w:r>
      <w:r w:rsidR="002B1BFC" w:rsidRPr="00500FBD">
        <w:rPr>
          <w:rFonts w:asciiTheme="minorHAnsi" w:hAnsiTheme="minorHAnsi" w:cstheme="minorHAnsi"/>
          <w:color w:val="000000"/>
          <w:sz w:val="22"/>
          <w:szCs w:val="22"/>
        </w:rPr>
        <w:t>2006. Moreover, women were more likely to attend preventative care visits than men (74.4 visits per 100,000 v</w:t>
      </w:r>
      <w:r>
        <w:rPr>
          <w:rFonts w:asciiTheme="minorHAnsi" w:hAnsiTheme="minorHAnsi" w:cstheme="minorHAnsi"/>
          <w:color w:val="000000"/>
          <w:sz w:val="22"/>
          <w:szCs w:val="22"/>
        </w:rPr>
        <w:t>ersu</w:t>
      </w:r>
      <w:r w:rsidR="002B1BFC" w:rsidRPr="00500FBD">
        <w:rPr>
          <w:rFonts w:asciiTheme="minorHAnsi" w:hAnsiTheme="minorHAnsi" w:cstheme="minorHAnsi"/>
          <w:color w:val="000000"/>
          <w:sz w:val="22"/>
          <w:szCs w:val="22"/>
        </w:rPr>
        <w:t>s 44.8 visits per 100,000)</w:t>
      </w:r>
      <w:r w:rsidRPr="00F64D4A">
        <w:rPr>
          <w:rFonts w:asciiTheme="minorHAnsi" w:hAnsiTheme="minorHAnsi" w:cstheme="minorHAnsi"/>
          <w:color w:val="000000"/>
          <w:sz w:val="22"/>
          <w:szCs w:val="22"/>
        </w:rPr>
        <w:t xml:space="preserve"> </w:t>
      </w:r>
      <w:r w:rsidRPr="00980EFC">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{"citationItems":[{"id":"ITEM-1","itemData":{"DOI":"10.1111/j.1742-1241.2009.02290.x","ISSN":"13685031","PMID":"20456194","abstract":"BACKGROUND Significant gender disparities exist in life expectancy and major disease morbidity. There is a need to understand the major issues related to men's health that contributes to these significant disparities. It is hypothesized that, high-risk behaviors and low utilization of all and preventive health services contribute to the higher mortality and the higher and earlier morbidity in men. METHODS Data was collected from CDC: Health United States, 2007; Health Behavior of Adults: United States 2002-04; and National Ambulatory Medical Care Survey: 2005 Summary. RESULTS In United States, men are more likely to be regular and heavy alcohol drinkers, heavier smokers who are less likely to quit, non-medical illicit drug users, and are more overweight compared to women. Men are less likely to utilize health care visits to doctor's offices, emergency departments (ED), and physician home visits than women. They are also less likely to make preventive care, hospice care, dental care visits, and have fewer hospital discharges and shorter hospital stays than women. CONCLUSIONS High-risk behaviors and low utilization of health services may contribute to the lower life expectancy in men. In the context of public health, behavioral and preventive interventions are needed to reduce the gender disparity.","author":[{"dropping-particle":"","family":"Pinkhasov","given":"R. M.","non-dropping-particle":"","parse-names":false,"suffix":""},{"dropping-particle":"","family":"Wong","given":"J.","non-dropping-particle":"","parse-names":false,"suffix":""},{"dropping-particle":"","family":"Kashanian","given":"J.","non-dropping-particle":"","parse-names":false,"suffix":""},{"dropping-particle":"","family":"Lee","given":"M.","non-dropping-particle":"","parse-names":false,"suffix":""},{"dropping-particle":"","family":"Samadi","given":"D. B.","non-dropping-particle":"","parse-names":false,"suffix":""},{"dropping-particle":"","family":"Pinkhasov","given":"M. M.","non-dropping-particle":"","parse-names":false,"suffix":""},{"dropping-particle":"","family":"Shabsigh","given":"R.","non-dropping-particle":"","parse-names":false,"suffix":""}],"container-title":"International Journal of Clinical Practice","id":"ITEM-1","issue":"4","issued":{"date-parts":[["2010"]]},"page":"475-487","title":"Are men shortchanged on health? Perspective on health care utilization and health risk behavior in men and women in the United States","type":"article-journal","volume":"64"},"uris":["http://www.mendeley.com/documents/?uuid=b46a48d2-7311-3e79-9ef8-e228e00f4cc8"]}],"mendeley":{"formattedCitation":"(80)","plainTextFormattedCitation":"(80)","previouslyFormattedCitation":"(80)"},"properties":{"noteIndex":0},"schema":"https://github.com/citation-style-language/schema/raw/master/csl-citation.json"}</w:instrText>
      </w:r>
      <w:r w:rsidRPr="00980EFC">
        <w:rPr>
          <w:rFonts w:asciiTheme="minorHAnsi" w:hAnsiTheme="minorHAnsi" w:cstheme="minorHAnsi"/>
          <w:color w:val="000000"/>
          <w:sz w:val="22"/>
          <w:szCs w:val="22"/>
        </w:rPr>
        <w:fldChar w:fldCharType="separate"/>
      </w:r>
      <w:r w:rsidR="00693DD5" w:rsidRPr="00693DD5">
        <w:rPr>
          <w:rFonts w:asciiTheme="minorHAnsi" w:hAnsiTheme="minorHAnsi" w:cstheme="minorHAnsi"/>
          <w:noProof/>
          <w:color w:val="000000"/>
          <w:sz w:val="22"/>
          <w:szCs w:val="22"/>
        </w:rPr>
        <w:t>(80)</w:t>
      </w:r>
      <w:r w:rsidRPr="00980EFC">
        <w:rPr>
          <w:rFonts w:asciiTheme="minorHAnsi" w:hAnsiTheme="minorHAnsi" w:cstheme="minorHAnsi"/>
          <w:color w:val="000000"/>
          <w:sz w:val="22"/>
          <w:szCs w:val="22"/>
        </w:rPr>
        <w:fldChar w:fldCharType="end"/>
      </w:r>
      <w:r w:rsidR="002B1BFC" w:rsidRPr="00500FBD">
        <w:rPr>
          <w:rFonts w:asciiTheme="minorHAnsi" w:hAnsiTheme="minorHAnsi" w:cstheme="minorHAnsi"/>
          <w:color w:val="000000"/>
          <w:sz w:val="22"/>
          <w:szCs w:val="22"/>
        </w:rPr>
        <w:t>.</w:t>
      </w:r>
      <w:r w:rsidR="002B1BFC" w:rsidRPr="004B0BC2">
        <w:rPr>
          <w:rFonts w:asciiTheme="minorHAnsi" w:hAnsiTheme="minorHAnsi" w:cstheme="minorHAnsi"/>
          <w:color w:val="000000"/>
          <w:sz w:val="22"/>
          <w:szCs w:val="22"/>
        </w:rPr>
        <w:t xml:space="preserve"> </w:t>
      </w:r>
    </w:p>
    <w:p w14:paraId="000E2C36" w14:textId="6E9DEA03" w:rsidR="00CA3B35" w:rsidRPr="004B0BC2" w:rsidRDefault="00CA3B35" w:rsidP="00CA3B35">
      <w:pPr>
        <w:spacing w:line="480" w:lineRule="auto"/>
        <w:rPr>
          <w:rFonts w:asciiTheme="minorHAnsi" w:hAnsiTheme="minorHAnsi" w:cstheme="minorHAnsi"/>
          <w:sz w:val="22"/>
          <w:szCs w:val="22"/>
        </w:rPr>
      </w:pPr>
      <w:r>
        <w:rPr>
          <w:rFonts w:asciiTheme="minorHAnsi" w:hAnsiTheme="minorHAnsi" w:cstheme="minorHAnsi"/>
          <w:color w:val="000000"/>
          <w:sz w:val="22"/>
          <w:szCs w:val="22"/>
        </w:rPr>
        <w:t xml:space="preserve">Furthermore, </w:t>
      </w:r>
      <w:r w:rsidRPr="004B0BC2">
        <w:rPr>
          <w:rFonts w:asciiTheme="minorHAnsi" w:hAnsiTheme="minorHAnsi" w:cstheme="minorHAnsi"/>
          <w:sz w:val="22"/>
          <w:szCs w:val="22"/>
          <w:shd w:val="clear" w:color="auto" w:fill="FFFFFF"/>
        </w:rPr>
        <w:t>The UK bowel screening programme was reported to have a significantly higher female uptake than male (54.4% women and 49.6% of men, p&lt;0.00001)</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{"citationItems":[{"id":"ITEM-1","itemData":{"DOI":"10.1136/gutjnl-2011-300843","ISSN":"00175749","PMID":"22156981","abstract":"Introduction: The Bowel Cancer Screening Programme in England began operating in 2006 with the aim of full roll out across England by December 2009. Subjects aged 60-69 are being invited to complete three guaiac faecal occult blood tests (6 windows) every 2 years. The programme aims to reduce mortality from colorectal cancer by 16% in those invited for screening. Methods: All subjects eligible for screening in the National Health Service in England are included on one database, which is populated from National Health Service registration data covering about 98% of the population of England. This analysis is only of subjects invited to participate in the first (prevalent) round of screening. Results: By October 2008 almost 2.1 million had been invited to participate, with tests being returned by 49.6% of men and 54.4% of women invited. Uptake ranged between 55-60% across the four provincial hubs which administer the programme but was lower in the London hub (40%). Of the 1.08 million returning tests 2.5% of men and 1.5% of women had an abnormal test. 17 518 (10 608 M, 6910 F) underwent investigation, with 98% having a colonoscopy as their first investigation. Cancer (n=1772) and higher risk adenomas (n=6543) were found in 11.6% and 43% of men and 7.8% and 29% of women investigated, respectively. 71% of cancers were 'early' (10% polyp cancer, 32% Dukes A, 30% Dukes B) and 77% were left-sided (29% rectal, 45% sigmoid) with only 14% being right-sided compared with expected figures of 67% and 24% for left and right side from UK cancer registration. Conclusion: In this first round of screening in England uptake and fecal occult blood test positivity was in line with that from the pilot and the original European trials. Although there was the expected improvement in cancer stage at diagnosis, the proportion with left-sided cancers was higher than expected.","author":[{"dropping-particle":"","family":"Logan","given":"Richard F.A.","non-dropping-particle":"","parse-names":false,"suffix":""},{"dropping-particle":"","family":"Patnick","given":"Julietta","non-dropping-particle":"","parse-names":false,"suffix":""},{"dropping-particle":"","family":"Nickerson","given":"Claire","non-dropping-particle":"","parse-names":false,"suffix":""},{"dropping-particle":"","family":"Coleman","given":"Lynn","non-dropping-particle":"","parse-names":false,"suffix":""},{"dropping-particle":"","family":"Rutter","given":"Matt D.","non-dropping-particle":"","parse-names":false,"suffix":""},{"dropping-particle":"","family":"Wagner","given":"Christian","non-dropping-particle":"Von","parse-names":false,"suffix":""}],"container-title":"Gut","id":"ITEM-1","issued":{"date-parts":[["2012"]]},"page":"1439–1446","title":"Outcomes of the Bowel Cancer Screening Programme (BCSP) in England after the first 1 million tests","type":"article-journal","volume":"61"},"uris":["http://www.mendeley.com/documents/?uuid=5c999a30-c694-43ac-aec7-ea9693a02a3b"]}],"mendeley":{"formattedCitation":"(81)","plainTextFormattedCitation":"(81)","previouslyFormattedCitation":"(81)"},"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(81)</w:t>
      </w:r>
      <w:r w:rsidRPr="004B0BC2">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which </w:t>
      </w:r>
      <w:r w:rsidR="00693DD5">
        <w:rPr>
          <w:rFonts w:asciiTheme="minorHAnsi" w:hAnsiTheme="minorHAnsi" w:cstheme="minorHAnsi"/>
          <w:sz w:val="22"/>
          <w:szCs w:val="22"/>
          <w:shd w:val="clear" w:color="auto" w:fill="FFFFFF"/>
        </w:rPr>
        <w:t>suggests</w:t>
      </w:r>
      <w:r>
        <w:rPr>
          <w:rFonts w:asciiTheme="minorHAnsi" w:hAnsiTheme="minorHAnsi" w:cstheme="minorHAnsi"/>
          <w:sz w:val="22"/>
          <w:szCs w:val="22"/>
          <w:shd w:val="clear" w:color="auto" w:fill="FFFFFF"/>
        </w:rPr>
        <w:t xml:space="preserve"> that men are less likely to engage in health</w:t>
      </w:r>
      <w:r w:rsidR="008025B4">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care programmes than women.</w:t>
      </w:r>
    </w:p>
    <w:p w14:paraId="33C3D5DF" w14:textId="3AC2BE67" w:rsidR="00CA3B35" w:rsidRDefault="00CA3B35" w:rsidP="001C26F0">
      <w:pPr>
        <w:spacing w:line="480" w:lineRule="auto"/>
        <w:rPr>
          <w:rFonts w:asciiTheme="minorHAnsi" w:hAnsiTheme="minorHAnsi" w:cstheme="minorHAnsi"/>
          <w:color w:val="000000"/>
          <w:sz w:val="22"/>
          <w:szCs w:val="22"/>
        </w:rPr>
      </w:pPr>
    </w:p>
    <w:p w14:paraId="4B9E2318" w14:textId="77777777" w:rsidR="004C7E1A" w:rsidRDefault="004C7E1A" w:rsidP="001C26F0">
      <w:pPr>
        <w:spacing w:line="480" w:lineRule="auto"/>
        <w:rPr>
          <w:rFonts w:asciiTheme="minorHAnsi" w:hAnsiTheme="minorHAnsi" w:cstheme="minorHAnsi"/>
          <w:color w:val="000000"/>
          <w:sz w:val="22"/>
          <w:szCs w:val="22"/>
        </w:rPr>
      </w:pPr>
    </w:p>
    <w:p w14:paraId="2072E271" w14:textId="712AEE41" w:rsidR="004C7E1A" w:rsidRPr="00500FBD" w:rsidRDefault="004C7E1A" w:rsidP="001C26F0">
      <w:pPr>
        <w:spacing w:line="480" w:lineRule="auto"/>
        <w:rPr>
          <w:rFonts w:asciiTheme="minorHAnsi" w:hAnsiTheme="minorHAnsi" w:cstheme="minorHAnsi"/>
          <w:b/>
          <w:sz w:val="22"/>
          <w:szCs w:val="22"/>
        </w:rPr>
      </w:pPr>
      <w:r w:rsidRPr="00500FBD">
        <w:rPr>
          <w:rFonts w:asciiTheme="minorHAnsi" w:hAnsiTheme="minorHAnsi" w:cstheme="minorHAnsi"/>
          <w:b/>
          <w:color w:val="000000"/>
          <w:sz w:val="22"/>
          <w:szCs w:val="22"/>
        </w:rPr>
        <w:t>[H2]Masculinity conventions</w:t>
      </w:r>
      <w:r>
        <w:rPr>
          <w:rFonts w:asciiTheme="minorHAnsi" w:hAnsiTheme="minorHAnsi" w:cstheme="minorHAnsi"/>
          <w:b/>
          <w:color w:val="000000"/>
          <w:sz w:val="22"/>
          <w:szCs w:val="22"/>
        </w:rPr>
        <w:t xml:space="preserve">  </w:t>
      </w:r>
    </w:p>
    <w:p w14:paraId="63EE019F" w14:textId="6B25D913" w:rsidR="00EA3D6F" w:rsidRPr="004B0BC2" w:rsidRDefault="0035636E" w:rsidP="00B66369">
      <w:pPr>
        <w:pStyle w:val="NoSpacing"/>
        <w:spacing w:line="480" w:lineRule="auto"/>
        <w:rPr>
          <w:rFonts w:cstheme="minorHAnsi"/>
          <w:sz w:val="22"/>
          <w:szCs w:val="22"/>
          <w:shd w:val="clear" w:color="auto" w:fill="FFFFFF"/>
        </w:rPr>
      </w:pPr>
      <w:r w:rsidRPr="00551EAE">
        <w:rPr>
          <w:rFonts w:cstheme="minorHAnsi"/>
          <w:sz w:val="22"/>
          <w:szCs w:val="22"/>
          <w:shd w:val="clear" w:color="auto" w:fill="FFFFFF"/>
        </w:rPr>
        <w:t>U</w:t>
      </w:r>
      <w:r w:rsidR="007523AA" w:rsidRPr="00551EAE">
        <w:rPr>
          <w:rFonts w:cstheme="minorHAnsi"/>
          <w:sz w:val="22"/>
          <w:szCs w:val="22"/>
          <w:shd w:val="clear" w:color="auto" w:fill="FFFFFF"/>
        </w:rPr>
        <w:t>nderutilisation of hea</w:t>
      </w:r>
      <w:r w:rsidR="007523AA" w:rsidRPr="00C33834">
        <w:rPr>
          <w:rFonts w:cstheme="minorHAnsi"/>
          <w:sz w:val="22"/>
          <w:szCs w:val="22"/>
          <w:shd w:val="clear" w:color="auto" w:fill="FFFFFF"/>
        </w:rPr>
        <w:t>lth</w:t>
      </w:r>
      <w:r w:rsidR="00F64D4A" w:rsidRPr="00C33834">
        <w:rPr>
          <w:rFonts w:cstheme="minorHAnsi"/>
          <w:sz w:val="22"/>
          <w:szCs w:val="22"/>
          <w:shd w:val="clear" w:color="auto" w:fill="FFFFFF"/>
        </w:rPr>
        <w:t>-care</w:t>
      </w:r>
      <w:r w:rsidR="007523AA" w:rsidRPr="00C33834">
        <w:rPr>
          <w:rFonts w:cstheme="minorHAnsi"/>
          <w:sz w:val="22"/>
          <w:szCs w:val="22"/>
          <w:shd w:val="clear" w:color="auto" w:fill="FFFFFF"/>
        </w:rPr>
        <w:t xml:space="preserve"> services by men </w:t>
      </w:r>
      <w:r w:rsidR="00D0050D" w:rsidRPr="00C33834">
        <w:rPr>
          <w:rFonts w:cstheme="minorHAnsi"/>
          <w:sz w:val="22"/>
          <w:szCs w:val="22"/>
          <w:shd w:val="clear" w:color="auto" w:fill="FFFFFF"/>
        </w:rPr>
        <w:t xml:space="preserve">has been associated </w:t>
      </w:r>
      <w:r w:rsidR="00D0050D" w:rsidRPr="008025B4">
        <w:rPr>
          <w:rFonts w:cstheme="minorHAnsi"/>
          <w:sz w:val="22"/>
          <w:szCs w:val="22"/>
          <w:shd w:val="clear" w:color="auto" w:fill="FFFFFF"/>
        </w:rPr>
        <w:t>with</w:t>
      </w:r>
      <w:r w:rsidR="007523AA" w:rsidRPr="008025B4">
        <w:rPr>
          <w:rFonts w:cstheme="minorHAnsi"/>
          <w:sz w:val="22"/>
          <w:szCs w:val="22"/>
          <w:shd w:val="clear" w:color="auto" w:fill="FFFFFF"/>
        </w:rPr>
        <w:t xml:space="preserve"> </w:t>
      </w:r>
      <w:r w:rsidR="007523AA" w:rsidRPr="000242C7">
        <w:rPr>
          <w:rFonts w:cstheme="minorHAnsi"/>
          <w:sz w:val="22"/>
          <w:szCs w:val="22"/>
          <w:shd w:val="clear" w:color="auto" w:fill="FFFFFF"/>
        </w:rPr>
        <w:t>masculinity</w:t>
      </w:r>
      <w:r w:rsidR="005C6ED1" w:rsidRPr="000242C7">
        <w:rPr>
          <w:rFonts w:cstheme="minorHAnsi"/>
          <w:sz w:val="22"/>
          <w:szCs w:val="22"/>
          <w:shd w:val="clear" w:color="auto" w:fill="FFFFFF"/>
        </w:rPr>
        <w:t xml:space="preserve"> con</w:t>
      </w:r>
      <w:r w:rsidR="00712B6E" w:rsidRPr="000242C7">
        <w:rPr>
          <w:rFonts w:cstheme="minorHAnsi"/>
          <w:sz w:val="22"/>
          <w:szCs w:val="22"/>
          <w:shd w:val="clear" w:color="auto" w:fill="FFFFFF"/>
        </w:rPr>
        <w:t>ven</w:t>
      </w:r>
      <w:r w:rsidR="005C6ED1" w:rsidRPr="000242C7">
        <w:rPr>
          <w:rFonts w:cstheme="minorHAnsi"/>
          <w:sz w:val="22"/>
          <w:szCs w:val="22"/>
          <w:shd w:val="clear" w:color="auto" w:fill="FFFFFF"/>
        </w:rPr>
        <w:t>tions</w:t>
      </w:r>
      <w:r w:rsidR="004B56F0" w:rsidRPr="000242C7">
        <w:rPr>
          <w:rFonts w:cstheme="minorHAnsi"/>
          <w:sz w:val="22"/>
          <w:szCs w:val="22"/>
          <w:shd w:val="clear" w:color="auto" w:fill="FFFFFF"/>
        </w:rPr>
        <w:t xml:space="preserve"> of self-reliance</w:t>
      </w:r>
      <w:r w:rsidR="005C040E" w:rsidRPr="000242C7">
        <w:rPr>
          <w:rFonts w:cstheme="minorHAnsi"/>
          <w:sz w:val="22"/>
          <w:szCs w:val="22"/>
          <w:shd w:val="clear" w:color="auto" w:fill="FFFFFF"/>
        </w:rPr>
        <w:t>,</w:t>
      </w:r>
      <w:r w:rsidR="00925A56" w:rsidRPr="000242C7">
        <w:rPr>
          <w:rFonts w:cstheme="minorHAnsi"/>
          <w:sz w:val="22"/>
          <w:szCs w:val="22"/>
          <w:shd w:val="clear" w:color="auto" w:fill="FFFFFF"/>
        </w:rPr>
        <w:t xml:space="preserve"> strength and </w:t>
      </w:r>
      <w:r w:rsidR="0090014E" w:rsidRPr="000242C7">
        <w:rPr>
          <w:rFonts w:cstheme="minorHAnsi"/>
          <w:sz w:val="22"/>
          <w:szCs w:val="22"/>
          <w:shd w:val="clear" w:color="auto" w:fill="FFFFFF"/>
        </w:rPr>
        <w:t>control</w:t>
      </w:r>
      <w:r w:rsidR="00391107" w:rsidRPr="000242C7">
        <w:rPr>
          <w:rFonts w:cstheme="minorHAnsi"/>
          <w:sz w:val="22"/>
          <w:szCs w:val="22"/>
          <w:shd w:val="clear" w:color="auto" w:fill="FFFFFF"/>
        </w:rPr>
        <w:fldChar w:fldCharType="begin" w:fldLock="1"/>
      </w:r>
      <w:r w:rsidR="002410DF">
        <w:rPr>
          <w:rFonts w:cstheme="minorHAnsi"/>
          <w:sz w:val="22"/>
          <w:szCs w:val="22"/>
          <w:shd w:val="clear" w:color="auto" w:fill="FFFFFF"/>
        </w:rPr>
        <w:instrText>ADDIN CSL_CITATION {"citationItems":[{"id":"ITEM-1","itemData":{"DOI":"10.1016/j.cpr.2016.09.002","ISSN":"18737811","PMID":"27664823","abstract":"Aim Conformity to traditional masculine gender norms may deter men's help-seeking and/or impact the services men engage. Despite proliferating research, current evidence has not been evaluated systematically. This review summarises findings related to the role of masculinity on men's help-seeking for depression. Method Six electronic databases were searched using terms related to masculinity, depression and help-seeking. Titles and abstracts were reviewed and data systematically extracted and examined for methodological quality. Results Of 1927 citations identified, 37 met inclusion criteria. Seventeen (46%) studies reported qualitative research; eighteen (49%) employed quantitative methods, and two (5%) mixed methods. Findings suggest conformity to traditional masculine norms has a threefold effect on men experiencing depression, impacting: i) their symptoms and expression of symptoms; ii) their attitudes to, intention, and, actual help-seeking behaviour; and, iii) their symptom management. Conclusion Results demonstrate the problematic impact of conformity to traditional masculine norms on the way men experience and seek help for depression. Tailoring and targeting clinical interventions may increase men's service uptake and the efficacy of treatments. Future research examining factors associated with men's access to, and engagement with depression care will be critical to increasing help-seeking, treatment uptake, and effectual self-management among men experiencing depression.","author":[{"dropping-particle":"","family":"Seidler","given":"Zac E.","non-dropping-particle":"","parse-names":false,"suffix":""},{"dropping-particle":"","family":"Dawes","given":"Alexei J.","non-dropping-particle":"","parse-names":false,"suffix":""},{"dropping-particle":"","family":"Rice","given":"Simon M.","non-dropping-particle":"","parse-names":false,"suffix":""},{"dropping-particle":"","family":"Oliffe","given":"John L.","non-dropping-particle":"","parse-names":false,"suffix":""},{"dropping-particle":"","family":"Dhillon","given":"Haryana M.","non-dropping-particle":"","parse-names":false,"suffix":""}],"container-title":"Clinical Psychology Review","id":"ITEM-1","issued":{"date-parts":[["2016"]]},"page":"106-118","title":"The role of masculinity in men's help-seeking for depression: A systematic review","type":"article-journal","volume":"49"},"uris":["http://www.mendeley.com/documents/?uuid=5410b604-9a3e-49f4-90be-851bb4d90898"]}],"mendeley":{"formattedCitation":"(82)","plainTextFormattedCitation":"(82)","previouslyFormattedCitation":"(82)"},"properties":{"noteIndex":0},"schema":"https://github.com/citation-style-language/schema/raw/master/csl-citation.json"}</w:instrText>
      </w:r>
      <w:r w:rsidR="00391107" w:rsidRPr="000242C7">
        <w:rPr>
          <w:rFonts w:cstheme="minorHAnsi"/>
          <w:sz w:val="22"/>
          <w:szCs w:val="22"/>
          <w:shd w:val="clear" w:color="auto" w:fill="FFFFFF"/>
        </w:rPr>
        <w:fldChar w:fldCharType="separate"/>
      </w:r>
      <w:r w:rsidR="00693DD5" w:rsidRPr="000242C7">
        <w:rPr>
          <w:rFonts w:cstheme="minorHAnsi"/>
          <w:noProof/>
          <w:sz w:val="22"/>
          <w:szCs w:val="22"/>
          <w:shd w:val="clear" w:color="auto" w:fill="FFFFFF"/>
        </w:rPr>
        <w:t>(82)</w:t>
      </w:r>
      <w:r w:rsidR="00391107" w:rsidRPr="000242C7">
        <w:rPr>
          <w:rFonts w:cstheme="minorHAnsi"/>
          <w:sz w:val="22"/>
          <w:szCs w:val="22"/>
          <w:shd w:val="clear" w:color="auto" w:fill="FFFFFF"/>
        </w:rPr>
        <w:fldChar w:fldCharType="end"/>
      </w:r>
      <w:r w:rsidR="0090014E" w:rsidRPr="000242C7">
        <w:rPr>
          <w:rFonts w:cstheme="minorHAnsi"/>
          <w:sz w:val="22"/>
          <w:szCs w:val="22"/>
          <w:shd w:val="clear" w:color="auto" w:fill="FFFFFF"/>
        </w:rPr>
        <w:t xml:space="preserve"> </w:t>
      </w:r>
      <w:r w:rsidR="007523AA" w:rsidRPr="008025B4">
        <w:rPr>
          <w:rFonts w:cstheme="minorHAnsi"/>
          <w:sz w:val="22"/>
          <w:szCs w:val="22"/>
          <w:shd w:val="clear" w:color="auto" w:fill="FFFFFF"/>
        </w:rPr>
        <w:fldChar w:fldCharType="begin" w:fldLock="1"/>
      </w:r>
      <w:r w:rsidR="002C021B" w:rsidRPr="008025B4">
        <w:rPr>
          <w:rFonts w:cstheme="minorHAnsi"/>
          <w:sz w:val="22"/>
          <w:szCs w:val="22"/>
          <w:shd w:val="clear" w:color="auto" w:fill="FFFFFF"/>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7523AA" w:rsidRPr="008025B4">
        <w:rPr>
          <w:rFonts w:cstheme="minorHAnsi"/>
          <w:sz w:val="22"/>
          <w:szCs w:val="22"/>
          <w:shd w:val="clear" w:color="auto" w:fill="FFFFFF"/>
        </w:rPr>
        <w:fldChar w:fldCharType="separate"/>
      </w:r>
      <w:r w:rsidR="006B35BC" w:rsidRPr="008025B4">
        <w:rPr>
          <w:rFonts w:cstheme="minorHAnsi"/>
          <w:noProof/>
          <w:sz w:val="22"/>
          <w:szCs w:val="22"/>
          <w:shd w:val="clear" w:color="auto" w:fill="FFFFFF"/>
        </w:rPr>
        <w:t>(3)</w:t>
      </w:r>
      <w:r w:rsidR="007523AA" w:rsidRPr="008025B4">
        <w:rPr>
          <w:rFonts w:cstheme="minorHAnsi"/>
          <w:sz w:val="22"/>
          <w:szCs w:val="22"/>
          <w:shd w:val="clear" w:color="auto" w:fill="FFFFFF"/>
        </w:rPr>
        <w:fldChar w:fldCharType="end"/>
      </w:r>
      <w:r w:rsidR="00F64D4A" w:rsidRPr="00551EAE">
        <w:rPr>
          <w:rFonts w:cstheme="minorHAnsi"/>
          <w:sz w:val="22"/>
          <w:szCs w:val="22"/>
          <w:shd w:val="clear" w:color="auto" w:fill="FFFFFF"/>
        </w:rPr>
        <w:t>, which have also been implicated in</w:t>
      </w:r>
      <w:r w:rsidR="00712B6E" w:rsidRPr="00C33834">
        <w:rPr>
          <w:rFonts w:cstheme="minorHAnsi"/>
          <w:sz w:val="22"/>
          <w:szCs w:val="22"/>
          <w:shd w:val="clear" w:color="auto" w:fill="FFFFFF"/>
        </w:rPr>
        <w:t xml:space="preserve"> </w:t>
      </w:r>
      <w:r w:rsidR="007523AA" w:rsidRPr="00C33834">
        <w:rPr>
          <w:rFonts w:cstheme="minorHAnsi"/>
          <w:sz w:val="22"/>
          <w:szCs w:val="22"/>
          <w:shd w:val="clear" w:color="auto" w:fill="FFFFFF"/>
        </w:rPr>
        <w:t>high male suicide rates</w:t>
      </w:r>
      <w:r w:rsidR="00C33834">
        <w:rPr>
          <w:rFonts w:cstheme="minorHAnsi"/>
          <w:sz w:val="22"/>
          <w:szCs w:val="22"/>
          <w:shd w:val="clear" w:color="auto" w:fill="FFFFFF"/>
        </w:rPr>
        <w:t xml:space="preserve"> (in 2019,  the global age-standardised suicide rate was 12.6 per 100</w:t>
      </w:r>
      <w:r w:rsidR="008025B4">
        <w:rPr>
          <w:rFonts w:cstheme="minorHAnsi"/>
          <w:sz w:val="22"/>
          <w:szCs w:val="22"/>
          <w:shd w:val="clear" w:color="auto" w:fill="FFFFFF"/>
        </w:rPr>
        <w:t>,</w:t>
      </w:r>
      <w:r w:rsidR="00C33834">
        <w:rPr>
          <w:rFonts w:cstheme="minorHAnsi"/>
          <w:sz w:val="22"/>
          <w:szCs w:val="22"/>
          <w:shd w:val="clear" w:color="auto" w:fill="FFFFFF"/>
        </w:rPr>
        <w:t xml:space="preserve">000 men compared </w:t>
      </w:r>
      <w:r w:rsidR="008025B4">
        <w:rPr>
          <w:rFonts w:cstheme="minorHAnsi"/>
          <w:sz w:val="22"/>
          <w:szCs w:val="22"/>
          <w:shd w:val="clear" w:color="auto" w:fill="FFFFFF"/>
        </w:rPr>
        <w:t>with</w:t>
      </w:r>
      <w:r w:rsidR="00C33834">
        <w:rPr>
          <w:rFonts w:cstheme="minorHAnsi"/>
          <w:sz w:val="22"/>
          <w:szCs w:val="22"/>
          <w:shd w:val="clear" w:color="auto" w:fill="FFFFFF"/>
        </w:rPr>
        <w:t xml:space="preserve"> 5.4 per 100</w:t>
      </w:r>
      <w:r w:rsidR="008025B4">
        <w:rPr>
          <w:rFonts w:cstheme="minorHAnsi"/>
          <w:sz w:val="22"/>
          <w:szCs w:val="22"/>
          <w:shd w:val="clear" w:color="auto" w:fill="FFFFFF"/>
        </w:rPr>
        <w:t>,</w:t>
      </w:r>
      <w:r w:rsidR="00C33834">
        <w:rPr>
          <w:rFonts w:cstheme="minorHAnsi"/>
          <w:sz w:val="22"/>
          <w:szCs w:val="22"/>
          <w:shd w:val="clear" w:color="auto" w:fill="FFFFFF"/>
        </w:rPr>
        <w:t>000 women</w:t>
      </w:r>
      <w:r w:rsidR="00C33834">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{"citationItems":[{"id":"ITEM-1","itemData":{"author":[{"dropping-particle":"","family":"WHO","given":"","non-dropping-particle":"","parse-names":false,"suffix":""}],"id":"ITEM-1","issued":{"date-parts":[["2021"]]},"number-of-pages":"1-35","title":"Suicide worldwide in 2019: global health estimates","type":"report"},"uris":["http://www.mendeley.com/documents/?uuid=96b01d25-db3a-40ec-9ae1-ae0cdc730d87"]}],"mendeley":{"formattedCitation":"(83)","plainTextFormattedCitation":"(83)","previouslyFormattedCitation":"(83)"},"properties":{"noteIndex":0},"schema":"https://github.com/citation-style-language/schema/raw/master/csl-citation.json"}</w:instrText>
      </w:r>
      <w:r w:rsidR="00C33834">
        <w:rPr>
          <w:rFonts w:cstheme="minorHAnsi"/>
          <w:sz w:val="22"/>
          <w:szCs w:val="22"/>
          <w:shd w:val="clear" w:color="auto" w:fill="FFFFFF"/>
        </w:rPr>
        <w:fldChar w:fldCharType="separate"/>
      </w:r>
      <w:r w:rsidR="00693DD5" w:rsidRPr="00693DD5">
        <w:rPr>
          <w:rFonts w:cstheme="minorHAnsi"/>
          <w:noProof/>
          <w:sz w:val="22"/>
          <w:szCs w:val="22"/>
          <w:shd w:val="clear" w:color="auto" w:fill="FFFFFF"/>
        </w:rPr>
        <w:t>(83)</w:t>
      </w:r>
      <w:r w:rsidR="00C33834">
        <w:rPr>
          <w:rFonts w:cstheme="minorHAnsi"/>
          <w:sz w:val="22"/>
          <w:szCs w:val="22"/>
          <w:shd w:val="clear" w:color="auto" w:fill="FFFFFF"/>
        </w:rPr>
        <w:fldChar w:fldCharType="end"/>
      </w:r>
      <w:r w:rsidR="007523AA" w:rsidRPr="00551EAE">
        <w:rPr>
          <w:rFonts w:cstheme="minorHAnsi"/>
          <w:sz w:val="22"/>
          <w:szCs w:val="22"/>
          <w:shd w:val="clear" w:color="auto" w:fill="FFFFFF"/>
        </w:rPr>
        <w:fldChar w:fldCharType="begin" w:fldLock="1"/>
      </w:r>
      <w:r w:rsidR="002410DF">
        <w:rPr>
          <w:rFonts w:cstheme="minorHAnsi"/>
          <w:sz w:val="22"/>
          <w:szCs w:val="22"/>
          <w:shd w:val="clear" w:color="auto" w:fill="FFFFFF"/>
        </w:rPr>
        <w:instrText>ADDIN CSL_CITATION {"citationItems":[{"id":"ITEM-1","itemData":{"DOI":"10.7189/jogh.07.010306","ISSN":"20472986","author":[{"dropping-particle":"","family":"Baker","given":"Peter","non-dropping-particle":"","parse-names":false,"suffix":""},{"dropping-particle":"","family":"Shand","given":"Tim","non-dropping-particle":"","parse-names":false,"suffix":""}],"container-title":"Journal of Global Health","id":"ITEM-1","issue":"1","issued":{"date-parts":[["2017"]]},"page":"1-5","title":"Men's health: Time for a new approach to policy and practice?","type":"article-journal","volume":"7"},"uris":["http://www.mendeley.com/documents/?uuid=2ea0a93f-c509-3e73-81fe-1a995af8f334"]}],"mendeley":{"formattedCitation":"(84)","plainTextFormattedCitation":"(84)","previouslyFormattedCitation":"(84)"},"properties":{"noteIndex":0},"schema":"https://github.com/citation-style-language/schema/raw/master/csl-citation.json"}</w:instrText>
      </w:r>
      <w:r w:rsidR="007523AA" w:rsidRPr="00551EAE">
        <w:rPr>
          <w:rFonts w:cstheme="minorHAnsi"/>
          <w:sz w:val="22"/>
          <w:szCs w:val="22"/>
          <w:shd w:val="clear" w:color="auto" w:fill="FFFFFF"/>
        </w:rPr>
        <w:fldChar w:fldCharType="separate"/>
      </w:r>
      <w:r w:rsidR="00693DD5" w:rsidRPr="00693DD5">
        <w:rPr>
          <w:rFonts w:cstheme="minorHAnsi"/>
          <w:noProof/>
          <w:sz w:val="22"/>
          <w:szCs w:val="22"/>
          <w:shd w:val="clear" w:color="auto" w:fill="FFFFFF"/>
        </w:rPr>
        <w:t>(84)</w:t>
      </w:r>
      <w:r w:rsidR="007523AA" w:rsidRPr="00551EAE">
        <w:rPr>
          <w:rFonts w:cstheme="minorHAnsi"/>
          <w:sz w:val="22"/>
          <w:szCs w:val="22"/>
          <w:shd w:val="clear" w:color="auto" w:fill="FFFFFF"/>
        </w:rPr>
        <w:fldChar w:fldCharType="end"/>
      </w:r>
      <w:r w:rsidR="007523AA" w:rsidRPr="00C33834">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{"citationItems":[{"id":"ITEM-1","itemData":{"ISBN":"9789289053532","abstract":"The health and well-being of men in the WHO European Region: better health through a gender approach Although declining, high levels of premature mortality among men in some countries of the WHO European Region and gaps between men within countries require specific attention. A growing evidence base on the effectiveness of gender-responsive approaches to men's health, and on the positive health impact gender equality policy has on men, need to be considered in relation to improving the health of men and women. Building on the guiding principles of the 2030 Agenda and Health 2020, and the interconnected nature of Sustainable Development Goals 3, 5 and 10, a strategy on the health and well-being of men in the WHO European Region will be considered by the 68th session of the WHO Regional Committee for Europe in September 2018. This report provides a background to the strategy and presents a snapshot of the evidence of the health issues men face and the underlying social determinants of health. It presents a special focus on the impact of gender norms and stereotypes on health while also looking at gender-responsive health system approaches for men's health, and the health impacts of gender equality policy and engagement of men in achieving gender equality goals. The health and well-being of men in the WHO European Region: better health through a gender approach","author":[{"dropping-particle":"","family":"The WHO Regional Office For Europe","given":"","non-dropping-particle":"","parse-names":false,"suffix":""}],"id":"ITEM-1","issued":{"date-parts":[["2018"]]},"number-of-pages":"1-130","title":"The health and well-being of men in the WHO European Region: better health through a gender approach","type":"report"},"uris":["http://www.mendeley.com/documents/?uuid=0a497367-8501-3d6a-87ae-06bd4de14988"]}],"mendeley":{"formattedCitation":"(73)","plainTextFormattedCitation":"(73)","previouslyFormattedCitation":"(73)"},"properties":{"noteIndex":0},"schema":"https://github.com/citation-style-language/schema/raw/master/csl-citation.json"}</w:instrText>
      </w:r>
      <w:r w:rsidR="007523AA" w:rsidRPr="00C33834">
        <w:rPr>
          <w:rFonts w:cstheme="minorHAnsi"/>
          <w:sz w:val="22"/>
          <w:szCs w:val="22"/>
          <w:shd w:val="clear" w:color="auto" w:fill="FFFFFF"/>
        </w:rPr>
        <w:fldChar w:fldCharType="separate"/>
      </w:r>
      <w:r w:rsidR="00693DD5" w:rsidRPr="00693DD5">
        <w:rPr>
          <w:rFonts w:cstheme="minorHAnsi"/>
          <w:noProof/>
          <w:sz w:val="22"/>
          <w:szCs w:val="22"/>
          <w:shd w:val="clear" w:color="auto" w:fill="FFFFFF"/>
        </w:rPr>
        <w:t>(73)</w:t>
      </w:r>
      <w:r w:rsidR="007523AA" w:rsidRPr="00C33834">
        <w:rPr>
          <w:rFonts w:cstheme="minorHAnsi"/>
          <w:sz w:val="22"/>
          <w:szCs w:val="22"/>
          <w:shd w:val="clear" w:color="auto" w:fill="FFFFFF"/>
        </w:rPr>
        <w:fldChar w:fldCharType="end"/>
      </w:r>
      <w:r w:rsidR="007523AA" w:rsidRPr="00551EAE">
        <w:rPr>
          <w:rFonts w:cstheme="minorHAnsi"/>
          <w:sz w:val="22"/>
          <w:szCs w:val="22"/>
          <w:shd w:val="clear" w:color="auto" w:fill="FFFFFF"/>
        </w:rPr>
        <w:t>.</w:t>
      </w:r>
      <w:r w:rsidR="003C11E1">
        <w:rPr>
          <w:rFonts w:cstheme="minorHAnsi"/>
          <w:sz w:val="22"/>
          <w:szCs w:val="22"/>
          <w:shd w:val="clear" w:color="auto" w:fill="FFFFFF"/>
        </w:rPr>
        <w:t xml:space="preserve"> </w:t>
      </w:r>
      <w:r w:rsidR="00F64D4A">
        <w:rPr>
          <w:rFonts w:cstheme="minorHAnsi"/>
          <w:sz w:val="22"/>
          <w:szCs w:val="22"/>
          <w:shd w:val="clear" w:color="auto" w:fill="FFFFFF"/>
        </w:rPr>
        <w:t>In a study that performed</w:t>
      </w:r>
      <w:r w:rsidR="00EA3D6F" w:rsidRPr="004B0BC2">
        <w:rPr>
          <w:rFonts w:cstheme="minorHAnsi"/>
          <w:sz w:val="22"/>
          <w:szCs w:val="22"/>
          <w:shd w:val="clear" w:color="auto" w:fill="FFFFFF"/>
        </w:rPr>
        <w:t xml:space="preserve"> focus interviews with men to identify attitudes and behaviours to health care</w:t>
      </w:r>
      <w:r w:rsidR="00F64D4A">
        <w:rPr>
          <w:rFonts w:cstheme="minorHAnsi"/>
          <w:sz w:val="22"/>
          <w:szCs w:val="22"/>
          <w:shd w:val="clear" w:color="auto" w:fill="FFFFFF"/>
        </w:rPr>
        <w:t>, t</w:t>
      </w:r>
      <w:r w:rsidR="00EA3D6F" w:rsidRPr="004B0BC2">
        <w:rPr>
          <w:rFonts w:cstheme="minorHAnsi"/>
          <w:sz w:val="22"/>
          <w:szCs w:val="22"/>
          <w:shd w:val="clear" w:color="auto" w:fill="FFFFFF"/>
        </w:rPr>
        <w:t xml:space="preserve">he authors noted that </w:t>
      </w:r>
      <w:r w:rsidR="00CD325C" w:rsidRPr="004B0BC2">
        <w:rPr>
          <w:rFonts w:cstheme="minorHAnsi"/>
          <w:sz w:val="22"/>
          <w:szCs w:val="22"/>
          <w:shd w:val="clear" w:color="auto" w:fill="FFFFFF"/>
        </w:rPr>
        <w:t>participants did not value health</w:t>
      </w:r>
      <w:r w:rsidR="00F64D4A">
        <w:rPr>
          <w:rFonts w:cstheme="minorHAnsi"/>
          <w:sz w:val="22"/>
          <w:szCs w:val="22"/>
          <w:shd w:val="clear" w:color="auto" w:fill="FFFFFF"/>
        </w:rPr>
        <w:t>-</w:t>
      </w:r>
      <w:r w:rsidR="00CD325C" w:rsidRPr="004B0BC2">
        <w:rPr>
          <w:rFonts w:cstheme="minorHAnsi"/>
          <w:sz w:val="22"/>
          <w:szCs w:val="22"/>
          <w:shd w:val="clear" w:color="auto" w:fill="FFFFFF"/>
        </w:rPr>
        <w:t>care utilisation as a “typical” male activity and that</w:t>
      </w:r>
      <w:r w:rsidR="00E66C20" w:rsidRPr="004B0BC2">
        <w:rPr>
          <w:rFonts w:cstheme="minorHAnsi"/>
          <w:sz w:val="22"/>
          <w:szCs w:val="22"/>
          <w:shd w:val="clear" w:color="auto" w:fill="FFFFFF"/>
        </w:rPr>
        <w:t xml:space="preserve"> many</w:t>
      </w:r>
      <w:r w:rsidR="00CD325C" w:rsidRPr="004B0BC2">
        <w:rPr>
          <w:rFonts w:cstheme="minorHAnsi"/>
          <w:sz w:val="22"/>
          <w:szCs w:val="22"/>
          <w:shd w:val="clear" w:color="auto" w:fill="FFFFFF"/>
        </w:rPr>
        <w:t xml:space="preserve"> men ignore</w:t>
      </w:r>
      <w:r w:rsidR="00E66C20" w:rsidRPr="004B0BC2">
        <w:rPr>
          <w:rFonts w:cstheme="minorHAnsi"/>
          <w:sz w:val="22"/>
          <w:szCs w:val="22"/>
          <w:shd w:val="clear" w:color="auto" w:fill="FFFFFF"/>
        </w:rPr>
        <w:t>d</w:t>
      </w:r>
      <w:r w:rsidR="00CD325C" w:rsidRPr="004B0BC2">
        <w:rPr>
          <w:rFonts w:cstheme="minorHAnsi"/>
          <w:sz w:val="22"/>
          <w:szCs w:val="22"/>
          <w:shd w:val="clear" w:color="auto" w:fill="FFFFFF"/>
        </w:rPr>
        <w:t xml:space="preserve"> health issues </w:t>
      </w:r>
      <w:r w:rsidR="00E66C20" w:rsidRPr="004B0BC2">
        <w:rPr>
          <w:rFonts w:cstheme="minorHAnsi"/>
          <w:sz w:val="22"/>
          <w:szCs w:val="22"/>
          <w:shd w:val="clear" w:color="auto" w:fill="FFFFFF"/>
        </w:rPr>
        <w:t>because they</w:t>
      </w:r>
      <w:r w:rsidR="00CD325C" w:rsidRPr="004B0BC2">
        <w:rPr>
          <w:rFonts w:cstheme="minorHAnsi"/>
          <w:sz w:val="22"/>
          <w:szCs w:val="22"/>
          <w:shd w:val="clear" w:color="auto" w:fill="FFFFFF"/>
        </w:rPr>
        <w:t xml:space="preserve"> conceived </w:t>
      </w:r>
      <w:r w:rsidR="00B41200" w:rsidRPr="004B0BC2">
        <w:rPr>
          <w:rFonts w:cstheme="minorHAnsi"/>
          <w:sz w:val="22"/>
          <w:szCs w:val="22"/>
          <w:shd w:val="clear" w:color="auto" w:fill="FFFFFF"/>
        </w:rPr>
        <w:t>them</w:t>
      </w:r>
      <w:r w:rsidR="00E66C20" w:rsidRPr="004B0BC2">
        <w:rPr>
          <w:rFonts w:cstheme="minorHAnsi"/>
          <w:sz w:val="22"/>
          <w:szCs w:val="22"/>
          <w:shd w:val="clear" w:color="auto" w:fill="FFFFFF"/>
        </w:rPr>
        <w:t xml:space="preserve"> as a</w:t>
      </w:r>
      <w:r w:rsidR="00CD325C" w:rsidRPr="004B0BC2">
        <w:rPr>
          <w:rFonts w:cstheme="minorHAnsi"/>
          <w:sz w:val="22"/>
          <w:szCs w:val="22"/>
          <w:shd w:val="clear" w:color="auto" w:fill="FFFFFF"/>
        </w:rPr>
        <w:t xml:space="preserve"> “failure”</w:t>
      </w:r>
      <w:r w:rsidR="00F64D4A">
        <w:rPr>
          <w:rFonts w:cstheme="minorHAnsi"/>
          <w:sz w:val="22"/>
          <w:szCs w:val="22"/>
          <w:shd w:val="clear" w:color="auto" w:fill="FFFFFF"/>
        </w:rPr>
        <w:t xml:space="preserve">, </w:t>
      </w:r>
      <w:r w:rsidR="00CD325C" w:rsidRPr="004B0BC2">
        <w:rPr>
          <w:rFonts w:cstheme="minorHAnsi"/>
          <w:sz w:val="22"/>
          <w:szCs w:val="22"/>
          <w:shd w:val="clear" w:color="auto" w:fill="FFFFFF"/>
        </w:rPr>
        <w:t>disclos</w:t>
      </w:r>
      <w:r w:rsidR="00F64D4A">
        <w:rPr>
          <w:rFonts w:cstheme="minorHAnsi"/>
          <w:sz w:val="22"/>
          <w:szCs w:val="22"/>
          <w:shd w:val="clear" w:color="auto" w:fill="FFFFFF"/>
        </w:rPr>
        <w:t>ure of which</w:t>
      </w:r>
      <w:r w:rsidR="00CD325C" w:rsidRPr="004B0BC2">
        <w:rPr>
          <w:rFonts w:cstheme="minorHAnsi"/>
          <w:sz w:val="22"/>
          <w:szCs w:val="22"/>
          <w:shd w:val="clear" w:color="auto" w:fill="FFFFFF"/>
        </w:rPr>
        <w:t xml:space="preserve"> </w:t>
      </w:r>
      <w:r w:rsidR="00E66C20" w:rsidRPr="004B0BC2">
        <w:rPr>
          <w:rFonts w:cstheme="minorHAnsi"/>
          <w:sz w:val="22"/>
          <w:szCs w:val="22"/>
          <w:shd w:val="clear" w:color="auto" w:fill="FFFFFF"/>
        </w:rPr>
        <w:t>demonstrated</w:t>
      </w:r>
      <w:r w:rsidR="00CD325C" w:rsidRPr="004B0BC2">
        <w:rPr>
          <w:rFonts w:cstheme="minorHAnsi"/>
          <w:sz w:val="22"/>
          <w:szCs w:val="22"/>
          <w:shd w:val="clear" w:color="auto" w:fill="FFFFFF"/>
        </w:rPr>
        <w:t xml:space="preserve"> vulnerability</w:t>
      </w:r>
      <w:r w:rsidR="00F64D4A" w:rsidRPr="004B0BC2">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{"citationItems":[{"id":"ITEM-1","itemData":{"DOI":"10.1348/135910710X494583","ISSN":"1359107X","abstract":"Objective: Although a number of recent health promotion interventions targeted at men have recognized the plurality of masculinities and adopted multifaceted approaches, in the main there continues to be a reliance on stereotypes of gendered behaviour that focus on hegemonic masculinities and a 'one-size-fits-all' approach to health care. The present study sought to overcome this limitation. Design: The present study used a qualitative design, in which data were analysed using framework analysis. Method: A total of 82 middle-aged and older men, in a socially deprived area of Britain, took part in focus groups about health promotion. Results: Analysis of focus group transcripts revealed four key themes: (1) that the 'doing' of gender in relation to health must be seen as contingent and in constant flux; (2) that, despite stereotypes of typical behaviour, men were keen to engage with health care services; (3) that men felt there were a number of barriers to help seeking, but generally welcomed the opportunity to discuss their health care needs, and; (4) that they were keen to see the above themes translated into directed advertising and health information for men. Conclusion: These results have practical implications for the way in which health promotion interventions target men, which we discuss in conclusion. © 2010 The British Psychological Society.","author":[{"dropping-particle":"","family":"Coles","given":"Rebecca","non-dropping-particle":"","parse-names":false,"suffix":""},{"dropping-particle":"","family":"Watkins","given":"Francine","non-dropping-particle":"","parse-names":false,"suffix":""},{"dropping-particle":"","family":"Swami","given":"Viren","non-dropping-particle":"","parse-names":false,"suffix":""},{"dropping-particle":"","family":"Jones","given":"Susan","non-dropping-particle":"","parse-names":false,"suffix":""},{"dropping-particle":"","family":"Woolf","given":"Susan","non-dropping-particle":"","parse-names":false,"suffix":""},{"dropping-particle":"","family":"Stanistreet","given":"Debbi","non-dropping-particle":"","parse-names":false,"suffix":""}],"container-title":"British Journal of Health Psychology","id":"ITEM-1","issue":"4","issued":{"date-parts":[["2010"]]},"page":"921-939","title":"What men really want: A qualitative investigation of men's health needs from the Halton and St Helens primary care trust men's health promotion project","type":"article-journal","volume":"15"},"uris":["http://www.mendeley.com/documents/?uuid=39d43257-d86c-4c12-87a9-5b98df765c43"]}],"mendeley":{"formattedCitation":"(85)","plainTextFormattedCitation":"(85)","previouslyFormattedCitation":"(85)"},"properties":{"noteIndex":0},"schema":"https://github.com/citation-style-language/schema/raw/master/csl-citation.json"}</w:instrText>
      </w:r>
      <w:r w:rsidR="00F64D4A" w:rsidRPr="004B0BC2">
        <w:rPr>
          <w:rFonts w:cstheme="minorHAnsi"/>
          <w:sz w:val="22"/>
          <w:szCs w:val="22"/>
          <w:shd w:val="clear" w:color="auto" w:fill="FFFFFF"/>
        </w:rPr>
        <w:fldChar w:fldCharType="separate"/>
      </w:r>
      <w:r w:rsidR="00693DD5" w:rsidRPr="00693DD5">
        <w:rPr>
          <w:rFonts w:cstheme="minorHAnsi"/>
          <w:noProof/>
          <w:sz w:val="22"/>
          <w:szCs w:val="22"/>
          <w:shd w:val="clear" w:color="auto" w:fill="FFFFFF"/>
        </w:rPr>
        <w:t>(85)</w:t>
      </w:r>
      <w:r w:rsidR="00F64D4A" w:rsidRPr="004B0BC2">
        <w:rPr>
          <w:rFonts w:cstheme="minorHAnsi"/>
          <w:sz w:val="22"/>
          <w:szCs w:val="22"/>
          <w:shd w:val="clear" w:color="auto" w:fill="FFFFFF"/>
        </w:rPr>
        <w:fldChar w:fldCharType="end"/>
      </w:r>
      <w:r w:rsidR="00CD325C" w:rsidRPr="004B0BC2">
        <w:rPr>
          <w:rFonts w:cstheme="minorHAnsi"/>
          <w:sz w:val="22"/>
          <w:szCs w:val="22"/>
          <w:shd w:val="clear" w:color="auto" w:fill="FFFFFF"/>
        </w:rPr>
        <w:t>.</w:t>
      </w:r>
      <w:r w:rsidR="00D974D5" w:rsidRPr="004B0BC2">
        <w:rPr>
          <w:rFonts w:cstheme="minorHAnsi"/>
          <w:sz w:val="22"/>
          <w:szCs w:val="22"/>
          <w:shd w:val="clear" w:color="auto" w:fill="FFFFFF"/>
        </w:rPr>
        <w:t xml:space="preserve"> However, </w:t>
      </w:r>
      <w:r w:rsidR="00B41200" w:rsidRPr="004B0BC2">
        <w:rPr>
          <w:rFonts w:cstheme="minorHAnsi"/>
          <w:sz w:val="22"/>
          <w:szCs w:val="22"/>
          <w:shd w:val="clear" w:color="auto" w:fill="FFFFFF"/>
        </w:rPr>
        <w:t xml:space="preserve">the </w:t>
      </w:r>
      <w:r w:rsidR="00F64D4A">
        <w:rPr>
          <w:rFonts w:cstheme="minorHAnsi"/>
          <w:sz w:val="22"/>
          <w:szCs w:val="22"/>
          <w:shd w:val="clear" w:color="auto" w:fill="FFFFFF"/>
        </w:rPr>
        <w:t>same study also illustrat</w:t>
      </w:r>
      <w:r w:rsidR="00B41200" w:rsidRPr="004B0BC2">
        <w:rPr>
          <w:rFonts w:cstheme="minorHAnsi"/>
          <w:sz w:val="22"/>
          <w:szCs w:val="22"/>
          <w:shd w:val="clear" w:color="auto" w:fill="FFFFFF"/>
        </w:rPr>
        <w:t>ed some divergent views</w:t>
      </w:r>
      <w:r w:rsidR="00F64D4A">
        <w:rPr>
          <w:rFonts w:cstheme="minorHAnsi"/>
          <w:sz w:val="22"/>
          <w:szCs w:val="22"/>
          <w:shd w:val="clear" w:color="auto" w:fill="FFFFFF"/>
        </w:rPr>
        <w:t>, and</w:t>
      </w:r>
      <w:r w:rsidR="00D974D5" w:rsidRPr="004B0BC2">
        <w:rPr>
          <w:rFonts w:cstheme="minorHAnsi"/>
          <w:sz w:val="22"/>
          <w:szCs w:val="22"/>
          <w:shd w:val="clear" w:color="auto" w:fill="FFFFFF"/>
        </w:rPr>
        <w:t xml:space="preserve"> </w:t>
      </w:r>
      <w:r w:rsidR="00CD325C" w:rsidRPr="004B0BC2">
        <w:rPr>
          <w:rFonts w:cstheme="minorHAnsi"/>
          <w:sz w:val="22"/>
          <w:szCs w:val="22"/>
          <w:shd w:val="clear" w:color="auto" w:fill="FFFFFF"/>
        </w:rPr>
        <w:t>some men</w:t>
      </w:r>
      <w:r w:rsidR="00F64D4A">
        <w:rPr>
          <w:rFonts w:cstheme="minorHAnsi"/>
          <w:sz w:val="22"/>
          <w:szCs w:val="22"/>
          <w:shd w:val="clear" w:color="auto" w:fill="FFFFFF"/>
        </w:rPr>
        <w:t xml:space="preserve"> reported</w:t>
      </w:r>
      <w:r w:rsidR="00CD325C" w:rsidRPr="004B0BC2">
        <w:rPr>
          <w:rFonts w:cstheme="minorHAnsi"/>
          <w:sz w:val="22"/>
          <w:szCs w:val="22"/>
          <w:shd w:val="clear" w:color="auto" w:fill="FFFFFF"/>
        </w:rPr>
        <w:t xml:space="preserve"> considering health</w:t>
      </w:r>
      <w:r w:rsidR="00F64D4A">
        <w:rPr>
          <w:rFonts w:cstheme="minorHAnsi"/>
          <w:sz w:val="22"/>
          <w:szCs w:val="22"/>
          <w:shd w:val="clear" w:color="auto" w:fill="FFFFFF"/>
        </w:rPr>
        <w:t>-</w:t>
      </w:r>
      <w:r w:rsidR="00CD325C" w:rsidRPr="004B0BC2">
        <w:rPr>
          <w:rFonts w:cstheme="minorHAnsi"/>
          <w:sz w:val="22"/>
          <w:szCs w:val="22"/>
          <w:shd w:val="clear" w:color="auto" w:fill="FFFFFF"/>
        </w:rPr>
        <w:t xml:space="preserve">care </w:t>
      </w:r>
      <w:r w:rsidR="00005E49" w:rsidRPr="004B0BC2">
        <w:rPr>
          <w:rFonts w:cstheme="minorHAnsi"/>
          <w:sz w:val="22"/>
          <w:szCs w:val="22"/>
          <w:shd w:val="clear" w:color="auto" w:fill="FFFFFF"/>
        </w:rPr>
        <w:t>initiatives</w:t>
      </w:r>
      <w:r w:rsidR="00CD325C" w:rsidRPr="004B0BC2">
        <w:rPr>
          <w:rFonts w:cstheme="minorHAnsi"/>
          <w:sz w:val="22"/>
          <w:szCs w:val="22"/>
          <w:shd w:val="clear" w:color="auto" w:fill="FFFFFF"/>
        </w:rPr>
        <w:t xml:space="preserve"> or lifestyle changes as </w:t>
      </w:r>
      <w:r w:rsidR="00E66C20" w:rsidRPr="004B0BC2">
        <w:rPr>
          <w:rFonts w:cstheme="minorHAnsi"/>
          <w:sz w:val="22"/>
          <w:szCs w:val="22"/>
          <w:shd w:val="clear" w:color="auto" w:fill="FFFFFF"/>
        </w:rPr>
        <w:t>femi</w:t>
      </w:r>
      <w:r w:rsidR="00C2113A" w:rsidRPr="004B0BC2">
        <w:rPr>
          <w:rFonts w:cstheme="minorHAnsi"/>
          <w:sz w:val="22"/>
          <w:szCs w:val="22"/>
          <w:shd w:val="clear" w:color="auto" w:fill="FFFFFF"/>
        </w:rPr>
        <w:t>ni</w:t>
      </w:r>
      <w:r w:rsidR="00E66C20" w:rsidRPr="004B0BC2">
        <w:rPr>
          <w:rFonts w:cstheme="minorHAnsi"/>
          <w:sz w:val="22"/>
          <w:szCs w:val="22"/>
          <w:shd w:val="clear" w:color="auto" w:fill="FFFFFF"/>
        </w:rPr>
        <w:t>ne</w:t>
      </w:r>
      <w:r w:rsidR="00F64D4A">
        <w:rPr>
          <w:rFonts w:cstheme="minorHAnsi"/>
          <w:sz w:val="22"/>
          <w:szCs w:val="22"/>
          <w:shd w:val="clear" w:color="auto" w:fill="FFFFFF"/>
        </w:rPr>
        <w:t>,</w:t>
      </w:r>
      <w:r w:rsidR="00CD325C" w:rsidRPr="004B0BC2">
        <w:rPr>
          <w:rFonts w:cstheme="minorHAnsi"/>
          <w:sz w:val="22"/>
          <w:szCs w:val="22"/>
          <w:shd w:val="clear" w:color="auto" w:fill="FFFFFF"/>
        </w:rPr>
        <w:t xml:space="preserve"> </w:t>
      </w:r>
      <w:r w:rsidR="00005E49" w:rsidRPr="004B0BC2">
        <w:rPr>
          <w:rFonts w:cstheme="minorHAnsi"/>
          <w:sz w:val="22"/>
          <w:szCs w:val="22"/>
          <w:shd w:val="clear" w:color="auto" w:fill="FFFFFF"/>
        </w:rPr>
        <w:t>w</w:t>
      </w:r>
      <w:r w:rsidR="00F64D4A">
        <w:rPr>
          <w:rFonts w:cstheme="minorHAnsi"/>
          <w:sz w:val="22"/>
          <w:szCs w:val="22"/>
          <w:shd w:val="clear" w:color="auto" w:fill="FFFFFF"/>
        </w:rPr>
        <w:t>hereas</w:t>
      </w:r>
      <w:r w:rsidR="00CD325C" w:rsidRPr="004B0BC2">
        <w:rPr>
          <w:rFonts w:cstheme="minorHAnsi"/>
          <w:sz w:val="22"/>
          <w:szCs w:val="22"/>
          <w:shd w:val="clear" w:color="auto" w:fill="FFFFFF"/>
        </w:rPr>
        <w:t xml:space="preserve"> others had started health</w:t>
      </w:r>
      <w:r w:rsidR="00F64D4A">
        <w:rPr>
          <w:rFonts w:cstheme="minorHAnsi"/>
          <w:sz w:val="22"/>
          <w:szCs w:val="22"/>
          <w:shd w:val="clear" w:color="auto" w:fill="FFFFFF"/>
        </w:rPr>
        <w:t>-</w:t>
      </w:r>
      <w:r w:rsidR="00CD325C" w:rsidRPr="004B0BC2">
        <w:rPr>
          <w:rFonts w:cstheme="minorHAnsi"/>
          <w:sz w:val="22"/>
          <w:szCs w:val="22"/>
          <w:shd w:val="clear" w:color="auto" w:fill="FFFFFF"/>
        </w:rPr>
        <w:t xml:space="preserve">promoting </w:t>
      </w:r>
      <w:r w:rsidR="00005E49" w:rsidRPr="004B0BC2">
        <w:rPr>
          <w:rFonts w:cstheme="minorHAnsi"/>
          <w:sz w:val="22"/>
          <w:szCs w:val="22"/>
          <w:shd w:val="clear" w:color="auto" w:fill="FFFFFF"/>
        </w:rPr>
        <w:t>activities</w:t>
      </w:r>
      <w:r w:rsidR="00CD325C" w:rsidRPr="004B0BC2">
        <w:rPr>
          <w:rFonts w:cstheme="minorHAnsi"/>
          <w:sz w:val="22"/>
          <w:szCs w:val="22"/>
          <w:shd w:val="clear" w:color="auto" w:fill="FFFFFF"/>
        </w:rPr>
        <w:t xml:space="preserve"> (</w:t>
      </w:r>
      <w:r w:rsidR="00F64D4A">
        <w:rPr>
          <w:rFonts w:cstheme="minorHAnsi"/>
          <w:sz w:val="22"/>
          <w:szCs w:val="22"/>
          <w:shd w:val="clear" w:color="auto" w:fill="FFFFFF"/>
        </w:rPr>
        <w:t>for example,</w:t>
      </w:r>
      <w:r w:rsidR="00CD325C" w:rsidRPr="004B0BC2">
        <w:rPr>
          <w:rFonts w:cstheme="minorHAnsi"/>
          <w:sz w:val="22"/>
          <w:szCs w:val="22"/>
          <w:shd w:val="clear" w:color="auto" w:fill="FFFFFF"/>
        </w:rPr>
        <w:t xml:space="preserve"> going to </w:t>
      </w:r>
      <w:r w:rsidR="00B41200" w:rsidRPr="004B0BC2">
        <w:rPr>
          <w:rFonts w:cstheme="minorHAnsi"/>
          <w:sz w:val="22"/>
          <w:szCs w:val="22"/>
          <w:shd w:val="clear" w:color="auto" w:fill="FFFFFF"/>
        </w:rPr>
        <w:t>rehabilitation</w:t>
      </w:r>
      <w:r w:rsidR="00CD325C" w:rsidRPr="004B0BC2">
        <w:rPr>
          <w:rFonts w:cstheme="minorHAnsi"/>
          <w:sz w:val="22"/>
          <w:szCs w:val="22"/>
          <w:shd w:val="clear" w:color="auto" w:fill="FFFFFF"/>
        </w:rPr>
        <w:t xml:space="preserve"> </w:t>
      </w:r>
      <w:r w:rsidR="00B41200" w:rsidRPr="004B0BC2">
        <w:rPr>
          <w:rFonts w:cstheme="minorHAnsi"/>
          <w:sz w:val="22"/>
          <w:szCs w:val="22"/>
          <w:shd w:val="clear" w:color="auto" w:fill="FFFFFF"/>
        </w:rPr>
        <w:t>sessions</w:t>
      </w:r>
      <w:r w:rsidR="00CD325C" w:rsidRPr="004B0BC2">
        <w:rPr>
          <w:rFonts w:cstheme="minorHAnsi"/>
          <w:sz w:val="22"/>
          <w:szCs w:val="22"/>
          <w:shd w:val="clear" w:color="auto" w:fill="FFFFFF"/>
        </w:rPr>
        <w:t>)</w:t>
      </w:r>
      <w:r w:rsidR="00005E49" w:rsidRPr="004B0BC2">
        <w:rPr>
          <w:rFonts w:cstheme="minorHAnsi"/>
          <w:sz w:val="22"/>
          <w:szCs w:val="22"/>
          <w:shd w:val="clear" w:color="auto" w:fill="FFFFFF"/>
        </w:rPr>
        <w:t xml:space="preserve">. </w:t>
      </w:r>
      <w:r w:rsidR="00D974D5" w:rsidRPr="004B0BC2">
        <w:rPr>
          <w:rFonts w:cstheme="minorHAnsi"/>
          <w:sz w:val="22"/>
          <w:szCs w:val="22"/>
          <w:shd w:val="clear" w:color="auto" w:fill="FFFFFF"/>
        </w:rPr>
        <w:t>Overall, the c</w:t>
      </w:r>
      <w:r w:rsidR="00CD325C" w:rsidRPr="004B0BC2">
        <w:rPr>
          <w:rFonts w:cstheme="minorHAnsi"/>
          <w:sz w:val="22"/>
          <w:szCs w:val="22"/>
          <w:shd w:val="clear" w:color="auto" w:fill="FFFFFF"/>
        </w:rPr>
        <w:t>onsensus in the group</w:t>
      </w:r>
      <w:r w:rsidR="00F64D4A">
        <w:rPr>
          <w:rFonts w:cstheme="minorHAnsi"/>
          <w:sz w:val="22"/>
          <w:szCs w:val="22"/>
          <w:shd w:val="clear" w:color="auto" w:fill="FFFFFF"/>
        </w:rPr>
        <w:t xml:space="preserve"> was</w:t>
      </w:r>
      <w:r w:rsidR="00CD325C" w:rsidRPr="004B0BC2">
        <w:rPr>
          <w:rFonts w:cstheme="minorHAnsi"/>
          <w:sz w:val="22"/>
          <w:szCs w:val="22"/>
          <w:shd w:val="clear" w:color="auto" w:fill="FFFFFF"/>
        </w:rPr>
        <w:t xml:space="preserve"> that hegemonic masculinity conventions were intrinsically linked with attitudes to health</w:t>
      </w:r>
      <w:r w:rsidR="00F64D4A">
        <w:rPr>
          <w:rFonts w:cstheme="minorHAnsi"/>
          <w:sz w:val="22"/>
          <w:szCs w:val="22"/>
          <w:shd w:val="clear" w:color="auto" w:fill="FFFFFF"/>
        </w:rPr>
        <w:t xml:space="preserve"> </w:t>
      </w:r>
      <w:r w:rsidR="00CD325C" w:rsidRPr="004B0BC2">
        <w:rPr>
          <w:rFonts w:cstheme="minorHAnsi"/>
          <w:sz w:val="22"/>
          <w:szCs w:val="22"/>
          <w:shd w:val="clear" w:color="auto" w:fill="FFFFFF"/>
        </w:rPr>
        <w:t>care</w:t>
      </w:r>
      <w:r w:rsidR="00F64D4A">
        <w:rPr>
          <w:rFonts w:cstheme="minorHAnsi"/>
          <w:sz w:val="22"/>
          <w:szCs w:val="22"/>
          <w:shd w:val="clear" w:color="auto" w:fill="FFFFFF"/>
        </w:rPr>
        <w:t>,</w:t>
      </w:r>
      <w:r w:rsidR="00D974D5" w:rsidRPr="004B0BC2">
        <w:rPr>
          <w:rFonts w:cstheme="minorHAnsi"/>
          <w:sz w:val="22"/>
          <w:szCs w:val="22"/>
          <w:shd w:val="clear" w:color="auto" w:fill="FFFFFF"/>
        </w:rPr>
        <w:t xml:space="preserve"> but</w:t>
      </w:r>
      <w:r w:rsidR="00F64D4A">
        <w:rPr>
          <w:rFonts w:cstheme="minorHAnsi"/>
          <w:sz w:val="22"/>
          <w:szCs w:val="22"/>
          <w:shd w:val="clear" w:color="auto" w:fill="FFFFFF"/>
        </w:rPr>
        <w:t>,</w:t>
      </w:r>
      <w:r w:rsidR="00A46683" w:rsidRPr="004B0BC2">
        <w:rPr>
          <w:rFonts w:cstheme="minorHAnsi"/>
          <w:sz w:val="22"/>
          <w:szCs w:val="22"/>
          <w:shd w:val="clear" w:color="auto" w:fill="FFFFFF"/>
        </w:rPr>
        <w:t xml:space="preserve"> overall</w:t>
      </w:r>
      <w:r w:rsidR="00F64D4A">
        <w:rPr>
          <w:rFonts w:cstheme="minorHAnsi"/>
          <w:sz w:val="22"/>
          <w:szCs w:val="22"/>
          <w:shd w:val="clear" w:color="auto" w:fill="FFFFFF"/>
        </w:rPr>
        <w:t>,</w:t>
      </w:r>
      <w:r w:rsidR="00CD325C" w:rsidRPr="004B0BC2">
        <w:rPr>
          <w:rFonts w:cstheme="minorHAnsi"/>
          <w:sz w:val="22"/>
          <w:szCs w:val="22"/>
          <w:shd w:val="clear" w:color="auto" w:fill="FFFFFF"/>
        </w:rPr>
        <w:t xml:space="preserve"> insufficient</w:t>
      </w:r>
      <w:r w:rsidR="00A46683" w:rsidRPr="004B0BC2">
        <w:rPr>
          <w:rFonts w:cstheme="minorHAnsi"/>
          <w:sz w:val="22"/>
          <w:szCs w:val="22"/>
          <w:shd w:val="clear" w:color="auto" w:fill="FFFFFF"/>
        </w:rPr>
        <w:t xml:space="preserve"> </w:t>
      </w:r>
      <w:r w:rsidR="00CD325C" w:rsidRPr="004B0BC2">
        <w:rPr>
          <w:rFonts w:cstheme="minorHAnsi"/>
          <w:sz w:val="22"/>
          <w:szCs w:val="22"/>
          <w:shd w:val="clear" w:color="auto" w:fill="FFFFFF"/>
        </w:rPr>
        <w:t>service</w:t>
      </w:r>
      <w:r w:rsidR="00005E49" w:rsidRPr="004B0BC2">
        <w:rPr>
          <w:rFonts w:cstheme="minorHAnsi"/>
          <w:sz w:val="22"/>
          <w:szCs w:val="22"/>
          <w:shd w:val="clear" w:color="auto" w:fill="FFFFFF"/>
        </w:rPr>
        <w:t xml:space="preserve">s </w:t>
      </w:r>
      <w:r w:rsidR="00F64D4A">
        <w:rPr>
          <w:rFonts w:cstheme="minorHAnsi"/>
          <w:sz w:val="22"/>
          <w:szCs w:val="22"/>
          <w:shd w:val="clear" w:color="auto" w:fill="FFFFFF"/>
        </w:rPr>
        <w:t xml:space="preserve">were </w:t>
      </w:r>
      <w:r w:rsidR="00005E49" w:rsidRPr="004B0BC2">
        <w:rPr>
          <w:rFonts w:cstheme="minorHAnsi"/>
          <w:sz w:val="22"/>
          <w:szCs w:val="22"/>
          <w:shd w:val="clear" w:color="auto" w:fill="FFFFFF"/>
        </w:rPr>
        <w:t>tailored</w:t>
      </w:r>
      <w:r w:rsidR="00CD325C" w:rsidRPr="004B0BC2">
        <w:rPr>
          <w:rFonts w:cstheme="minorHAnsi"/>
          <w:sz w:val="22"/>
          <w:szCs w:val="22"/>
          <w:shd w:val="clear" w:color="auto" w:fill="FFFFFF"/>
        </w:rPr>
        <w:t xml:space="preserve"> for</w:t>
      </w:r>
      <w:r w:rsidR="00A46683" w:rsidRPr="004B0BC2">
        <w:rPr>
          <w:rFonts w:cstheme="minorHAnsi"/>
          <w:sz w:val="22"/>
          <w:szCs w:val="22"/>
          <w:shd w:val="clear" w:color="auto" w:fill="FFFFFF"/>
        </w:rPr>
        <w:t xml:space="preserve"> </w:t>
      </w:r>
      <w:r w:rsidR="00F64D4A">
        <w:rPr>
          <w:rFonts w:cstheme="minorHAnsi"/>
          <w:sz w:val="22"/>
          <w:szCs w:val="22"/>
          <w:shd w:val="clear" w:color="auto" w:fill="FFFFFF"/>
        </w:rPr>
        <w:t xml:space="preserve">men’s </w:t>
      </w:r>
      <w:r w:rsidR="00CD325C" w:rsidRPr="004B0BC2">
        <w:rPr>
          <w:rFonts w:cstheme="minorHAnsi"/>
          <w:sz w:val="22"/>
          <w:szCs w:val="22"/>
          <w:shd w:val="clear" w:color="auto" w:fill="FFFFFF"/>
        </w:rPr>
        <w:t>health</w:t>
      </w:r>
      <w:r w:rsidR="00F64D4A">
        <w:rPr>
          <w:rFonts w:cstheme="minorHAnsi"/>
          <w:sz w:val="22"/>
          <w:szCs w:val="22"/>
          <w:shd w:val="clear" w:color="auto" w:fill="FFFFFF"/>
        </w:rPr>
        <w:t>-</w:t>
      </w:r>
      <w:r w:rsidR="00CD325C" w:rsidRPr="004B0BC2">
        <w:rPr>
          <w:rFonts w:cstheme="minorHAnsi"/>
          <w:sz w:val="22"/>
          <w:szCs w:val="22"/>
          <w:shd w:val="clear" w:color="auto" w:fill="FFFFFF"/>
        </w:rPr>
        <w:t>care needs</w:t>
      </w:r>
      <w:r w:rsidR="00F64D4A">
        <w:rPr>
          <w:rFonts w:cstheme="minorHAnsi"/>
          <w:sz w:val="22"/>
          <w:szCs w:val="22"/>
          <w:shd w:val="clear" w:color="auto" w:fill="FFFFFF"/>
        </w:rPr>
        <w:t>,</w:t>
      </w:r>
      <w:r w:rsidR="00CD325C" w:rsidRPr="004B0BC2">
        <w:rPr>
          <w:rFonts w:cstheme="minorHAnsi"/>
          <w:sz w:val="22"/>
          <w:szCs w:val="22"/>
          <w:shd w:val="clear" w:color="auto" w:fill="FFFFFF"/>
        </w:rPr>
        <w:t xml:space="preserve"> including</w:t>
      </w:r>
      <w:r w:rsidR="00185A8F" w:rsidRPr="004B0BC2">
        <w:rPr>
          <w:rFonts w:cstheme="minorHAnsi"/>
          <w:sz w:val="22"/>
          <w:szCs w:val="22"/>
          <w:shd w:val="clear" w:color="auto" w:fill="FFFFFF"/>
        </w:rPr>
        <w:t xml:space="preserve"> disease screening.</w:t>
      </w:r>
      <w:r w:rsidR="00CD325C" w:rsidRPr="004B0BC2">
        <w:rPr>
          <w:rFonts w:cstheme="minorHAnsi"/>
          <w:sz w:val="22"/>
          <w:szCs w:val="22"/>
          <w:shd w:val="clear" w:color="auto" w:fill="FFFFFF"/>
        </w:rPr>
        <w:t xml:space="preserve"> </w:t>
      </w:r>
    </w:p>
    <w:p w14:paraId="5677CF77" w14:textId="33ACDFA7" w:rsidR="00F64D4A" w:rsidRDefault="00F64D4A" w:rsidP="00B66369">
      <w:pPr>
        <w:pStyle w:val="NoSpacing"/>
        <w:spacing w:line="480" w:lineRule="auto"/>
        <w:rPr>
          <w:rFonts w:cstheme="minorHAnsi"/>
          <w:sz w:val="22"/>
          <w:szCs w:val="22"/>
          <w:shd w:val="clear" w:color="auto" w:fill="FFFFFF"/>
        </w:rPr>
      </w:pPr>
      <w:r w:rsidRPr="000242C7">
        <w:rPr>
          <w:rFonts w:cstheme="minorHAnsi"/>
          <w:sz w:val="22"/>
          <w:szCs w:val="22"/>
        </w:rPr>
        <w:t xml:space="preserve">A separate study, which </w:t>
      </w:r>
      <w:r w:rsidR="00706975" w:rsidRPr="000242C7">
        <w:rPr>
          <w:rFonts w:cstheme="minorHAnsi"/>
          <w:sz w:val="22"/>
          <w:szCs w:val="22"/>
        </w:rPr>
        <w:t xml:space="preserve">conducted semi-structured interviews of 6 men diagnosed with testicular cancer in Scotland </w:t>
      </w:r>
      <w:r w:rsidRPr="000242C7">
        <w:rPr>
          <w:rFonts w:cstheme="minorHAnsi"/>
          <w:sz w:val="22"/>
          <w:szCs w:val="22"/>
        </w:rPr>
        <w:t>found that t</w:t>
      </w:r>
      <w:r w:rsidR="00706975" w:rsidRPr="000242C7">
        <w:rPr>
          <w:rFonts w:cstheme="minorHAnsi"/>
          <w:sz w:val="22"/>
          <w:szCs w:val="22"/>
        </w:rPr>
        <w:t xml:space="preserve">he vast majority of patients did not practice testicular </w:t>
      </w:r>
      <w:r w:rsidR="007230AE" w:rsidRPr="000242C7">
        <w:rPr>
          <w:rFonts w:cstheme="minorHAnsi"/>
          <w:sz w:val="22"/>
          <w:szCs w:val="22"/>
        </w:rPr>
        <w:t>self-examination</w:t>
      </w:r>
      <w:r w:rsidR="003569DF">
        <w:rPr>
          <w:rFonts w:cstheme="minorHAnsi"/>
          <w:sz w:val="22"/>
          <w:szCs w:val="22"/>
        </w:rPr>
        <w:t xml:space="preserve"> </w:t>
      </w:r>
      <w:r w:rsidR="008025B4">
        <w:rPr>
          <w:rFonts w:cstheme="minorHAnsi"/>
          <w:sz w:val="22"/>
          <w:szCs w:val="22"/>
        </w:rPr>
        <w:t>before</w:t>
      </w:r>
      <w:r w:rsidR="003569DF">
        <w:rPr>
          <w:rFonts w:cstheme="minorHAnsi"/>
          <w:sz w:val="22"/>
          <w:szCs w:val="22"/>
        </w:rPr>
        <w:t xml:space="preserve"> their diagnosis</w:t>
      </w:r>
      <w:r w:rsidRPr="000242C7">
        <w:rPr>
          <w:rFonts w:cstheme="minorHAnsi"/>
          <w:sz w:val="22"/>
          <w:szCs w:val="22"/>
        </w:rPr>
        <w:t xml:space="preserve"> , which</w:t>
      </w:r>
      <w:r w:rsidR="00706975" w:rsidRPr="000242C7">
        <w:rPr>
          <w:rFonts w:cstheme="minorHAnsi"/>
          <w:sz w:val="22"/>
          <w:szCs w:val="22"/>
        </w:rPr>
        <w:t xml:space="preserve"> was attributed to ignorance</w:t>
      </w:r>
      <w:r w:rsidR="00D974D5" w:rsidRPr="000242C7">
        <w:rPr>
          <w:rFonts w:cstheme="minorHAnsi"/>
          <w:sz w:val="22"/>
          <w:szCs w:val="22"/>
        </w:rPr>
        <w:t xml:space="preserve"> of</w:t>
      </w:r>
      <w:r w:rsidR="00706975" w:rsidRPr="000242C7">
        <w:rPr>
          <w:rFonts w:cstheme="minorHAnsi"/>
          <w:sz w:val="22"/>
          <w:szCs w:val="22"/>
        </w:rPr>
        <w:t xml:space="preserve"> </w:t>
      </w:r>
      <w:r w:rsidR="00D974D5" w:rsidRPr="000242C7">
        <w:rPr>
          <w:rFonts w:cstheme="minorHAnsi"/>
          <w:sz w:val="22"/>
          <w:szCs w:val="22"/>
        </w:rPr>
        <w:t>the examination process</w:t>
      </w:r>
      <w:r w:rsidRPr="000242C7">
        <w:rPr>
          <w:rFonts w:cstheme="minorHAnsi"/>
          <w:sz w:val="22"/>
          <w:szCs w:val="22"/>
        </w:rPr>
        <w:fldChar w:fldCharType="begin" w:fldLock="1"/>
      </w:r>
      <w:r w:rsidR="00693DD5">
        <w:rPr>
          <w:rFonts w:cstheme="minorHAnsi"/>
          <w:sz w:val="22"/>
          <w:szCs w:val="22"/>
        </w:rPr>
        <w:instrText>ADDIN CSL_CITATION {"citationItems":[{"id":"ITEM-1","itemData":{"DOI":"10.1016/S1462-3889(99)81296-4","ISSN":"14623889","abstract":"Testicular cancer remains a rare disease which predominantly affects younger men and is increasing in incidence. Testicular self-examination has been promoted as one approach to encourage early presentation and diagnosis. This small-scale qualitative study sought to examine how men with testicular cancer had appraised their symptoms, whether they had practiced self-examination and the factors which contributed to their decision to seek medical care. The study showed that detecting symptoms could not be simplified to the detection of a mass and that metastatic symptoms were difficult for both patients and GPs to appraise. Wives were instrumental in persuading men to visit the GP and the extent to which symptoms affected the patient's lifestyle was also a factor in the decision to seek medical care. The discovery of testicular symptoms produced responses including fear of cancer and of castration. This constituted a barrier to the seeking of care, creating patient delay. The findings have implications for the development of cancer awareness campaigns, where simply giving men information may not guarantee early presentation, and for the development of assessment and referral protocols in primary care. The study also highlighted the need for emotional support to be made available to patients and their families. © Harcourt Brace &amp; Co. Ltd 1999.","author":[{"dropping-particle":"","family":"Gascoigne","given":"Pat","non-dropping-particle":"","parse-names":false,"suffix":""},{"dropping-particle":"","family":"Whitear","given":"Bruce","non-dropping-particle":"","parse-names":false,"suffix":""}],"container-title":"European Journal of Oncology Nursing","id":"ITEM-1","issue":"2","issued":{"date-parts":[["1999"]]},"page":"62-69","title":"Making sense of testicular cancer symptoms: A qualitative study of the way in which men sought help from the health-care services","type":"article-journal","volume":"3"},"uris":["http://www.mendeley.com/documents/?uuid=096e6fe5-6167-44ca-a037-84b57a1a5743"]}],"mendeley":{"formattedCitation":"(86)","plainTextFormattedCitation":"(86)","previouslyFormattedCitation":"(86)"},"properties":{"noteIndex":0},"schema":"https://github.com/citation-style-language/schema/raw/master/csl-citation.json"}</w:instrText>
      </w:r>
      <w:r w:rsidRPr="000242C7">
        <w:rPr>
          <w:rFonts w:cstheme="minorHAnsi"/>
          <w:sz w:val="22"/>
          <w:szCs w:val="22"/>
        </w:rPr>
        <w:fldChar w:fldCharType="separate"/>
      </w:r>
      <w:r w:rsidR="00693DD5" w:rsidRPr="00693DD5">
        <w:rPr>
          <w:rFonts w:cstheme="minorHAnsi"/>
          <w:noProof/>
          <w:sz w:val="22"/>
          <w:szCs w:val="22"/>
        </w:rPr>
        <w:t>(86)</w:t>
      </w:r>
      <w:r w:rsidRPr="000242C7">
        <w:rPr>
          <w:rFonts w:cstheme="minorHAnsi"/>
          <w:sz w:val="22"/>
          <w:szCs w:val="22"/>
        </w:rPr>
        <w:fldChar w:fldCharType="end"/>
      </w:r>
      <w:r w:rsidR="00706975" w:rsidRPr="000242C7">
        <w:rPr>
          <w:rFonts w:cstheme="minorHAnsi"/>
          <w:sz w:val="22"/>
          <w:szCs w:val="22"/>
        </w:rPr>
        <w:t xml:space="preserve">. </w:t>
      </w:r>
      <w:r w:rsidR="008B6FCA">
        <w:rPr>
          <w:rFonts w:cstheme="minorHAnsi"/>
          <w:sz w:val="22"/>
          <w:szCs w:val="22"/>
        </w:rPr>
        <w:t>One</w:t>
      </w:r>
      <w:r w:rsidR="00706975" w:rsidRPr="000242C7">
        <w:rPr>
          <w:rFonts w:cstheme="minorHAnsi"/>
          <w:sz w:val="22"/>
          <w:szCs w:val="22"/>
        </w:rPr>
        <w:t xml:space="preserve"> </w:t>
      </w:r>
      <w:r w:rsidR="008B6FCA">
        <w:rPr>
          <w:rFonts w:cstheme="minorHAnsi"/>
          <w:sz w:val="22"/>
          <w:szCs w:val="22"/>
        </w:rPr>
        <w:t>man</w:t>
      </w:r>
      <w:r w:rsidRPr="000242C7">
        <w:rPr>
          <w:rFonts w:cstheme="minorHAnsi"/>
          <w:sz w:val="22"/>
          <w:szCs w:val="22"/>
        </w:rPr>
        <w:t xml:space="preserve"> </w:t>
      </w:r>
      <w:r w:rsidR="008B6FCA">
        <w:rPr>
          <w:rFonts w:cstheme="minorHAnsi"/>
          <w:sz w:val="22"/>
          <w:szCs w:val="22"/>
        </w:rPr>
        <w:t>was</w:t>
      </w:r>
      <w:r w:rsidRPr="003569DF">
        <w:rPr>
          <w:rFonts w:cstheme="minorHAnsi"/>
          <w:sz w:val="22"/>
          <w:szCs w:val="22"/>
          <w:shd w:val="clear" w:color="auto" w:fill="FFFFFF"/>
        </w:rPr>
        <w:t xml:space="preserve"> </w:t>
      </w:r>
      <w:r w:rsidR="00706975" w:rsidRPr="003569DF">
        <w:rPr>
          <w:rFonts w:cstheme="minorHAnsi"/>
          <w:sz w:val="22"/>
          <w:szCs w:val="22"/>
          <w:shd w:val="clear" w:color="auto" w:fill="FFFFFF"/>
        </w:rPr>
        <w:t>reluctant</w:t>
      </w:r>
      <w:r w:rsidR="00706975" w:rsidRPr="004B0BC2">
        <w:rPr>
          <w:rFonts w:cstheme="minorHAnsi"/>
          <w:sz w:val="22"/>
          <w:szCs w:val="22"/>
          <w:shd w:val="clear" w:color="auto" w:fill="FFFFFF"/>
        </w:rPr>
        <w:t xml:space="preserve"> to seek help</w:t>
      </w:r>
      <w:r w:rsidR="006644D5" w:rsidRPr="004B0BC2">
        <w:rPr>
          <w:rFonts w:cstheme="minorHAnsi"/>
          <w:sz w:val="22"/>
          <w:szCs w:val="22"/>
          <w:shd w:val="clear" w:color="auto" w:fill="FFFFFF"/>
        </w:rPr>
        <w:t xml:space="preserve"> when they noticed a testicular lump</w:t>
      </w:r>
      <w:r w:rsidR="00706975" w:rsidRPr="004B0BC2">
        <w:rPr>
          <w:rFonts w:cstheme="minorHAnsi"/>
          <w:sz w:val="22"/>
          <w:szCs w:val="22"/>
          <w:shd w:val="clear" w:color="auto" w:fill="FFFFFF"/>
        </w:rPr>
        <w:t xml:space="preserve"> owing to </w:t>
      </w:r>
      <w:r w:rsidR="00005E49" w:rsidRPr="004B0BC2">
        <w:rPr>
          <w:rFonts w:cstheme="minorHAnsi"/>
          <w:sz w:val="22"/>
          <w:szCs w:val="22"/>
          <w:shd w:val="clear" w:color="auto" w:fill="FFFFFF"/>
        </w:rPr>
        <w:t>embarrassment</w:t>
      </w:r>
      <w:r w:rsidR="00706975" w:rsidRPr="004B0BC2">
        <w:rPr>
          <w:rFonts w:cstheme="minorHAnsi"/>
          <w:sz w:val="22"/>
          <w:szCs w:val="22"/>
          <w:shd w:val="clear" w:color="auto" w:fill="FFFFFF"/>
        </w:rPr>
        <w:t xml:space="preserve"> and concerns about feeling foolish if nothing was wrong. </w:t>
      </w:r>
      <w:r w:rsidR="008B6FCA">
        <w:rPr>
          <w:rFonts w:cstheme="minorHAnsi"/>
          <w:sz w:val="22"/>
          <w:szCs w:val="22"/>
          <w:shd w:val="clear" w:color="auto" w:fill="FFFFFF"/>
        </w:rPr>
        <w:t xml:space="preserve"> Another participant expressed </w:t>
      </w:r>
      <w:r w:rsidR="00316A01">
        <w:rPr>
          <w:rFonts w:cstheme="minorHAnsi"/>
          <w:sz w:val="22"/>
          <w:szCs w:val="22"/>
          <w:shd w:val="clear" w:color="auto" w:fill="FFFFFF"/>
        </w:rPr>
        <w:t xml:space="preserve">reluctance to seek help because they were afraid to discuss or be examined in a private and sensitive area. </w:t>
      </w:r>
      <w:r w:rsidR="00706975" w:rsidRPr="004B0BC2">
        <w:rPr>
          <w:rFonts w:cstheme="minorHAnsi"/>
          <w:sz w:val="22"/>
          <w:szCs w:val="22"/>
          <w:shd w:val="clear" w:color="auto" w:fill="FFFFFF"/>
        </w:rPr>
        <w:t xml:space="preserve">Although this study is limited by the small sample size, it does raise some important issues. Many men do not practice testicular </w:t>
      </w:r>
      <w:r w:rsidR="007230AE" w:rsidRPr="004B0BC2">
        <w:rPr>
          <w:rFonts w:cstheme="minorHAnsi"/>
          <w:sz w:val="22"/>
          <w:szCs w:val="22"/>
          <w:shd w:val="clear" w:color="auto" w:fill="FFFFFF"/>
        </w:rPr>
        <w:t>self-examination</w:t>
      </w:r>
      <w:r w:rsidR="00706975" w:rsidRPr="004B0BC2">
        <w:rPr>
          <w:rFonts w:cstheme="minorHAnsi"/>
          <w:sz w:val="22"/>
          <w:szCs w:val="22"/>
          <w:shd w:val="clear" w:color="auto" w:fill="FFFFFF"/>
        </w:rPr>
        <w:t xml:space="preserve"> </w:t>
      </w:r>
      <w:r>
        <w:rPr>
          <w:rFonts w:ascii="Calibri" w:hAnsi="Calibri" w:cs="Calibri"/>
          <w:sz w:val="22"/>
          <w:szCs w:val="22"/>
          <w:shd w:val="clear" w:color="auto" w:fill="FFFFFF"/>
        </w:rPr>
        <w:t>—</w:t>
      </w:r>
      <w:r w:rsidR="00803208" w:rsidRPr="004B0BC2">
        <w:rPr>
          <w:rFonts w:cstheme="minorHAnsi"/>
          <w:sz w:val="22"/>
          <w:szCs w:val="22"/>
          <w:shd w:val="clear" w:color="auto" w:fill="FFFFFF"/>
        </w:rPr>
        <w:t xml:space="preserve">not necessarily </w:t>
      </w:r>
      <w:r>
        <w:rPr>
          <w:rFonts w:cstheme="minorHAnsi"/>
          <w:sz w:val="22"/>
          <w:szCs w:val="22"/>
          <w:shd w:val="clear" w:color="auto" w:fill="FFFFFF"/>
        </w:rPr>
        <w:t>owing to</w:t>
      </w:r>
      <w:r w:rsidRPr="004B0BC2">
        <w:rPr>
          <w:rFonts w:cstheme="minorHAnsi"/>
          <w:sz w:val="22"/>
          <w:szCs w:val="22"/>
          <w:shd w:val="clear" w:color="auto" w:fill="FFFFFF"/>
        </w:rPr>
        <w:t xml:space="preserve"> </w:t>
      </w:r>
      <w:r w:rsidR="00757B75" w:rsidRPr="004B0BC2">
        <w:rPr>
          <w:rFonts w:cstheme="minorHAnsi"/>
          <w:sz w:val="22"/>
          <w:szCs w:val="22"/>
          <w:shd w:val="clear" w:color="auto" w:fill="FFFFFF"/>
        </w:rPr>
        <w:t xml:space="preserve">machismo </w:t>
      </w:r>
      <w:r>
        <w:rPr>
          <w:rFonts w:cstheme="minorHAnsi"/>
          <w:sz w:val="22"/>
          <w:szCs w:val="22"/>
          <w:shd w:val="clear" w:color="auto" w:fill="FFFFFF"/>
        </w:rPr>
        <w:t xml:space="preserve">or masculine </w:t>
      </w:r>
      <w:r w:rsidR="00757B75" w:rsidRPr="004B0BC2">
        <w:rPr>
          <w:rFonts w:cstheme="minorHAnsi"/>
          <w:sz w:val="22"/>
          <w:szCs w:val="22"/>
          <w:shd w:val="clear" w:color="auto" w:fill="FFFFFF"/>
        </w:rPr>
        <w:t>attitudes</w:t>
      </w:r>
      <w:r>
        <w:rPr>
          <w:rFonts w:cstheme="minorHAnsi"/>
          <w:sz w:val="22"/>
          <w:szCs w:val="22"/>
          <w:shd w:val="clear" w:color="auto" w:fill="FFFFFF"/>
        </w:rPr>
        <w:t>,</w:t>
      </w:r>
      <w:r w:rsidR="00803208" w:rsidRPr="004B0BC2">
        <w:rPr>
          <w:rFonts w:cstheme="minorHAnsi"/>
          <w:sz w:val="22"/>
          <w:szCs w:val="22"/>
          <w:shd w:val="clear" w:color="auto" w:fill="FFFFFF"/>
        </w:rPr>
        <w:t xml:space="preserve"> but rather </w:t>
      </w:r>
      <w:r>
        <w:rPr>
          <w:rFonts w:cstheme="minorHAnsi"/>
          <w:sz w:val="22"/>
          <w:szCs w:val="22"/>
          <w:shd w:val="clear" w:color="auto" w:fill="FFFFFF"/>
        </w:rPr>
        <w:t xml:space="preserve">owing to </w:t>
      </w:r>
      <w:r w:rsidR="00803208" w:rsidRPr="004B0BC2">
        <w:rPr>
          <w:rFonts w:cstheme="minorHAnsi"/>
          <w:sz w:val="22"/>
          <w:szCs w:val="22"/>
          <w:shd w:val="clear" w:color="auto" w:fill="FFFFFF"/>
        </w:rPr>
        <w:t xml:space="preserve">misunderstanding </w:t>
      </w:r>
      <w:r w:rsidR="00757B75" w:rsidRPr="004B0BC2">
        <w:rPr>
          <w:rFonts w:cstheme="minorHAnsi"/>
          <w:sz w:val="22"/>
          <w:szCs w:val="22"/>
          <w:shd w:val="clear" w:color="auto" w:fill="FFFFFF"/>
        </w:rPr>
        <w:t>of how to perform the examination</w:t>
      </w:r>
      <w:r w:rsidR="00803208" w:rsidRPr="004B0BC2">
        <w:rPr>
          <w:rFonts w:cstheme="minorHAnsi"/>
          <w:sz w:val="22"/>
          <w:szCs w:val="22"/>
          <w:shd w:val="clear" w:color="auto" w:fill="FFFFFF"/>
        </w:rPr>
        <w:t xml:space="preserve">. Moreover, many men do not seek help </w:t>
      </w:r>
      <w:r>
        <w:rPr>
          <w:rFonts w:cstheme="minorHAnsi"/>
          <w:sz w:val="22"/>
          <w:szCs w:val="22"/>
          <w:shd w:val="clear" w:color="auto" w:fill="FFFFFF"/>
        </w:rPr>
        <w:t>as they fear</w:t>
      </w:r>
      <w:r w:rsidR="00803208" w:rsidRPr="004B0BC2">
        <w:rPr>
          <w:rFonts w:cstheme="minorHAnsi"/>
          <w:sz w:val="22"/>
          <w:szCs w:val="22"/>
          <w:shd w:val="clear" w:color="auto" w:fill="FFFFFF"/>
        </w:rPr>
        <w:t xml:space="preserve"> being embarrassed and vulnerable. </w:t>
      </w:r>
      <w:r w:rsidR="00757B75" w:rsidRPr="004B0BC2">
        <w:rPr>
          <w:rFonts w:cstheme="minorHAnsi"/>
          <w:sz w:val="22"/>
          <w:szCs w:val="22"/>
          <w:shd w:val="clear" w:color="auto" w:fill="FFFFFF"/>
        </w:rPr>
        <w:t xml:space="preserve">Thus, </w:t>
      </w:r>
      <w:r>
        <w:rPr>
          <w:rFonts w:cstheme="minorHAnsi"/>
          <w:sz w:val="22"/>
          <w:szCs w:val="22"/>
          <w:shd w:val="clear" w:color="auto" w:fill="FFFFFF"/>
        </w:rPr>
        <w:t>men’s attitudes are</w:t>
      </w:r>
      <w:r w:rsidR="00803208" w:rsidRPr="004B0BC2">
        <w:rPr>
          <w:rFonts w:cstheme="minorHAnsi"/>
          <w:sz w:val="22"/>
          <w:szCs w:val="22"/>
          <w:shd w:val="clear" w:color="auto" w:fill="FFFFFF"/>
        </w:rPr>
        <w:t xml:space="preserve"> not homogenous </w:t>
      </w:r>
      <w:r w:rsidR="00757B75" w:rsidRPr="004B0BC2">
        <w:rPr>
          <w:rFonts w:cstheme="minorHAnsi"/>
          <w:sz w:val="22"/>
          <w:szCs w:val="22"/>
          <w:shd w:val="clear" w:color="auto" w:fill="FFFFFF"/>
        </w:rPr>
        <w:t xml:space="preserve">and many </w:t>
      </w:r>
      <w:r>
        <w:rPr>
          <w:rFonts w:cstheme="minorHAnsi"/>
          <w:sz w:val="22"/>
          <w:szCs w:val="22"/>
          <w:shd w:val="clear" w:color="auto" w:fill="FFFFFF"/>
        </w:rPr>
        <w:t xml:space="preserve">other </w:t>
      </w:r>
      <w:r w:rsidR="00757B75" w:rsidRPr="004B0BC2">
        <w:rPr>
          <w:rFonts w:cstheme="minorHAnsi"/>
          <w:sz w:val="22"/>
          <w:szCs w:val="22"/>
          <w:shd w:val="clear" w:color="auto" w:fill="FFFFFF"/>
        </w:rPr>
        <w:t>reasons</w:t>
      </w:r>
      <w:r>
        <w:rPr>
          <w:rFonts w:cstheme="minorHAnsi"/>
          <w:sz w:val="22"/>
          <w:szCs w:val="22"/>
          <w:shd w:val="clear" w:color="auto" w:fill="FFFFFF"/>
        </w:rPr>
        <w:t xml:space="preserve"> </w:t>
      </w:r>
      <w:r>
        <w:rPr>
          <w:rFonts w:ascii="Calibri" w:hAnsi="Calibri" w:cs="Calibri"/>
          <w:sz w:val="22"/>
          <w:szCs w:val="22"/>
          <w:shd w:val="clear" w:color="auto" w:fill="FFFFFF"/>
        </w:rPr>
        <w:t>—</w:t>
      </w:r>
      <w:r>
        <w:rPr>
          <w:rFonts w:cstheme="minorHAnsi"/>
          <w:sz w:val="22"/>
          <w:szCs w:val="22"/>
          <w:shd w:val="clear" w:color="auto" w:fill="FFFFFF"/>
        </w:rPr>
        <w:t xml:space="preserve"> rather than simply</w:t>
      </w:r>
      <w:r w:rsidRPr="00F64D4A">
        <w:rPr>
          <w:rFonts w:cstheme="minorHAnsi"/>
          <w:sz w:val="22"/>
          <w:szCs w:val="22"/>
          <w:shd w:val="clear" w:color="auto" w:fill="FFFFFF"/>
        </w:rPr>
        <w:t xml:space="preserve"> </w:t>
      </w:r>
      <w:r w:rsidRPr="004B0BC2">
        <w:rPr>
          <w:rFonts w:cstheme="minorHAnsi"/>
          <w:sz w:val="22"/>
          <w:szCs w:val="22"/>
          <w:shd w:val="clear" w:color="auto" w:fill="FFFFFF"/>
        </w:rPr>
        <w:t>hegemonic masculinity conventions</w:t>
      </w:r>
      <w:r>
        <w:rPr>
          <w:rFonts w:cstheme="minorHAnsi"/>
          <w:sz w:val="22"/>
          <w:szCs w:val="22"/>
          <w:shd w:val="clear" w:color="auto" w:fill="FFFFFF"/>
        </w:rPr>
        <w:t xml:space="preserve"> </w:t>
      </w:r>
      <w:r>
        <w:rPr>
          <w:rFonts w:ascii="Calibri" w:hAnsi="Calibri" w:cs="Calibri"/>
          <w:sz w:val="22"/>
          <w:szCs w:val="22"/>
          <w:shd w:val="clear" w:color="auto" w:fill="FFFFFF"/>
        </w:rPr>
        <w:t>—</w:t>
      </w:r>
      <w:r w:rsidR="00757B75" w:rsidRPr="004B0BC2">
        <w:rPr>
          <w:rFonts w:cstheme="minorHAnsi"/>
          <w:sz w:val="22"/>
          <w:szCs w:val="22"/>
          <w:shd w:val="clear" w:color="auto" w:fill="FFFFFF"/>
        </w:rPr>
        <w:t xml:space="preserve"> </w:t>
      </w:r>
      <w:r>
        <w:rPr>
          <w:rFonts w:cstheme="minorHAnsi"/>
          <w:sz w:val="22"/>
          <w:szCs w:val="22"/>
          <w:shd w:val="clear" w:color="auto" w:fill="FFFFFF"/>
        </w:rPr>
        <w:t>might explain</w:t>
      </w:r>
      <w:r w:rsidR="00757B75" w:rsidRPr="004B0BC2">
        <w:rPr>
          <w:rFonts w:cstheme="minorHAnsi"/>
          <w:sz w:val="22"/>
          <w:szCs w:val="22"/>
          <w:shd w:val="clear" w:color="auto" w:fill="FFFFFF"/>
        </w:rPr>
        <w:t xml:space="preserve"> an underutilisation of health</w:t>
      </w:r>
      <w:r>
        <w:rPr>
          <w:rFonts w:cstheme="minorHAnsi"/>
          <w:sz w:val="22"/>
          <w:szCs w:val="22"/>
          <w:shd w:val="clear" w:color="auto" w:fill="FFFFFF"/>
        </w:rPr>
        <w:t>-</w:t>
      </w:r>
      <w:r w:rsidR="00757B75" w:rsidRPr="004B0BC2">
        <w:rPr>
          <w:rFonts w:cstheme="minorHAnsi"/>
          <w:sz w:val="22"/>
          <w:szCs w:val="22"/>
          <w:shd w:val="clear" w:color="auto" w:fill="FFFFFF"/>
        </w:rPr>
        <w:t xml:space="preserve">care services. </w:t>
      </w:r>
    </w:p>
    <w:p w14:paraId="1F8647EA" w14:textId="7D8194E0" w:rsidR="004C7E1A" w:rsidRDefault="004C7E1A" w:rsidP="00B66369">
      <w:pPr>
        <w:pStyle w:val="NoSpacing"/>
        <w:spacing w:line="480" w:lineRule="auto"/>
        <w:rPr>
          <w:rFonts w:cstheme="minorHAnsi"/>
          <w:sz w:val="22"/>
          <w:szCs w:val="22"/>
          <w:shd w:val="clear" w:color="auto" w:fill="FFFFFF"/>
        </w:rPr>
      </w:pPr>
    </w:p>
    <w:p w14:paraId="6F395068" w14:textId="0A0CE9F4" w:rsidR="004C7E1A" w:rsidRPr="00500FBD" w:rsidRDefault="004C7E1A" w:rsidP="00B66369">
      <w:pPr>
        <w:pStyle w:val="NoSpacing"/>
        <w:spacing w:line="480" w:lineRule="auto"/>
        <w:rPr>
          <w:rFonts w:cstheme="minorHAnsi"/>
          <w:b/>
          <w:sz w:val="22"/>
          <w:szCs w:val="22"/>
          <w:shd w:val="clear" w:color="auto" w:fill="FFFFFF"/>
        </w:rPr>
      </w:pPr>
      <w:r w:rsidRPr="00500FBD">
        <w:rPr>
          <w:rFonts w:cstheme="minorHAnsi"/>
          <w:b/>
          <w:sz w:val="22"/>
          <w:szCs w:val="22"/>
          <w:shd w:val="clear" w:color="auto" w:fill="FFFFFF"/>
        </w:rPr>
        <w:t>[H2]Health-care infrastructure</w:t>
      </w:r>
      <w:r>
        <w:rPr>
          <w:rFonts w:cstheme="minorHAnsi"/>
          <w:b/>
          <w:sz w:val="22"/>
          <w:szCs w:val="22"/>
          <w:shd w:val="clear" w:color="auto" w:fill="FFFFFF"/>
        </w:rPr>
        <w:t xml:space="preserve"> </w:t>
      </w:r>
    </w:p>
    <w:p w14:paraId="1990E3A8" w14:textId="14C16FC5" w:rsidR="00F7720E" w:rsidRPr="004B0BC2" w:rsidRDefault="0035636E" w:rsidP="00500FBD">
      <w:pPr>
        <w:pStyle w:val="NoSpacing"/>
        <w:spacing w:line="480" w:lineRule="auto"/>
        <w:rPr>
          <w:rFonts w:cstheme="minorHAnsi"/>
          <w:sz w:val="22"/>
          <w:szCs w:val="22"/>
        </w:rPr>
      </w:pPr>
      <w:r>
        <w:rPr>
          <w:rFonts w:cstheme="minorHAnsi"/>
          <w:sz w:val="22"/>
          <w:szCs w:val="22"/>
          <w:shd w:val="clear" w:color="auto" w:fill="FFFFFF"/>
        </w:rPr>
        <w:t>T</w:t>
      </w:r>
      <w:r w:rsidR="00757B75" w:rsidRPr="004B0BC2">
        <w:rPr>
          <w:rFonts w:cstheme="minorHAnsi"/>
          <w:sz w:val="22"/>
          <w:szCs w:val="22"/>
          <w:shd w:val="clear" w:color="auto" w:fill="FFFFFF"/>
        </w:rPr>
        <w:t>he infrastructure of the health</w:t>
      </w:r>
      <w:r w:rsidR="00F64D4A">
        <w:rPr>
          <w:rFonts w:cstheme="minorHAnsi"/>
          <w:sz w:val="22"/>
          <w:szCs w:val="22"/>
          <w:shd w:val="clear" w:color="auto" w:fill="FFFFFF"/>
        </w:rPr>
        <w:t>-</w:t>
      </w:r>
      <w:r w:rsidR="00757B75" w:rsidRPr="004B0BC2">
        <w:rPr>
          <w:rFonts w:cstheme="minorHAnsi"/>
          <w:sz w:val="22"/>
          <w:szCs w:val="22"/>
          <w:shd w:val="clear" w:color="auto" w:fill="FFFFFF"/>
        </w:rPr>
        <w:t xml:space="preserve">care system </w:t>
      </w:r>
      <w:r w:rsidR="00F64D4A">
        <w:rPr>
          <w:rFonts w:cstheme="minorHAnsi"/>
          <w:sz w:val="22"/>
          <w:szCs w:val="22"/>
          <w:shd w:val="clear" w:color="auto" w:fill="FFFFFF"/>
        </w:rPr>
        <w:t xml:space="preserve">itself might </w:t>
      </w:r>
      <w:r w:rsidR="00757B75" w:rsidRPr="004B0BC2">
        <w:rPr>
          <w:rFonts w:cstheme="minorHAnsi"/>
          <w:sz w:val="22"/>
          <w:szCs w:val="22"/>
          <w:shd w:val="clear" w:color="auto" w:fill="FFFFFF"/>
        </w:rPr>
        <w:t xml:space="preserve">also be </w:t>
      </w:r>
      <w:r w:rsidR="00F64D4A">
        <w:rPr>
          <w:rFonts w:cstheme="minorHAnsi"/>
          <w:sz w:val="22"/>
          <w:szCs w:val="22"/>
          <w:shd w:val="clear" w:color="auto" w:fill="FFFFFF"/>
        </w:rPr>
        <w:t xml:space="preserve">a </w:t>
      </w:r>
      <w:r w:rsidR="00757B75" w:rsidRPr="004B0BC2">
        <w:rPr>
          <w:rFonts w:cstheme="minorHAnsi"/>
          <w:sz w:val="22"/>
          <w:szCs w:val="22"/>
          <w:shd w:val="clear" w:color="auto" w:fill="FFFFFF"/>
        </w:rPr>
        <w:t>contribut</w:t>
      </w:r>
      <w:r w:rsidR="0080643D">
        <w:rPr>
          <w:rFonts w:cstheme="minorHAnsi"/>
          <w:sz w:val="22"/>
          <w:szCs w:val="22"/>
          <w:shd w:val="clear" w:color="auto" w:fill="FFFFFF"/>
        </w:rPr>
        <w:t xml:space="preserve">ing factor </w:t>
      </w:r>
      <w:r w:rsidR="00757B75" w:rsidRPr="004B0BC2">
        <w:rPr>
          <w:rFonts w:cstheme="minorHAnsi"/>
          <w:sz w:val="22"/>
          <w:szCs w:val="22"/>
          <w:shd w:val="clear" w:color="auto" w:fill="FFFFFF"/>
        </w:rPr>
        <w:t>to</w:t>
      </w:r>
      <w:r w:rsidR="00C2113A" w:rsidRPr="004B0BC2">
        <w:rPr>
          <w:rFonts w:cstheme="minorHAnsi"/>
          <w:sz w:val="22"/>
          <w:szCs w:val="22"/>
          <w:shd w:val="clear" w:color="auto" w:fill="FFFFFF"/>
        </w:rPr>
        <w:t xml:space="preserve"> th</w:t>
      </w:r>
      <w:r w:rsidR="0080643D">
        <w:rPr>
          <w:rFonts w:cstheme="minorHAnsi"/>
          <w:sz w:val="22"/>
          <w:szCs w:val="22"/>
          <w:shd w:val="clear" w:color="auto" w:fill="FFFFFF"/>
        </w:rPr>
        <w:t>e</w:t>
      </w:r>
      <w:r w:rsidR="00C2113A" w:rsidRPr="004B0BC2">
        <w:rPr>
          <w:rFonts w:cstheme="minorHAnsi"/>
          <w:sz w:val="22"/>
          <w:szCs w:val="22"/>
          <w:shd w:val="clear" w:color="auto" w:fill="FFFFFF"/>
        </w:rPr>
        <w:t xml:space="preserve"> </w:t>
      </w:r>
      <w:r w:rsidR="00757B75" w:rsidRPr="004B0BC2">
        <w:rPr>
          <w:rFonts w:cstheme="minorHAnsi"/>
          <w:sz w:val="22"/>
          <w:szCs w:val="22"/>
          <w:shd w:val="clear" w:color="auto" w:fill="FFFFFF"/>
        </w:rPr>
        <w:t>underutilisation of health</w:t>
      </w:r>
      <w:r w:rsidR="00C2113A" w:rsidRPr="004B0BC2">
        <w:rPr>
          <w:rFonts w:cstheme="minorHAnsi"/>
          <w:sz w:val="22"/>
          <w:szCs w:val="22"/>
          <w:shd w:val="clear" w:color="auto" w:fill="FFFFFF"/>
        </w:rPr>
        <w:t xml:space="preserve"> resources</w:t>
      </w:r>
      <w:r w:rsidR="00757B75" w:rsidRPr="004B0BC2">
        <w:rPr>
          <w:rFonts w:cstheme="minorHAnsi"/>
          <w:sz w:val="22"/>
          <w:szCs w:val="22"/>
          <w:shd w:val="clear" w:color="auto" w:fill="FFFFFF"/>
        </w:rPr>
        <w:t xml:space="preserve">. </w:t>
      </w:r>
      <w:r w:rsidR="00F64D4A">
        <w:rPr>
          <w:rFonts w:cstheme="minorHAnsi"/>
          <w:sz w:val="22"/>
          <w:szCs w:val="22"/>
          <w:shd w:val="clear" w:color="auto" w:fill="FFFFFF"/>
        </w:rPr>
        <w:t>A</w:t>
      </w:r>
      <w:r w:rsidR="00E95380" w:rsidRPr="004B0BC2">
        <w:rPr>
          <w:rFonts w:cstheme="minorHAnsi"/>
          <w:sz w:val="22"/>
          <w:szCs w:val="22"/>
          <w:shd w:val="clear" w:color="auto" w:fill="FFFFFF"/>
        </w:rPr>
        <w:t xml:space="preserve"> meta-analysis of 10 studies analysing</w:t>
      </w:r>
      <w:r w:rsidR="00B65C3C" w:rsidRPr="004B0BC2">
        <w:rPr>
          <w:rFonts w:cstheme="minorHAnsi"/>
          <w:sz w:val="22"/>
          <w:szCs w:val="22"/>
          <w:shd w:val="clear" w:color="auto" w:fill="FFFFFF"/>
        </w:rPr>
        <w:t xml:space="preserve"> health</w:t>
      </w:r>
      <w:r w:rsidR="00F64D4A">
        <w:rPr>
          <w:rFonts w:cstheme="minorHAnsi"/>
          <w:sz w:val="22"/>
          <w:szCs w:val="22"/>
          <w:shd w:val="clear" w:color="auto" w:fill="FFFFFF"/>
        </w:rPr>
        <w:t>-</w:t>
      </w:r>
      <w:r w:rsidR="00B65C3C" w:rsidRPr="004B0BC2">
        <w:rPr>
          <w:rFonts w:cstheme="minorHAnsi"/>
          <w:sz w:val="22"/>
          <w:szCs w:val="22"/>
          <w:shd w:val="clear" w:color="auto" w:fill="FFFFFF"/>
        </w:rPr>
        <w:t>care provider behaviour</w:t>
      </w:r>
      <w:r w:rsidR="006644D5" w:rsidRPr="004B0BC2">
        <w:rPr>
          <w:rFonts w:cstheme="minorHAnsi"/>
          <w:sz w:val="22"/>
          <w:szCs w:val="22"/>
          <w:shd w:val="clear" w:color="auto" w:fill="FFFFFF"/>
        </w:rPr>
        <w:t>s</w:t>
      </w:r>
      <w:r w:rsidR="00B65C3C" w:rsidRPr="004B0BC2">
        <w:rPr>
          <w:rFonts w:cstheme="minorHAnsi"/>
          <w:sz w:val="22"/>
          <w:szCs w:val="22"/>
          <w:shd w:val="clear" w:color="auto" w:fill="FFFFFF"/>
        </w:rPr>
        <w:t xml:space="preserve"> in medical encounters</w:t>
      </w:r>
      <w:r w:rsidR="00F64D4A">
        <w:rPr>
          <w:rFonts w:cstheme="minorHAnsi"/>
          <w:sz w:val="22"/>
          <w:szCs w:val="22"/>
          <w:shd w:val="clear" w:color="auto" w:fill="FFFFFF"/>
        </w:rPr>
        <w:t xml:space="preserve"> showed that</w:t>
      </w:r>
      <w:r w:rsidR="00B65C3C" w:rsidRPr="004B0BC2">
        <w:rPr>
          <w:rFonts w:cstheme="minorHAnsi"/>
          <w:sz w:val="22"/>
          <w:szCs w:val="22"/>
          <w:shd w:val="clear" w:color="auto" w:fill="FFFFFF"/>
        </w:rPr>
        <w:t xml:space="preserve"> patient compliance (defined as appointment keeping or compliance with treatment </w:t>
      </w:r>
      <w:r w:rsidR="00005E49" w:rsidRPr="004B0BC2">
        <w:rPr>
          <w:rFonts w:cstheme="minorHAnsi"/>
          <w:sz w:val="22"/>
          <w:szCs w:val="22"/>
          <w:shd w:val="clear" w:color="auto" w:fill="FFFFFF"/>
        </w:rPr>
        <w:t>regimen</w:t>
      </w:r>
      <w:r w:rsidR="00B65C3C" w:rsidRPr="004B0BC2">
        <w:rPr>
          <w:rFonts w:cstheme="minorHAnsi"/>
          <w:sz w:val="22"/>
          <w:szCs w:val="22"/>
          <w:shd w:val="clear" w:color="auto" w:fill="FFFFFF"/>
        </w:rPr>
        <w:t xml:space="preserve">) was </w:t>
      </w:r>
      <w:r w:rsidR="00F64D4A">
        <w:rPr>
          <w:rFonts w:cstheme="minorHAnsi"/>
          <w:sz w:val="22"/>
          <w:szCs w:val="22"/>
          <w:shd w:val="clear" w:color="auto" w:fill="FFFFFF"/>
        </w:rPr>
        <w:t xml:space="preserve">positively </w:t>
      </w:r>
      <w:r w:rsidR="00B65C3C" w:rsidRPr="004B0BC2">
        <w:rPr>
          <w:rFonts w:cstheme="minorHAnsi"/>
          <w:sz w:val="22"/>
          <w:szCs w:val="22"/>
          <w:shd w:val="clear" w:color="auto" w:fill="FFFFFF"/>
        </w:rPr>
        <w:t xml:space="preserve">correlated with </w:t>
      </w:r>
      <w:r w:rsidR="00F64D4A">
        <w:rPr>
          <w:rFonts w:cstheme="minorHAnsi"/>
          <w:sz w:val="22"/>
          <w:szCs w:val="22"/>
          <w:shd w:val="clear" w:color="auto" w:fill="FFFFFF"/>
        </w:rPr>
        <w:t xml:space="preserve">the amount of </w:t>
      </w:r>
      <w:r w:rsidR="00B65C3C" w:rsidRPr="004B0BC2">
        <w:rPr>
          <w:rFonts w:cstheme="minorHAnsi"/>
          <w:sz w:val="22"/>
          <w:szCs w:val="22"/>
          <w:shd w:val="clear" w:color="auto" w:fill="FFFFFF"/>
        </w:rPr>
        <w:t>information</w:t>
      </w:r>
      <w:r w:rsidR="00F819E1" w:rsidRPr="004B0BC2">
        <w:rPr>
          <w:rFonts w:cstheme="minorHAnsi"/>
          <w:sz w:val="22"/>
          <w:szCs w:val="22"/>
          <w:shd w:val="clear" w:color="auto" w:fill="FFFFFF"/>
        </w:rPr>
        <w:t xml:space="preserve"> (general discussion, overview of drugs treatment, procedures and examination and specific details regarding the illness) </w:t>
      </w:r>
      <w:r w:rsidR="00F64D4A">
        <w:rPr>
          <w:rFonts w:cstheme="minorHAnsi"/>
          <w:sz w:val="22"/>
          <w:szCs w:val="22"/>
          <w:shd w:val="clear" w:color="auto" w:fill="FFFFFF"/>
        </w:rPr>
        <w:t>provided</w:t>
      </w:r>
      <w:r w:rsidR="00F64D4A" w:rsidRPr="004B0BC2">
        <w:rPr>
          <w:rFonts w:cstheme="minorHAnsi"/>
          <w:sz w:val="22"/>
          <w:szCs w:val="22"/>
          <w:shd w:val="clear" w:color="auto" w:fill="FFFFFF"/>
        </w:rPr>
        <w:t xml:space="preserve"> </w:t>
      </w:r>
      <w:r w:rsidR="00F819E1" w:rsidRPr="004B0BC2">
        <w:rPr>
          <w:rFonts w:cstheme="minorHAnsi"/>
          <w:sz w:val="22"/>
          <w:szCs w:val="22"/>
          <w:shd w:val="clear" w:color="auto" w:fill="FFFFFF"/>
        </w:rPr>
        <w:t>by the health</w:t>
      </w:r>
      <w:r w:rsidR="00F64D4A">
        <w:rPr>
          <w:rFonts w:cstheme="minorHAnsi"/>
          <w:sz w:val="22"/>
          <w:szCs w:val="22"/>
          <w:shd w:val="clear" w:color="auto" w:fill="FFFFFF"/>
        </w:rPr>
        <w:t>-</w:t>
      </w:r>
      <w:r w:rsidR="00F819E1" w:rsidRPr="004B0BC2">
        <w:rPr>
          <w:rFonts w:cstheme="minorHAnsi"/>
          <w:sz w:val="22"/>
          <w:szCs w:val="22"/>
          <w:shd w:val="clear" w:color="auto" w:fill="FFFFFF"/>
        </w:rPr>
        <w:t>care provider</w:t>
      </w:r>
      <w:r w:rsidR="00005E49" w:rsidRPr="004B0BC2">
        <w:rPr>
          <w:rFonts w:cstheme="minorHAnsi"/>
          <w:sz w:val="22"/>
          <w:szCs w:val="22"/>
          <w:shd w:val="clear" w:color="auto" w:fill="FFFFFF"/>
        </w:rPr>
        <w:t xml:space="preserve"> </w:t>
      </w:r>
      <w:r w:rsidR="00F819E1" w:rsidRPr="004B0BC2">
        <w:rPr>
          <w:rFonts w:cstheme="minorHAnsi"/>
          <w:sz w:val="22"/>
          <w:szCs w:val="22"/>
          <w:shd w:val="clear" w:color="auto" w:fill="FFFFFF"/>
        </w:rPr>
        <w:t>(</w:t>
      </w:r>
      <w:r w:rsidR="00E322F9" w:rsidRPr="004B0BC2">
        <w:rPr>
          <w:rFonts w:cstheme="minorHAnsi"/>
          <w:sz w:val="22"/>
          <w:szCs w:val="22"/>
          <w:shd w:val="clear" w:color="auto" w:fill="FFFFFF"/>
        </w:rPr>
        <w:t>p</w:t>
      </w:r>
      <w:r w:rsidR="00F819E1" w:rsidRPr="004B0BC2">
        <w:rPr>
          <w:rFonts w:cstheme="minorHAnsi"/>
          <w:sz w:val="22"/>
          <w:szCs w:val="22"/>
          <w:shd w:val="clear" w:color="auto" w:fill="FFFFFF"/>
        </w:rPr>
        <w:t>&lt;0.0005)</w:t>
      </w:r>
      <w:r w:rsidR="00F64D4A" w:rsidRPr="004B0BC2">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{"citationItems":[{"id":"ITEM-1","itemData":{"DOI":"10.1097/00005650-198807000-00002","ISSN":"15371948","PMID":"3292851","abstract":"This article summarizes the results of 41 independent studies containing correlates of objectively measured provider behaviors in medical encounters. Provider behaviors were grouped a priori into the process categories of information giving, questions, competence, partnership building, and socioemotional behavior. Total amount of communication was also included. All correlations between variables within these categories and external variables (patient outcome variables or patient and provider background variables) were extracted. The most frequently occurring outcome variables were satisfaction, recall, and compliance, and the most frequently occurring background variables were the patient’s gender, age, and social class. Average correlations and combined significance levels were calculated for each combination of process category and external variable. Results showed significant relations of small to moderate average magnitude between these external variables and almost all of the provider behavior categories. A theory of provider-patient reciprocation is proposed to account for the pattern of results. © Lippincott-Raven Publishers.","author":[{"dropping-particle":"","family":"Hall","given":"Judith A.","non-dropping-particle":"","parse-names":false,"suffix":""},{"dropping-particle":"","family":"Roter","given":"Debra L.","non-dropping-particle":"","parse-names":false,"suffix":""},{"dropping-particle":"","family":"Katz","given":"Nancy R.","non-dropping-particle":"","parse-names":false,"suffix":""}],"container-title":"Medical Care","id":"ITEM-1","issue":"7","issued":{"date-parts":[["1988"]]},"page":"657-75","title":"Meta-analysis of correlates of provider behavior in medical encounters","type":"article-journal","volume":"26"},"uris":["http://www.mendeley.com/documents/?uuid=eadf77d9-2aa4-4010-806e-06e6fee5d46e"]}],"mendeley":{"formattedCitation":"(87)","plainTextFormattedCitation":"(87)","previouslyFormattedCitation":"(87)"},"properties":{"noteIndex":0},"schema":"https://github.com/citation-style-language/schema/raw/master/csl-citation.json"}</w:instrText>
      </w:r>
      <w:r w:rsidR="00F64D4A" w:rsidRPr="004B0BC2">
        <w:rPr>
          <w:rFonts w:cstheme="minorHAnsi"/>
          <w:sz w:val="22"/>
          <w:szCs w:val="22"/>
          <w:shd w:val="clear" w:color="auto" w:fill="FFFFFF"/>
        </w:rPr>
        <w:fldChar w:fldCharType="separate"/>
      </w:r>
      <w:r w:rsidR="00693DD5" w:rsidRPr="00693DD5">
        <w:rPr>
          <w:rFonts w:cstheme="minorHAnsi"/>
          <w:noProof/>
          <w:sz w:val="22"/>
          <w:szCs w:val="22"/>
          <w:shd w:val="clear" w:color="auto" w:fill="FFFFFF"/>
        </w:rPr>
        <w:t>(87)</w:t>
      </w:r>
      <w:r w:rsidR="00F64D4A" w:rsidRPr="004B0BC2">
        <w:rPr>
          <w:rFonts w:cstheme="minorHAnsi"/>
          <w:sz w:val="22"/>
          <w:szCs w:val="22"/>
          <w:shd w:val="clear" w:color="auto" w:fill="FFFFFF"/>
        </w:rPr>
        <w:fldChar w:fldCharType="end"/>
      </w:r>
      <w:r w:rsidR="00F819E1" w:rsidRPr="004B0BC2">
        <w:rPr>
          <w:rFonts w:cstheme="minorHAnsi"/>
          <w:sz w:val="22"/>
          <w:szCs w:val="22"/>
          <w:shd w:val="clear" w:color="auto" w:fill="FFFFFF"/>
        </w:rPr>
        <w:t xml:space="preserve">. </w:t>
      </w:r>
      <w:r w:rsidR="00F64D4A">
        <w:rPr>
          <w:rFonts w:cstheme="minorHAnsi"/>
          <w:sz w:val="22"/>
          <w:szCs w:val="22"/>
          <w:shd w:val="clear" w:color="auto" w:fill="FFFFFF"/>
        </w:rPr>
        <w:t>Notably,</w:t>
      </w:r>
      <w:r w:rsidR="00AE136F" w:rsidRPr="004B0BC2">
        <w:rPr>
          <w:rFonts w:cstheme="minorHAnsi"/>
          <w:sz w:val="22"/>
          <w:szCs w:val="22"/>
          <w:shd w:val="clear" w:color="auto" w:fill="FFFFFF"/>
        </w:rPr>
        <w:t xml:space="preserve"> </w:t>
      </w:r>
      <w:r w:rsidR="00F819E1" w:rsidRPr="004B0BC2">
        <w:rPr>
          <w:rFonts w:cstheme="minorHAnsi"/>
          <w:sz w:val="22"/>
          <w:szCs w:val="22"/>
          <w:shd w:val="clear" w:color="auto" w:fill="FFFFFF"/>
        </w:rPr>
        <w:t>health</w:t>
      </w:r>
      <w:r w:rsidR="00F64D4A">
        <w:rPr>
          <w:rFonts w:cstheme="minorHAnsi"/>
          <w:sz w:val="22"/>
          <w:szCs w:val="22"/>
          <w:shd w:val="clear" w:color="auto" w:fill="FFFFFF"/>
        </w:rPr>
        <w:t>-</w:t>
      </w:r>
      <w:r w:rsidR="00F819E1" w:rsidRPr="004B0BC2">
        <w:rPr>
          <w:rFonts w:cstheme="minorHAnsi"/>
          <w:sz w:val="22"/>
          <w:szCs w:val="22"/>
          <w:shd w:val="clear" w:color="auto" w:fill="FFFFFF"/>
        </w:rPr>
        <w:t xml:space="preserve">care providers </w:t>
      </w:r>
      <w:r w:rsidR="00165FFA" w:rsidRPr="004B0BC2">
        <w:rPr>
          <w:rFonts w:cstheme="minorHAnsi"/>
          <w:sz w:val="22"/>
          <w:szCs w:val="22"/>
          <w:shd w:val="clear" w:color="auto" w:fill="FFFFFF"/>
        </w:rPr>
        <w:t>communicated less (</w:t>
      </w:r>
      <w:r w:rsidR="00805F8A">
        <w:rPr>
          <w:rFonts w:cstheme="minorHAnsi"/>
          <w:sz w:val="22"/>
          <w:szCs w:val="22"/>
          <w:shd w:val="clear" w:color="auto" w:fill="FFFFFF"/>
        </w:rPr>
        <w:t xml:space="preserve">Pearson R 0.15, </w:t>
      </w:r>
      <w:r w:rsidR="00E322F9" w:rsidRPr="004B0BC2">
        <w:rPr>
          <w:rFonts w:cstheme="minorHAnsi"/>
          <w:sz w:val="22"/>
          <w:szCs w:val="22"/>
          <w:shd w:val="clear" w:color="auto" w:fill="FFFFFF"/>
        </w:rPr>
        <w:t>p</w:t>
      </w:r>
      <w:r w:rsidR="00165FFA" w:rsidRPr="004B0BC2">
        <w:rPr>
          <w:rFonts w:cstheme="minorHAnsi"/>
          <w:sz w:val="22"/>
          <w:szCs w:val="22"/>
          <w:shd w:val="clear" w:color="auto" w:fill="FFFFFF"/>
        </w:rPr>
        <w:t>&lt;0.0005) and provided less</w:t>
      </w:r>
      <w:r w:rsidR="00AE136F" w:rsidRPr="004B0BC2">
        <w:rPr>
          <w:rFonts w:cstheme="minorHAnsi"/>
          <w:sz w:val="22"/>
          <w:szCs w:val="22"/>
          <w:shd w:val="clear" w:color="auto" w:fill="FFFFFF"/>
        </w:rPr>
        <w:t xml:space="preserve"> information to </w:t>
      </w:r>
      <w:r w:rsidR="00165FFA" w:rsidRPr="004B0BC2">
        <w:rPr>
          <w:rFonts w:cstheme="minorHAnsi"/>
          <w:sz w:val="22"/>
          <w:szCs w:val="22"/>
          <w:shd w:val="clear" w:color="auto" w:fill="FFFFFF"/>
        </w:rPr>
        <w:t>male</w:t>
      </w:r>
      <w:r w:rsidR="00AE136F" w:rsidRPr="004B0BC2">
        <w:rPr>
          <w:rFonts w:cstheme="minorHAnsi"/>
          <w:sz w:val="22"/>
          <w:szCs w:val="22"/>
          <w:shd w:val="clear" w:color="auto" w:fill="FFFFFF"/>
        </w:rPr>
        <w:t xml:space="preserve"> compared to </w:t>
      </w:r>
      <w:r w:rsidR="00165FFA" w:rsidRPr="004B0BC2">
        <w:rPr>
          <w:rFonts w:cstheme="minorHAnsi"/>
          <w:sz w:val="22"/>
          <w:szCs w:val="22"/>
          <w:shd w:val="clear" w:color="auto" w:fill="FFFFFF"/>
        </w:rPr>
        <w:t>female</w:t>
      </w:r>
      <w:r w:rsidR="00AE136F" w:rsidRPr="004B0BC2">
        <w:rPr>
          <w:rFonts w:cstheme="minorHAnsi"/>
          <w:sz w:val="22"/>
          <w:szCs w:val="22"/>
          <w:shd w:val="clear" w:color="auto" w:fill="FFFFFF"/>
        </w:rPr>
        <w:t xml:space="preserve"> patients</w:t>
      </w:r>
      <w:r w:rsidR="008B72AE" w:rsidRPr="004B0BC2">
        <w:rPr>
          <w:rFonts w:cstheme="minorHAnsi"/>
          <w:sz w:val="22"/>
          <w:szCs w:val="22"/>
          <w:shd w:val="clear" w:color="auto" w:fill="FFFFFF"/>
        </w:rPr>
        <w:t xml:space="preserve"> (</w:t>
      </w:r>
      <w:r w:rsidR="00805F8A">
        <w:rPr>
          <w:rFonts w:cstheme="minorHAnsi"/>
          <w:sz w:val="22"/>
          <w:szCs w:val="22"/>
          <w:shd w:val="clear" w:color="auto" w:fill="FFFFFF"/>
        </w:rPr>
        <w:t xml:space="preserve">Pearson R 0.22, </w:t>
      </w:r>
      <w:r w:rsidR="00E322F9" w:rsidRPr="004B0BC2">
        <w:rPr>
          <w:rFonts w:cstheme="minorHAnsi"/>
          <w:sz w:val="22"/>
          <w:szCs w:val="22"/>
          <w:shd w:val="clear" w:color="auto" w:fill="FFFFFF"/>
        </w:rPr>
        <w:t>p</w:t>
      </w:r>
      <w:r w:rsidR="008B72AE" w:rsidRPr="004B0BC2">
        <w:rPr>
          <w:rFonts w:cstheme="minorHAnsi"/>
          <w:sz w:val="22"/>
          <w:szCs w:val="22"/>
          <w:shd w:val="clear" w:color="auto" w:fill="FFFFFF"/>
        </w:rPr>
        <w:t>&lt;0.01)</w:t>
      </w:r>
      <w:r w:rsidRPr="0035636E">
        <w:rPr>
          <w:rFonts w:cstheme="minorHAnsi"/>
          <w:sz w:val="22"/>
          <w:szCs w:val="22"/>
          <w:shd w:val="clear" w:color="auto" w:fill="FFFFFF"/>
        </w:rPr>
        <w:t>.</w:t>
      </w:r>
      <w:r w:rsidR="00F64D4A">
        <w:rPr>
          <w:rFonts w:cstheme="minorHAnsi"/>
          <w:sz w:val="22"/>
          <w:szCs w:val="22"/>
          <w:shd w:val="clear" w:color="auto" w:fill="FFFFFF"/>
        </w:rPr>
        <w:t xml:space="preserve"> In accordance with these data, a study</w:t>
      </w:r>
      <w:r w:rsidR="00ED2A6B">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{"citationItems":[{"id":"ITEM-1","itemData":{"DOI":"10.1097/00005650-198106000-00005","ISSN":"15371948","PMID":"7266112","abstract":"This paper considers medical care given by physicians to men and women in the United States. It asks how often significant sex differences in care occur, and if these differences are attributable to medically relevant factors or not. Sex differences in diagnostic services, therapeutic services, and dispositions for follow-up are studied for All Visits, 15 major groups of complaints, and 5 specific complaints (fatigue, headache, vertigo/dizziness, chest pain, and back pain). Data are from the 1975 National Ambulatory Medical Care Survey (NAMCS). The analysis reveals that medical care is often similar for men and women, but a sizable number of significant sex differences occur (about 30 to 40 per cent of the services and dispositions studied), and they tend to show more medical care for women. Most of the differences persist even after controlling for medically relevant factors (patient age, seriousness of problem, diagnosis, prior visit status, and reasons for visit). Notably, women still receive more total and extensive services, and more laboratory tests, blood pressure checks, drug prescriptions, and return appointments for many complaint groups. They receive more services for back pain and headaches and more follow-up plans for vertigo/dizziness and back pain. Remaining sex differences may be due to missing medical factors, patient requests for care, patient distress and needs for nurturance, and physician sex bias. In contrast to a recent San Diego study,1 national data show few significant sex differences in the extent and content of diagnostic services given for five common complaints. © J. B. Lippincott Co.","author":[{"dropping-particle":"","family":"Verbrugge","given":"Lois M.","non-dropping-particle":"","parse-names":false,"suffix":""},{"dropping-particle":"","family":"Steiner","given":"Richard P.","non-dropping-particle":"","parse-names":false,"suffix":""}],"container-title":"Medical Care","id":"ITEM-1","issue":"6","issued":{"date-parts":[["1981"]]},"page":"609-32.","title":"Physician treatment of men and women patients: Sex bias or appropriate care?","type":"article-journal","volume":"19"},"uris":["http://www.mendeley.com/documents/?uuid=99801ea8-e99c-4e89-8c68-f610596e98dc"]}],"mendeley":{"formattedCitation":"(88)","plainTextFormattedCitation":"(88)","previouslyFormattedCitation":"(88)"},"properties":{"noteIndex":0},"schema":"https://github.com/citation-style-language/schema/raw/master/csl-citation.json"}</w:instrText>
      </w:r>
      <w:r w:rsidR="00ED2A6B">
        <w:rPr>
          <w:rFonts w:cstheme="minorHAnsi"/>
          <w:sz w:val="22"/>
          <w:szCs w:val="22"/>
          <w:shd w:val="clear" w:color="auto" w:fill="FFFFFF"/>
        </w:rPr>
        <w:fldChar w:fldCharType="separate"/>
      </w:r>
      <w:r w:rsidR="00693DD5" w:rsidRPr="00693DD5">
        <w:rPr>
          <w:rFonts w:cstheme="minorHAnsi"/>
          <w:noProof/>
          <w:sz w:val="22"/>
          <w:szCs w:val="22"/>
          <w:shd w:val="clear" w:color="auto" w:fill="FFFFFF"/>
        </w:rPr>
        <w:t>(88)</w:t>
      </w:r>
      <w:r w:rsidR="00ED2A6B">
        <w:rPr>
          <w:rFonts w:cstheme="minorHAnsi"/>
          <w:sz w:val="22"/>
          <w:szCs w:val="22"/>
          <w:shd w:val="clear" w:color="auto" w:fill="FFFFFF"/>
        </w:rPr>
        <w:fldChar w:fldCharType="end"/>
      </w:r>
      <w:r w:rsidR="00F64D4A">
        <w:rPr>
          <w:rFonts w:cstheme="minorHAnsi"/>
          <w:sz w:val="22"/>
          <w:szCs w:val="22"/>
          <w:shd w:val="clear" w:color="auto" w:fill="FFFFFF"/>
        </w:rPr>
        <w:t xml:space="preserve"> using data from </w:t>
      </w:r>
      <w:r w:rsidR="00512D1B" w:rsidRPr="004B0BC2">
        <w:rPr>
          <w:rFonts w:cstheme="minorHAnsi"/>
          <w:sz w:val="22"/>
          <w:szCs w:val="22"/>
          <w:shd w:val="clear" w:color="auto" w:fill="FFFFFF"/>
        </w:rPr>
        <w:t>the American national ambulatory medical care survey (a survey of visits made to office-based physicians in the U</w:t>
      </w:r>
      <w:r w:rsidR="00F64D4A">
        <w:rPr>
          <w:rFonts w:cstheme="minorHAnsi"/>
          <w:sz w:val="22"/>
          <w:szCs w:val="22"/>
          <w:shd w:val="clear" w:color="auto" w:fill="FFFFFF"/>
        </w:rPr>
        <w:t>SA</w:t>
      </w:r>
      <w:r w:rsidR="00512D1B" w:rsidRPr="004B0BC2">
        <w:rPr>
          <w:rFonts w:cstheme="minorHAnsi"/>
          <w:sz w:val="22"/>
          <w:szCs w:val="22"/>
          <w:shd w:val="clear" w:color="auto" w:fill="FFFFFF"/>
        </w:rPr>
        <w:t xml:space="preserve">) observed that females </w:t>
      </w:r>
      <w:r w:rsidR="006644D5" w:rsidRPr="004B0BC2">
        <w:rPr>
          <w:rFonts w:cstheme="minorHAnsi"/>
          <w:sz w:val="22"/>
          <w:szCs w:val="22"/>
          <w:shd w:val="clear" w:color="auto" w:fill="FFFFFF"/>
        </w:rPr>
        <w:t>were</w:t>
      </w:r>
      <w:r w:rsidR="00512D1B" w:rsidRPr="004B0BC2">
        <w:rPr>
          <w:rFonts w:cstheme="minorHAnsi"/>
          <w:sz w:val="22"/>
          <w:szCs w:val="22"/>
          <w:shd w:val="clear" w:color="auto" w:fill="FFFFFF"/>
        </w:rPr>
        <w:t xml:space="preserve"> more likely to receive a general examination</w:t>
      </w:r>
      <w:r w:rsidR="00F64D4A">
        <w:rPr>
          <w:rFonts w:cstheme="minorHAnsi"/>
          <w:sz w:val="22"/>
          <w:szCs w:val="22"/>
          <w:shd w:val="clear" w:color="auto" w:fill="FFFFFF"/>
        </w:rPr>
        <w:t xml:space="preserve"> and</w:t>
      </w:r>
      <w:r w:rsidR="00512D1B" w:rsidRPr="004B0BC2">
        <w:rPr>
          <w:rFonts w:cstheme="minorHAnsi"/>
          <w:sz w:val="22"/>
          <w:szCs w:val="22"/>
          <w:shd w:val="clear" w:color="auto" w:fill="FFFFFF"/>
        </w:rPr>
        <w:t>/</w:t>
      </w:r>
      <w:r w:rsidR="00F64D4A">
        <w:rPr>
          <w:rFonts w:cstheme="minorHAnsi"/>
          <w:sz w:val="22"/>
          <w:szCs w:val="22"/>
          <w:shd w:val="clear" w:color="auto" w:fill="FFFFFF"/>
        </w:rPr>
        <w:t xml:space="preserve">or medical </w:t>
      </w:r>
      <w:r w:rsidR="00512D1B" w:rsidRPr="004B0BC2">
        <w:rPr>
          <w:rFonts w:cstheme="minorHAnsi"/>
          <w:sz w:val="22"/>
          <w:szCs w:val="22"/>
          <w:shd w:val="clear" w:color="auto" w:fill="FFFFFF"/>
        </w:rPr>
        <w:t>history (p&lt;0.001), blood pressure check</w:t>
      </w:r>
      <w:r w:rsidR="001B5BF4" w:rsidRPr="004B0BC2">
        <w:rPr>
          <w:rFonts w:cstheme="minorHAnsi"/>
          <w:sz w:val="22"/>
          <w:szCs w:val="22"/>
          <w:shd w:val="clear" w:color="auto" w:fill="FFFFFF"/>
        </w:rPr>
        <w:t xml:space="preserve"> (p&lt;0.001)</w:t>
      </w:r>
      <w:r w:rsidR="00512D1B" w:rsidRPr="004B0BC2">
        <w:rPr>
          <w:rFonts w:cstheme="minorHAnsi"/>
          <w:sz w:val="22"/>
          <w:szCs w:val="22"/>
          <w:shd w:val="clear" w:color="auto" w:fill="FFFFFF"/>
        </w:rPr>
        <w:t>, blood tests</w:t>
      </w:r>
      <w:r w:rsidR="001B5BF4" w:rsidRPr="004B0BC2">
        <w:rPr>
          <w:rFonts w:cstheme="minorHAnsi"/>
          <w:sz w:val="22"/>
          <w:szCs w:val="22"/>
          <w:shd w:val="clear" w:color="auto" w:fill="FFFFFF"/>
        </w:rPr>
        <w:t xml:space="preserve"> (p&lt;0.001) </w:t>
      </w:r>
      <w:r w:rsidR="00512D1B" w:rsidRPr="004B0BC2">
        <w:rPr>
          <w:rFonts w:cstheme="minorHAnsi"/>
          <w:sz w:val="22"/>
          <w:szCs w:val="22"/>
          <w:shd w:val="clear" w:color="auto" w:fill="FFFFFF"/>
        </w:rPr>
        <w:t>and drugs prescriptions</w:t>
      </w:r>
      <w:r w:rsidR="001B5BF4" w:rsidRPr="004B0BC2">
        <w:rPr>
          <w:rFonts w:cstheme="minorHAnsi"/>
          <w:sz w:val="22"/>
          <w:szCs w:val="22"/>
          <w:shd w:val="clear" w:color="auto" w:fill="FFFFFF"/>
        </w:rPr>
        <w:t xml:space="preserve"> (</w:t>
      </w:r>
      <w:r w:rsidR="00E322F9" w:rsidRPr="004B0BC2">
        <w:rPr>
          <w:rFonts w:cstheme="minorHAnsi"/>
          <w:sz w:val="22"/>
          <w:szCs w:val="22"/>
          <w:shd w:val="clear" w:color="auto" w:fill="FFFFFF"/>
        </w:rPr>
        <w:t>p</w:t>
      </w:r>
      <w:r w:rsidR="001B5BF4" w:rsidRPr="004B0BC2">
        <w:rPr>
          <w:rFonts w:cstheme="minorHAnsi"/>
          <w:sz w:val="22"/>
          <w:szCs w:val="22"/>
          <w:shd w:val="clear" w:color="auto" w:fill="FFFFFF"/>
        </w:rPr>
        <w:t>&lt;0.05)</w:t>
      </w:r>
      <w:r w:rsidR="00512D1B" w:rsidRPr="004B0BC2">
        <w:rPr>
          <w:rFonts w:cstheme="minorHAnsi"/>
          <w:sz w:val="22"/>
          <w:szCs w:val="22"/>
          <w:shd w:val="clear" w:color="auto" w:fill="FFFFFF"/>
        </w:rPr>
        <w:t xml:space="preserve"> </w:t>
      </w:r>
      <w:r w:rsidR="00F64D4A">
        <w:rPr>
          <w:rFonts w:cstheme="minorHAnsi"/>
          <w:sz w:val="22"/>
          <w:szCs w:val="22"/>
          <w:shd w:val="clear" w:color="auto" w:fill="FFFFFF"/>
        </w:rPr>
        <w:t>than</w:t>
      </w:r>
      <w:r w:rsidR="00512D1B" w:rsidRPr="004B0BC2">
        <w:rPr>
          <w:rFonts w:cstheme="minorHAnsi"/>
          <w:sz w:val="22"/>
          <w:szCs w:val="22"/>
          <w:shd w:val="clear" w:color="auto" w:fill="FFFFFF"/>
        </w:rPr>
        <w:t xml:space="preserve"> men. </w:t>
      </w:r>
      <w:r w:rsidR="00F64D4A">
        <w:rPr>
          <w:rFonts w:cstheme="minorHAnsi"/>
          <w:sz w:val="22"/>
          <w:szCs w:val="22"/>
          <w:shd w:val="clear" w:color="auto" w:fill="FFFFFF"/>
        </w:rPr>
        <w:t>Interestingly, t</w:t>
      </w:r>
      <w:r w:rsidR="001B5BF4" w:rsidRPr="004B0BC2">
        <w:rPr>
          <w:rFonts w:cstheme="minorHAnsi"/>
          <w:sz w:val="22"/>
          <w:szCs w:val="22"/>
          <w:shd w:val="clear" w:color="auto" w:fill="FFFFFF"/>
        </w:rPr>
        <w:t>hese trends persisted after controlling for confounding factors such as patient age, diagnosis</w:t>
      </w:r>
      <w:r w:rsidR="008B72AE" w:rsidRPr="004B0BC2">
        <w:rPr>
          <w:rFonts w:cstheme="minorHAnsi"/>
          <w:sz w:val="22"/>
          <w:szCs w:val="22"/>
          <w:shd w:val="clear" w:color="auto" w:fill="FFFFFF"/>
        </w:rPr>
        <w:t xml:space="preserve"> and illness severity</w:t>
      </w:r>
      <w:r w:rsidR="001B5BF4" w:rsidRPr="004B0BC2">
        <w:rPr>
          <w:rFonts w:cstheme="minorHAnsi"/>
          <w:sz w:val="22"/>
          <w:szCs w:val="22"/>
          <w:shd w:val="clear" w:color="auto" w:fill="FFFFFF"/>
        </w:rPr>
        <w:t>.</w:t>
      </w:r>
      <w:r w:rsidR="00F64D4A">
        <w:rPr>
          <w:rFonts w:cstheme="minorHAnsi"/>
          <w:sz w:val="22"/>
          <w:szCs w:val="22"/>
          <w:shd w:val="clear" w:color="auto" w:fill="FFFFFF"/>
        </w:rPr>
        <w:t xml:space="preserve"> Furthermore, an </w:t>
      </w:r>
      <w:r w:rsidR="00D8058A" w:rsidRPr="004B0BC2">
        <w:rPr>
          <w:rFonts w:cstheme="minorHAnsi"/>
          <w:sz w:val="22"/>
          <w:szCs w:val="22"/>
          <w:shd w:val="clear" w:color="auto" w:fill="FFFFFF"/>
        </w:rPr>
        <w:t>assess</w:t>
      </w:r>
      <w:r w:rsidR="00F64D4A">
        <w:rPr>
          <w:rFonts w:cstheme="minorHAnsi"/>
          <w:sz w:val="22"/>
          <w:szCs w:val="22"/>
          <w:shd w:val="clear" w:color="auto" w:fill="FFFFFF"/>
        </w:rPr>
        <w:t>ment of</w:t>
      </w:r>
      <w:r w:rsidR="00D8058A" w:rsidRPr="004B0BC2">
        <w:rPr>
          <w:rFonts w:cstheme="minorHAnsi"/>
          <w:sz w:val="22"/>
          <w:szCs w:val="22"/>
          <w:shd w:val="clear" w:color="auto" w:fill="FFFFFF"/>
        </w:rPr>
        <w:t xml:space="preserve"> preventive medicine practice amongst</w:t>
      </w:r>
      <w:r w:rsidR="008B72AE" w:rsidRPr="004B0BC2">
        <w:rPr>
          <w:rFonts w:cstheme="minorHAnsi"/>
          <w:sz w:val="22"/>
          <w:szCs w:val="22"/>
          <w:shd w:val="clear" w:color="auto" w:fill="FFFFFF"/>
        </w:rPr>
        <w:t xml:space="preserve"> 116</w:t>
      </w:r>
      <w:r w:rsidR="00D8058A" w:rsidRPr="004B0BC2">
        <w:rPr>
          <w:rFonts w:cstheme="minorHAnsi"/>
          <w:sz w:val="22"/>
          <w:szCs w:val="22"/>
          <w:shd w:val="clear" w:color="auto" w:fill="FFFFFF"/>
        </w:rPr>
        <w:t xml:space="preserve"> primary care physicians</w:t>
      </w:r>
      <w:r w:rsidR="00F64D4A">
        <w:rPr>
          <w:rFonts w:cstheme="minorHAnsi"/>
          <w:sz w:val="22"/>
          <w:szCs w:val="22"/>
          <w:shd w:val="clear" w:color="auto" w:fill="FFFFFF"/>
        </w:rPr>
        <w:t xml:space="preserve"> </w:t>
      </w:r>
      <w:r w:rsidR="0080643D">
        <w:rPr>
          <w:rFonts w:cstheme="minorHAnsi"/>
          <w:sz w:val="22"/>
          <w:szCs w:val="22"/>
          <w:shd w:val="clear" w:color="auto" w:fill="FFFFFF"/>
        </w:rPr>
        <w:t>show</w:t>
      </w:r>
      <w:r w:rsidR="00F64D4A">
        <w:rPr>
          <w:rFonts w:cstheme="minorHAnsi"/>
          <w:sz w:val="22"/>
          <w:szCs w:val="22"/>
          <w:shd w:val="clear" w:color="auto" w:fill="FFFFFF"/>
        </w:rPr>
        <w:t>ed</w:t>
      </w:r>
      <w:r w:rsidR="00D8058A" w:rsidRPr="004B0BC2">
        <w:rPr>
          <w:rFonts w:cstheme="minorHAnsi"/>
          <w:sz w:val="22"/>
          <w:szCs w:val="22"/>
          <w:shd w:val="clear" w:color="auto" w:fill="FFFFFF"/>
        </w:rPr>
        <w:t xml:space="preserve"> that only 29% of doctors were likely to instruct male patients to perform testicular exam</w:t>
      </w:r>
      <w:r w:rsidR="00F64D4A">
        <w:rPr>
          <w:rFonts w:cstheme="minorHAnsi"/>
          <w:sz w:val="22"/>
          <w:szCs w:val="22"/>
          <w:shd w:val="clear" w:color="auto" w:fill="FFFFFF"/>
        </w:rPr>
        <w:t>,</w:t>
      </w:r>
      <w:r w:rsidR="00D8058A" w:rsidRPr="004B0BC2">
        <w:rPr>
          <w:rFonts w:cstheme="minorHAnsi"/>
          <w:sz w:val="22"/>
          <w:szCs w:val="22"/>
          <w:shd w:val="clear" w:color="auto" w:fill="FFFFFF"/>
        </w:rPr>
        <w:t xml:space="preserve"> compared </w:t>
      </w:r>
      <w:r w:rsidR="00F64D4A">
        <w:rPr>
          <w:rFonts w:cstheme="minorHAnsi"/>
          <w:sz w:val="22"/>
          <w:szCs w:val="22"/>
          <w:shd w:val="clear" w:color="auto" w:fill="FFFFFF"/>
        </w:rPr>
        <w:t>with</w:t>
      </w:r>
      <w:r w:rsidR="00F64D4A" w:rsidRPr="004B0BC2">
        <w:rPr>
          <w:rFonts w:cstheme="minorHAnsi"/>
          <w:sz w:val="22"/>
          <w:szCs w:val="22"/>
          <w:shd w:val="clear" w:color="auto" w:fill="FFFFFF"/>
        </w:rPr>
        <w:t xml:space="preserve"> </w:t>
      </w:r>
      <w:r w:rsidR="00D8058A" w:rsidRPr="009D0A16">
        <w:rPr>
          <w:rFonts w:cstheme="minorHAnsi"/>
          <w:sz w:val="22"/>
          <w:szCs w:val="22"/>
          <w:shd w:val="clear" w:color="auto" w:fill="FFFFFF"/>
        </w:rPr>
        <w:t xml:space="preserve">86% </w:t>
      </w:r>
      <w:r w:rsidR="00F64D4A" w:rsidRPr="009D0A16">
        <w:rPr>
          <w:rFonts w:cstheme="minorHAnsi"/>
          <w:sz w:val="22"/>
          <w:szCs w:val="22"/>
          <w:shd w:val="clear" w:color="auto" w:fill="FFFFFF"/>
        </w:rPr>
        <w:t xml:space="preserve">who </w:t>
      </w:r>
      <w:r w:rsidR="00D8058A" w:rsidRPr="009D0A16">
        <w:rPr>
          <w:rFonts w:cstheme="minorHAnsi"/>
          <w:sz w:val="22"/>
          <w:szCs w:val="22"/>
          <w:shd w:val="clear" w:color="auto" w:fill="FFFFFF"/>
        </w:rPr>
        <w:t>would advise female</w:t>
      </w:r>
      <w:r w:rsidR="00F64D4A" w:rsidRPr="009D0A16">
        <w:rPr>
          <w:rFonts w:cstheme="minorHAnsi"/>
          <w:sz w:val="22"/>
          <w:szCs w:val="22"/>
          <w:shd w:val="clear" w:color="auto" w:fill="FFFFFF"/>
        </w:rPr>
        <w:t xml:space="preserve"> patient</w:t>
      </w:r>
      <w:r w:rsidR="00D8058A" w:rsidRPr="009D0A16">
        <w:rPr>
          <w:rFonts w:cstheme="minorHAnsi"/>
          <w:sz w:val="22"/>
          <w:szCs w:val="22"/>
          <w:shd w:val="clear" w:color="auto" w:fill="FFFFFF"/>
        </w:rPr>
        <w:t>s to perform regular breast exam</w:t>
      </w:r>
      <w:r w:rsidR="00F64D4A" w:rsidRPr="009D0A16">
        <w:rPr>
          <w:rFonts w:cstheme="minorHAnsi"/>
          <w:sz w:val="22"/>
          <w:szCs w:val="22"/>
          <w:shd w:val="clear" w:color="auto" w:fill="FFFFFF"/>
        </w:rPr>
        <w:t>ination</w:t>
      </w:r>
      <w:r w:rsidR="007578B3" w:rsidRPr="009D0A16">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{"citationItems":[{"id":"ITEM-1","itemData":{"ISSN":"10654704","PMID":"7663550","abstract":"Testicular cancer is the most common solid tumor among men 20 to 34 years old, and it accounts for one of every seven deaths in late adolescent and young adult men. However, studies during the past 20 years continue to show that a majority of men in the most vulnerable ages are unaware of their risk for testicular cancer, deny having had testicular examinations as a part of their routine physical assessments, and lack knowledge of testicular self-examination techniques. This descriptive study used a mailed questionnaire and evaluated self-reported testicular cabcer detection behaviors among primary care physicians (N = 116). Breast exams and colorectal screening were included for masking and comparative purposes. Forty-nine percent of the physicians reported routinely performing age-appropriate testicular exams on patients, in contrast to performing breast (83%) and colorectal examns (68%). Instructing male patients to perform testicular self-examination was reported as a routine procedure by 29%, and breast exams were taught routinely by 86% of the physicians. Providing an opportunity for patients to give a return demonstration of the technique was reported 16% of the time for breast self-examination and 4% of the time for testicular self-examination. Teaching patients to do appropriate self-examinations can enhance the provider-client partnership in the provision of healthcare. When providers do not teach the patient to perform self-examinations, a valuable opportunity is missed.","author":[{"dropping-particle":"","family":"Misener","given":"T. R.","non-dropping-particle":"","parse-names":false,"suffix":""},{"dropping-particle":"","family":"Fuller","given":"S. G.","non-dropping-particle":"","parse-names":false,"suffix":""}],"container-title":"Cancer Practice","id":"ITEM-1","issue":"5","issued":{"date-parts":[["1995"]]},"page":"310-6","title":"Testicular versus breast and colorectal cancer screening. Early detection practices of primary care physicians","type":"article-journal","volume":"3"},"uris":["http://www.mendeley.com/documents/?uuid=c4e64ae8-e6b1-4d44-abf7-1c8e07229ae7"]}],"mendeley":{"formattedCitation":"(89)","plainTextFormattedCitation":"(89)","previouslyFormattedCitation":"(89)"},"properties":{"noteIndex":0},"schema":"https://github.com/citation-style-language/schema/raw/master/csl-citation.json"}</w:instrText>
      </w:r>
      <w:r w:rsidR="007578B3" w:rsidRPr="009D0A16">
        <w:rPr>
          <w:rFonts w:cstheme="minorHAnsi"/>
          <w:sz w:val="22"/>
          <w:szCs w:val="22"/>
          <w:shd w:val="clear" w:color="auto" w:fill="FFFFFF"/>
        </w:rPr>
        <w:fldChar w:fldCharType="separate"/>
      </w:r>
      <w:r w:rsidR="00693DD5" w:rsidRPr="00693DD5">
        <w:rPr>
          <w:rFonts w:cstheme="minorHAnsi"/>
          <w:noProof/>
          <w:sz w:val="22"/>
          <w:szCs w:val="22"/>
          <w:shd w:val="clear" w:color="auto" w:fill="FFFFFF"/>
        </w:rPr>
        <w:t>(89)</w:t>
      </w:r>
      <w:r w:rsidR="007578B3" w:rsidRPr="009D0A16">
        <w:rPr>
          <w:rFonts w:cstheme="minorHAnsi"/>
          <w:sz w:val="22"/>
          <w:szCs w:val="22"/>
          <w:shd w:val="clear" w:color="auto" w:fill="FFFFFF"/>
        </w:rPr>
        <w:fldChar w:fldCharType="end"/>
      </w:r>
      <w:r w:rsidR="007578B3" w:rsidRPr="009D0A16">
        <w:rPr>
          <w:rFonts w:cstheme="minorHAnsi"/>
          <w:sz w:val="22"/>
          <w:szCs w:val="22"/>
          <w:shd w:val="clear" w:color="auto" w:fill="FFFFFF"/>
        </w:rPr>
        <w:t xml:space="preserve">. </w:t>
      </w:r>
      <w:r w:rsidR="008025B4">
        <w:rPr>
          <w:rFonts w:cstheme="minorHAnsi"/>
          <w:sz w:val="22"/>
          <w:szCs w:val="22"/>
          <w:shd w:val="clear" w:color="auto" w:fill="FFFFFF"/>
        </w:rPr>
        <w:t>W</w:t>
      </w:r>
      <w:r w:rsidR="00327E17" w:rsidRPr="009D0A16">
        <w:rPr>
          <w:rFonts w:cstheme="minorHAnsi"/>
          <w:sz w:val="22"/>
          <w:szCs w:val="22"/>
          <w:shd w:val="clear" w:color="auto" w:fill="FFFFFF"/>
        </w:rPr>
        <w:t>hy these differences arise</w:t>
      </w:r>
      <w:r w:rsidR="009D0A16" w:rsidRPr="009D0A16">
        <w:rPr>
          <w:rFonts w:cstheme="minorHAnsi"/>
          <w:sz w:val="22"/>
          <w:szCs w:val="22"/>
          <w:shd w:val="clear" w:color="auto" w:fill="FFFFFF"/>
        </w:rPr>
        <w:t xml:space="preserve"> </w:t>
      </w:r>
      <w:r w:rsidR="008025B4">
        <w:rPr>
          <w:rFonts w:cstheme="minorHAnsi"/>
          <w:sz w:val="22"/>
          <w:szCs w:val="22"/>
          <w:shd w:val="clear" w:color="auto" w:fill="FFFFFF"/>
        </w:rPr>
        <w:t xml:space="preserve">is unclear </w:t>
      </w:r>
      <w:r w:rsidR="009D0A16" w:rsidRPr="009D0A16">
        <w:rPr>
          <w:rFonts w:cstheme="minorHAnsi"/>
          <w:sz w:val="22"/>
          <w:szCs w:val="22"/>
          <w:shd w:val="clear" w:color="auto" w:fill="FFFFFF"/>
        </w:rPr>
        <w:t xml:space="preserve">and </w:t>
      </w:r>
      <w:r w:rsidR="009D0A16">
        <w:rPr>
          <w:rFonts w:cstheme="minorHAnsi"/>
          <w:sz w:val="22"/>
          <w:szCs w:val="22"/>
          <w:shd w:val="clear" w:color="auto" w:fill="FFFFFF"/>
        </w:rPr>
        <w:t xml:space="preserve">no studies </w:t>
      </w:r>
      <w:r w:rsidR="008025B4">
        <w:rPr>
          <w:rFonts w:cstheme="minorHAnsi"/>
          <w:sz w:val="22"/>
          <w:szCs w:val="22"/>
          <w:shd w:val="clear" w:color="auto" w:fill="FFFFFF"/>
        </w:rPr>
        <w:t xml:space="preserve">have </w:t>
      </w:r>
      <w:r w:rsidR="009D0A16" w:rsidRPr="009D0A16">
        <w:rPr>
          <w:rFonts w:cstheme="minorHAnsi"/>
          <w:sz w:val="22"/>
          <w:szCs w:val="22"/>
          <w:shd w:val="clear" w:color="auto" w:fill="FFFFFF"/>
        </w:rPr>
        <w:t>analys</w:t>
      </w:r>
      <w:r w:rsidR="008025B4">
        <w:rPr>
          <w:rFonts w:cstheme="minorHAnsi"/>
          <w:sz w:val="22"/>
          <w:szCs w:val="22"/>
          <w:shd w:val="clear" w:color="auto" w:fill="FFFFFF"/>
        </w:rPr>
        <w:t>ed</w:t>
      </w:r>
      <w:r w:rsidR="009D0A16" w:rsidRPr="009D0A16">
        <w:rPr>
          <w:rFonts w:cstheme="minorHAnsi"/>
          <w:sz w:val="22"/>
          <w:szCs w:val="22"/>
          <w:shd w:val="clear" w:color="auto" w:fill="FFFFFF"/>
        </w:rPr>
        <w:t xml:space="preserve"> contributing factors</w:t>
      </w:r>
      <w:r w:rsidR="009D0A16">
        <w:rPr>
          <w:rFonts w:cstheme="minorHAnsi"/>
          <w:sz w:val="22"/>
          <w:szCs w:val="22"/>
          <w:shd w:val="clear" w:color="auto" w:fill="FFFFFF"/>
        </w:rPr>
        <w:t>; t</w:t>
      </w:r>
      <w:r w:rsidR="009D0A16" w:rsidRPr="009D0A16">
        <w:rPr>
          <w:rFonts w:cstheme="minorHAnsi"/>
          <w:sz w:val="22"/>
          <w:szCs w:val="22"/>
          <w:shd w:val="clear" w:color="auto" w:fill="FFFFFF"/>
        </w:rPr>
        <w:t>he causes might</w:t>
      </w:r>
      <w:r w:rsidR="00F816DC" w:rsidRPr="000242C7">
        <w:rPr>
          <w:rFonts w:cstheme="minorHAnsi"/>
          <w:sz w:val="22"/>
          <w:szCs w:val="22"/>
          <w:shd w:val="clear" w:color="auto" w:fill="FFFFFF"/>
        </w:rPr>
        <w:t xml:space="preserve"> be due to physician sex bias, patient requests for care </w:t>
      </w:r>
      <w:r w:rsidR="00693DD5">
        <w:rPr>
          <w:rFonts w:cstheme="minorHAnsi"/>
          <w:sz w:val="22"/>
          <w:szCs w:val="22"/>
          <w:shd w:val="clear" w:color="auto" w:fill="FFFFFF"/>
        </w:rPr>
        <w:t>and</w:t>
      </w:r>
      <w:r w:rsidR="00693DD5" w:rsidRPr="000242C7">
        <w:rPr>
          <w:rFonts w:cstheme="minorHAnsi"/>
          <w:sz w:val="22"/>
          <w:szCs w:val="22"/>
          <w:shd w:val="clear" w:color="auto" w:fill="FFFFFF"/>
        </w:rPr>
        <w:t xml:space="preserve"> </w:t>
      </w:r>
      <w:r w:rsidR="00F816DC" w:rsidRPr="000242C7">
        <w:rPr>
          <w:rFonts w:cstheme="minorHAnsi"/>
          <w:sz w:val="22"/>
          <w:szCs w:val="22"/>
          <w:shd w:val="clear" w:color="auto" w:fill="FFFFFF"/>
        </w:rPr>
        <w:t>institutional or societal conventions</w:t>
      </w:r>
      <w:r w:rsidR="00693DD5">
        <w:rPr>
          <w:rFonts w:cstheme="minorHAnsi"/>
          <w:sz w:val="22"/>
          <w:szCs w:val="22"/>
          <w:shd w:val="clear" w:color="auto" w:fill="FFFFFF"/>
        </w:rPr>
        <w:t xml:space="preserve"> (</w:t>
      </w:r>
      <w:r w:rsidR="008025B4">
        <w:rPr>
          <w:rFonts w:cstheme="minorHAnsi"/>
          <w:sz w:val="22"/>
          <w:szCs w:val="22"/>
          <w:shd w:val="clear" w:color="auto" w:fill="FFFFFF"/>
        </w:rPr>
        <w:t>for example, a lack of</w:t>
      </w:r>
      <w:r w:rsidR="00693DD5">
        <w:rPr>
          <w:rFonts w:cstheme="minorHAnsi"/>
          <w:sz w:val="22"/>
          <w:szCs w:val="22"/>
          <w:shd w:val="clear" w:color="auto" w:fill="FFFFFF"/>
        </w:rPr>
        <w:t xml:space="preserve"> health policies</w:t>
      </w:r>
      <w:r w:rsidR="008025B4">
        <w:rPr>
          <w:rFonts w:cstheme="minorHAnsi"/>
          <w:sz w:val="22"/>
          <w:szCs w:val="22"/>
          <w:shd w:val="clear" w:color="auto" w:fill="FFFFFF"/>
        </w:rPr>
        <w:t xml:space="preserve"> and</w:t>
      </w:r>
      <w:r w:rsidR="00693DD5">
        <w:rPr>
          <w:rFonts w:cstheme="minorHAnsi"/>
          <w:sz w:val="22"/>
          <w:szCs w:val="22"/>
          <w:shd w:val="clear" w:color="auto" w:fill="FFFFFF"/>
        </w:rPr>
        <w:t>/</w:t>
      </w:r>
      <w:r w:rsidR="008025B4">
        <w:rPr>
          <w:rFonts w:cstheme="minorHAnsi"/>
          <w:sz w:val="22"/>
          <w:szCs w:val="22"/>
          <w:shd w:val="clear" w:color="auto" w:fill="FFFFFF"/>
        </w:rPr>
        <w:t xml:space="preserve">or </w:t>
      </w:r>
      <w:r w:rsidR="00693DD5">
        <w:rPr>
          <w:rFonts w:cstheme="minorHAnsi"/>
          <w:sz w:val="22"/>
          <w:szCs w:val="22"/>
          <w:shd w:val="clear" w:color="auto" w:fill="FFFFFF"/>
        </w:rPr>
        <w:t xml:space="preserve">tariffs targeting the male sex or masculinity stereotypes of self-reliance dissuading men from requesting tests and treatments from their physicians) </w:t>
      </w:r>
      <w:r w:rsidR="009D0A16">
        <w:rPr>
          <w:rFonts w:cstheme="minorHAnsi"/>
          <w:sz w:val="22"/>
          <w:szCs w:val="22"/>
          <w:shd w:val="clear" w:color="auto" w:fill="FFFFFF"/>
        </w:rPr>
        <w:t>. F</w:t>
      </w:r>
      <w:r w:rsidR="009D0A16" w:rsidRPr="000242C7">
        <w:rPr>
          <w:rFonts w:cstheme="minorHAnsi"/>
          <w:sz w:val="22"/>
          <w:szCs w:val="22"/>
          <w:shd w:val="clear" w:color="auto" w:fill="FFFFFF"/>
        </w:rPr>
        <w:t xml:space="preserve">urther research is needed to clarify </w:t>
      </w:r>
      <w:r w:rsidR="00ED2A6B">
        <w:rPr>
          <w:rFonts w:cstheme="minorHAnsi"/>
          <w:sz w:val="22"/>
          <w:szCs w:val="22"/>
          <w:shd w:val="clear" w:color="auto" w:fill="FFFFFF"/>
        </w:rPr>
        <w:t>the</w:t>
      </w:r>
      <w:r w:rsidR="00ED2A6B" w:rsidRPr="000242C7">
        <w:rPr>
          <w:rFonts w:cstheme="minorHAnsi"/>
          <w:sz w:val="22"/>
          <w:szCs w:val="22"/>
          <w:shd w:val="clear" w:color="auto" w:fill="FFFFFF"/>
        </w:rPr>
        <w:t xml:space="preserve"> </w:t>
      </w:r>
      <w:r w:rsidR="009D0A16" w:rsidRPr="000242C7">
        <w:rPr>
          <w:rFonts w:cstheme="minorHAnsi"/>
          <w:sz w:val="22"/>
          <w:szCs w:val="22"/>
          <w:shd w:val="clear" w:color="auto" w:fill="FFFFFF"/>
        </w:rPr>
        <w:t xml:space="preserve">factors </w:t>
      </w:r>
      <w:r w:rsidR="00ED2A6B">
        <w:rPr>
          <w:rFonts w:cstheme="minorHAnsi"/>
          <w:sz w:val="22"/>
          <w:szCs w:val="22"/>
          <w:shd w:val="clear" w:color="auto" w:fill="FFFFFF"/>
        </w:rPr>
        <w:t>causing</w:t>
      </w:r>
      <w:r w:rsidR="009D0A16" w:rsidRPr="000242C7">
        <w:rPr>
          <w:rFonts w:cstheme="minorHAnsi"/>
          <w:sz w:val="22"/>
          <w:szCs w:val="22"/>
          <w:shd w:val="clear" w:color="auto" w:fill="FFFFFF"/>
        </w:rPr>
        <w:t xml:space="preserve"> sex differences in medical care</w:t>
      </w:r>
      <w:r w:rsidR="00ED2A6B">
        <w:rPr>
          <w:rFonts w:cstheme="minorHAnsi"/>
          <w:sz w:val="22"/>
          <w:szCs w:val="22"/>
          <w:shd w:val="clear" w:color="auto" w:fill="FFFFFF"/>
        </w:rPr>
        <w:t xml:space="preserve"> provision</w:t>
      </w:r>
      <w:r w:rsidR="008025B4">
        <w:rPr>
          <w:rFonts w:cstheme="minorHAnsi"/>
          <w:sz w:val="22"/>
          <w:szCs w:val="22"/>
          <w:shd w:val="clear" w:color="auto" w:fill="FFFFFF"/>
        </w:rPr>
        <w:t>;</w:t>
      </w:r>
      <w:r w:rsidR="00ED2A6B">
        <w:rPr>
          <w:rFonts w:cstheme="minorHAnsi"/>
          <w:sz w:val="22"/>
          <w:szCs w:val="22"/>
          <w:shd w:val="clear" w:color="auto" w:fill="FFFFFF"/>
        </w:rPr>
        <w:t xml:space="preserve"> one method of ameliorating these discrepancies would be to </w:t>
      </w:r>
      <w:r w:rsidR="009D0A16" w:rsidRPr="000242C7">
        <w:rPr>
          <w:rFonts w:cstheme="minorHAnsi"/>
          <w:sz w:val="22"/>
          <w:szCs w:val="22"/>
          <w:shd w:val="clear" w:color="auto" w:fill="FFFFFF"/>
        </w:rPr>
        <w:t xml:space="preserve">target the male sex through specific health programmes.  </w:t>
      </w:r>
      <w:r w:rsidR="00F64D4A" w:rsidRPr="009D0A16">
        <w:rPr>
          <w:rFonts w:cstheme="minorHAnsi"/>
          <w:sz w:val="22"/>
          <w:szCs w:val="22"/>
          <w:shd w:val="clear" w:color="auto" w:fill="FFFFFF"/>
        </w:rPr>
        <w:t xml:space="preserve"> </w:t>
      </w:r>
    </w:p>
    <w:p w14:paraId="5B54620A" w14:textId="4181D889" w:rsidR="004C7E1A" w:rsidRDefault="00F64D4A" w:rsidP="00B66369">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Unlike women, where sex-specific concerns are handled by gynaecologists, m</w:t>
      </w:r>
      <w:r w:rsidR="00363E46" w:rsidRPr="004B0BC2">
        <w:rPr>
          <w:rFonts w:asciiTheme="minorHAnsi" w:hAnsiTheme="minorHAnsi" w:cstheme="minorHAnsi"/>
          <w:sz w:val="22"/>
          <w:szCs w:val="22"/>
          <w:shd w:val="clear" w:color="auto" w:fill="FFFFFF"/>
        </w:rPr>
        <w:t>en</w:t>
      </w:r>
      <w:r w:rsidR="00C2113A" w:rsidRPr="004B0BC2">
        <w:rPr>
          <w:rFonts w:asciiTheme="minorHAnsi" w:hAnsiTheme="minorHAnsi" w:cstheme="minorHAnsi"/>
          <w:sz w:val="22"/>
          <w:szCs w:val="22"/>
          <w:shd w:val="clear" w:color="auto" w:fill="FFFFFF"/>
        </w:rPr>
        <w:t xml:space="preserve"> </w:t>
      </w:r>
      <w:r w:rsidR="00363E46" w:rsidRPr="004B0BC2">
        <w:rPr>
          <w:rFonts w:asciiTheme="minorHAnsi" w:hAnsiTheme="minorHAnsi" w:cstheme="minorHAnsi"/>
          <w:sz w:val="22"/>
          <w:szCs w:val="22"/>
          <w:shd w:val="clear" w:color="auto" w:fill="FFFFFF"/>
        </w:rPr>
        <w:t>lack a reference</w:t>
      </w:r>
      <w:r w:rsidR="00712B6E" w:rsidRPr="004B0BC2">
        <w:rPr>
          <w:rFonts w:asciiTheme="minorHAnsi" w:hAnsiTheme="minorHAnsi" w:cstheme="minorHAnsi"/>
          <w:sz w:val="22"/>
          <w:szCs w:val="22"/>
          <w:shd w:val="clear" w:color="auto" w:fill="FFFFFF"/>
        </w:rPr>
        <w:t xml:space="preserve"> medical </w:t>
      </w:r>
      <w:r w:rsidR="004174B1" w:rsidRPr="004B0BC2">
        <w:rPr>
          <w:rFonts w:asciiTheme="minorHAnsi" w:hAnsiTheme="minorHAnsi" w:cstheme="minorHAnsi"/>
          <w:sz w:val="22"/>
          <w:szCs w:val="22"/>
          <w:shd w:val="clear" w:color="auto" w:fill="FFFFFF"/>
        </w:rPr>
        <w:t>speciality</w:t>
      </w:r>
      <w:r w:rsidR="00712B6E"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that is analogous to gynaecology</w:t>
      </w:r>
      <w:r w:rsidR="0080643D">
        <w:rPr>
          <w:rFonts w:asciiTheme="minorHAnsi" w:hAnsiTheme="minorHAnsi" w:cstheme="minorHAnsi"/>
          <w:sz w:val="22"/>
          <w:szCs w:val="22"/>
          <w:shd w:val="clear" w:color="auto" w:fill="FFFFFF"/>
        </w:rPr>
        <w:t xml:space="preserve"> </w:t>
      </w:r>
      <w:r w:rsidR="00363E46" w:rsidRPr="004B0BC2">
        <w:rPr>
          <w:rFonts w:asciiTheme="minorHAnsi" w:hAnsiTheme="minorHAnsi" w:cstheme="minorHAnsi"/>
          <w:sz w:val="22"/>
          <w:szCs w:val="22"/>
          <w:shd w:val="clear" w:color="auto" w:fill="FFFFFF"/>
        </w:rPr>
        <w:t xml:space="preserve">and </w:t>
      </w:r>
      <w:r>
        <w:rPr>
          <w:rFonts w:asciiTheme="minorHAnsi" w:hAnsiTheme="minorHAnsi" w:cstheme="minorHAnsi"/>
          <w:sz w:val="22"/>
          <w:szCs w:val="22"/>
          <w:shd w:val="clear" w:color="auto" w:fill="FFFFFF"/>
        </w:rPr>
        <w:t xml:space="preserve">do not benefit from </w:t>
      </w:r>
      <w:r w:rsidR="00363E46" w:rsidRPr="004B0BC2">
        <w:rPr>
          <w:rFonts w:asciiTheme="minorHAnsi" w:hAnsiTheme="minorHAnsi" w:cstheme="minorHAnsi"/>
          <w:sz w:val="22"/>
          <w:szCs w:val="22"/>
          <w:shd w:val="clear" w:color="auto" w:fill="FFFFFF"/>
        </w:rPr>
        <w:t>gender</w:t>
      </w:r>
      <w:r>
        <w:rPr>
          <w:rFonts w:asciiTheme="minorHAnsi" w:hAnsiTheme="minorHAnsi" w:cstheme="minorHAnsi"/>
          <w:sz w:val="22"/>
          <w:szCs w:val="22"/>
          <w:shd w:val="clear" w:color="auto" w:fill="FFFFFF"/>
        </w:rPr>
        <w:t>-</w:t>
      </w:r>
      <w:r w:rsidR="007E5816" w:rsidRPr="004B0BC2">
        <w:rPr>
          <w:rFonts w:asciiTheme="minorHAnsi" w:hAnsiTheme="minorHAnsi" w:cstheme="minorHAnsi"/>
          <w:sz w:val="22"/>
          <w:szCs w:val="22"/>
          <w:shd w:val="clear" w:color="auto" w:fill="FFFFFF"/>
        </w:rPr>
        <w:t>specific</w:t>
      </w:r>
      <w:r w:rsidR="00363E46" w:rsidRPr="004B0BC2">
        <w:rPr>
          <w:rFonts w:asciiTheme="minorHAnsi" w:hAnsiTheme="minorHAnsi" w:cstheme="minorHAnsi"/>
          <w:sz w:val="22"/>
          <w:szCs w:val="22"/>
          <w:shd w:val="clear" w:color="auto" w:fill="FFFFFF"/>
        </w:rPr>
        <w:t xml:space="preserve"> health</w:t>
      </w:r>
      <w:r>
        <w:rPr>
          <w:rFonts w:asciiTheme="minorHAnsi" w:hAnsiTheme="minorHAnsi" w:cstheme="minorHAnsi"/>
          <w:sz w:val="22"/>
          <w:szCs w:val="22"/>
          <w:shd w:val="clear" w:color="auto" w:fill="FFFFFF"/>
        </w:rPr>
        <w:t>-</w:t>
      </w:r>
      <w:r w:rsidR="007E5816" w:rsidRPr="004B0BC2">
        <w:rPr>
          <w:rFonts w:asciiTheme="minorHAnsi" w:hAnsiTheme="minorHAnsi" w:cstheme="minorHAnsi"/>
          <w:sz w:val="22"/>
          <w:szCs w:val="22"/>
          <w:shd w:val="clear" w:color="auto" w:fill="FFFFFF"/>
        </w:rPr>
        <w:t>care</w:t>
      </w:r>
      <w:r w:rsidR="00552A3E" w:rsidRPr="004B0BC2">
        <w:rPr>
          <w:rFonts w:asciiTheme="minorHAnsi" w:hAnsiTheme="minorHAnsi" w:cstheme="minorHAnsi"/>
          <w:sz w:val="22"/>
          <w:szCs w:val="22"/>
          <w:shd w:val="clear" w:color="auto" w:fill="FFFFFF"/>
        </w:rPr>
        <w:t xml:space="preserve"> programmes</w:t>
      </w:r>
      <w:r w:rsidR="007E5816" w:rsidRPr="004B0BC2">
        <w:rPr>
          <w:rFonts w:asciiTheme="minorHAnsi" w:hAnsiTheme="minorHAnsi" w:cstheme="minorHAnsi"/>
          <w:sz w:val="22"/>
          <w:szCs w:val="22"/>
          <w:shd w:val="clear" w:color="auto" w:fill="FFFFFF"/>
        </w:rPr>
        <w:t xml:space="preserve"> </w:t>
      </w:r>
      <w:r w:rsidR="00363E46" w:rsidRPr="004B0BC2">
        <w:rPr>
          <w:rFonts w:asciiTheme="minorHAnsi" w:hAnsiTheme="minorHAnsi" w:cstheme="minorHAnsi"/>
          <w:sz w:val="22"/>
          <w:szCs w:val="22"/>
          <w:shd w:val="clear" w:color="auto" w:fill="FFFFFF"/>
        </w:rPr>
        <w:t>(</w:t>
      </w:r>
      <w:r w:rsidR="004174B1" w:rsidRPr="004B0BC2">
        <w:rPr>
          <w:rFonts w:asciiTheme="minorHAnsi" w:hAnsiTheme="minorHAnsi" w:cstheme="minorHAnsi"/>
          <w:sz w:val="22"/>
          <w:szCs w:val="22"/>
          <w:shd w:val="clear" w:color="auto" w:fill="FFFFFF"/>
        </w:rPr>
        <w:t>such as</w:t>
      </w:r>
      <w:r w:rsidR="005B7768" w:rsidRPr="004B0BC2">
        <w:rPr>
          <w:rFonts w:asciiTheme="minorHAnsi" w:hAnsiTheme="minorHAnsi" w:cstheme="minorHAnsi"/>
          <w:sz w:val="22"/>
          <w:szCs w:val="22"/>
          <w:shd w:val="clear" w:color="auto" w:fill="FFFFFF"/>
        </w:rPr>
        <w:t xml:space="preserve"> cervical</w:t>
      </w:r>
      <w:r w:rsidR="00363E46" w:rsidRPr="004B0BC2">
        <w:rPr>
          <w:rFonts w:asciiTheme="minorHAnsi" w:hAnsiTheme="minorHAnsi" w:cstheme="minorHAnsi"/>
          <w:sz w:val="22"/>
          <w:szCs w:val="22"/>
          <w:shd w:val="clear" w:color="auto" w:fill="FFFFFF"/>
        </w:rPr>
        <w:t xml:space="preserve"> and breast</w:t>
      </w:r>
      <w:r w:rsidR="00386209" w:rsidRPr="004B0BC2">
        <w:rPr>
          <w:rFonts w:asciiTheme="minorHAnsi" w:hAnsiTheme="minorHAnsi" w:cstheme="minorHAnsi"/>
          <w:sz w:val="22"/>
          <w:szCs w:val="22"/>
          <w:shd w:val="clear" w:color="auto" w:fill="FFFFFF"/>
        </w:rPr>
        <w:t xml:space="preserve"> cancer</w:t>
      </w:r>
      <w:r w:rsidR="00363E46" w:rsidRPr="004B0BC2">
        <w:rPr>
          <w:rFonts w:asciiTheme="minorHAnsi" w:hAnsiTheme="minorHAnsi" w:cstheme="minorHAnsi"/>
          <w:sz w:val="22"/>
          <w:szCs w:val="22"/>
          <w:shd w:val="clear" w:color="auto" w:fill="FFFFFF"/>
        </w:rPr>
        <w:t xml:space="preserve"> screening)</w:t>
      </w:r>
      <w:r w:rsidR="00100764">
        <w:rPr>
          <w:rFonts w:asciiTheme="minorHAnsi" w:hAnsiTheme="minorHAnsi" w:cstheme="minorHAnsi"/>
          <w:sz w:val="22"/>
          <w:szCs w:val="22"/>
          <w:shd w:val="clear" w:color="auto" w:fill="FFFFFF"/>
        </w:rPr>
        <w:t xml:space="preserve">. </w:t>
      </w:r>
      <w:r w:rsidR="000D2F5E">
        <w:rPr>
          <w:rFonts w:asciiTheme="minorHAnsi" w:hAnsiTheme="minorHAnsi" w:cstheme="minorHAnsi"/>
          <w:sz w:val="22"/>
          <w:szCs w:val="22"/>
          <w:shd w:val="clear" w:color="auto" w:fill="FFFFFF"/>
        </w:rPr>
        <w:t xml:space="preserve"> </w:t>
      </w:r>
      <w:r w:rsidR="008025B4">
        <w:rPr>
          <w:rFonts w:asciiTheme="minorHAnsi" w:hAnsiTheme="minorHAnsi" w:cstheme="minorHAnsi"/>
          <w:sz w:val="22"/>
          <w:szCs w:val="22"/>
          <w:shd w:val="clear" w:color="auto" w:fill="FFFFFF"/>
        </w:rPr>
        <w:t xml:space="preserve">Andrology </w:t>
      </w:r>
      <w:r w:rsidR="000D2F5E">
        <w:rPr>
          <w:rFonts w:asciiTheme="minorHAnsi" w:hAnsiTheme="minorHAnsi" w:cstheme="minorHAnsi"/>
          <w:sz w:val="22"/>
          <w:szCs w:val="22"/>
          <w:shd w:val="clear" w:color="auto" w:fill="FFFFFF"/>
        </w:rPr>
        <w:t xml:space="preserve">services are </w:t>
      </w:r>
      <w:r w:rsidR="008025B4">
        <w:rPr>
          <w:rFonts w:asciiTheme="minorHAnsi" w:hAnsiTheme="minorHAnsi" w:cstheme="minorHAnsi"/>
          <w:sz w:val="22"/>
          <w:szCs w:val="22"/>
          <w:shd w:val="clear" w:color="auto" w:fill="FFFFFF"/>
        </w:rPr>
        <w:t xml:space="preserve">available only </w:t>
      </w:r>
      <w:r w:rsidR="000D2F5E">
        <w:rPr>
          <w:rFonts w:asciiTheme="minorHAnsi" w:hAnsiTheme="minorHAnsi" w:cstheme="minorHAnsi"/>
          <w:sz w:val="22"/>
          <w:szCs w:val="22"/>
          <w:shd w:val="clear" w:color="auto" w:fill="FFFFFF"/>
        </w:rPr>
        <w:t xml:space="preserve">in </w:t>
      </w:r>
      <w:r w:rsidR="003475DB">
        <w:rPr>
          <w:rFonts w:asciiTheme="minorHAnsi" w:hAnsiTheme="minorHAnsi" w:cstheme="minorHAnsi"/>
          <w:sz w:val="22"/>
          <w:szCs w:val="22"/>
          <w:shd w:val="clear" w:color="auto" w:fill="FFFFFF"/>
        </w:rPr>
        <w:t>select</w:t>
      </w:r>
      <w:r w:rsidR="000D2F5E">
        <w:rPr>
          <w:rFonts w:asciiTheme="minorHAnsi" w:hAnsiTheme="minorHAnsi" w:cstheme="minorHAnsi"/>
          <w:sz w:val="22"/>
          <w:szCs w:val="22"/>
          <w:shd w:val="clear" w:color="auto" w:fill="FFFFFF"/>
        </w:rPr>
        <w:t xml:space="preserve"> </w:t>
      </w:r>
      <w:r w:rsidR="003475DB">
        <w:rPr>
          <w:rFonts w:asciiTheme="minorHAnsi" w:hAnsiTheme="minorHAnsi" w:cstheme="minorHAnsi"/>
          <w:sz w:val="22"/>
          <w:szCs w:val="22"/>
          <w:shd w:val="clear" w:color="auto" w:fill="FFFFFF"/>
        </w:rPr>
        <w:t>hospitals</w:t>
      </w:r>
      <w:r w:rsidR="000D2F5E">
        <w:rPr>
          <w:rFonts w:asciiTheme="minorHAnsi" w:hAnsiTheme="minorHAnsi" w:cstheme="minorHAnsi"/>
          <w:sz w:val="22"/>
          <w:szCs w:val="22"/>
          <w:shd w:val="clear" w:color="auto" w:fill="FFFFFF"/>
        </w:rPr>
        <w:t xml:space="preserve"> and typically focus on a small number of male-specific conditions</w:t>
      </w:r>
      <w:r w:rsidR="008025B4">
        <w:rPr>
          <w:rFonts w:asciiTheme="minorHAnsi" w:hAnsiTheme="minorHAnsi" w:cstheme="minorHAnsi"/>
          <w:sz w:val="22"/>
          <w:szCs w:val="22"/>
          <w:shd w:val="clear" w:color="auto" w:fill="FFFFFF"/>
        </w:rPr>
        <w:t>,</w:t>
      </w:r>
      <w:r w:rsidR="000D2F5E">
        <w:rPr>
          <w:rFonts w:asciiTheme="minorHAnsi" w:hAnsiTheme="minorHAnsi" w:cstheme="minorHAnsi"/>
          <w:sz w:val="22"/>
          <w:szCs w:val="22"/>
          <w:shd w:val="clear" w:color="auto" w:fill="FFFFFF"/>
        </w:rPr>
        <w:t xml:space="preserve"> such as erectile dysfunction, male </w:t>
      </w:r>
      <w:r w:rsidR="00693DD5">
        <w:rPr>
          <w:rFonts w:asciiTheme="minorHAnsi" w:hAnsiTheme="minorHAnsi" w:cstheme="minorHAnsi"/>
          <w:sz w:val="22"/>
          <w:szCs w:val="22"/>
          <w:shd w:val="clear" w:color="auto" w:fill="FFFFFF"/>
        </w:rPr>
        <w:t>infertility,</w:t>
      </w:r>
      <w:r w:rsidR="000D2F5E">
        <w:rPr>
          <w:rFonts w:asciiTheme="minorHAnsi" w:hAnsiTheme="minorHAnsi" w:cstheme="minorHAnsi"/>
          <w:sz w:val="22"/>
          <w:szCs w:val="22"/>
          <w:shd w:val="clear" w:color="auto" w:fill="FFFFFF"/>
        </w:rPr>
        <w:t xml:space="preserve"> and testicular cancer. This </w:t>
      </w:r>
      <w:r w:rsidR="00F026E4">
        <w:rPr>
          <w:rFonts w:asciiTheme="minorHAnsi" w:hAnsiTheme="minorHAnsi" w:cstheme="minorHAnsi"/>
          <w:sz w:val="22"/>
          <w:szCs w:val="22"/>
          <w:shd w:val="clear" w:color="auto" w:fill="FFFFFF"/>
        </w:rPr>
        <w:t>contrasts with</w:t>
      </w:r>
      <w:r w:rsidR="000D2F5E">
        <w:rPr>
          <w:rFonts w:asciiTheme="minorHAnsi" w:hAnsiTheme="minorHAnsi" w:cstheme="minorHAnsi"/>
          <w:sz w:val="22"/>
          <w:szCs w:val="22"/>
          <w:shd w:val="clear" w:color="auto" w:fill="FFFFFF"/>
        </w:rPr>
        <w:t xml:space="preserve"> </w:t>
      </w:r>
      <w:r w:rsidR="00F026E4">
        <w:rPr>
          <w:rFonts w:asciiTheme="minorHAnsi" w:hAnsiTheme="minorHAnsi" w:cstheme="minorHAnsi"/>
          <w:sz w:val="22"/>
          <w:szCs w:val="22"/>
          <w:shd w:val="clear" w:color="auto" w:fill="FFFFFF"/>
        </w:rPr>
        <w:t>gynaecological</w:t>
      </w:r>
      <w:r w:rsidR="000D2F5E">
        <w:rPr>
          <w:rFonts w:asciiTheme="minorHAnsi" w:hAnsiTheme="minorHAnsi" w:cstheme="minorHAnsi"/>
          <w:sz w:val="22"/>
          <w:szCs w:val="22"/>
          <w:shd w:val="clear" w:color="auto" w:fill="FFFFFF"/>
        </w:rPr>
        <w:t xml:space="preserve"> services which are </w:t>
      </w:r>
      <w:r w:rsidR="00693DD5">
        <w:rPr>
          <w:rFonts w:asciiTheme="minorHAnsi" w:hAnsiTheme="minorHAnsi" w:cstheme="minorHAnsi"/>
          <w:sz w:val="22"/>
          <w:szCs w:val="22"/>
          <w:shd w:val="clear" w:color="auto" w:fill="FFFFFF"/>
        </w:rPr>
        <w:t>present in</w:t>
      </w:r>
      <w:r w:rsidR="000D2F5E">
        <w:rPr>
          <w:rFonts w:asciiTheme="minorHAnsi" w:hAnsiTheme="minorHAnsi" w:cstheme="minorHAnsi"/>
          <w:sz w:val="22"/>
          <w:szCs w:val="22"/>
          <w:shd w:val="clear" w:color="auto" w:fill="FFFFFF"/>
        </w:rPr>
        <w:t xml:space="preserve"> most hospitals and manage female infertility, lower urinary tract symptoms, ovarian, endometrial and cervical cancer, and a range of disorders related to menstruation, menopause, family planning, sexual dysfunction and sexually transmitted infections.</w:t>
      </w:r>
      <w:r w:rsidR="003475DB">
        <w:rPr>
          <w:rFonts w:asciiTheme="minorHAnsi" w:hAnsiTheme="minorHAnsi" w:cstheme="minorHAnsi"/>
          <w:sz w:val="22"/>
          <w:szCs w:val="22"/>
          <w:shd w:val="clear" w:color="auto" w:fill="FFFFFF"/>
        </w:rPr>
        <w:t xml:space="preserve"> </w:t>
      </w:r>
      <w:r w:rsidR="008025B4">
        <w:rPr>
          <w:rFonts w:asciiTheme="minorHAnsi" w:hAnsiTheme="minorHAnsi" w:cstheme="minorHAnsi"/>
          <w:sz w:val="22"/>
          <w:szCs w:val="22"/>
          <w:shd w:val="clear" w:color="auto" w:fill="FFFFFF"/>
        </w:rPr>
        <w:t>No</w:t>
      </w:r>
      <w:r w:rsidR="003475DB">
        <w:rPr>
          <w:rFonts w:asciiTheme="minorHAnsi" w:hAnsiTheme="minorHAnsi" w:cstheme="minorHAnsi"/>
          <w:sz w:val="22"/>
          <w:szCs w:val="22"/>
          <w:shd w:val="clear" w:color="auto" w:fill="FFFFFF"/>
        </w:rPr>
        <w:t xml:space="preserve"> male</w:t>
      </w:r>
      <w:r w:rsidR="008025B4">
        <w:rPr>
          <w:rFonts w:asciiTheme="minorHAnsi" w:hAnsiTheme="minorHAnsi" w:cstheme="minorHAnsi"/>
          <w:sz w:val="22"/>
          <w:szCs w:val="22"/>
          <w:shd w:val="clear" w:color="auto" w:fill="FFFFFF"/>
        </w:rPr>
        <w:t>-</w:t>
      </w:r>
      <w:r w:rsidR="003475DB">
        <w:rPr>
          <w:rFonts w:asciiTheme="minorHAnsi" w:hAnsiTheme="minorHAnsi" w:cstheme="minorHAnsi"/>
          <w:sz w:val="22"/>
          <w:szCs w:val="22"/>
          <w:shd w:val="clear" w:color="auto" w:fill="FFFFFF"/>
        </w:rPr>
        <w:t xml:space="preserve">specific screening programmes </w:t>
      </w:r>
      <w:r w:rsidR="008025B4">
        <w:rPr>
          <w:rFonts w:asciiTheme="minorHAnsi" w:hAnsiTheme="minorHAnsi" w:cstheme="minorHAnsi"/>
          <w:sz w:val="22"/>
          <w:szCs w:val="22"/>
          <w:shd w:val="clear" w:color="auto" w:fill="FFFFFF"/>
        </w:rPr>
        <w:t xml:space="preserve">are run </w:t>
      </w:r>
      <w:r w:rsidR="003475DB">
        <w:rPr>
          <w:rFonts w:asciiTheme="minorHAnsi" w:hAnsiTheme="minorHAnsi" w:cstheme="minorHAnsi"/>
          <w:sz w:val="22"/>
          <w:szCs w:val="22"/>
          <w:shd w:val="clear" w:color="auto" w:fill="FFFFFF"/>
        </w:rPr>
        <w:t>within the UK and</w:t>
      </w:r>
      <w:r w:rsidR="008025B4">
        <w:rPr>
          <w:rFonts w:asciiTheme="minorHAnsi" w:hAnsiTheme="minorHAnsi" w:cstheme="minorHAnsi"/>
          <w:sz w:val="22"/>
          <w:szCs w:val="22"/>
          <w:shd w:val="clear" w:color="auto" w:fill="FFFFFF"/>
        </w:rPr>
        <w:t>,</w:t>
      </w:r>
      <w:r w:rsidR="003475DB">
        <w:rPr>
          <w:rFonts w:asciiTheme="minorHAnsi" w:hAnsiTheme="minorHAnsi" w:cstheme="minorHAnsi"/>
          <w:sz w:val="22"/>
          <w:szCs w:val="22"/>
          <w:shd w:val="clear" w:color="auto" w:fill="FFFFFF"/>
        </w:rPr>
        <w:t xml:space="preserve"> </w:t>
      </w:r>
      <w:r w:rsidR="008025B4">
        <w:rPr>
          <w:rFonts w:asciiTheme="minorHAnsi" w:hAnsiTheme="minorHAnsi" w:cstheme="minorHAnsi"/>
          <w:sz w:val="22"/>
          <w:szCs w:val="22"/>
          <w:shd w:val="clear" w:color="auto" w:fill="FFFFFF"/>
        </w:rPr>
        <w:t>although</w:t>
      </w:r>
      <w:r w:rsidR="003475DB">
        <w:rPr>
          <w:rFonts w:asciiTheme="minorHAnsi" w:hAnsiTheme="minorHAnsi" w:cstheme="minorHAnsi"/>
          <w:sz w:val="22"/>
          <w:szCs w:val="22"/>
          <w:shd w:val="clear" w:color="auto" w:fill="FFFFFF"/>
        </w:rPr>
        <w:t xml:space="preserve"> </w:t>
      </w:r>
      <w:r w:rsidR="007B11D4">
        <w:rPr>
          <w:rFonts w:asciiTheme="minorHAnsi" w:hAnsiTheme="minorHAnsi" w:cstheme="minorHAnsi"/>
          <w:sz w:val="22"/>
          <w:szCs w:val="22"/>
          <w:shd w:val="clear" w:color="auto" w:fill="FFFFFF"/>
        </w:rPr>
        <w:t>prostate cancer</w:t>
      </w:r>
      <w:r w:rsidR="003475DB">
        <w:rPr>
          <w:rFonts w:asciiTheme="minorHAnsi" w:hAnsiTheme="minorHAnsi" w:cstheme="minorHAnsi"/>
          <w:sz w:val="22"/>
          <w:szCs w:val="22"/>
          <w:shd w:val="clear" w:color="auto" w:fill="FFFFFF"/>
        </w:rPr>
        <w:t xml:space="preserve"> screening is practi</w:t>
      </w:r>
      <w:r w:rsidR="004D6819">
        <w:rPr>
          <w:rFonts w:asciiTheme="minorHAnsi" w:hAnsiTheme="minorHAnsi" w:cstheme="minorHAnsi"/>
          <w:sz w:val="22"/>
          <w:szCs w:val="22"/>
          <w:shd w:val="clear" w:color="auto" w:fill="FFFFFF"/>
        </w:rPr>
        <w:t>s</w:t>
      </w:r>
      <w:r w:rsidR="003475DB">
        <w:rPr>
          <w:rFonts w:asciiTheme="minorHAnsi" w:hAnsiTheme="minorHAnsi" w:cstheme="minorHAnsi"/>
          <w:sz w:val="22"/>
          <w:szCs w:val="22"/>
          <w:shd w:val="clear" w:color="auto" w:fill="FFFFFF"/>
        </w:rPr>
        <w:t xml:space="preserve">ed </w:t>
      </w:r>
      <w:r w:rsidR="007B11D4">
        <w:rPr>
          <w:rFonts w:asciiTheme="minorHAnsi" w:hAnsiTheme="minorHAnsi" w:cstheme="minorHAnsi"/>
          <w:sz w:val="22"/>
          <w:szCs w:val="22"/>
          <w:shd w:val="clear" w:color="auto" w:fill="FFFFFF"/>
        </w:rPr>
        <w:t>in some countries</w:t>
      </w:r>
      <w:r w:rsidR="001649DA">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{"citationItems":[{"id":"ITEM-1","itemData":{"DOI":"10.3390/JCM9123826","ISSN":"2077-0383","PMID":"33255919","abstract":"The aim of this study is to report key performance estimates from the ten years of a population-based prostate cancer screening programme in Lithuania. Retrospective analysis of screening activities recorded in 2006–2015 among men aged 50–74 years was performed. We estimated screening coverage, cancer detection rate, compliance to biopsy, and positive predictive values in each screening round inside and outside the target population. In the first 10 years of screening, 16,061 prostate cancer cases were registered within the screening programme, 10,202 were observed among screened men but reported outside the screening programme, and 1455 prostate cancers were observed in a screening-naïve population. Screening cover reached up to 45.5% of the target population in the recent rounds. The proportion of prostate specific antigen (PSA) test-positive men decreased from 16.9% in 2006 to 10.7% in 2014–2015. Up to 40.0% of PSA test-positive men received a biopsy, of whom 42.0% were positive for prostate cancer. The cancer detection rate was 10.4−15.0% among PSA test-positives and 1.4–1.9% among screened individuals. Screening participants were more likely to be diagnosed with organ-confined disease as compared to non-participants. Despite the unorganized screening practices being employed and low coverage per screening round, 70% of the target population were screened at least once in the first 10 years of screening.","author":[{"dropping-particle":"","family":"Patasius","given":"A.","non-dropping-particle":"","parse-names":false,"suffix":""},{"dropping-particle":"","family":"A.Krilaviciute","given":"","non-dropping-particle":"","parse-names":false,"suffix":""},{"dropping-particle":"","family":"G.Smailyte","given":"","non-dropping-particle":"","parse-names":false,"suffix":""}],"container-title":"Journal of clinical medicine","id":"ITEM-1","issue":"12","issued":{"date-parts":[["2020"]]},"page":"1-9","title":"Prostate Cancer Screening with PSA: Ten Years' Experience of Population Based Early Prostate Cancer Detection Programme in Lithuania","type":"article-journal","volume":"9"},"uris":["http://www.mendeley.com/documents/?uuid=d7e92540-84cf-312f-a191-804b6d2f94d2"]}],"mendeley":{"formattedCitation":"(90)","plainTextFormattedCitation":"(90)","previouslyFormattedCitation":"(90)"},"properties":{"noteIndex":0},"schema":"https://github.com/citation-style-language/schema/raw/master/csl-citation.json"}</w:instrText>
      </w:r>
      <w:r w:rsidR="001649DA">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(90)</w:t>
      </w:r>
      <w:r w:rsidR="001649DA">
        <w:rPr>
          <w:rFonts w:asciiTheme="minorHAnsi" w:hAnsiTheme="minorHAnsi" w:cstheme="minorHAnsi"/>
          <w:sz w:val="22"/>
          <w:szCs w:val="22"/>
          <w:shd w:val="clear" w:color="auto" w:fill="FFFFFF"/>
        </w:rPr>
        <w:fldChar w:fldCharType="end"/>
      </w:r>
      <w:r w:rsidR="008025B4">
        <w:rPr>
          <w:rFonts w:asciiTheme="minorHAnsi" w:hAnsiTheme="minorHAnsi" w:cstheme="minorHAnsi"/>
          <w:sz w:val="22"/>
          <w:szCs w:val="22"/>
          <w:shd w:val="clear" w:color="auto" w:fill="FFFFFF"/>
        </w:rPr>
        <w:t>,</w:t>
      </w:r>
      <w:r w:rsidR="007B11D4">
        <w:rPr>
          <w:rFonts w:asciiTheme="minorHAnsi" w:hAnsiTheme="minorHAnsi" w:cstheme="minorHAnsi"/>
          <w:sz w:val="22"/>
          <w:szCs w:val="22"/>
          <w:shd w:val="clear" w:color="auto" w:fill="FFFFFF"/>
        </w:rPr>
        <w:t xml:space="preserve"> the diagnostic </w:t>
      </w:r>
      <w:r w:rsidR="00693DD5">
        <w:rPr>
          <w:rFonts w:asciiTheme="minorHAnsi" w:hAnsiTheme="minorHAnsi" w:cstheme="minorHAnsi"/>
          <w:sz w:val="22"/>
          <w:szCs w:val="22"/>
          <w:shd w:val="clear" w:color="auto" w:fill="FFFFFF"/>
        </w:rPr>
        <w:t>pathways are</w:t>
      </w:r>
      <w:r w:rsidR="007B11D4">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variable</w:t>
      </w:r>
      <w:r w:rsidR="007B11D4">
        <w:rPr>
          <w:rFonts w:asciiTheme="minorHAnsi" w:hAnsiTheme="minorHAnsi" w:cstheme="minorHAnsi"/>
          <w:sz w:val="22"/>
          <w:szCs w:val="22"/>
          <w:shd w:val="clear" w:color="auto" w:fill="FFFFFF"/>
        </w:rPr>
        <w:t xml:space="preserve"> and can </w:t>
      </w:r>
      <w:r w:rsidR="001649DA">
        <w:rPr>
          <w:rFonts w:asciiTheme="minorHAnsi" w:hAnsiTheme="minorHAnsi" w:cstheme="minorHAnsi"/>
          <w:sz w:val="22"/>
          <w:szCs w:val="22"/>
          <w:shd w:val="clear" w:color="auto" w:fill="FFFFFF"/>
        </w:rPr>
        <w:t xml:space="preserve">comprise </w:t>
      </w:r>
      <w:r w:rsidR="007B11D4">
        <w:rPr>
          <w:rFonts w:asciiTheme="minorHAnsi" w:hAnsiTheme="minorHAnsi" w:cstheme="minorHAnsi"/>
          <w:sz w:val="22"/>
          <w:szCs w:val="22"/>
          <w:shd w:val="clear" w:color="auto" w:fill="FFFFFF"/>
        </w:rPr>
        <w:t>only</w:t>
      </w:r>
      <w:r w:rsidR="00693DD5">
        <w:rPr>
          <w:rFonts w:asciiTheme="minorHAnsi" w:hAnsiTheme="minorHAnsi" w:cstheme="minorHAnsi"/>
          <w:sz w:val="22"/>
          <w:szCs w:val="22"/>
          <w:shd w:val="clear" w:color="auto" w:fill="FFFFFF"/>
        </w:rPr>
        <w:t xml:space="preserve"> a</w:t>
      </w:r>
      <w:r w:rsidR="007B11D4">
        <w:rPr>
          <w:rFonts w:asciiTheme="minorHAnsi" w:hAnsiTheme="minorHAnsi" w:cstheme="minorHAnsi"/>
          <w:sz w:val="22"/>
          <w:szCs w:val="22"/>
          <w:shd w:val="clear" w:color="auto" w:fill="FFFFFF"/>
        </w:rPr>
        <w:t xml:space="preserve"> PSA</w:t>
      </w:r>
      <w:r w:rsidR="00693DD5">
        <w:rPr>
          <w:rFonts w:asciiTheme="minorHAnsi" w:hAnsiTheme="minorHAnsi" w:cstheme="minorHAnsi"/>
          <w:sz w:val="22"/>
          <w:szCs w:val="22"/>
          <w:shd w:val="clear" w:color="auto" w:fill="FFFFFF"/>
        </w:rPr>
        <w:t xml:space="preserve"> blood test</w:t>
      </w:r>
      <w:r w:rsidR="007B11D4">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and</w:t>
      </w:r>
      <w:r w:rsidR="007B11D4">
        <w:rPr>
          <w:rFonts w:asciiTheme="minorHAnsi" w:hAnsiTheme="minorHAnsi" w:cstheme="minorHAnsi"/>
          <w:sz w:val="22"/>
          <w:szCs w:val="22"/>
          <w:shd w:val="clear" w:color="auto" w:fill="FFFFFF"/>
        </w:rPr>
        <w:t xml:space="preserve"> prostate biopsies</w:t>
      </w:r>
      <w:r w:rsidR="008025B4">
        <w:rPr>
          <w:rFonts w:asciiTheme="minorHAnsi" w:hAnsiTheme="minorHAnsi" w:cstheme="minorHAnsi"/>
          <w:sz w:val="22"/>
          <w:szCs w:val="22"/>
          <w:shd w:val="clear" w:color="auto" w:fill="FFFFFF"/>
        </w:rPr>
        <w:t>,</w:t>
      </w:r>
      <w:r w:rsidR="007B11D4">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despite</w:t>
      </w:r>
      <w:r w:rsidR="007B11D4">
        <w:rPr>
          <w:rFonts w:asciiTheme="minorHAnsi" w:hAnsiTheme="minorHAnsi" w:cstheme="minorHAnsi"/>
          <w:sz w:val="22"/>
          <w:szCs w:val="22"/>
          <w:shd w:val="clear" w:color="auto" w:fill="FFFFFF"/>
        </w:rPr>
        <w:t xml:space="preserve"> the </w:t>
      </w:r>
      <w:r w:rsidR="00F026E4">
        <w:rPr>
          <w:rFonts w:asciiTheme="minorHAnsi" w:hAnsiTheme="minorHAnsi" w:cstheme="minorHAnsi"/>
          <w:sz w:val="22"/>
          <w:szCs w:val="22"/>
          <w:shd w:val="clear" w:color="auto" w:fill="FFFFFF"/>
        </w:rPr>
        <w:t>publication of both the PROMIS</w:t>
      </w:r>
      <w:r w:rsidR="005D4784">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{"citationItems":[{"id":"ITEM-1","itemData":{"DOI":"10.1016/S0140-6736(16)32401-1","ISSN":"0140-6736","PMID":"28110982","abstract":"Summary Background Men with high serum prostate specific antigen usually undergo transrectal ultrasound-guided prostate biopsy (TRUS-biopsy). TRUS-biopsy can cause side-effects including bleeding, pain, and infection. Multi-parametric magnetic resonance imaging (MP-MRI) used as a triage test might allow men to avoid unnecessary TRUS-biopsy and improve diagnostic accuracy. Methods We did this multicentre, paired-cohort, confirmatory study to test diagnostic accuracy of MP-MRI and TRUS-biopsy against a reference test (template prostate mapping biopsy [TPM-biopsy]). Men with prostate-specific antigen concentrations up to 15 ng/mL, with no previous biopsy, underwent 1·5 Tesla MP-MRI followed by both TRUS-biopsy and TPM-biopsy. The conduct and reporting of each test was done blind to other test results. Clinically significant cancer was defined as Gleason score ≥4 + 3 or a maximum cancer core length 6 mm or longer. This study is registered on ClinicalTrials.gov, NCT01292291. Findings Between May 17, 2012, and November 9, 2015, we enrolled 740 men, 576 of whom underwent 1·5 Tesla MP-MRI followed by both TRUS-biopsy and TPM-biopsy. On TPM-biopsy, 408 (71%) of 576 men had cancer with 230 (40%) of 576 patients clinically significant. For clinically significant cancer, MP-MRI was more sensitive (93%, 95% CI 88–96%) than TRUS-biopsy (48%, 42–55%; pvs 96%, 94–98% for TRUS-biopsy; p Interpretation Using MP-MRI to triage men might allow 27% of patients avoid a primary biopsy and diagnosis of 5% fewer clinically insignificant cancers. If subsequent TRUS-biopsies were directed by MP-MRI findings, up to 18% more cases of clinically significant cancer might be detected compared with the standard pathway of TRUS-biopsy for all. MP-MRI, used as a triage test before first prostate biopsy, could reduce unnecessary biopsies by a quarter. MP-MRI can also reduce over-diagnosis of clinically insignificant prostate cancer and improve detection of clinically significant cancer. Funding PROMIS is funded by the UK Government Department of Health, National Institute of Health Research–Health Technology Assessment Programme, (Project number 09/22/67). This project is also supported and partly funded by UCLH/UCL Biomedical Research Centre and The Royal Marsden and Institute for Cancer Research Biomedical Research Centre and is coordinated by the Medical Research Council Clinical Trials Unit (MRC CTU) at UCL. It is sponsored by University College London (UCL).","author":[{"dropping-particle":"","family":"Ahmed","given":"Hashim U","non-dropping-particle":"","parse-names":false,"suffix":""},{"dropping-particle":"","family":"Bosaily","given":"Ahmed El-Shater","non-dropping-particle":"","parse-names":false,"suffix":""},{"dropping-particle":"","family":"Brown","given":"Louise C","non-dropping-particle":"","parse-names":false,"suffix":""},{"dropping-particle":"","family":"Gabe","given":"Rhian","non-dropping-particle":"","parse-names":false,"suffix":""},{"dropping-particle":"","family":"Kaplan","given":"Richard","non-dropping-particle":"","parse-names":false,"suffix":""},{"dropping-particle":"","family":"Parmar","given":"Mahesh K","non-dropping-particle":"","parse-names":false,"suffix":""},{"dropping-particle":"","family":"Collaco-Moraes","given":"Yolanda","non-dropping-particle":"","parse-names":false,"suffix":""},{"dropping-particle":"","family":"Ward","given":"Katie","non-dropping-particle":"","parse-names":false,"suffix":""},{"dropping-particle":"","family":"Hindley","given":"Richard G","non-dropping-particle":"","parse-names":false,"suffix":""},{"dropping-particle":"","family":"Freeman","given":"Alex","non-dropping-particle":"","parse-names":false,"suffix":""},{"dropping-particle":"","family":"Kirkham","given":"Alex P","non-dropping-particle":"","parse-names":false,"suffix":""},{"dropping-particle":"","family":"Oldroyd","given":"Robert","non-dropping-particle":"","parse-names":false,"suffix":""},{"dropping-particle":"","family":"Parker","given":"Chris","non-dropping-particle":"","parse-names":false,"suffix":""},{"dropping-particle":"","family":"Emberton","given":"Mark","non-dropping-particle":"","parse-names":false,"suffix":""}],"container-title":"The Lancet","id":"ITEM-1","issue":"10071","issued":{"date-parts":[["2017"]]},"page":"815-822","title":"Diagnostic accuracy of multi-parametric MRI and TRUS biopsy in prostate cancer (PROMIS): a paired validating confirmatory study","type":"article-journal","volume":"389"},"uris":["http://www.mendeley.com/documents/?uuid=c28f5a15-c963-3f00-83a3-7d32fa76200c"]}],"mendeley":{"formattedCitation":"(91)","plainTextFormattedCitation":"(91)","previouslyFormattedCitation":"(91)"},"properties":{"noteIndex":0},"schema":"https://github.com/citation-style-language/schema/raw/master/csl-citation.json"}</w:instrText>
      </w:r>
      <w:r w:rsidR="005D4784">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(91)</w:t>
      </w:r>
      <w:r w:rsidR="005D4784">
        <w:rPr>
          <w:rFonts w:asciiTheme="minorHAnsi" w:hAnsiTheme="minorHAnsi" w:cstheme="minorHAnsi"/>
          <w:sz w:val="22"/>
          <w:szCs w:val="22"/>
          <w:shd w:val="clear" w:color="auto" w:fill="FFFFFF"/>
        </w:rPr>
        <w:fldChar w:fldCharType="end"/>
      </w:r>
      <w:r w:rsidR="00F026E4">
        <w:rPr>
          <w:rFonts w:asciiTheme="minorHAnsi" w:hAnsiTheme="minorHAnsi" w:cstheme="minorHAnsi"/>
          <w:sz w:val="22"/>
          <w:szCs w:val="22"/>
          <w:shd w:val="clear" w:color="auto" w:fill="FFFFFF"/>
        </w:rPr>
        <w:t xml:space="preserve"> and PRECISION</w:t>
      </w:r>
      <w:r w:rsidR="005D4784">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{"citationItems":[{"id":"ITEM-1","itemData":{"DOI":"10.1056/nejmoa1801993","ISSN":"0028-4793","PMID":"29552975","abstract":"BACKGROUND Multiparametric magnetic resonance imaging (MRI), with or without targeted biopsy, is an alternative to standard transrectal ultrasonography-guided biopsy for prostate-cancer detection in men with a raised prostate-specific antigen level who have not undergone biopsy. However, comparative evidence is limited. METHODS In a multicenter, randomized, noninferiority trial, we assigned men with a clinical suspicion of prostate cancer who had not undergone biopsy previously to undergo MRI, with or without targeted biopsy, or standard transrectal ultrasonography-guided biopsy. Men in the MRI-targeted biopsy group underwent a targeted biopsy (without standard biopsy cores) if the MRI was suggestive of prostate cancer; men whose MRI results were not suggestive of prostate cancer were not offered biopsy. Standard biopsy was a 10-to-12-core, transrectal ultrasonography-guided biopsy. The primary outcome was the proportion of men who received a diagnosis of clinically significant cancer. Secondary outcomes included the proportion of men who received a diagnosis of clinically insignificant cancer. RESULTS A total of 500 men underwent randomization. In the MRI-targeted biopsy group, 71 of 252 men (28%) had MRI results that were not suggestive of prostate cancer, so they did not undergo biopsy. Clinically significant cancer was detected in 95 men (38%) in the MRI-targeted biopsy group, as compared with 64 of 248 (26%) in the standard-biopsy group (adjusted difference, 12 percentage points; 95% confidence interval [CI], 4 to 20; P=0.005). MRI, with or without targeted biopsy, was noninferior to standard biopsy, and the 95% confidence interval indicated the superiority of this strategy over standard biopsy. Fewer men in the MRI-targeted biopsy group than in the standard-biopsy group received a diagnosis of clinically insignificant cancer (adjusted difference, -13 percentage points; 95% CI, -19 to -7; P&lt;0.001). CONCLUSIONS The use of risk assessment with MRI before biopsy and MRI-targeted biopsy was superior to standard transrectal ultrasonography-guided biopsy in men at clinical risk for prostate cancer who had not undergone biopsy previously. (Funded by the National Institute for Health Research and the European Association of Urology Research Foundation; PRECISION ClinicalTrials.gov number, NCT02380027 .).","author":[{"dropping-particle":"","family":"Kasivisvanathan","given":"Veeru","non-dropping-particle":"","parse-names":false,"suffix":""},{"dropping-particle":"","family":"Rannikko","given":"Antti S.","non-dropping-particle":"","parse-names":false,"suffix":""},{"dropping-particle":"","family":"Borghi","given":"Marcelo","non-dropping-particle":"","parse-names":false,"suffix":""},{"dropping-particle":"","family":"Panebianco","given":"Valeria","non-dropping-particle":"","parse-names":false,"suffix":""},{"dropping-particle":"","family":"Mynderse","given":"Lance A.","non-dropping-particle":"","parse-names":false,"suffix":""},{"dropping-particle":"","family":"Vaarala","given":"Markku H.","non-dropping-particle":"","parse-names":false,"suffix":""},{"dropping-particle":"","family":"Briganti","given":"Alberto","non-dropping-particle":"","parse-names":false,"suffix":""},{"dropping-particle":"","family":"Budäus","given":"Lars","non-dropping-particle":"","parse-names":false,"suffix":""},{"dropping-particle":"","family":"Hellawell","given":"Giles","non-dropping-particle":"","parse-names":false,"suffix":""},{"dropping-particle":"","family":"Hindley","given":"Richard G.","non-dropping-particle":"","parse-names":false,"suffix":""},{"dropping-particle":"","family":"Roobol","given":"Monique J.","non-dropping-particle":"","parse-names":false,"suffix":""},{"dropping-particle":"","family":"Eggener","given":"Scott","non-dropping-particle":"","parse-names":false,"suffix":""},{"dropping-particle":"","family":"Ghei","given":"Maneesh","non-dropping-particle":"","parse-names":false,"suffix":""},{"dropping-particle":"","family":"Villers","given":"Arnauld","non-dropping-particle":"","parse-names":false,"suffix":""},{"dropping-particle":"","family":"Bladou","given":"Franck","non-dropping-particle":"","parse-names":false,"suffix":""},{"dropping-particle":"","family":"Villeirs","given":"Geert M.","non-dropping-particle":"","parse-names":false,"suffix":""},{"dropping-particle":"","family":"Virdi","given":"Jaspal","non-dropping-particle":"","parse-names":false,"suffix":""},{"dropping-particle":"","family":"Boxler","given":"Silvan","non-dropping-particle":"","parse-names":false,"suffix":""},{"dropping-particle":"","family":"Robert","given":"Grégoire","non-dropping-particle":"","parse-names":false,"suffix":""},{"dropping-particle":"","family":"Singh","given":"Paras B.","non-dropping-particle":"","parse-names":false,"suffix":""},{"dropping-particle":"","family":"Venderink","given":"Wulphert","non-dropping-particle":"","parse-names":false,"suffix":""},{"dropping-particle":"","family":"Hadaschik","given":"Boris A.","non-dropping-particle":"","parse-names":false,"suffix":""},{"dropping-particle":"","family":"Ruffion","given":"Alain","non-dropping-particle":"","parse-names":false,"suffix":""},{"dropping-particle":"","family":"Hu","given":"Jim C.","non-dropping-particle":"","parse-names":false,"suffix":""},{"dropping-particle":"","family":"Margolis","given":"Daniel","non-dropping-particle":"","parse-names":false,"suffix":""},{"dropping-particle":"","family":"Crouzet","given":"Sébastien","non-dropping-particle":"","parse-names":false,"suffix":""},{"dropping-particle":"","family":"Klotz","given":"Laurence","non-dropping-particle":"","parse-names":false,"suffix":""},{"dropping-particle":"","family":"Taneja","given":"Samir S.","non-dropping-particle":"","parse-names":false,"suffix":""},{"dropping-particle":"","family":"Pinto","given":"Peter","non-dropping-particle":"","parse-names":false,"suffix":""},{"dropping-particle":"","family":"Gill","given":"Inderbir","non-dropping-particle":"","parse-names":false,"suffix":""},{"dropping-particle":"","family":"Allen","given":"Clare","non-dropping-particle":"","parse-names":false,"suffix":""},{"dropping-particle":"","family":"Giganti","given":"Francesco","non-dropping-particle":"","parse-names":false,"suffix":""},{"dropping-particle":"","family":"Freeman","given":"Alex","non-dropping-particle":"","parse-names":false,"suffix":""},{"dropping-particle":"","family":"Morris","given":"Stephen","non-dropping-particle":"","parse-names":false,"suffix":""},{"dropping-particle":"","family":"Punwani","given":"Shonit","non-dropping-particle":"","parse-names":false,"suffix":""},{"dropping-particle":"","family":"Williams","given":"Norman R.","non-dropping-particle":"","parse-names":false,"suffix":""},{"dropping-particle":"","family":"Brew-Graves","given":"Chris","non-dropping-particle":"","parse-names":false,"suffix":""},{"dropping-particle":"","family":"Deeks","given":"Jonathan","non-dropping-particle":"","parse-names":false,"suffix":""},{"dropping-particle":"","family":"Takwoingi","given":"Yemisi","non-dropping-particle":"","parse-names":false,"suffix":""},{"dropping-particle":"","family":"Emberton","given":"Mark","non-dropping-particle":"","parse-names":false,"suffix":""},{"dropping-particle":"","family":"Moore","given":"Caroline M.","non-dropping-particle":"","parse-names":false,"suffix":""}],"container-title":"New England Journal of Medicine","id":"ITEM-1","issue":"19","issued":{"date-parts":[["2018"]]},"page":"1767-1777","title":"MRI-Targeted or Standard Biopsy for Prostate-Cancer Diagnosis","type":"article-journal","volume":"378"},"uris":["http://www.mendeley.com/documents/?uuid=39c632d4-4b1e-433e-9fa8-ed8af149e4c2"]}],"mendeley":{"formattedCitation":"(92)","plainTextFormattedCitation":"(92)","previouslyFormattedCitation":"(92)"},"properties":{"noteIndex":0},"schema":"https://github.com/citation-style-language/schema/raw/master/csl-citation.json"}</w:instrText>
      </w:r>
      <w:r w:rsidR="005D4784">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(92)</w:t>
      </w:r>
      <w:r w:rsidR="005D4784">
        <w:rPr>
          <w:rFonts w:asciiTheme="minorHAnsi" w:hAnsiTheme="minorHAnsi" w:cstheme="minorHAnsi"/>
          <w:sz w:val="22"/>
          <w:szCs w:val="22"/>
          <w:shd w:val="clear" w:color="auto" w:fill="FFFFFF"/>
        </w:rPr>
        <w:fldChar w:fldCharType="end"/>
      </w:r>
      <w:r w:rsidR="00F026E4">
        <w:rPr>
          <w:rFonts w:asciiTheme="minorHAnsi" w:hAnsiTheme="minorHAnsi" w:cstheme="minorHAnsi"/>
          <w:sz w:val="22"/>
          <w:szCs w:val="22"/>
          <w:shd w:val="clear" w:color="auto" w:fill="FFFFFF"/>
        </w:rPr>
        <w:t xml:space="preserve"> trials</w:t>
      </w:r>
      <w:r w:rsidR="008025B4">
        <w:rPr>
          <w:rFonts w:asciiTheme="minorHAnsi" w:hAnsiTheme="minorHAnsi" w:cstheme="minorHAnsi"/>
          <w:sz w:val="22"/>
          <w:szCs w:val="22"/>
          <w:shd w:val="clear" w:color="auto" w:fill="FFFFFF"/>
        </w:rPr>
        <w:t xml:space="preserve"> that</w:t>
      </w:r>
      <w:r w:rsidR="00F026E4">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highlight</w:t>
      </w:r>
      <w:r w:rsidR="008025B4">
        <w:rPr>
          <w:rFonts w:asciiTheme="minorHAnsi" w:hAnsiTheme="minorHAnsi" w:cstheme="minorHAnsi"/>
          <w:sz w:val="22"/>
          <w:szCs w:val="22"/>
          <w:shd w:val="clear" w:color="auto" w:fill="FFFFFF"/>
        </w:rPr>
        <w:t xml:space="preserve">ed </w:t>
      </w:r>
      <w:r w:rsidR="00F026E4">
        <w:rPr>
          <w:rFonts w:asciiTheme="minorHAnsi" w:hAnsiTheme="minorHAnsi" w:cstheme="minorHAnsi"/>
          <w:sz w:val="22"/>
          <w:szCs w:val="22"/>
          <w:shd w:val="clear" w:color="auto" w:fill="FFFFFF"/>
        </w:rPr>
        <w:t xml:space="preserve">that </w:t>
      </w:r>
      <w:r w:rsidR="003475DB">
        <w:rPr>
          <w:rFonts w:asciiTheme="minorHAnsi" w:hAnsiTheme="minorHAnsi" w:cstheme="minorHAnsi"/>
          <w:sz w:val="22"/>
          <w:szCs w:val="22"/>
          <w:shd w:val="clear" w:color="auto" w:fill="FFFFFF"/>
        </w:rPr>
        <w:t>non</w:t>
      </w:r>
      <w:r w:rsidR="004D6819">
        <w:rPr>
          <w:rFonts w:asciiTheme="minorHAnsi" w:hAnsiTheme="minorHAnsi" w:cstheme="minorHAnsi"/>
          <w:sz w:val="22"/>
          <w:szCs w:val="22"/>
          <w:shd w:val="clear" w:color="auto" w:fill="FFFFFF"/>
        </w:rPr>
        <w:t>-</w:t>
      </w:r>
      <w:r w:rsidR="003475DB">
        <w:rPr>
          <w:rFonts w:asciiTheme="minorHAnsi" w:hAnsiTheme="minorHAnsi" w:cstheme="minorHAnsi"/>
          <w:sz w:val="22"/>
          <w:szCs w:val="22"/>
          <w:shd w:val="clear" w:color="auto" w:fill="FFFFFF"/>
        </w:rPr>
        <w:t xml:space="preserve">parametric MRI </w:t>
      </w:r>
      <w:r w:rsidR="00693DD5">
        <w:rPr>
          <w:rFonts w:asciiTheme="minorHAnsi" w:hAnsiTheme="minorHAnsi" w:cstheme="minorHAnsi"/>
          <w:sz w:val="22"/>
          <w:szCs w:val="22"/>
          <w:shd w:val="clear" w:color="auto" w:fill="FFFFFF"/>
        </w:rPr>
        <w:t>increases</w:t>
      </w:r>
      <w:r w:rsidR="003475DB">
        <w:rPr>
          <w:rFonts w:asciiTheme="minorHAnsi" w:hAnsiTheme="minorHAnsi" w:cstheme="minorHAnsi"/>
          <w:sz w:val="22"/>
          <w:szCs w:val="22"/>
          <w:shd w:val="clear" w:color="auto" w:fill="FFFFFF"/>
        </w:rPr>
        <w:t xml:space="preserve"> the detection of clinically significant prostate cancer</w:t>
      </w:r>
      <w:r w:rsidR="007B11D4">
        <w:rPr>
          <w:rFonts w:asciiTheme="minorHAnsi" w:hAnsiTheme="minorHAnsi" w:cstheme="minorHAnsi"/>
          <w:sz w:val="22"/>
          <w:szCs w:val="22"/>
          <w:shd w:val="clear" w:color="auto" w:fill="FFFFFF"/>
        </w:rPr>
        <w:t xml:space="preserve">. </w:t>
      </w:r>
      <w:r w:rsidR="008025B4">
        <w:rPr>
          <w:rFonts w:asciiTheme="minorHAnsi" w:hAnsiTheme="minorHAnsi" w:cstheme="minorHAnsi"/>
          <w:sz w:val="22"/>
          <w:szCs w:val="22"/>
          <w:shd w:val="clear" w:color="auto" w:fill="FFFFFF"/>
        </w:rPr>
        <w:t xml:space="preserve">A </w:t>
      </w:r>
      <w:r w:rsidR="007B11D4">
        <w:rPr>
          <w:rFonts w:asciiTheme="minorHAnsi" w:hAnsiTheme="minorHAnsi" w:cstheme="minorHAnsi"/>
          <w:sz w:val="22"/>
          <w:szCs w:val="22"/>
          <w:shd w:val="clear" w:color="auto" w:fill="FFFFFF"/>
        </w:rPr>
        <w:t xml:space="preserve">EAU </w:t>
      </w:r>
      <w:r w:rsidR="00C14A11">
        <w:rPr>
          <w:rFonts w:asciiTheme="minorHAnsi" w:hAnsiTheme="minorHAnsi" w:cstheme="minorHAnsi"/>
          <w:sz w:val="22"/>
          <w:szCs w:val="22"/>
          <w:shd w:val="clear" w:color="auto" w:fill="FFFFFF"/>
        </w:rPr>
        <w:t>w</w:t>
      </w:r>
      <w:r w:rsidR="007B11D4">
        <w:rPr>
          <w:rFonts w:asciiTheme="minorHAnsi" w:hAnsiTheme="minorHAnsi" w:cstheme="minorHAnsi"/>
          <w:sz w:val="22"/>
          <w:szCs w:val="22"/>
          <w:shd w:val="clear" w:color="auto" w:fill="FFFFFF"/>
        </w:rPr>
        <w:t>hite paper</w:t>
      </w:r>
      <w:r w:rsidR="00C14A11">
        <w:rPr>
          <w:rFonts w:asciiTheme="minorHAnsi" w:hAnsiTheme="minorHAnsi" w:cstheme="minorHAnsi"/>
          <w:sz w:val="22"/>
          <w:szCs w:val="22"/>
          <w:shd w:val="clear" w:color="auto" w:fill="FFFFFF"/>
        </w:rPr>
        <w:t xml:space="preserve"> on prostate cancer</w:t>
      </w:r>
      <w:r w:rsidR="00A141AB">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{"citationItems":[{"id":"ITEM-1","itemData":{"author":[{"dropping-particle":"","family":"EAU","given":"","non-dropping-particle":"","parse-names":false,"suffix":""}],"id":"ITEM-1","issued":{"date-parts":[["2020"]]},"title":"White paper on prostate cancer","type":"report"},"uris":["http://www.mendeley.com/documents/?uuid=1c06c5af-eab9-3e4f-b76b-d866e733fe33"]}],"mendeley":{"formattedCitation":"(93)","plainTextFormattedCitation":"(93)","previouslyFormattedCitation":"(93)"},"properties":{"noteIndex":0},"schema":"https://github.com/citation-style-language/schema/raw/master/csl-citation.json"}</w:instrText>
      </w:r>
      <w:r w:rsidR="00A141AB">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(93)</w:t>
      </w:r>
      <w:r w:rsidR="00A141AB">
        <w:rPr>
          <w:rFonts w:asciiTheme="minorHAnsi" w:hAnsiTheme="minorHAnsi" w:cstheme="minorHAnsi"/>
          <w:sz w:val="22"/>
          <w:szCs w:val="22"/>
          <w:shd w:val="clear" w:color="auto" w:fill="FFFFFF"/>
        </w:rPr>
        <w:fldChar w:fldCharType="end"/>
      </w:r>
      <w:r w:rsidR="007B11D4">
        <w:rPr>
          <w:rFonts w:asciiTheme="minorHAnsi" w:hAnsiTheme="minorHAnsi" w:cstheme="minorHAnsi"/>
          <w:sz w:val="22"/>
          <w:szCs w:val="22"/>
          <w:shd w:val="clear" w:color="auto" w:fill="FFFFFF"/>
        </w:rPr>
        <w:t xml:space="preserve"> highlighted that the main criticism of prostate cancer screening is overdiagnosis and potentially overtreatment of prostate </w:t>
      </w:r>
      <w:r w:rsidR="00C14A11">
        <w:rPr>
          <w:rFonts w:asciiTheme="minorHAnsi" w:hAnsiTheme="minorHAnsi" w:cstheme="minorHAnsi"/>
          <w:sz w:val="22"/>
          <w:szCs w:val="22"/>
          <w:shd w:val="clear" w:color="auto" w:fill="FFFFFF"/>
        </w:rPr>
        <w:t>cancer,</w:t>
      </w:r>
      <w:r w:rsidR="007B11D4">
        <w:rPr>
          <w:rFonts w:asciiTheme="minorHAnsi" w:hAnsiTheme="minorHAnsi" w:cstheme="minorHAnsi"/>
          <w:sz w:val="22"/>
          <w:szCs w:val="22"/>
          <w:shd w:val="clear" w:color="auto" w:fill="FFFFFF"/>
        </w:rPr>
        <w:t xml:space="preserve"> but this </w:t>
      </w:r>
      <w:r w:rsidR="001649DA">
        <w:rPr>
          <w:rFonts w:asciiTheme="minorHAnsi" w:hAnsiTheme="minorHAnsi" w:cstheme="minorHAnsi"/>
          <w:sz w:val="22"/>
          <w:szCs w:val="22"/>
          <w:shd w:val="clear" w:color="auto" w:fill="FFFFFF"/>
        </w:rPr>
        <w:t xml:space="preserve">is a healthcare provider interpretation and there are no large studies on the patient </w:t>
      </w:r>
      <w:r w:rsidR="005D4784">
        <w:rPr>
          <w:rFonts w:asciiTheme="minorHAnsi" w:hAnsiTheme="minorHAnsi" w:cstheme="minorHAnsi"/>
          <w:sz w:val="22"/>
          <w:szCs w:val="22"/>
          <w:shd w:val="clear" w:color="auto" w:fill="FFFFFF"/>
        </w:rPr>
        <w:t>perspectives</w:t>
      </w:r>
      <w:r w:rsidR="001649DA">
        <w:rPr>
          <w:rFonts w:asciiTheme="minorHAnsi" w:hAnsiTheme="minorHAnsi" w:cstheme="minorHAnsi"/>
          <w:sz w:val="22"/>
          <w:szCs w:val="22"/>
          <w:shd w:val="clear" w:color="auto" w:fill="FFFFFF"/>
        </w:rPr>
        <w:t xml:space="preserve"> of overdiagnosis.</w:t>
      </w:r>
      <w:r w:rsidR="005D4784">
        <w:rPr>
          <w:rFonts w:asciiTheme="minorHAnsi" w:hAnsiTheme="minorHAnsi" w:cstheme="minorHAnsi"/>
          <w:sz w:val="22"/>
          <w:szCs w:val="22"/>
          <w:shd w:val="clear" w:color="auto" w:fill="FFFFFF"/>
        </w:rPr>
        <w:t xml:space="preserve"> Therefore, further research is needed to determine whether prostate cancer screening using MRI, PSA testing and prostate biopsies is</w:t>
      </w:r>
      <w:r w:rsidR="00C14A11">
        <w:rPr>
          <w:rFonts w:asciiTheme="minorHAnsi" w:hAnsiTheme="minorHAnsi" w:cstheme="minorHAnsi"/>
          <w:sz w:val="22"/>
          <w:szCs w:val="22"/>
          <w:shd w:val="clear" w:color="auto" w:fill="FFFFFF"/>
        </w:rPr>
        <w:t xml:space="preserve"> </w:t>
      </w:r>
      <w:r w:rsidR="005D4784">
        <w:rPr>
          <w:rFonts w:asciiTheme="minorHAnsi" w:hAnsiTheme="minorHAnsi" w:cstheme="minorHAnsi"/>
          <w:sz w:val="22"/>
          <w:szCs w:val="22"/>
          <w:shd w:val="clear" w:color="auto" w:fill="FFFFFF"/>
        </w:rPr>
        <w:t xml:space="preserve">financially </w:t>
      </w:r>
      <w:r w:rsidR="00C14A11">
        <w:rPr>
          <w:rFonts w:asciiTheme="minorHAnsi" w:hAnsiTheme="minorHAnsi" w:cstheme="minorHAnsi"/>
          <w:sz w:val="22"/>
          <w:szCs w:val="22"/>
          <w:shd w:val="clear" w:color="auto" w:fill="FFFFFF"/>
        </w:rPr>
        <w:t>feasible, acceptable to patients and reduces prostate cancer mortality.</w:t>
      </w:r>
      <w:r w:rsidR="00A141AB">
        <w:rPr>
          <w:rFonts w:asciiTheme="minorHAnsi" w:hAnsiTheme="minorHAnsi" w:cstheme="minorHAnsi"/>
          <w:sz w:val="22"/>
          <w:szCs w:val="22"/>
          <w:shd w:val="clear" w:color="auto" w:fill="FFFFFF"/>
        </w:rPr>
        <w:t xml:space="preserve"> Given that prostate cancer </w:t>
      </w:r>
      <w:r w:rsidR="00693DD5">
        <w:rPr>
          <w:rFonts w:asciiTheme="minorHAnsi" w:hAnsiTheme="minorHAnsi" w:cstheme="minorHAnsi"/>
          <w:sz w:val="22"/>
          <w:szCs w:val="22"/>
          <w:shd w:val="clear" w:color="auto" w:fill="FFFFFF"/>
        </w:rPr>
        <w:t>has the</w:t>
      </w:r>
      <w:r w:rsidR="00A141AB">
        <w:rPr>
          <w:rFonts w:asciiTheme="minorHAnsi" w:hAnsiTheme="minorHAnsi" w:cstheme="minorHAnsi"/>
          <w:sz w:val="22"/>
          <w:szCs w:val="22"/>
          <w:shd w:val="clear" w:color="auto" w:fill="FFFFFF"/>
        </w:rPr>
        <w:t xml:space="preserve"> third highest cancer incidence globally and contributed to 3.8% of all cancer deaths in 2020</w:t>
      </w:r>
      <w:r w:rsidR="00DB32C8">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{"citationItems":[{"id":"ITEM-1","itemData":{"DOI":"10.3322/CAAC.21660","ISSN":"1542-4863","abstract":"This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author":[{"dropping-particle":"","family":"Sung","given":"Hyuna","non-dropping-particle":"","parse-names":false,"suffix":""},{"dropping-particle":"","family":"Ferlay","given":"Jacques","non-dropping-particle":"","parse-names":false,"suffix":""},{"dropping-particle":"","family":"Siegel","given":"Rebecca L.","non-dropping-particle":"","parse-names":false,"suffix":""},{"dropping-particle":"","family":"Laversanne","given":"Mathieu","non-dropping-particle":"","parse-names":false,"suffix":""},{"dropping-particle":"","family":"Soerjomataram","given":"Isabelle","non-dropping-particle":"","parse-names":false,"suffix":""},{"dropping-particle":"","family":"Jemal","given":"Ahmedin","non-dropping-particle":"","parse-names":false,"suffix":""},{"dropping-particle":"","family":"Bray","given":"Freddie","non-dropping-particle":"","parse-names":false,"suffix":""}],"container-title":"CA: A Cancer Journal for Clinicians","id":"ITEM-1","issue":"3","issued":{"date-parts":[["2021"]]},"page":"209-249","title":"Global Cancer Statistics 2020: GLOBOCAN Estimates of Incidence and Mortality Worldwide for 36 Cancers in 185 Countries","type":"article-journal","volume":"71"},"uris":["http://www.mendeley.com/documents/?uuid=8793163c-7e9a-31c1-b004-eb7ea166bf9e"]}],"mendeley":{"formattedCitation":"(94)","plainTextFormattedCitation":"(94)","previouslyFormattedCitation":"(94)"},"properties":{"noteIndex":0},"schema":"https://github.com/citation-style-language/schema/raw/master/csl-citation.json"}</w:instrText>
      </w:r>
      <w:r w:rsidR="00DB32C8">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(94)</w:t>
      </w:r>
      <w:r w:rsidR="00DB32C8">
        <w:rPr>
          <w:rFonts w:asciiTheme="minorHAnsi" w:hAnsiTheme="minorHAnsi" w:cstheme="minorHAnsi"/>
          <w:sz w:val="22"/>
          <w:szCs w:val="22"/>
          <w:shd w:val="clear" w:color="auto" w:fill="FFFFFF"/>
        </w:rPr>
        <w:fldChar w:fldCharType="end"/>
      </w:r>
      <w:r w:rsidR="00A141AB">
        <w:rPr>
          <w:rFonts w:asciiTheme="minorHAnsi" w:hAnsiTheme="minorHAnsi" w:cstheme="minorHAnsi"/>
          <w:sz w:val="22"/>
          <w:szCs w:val="22"/>
          <w:shd w:val="clear" w:color="auto" w:fill="FFFFFF"/>
        </w:rPr>
        <w:t xml:space="preserve">, </w:t>
      </w:r>
      <w:r w:rsidR="00DB32C8">
        <w:rPr>
          <w:rFonts w:asciiTheme="minorHAnsi" w:hAnsiTheme="minorHAnsi" w:cstheme="minorHAnsi"/>
          <w:sz w:val="22"/>
          <w:szCs w:val="22"/>
          <w:shd w:val="clear" w:color="auto" w:fill="FFFFFF"/>
        </w:rPr>
        <w:t>a new approach of detecting early prostate cancer is needed and represents a potential male health screening programme that can reduce male mortality.</w:t>
      </w:r>
    </w:p>
    <w:p w14:paraId="2F5A23D0" w14:textId="77777777" w:rsidR="004C7E1A" w:rsidRDefault="004C7E1A" w:rsidP="00B66369">
      <w:pPr>
        <w:spacing w:line="480" w:lineRule="auto"/>
        <w:rPr>
          <w:rFonts w:asciiTheme="minorHAnsi" w:hAnsiTheme="minorHAnsi" w:cstheme="minorHAnsi"/>
          <w:sz w:val="22"/>
          <w:szCs w:val="22"/>
          <w:shd w:val="clear" w:color="auto" w:fill="FFFFFF"/>
        </w:rPr>
      </w:pPr>
    </w:p>
    <w:p w14:paraId="33E1C109" w14:textId="63314C34" w:rsidR="004C7E1A" w:rsidRDefault="004C7E1A" w:rsidP="00B66369">
      <w:pPr>
        <w:spacing w:line="480" w:lineRule="auto"/>
        <w:rPr>
          <w:rFonts w:asciiTheme="minorHAnsi" w:hAnsiTheme="minorHAnsi" w:cstheme="minorHAnsi"/>
          <w:b/>
          <w:color w:val="000000"/>
          <w:sz w:val="22"/>
          <w:szCs w:val="22"/>
        </w:rPr>
      </w:pPr>
      <w:r w:rsidRPr="00500FBD">
        <w:rPr>
          <w:rFonts w:asciiTheme="minorHAnsi" w:hAnsiTheme="minorHAnsi" w:cstheme="minorHAnsi"/>
          <w:b/>
          <w:sz w:val="22"/>
          <w:szCs w:val="22"/>
          <w:shd w:val="clear" w:color="auto" w:fill="FFFFFF"/>
        </w:rPr>
        <w:t>[H2] Health literacy</w:t>
      </w:r>
      <w:r>
        <w:rPr>
          <w:rFonts w:asciiTheme="minorHAnsi" w:hAnsiTheme="minorHAnsi" w:cstheme="minorHAnsi"/>
          <w:sz w:val="22"/>
          <w:szCs w:val="22"/>
          <w:shd w:val="clear" w:color="auto" w:fill="FFFFFF"/>
        </w:rPr>
        <w:t xml:space="preserve"> </w:t>
      </w:r>
    </w:p>
    <w:p w14:paraId="205D319A" w14:textId="0165E2D8" w:rsidR="00C17803" w:rsidRPr="004B0BC2" w:rsidRDefault="007523AA"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shd w:val="clear" w:color="auto" w:fill="FFFFFF"/>
        </w:rPr>
        <w:t xml:space="preserve">The </w:t>
      </w:r>
      <w:r w:rsidR="00552A3E" w:rsidRPr="004B0BC2">
        <w:rPr>
          <w:rFonts w:asciiTheme="minorHAnsi" w:hAnsiTheme="minorHAnsi" w:cstheme="minorHAnsi"/>
          <w:sz w:val="22"/>
          <w:szCs w:val="22"/>
          <w:shd w:val="clear" w:color="auto" w:fill="FFFFFF"/>
        </w:rPr>
        <w:t>influence</w:t>
      </w:r>
      <w:r w:rsidRPr="004B0BC2">
        <w:rPr>
          <w:rFonts w:asciiTheme="minorHAnsi" w:hAnsiTheme="minorHAnsi" w:cstheme="minorHAnsi"/>
          <w:sz w:val="22"/>
          <w:szCs w:val="22"/>
          <w:shd w:val="clear" w:color="auto" w:fill="FFFFFF"/>
        </w:rPr>
        <w:t xml:space="preserve"> of these institutional systems </w:t>
      </w:r>
      <w:r w:rsidR="00363E46" w:rsidRPr="004B0BC2">
        <w:rPr>
          <w:rFonts w:asciiTheme="minorHAnsi" w:hAnsiTheme="minorHAnsi" w:cstheme="minorHAnsi"/>
          <w:sz w:val="22"/>
          <w:szCs w:val="22"/>
          <w:shd w:val="clear" w:color="auto" w:fill="FFFFFF"/>
        </w:rPr>
        <w:t>is arguably</w:t>
      </w:r>
      <w:r w:rsidRPr="004B0BC2">
        <w:rPr>
          <w:rFonts w:asciiTheme="minorHAnsi" w:hAnsiTheme="minorHAnsi" w:cstheme="minorHAnsi"/>
          <w:sz w:val="22"/>
          <w:szCs w:val="22"/>
          <w:shd w:val="clear" w:color="auto" w:fill="FFFFFF"/>
        </w:rPr>
        <w:t xml:space="preserve"> </w:t>
      </w:r>
      <w:r w:rsidR="00F64D4A">
        <w:rPr>
          <w:rFonts w:asciiTheme="minorHAnsi" w:hAnsiTheme="minorHAnsi" w:cstheme="minorHAnsi"/>
          <w:sz w:val="22"/>
          <w:szCs w:val="22"/>
          <w:shd w:val="clear" w:color="auto" w:fill="FFFFFF"/>
        </w:rPr>
        <w:t xml:space="preserve">even </w:t>
      </w:r>
      <w:r w:rsidRPr="004B0BC2">
        <w:rPr>
          <w:rFonts w:asciiTheme="minorHAnsi" w:hAnsiTheme="minorHAnsi" w:cstheme="minorHAnsi"/>
          <w:sz w:val="22"/>
          <w:szCs w:val="22"/>
          <w:shd w:val="clear" w:color="auto" w:fill="FFFFFF"/>
        </w:rPr>
        <w:t>more</w:t>
      </w:r>
      <w:r w:rsidR="005F1DF9" w:rsidRPr="004B0BC2">
        <w:rPr>
          <w:rFonts w:asciiTheme="minorHAnsi" w:hAnsiTheme="minorHAnsi" w:cstheme="minorHAnsi"/>
          <w:sz w:val="22"/>
          <w:szCs w:val="22"/>
          <w:shd w:val="clear" w:color="auto" w:fill="FFFFFF"/>
        </w:rPr>
        <w:t xml:space="preserve"> </w:t>
      </w:r>
      <w:r w:rsidR="00F64D4A">
        <w:rPr>
          <w:rFonts w:asciiTheme="minorHAnsi" w:hAnsiTheme="minorHAnsi" w:cstheme="minorHAnsi"/>
          <w:sz w:val="22"/>
          <w:szCs w:val="22"/>
          <w:shd w:val="clear" w:color="auto" w:fill="FFFFFF"/>
        </w:rPr>
        <w:t>import</w:t>
      </w:r>
      <w:r w:rsidR="005C6ED1" w:rsidRPr="004B0BC2">
        <w:rPr>
          <w:rFonts w:asciiTheme="minorHAnsi" w:hAnsiTheme="minorHAnsi" w:cstheme="minorHAnsi"/>
          <w:sz w:val="22"/>
          <w:szCs w:val="22"/>
          <w:shd w:val="clear" w:color="auto" w:fill="FFFFFF"/>
        </w:rPr>
        <w:t>ant</w:t>
      </w:r>
      <w:r w:rsidRPr="004B0BC2">
        <w:rPr>
          <w:rFonts w:asciiTheme="minorHAnsi" w:hAnsiTheme="minorHAnsi" w:cstheme="minorHAnsi"/>
          <w:sz w:val="22"/>
          <w:szCs w:val="22"/>
          <w:shd w:val="clear" w:color="auto" w:fill="FFFFFF"/>
        </w:rPr>
        <w:t xml:space="preserve"> when we consider</w:t>
      </w:r>
      <w:r w:rsidR="00363E46" w:rsidRPr="004B0BC2">
        <w:rPr>
          <w:rFonts w:asciiTheme="minorHAnsi" w:hAnsiTheme="minorHAnsi" w:cstheme="minorHAnsi"/>
          <w:sz w:val="22"/>
          <w:szCs w:val="22"/>
          <w:shd w:val="clear" w:color="auto" w:fill="FFFFFF"/>
        </w:rPr>
        <w:t xml:space="preserve"> that </w:t>
      </w:r>
      <w:r w:rsidR="00165FFA" w:rsidRPr="004B0BC2">
        <w:rPr>
          <w:rFonts w:asciiTheme="minorHAnsi" w:hAnsiTheme="minorHAnsi" w:cstheme="minorHAnsi"/>
          <w:sz w:val="22"/>
          <w:szCs w:val="22"/>
          <w:shd w:val="clear" w:color="auto" w:fill="FFFFFF"/>
        </w:rPr>
        <w:t>increasing evidence suggest</w:t>
      </w:r>
      <w:r w:rsidR="00F64D4A">
        <w:rPr>
          <w:rFonts w:asciiTheme="minorHAnsi" w:hAnsiTheme="minorHAnsi" w:cstheme="minorHAnsi"/>
          <w:sz w:val="22"/>
          <w:szCs w:val="22"/>
          <w:shd w:val="clear" w:color="auto" w:fill="FFFFFF"/>
        </w:rPr>
        <w:t xml:space="preserve">s </w:t>
      </w:r>
      <w:r w:rsidR="00165FFA" w:rsidRPr="004B0BC2">
        <w:rPr>
          <w:rFonts w:asciiTheme="minorHAnsi" w:hAnsiTheme="minorHAnsi" w:cstheme="minorHAnsi"/>
          <w:sz w:val="22"/>
          <w:szCs w:val="22"/>
          <w:shd w:val="clear" w:color="auto" w:fill="FFFFFF"/>
        </w:rPr>
        <w:t>th</w:t>
      </w:r>
      <w:r w:rsidR="00F64D4A">
        <w:rPr>
          <w:rFonts w:asciiTheme="minorHAnsi" w:hAnsiTheme="minorHAnsi" w:cstheme="minorHAnsi"/>
          <w:sz w:val="22"/>
          <w:szCs w:val="22"/>
          <w:shd w:val="clear" w:color="auto" w:fill="FFFFFF"/>
        </w:rPr>
        <w:t>at</w:t>
      </w:r>
      <w:r w:rsidR="00165FFA" w:rsidRPr="004B0BC2">
        <w:rPr>
          <w:rFonts w:asciiTheme="minorHAnsi" w:hAnsiTheme="minorHAnsi" w:cstheme="minorHAnsi"/>
          <w:sz w:val="22"/>
          <w:szCs w:val="22"/>
          <w:shd w:val="clear" w:color="auto" w:fill="FFFFFF"/>
        </w:rPr>
        <w:t xml:space="preserve"> men have worse health literacy </w:t>
      </w:r>
      <w:r w:rsidR="00F64D4A">
        <w:rPr>
          <w:rFonts w:asciiTheme="minorHAnsi" w:hAnsiTheme="minorHAnsi" w:cstheme="minorHAnsi"/>
          <w:sz w:val="22"/>
          <w:szCs w:val="22"/>
          <w:shd w:val="clear" w:color="auto" w:fill="FFFFFF"/>
        </w:rPr>
        <w:t>than</w:t>
      </w:r>
      <w:r w:rsidR="00165FFA" w:rsidRPr="004B0BC2">
        <w:rPr>
          <w:rFonts w:asciiTheme="minorHAnsi" w:hAnsiTheme="minorHAnsi" w:cstheme="minorHAnsi"/>
          <w:sz w:val="22"/>
          <w:szCs w:val="22"/>
          <w:shd w:val="clear" w:color="auto" w:fill="FFFFFF"/>
        </w:rPr>
        <w:t xml:space="preserve"> women.</w:t>
      </w:r>
      <w:r w:rsidR="008279F6" w:rsidRPr="004B0BC2">
        <w:rPr>
          <w:rFonts w:asciiTheme="minorHAnsi" w:hAnsiTheme="minorHAnsi" w:cstheme="minorHAnsi"/>
          <w:sz w:val="22"/>
          <w:szCs w:val="22"/>
          <w:shd w:val="clear" w:color="auto" w:fill="FFFFFF"/>
        </w:rPr>
        <w:t xml:space="preserve"> </w:t>
      </w:r>
      <w:r w:rsidR="008279F6" w:rsidRPr="004B0BC2">
        <w:rPr>
          <w:rFonts w:asciiTheme="minorHAnsi" w:hAnsiTheme="minorHAnsi" w:cstheme="minorHAnsi"/>
          <w:sz w:val="22"/>
          <w:szCs w:val="22"/>
          <w:shd w:val="clear" w:color="auto" w:fill="FCFCFC"/>
        </w:rPr>
        <w:t xml:space="preserve">Health literacy is </w:t>
      </w:r>
      <w:r w:rsidR="00A73501" w:rsidRPr="004B0BC2">
        <w:rPr>
          <w:rFonts w:asciiTheme="minorHAnsi" w:hAnsiTheme="minorHAnsi" w:cstheme="minorHAnsi"/>
          <w:sz w:val="22"/>
          <w:szCs w:val="22"/>
          <w:shd w:val="clear" w:color="auto" w:fill="FCFCFC"/>
        </w:rPr>
        <w:t>defined</w:t>
      </w:r>
      <w:r w:rsidR="008279F6" w:rsidRPr="004B0BC2">
        <w:rPr>
          <w:rFonts w:asciiTheme="minorHAnsi" w:hAnsiTheme="minorHAnsi" w:cstheme="minorHAnsi"/>
          <w:sz w:val="22"/>
          <w:szCs w:val="22"/>
          <w:shd w:val="clear" w:color="auto" w:fill="FCFCFC"/>
        </w:rPr>
        <w:t xml:space="preserve"> as the cognitive and social skills </w:t>
      </w:r>
      <w:r w:rsidR="008D7871">
        <w:rPr>
          <w:rFonts w:asciiTheme="minorHAnsi" w:hAnsiTheme="minorHAnsi" w:cstheme="minorHAnsi"/>
          <w:sz w:val="22"/>
          <w:szCs w:val="22"/>
          <w:shd w:val="clear" w:color="auto" w:fill="FCFCFC"/>
        </w:rPr>
        <w:t>that</w:t>
      </w:r>
      <w:r w:rsidR="008D7871" w:rsidRPr="004B0BC2">
        <w:rPr>
          <w:rFonts w:asciiTheme="minorHAnsi" w:hAnsiTheme="minorHAnsi" w:cstheme="minorHAnsi"/>
          <w:sz w:val="22"/>
          <w:szCs w:val="22"/>
          <w:shd w:val="clear" w:color="auto" w:fill="FCFCFC"/>
        </w:rPr>
        <w:t xml:space="preserve"> </w:t>
      </w:r>
      <w:r w:rsidR="008279F6" w:rsidRPr="004B0BC2">
        <w:rPr>
          <w:rFonts w:asciiTheme="minorHAnsi" w:hAnsiTheme="minorHAnsi" w:cstheme="minorHAnsi"/>
          <w:sz w:val="22"/>
          <w:szCs w:val="22"/>
          <w:shd w:val="clear" w:color="auto" w:fill="FCFCFC"/>
        </w:rPr>
        <w:t xml:space="preserve">determine the motivation and ability of individuals to </w:t>
      </w:r>
      <w:r w:rsidR="008279F6" w:rsidRPr="004B0BC2">
        <w:rPr>
          <w:rFonts w:asciiTheme="minorHAnsi" w:hAnsiTheme="minorHAnsi" w:cstheme="minorHAnsi"/>
          <w:sz w:val="22"/>
          <w:szCs w:val="22"/>
          <w:shd w:val="clear" w:color="auto" w:fill="FCFCFC"/>
        </w:rPr>
        <w:lastRenderedPageBreak/>
        <w:t>gain access to, understand</w:t>
      </w:r>
      <w:r w:rsidR="008D7871">
        <w:rPr>
          <w:rFonts w:asciiTheme="minorHAnsi" w:hAnsiTheme="minorHAnsi" w:cstheme="minorHAnsi"/>
          <w:sz w:val="22"/>
          <w:szCs w:val="22"/>
          <w:shd w:val="clear" w:color="auto" w:fill="FCFCFC"/>
        </w:rPr>
        <w:t>,</w:t>
      </w:r>
      <w:r w:rsidR="008279F6" w:rsidRPr="004B0BC2">
        <w:rPr>
          <w:rFonts w:asciiTheme="minorHAnsi" w:hAnsiTheme="minorHAnsi" w:cstheme="minorHAnsi"/>
          <w:sz w:val="22"/>
          <w:szCs w:val="22"/>
          <w:shd w:val="clear" w:color="auto" w:fill="FCFCFC"/>
        </w:rPr>
        <w:t xml:space="preserve"> and use information in ways </w:t>
      </w:r>
      <w:r w:rsidR="008D7871">
        <w:rPr>
          <w:rFonts w:asciiTheme="minorHAnsi" w:hAnsiTheme="minorHAnsi" w:cstheme="minorHAnsi"/>
          <w:sz w:val="22"/>
          <w:szCs w:val="22"/>
          <w:shd w:val="clear" w:color="auto" w:fill="FCFCFC"/>
        </w:rPr>
        <w:t>that</w:t>
      </w:r>
      <w:r w:rsidR="008D7871" w:rsidRPr="004B0BC2">
        <w:rPr>
          <w:rFonts w:asciiTheme="minorHAnsi" w:hAnsiTheme="minorHAnsi" w:cstheme="minorHAnsi"/>
          <w:sz w:val="22"/>
          <w:szCs w:val="22"/>
          <w:shd w:val="clear" w:color="auto" w:fill="FCFCFC"/>
        </w:rPr>
        <w:t xml:space="preserve"> </w:t>
      </w:r>
      <w:r w:rsidR="008279F6" w:rsidRPr="004B0BC2">
        <w:rPr>
          <w:rFonts w:asciiTheme="minorHAnsi" w:hAnsiTheme="minorHAnsi" w:cstheme="minorHAnsi"/>
          <w:sz w:val="22"/>
          <w:szCs w:val="22"/>
          <w:shd w:val="clear" w:color="auto" w:fill="FCFCFC"/>
        </w:rPr>
        <w:t>promote and maintain good health</w:t>
      </w:r>
      <w:r w:rsidR="00094724" w:rsidRPr="004B0BC2">
        <w:rPr>
          <w:rFonts w:asciiTheme="minorHAnsi" w:hAnsiTheme="minorHAnsi" w:cstheme="minorHAnsi"/>
          <w:sz w:val="22"/>
          <w:szCs w:val="22"/>
          <w:shd w:val="clear" w:color="auto" w:fill="FCFCFC"/>
        </w:rPr>
        <w:fldChar w:fldCharType="begin" w:fldLock="1"/>
      </w:r>
      <w:r w:rsidR="00693DD5">
        <w:rPr>
          <w:rFonts w:asciiTheme="minorHAnsi" w:hAnsiTheme="minorHAnsi" w:cstheme="minorHAnsi"/>
          <w:sz w:val="22"/>
          <w:szCs w:val="22"/>
          <w:shd w:val="clear" w:color="auto" w:fill="FCFCFC"/>
        </w:rPr>
        <w:instrText>ADDIN CSL_CITATION {"citationItems":[{"id":"ITEM-1","itemData":{"DOI":"10.1186/1471-2296-13-44","ISSN":"14712296","PMID":"22639799","abstract":"Background: People with low health literacy may not have the capacity to self-manage their health and prevent the development of chronic disease through lifestyle risk factor modification. The aim of this narrative synthesis is to determine the effectiveness of primary healthcare providers in developing health literacy of patients to make SNAPW (smoking, nutrition, alcohol, physical activity and weight) lifestyle changes. Methods. Studies were identified by searching Medline, Embase, Cochrane Library, CINAHL, Joanna Briggs Institute, Psychinfo, Web of Science, Scopus, APAIS, Australian Medical Index, Community of Science and Google Scholar from 1 January 1985 to 30 April 2009. Health literacy and related concepts are poorly indexed in the databases so a list of text words were developed and tested for use. Hand searches were also conducted of four key journals. Studies published in English and included males and females aged 18 years and over with at least one SNAPW risk factor for the development of a chronic disease. The interventions had to be implemented within primary health care, with an aim to influence the health literacy of patients to make SNAPW lifestyle changes. The studies had to report an outcome measure associated with health literacy (knowledge, skills, attitudes, self efficacy, stages of change, motivation and patient activation) and SNAPW risk factor.The definition of health literacy in terms of functional, communicative and critical health literacy provided the guiding framework for the review. Results: 52 papers were included that described interventions to address health literacy and lifestyle risk factor modification provided by different health professionals. Most of the studies (71%, 37/52) demonstrated an improvement in health literacy, in particular interventions of a moderate to high intensity.Non medical health care providers were effective in improving health literacy. However this was confounded by intensity of intervention. Provider barriers impacted on their relationship with patients. Conclusion: Capacity to provide interventions of sufficient intensity is an important condition for effective health literacy support for lifestyle change. This has implications for workforce development and the organisation of primary health care. © 2012 Dennis et al.; licensee BioMed Central Ltd.","author":[{"dropping-particle":"","family":"Dennis","given":"Sarah","non-dropping-particle":"","parse-names":false,"suffix":""},{"dropping-particle":"","family":"Williams","given":"Anna","non-dropping-particle":"","parse-names":false,"suffix":""},{"dropping-particle":"","family":"Taggart","given":"Jane","non-dropping-particle":"","parse-names":false,"suffix":""},{"dropping-particle":"","family":"Newall","given":"Anthony","non-dropping-particle":"","parse-names":false,"suffix":""},{"dropping-particle":"","family":"Denney-Wilson","given":"Elizabeth","non-dropping-particle":"","parse-names":false,"suffix":""},{"dropping-particle":"","family":"Zwar","given":"Nicholas","non-dropping-particle":"","parse-names":false,"suffix":""},{"dropping-particle":"","family":"Shortus","given":"Tim","non-dropping-particle":"","parse-names":false,"suffix":""},{"dropping-particle":"","family":"Harris","given":"Mark F.","non-dropping-particle":"","parse-names":false,"suffix":""}],"container-title":"BMC Family Practice","id":"ITEM-1","issue":"44","issued":{"date-parts":[["2012"]]},"page":"1-29","title":"Which providers can bridge the health literacy gap in lifestyle risk factor modification education: A systematic review and narrative synthesis","type":"article-journal","volume":"13"},"uris":["http://www.mendeley.com/documents/?uuid=7682e8e2-438b-4e44-bc35-f86d92bacc70"]}],"mendeley":{"formattedCitation":"(95)","plainTextFormattedCitation":"(95)","previouslyFormattedCitation":"(95)"},"properties":{"noteIndex":0},"schema":"https://github.com/citation-style-language/schema/raw/master/csl-citation.json"}</w:instrText>
      </w:r>
      <w:r w:rsidR="00094724" w:rsidRPr="004B0BC2">
        <w:rPr>
          <w:rFonts w:asciiTheme="minorHAnsi" w:hAnsiTheme="minorHAnsi" w:cstheme="minorHAnsi"/>
          <w:sz w:val="22"/>
          <w:szCs w:val="22"/>
          <w:shd w:val="clear" w:color="auto" w:fill="FCFCFC"/>
        </w:rPr>
        <w:fldChar w:fldCharType="separate"/>
      </w:r>
      <w:r w:rsidR="00693DD5" w:rsidRPr="00693DD5">
        <w:rPr>
          <w:rFonts w:asciiTheme="minorHAnsi" w:hAnsiTheme="minorHAnsi" w:cstheme="minorHAnsi"/>
          <w:noProof/>
          <w:sz w:val="22"/>
          <w:szCs w:val="22"/>
          <w:shd w:val="clear" w:color="auto" w:fill="FCFCFC"/>
        </w:rPr>
        <w:t>(95)</w:t>
      </w:r>
      <w:r w:rsidR="00094724" w:rsidRPr="004B0BC2">
        <w:rPr>
          <w:rFonts w:asciiTheme="minorHAnsi" w:hAnsiTheme="minorHAnsi" w:cstheme="minorHAnsi"/>
          <w:sz w:val="22"/>
          <w:szCs w:val="22"/>
          <w:shd w:val="clear" w:color="auto" w:fill="FCFCFC"/>
        </w:rPr>
        <w:fldChar w:fldCharType="end"/>
      </w:r>
      <w:r w:rsidR="00094724" w:rsidRPr="004B0BC2">
        <w:rPr>
          <w:rFonts w:asciiTheme="minorHAnsi" w:hAnsiTheme="minorHAnsi" w:cstheme="minorHAnsi"/>
          <w:sz w:val="22"/>
          <w:szCs w:val="22"/>
          <w:shd w:val="clear" w:color="auto" w:fill="FCFCFC"/>
        </w:rPr>
        <w:fldChar w:fldCharType="begin" w:fldLock="1"/>
      </w:r>
      <w:r w:rsidR="00693DD5">
        <w:rPr>
          <w:rFonts w:asciiTheme="minorHAnsi" w:hAnsiTheme="minorHAnsi" w:cstheme="minorHAnsi"/>
          <w:sz w:val="22"/>
          <w:szCs w:val="22"/>
          <w:shd w:val="clear" w:color="auto" w:fill="FCFCFC"/>
        </w:rPr>
        <w:instrText>ADDIN CSL_CITATION {"citationItems":[{"id":"ITEM-1","itemData":{"DOI":"10.1093/heapro/15.3.183","ISSN":"09574824","author":[{"dropping-particle":"","family":"Nutbeam","given":"D.","non-dropping-particle":"","parse-names":false,"suffix":""},{"dropping-particle":"","family":"Kickbusch","given":"I.","non-dropping-particle":"","parse-names":false,"suffix":""}],"container-title":"Health Promotion International","id":"ITEM-1","issue":"3","issued":{"date-parts":[["2000"]]},"page":"183–184","title":"Advancing health literacy: A global challenge for the 21st century","type":"article-journal","volume":"15"},"uris":["http://www.mendeley.com/documents/?uuid=f3df1b7c-aeb8-4f84-a526-08adac84cc85"]}],"mendeley":{"formattedCitation":"(96)","plainTextFormattedCitation":"(96)","previouslyFormattedCitation":"(96)"},"properties":{"noteIndex":0},"schema":"https://github.com/citation-style-language/schema/raw/master/csl-citation.json"}</w:instrText>
      </w:r>
      <w:r w:rsidR="00094724" w:rsidRPr="004B0BC2">
        <w:rPr>
          <w:rFonts w:asciiTheme="minorHAnsi" w:hAnsiTheme="minorHAnsi" w:cstheme="minorHAnsi"/>
          <w:sz w:val="22"/>
          <w:szCs w:val="22"/>
          <w:shd w:val="clear" w:color="auto" w:fill="FCFCFC"/>
        </w:rPr>
        <w:fldChar w:fldCharType="separate"/>
      </w:r>
      <w:r w:rsidR="00693DD5" w:rsidRPr="00693DD5">
        <w:rPr>
          <w:rFonts w:asciiTheme="minorHAnsi" w:hAnsiTheme="minorHAnsi" w:cstheme="minorHAnsi"/>
          <w:noProof/>
          <w:sz w:val="22"/>
          <w:szCs w:val="22"/>
          <w:shd w:val="clear" w:color="auto" w:fill="FCFCFC"/>
        </w:rPr>
        <w:t>(96)</w:t>
      </w:r>
      <w:r w:rsidR="00094724" w:rsidRPr="004B0BC2">
        <w:rPr>
          <w:rFonts w:asciiTheme="minorHAnsi" w:hAnsiTheme="minorHAnsi" w:cstheme="minorHAnsi"/>
          <w:sz w:val="22"/>
          <w:szCs w:val="22"/>
          <w:shd w:val="clear" w:color="auto" w:fill="FCFCFC"/>
        </w:rPr>
        <w:fldChar w:fldCharType="end"/>
      </w:r>
      <w:r w:rsidR="008279F6" w:rsidRPr="004B0BC2">
        <w:rPr>
          <w:rFonts w:asciiTheme="minorHAnsi" w:hAnsiTheme="minorHAnsi" w:cstheme="minorHAnsi"/>
          <w:sz w:val="22"/>
          <w:szCs w:val="22"/>
          <w:shd w:val="clear" w:color="auto" w:fill="FCFCFC"/>
        </w:rPr>
        <w:t xml:space="preserve">. </w:t>
      </w:r>
      <w:r w:rsidR="008D7871">
        <w:rPr>
          <w:rFonts w:asciiTheme="minorHAnsi" w:hAnsiTheme="minorHAnsi" w:cstheme="minorHAnsi"/>
          <w:sz w:val="22"/>
          <w:szCs w:val="22"/>
          <w:shd w:val="clear" w:color="auto" w:fill="FCFCFC"/>
        </w:rPr>
        <w:t>A 2007 study</w:t>
      </w:r>
      <w:r w:rsidR="008279F6" w:rsidRPr="004B0BC2">
        <w:rPr>
          <w:rFonts w:asciiTheme="minorHAnsi" w:hAnsiTheme="minorHAnsi" w:cstheme="minorHAnsi"/>
          <w:sz w:val="22"/>
          <w:szCs w:val="22"/>
          <w:shd w:val="clear" w:color="auto" w:fill="FCFCFC"/>
        </w:rPr>
        <w:t xml:space="preserve"> assessed health literacy in 759 adults in the </w:t>
      </w:r>
      <w:r w:rsidR="00A73501" w:rsidRPr="004B0BC2">
        <w:rPr>
          <w:rFonts w:asciiTheme="minorHAnsi" w:hAnsiTheme="minorHAnsi" w:cstheme="minorHAnsi"/>
          <w:sz w:val="22"/>
          <w:szCs w:val="22"/>
          <w:shd w:val="clear" w:color="auto" w:fill="FCFCFC"/>
        </w:rPr>
        <w:t>UK</w:t>
      </w:r>
      <w:r w:rsidR="00C93AA9" w:rsidRPr="004B0BC2">
        <w:rPr>
          <w:rFonts w:asciiTheme="minorHAnsi" w:hAnsiTheme="minorHAnsi" w:cstheme="minorHAnsi"/>
          <w:sz w:val="22"/>
          <w:szCs w:val="22"/>
          <w:shd w:val="clear" w:color="auto" w:fill="FCFCFC"/>
        </w:rPr>
        <w:t xml:space="preserve"> using a modified </w:t>
      </w:r>
      <w:r w:rsidR="00C93AA9" w:rsidRPr="004B0BC2">
        <w:rPr>
          <w:rFonts w:asciiTheme="minorHAnsi" w:hAnsiTheme="minorHAnsi" w:cstheme="minorHAnsi"/>
          <w:sz w:val="22"/>
          <w:szCs w:val="22"/>
          <w:shd w:val="clear" w:color="auto" w:fill="FFFFFF"/>
        </w:rPr>
        <w:t>Test of Functional Health Literacy in Adults (TOFHLA)</w:t>
      </w:r>
      <w:r w:rsidR="00094724"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{"citationItems":[{"id":"ITEM-1","itemData":{"DOI":"10.1136/jech.2006.053967","ISSN":"0143005X","PMID":"18000132","abstract":"Objectives: To measure the prevalence of limited functional health literacy in the UK, and examine associations with health behaviours and self-rated health. Design: Psychometric testing using a British version of the Test of Functional Health Literacy in Adults (TOFHLA) in a population sample of adults. Setting: UK-wide interview survey (excluding Northern Ireland and the Scottish Isles). Participants: 759 adults (439 women, 320 men) aged 18-90 years (mean age = 47.6 years) selected using random location sampling. Main outcome measures: Functional health literacy, self-rated health, fruit and vegetable consumption, physical exercise and smoking. Results: We found that 11.4% of participants had either marginal or inadequate health literacy. Multivariable logistic regression analysis indicated that the risk of having limitations in health literacy increased with age (adjusted odds ratio 1.04; 95% confidence interval 1.02 to 1.06), being male (odds ratio = 2.04; 95% confidence interval 1.16 to 3.55), low educational attainment (odds ratio = 7.46; 95% confidence interval 3.35 to 16.58) and low income (odds ratio = 5.94; 95% confidence interval 1.87 to 18.89). In a second multivariable logistic regression analysis, every point higher on the health literacy scale increased the likelihood of eating at least five portions of fruit and vegetables a day (odds ratio = 1.02; 95% confidence interval 1.003 to 1.03), being a non-smoker (odds ratio = 1.02; 95% confidence interval 1.0003 to 1.03) and having good self-rated health (odds ratio = 1.02; 95% confidence interval 1.01 to 1.04), independently of age, education, gender, ethnicity and income. Conclusions: The results encourage efforts to monitor health literacy in the British population and examine associations with engagement with preventative health behaviours.","author":[{"dropping-particle":"","family":"Wagner","given":"Christian","non-dropping-particle":"Von","parse-names":false,"suffix":""},{"dropping-particle":"","family":"Knight","given":"Katherine","non-dropping-particle":"","parse-names":false,"suffix":""},{"dropping-particle":"","family":"Steptoe","given":"Andrew","non-dropping-particle":"","parse-names":false,"suffix":""},{"dropping-particle":"","family":"Wardle","given":"Jane","non-dropping-particle":"","parse-names":false,"suffix":""}],"container-title":"Journal of Epidemiology and Community Health","id":"ITEM-1","issue":"12","issued":{"date-parts":[["2007"]]},"page":"1086-90","title":"Functional health literacy and health-promoting behaviour in a national sample of British adults","type":"article-journal","volume":"61"},"uris":["http://www.mendeley.com/documents/?uuid=9d2a9e69-117b-4c97-8fce-c6826d9f1e6e"]}],"mendeley":{"formattedCitation":"(97)","plainTextFormattedCitation":"(97)","previouslyFormattedCitation":"(97)"},"properties":{"noteIndex":0},"schema":"https://github.com/citation-style-language/schema/raw/master/csl-citation.json"}</w:instrText>
      </w:r>
      <w:r w:rsidR="00094724"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(97)</w:t>
      </w:r>
      <w:r w:rsidR="00094724" w:rsidRPr="004B0BC2">
        <w:rPr>
          <w:rFonts w:asciiTheme="minorHAnsi" w:hAnsiTheme="minorHAnsi" w:cstheme="minorHAnsi"/>
          <w:sz w:val="22"/>
          <w:szCs w:val="22"/>
          <w:shd w:val="clear" w:color="auto" w:fill="FFFFFF"/>
        </w:rPr>
        <w:fldChar w:fldCharType="end"/>
      </w:r>
      <w:r w:rsidR="00C93AA9" w:rsidRPr="004B0BC2">
        <w:rPr>
          <w:rFonts w:asciiTheme="minorHAnsi" w:hAnsiTheme="minorHAnsi" w:cstheme="minorHAnsi"/>
          <w:sz w:val="22"/>
          <w:szCs w:val="22"/>
          <w:shd w:val="clear" w:color="auto" w:fill="FFFFFF"/>
        </w:rPr>
        <w:t>.</w:t>
      </w:r>
      <w:r w:rsidR="0002129B" w:rsidRPr="004B0BC2">
        <w:rPr>
          <w:rFonts w:asciiTheme="minorHAnsi" w:hAnsiTheme="minorHAnsi" w:cstheme="minorHAnsi"/>
          <w:sz w:val="22"/>
          <w:szCs w:val="22"/>
          <w:shd w:val="clear" w:color="auto" w:fill="FFFFFF"/>
        </w:rPr>
        <w:t xml:space="preserve"> The authors observed that </w:t>
      </w:r>
      <w:r w:rsidR="00C93AA9" w:rsidRPr="004B0BC2">
        <w:rPr>
          <w:rFonts w:asciiTheme="minorHAnsi" w:hAnsiTheme="minorHAnsi" w:cstheme="minorHAnsi"/>
          <w:sz w:val="22"/>
          <w:szCs w:val="22"/>
          <w:shd w:val="clear" w:color="auto" w:fill="FFFFFF"/>
        </w:rPr>
        <w:t xml:space="preserve">higher </w:t>
      </w:r>
      <w:r w:rsidR="005F1DF9" w:rsidRPr="004B0BC2">
        <w:rPr>
          <w:rFonts w:asciiTheme="minorHAnsi" w:hAnsiTheme="minorHAnsi" w:cstheme="minorHAnsi"/>
          <w:sz w:val="22"/>
          <w:szCs w:val="22"/>
          <w:shd w:val="clear" w:color="auto" w:fill="FFFFFF"/>
        </w:rPr>
        <w:t>scores</w:t>
      </w:r>
      <w:r w:rsidR="0002129B" w:rsidRPr="004B0BC2">
        <w:rPr>
          <w:rFonts w:asciiTheme="minorHAnsi" w:hAnsiTheme="minorHAnsi" w:cstheme="minorHAnsi"/>
          <w:sz w:val="22"/>
          <w:szCs w:val="22"/>
          <w:shd w:val="clear" w:color="auto" w:fill="FFFFFF"/>
        </w:rPr>
        <w:t xml:space="preserve"> </w:t>
      </w:r>
      <w:r w:rsidR="00C93AA9" w:rsidRPr="004B0BC2">
        <w:rPr>
          <w:rFonts w:asciiTheme="minorHAnsi" w:hAnsiTheme="minorHAnsi" w:cstheme="minorHAnsi"/>
          <w:sz w:val="22"/>
          <w:szCs w:val="22"/>
          <w:shd w:val="clear" w:color="auto" w:fill="FFFFFF"/>
        </w:rPr>
        <w:t>on the health literacy scale w</w:t>
      </w:r>
      <w:r w:rsidR="008D7871">
        <w:rPr>
          <w:rFonts w:asciiTheme="minorHAnsi" w:hAnsiTheme="minorHAnsi" w:cstheme="minorHAnsi"/>
          <w:sz w:val="22"/>
          <w:szCs w:val="22"/>
          <w:shd w:val="clear" w:color="auto" w:fill="FFFFFF"/>
        </w:rPr>
        <w:t>ere</w:t>
      </w:r>
      <w:r w:rsidR="00C93AA9" w:rsidRPr="004B0BC2">
        <w:rPr>
          <w:rFonts w:asciiTheme="minorHAnsi" w:hAnsiTheme="minorHAnsi" w:cstheme="minorHAnsi"/>
          <w:sz w:val="22"/>
          <w:szCs w:val="22"/>
          <w:shd w:val="clear" w:color="auto" w:fill="FFFFFF"/>
        </w:rPr>
        <w:t xml:space="preserve"> associated with a greater likelihood of eating at least five servings of fruit and vegetables a day (OR</w:t>
      </w:r>
      <w:r w:rsidR="00A55A3E" w:rsidRPr="004B0BC2">
        <w:rPr>
          <w:rFonts w:asciiTheme="minorHAnsi" w:hAnsiTheme="minorHAnsi" w:cstheme="minorHAnsi"/>
          <w:sz w:val="22"/>
          <w:szCs w:val="22"/>
          <w:shd w:val="clear" w:color="auto" w:fill="FFFFFF"/>
        </w:rPr>
        <w:t>:</w:t>
      </w:r>
      <w:r w:rsidR="00005E49" w:rsidRPr="004B0BC2">
        <w:rPr>
          <w:rFonts w:asciiTheme="minorHAnsi" w:hAnsiTheme="minorHAnsi" w:cstheme="minorHAnsi"/>
          <w:sz w:val="22"/>
          <w:szCs w:val="22"/>
          <w:shd w:val="clear" w:color="auto" w:fill="FFFFFF"/>
        </w:rPr>
        <w:t xml:space="preserve"> </w:t>
      </w:r>
      <w:r w:rsidR="00C93AA9" w:rsidRPr="004B0BC2">
        <w:rPr>
          <w:rFonts w:asciiTheme="minorHAnsi" w:hAnsiTheme="minorHAnsi" w:cstheme="minorHAnsi"/>
          <w:sz w:val="22"/>
          <w:szCs w:val="22"/>
          <w:shd w:val="clear" w:color="auto" w:fill="FFFFFF"/>
        </w:rPr>
        <w:t>1.02</w:t>
      </w:r>
      <w:r w:rsidR="00005E49"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 xml:space="preserve"> 95% CI</w:t>
      </w:r>
      <w:r w:rsidR="00A55A3E"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1.003</w:t>
      </w:r>
      <w:r w:rsidR="00A55A3E"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1.03)</w:t>
      </w:r>
      <w:r w:rsidR="0002129B" w:rsidRPr="004B0BC2">
        <w:rPr>
          <w:rFonts w:asciiTheme="minorHAnsi" w:hAnsiTheme="minorHAnsi" w:cstheme="minorHAnsi"/>
          <w:sz w:val="22"/>
          <w:szCs w:val="22"/>
          <w:shd w:val="clear" w:color="auto" w:fill="FFFFFF"/>
        </w:rPr>
        <w:t xml:space="preserve"> and</w:t>
      </w:r>
      <w:r w:rsidR="00C93AA9" w:rsidRPr="004B0BC2">
        <w:rPr>
          <w:rFonts w:asciiTheme="minorHAnsi" w:hAnsiTheme="minorHAnsi" w:cstheme="minorHAnsi"/>
          <w:sz w:val="22"/>
          <w:szCs w:val="22"/>
          <w:shd w:val="clear" w:color="auto" w:fill="FFFFFF"/>
        </w:rPr>
        <w:t xml:space="preserve"> non-smokers (OR</w:t>
      </w:r>
      <w:r w:rsidR="00A55A3E" w:rsidRPr="004B0BC2">
        <w:rPr>
          <w:rFonts w:asciiTheme="minorHAnsi" w:hAnsiTheme="minorHAnsi" w:cstheme="minorHAnsi"/>
          <w:sz w:val="22"/>
          <w:szCs w:val="22"/>
          <w:shd w:val="clear" w:color="auto" w:fill="FFFFFF"/>
        </w:rPr>
        <w:t xml:space="preserve">: </w:t>
      </w:r>
      <w:r w:rsidR="00C93AA9" w:rsidRPr="004B0BC2">
        <w:rPr>
          <w:rFonts w:asciiTheme="minorHAnsi" w:hAnsiTheme="minorHAnsi" w:cstheme="minorHAnsi"/>
          <w:sz w:val="22"/>
          <w:szCs w:val="22"/>
          <w:shd w:val="clear" w:color="auto" w:fill="FFFFFF"/>
        </w:rPr>
        <w:t>1.02</w:t>
      </w:r>
      <w:r w:rsidR="00A55A3E"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 xml:space="preserve"> 95% CI</w:t>
      </w:r>
      <w:r w:rsidR="00A55A3E"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1.0003</w:t>
      </w:r>
      <w:r w:rsidR="00A55A3E"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1.03). Men were more likely than women to fall into the limited health literacy category (OR</w:t>
      </w:r>
      <w:r w:rsidR="00A55A3E" w:rsidRPr="004B0BC2">
        <w:rPr>
          <w:rFonts w:asciiTheme="minorHAnsi" w:hAnsiTheme="minorHAnsi" w:cstheme="minorHAnsi"/>
          <w:sz w:val="22"/>
          <w:szCs w:val="22"/>
          <w:shd w:val="clear" w:color="auto" w:fill="FFFFFF"/>
        </w:rPr>
        <w:t xml:space="preserve">: </w:t>
      </w:r>
      <w:r w:rsidR="00C93AA9" w:rsidRPr="004B0BC2">
        <w:rPr>
          <w:rFonts w:asciiTheme="minorHAnsi" w:hAnsiTheme="minorHAnsi" w:cstheme="minorHAnsi"/>
          <w:sz w:val="22"/>
          <w:szCs w:val="22"/>
          <w:shd w:val="clear" w:color="auto" w:fill="FFFFFF"/>
        </w:rPr>
        <w:t>2.04</w:t>
      </w:r>
      <w:r w:rsidR="00A55A3E" w:rsidRPr="004B0BC2">
        <w:rPr>
          <w:rFonts w:asciiTheme="minorHAnsi" w:hAnsiTheme="minorHAnsi" w:cstheme="minorHAnsi"/>
          <w:sz w:val="22"/>
          <w:szCs w:val="22"/>
          <w:shd w:val="clear" w:color="auto" w:fill="FFFFFF"/>
        </w:rPr>
        <w:t xml:space="preserve">, </w:t>
      </w:r>
      <w:r w:rsidR="00C93AA9" w:rsidRPr="004B0BC2">
        <w:rPr>
          <w:rFonts w:asciiTheme="minorHAnsi" w:hAnsiTheme="minorHAnsi" w:cstheme="minorHAnsi"/>
          <w:sz w:val="22"/>
          <w:szCs w:val="22"/>
          <w:shd w:val="clear" w:color="auto" w:fill="FFFFFF"/>
        </w:rPr>
        <w:t>95% CI</w:t>
      </w:r>
      <w:r w:rsidR="00A55A3E"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1.16</w:t>
      </w:r>
      <w:r w:rsidR="00A55A3E"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3.55</w:t>
      </w:r>
      <w:r w:rsidR="00A55A3E" w:rsidRPr="004B0BC2">
        <w:rPr>
          <w:rFonts w:asciiTheme="minorHAnsi" w:hAnsiTheme="minorHAnsi" w:cstheme="minorHAnsi"/>
          <w:sz w:val="22"/>
          <w:szCs w:val="22"/>
          <w:shd w:val="clear" w:color="auto" w:fill="FFFFFF"/>
        </w:rPr>
        <w:t>,</w:t>
      </w:r>
      <w:r w:rsidR="00E322F9" w:rsidRPr="004B0BC2">
        <w:rPr>
          <w:rFonts w:asciiTheme="minorHAnsi" w:hAnsiTheme="minorHAnsi" w:cstheme="minorHAnsi"/>
          <w:sz w:val="22"/>
          <w:szCs w:val="22"/>
          <w:shd w:val="clear" w:color="auto" w:fill="FFFFFF"/>
        </w:rPr>
        <w:t xml:space="preserve"> p</w:t>
      </w:r>
      <w:r w:rsidR="00C93AA9" w:rsidRPr="004B0BC2">
        <w:rPr>
          <w:rFonts w:asciiTheme="minorHAnsi" w:hAnsiTheme="minorHAnsi" w:cstheme="minorHAnsi"/>
          <w:sz w:val="22"/>
          <w:szCs w:val="22"/>
          <w:shd w:val="clear" w:color="auto" w:fill="FFFFFF"/>
        </w:rPr>
        <w:t>&lt;0.05</w:t>
      </w:r>
      <w:r w:rsidR="0002129B" w:rsidRPr="004B0BC2">
        <w:rPr>
          <w:rFonts w:asciiTheme="minorHAnsi" w:hAnsiTheme="minorHAnsi" w:cstheme="minorHAnsi"/>
          <w:sz w:val="22"/>
          <w:szCs w:val="22"/>
          <w:shd w:val="clear" w:color="auto" w:fill="FFFFFF"/>
        </w:rPr>
        <w:t>)</w:t>
      </w:r>
      <w:r w:rsidR="00C93AA9" w:rsidRPr="004B0BC2">
        <w:rPr>
          <w:rFonts w:asciiTheme="minorHAnsi" w:hAnsiTheme="minorHAnsi" w:cstheme="minorHAnsi"/>
          <w:sz w:val="22"/>
          <w:szCs w:val="22"/>
          <w:shd w:val="clear" w:color="auto" w:fill="FFFFFF"/>
        </w:rPr>
        <w:t xml:space="preserve">. </w:t>
      </w:r>
      <w:r w:rsidR="008D7871">
        <w:rPr>
          <w:rFonts w:asciiTheme="minorHAnsi" w:hAnsiTheme="minorHAnsi" w:cstheme="minorHAnsi"/>
          <w:sz w:val="22"/>
          <w:szCs w:val="22"/>
          <w:shd w:val="clear" w:color="auto" w:fill="FFFFFF"/>
        </w:rPr>
        <w:t>A</w:t>
      </w:r>
      <w:r w:rsidR="0080643D">
        <w:rPr>
          <w:rFonts w:asciiTheme="minorHAnsi" w:hAnsiTheme="minorHAnsi" w:cstheme="minorHAnsi"/>
          <w:sz w:val="22"/>
          <w:szCs w:val="22"/>
          <w:shd w:val="clear" w:color="auto" w:fill="FFFFFF"/>
        </w:rPr>
        <w:t xml:space="preserve"> </w:t>
      </w:r>
      <w:r w:rsidR="008D7871">
        <w:rPr>
          <w:rFonts w:asciiTheme="minorHAnsi" w:hAnsiTheme="minorHAnsi" w:cstheme="minorHAnsi"/>
          <w:sz w:val="22"/>
          <w:szCs w:val="22"/>
          <w:shd w:val="clear" w:color="auto" w:fill="FFFFFF"/>
        </w:rPr>
        <w:t>2015 study includ</w:t>
      </w:r>
      <w:r w:rsidR="008D7871" w:rsidRPr="004B0BC2">
        <w:rPr>
          <w:rFonts w:asciiTheme="minorHAnsi" w:hAnsiTheme="minorHAnsi" w:cstheme="minorHAnsi"/>
          <w:sz w:val="22"/>
          <w:szCs w:val="22"/>
          <w:shd w:val="clear" w:color="auto" w:fill="FFFFFF"/>
        </w:rPr>
        <w:t xml:space="preserve">ed </w:t>
      </w:r>
      <w:r w:rsidR="007A6164" w:rsidRPr="004B0BC2">
        <w:rPr>
          <w:rFonts w:asciiTheme="minorHAnsi" w:hAnsiTheme="minorHAnsi" w:cstheme="minorHAnsi"/>
          <w:sz w:val="22"/>
          <w:szCs w:val="22"/>
          <w:shd w:val="clear" w:color="auto" w:fill="FFFFFF"/>
        </w:rPr>
        <w:t>a cross</w:t>
      </w:r>
      <w:r w:rsidR="00DD15CE" w:rsidRPr="004B0BC2">
        <w:rPr>
          <w:rFonts w:asciiTheme="minorHAnsi" w:hAnsiTheme="minorHAnsi" w:cstheme="minorHAnsi"/>
          <w:sz w:val="22"/>
          <w:szCs w:val="22"/>
          <w:shd w:val="clear" w:color="auto" w:fill="FFFFFF"/>
        </w:rPr>
        <w:t>-</w:t>
      </w:r>
      <w:r w:rsidR="007A6164" w:rsidRPr="004B0BC2">
        <w:rPr>
          <w:rFonts w:asciiTheme="minorHAnsi" w:hAnsiTheme="minorHAnsi" w:cstheme="minorHAnsi"/>
          <w:sz w:val="22"/>
          <w:szCs w:val="22"/>
          <w:shd w:val="clear" w:color="auto" w:fill="FFFFFF"/>
        </w:rPr>
        <w:t xml:space="preserve">sectional survey assessing the health literacy of 585 </w:t>
      </w:r>
      <w:r w:rsidR="00386209" w:rsidRPr="004B0BC2">
        <w:rPr>
          <w:rFonts w:asciiTheme="minorHAnsi" w:hAnsiTheme="minorHAnsi" w:cstheme="minorHAnsi"/>
          <w:sz w:val="22"/>
          <w:szCs w:val="22"/>
          <w:shd w:val="clear" w:color="auto" w:fill="FFFFFF"/>
        </w:rPr>
        <w:t>Korean</w:t>
      </w:r>
      <w:r w:rsidR="007A6164" w:rsidRPr="004B0BC2">
        <w:rPr>
          <w:rFonts w:asciiTheme="minorHAnsi" w:hAnsiTheme="minorHAnsi" w:cstheme="minorHAnsi"/>
          <w:sz w:val="22"/>
          <w:szCs w:val="22"/>
          <w:shd w:val="clear" w:color="auto" w:fill="FFFFFF"/>
        </w:rPr>
        <w:t xml:space="preserve"> adults using a self-reported health literacy questionnaire. The authors </w:t>
      </w:r>
      <w:r w:rsidR="00DF31BD" w:rsidRPr="004B0BC2">
        <w:rPr>
          <w:rFonts w:asciiTheme="minorHAnsi" w:hAnsiTheme="minorHAnsi" w:cstheme="minorHAnsi"/>
          <w:sz w:val="22"/>
          <w:szCs w:val="22"/>
          <w:shd w:val="clear" w:color="auto" w:fill="FFFFFF"/>
        </w:rPr>
        <w:t>reported that</w:t>
      </w:r>
      <w:r w:rsidR="008D7871">
        <w:rPr>
          <w:rFonts w:asciiTheme="minorHAnsi" w:hAnsiTheme="minorHAnsi" w:cstheme="minorHAnsi"/>
          <w:sz w:val="22"/>
          <w:szCs w:val="22"/>
          <w:shd w:val="clear" w:color="auto" w:fill="FFFFFF"/>
        </w:rPr>
        <w:t xml:space="preserve"> Korean</w:t>
      </w:r>
      <w:r w:rsidR="00DF31BD" w:rsidRPr="004B0BC2">
        <w:rPr>
          <w:rFonts w:asciiTheme="minorHAnsi" w:hAnsiTheme="minorHAnsi" w:cstheme="minorHAnsi"/>
          <w:sz w:val="22"/>
          <w:szCs w:val="22"/>
          <w:shd w:val="clear" w:color="auto" w:fill="FFFFFF"/>
        </w:rPr>
        <w:t xml:space="preserve"> </w:t>
      </w:r>
      <w:r w:rsidR="00A55A3E" w:rsidRPr="004B0BC2">
        <w:rPr>
          <w:rFonts w:asciiTheme="minorHAnsi" w:hAnsiTheme="minorHAnsi" w:cstheme="minorHAnsi"/>
          <w:sz w:val="22"/>
          <w:szCs w:val="22"/>
        </w:rPr>
        <w:t>men</w:t>
      </w:r>
      <w:r w:rsidR="00DF31BD" w:rsidRPr="004B0BC2">
        <w:rPr>
          <w:rFonts w:asciiTheme="minorHAnsi" w:hAnsiTheme="minorHAnsi" w:cstheme="minorHAnsi"/>
          <w:sz w:val="22"/>
          <w:szCs w:val="22"/>
        </w:rPr>
        <w:t xml:space="preserve"> were more likely to have an inadequate understanding of how to understand and fill out medical forms</w:t>
      </w:r>
      <w:r w:rsidR="00C2113A" w:rsidRPr="004B0BC2">
        <w:rPr>
          <w:rFonts w:asciiTheme="minorHAnsi" w:hAnsiTheme="minorHAnsi" w:cstheme="minorHAnsi"/>
          <w:sz w:val="22"/>
          <w:szCs w:val="22"/>
        </w:rPr>
        <w:t xml:space="preserve"> </w:t>
      </w:r>
      <w:r w:rsidR="00BA2B00" w:rsidRPr="004B0BC2">
        <w:rPr>
          <w:rFonts w:asciiTheme="minorHAnsi" w:hAnsiTheme="minorHAnsi" w:cstheme="minorHAnsi"/>
          <w:sz w:val="22"/>
          <w:szCs w:val="22"/>
        </w:rPr>
        <w:t xml:space="preserve">(p=0.037) and also more likely to have </w:t>
      </w:r>
      <w:r w:rsidR="008D7871">
        <w:rPr>
          <w:rFonts w:asciiTheme="minorHAnsi" w:hAnsiTheme="minorHAnsi" w:cstheme="minorHAnsi"/>
          <w:sz w:val="22"/>
          <w:szCs w:val="22"/>
        </w:rPr>
        <w:t xml:space="preserve">more </w:t>
      </w:r>
      <w:r w:rsidR="00BA2B00" w:rsidRPr="004B0BC2">
        <w:rPr>
          <w:rFonts w:asciiTheme="minorHAnsi" w:hAnsiTheme="minorHAnsi" w:cstheme="minorHAnsi"/>
          <w:sz w:val="22"/>
          <w:szCs w:val="22"/>
        </w:rPr>
        <w:t>difficulty understanding the directions on medication bottles</w:t>
      </w:r>
      <w:r w:rsidR="00DF31BD" w:rsidRPr="004B0BC2">
        <w:rPr>
          <w:rFonts w:asciiTheme="minorHAnsi" w:hAnsiTheme="minorHAnsi" w:cstheme="minorHAnsi"/>
          <w:sz w:val="22"/>
          <w:szCs w:val="22"/>
        </w:rPr>
        <w:t xml:space="preserve"> than </w:t>
      </w:r>
      <w:r w:rsidR="00A55A3E" w:rsidRPr="004B0BC2">
        <w:rPr>
          <w:rFonts w:asciiTheme="minorHAnsi" w:hAnsiTheme="minorHAnsi" w:cstheme="minorHAnsi"/>
          <w:sz w:val="22"/>
          <w:szCs w:val="22"/>
        </w:rPr>
        <w:t>women</w:t>
      </w:r>
      <w:r w:rsidR="00DF31BD" w:rsidRPr="004B0BC2">
        <w:rPr>
          <w:rFonts w:asciiTheme="minorHAnsi" w:hAnsiTheme="minorHAnsi" w:cstheme="minorHAnsi"/>
          <w:sz w:val="22"/>
          <w:szCs w:val="22"/>
        </w:rPr>
        <w:t xml:space="preserve"> (p = </w:t>
      </w:r>
      <w:r w:rsidR="00BA2B00" w:rsidRPr="004B0BC2">
        <w:rPr>
          <w:rFonts w:asciiTheme="minorHAnsi" w:hAnsiTheme="minorHAnsi" w:cstheme="minorHAnsi"/>
          <w:sz w:val="22"/>
          <w:szCs w:val="22"/>
        </w:rPr>
        <w:t>0</w:t>
      </w:r>
      <w:r w:rsidR="00DF31BD" w:rsidRPr="004B0BC2">
        <w:rPr>
          <w:rFonts w:asciiTheme="minorHAnsi" w:hAnsiTheme="minorHAnsi" w:cstheme="minorHAnsi"/>
          <w:sz w:val="22"/>
          <w:szCs w:val="22"/>
        </w:rPr>
        <w:t xml:space="preserve">.023). </w:t>
      </w:r>
      <w:r w:rsidR="00BA2B00" w:rsidRPr="004B0BC2">
        <w:rPr>
          <w:rFonts w:asciiTheme="minorHAnsi" w:hAnsiTheme="minorHAnsi" w:cstheme="minorHAnsi"/>
          <w:sz w:val="22"/>
          <w:szCs w:val="22"/>
        </w:rPr>
        <w:t>Moreover</w:t>
      </w:r>
      <w:r w:rsidR="005F1DF9" w:rsidRPr="004B0BC2">
        <w:rPr>
          <w:rFonts w:asciiTheme="minorHAnsi" w:hAnsiTheme="minorHAnsi" w:cstheme="minorHAnsi"/>
          <w:sz w:val="22"/>
          <w:szCs w:val="22"/>
        </w:rPr>
        <w:t>,</w:t>
      </w:r>
      <w:r w:rsidR="00DF31BD" w:rsidRPr="004B0BC2">
        <w:rPr>
          <w:rFonts w:asciiTheme="minorHAnsi" w:hAnsiTheme="minorHAnsi" w:cstheme="minorHAnsi"/>
          <w:sz w:val="22"/>
          <w:szCs w:val="22"/>
        </w:rPr>
        <w:t xml:space="preserve"> </w:t>
      </w:r>
      <w:r w:rsidR="005F1DF9" w:rsidRPr="004B0BC2">
        <w:rPr>
          <w:rFonts w:asciiTheme="minorHAnsi" w:hAnsiTheme="minorHAnsi" w:cstheme="minorHAnsi"/>
          <w:sz w:val="22"/>
          <w:szCs w:val="22"/>
        </w:rPr>
        <w:t>women</w:t>
      </w:r>
      <w:r w:rsidR="00DF31BD" w:rsidRPr="004B0BC2">
        <w:rPr>
          <w:rFonts w:asciiTheme="minorHAnsi" w:hAnsiTheme="minorHAnsi" w:cstheme="minorHAnsi"/>
          <w:sz w:val="22"/>
          <w:szCs w:val="22"/>
        </w:rPr>
        <w:t xml:space="preserve"> </w:t>
      </w:r>
      <w:r w:rsidR="00BA2B00" w:rsidRPr="004B0BC2">
        <w:rPr>
          <w:rFonts w:asciiTheme="minorHAnsi" w:hAnsiTheme="minorHAnsi" w:cstheme="minorHAnsi"/>
          <w:sz w:val="22"/>
          <w:szCs w:val="22"/>
        </w:rPr>
        <w:t>were noted to have a better understanding</w:t>
      </w:r>
      <w:r w:rsidR="00DF31BD" w:rsidRPr="004B0BC2">
        <w:rPr>
          <w:rFonts w:asciiTheme="minorHAnsi" w:hAnsiTheme="minorHAnsi" w:cstheme="minorHAnsi"/>
          <w:sz w:val="22"/>
          <w:szCs w:val="22"/>
        </w:rPr>
        <w:t xml:space="preserve"> </w:t>
      </w:r>
      <w:r w:rsidR="008D7871">
        <w:rPr>
          <w:rFonts w:asciiTheme="minorHAnsi" w:hAnsiTheme="minorHAnsi" w:cstheme="minorHAnsi"/>
          <w:sz w:val="22"/>
          <w:szCs w:val="22"/>
        </w:rPr>
        <w:t xml:space="preserve">than men </w:t>
      </w:r>
      <w:r w:rsidR="00BA2B00" w:rsidRPr="004B0BC2">
        <w:rPr>
          <w:rFonts w:asciiTheme="minorHAnsi" w:hAnsiTheme="minorHAnsi" w:cstheme="minorHAnsi"/>
          <w:sz w:val="22"/>
          <w:szCs w:val="22"/>
        </w:rPr>
        <w:t xml:space="preserve">of documentation </w:t>
      </w:r>
      <w:r w:rsidR="00DF31BD" w:rsidRPr="004B0BC2">
        <w:rPr>
          <w:rFonts w:asciiTheme="minorHAnsi" w:hAnsiTheme="minorHAnsi" w:cstheme="minorHAnsi"/>
          <w:sz w:val="22"/>
          <w:szCs w:val="22"/>
        </w:rPr>
        <w:t>from a health</w:t>
      </w:r>
      <w:r w:rsidR="008D7871">
        <w:rPr>
          <w:rFonts w:asciiTheme="minorHAnsi" w:hAnsiTheme="minorHAnsi" w:cstheme="minorHAnsi"/>
          <w:sz w:val="22"/>
          <w:szCs w:val="22"/>
        </w:rPr>
        <w:t>-</w:t>
      </w:r>
      <w:r w:rsidR="00DF31BD" w:rsidRPr="004B0BC2">
        <w:rPr>
          <w:rFonts w:asciiTheme="minorHAnsi" w:hAnsiTheme="minorHAnsi" w:cstheme="minorHAnsi"/>
          <w:sz w:val="22"/>
          <w:szCs w:val="22"/>
        </w:rPr>
        <w:t>care provider</w:t>
      </w:r>
      <w:r w:rsidR="005F1DF9" w:rsidRPr="004B0BC2">
        <w:rPr>
          <w:rFonts w:asciiTheme="minorHAnsi" w:hAnsiTheme="minorHAnsi" w:cstheme="minorHAnsi"/>
          <w:sz w:val="22"/>
          <w:szCs w:val="22"/>
        </w:rPr>
        <w:t xml:space="preserve"> </w:t>
      </w:r>
      <w:r w:rsidR="00DF31BD" w:rsidRPr="004B0BC2">
        <w:rPr>
          <w:rFonts w:asciiTheme="minorHAnsi" w:hAnsiTheme="minorHAnsi" w:cstheme="minorHAnsi"/>
          <w:sz w:val="22"/>
          <w:szCs w:val="22"/>
        </w:rPr>
        <w:t>(p=</w:t>
      </w:r>
      <w:r w:rsidR="00BA2B00" w:rsidRPr="004B0BC2">
        <w:rPr>
          <w:rFonts w:asciiTheme="minorHAnsi" w:hAnsiTheme="minorHAnsi" w:cstheme="minorHAnsi"/>
          <w:sz w:val="22"/>
          <w:szCs w:val="22"/>
        </w:rPr>
        <w:t>0</w:t>
      </w:r>
      <w:r w:rsidR="00DF31BD" w:rsidRPr="004B0BC2">
        <w:rPr>
          <w:rFonts w:asciiTheme="minorHAnsi" w:hAnsiTheme="minorHAnsi" w:cstheme="minorHAnsi"/>
          <w:sz w:val="22"/>
          <w:szCs w:val="22"/>
        </w:rPr>
        <w:t>.007).</w:t>
      </w:r>
      <w:r w:rsidR="008D7871">
        <w:rPr>
          <w:rFonts w:asciiTheme="minorHAnsi" w:hAnsiTheme="minorHAnsi" w:cstheme="minorHAnsi"/>
          <w:sz w:val="22"/>
          <w:szCs w:val="22"/>
        </w:rPr>
        <w:t xml:space="preserve"> In an indirect measurement of health literacy, </w:t>
      </w:r>
      <w:r w:rsidR="00DF31BD" w:rsidRPr="004B0BC2">
        <w:rPr>
          <w:rFonts w:asciiTheme="minorHAnsi" w:hAnsiTheme="minorHAnsi" w:cstheme="minorHAnsi"/>
          <w:sz w:val="22"/>
          <w:szCs w:val="22"/>
        </w:rPr>
        <w:t xml:space="preserve">a </w:t>
      </w:r>
      <w:r w:rsidR="00DF31BD" w:rsidRPr="004B0BC2">
        <w:rPr>
          <w:rFonts w:asciiTheme="minorHAnsi" w:hAnsiTheme="minorHAnsi" w:cstheme="minorHAnsi"/>
          <w:sz w:val="22"/>
          <w:szCs w:val="22"/>
          <w:shd w:val="clear" w:color="auto" w:fill="FFFFFF"/>
        </w:rPr>
        <w:t xml:space="preserve">population-based survey of 2216 adults to assess </w:t>
      </w:r>
      <w:r w:rsidR="00C17803" w:rsidRPr="004B0BC2">
        <w:rPr>
          <w:rFonts w:asciiTheme="minorHAnsi" w:hAnsiTheme="minorHAnsi" w:cstheme="minorHAnsi"/>
          <w:sz w:val="22"/>
          <w:szCs w:val="22"/>
          <w:shd w:val="clear" w:color="auto" w:fill="FFFFFF"/>
        </w:rPr>
        <w:t xml:space="preserve">public awareness of cancer warning signs in </w:t>
      </w:r>
      <w:r w:rsidR="002A6B86" w:rsidRPr="004B0BC2">
        <w:rPr>
          <w:rFonts w:asciiTheme="minorHAnsi" w:hAnsiTheme="minorHAnsi" w:cstheme="minorHAnsi"/>
          <w:sz w:val="22"/>
          <w:szCs w:val="22"/>
          <w:shd w:val="clear" w:color="auto" w:fill="FFFFFF"/>
        </w:rPr>
        <w:t>a</w:t>
      </w:r>
      <w:r w:rsidR="00C17803" w:rsidRPr="004B0BC2">
        <w:rPr>
          <w:rFonts w:asciiTheme="minorHAnsi" w:hAnsiTheme="minorHAnsi" w:cstheme="minorHAnsi"/>
          <w:sz w:val="22"/>
          <w:szCs w:val="22"/>
          <w:shd w:val="clear" w:color="auto" w:fill="FFFFFF"/>
        </w:rPr>
        <w:t xml:space="preserve"> British population</w:t>
      </w:r>
      <w:r w:rsidR="008D7871">
        <w:rPr>
          <w:rFonts w:asciiTheme="minorHAnsi" w:hAnsiTheme="minorHAnsi" w:cstheme="minorHAnsi"/>
          <w:sz w:val="22"/>
          <w:szCs w:val="22"/>
          <w:shd w:val="clear" w:color="auto" w:fill="FFFFFF"/>
        </w:rPr>
        <w:t xml:space="preserve"> found that w</w:t>
      </w:r>
      <w:r w:rsidR="00C17803" w:rsidRPr="004B0BC2">
        <w:rPr>
          <w:rFonts w:asciiTheme="minorHAnsi" w:hAnsiTheme="minorHAnsi" w:cstheme="minorHAnsi"/>
          <w:sz w:val="22"/>
          <w:szCs w:val="22"/>
          <w:shd w:val="clear" w:color="auto" w:fill="FFFFFF"/>
        </w:rPr>
        <w:t>omen recognised</w:t>
      </w:r>
      <w:r w:rsidR="002A6B86" w:rsidRPr="004B0BC2">
        <w:rPr>
          <w:rFonts w:asciiTheme="minorHAnsi" w:hAnsiTheme="minorHAnsi" w:cstheme="minorHAnsi"/>
          <w:sz w:val="22"/>
          <w:szCs w:val="22"/>
          <w:shd w:val="clear" w:color="auto" w:fill="FFFFFF"/>
        </w:rPr>
        <w:t xml:space="preserve"> more re</w:t>
      </w:r>
      <w:r w:rsidR="00386209" w:rsidRPr="004B0BC2">
        <w:rPr>
          <w:rFonts w:asciiTheme="minorHAnsi" w:hAnsiTheme="minorHAnsi" w:cstheme="minorHAnsi"/>
          <w:sz w:val="22"/>
          <w:szCs w:val="22"/>
          <w:shd w:val="clear" w:color="auto" w:fill="FFFFFF"/>
        </w:rPr>
        <w:t>d</w:t>
      </w:r>
      <w:r w:rsidR="002A6B86" w:rsidRPr="004B0BC2">
        <w:rPr>
          <w:rFonts w:asciiTheme="minorHAnsi" w:hAnsiTheme="minorHAnsi" w:cstheme="minorHAnsi"/>
          <w:sz w:val="22"/>
          <w:szCs w:val="22"/>
          <w:shd w:val="clear" w:color="auto" w:fill="FFFFFF"/>
        </w:rPr>
        <w:t xml:space="preserve"> flag symptoms of cancer than men (</w:t>
      </w:r>
      <w:r w:rsidR="00C17803" w:rsidRPr="004B0BC2">
        <w:rPr>
          <w:rFonts w:asciiTheme="minorHAnsi" w:hAnsiTheme="minorHAnsi" w:cstheme="minorHAnsi"/>
          <w:sz w:val="22"/>
          <w:szCs w:val="22"/>
          <w:shd w:val="clear" w:color="auto" w:fill="FFFFFF"/>
        </w:rPr>
        <w:t xml:space="preserve">7.4 </w:t>
      </w:r>
      <w:r w:rsidR="002A6B86" w:rsidRPr="004B0BC2">
        <w:rPr>
          <w:rFonts w:asciiTheme="minorHAnsi" w:hAnsiTheme="minorHAnsi" w:cstheme="minorHAnsi"/>
          <w:sz w:val="22"/>
          <w:szCs w:val="22"/>
          <w:shd w:val="clear" w:color="auto" w:fill="FFFFFF"/>
        </w:rPr>
        <w:t>v</w:t>
      </w:r>
      <w:r w:rsidR="00754C06">
        <w:rPr>
          <w:rFonts w:asciiTheme="minorHAnsi" w:hAnsiTheme="minorHAnsi" w:cstheme="minorHAnsi"/>
          <w:sz w:val="22"/>
          <w:szCs w:val="22"/>
          <w:shd w:val="clear" w:color="auto" w:fill="FFFFFF"/>
        </w:rPr>
        <w:t>ersu</w:t>
      </w:r>
      <w:r w:rsidR="002A6B86" w:rsidRPr="004B0BC2">
        <w:rPr>
          <w:rFonts w:asciiTheme="minorHAnsi" w:hAnsiTheme="minorHAnsi" w:cstheme="minorHAnsi"/>
          <w:sz w:val="22"/>
          <w:szCs w:val="22"/>
          <w:shd w:val="clear" w:color="auto" w:fill="FFFFFF"/>
        </w:rPr>
        <w:t>s</w:t>
      </w:r>
      <w:r w:rsidR="00C17803" w:rsidRPr="004B0BC2">
        <w:rPr>
          <w:rFonts w:asciiTheme="minorHAnsi" w:hAnsiTheme="minorHAnsi" w:cstheme="minorHAnsi"/>
          <w:sz w:val="22"/>
          <w:szCs w:val="22"/>
          <w:shd w:val="clear" w:color="auto" w:fill="FFFFFF"/>
        </w:rPr>
        <w:t xml:space="preserve"> 7.0</w:t>
      </w:r>
      <w:r w:rsidR="00DD15CE" w:rsidRPr="004B0BC2">
        <w:rPr>
          <w:rFonts w:asciiTheme="minorHAnsi" w:hAnsiTheme="minorHAnsi" w:cstheme="minorHAnsi"/>
          <w:sz w:val="22"/>
          <w:szCs w:val="22"/>
          <w:shd w:val="clear" w:color="auto" w:fill="FFFFFF"/>
        </w:rPr>
        <w:t>,</w:t>
      </w:r>
      <w:r w:rsidR="00C17803" w:rsidRPr="004B0BC2">
        <w:rPr>
          <w:rFonts w:asciiTheme="minorHAnsi" w:hAnsiTheme="minorHAnsi" w:cstheme="minorHAnsi"/>
          <w:sz w:val="22"/>
          <w:szCs w:val="22"/>
          <w:shd w:val="clear" w:color="auto" w:fill="FFFFFF"/>
        </w:rPr>
        <w:t xml:space="preserve"> </w:t>
      </w:r>
      <w:r w:rsidR="00E322F9" w:rsidRPr="004B0BC2">
        <w:rPr>
          <w:rStyle w:val="Emphasis"/>
          <w:rFonts w:asciiTheme="minorHAnsi" w:hAnsiTheme="minorHAnsi" w:cstheme="minorHAnsi"/>
          <w:i w:val="0"/>
          <w:iCs w:val="0"/>
          <w:sz w:val="22"/>
          <w:szCs w:val="22"/>
          <w:shd w:val="clear" w:color="auto" w:fill="FFFFFF"/>
        </w:rPr>
        <w:t>p</w:t>
      </w:r>
      <w:r w:rsidR="00C17803" w:rsidRPr="004B0BC2">
        <w:rPr>
          <w:rFonts w:asciiTheme="minorHAnsi" w:hAnsiTheme="minorHAnsi" w:cstheme="minorHAnsi"/>
          <w:sz w:val="22"/>
          <w:szCs w:val="22"/>
          <w:shd w:val="clear" w:color="auto" w:fill="FFFFFF"/>
        </w:rPr>
        <w:t>&lt;0.001)</w:t>
      </w:r>
      <w:r w:rsidR="00386209"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{"citationItems":[{"id":"ITEM-1","itemData":{"DOI":"10.1038/sj.bjc.6605386","ISSN":"15321827","PMID":"19956158","abstract":"Objective:To assess public awareness of cancer warning signs, anticipated delay and perceived barriers to seeking medical advice in the British population.Methods:We carried out a population-based survey using face-to-face, computer-assisted interviews to administer the cancer awareness measure (CAM), a newly developed, validated measure of cancer awareness. The sample included 2216 adults (970 males and 1246 females) recruited as part of the Office for National Statistics Opinions Survey using stratified probability sampling.Results:Awareness of cancer warning signs was low when open-ended (recall) questions were used and higher with closed (recognition) questions; but on either measure, awareness was lower in those who were male, younger, and from lower socio-economic status (SES) groups or ethnic minorities. The most commonly endorsed barriers to help seeking were difficulty making an appointment, worry about wasting the doctor's time and worry about what would be found. Emotional barriers were more prominent in lower SES groups and practical barriers (e.g. too busy) more prominent in higher SES groups. Anticipated delay was lower in ethnic minority and lower SES groups. In multivariate analysis, higher symptom awareness was associated with lower anticipated delay, and more barriers with greater anticipated delay.Conclusions:A combination of public education about symptoms and empowerment to seek medical advice, as well as support at primary care level, could enhance early presentation and improve cancer outcomes. © 2009 Cancer Research UK All rights reserved.","author":[{"dropping-particle":"","family":"Robb","given":"K.","non-dropping-particle":"","parse-names":false,"suffix":""},{"dropping-particle":"","family":"Stubbings","given":"S.","non-dropping-particle":"","parse-names":false,"suffix":""},{"dropping-particle":"","family":"Ramirez","given":"A.","non-dropping-particle":"","parse-names":false,"suffix":""},{"dropping-particle":"","family":"Macleod","given":"U.","non-dropping-particle":"","parse-names":false,"suffix":""},{"dropping-particle":"","family":"Austoker","given":"J.","non-dropping-particle":"","parse-names":false,"suffix":""},{"dropping-particle":"","family":"Waller","given":"J.","non-dropping-particle":"","parse-names":false,"suffix":""},{"dropping-particle":"","family":"Hiom","given":"S.","non-dropping-particle":"","parse-names":false,"suffix":""},{"dropping-particle":"","family":"Wardle","given":"J.","non-dropping-particle":"","parse-names":false,"suffix":""}],"container-title":"British Journal of Cancer","id":"ITEM-1","issued":{"date-parts":[["2009"]]},"page":"18-23","title":"Public awareness of cancer in Britain: A population-based survey of adults","type":"article-journal","volume":"101"},"uris":["http://www.mendeley.com/documents/?uuid=30f5ebfa-b760-4d23-9964-ed8bf34fdfe4"]}],"mendeley":{"formattedCitation":"(98)","plainTextFormattedCitation":"(98)","previouslyFormattedCitation":"(98)"},"properties":{"noteIndex":0},"schema":"https://github.com/citation-style-language/schema/raw/master/csl-citation.json"}</w:instrText>
      </w:r>
      <w:r w:rsidR="00386209"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(98)</w:t>
      </w:r>
      <w:r w:rsidR="00386209" w:rsidRPr="004B0BC2">
        <w:rPr>
          <w:rFonts w:asciiTheme="minorHAnsi" w:hAnsiTheme="minorHAnsi" w:cstheme="minorHAnsi"/>
          <w:sz w:val="22"/>
          <w:szCs w:val="22"/>
          <w:shd w:val="clear" w:color="auto" w:fill="FFFFFF"/>
        </w:rPr>
        <w:fldChar w:fldCharType="end"/>
      </w:r>
      <w:r w:rsidR="00C17803" w:rsidRPr="004B0BC2">
        <w:rPr>
          <w:rFonts w:asciiTheme="minorHAnsi" w:hAnsiTheme="minorHAnsi" w:cstheme="minorHAnsi"/>
          <w:sz w:val="22"/>
          <w:szCs w:val="22"/>
          <w:shd w:val="clear" w:color="auto" w:fill="FFFFFF"/>
        </w:rPr>
        <w:t>. </w:t>
      </w:r>
    </w:p>
    <w:p w14:paraId="335A1A4B" w14:textId="1D27AE53" w:rsidR="00C17803" w:rsidRPr="004B0BC2" w:rsidRDefault="00C17803"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These studies suggest that men have a lower health literacy than women</w:t>
      </w:r>
      <w:r w:rsidR="00754C06">
        <w:rPr>
          <w:rFonts w:asciiTheme="minorHAnsi" w:hAnsiTheme="minorHAnsi" w:cstheme="minorHAnsi"/>
          <w:sz w:val="22"/>
          <w:szCs w:val="22"/>
        </w:rPr>
        <w:t>, which might</w:t>
      </w:r>
      <w:r w:rsidRPr="004B0BC2">
        <w:rPr>
          <w:rFonts w:asciiTheme="minorHAnsi" w:hAnsiTheme="minorHAnsi" w:cstheme="minorHAnsi"/>
          <w:sz w:val="22"/>
          <w:szCs w:val="22"/>
        </w:rPr>
        <w:t xml:space="preserve"> translate to </w:t>
      </w:r>
      <w:r w:rsidR="00777130" w:rsidRPr="004B0BC2">
        <w:rPr>
          <w:rFonts w:asciiTheme="minorHAnsi" w:hAnsiTheme="minorHAnsi" w:cstheme="minorHAnsi"/>
          <w:sz w:val="22"/>
          <w:szCs w:val="22"/>
        </w:rPr>
        <w:t>poorer</w:t>
      </w:r>
      <w:r w:rsidRPr="004B0BC2">
        <w:rPr>
          <w:rFonts w:asciiTheme="minorHAnsi" w:hAnsiTheme="minorHAnsi" w:cstheme="minorHAnsi"/>
          <w:sz w:val="22"/>
          <w:szCs w:val="22"/>
        </w:rPr>
        <w:t xml:space="preserve"> lifestyle choices with regards to health and also </w:t>
      </w:r>
      <w:r w:rsidR="00777130" w:rsidRPr="004B0BC2">
        <w:rPr>
          <w:rFonts w:asciiTheme="minorHAnsi" w:hAnsiTheme="minorHAnsi" w:cstheme="minorHAnsi"/>
          <w:sz w:val="22"/>
          <w:szCs w:val="22"/>
        </w:rPr>
        <w:t>unawareness</w:t>
      </w:r>
      <w:r w:rsidRPr="004B0BC2">
        <w:rPr>
          <w:rFonts w:asciiTheme="minorHAnsi" w:hAnsiTheme="minorHAnsi" w:cstheme="minorHAnsi"/>
          <w:sz w:val="22"/>
          <w:szCs w:val="22"/>
        </w:rPr>
        <w:t xml:space="preserve"> </w:t>
      </w:r>
      <w:r w:rsidR="00777130" w:rsidRPr="004B0BC2">
        <w:rPr>
          <w:rFonts w:asciiTheme="minorHAnsi" w:hAnsiTheme="minorHAnsi" w:cstheme="minorHAnsi"/>
          <w:sz w:val="22"/>
          <w:szCs w:val="22"/>
        </w:rPr>
        <w:t>of</w:t>
      </w:r>
      <w:r w:rsidRPr="004B0BC2">
        <w:rPr>
          <w:rFonts w:asciiTheme="minorHAnsi" w:hAnsiTheme="minorHAnsi" w:cstheme="minorHAnsi"/>
          <w:sz w:val="22"/>
          <w:szCs w:val="22"/>
        </w:rPr>
        <w:t xml:space="preserve"> </w:t>
      </w:r>
      <w:r w:rsidR="00386209" w:rsidRPr="004B0BC2">
        <w:rPr>
          <w:rFonts w:asciiTheme="minorHAnsi" w:hAnsiTheme="minorHAnsi" w:cstheme="minorHAnsi"/>
          <w:sz w:val="22"/>
          <w:szCs w:val="22"/>
        </w:rPr>
        <w:t>potential signs</w:t>
      </w:r>
      <w:r w:rsidRPr="004B0BC2">
        <w:rPr>
          <w:rFonts w:asciiTheme="minorHAnsi" w:hAnsiTheme="minorHAnsi" w:cstheme="minorHAnsi"/>
          <w:sz w:val="22"/>
          <w:szCs w:val="22"/>
        </w:rPr>
        <w:t xml:space="preserve"> of </w:t>
      </w:r>
      <w:r w:rsidR="00C2113A" w:rsidRPr="004B0BC2">
        <w:rPr>
          <w:rFonts w:asciiTheme="minorHAnsi" w:hAnsiTheme="minorHAnsi" w:cstheme="minorHAnsi"/>
          <w:sz w:val="22"/>
          <w:szCs w:val="22"/>
        </w:rPr>
        <w:t xml:space="preserve">serious diseases </w:t>
      </w:r>
      <w:r w:rsidR="00754C06">
        <w:rPr>
          <w:rFonts w:asciiTheme="minorHAnsi" w:hAnsiTheme="minorHAnsi" w:cstheme="minorHAnsi"/>
          <w:sz w:val="22"/>
          <w:szCs w:val="22"/>
        </w:rPr>
        <w:t>such as</w:t>
      </w:r>
      <w:r w:rsidR="00C2113A" w:rsidRPr="004B0BC2">
        <w:rPr>
          <w:rFonts w:asciiTheme="minorHAnsi" w:hAnsiTheme="minorHAnsi" w:cstheme="minorHAnsi"/>
          <w:sz w:val="22"/>
          <w:szCs w:val="22"/>
        </w:rPr>
        <w:t xml:space="preserve"> </w:t>
      </w:r>
      <w:r w:rsidRPr="004B0BC2">
        <w:rPr>
          <w:rFonts w:asciiTheme="minorHAnsi" w:hAnsiTheme="minorHAnsi" w:cstheme="minorHAnsi"/>
          <w:sz w:val="22"/>
          <w:szCs w:val="22"/>
        </w:rPr>
        <w:t xml:space="preserve">cancer. This health </w:t>
      </w:r>
      <w:r w:rsidR="002A6B86" w:rsidRPr="004B0BC2">
        <w:rPr>
          <w:rFonts w:asciiTheme="minorHAnsi" w:hAnsiTheme="minorHAnsi" w:cstheme="minorHAnsi"/>
          <w:sz w:val="22"/>
          <w:szCs w:val="22"/>
        </w:rPr>
        <w:t>illiteracy</w:t>
      </w:r>
      <w:r w:rsidRPr="004B0BC2">
        <w:rPr>
          <w:rFonts w:asciiTheme="minorHAnsi" w:hAnsiTheme="minorHAnsi" w:cstheme="minorHAnsi"/>
          <w:sz w:val="22"/>
          <w:szCs w:val="22"/>
        </w:rPr>
        <w:t xml:space="preserve"> </w:t>
      </w:r>
      <w:r w:rsidR="00754C06">
        <w:rPr>
          <w:rFonts w:asciiTheme="minorHAnsi" w:hAnsiTheme="minorHAnsi" w:cstheme="minorHAnsi"/>
          <w:sz w:val="22"/>
          <w:szCs w:val="22"/>
        </w:rPr>
        <w:t>might</w:t>
      </w:r>
      <w:r w:rsidRPr="004B0BC2">
        <w:rPr>
          <w:rFonts w:asciiTheme="minorHAnsi" w:hAnsiTheme="minorHAnsi" w:cstheme="minorHAnsi"/>
          <w:sz w:val="22"/>
          <w:szCs w:val="22"/>
        </w:rPr>
        <w:t xml:space="preserve"> be </w:t>
      </w:r>
      <w:r w:rsidR="002A6B86" w:rsidRPr="004B0BC2">
        <w:rPr>
          <w:rFonts w:asciiTheme="minorHAnsi" w:hAnsiTheme="minorHAnsi" w:cstheme="minorHAnsi"/>
          <w:sz w:val="22"/>
          <w:szCs w:val="22"/>
        </w:rPr>
        <w:t>contribut</w:t>
      </w:r>
      <w:r w:rsidR="00754C06">
        <w:rPr>
          <w:rFonts w:asciiTheme="minorHAnsi" w:hAnsiTheme="minorHAnsi" w:cstheme="minorHAnsi"/>
          <w:sz w:val="22"/>
          <w:szCs w:val="22"/>
        </w:rPr>
        <w:t>ing to men’s</w:t>
      </w:r>
      <w:r w:rsidRPr="004B0BC2">
        <w:rPr>
          <w:rFonts w:asciiTheme="minorHAnsi" w:hAnsiTheme="minorHAnsi" w:cstheme="minorHAnsi"/>
          <w:sz w:val="22"/>
          <w:szCs w:val="22"/>
        </w:rPr>
        <w:t xml:space="preserve"> underutilisation of health services</w:t>
      </w:r>
      <w:r w:rsidR="00754C06">
        <w:rPr>
          <w:rFonts w:asciiTheme="minorHAnsi" w:hAnsiTheme="minorHAnsi" w:cstheme="minorHAnsi"/>
          <w:sz w:val="22"/>
          <w:szCs w:val="22"/>
        </w:rPr>
        <w:t>,</w:t>
      </w:r>
      <w:r w:rsidRPr="004B0BC2">
        <w:rPr>
          <w:rFonts w:asciiTheme="minorHAnsi" w:hAnsiTheme="minorHAnsi" w:cstheme="minorHAnsi"/>
          <w:sz w:val="22"/>
          <w:szCs w:val="22"/>
        </w:rPr>
        <w:t xml:space="preserve"> as they</w:t>
      </w:r>
      <w:r w:rsidR="00777130" w:rsidRPr="004B0BC2">
        <w:rPr>
          <w:rFonts w:asciiTheme="minorHAnsi" w:hAnsiTheme="minorHAnsi" w:cstheme="minorHAnsi"/>
          <w:sz w:val="22"/>
          <w:szCs w:val="22"/>
        </w:rPr>
        <w:t xml:space="preserve"> </w:t>
      </w:r>
      <w:r w:rsidR="00754C06">
        <w:rPr>
          <w:rFonts w:asciiTheme="minorHAnsi" w:hAnsiTheme="minorHAnsi" w:cstheme="minorHAnsi"/>
          <w:sz w:val="22"/>
          <w:szCs w:val="22"/>
        </w:rPr>
        <w:t>might</w:t>
      </w:r>
      <w:r w:rsidR="00754C06" w:rsidRPr="004B0BC2">
        <w:rPr>
          <w:rFonts w:asciiTheme="minorHAnsi" w:hAnsiTheme="minorHAnsi" w:cstheme="minorHAnsi"/>
          <w:sz w:val="22"/>
          <w:szCs w:val="22"/>
        </w:rPr>
        <w:t xml:space="preserve"> </w:t>
      </w:r>
      <w:r w:rsidR="00777130" w:rsidRPr="004B0BC2">
        <w:rPr>
          <w:rFonts w:asciiTheme="minorHAnsi" w:hAnsiTheme="minorHAnsi" w:cstheme="minorHAnsi"/>
          <w:sz w:val="22"/>
          <w:szCs w:val="22"/>
        </w:rPr>
        <w:t>be</w:t>
      </w:r>
      <w:r w:rsidRPr="004B0BC2">
        <w:rPr>
          <w:rFonts w:asciiTheme="minorHAnsi" w:hAnsiTheme="minorHAnsi" w:cstheme="minorHAnsi"/>
          <w:sz w:val="22"/>
          <w:szCs w:val="22"/>
        </w:rPr>
        <w:t xml:space="preserve"> </w:t>
      </w:r>
      <w:r w:rsidR="00754C06">
        <w:rPr>
          <w:rFonts w:asciiTheme="minorHAnsi" w:hAnsiTheme="minorHAnsi" w:cstheme="minorHAnsi"/>
          <w:sz w:val="22"/>
          <w:szCs w:val="22"/>
        </w:rPr>
        <w:t>unaware of</w:t>
      </w:r>
      <w:r w:rsidRPr="004B0BC2">
        <w:rPr>
          <w:rFonts w:asciiTheme="minorHAnsi" w:hAnsiTheme="minorHAnsi" w:cstheme="minorHAnsi"/>
          <w:sz w:val="22"/>
          <w:szCs w:val="22"/>
        </w:rPr>
        <w:t xml:space="preserve"> </w:t>
      </w:r>
      <w:r w:rsidR="00777130" w:rsidRPr="004B0BC2">
        <w:rPr>
          <w:rFonts w:asciiTheme="minorHAnsi" w:hAnsiTheme="minorHAnsi" w:cstheme="minorHAnsi"/>
          <w:sz w:val="22"/>
          <w:szCs w:val="22"/>
        </w:rPr>
        <w:t>what services are</w:t>
      </w:r>
      <w:r w:rsidR="00314E7D" w:rsidRPr="004B0BC2">
        <w:rPr>
          <w:rFonts w:asciiTheme="minorHAnsi" w:hAnsiTheme="minorHAnsi" w:cstheme="minorHAnsi"/>
          <w:sz w:val="22"/>
          <w:szCs w:val="22"/>
        </w:rPr>
        <w:t xml:space="preserve"> available, </w:t>
      </w:r>
      <w:r w:rsidR="00754C06">
        <w:rPr>
          <w:rFonts w:asciiTheme="minorHAnsi" w:hAnsiTheme="minorHAnsi" w:cstheme="minorHAnsi"/>
          <w:sz w:val="22"/>
          <w:szCs w:val="22"/>
        </w:rPr>
        <w:t xml:space="preserve">the </w:t>
      </w:r>
      <w:r w:rsidR="00777130" w:rsidRPr="004B0BC2">
        <w:rPr>
          <w:rFonts w:asciiTheme="minorHAnsi" w:hAnsiTheme="minorHAnsi" w:cstheme="minorHAnsi"/>
          <w:sz w:val="22"/>
          <w:szCs w:val="22"/>
        </w:rPr>
        <w:t>symptoms</w:t>
      </w:r>
      <w:r w:rsidR="00314E7D" w:rsidRPr="004B0BC2">
        <w:rPr>
          <w:rFonts w:asciiTheme="minorHAnsi" w:hAnsiTheme="minorHAnsi" w:cstheme="minorHAnsi"/>
          <w:sz w:val="22"/>
          <w:szCs w:val="22"/>
        </w:rPr>
        <w:t xml:space="preserve"> and signs</w:t>
      </w:r>
      <w:r w:rsidR="00777130" w:rsidRPr="004B0BC2">
        <w:rPr>
          <w:rFonts w:asciiTheme="minorHAnsi" w:hAnsiTheme="minorHAnsi" w:cstheme="minorHAnsi"/>
          <w:sz w:val="22"/>
          <w:szCs w:val="22"/>
        </w:rPr>
        <w:t xml:space="preserve"> that would warrant seeking medical advice</w:t>
      </w:r>
      <w:r w:rsidR="00314E7D" w:rsidRPr="004B0BC2">
        <w:rPr>
          <w:rFonts w:asciiTheme="minorHAnsi" w:hAnsiTheme="minorHAnsi" w:cstheme="minorHAnsi"/>
          <w:sz w:val="22"/>
          <w:szCs w:val="22"/>
        </w:rPr>
        <w:t xml:space="preserve"> and </w:t>
      </w:r>
      <w:r w:rsidR="00754C06">
        <w:rPr>
          <w:rFonts w:asciiTheme="minorHAnsi" w:hAnsiTheme="minorHAnsi" w:cstheme="minorHAnsi"/>
          <w:sz w:val="22"/>
          <w:szCs w:val="22"/>
        </w:rPr>
        <w:t xml:space="preserve">the </w:t>
      </w:r>
      <w:r w:rsidR="00314E7D" w:rsidRPr="004B0BC2">
        <w:rPr>
          <w:rFonts w:asciiTheme="minorHAnsi" w:hAnsiTheme="minorHAnsi" w:cstheme="minorHAnsi"/>
          <w:sz w:val="22"/>
          <w:szCs w:val="22"/>
        </w:rPr>
        <w:t>benefits of lifestyle changes and optimisat</w:t>
      </w:r>
      <w:r w:rsidR="00386209" w:rsidRPr="004B0BC2">
        <w:rPr>
          <w:rFonts w:asciiTheme="minorHAnsi" w:hAnsiTheme="minorHAnsi" w:cstheme="minorHAnsi"/>
          <w:sz w:val="22"/>
          <w:szCs w:val="22"/>
        </w:rPr>
        <w:t>i</w:t>
      </w:r>
      <w:r w:rsidR="00314E7D" w:rsidRPr="004B0BC2">
        <w:rPr>
          <w:rFonts w:asciiTheme="minorHAnsi" w:hAnsiTheme="minorHAnsi" w:cstheme="minorHAnsi"/>
          <w:sz w:val="22"/>
          <w:szCs w:val="22"/>
        </w:rPr>
        <w:t xml:space="preserve">on of </w:t>
      </w:r>
      <w:r w:rsidR="00777130" w:rsidRPr="004B0BC2">
        <w:rPr>
          <w:rFonts w:asciiTheme="minorHAnsi" w:hAnsiTheme="minorHAnsi" w:cstheme="minorHAnsi"/>
          <w:sz w:val="22"/>
          <w:szCs w:val="22"/>
        </w:rPr>
        <w:t>morbidities</w:t>
      </w:r>
      <w:r w:rsidR="00314E7D" w:rsidRPr="004B0BC2">
        <w:rPr>
          <w:rFonts w:asciiTheme="minorHAnsi" w:hAnsiTheme="minorHAnsi" w:cstheme="minorHAnsi"/>
          <w:sz w:val="22"/>
          <w:szCs w:val="22"/>
        </w:rPr>
        <w:t>.</w:t>
      </w:r>
      <w:r w:rsidR="00386209" w:rsidRPr="004B0BC2">
        <w:rPr>
          <w:rFonts w:asciiTheme="minorHAnsi" w:hAnsiTheme="minorHAnsi" w:cstheme="minorHAnsi"/>
          <w:sz w:val="22"/>
          <w:szCs w:val="22"/>
        </w:rPr>
        <w:t xml:space="preserve"> </w:t>
      </w:r>
      <w:r w:rsidR="00754C06" w:rsidRPr="004B0BC2">
        <w:rPr>
          <w:rFonts w:asciiTheme="minorHAnsi" w:hAnsiTheme="minorHAnsi" w:cstheme="minorHAnsi"/>
          <w:sz w:val="22"/>
          <w:szCs w:val="22"/>
        </w:rPr>
        <w:t>Th</w:t>
      </w:r>
      <w:r w:rsidR="00754C06">
        <w:rPr>
          <w:rFonts w:asciiTheme="minorHAnsi" w:hAnsiTheme="minorHAnsi" w:cstheme="minorHAnsi"/>
          <w:sz w:val="22"/>
          <w:szCs w:val="22"/>
        </w:rPr>
        <w:t>us</w:t>
      </w:r>
      <w:r w:rsidR="00777130" w:rsidRPr="004B0BC2">
        <w:rPr>
          <w:rFonts w:asciiTheme="minorHAnsi" w:hAnsiTheme="minorHAnsi" w:cstheme="minorHAnsi"/>
          <w:sz w:val="22"/>
          <w:szCs w:val="22"/>
        </w:rPr>
        <w:t>,</w:t>
      </w:r>
      <w:r w:rsidR="00314E7D" w:rsidRPr="004B0BC2">
        <w:rPr>
          <w:rFonts w:asciiTheme="minorHAnsi" w:hAnsiTheme="minorHAnsi" w:cstheme="minorHAnsi"/>
          <w:sz w:val="22"/>
          <w:szCs w:val="22"/>
        </w:rPr>
        <w:t xml:space="preserve"> </w:t>
      </w:r>
      <w:r w:rsidR="00754C06">
        <w:rPr>
          <w:rFonts w:asciiTheme="minorHAnsi" w:hAnsiTheme="minorHAnsi" w:cstheme="minorHAnsi"/>
          <w:sz w:val="22"/>
          <w:szCs w:val="22"/>
        </w:rPr>
        <w:t>on</w:t>
      </w:r>
      <w:r w:rsidR="00314E7D" w:rsidRPr="004B0BC2">
        <w:rPr>
          <w:rFonts w:asciiTheme="minorHAnsi" w:hAnsiTheme="minorHAnsi" w:cstheme="minorHAnsi"/>
          <w:sz w:val="22"/>
          <w:szCs w:val="22"/>
        </w:rPr>
        <w:t xml:space="preserve">e </w:t>
      </w:r>
      <w:r w:rsidR="00754C06">
        <w:rPr>
          <w:rFonts w:asciiTheme="minorHAnsi" w:hAnsiTheme="minorHAnsi" w:cstheme="minorHAnsi"/>
          <w:sz w:val="22"/>
          <w:szCs w:val="22"/>
        </w:rPr>
        <w:t xml:space="preserve">might </w:t>
      </w:r>
      <w:r w:rsidR="00314E7D" w:rsidRPr="004B0BC2">
        <w:rPr>
          <w:rFonts w:asciiTheme="minorHAnsi" w:hAnsiTheme="minorHAnsi" w:cstheme="minorHAnsi"/>
          <w:sz w:val="22"/>
          <w:szCs w:val="22"/>
        </w:rPr>
        <w:t xml:space="preserve">argue that </w:t>
      </w:r>
      <w:r w:rsidR="00754C06">
        <w:rPr>
          <w:rFonts w:asciiTheme="minorHAnsi" w:hAnsiTheme="minorHAnsi" w:cstheme="minorHAnsi"/>
          <w:sz w:val="22"/>
          <w:szCs w:val="22"/>
        </w:rPr>
        <w:t>men are</w:t>
      </w:r>
      <w:r w:rsidR="00314E7D" w:rsidRPr="004B0BC2">
        <w:rPr>
          <w:rFonts w:asciiTheme="minorHAnsi" w:hAnsiTheme="minorHAnsi" w:cstheme="minorHAnsi"/>
          <w:sz w:val="22"/>
          <w:szCs w:val="22"/>
        </w:rPr>
        <w:t xml:space="preserve"> a more vulnerable population than </w:t>
      </w:r>
      <w:r w:rsidR="00754C06">
        <w:rPr>
          <w:rFonts w:asciiTheme="minorHAnsi" w:hAnsiTheme="minorHAnsi" w:cstheme="minorHAnsi"/>
          <w:sz w:val="22"/>
          <w:szCs w:val="22"/>
        </w:rPr>
        <w:t>women</w:t>
      </w:r>
      <w:r w:rsidR="00314E7D" w:rsidRPr="004B0BC2">
        <w:rPr>
          <w:rFonts w:asciiTheme="minorHAnsi" w:hAnsiTheme="minorHAnsi" w:cstheme="minorHAnsi"/>
          <w:sz w:val="22"/>
          <w:szCs w:val="22"/>
        </w:rPr>
        <w:t xml:space="preserve"> owing to their </w:t>
      </w:r>
      <w:r w:rsidR="00777130" w:rsidRPr="004B0BC2">
        <w:rPr>
          <w:rFonts w:asciiTheme="minorHAnsi" w:hAnsiTheme="minorHAnsi" w:cstheme="minorHAnsi"/>
          <w:sz w:val="22"/>
          <w:szCs w:val="22"/>
        </w:rPr>
        <w:t xml:space="preserve">health </w:t>
      </w:r>
      <w:r w:rsidR="00386209" w:rsidRPr="004B0BC2">
        <w:rPr>
          <w:rFonts w:asciiTheme="minorHAnsi" w:hAnsiTheme="minorHAnsi" w:cstheme="minorHAnsi"/>
          <w:sz w:val="22"/>
          <w:szCs w:val="22"/>
        </w:rPr>
        <w:t>illiteracy</w:t>
      </w:r>
      <w:r w:rsidR="00314E7D" w:rsidRPr="004B0BC2">
        <w:rPr>
          <w:rFonts w:asciiTheme="minorHAnsi" w:hAnsiTheme="minorHAnsi" w:cstheme="minorHAnsi"/>
          <w:sz w:val="22"/>
          <w:szCs w:val="22"/>
        </w:rPr>
        <w:t xml:space="preserve"> and should be targeted to improve</w:t>
      </w:r>
      <w:r w:rsidR="00777130" w:rsidRPr="004B0BC2">
        <w:rPr>
          <w:rFonts w:asciiTheme="minorHAnsi" w:hAnsiTheme="minorHAnsi" w:cstheme="minorHAnsi"/>
          <w:sz w:val="22"/>
          <w:szCs w:val="22"/>
        </w:rPr>
        <w:t xml:space="preserve"> their</w:t>
      </w:r>
      <w:r w:rsidR="00314E7D" w:rsidRPr="004B0BC2">
        <w:rPr>
          <w:rFonts w:asciiTheme="minorHAnsi" w:hAnsiTheme="minorHAnsi" w:cstheme="minorHAnsi"/>
          <w:sz w:val="22"/>
          <w:szCs w:val="22"/>
        </w:rPr>
        <w:t xml:space="preserve"> </w:t>
      </w:r>
      <w:r w:rsidR="00777130" w:rsidRPr="004B0BC2">
        <w:rPr>
          <w:rFonts w:asciiTheme="minorHAnsi" w:hAnsiTheme="minorHAnsi" w:cstheme="minorHAnsi"/>
          <w:sz w:val="22"/>
          <w:szCs w:val="22"/>
        </w:rPr>
        <w:t>understanding</w:t>
      </w:r>
      <w:r w:rsidR="00314E7D" w:rsidRPr="004B0BC2">
        <w:rPr>
          <w:rFonts w:asciiTheme="minorHAnsi" w:hAnsiTheme="minorHAnsi" w:cstheme="minorHAnsi"/>
          <w:sz w:val="22"/>
          <w:szCs w:val="22"/>
        </w:rPr>
        <w:t xml:space="preserve"> and uptake of health </w:t>
      </w:r>
      <w:r w:rsidR="00777130" w:rsidRPr="004B0BC2">
        <w:rPr>
          <w:rFonts w:asciiTheme="minorHAnsi" w:hAnsiTheme="minorHAnsi" w:cstheme="minorHAnsi"/>
          <w:sz w:val="22"/>
          <w:szCs w:val="22"/>
        </w:rPr>
        <w:t>services.</w:t>
      </w:r>
    </w:p>
    <w:p w14:paraId="5DE76957" w14:textId="1DCEA457" w:rsidR="00314E7D" w:rsidRPr="004B0BC2" w:rsidRDefault="00314E7D" w:rsidP="00B66369">
      <w:pPr>
        <w:spacing w:line="480" w:lineRule="auto"/>
        <w:rPr>
          <w:rFonts w:asciiTheme="minorHAnsi" w:hAnsiTheme="minorHAnsi" w:cstheme="minorHAnsi"/>
          <w:sz w:val="22"/>
          <w:szCs w:val="22"/>
        </w:rPr>
      </w:pPr>
    </w:p>
    <w:p w14:paraId="218A48B8" w14:textId="634D4E50" w:rsidR="00ED44C4" w:rsidRPr="004B0BC2" w:rsidRDefault="0080643D" w:rsidP="004B0BC2">
      <w:pPr>
        <w:shd w:val="clear" w:color="auto" w:fill="FFFFFF" w:themeFill="background1"/>
        <w:spacing w:line="480" w:lineRule="auto"/>
        <w:rPr>
          <w:rFonts w:asciiTheme="minorHAnsi" w:hAnsiTheme="minorHAnsi" w:cstheme="minorHAnsi"/>
          <w:sz w:val="22"/>
          <w:szCs w:val="22"/>
        </w:rPr>
      </w:pPr>
      <w:r>
        <w:rPr>
          <w:rFonts w:asciiTheme="minorHAnsi" w:hAnsiTheme="minorHAnsi" w:cstheme="minorHAnsi"/>
          <w:sz w:val="22"/>
          <w:szCs w:val="22"/>
        </w:rPr>
        <w:t>Thus, in addition to the effects of</w:t>
      </w:r>
      <w:r w:rsidR="00314E7D" w:rsidRPr="004B0BC2">
        <w:rPr>
          <w:rFonts w:asciiTheme="minorHAnsi" w:hAnsiTheme="minorHAnsi" w:cstheme="minorHAnsi"/>
          <w:sz w:val="22"/>
          <w:szCs w:val="22"/>
        </w:rPr>
        <w:t xml:space="preserve"> comorbidities </w:t>
      </w:r>
      <w:r w:rsidR="00777130" w:rsidRPr="004B0BC2">
        <w:rPr>
          <w:rFonts w:asciiTheme="minorHAnsi" w:hAnsiTheme="minorHAnsi" w:cstheme="minorHAnsi"/>
          <w:sz w:val="22"/>
          <w:szCs w:val="22"/>
        </w:rPr>
        <w:t xml:space="preserve">and </w:t>
      </w:r>
      <w:r w:rsidR="00DD15CE" w:rsidRPr="004B0BC2">
        <w:rPr>
          <w:rFonts w:asciiTheme="minorHAnsi" w:hAnsiTheme="minorHAnsi" w:cstheme="minorHAnsi"/>
          <w:sz w:val="22"/>
          <w:szCs w:val="22"/>
        </w:rPr>
        <w:t xml:space="preserve">CVD </w:t>
      </w:r>
      <w:r w:rsidR="00314E7D" w:rsidRPr="004B0BC2">
        <w:rPr>
          <w:rFonts w:asciiTheme="minorHAnsi" w:hAnsiTheme="minorHAnsi" w:cstheme="minorHAnsi"/>
          <w:sz w:val="22"/>
          <w:szCs w:val="22"/>
        </w:rPr>
        <w:t>risk factors</w:t>
      </w:r>
      <w:r w:rsidR="00434714">
        <w:rPr>
          <w:rFonts w:asciiTheme="minorHAnsi" w:hAnsiTheme="minorHAnsi" w:cstheme="minorHAnsi"/>
          <w:sz w:val="22"/>
          <w:szCs w:val="22"/>
        </w:rPr>
        <w:t>,</w:t>
      </w:r>
      <w:r w:rsidR="009B5594">
        <w:rPr>
          <w:rFonts w:asciiTheme="minorHAnsi" w:hAnsiTheme="minorHAnsi" w:cstheme="minorHAnsi"/>
          <w:sz w:val="22"/>
          <w:szCs w:val="22"/>
        </w:rPr>
        <w:t xml:space="preserve"> m</w:t>
      </w:r>
      <w:r w:rsidR="00314E7D" w:rsidRPr="004B0BC2">
        <w:rPr>
          <w:rFonts w:asciiTheme="minorHAnsi" w:hAnsiTheme="minorHAnsi" w:cstheme="minorHAnsi"/>
          <w:sz w:val="22"/>
          <w:szCs w:val="22"/>
        </w:rPr>
        <w:t>en</w:t>
      </w:r>
      <w:r w:rsidR="00777130" w:rsidRPr="004B0BC2">
        <w:rPr>
          <w:rFonts w:asciiTheme="minorHAnsi" w:hAnsiTheme="minorHAnsi" w:cstheme="minorHAnsi"/>
          <w:sz w:val="22"/>
          <w:szCs w:val="22"/>
        </w:rPr>
        <w:t xml:space="preserve"> </w:t>
      </w:r>
      <w:r w:rsidR="00A50E38" w:rsidRPr="004B0BC2">
        <w:rPr>
          <w:rFonts w:asciiTheme="minorHAnsi" w:hAnsiTheme="minorHAnsi" w:cstheme="minorHAnsi"/>
          <w:sz w:val="22"/>
          <w:szCs w:val="22"/>
        </w:rPr>
        <w:t>are less likely to</w:t>
      </w:r>
      <w:r w:rsidR="00C2113A" w:rsidRPr="004B0BC2">
        <w:rPr>
          <w:rFonts w:asciiTheme="minorHAnsi" w:hAnsiTheme="minorHAnsi" w:cstheme="minorHAnsi"/>
          <w:sz w:val="22"/>
          <w:szCs w:val="22"/>
        </w:rPr>
        <w:t xml:space="preserve"> </w:t>
      </w:r>
      <w:r w:rsidR="00777130" w:rsidRPr="004B0BC2">
        <w:rPr>
          <w:rFonts w:asciiTheme="minorHAnsi" w:hAnsiTheme="minorHAnsi" w:cstheme="minorHAnsi"/>
          <w:sz w:val="22"/>
          <w:szCs w:val="22"/>
        </w:rPr>
        <w:t>us</w:t>
      </w:r>
      <w:r w:rsidR="00C2113A" w:rsidRPr="004B0BC2">
        <w:rPr>
          <w:rFonts w:asciiTheme="minorHAnsi" w:hAnsiTheme="minorHAnsi" w:cstheme="minorHAnsi"/>
          <w:sz w:val="22"/>
          <w:szCs w:val="22"/>
        </w:rPr>
        <w:t>e health</w:t>
      </w:r>
      <w:r w:rsidR="009B5594">
        <w:rPr>
          <w:rFonts w:asciiTheme="minorHAnsi" w:hAnsiTheme="minorHAnsi" w:cstheme="minorHAnsi"/>
          <w:sz w:val="22"/>
          <w:szCs w:val="22"/>
        </w:rPr>
        <w:t>-</w:t>
      </w:r>
      <w:r w:rsidR="00C2113A" w:rsidRPr="004B0BC2">
        <w:rPr>
          <w:rFonts w:asciiTheme="minorHAnsi" w:hAnsiTheme="minorHAnsi" w:cstheme="minorHAnsi"/>
          <w:sz w:val="22"/>
          <w:szCs w:val="22"/>
        </w:rPr>
        <w:t xml:space="preserve">care resources </w:t>
      </w:r>
      <w:r w:rsidR="009B5594">
        <w:rPr>
          <w:rFonts w:asciiTheme="minorHAnsi" w:hAnsiTheme="minorHAnsi" w:cstheme="minorHAnsi"/>
          <w:sz w:val="22"/>
          <w:szCs w:val="22"/>
        </w:rPr>
        <w:t>than</w:t>
      </w:r>
      <w:r w:rsidR="00777130" w:rsidRPr="004B0BC2">
        <w:rPr>
          <w:rFonts w:asciiTheme="minorHAnsi" w:hAnsiTheme="minorHAnsi" w:cstheme="minorHAnsi"/>
          <w:sz w:val="22"/>
          <w:szCs w:val="22"/>
        </w:rPr>
        <w:t xml:space="preserve"> women and this </w:t>
      </w:r>
      <w:r w:rsidR="009B5594">
        <w:rPr>
          <w:rFonts w:asciiTheme="minorHAnsi" w:hAnsiTheme="minorHAnsi" w:cstheme="minorHAnsi"/>
          <w:sz w:val="22"/>
          <w:szCs w:val="22"/>
        </w:rPr>
        <w:t xml:space="preserve">reluctance </w:t>
      </w:r>
      <w:r w:rsidR="00777130" w:rsidRPr="004B0BC2">
        <w:rPr>
          <w:rFonts w:asciiTheme="minorHAnsi" w:hAnsiTheme="minorHAnsi" w:cstheme="minorHAnsi"/>
          <w:sz w:val="22"/>
          <w:szCs w:val="22"/>
        </w:rPr>
        <w:t xml:space="preserve">can be linked to structural barriers, health </w:t>
      </w:r>
      <w:r w:rsidR="00777130" w:rsidRPr="004B0BC2">
        <w:rPr>
          <w:rFonts w:asciiTheme="minorHAnsi" w:hAnsiTheme="minorHAnsi" w:cstheme="minorHAnsi"/>
          <w:sz w:val="22"/>
          <w:szCs w:val="22"/>
        </w:rPr>
        <w:lastRenderedPageBreak/>
        <w:t>literacy and personality subtypes.</w:t>
      </w:r>
      <w:r w:rsidR="003C11E1">
        <w:rPr>
          <w:rFonts w:asciiTheme="minorHAnsi" w:hAnsiTheme="minorHAnsi" w:cstheme="minorHAnsi"/>
          <w:sz w:val="22"/>
          <w:szCs w:val="22"/>
        </w:rPr>
        <w:t xml:space="preserve"> </w:t>
      </w:r>
      <w:r w:rsidR="009B5594">
        <w:rPr>
          <w:rFonts w:asciiTheme="minorHAnsi" w:hAnsiTheme="minorHAnsi" w:cstheme="minorHAnsi"/>
          <w:sz w:val="22"/>
          <w:szCs w:val="22"/>
        </w:rPr>
        <w:t>Although</w:t>
      </w:r>
      <w:r w:rsidR="009B5594" w:rsidRPr="004B0BC2">
        <w:rPr>
          <w:rFonts w:asciiTheme="minorHAnsi" w:hAnsiTheme="minorHAnsi" w:cstheme="minorHAnsi"/>
          <w:sz w:val="22"/>
          <w:szCs w:val="22"/>
        </w:rPr>
        <w:t xml:space="preserve"> </w:t>
      </w:r>
      <w:r w:rsidR="00314E7D" w:rsidRPr="004B0BC2">
        <w:rPr>
          <w:rFonts w:asciiTheme="minorHAnsi" w:hAnsiTheme="minorHAnsi" w:cstheme="minorHAnsi"/>
          <w:sz w:val="22"/>
          <w:szCs w:val="22"/>
        </w:rPr>
        <w:t>male reluctance to use health</w:t>
      </w:r>
      <w:r w:rsidR="009B5594">
        <w:rPr>
          <w:rFonts w:asciiTheme="minorHAnsi" w:hAnsiTheme="minorHAnsi" w:cstheme="minorHAnsi"/>
          <w:sz w:val="22"/>
          <w:szCs w:val="22"/>
        </w:rPr>
        <w:t>-</w:t>
      </w:r>
      <w:r w:rsidR="00314E7D" w:rsidRPr="004B0BC2">
        <w:rPr>
          <w:rFonts w:asciiTheme="minorHAnsi" w:hAnsiTheme="minorHAnsi" w:cstheme="minorHAnsi"/>
          <w:sz w:val="22"/>
          <w:szCs w:val="22"/>
        </w:rPr>
        <w:t xml:space="preserve">care </w:t>
      </w:r>
      <w:r w:rsidR="00777130" w:rsidRPr="004B0BC2">
        <w:rPr>
          <w:rFonts w:asciiTheme="minorHAnsi" w:hAnsiTheme="minorHAnsi" w:cstheme="minorHAnsi"/>
          <w:sz w:val="22"/>
          <w:szCs w:val="22"/>
        </w:rPr>
        <w:t>services</w:t>
      </w:r>
      <w:r w:rsidR="00314E7D" w:rsidRPr="004B0BC2">
        <w:rPr>
          <w:rFonts w:asciiTheme="minorHAnsi" w:hAnsiTheme="minorHAnsi" w:cstheme="minorHAnsi"/>
          <w:sz w:val="22"/>
          <w:szCs w:val="22"/>
        </w:rPr>
        <w:t xml:space="preserve"> has been </w:t>
      </w:r>
      <w:r w:rsidR="00777130" w:rsidRPr="004B0BC2">
        <w:rPr>
          <w:rFonts w:asciiTheme="minorHAnsi" w:hAnsiTheme="minorHAnsi" w:cstheme="minorHAnsi"/>
          <w:sz w:val="22"/>
          <w:szCs w:val="22"/>
        </w:rPr>
        <w:t>attributed</w:t>
      </w:r>
      <w:r w:rsidR="00314E7D" w:rsidRPr="004B0BC2">
        <w:rPr>
          <w:rFonts w:asciiTheme="minorHAnsi" w:hAnsiTheme="minorHAnsi" w:cstheme="minorHAnsi"/>
          <w:sz w:val="22"/>
          <w:szCs w:val="22"/>
        </w:rPr>
        <w:t xml:space="preserve"> to conventions of </w:t>
      </w:r>
      <w:r w:rsidR="00777130" w:rsidRPr="004B0BC2">
        <w:rPr>
          <w:rFonts w:asciiTheme="minorHAnsi" w:hAnsiTheme="minorHAnsi" w:cstheme="minorHAnsi"/>
          <w:sz w:val="22"/>
          <w:szCs w:val="22"/>
        </w:rPr>
        <w:t>m</w:t>
      </w:r>
      <w:r w:rsidR="00386209" w:rsidRPr="004B0BC2">
        <w:rPr>
          <w:rFonts w:asciiTheme="minorHAnsi" w:hAnsiTheme="minorHAnsi" w:cstheme="minorHAnsi"/>
          <w:sz w:val="22"/>
          <w:szCs w:val="22"/>
        </w:rPr>
        <w:t>a</w:t>
      </w:r>
      <w:r w:rsidR="00777130" w:rsidRPr="004B0BC2">
        <w:rPr>
          <w:rFonts w:asciiTheme="minorHAnsi" w:hAnsiTheme="minorHAnsi" w:cstheme="minorHAnsi"/>
          <w:sz w:val="22"/>
          <w:szCs w:val="22"/>
        </w:rPr>
        <w:t>sculinity</w:t>
      </w:r>
      <w:r w:rsidR="009B5594">
        <w:rPr>
          <w:rFonts w:asciiTheme="minorHAnsi" w:hAnsiTheme="minorHAnsi" w:cstheme="minorHAnsi"/>
          <w:sz w:val="22"/>
          <w:szCs w:val="22"/>
        </w:rPr>
        <w:t>,</w:t>
      </w:r>
      <w:r w:rsidR="00314E7D" w:rsidRPr="004B0BC2">
        <w:rPr>
          <w:rFonts w:asciiTheme="minorHAnsi" w:hAnsiTheme="minorHAnsi" w:cstheme="minorHAnsi"/>
          <w:sz w:val="22"/>
          <w:szCs w:val="22"/>
        </w:rPr>
        <w:t xml:space="preserve"> this </w:t>
      </w:r>
      <w:r w:rsidR="009B5594">
        <w:rPr>
          <w:rFonts w:asciiTheme="minorHAnsi" w:hAnsiTheme="minorHAnsi" w:cstheme="minorHAnsi"/>
          <w:sz w:val="22"/>
          <w:szCs w:val="22"/>
        </w:rPr>
        <w:t xml:space="preserve">theory </w:t>
      </w:r>
      <w:r w:rsidR="00314E7D" w:rsidRPr="004B0BC2">
        <w:rPr>
          <w:rFonts w:asciiTheme="minorHAnsi" w:hAnsiTheme="minorHAnsi" w:cstheme="minorHAnsi"/>
          <w:sz w:val="22"/>
          <w:szCs w:val="22"/>
        </w:rPr>
        <w:t>is an oversimplification</w:t>
      </w:r>
      <w:r w:rsidR="00777130" w:rsidRPr="004B0BC2">
        <w:rPr>
          <w:rFonts w:asciiTheme="minorHAnsi" w:hAnsiTheme="minorHAnsi" w:cstheme="minorHAnsi"/>
          <w:sz w:val="22"/>
          <w:szCs w:val="22"/>
        </w:rPr>
        <w:t xml:space="preserve"> and some men do not seek medical care because of fear rather than a show of strength.</w:t>
      </w:r>
      <w:r w:rsidR="00ED44C4" w:rsidRPr="004B0BC2">
        <w:rPr>
          <w:rFonts w:asciiTheme="minorHAnsi" w:hAnsiTheme="minorHAnsi" w:cstheme="minorHAnsi"/>
          <w:sz w:val="22"/>
          <w:szCs w:val="22"/>
        </w:rPr>
        <w:t xml:space="preserve"> </w:t>
      </w:r>
    </w:p>
    <w:p w14:paraId="1B6288BA" w14:textId="3CBC323D" w:rsidR="00ED44C4" w:rsidRPr="00500FBD" w:rsidRDefault="004C7E1A" w:rsidP="004B0BC2">
      <w:pPr>
        <w:shd w:val="clear" w:color="auto" w:fill="FFFFFF" w:themeFill="background1"/>
        <w:rPr>
          <w:rFonts w:asciiTheme="minorHAnsi" w:hAnsiTheme="minorHAnsi" w:cstheme="minorHAnsi"/>
          <w:b/>
          <w:sz w:val="22"/>
          <w:szCs w:val="22"/>
        </w:rPr>
      </w:pPr>
      <w:r w:rsidRPr="00500FBD">
        <w:rPr>
          <w:rFonts w:asciiTheme="minorHAnsi" w:hAnsiTheme="minorHAnsi" w:cstheme="minorHAnsi"/>
          <w:b/>
          <w:sz w:val="22"/>
          <w:szCs w:val="22"/>
        </w:rPr>
        <w:t>[H2]Intersectional analysis</w:t>
      </w:r>
      <w:r>
        <w:rPr>
          <w:rFonts w:asciiTheme="minorHAnsi" w:hAnsiTheme="minorHAnsi" w:cstheme="minorHAnsi"/>
          <w:b/>
          <w:sz w:val="22"/>
          <w:szCs w:val="22"/>
        </w:rPr>
        <w:t xml:space="preserve"> </w:t>
      </w:r>
    </w:p>
    <w:p w14:paraId="4C95F714" w14:textId="77777777" w:rsidR="004C7E1A" w:rsidRPr="004B0BC2" w:rsidRDefault="004C7E1A" w:rsidP="004B0BC2">
      <w:pPr>
        <w:shd w:val="clear" w:color="auto" w:fill="FFFFFF" w:themeFill="background1"/>
        <w:rPr>
          <w:rFonts w:asciiTheme="minorHAnsi" w:hAnsiTheme="minorHAnsi" w:cstheme="minorHAnsi"/>
          <w:sz w:val="22"/>
          <w:szCs w:val="22"/>
        </w:rPr>
      </w:pPr>
    </w:p>
    <w:p w14:paraId="29EA7494" w14:textId="78F9DD6C" w:rsidR="009B5594" w:rsidRDefault="009B5594" w:rsidP="001C26F0">
      <w:pPr>
        <w:shd w:val="clear" w:color="auto" w:fill="FFFFFF" w:themeFill="background1"/>
        <w:spacing w:line="480" w:lineRule="auto"/>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I</w:t>
      </w:r>
      <w:r w:rsidR="00ED44C4" w:rsidRPr="00500FBD">
        <w:rPr>
          <w:rFonts w:asciiTheme="minorHAnsi" w:hAnsiTheme="minorHAnsi" w:cstheme="minorHAnsi"/>
          <w:color w:val="000000" w:themeColor="text1"/>
          <w:sz w:val="22"/>
          <w:szCs w:val="22"/>
        </w:rPr>
        <w:t xml:space="preserve">ncreasing </w:t>
      </w:r>
      <w:r>
        <w:rPr>
          <w:rFonts w:asciiTheme="minorHAnsi" w:hAnsiTheme="minorHAnsi" w:cstheme="minorHAnsi"/>
          <w:color w:val="000000" w:themeColor="text1"/>
          <w:sz w:val="22"/>
          <w:szCs w:val="22"/>
        </w:rPr>
        <w:t xml:space="preserve">amounts of </w:t>
      </w:r>
      <w:r w:rsidR="00ED44C4" w:rsidRPr="00500FBD">
        <w:rPr>
          <w:rFonts w:asciiTheme="minorHAnsi" w:hAnsiTheme="minorHAnsi" w:cstheme="minorHAnsi"/>
          <w:color w:val="000000" w:themeColor="text1"/>
          <w:sz w:val="22"/>
          <w:szCs w:val="22"/>
        </w:rPr>
        <w:t>research</w:t>
      </w:r>
      <w:r>
        <w:rPr>
          <w:rFonts w:asciiTheme="minorHAnsi" w:hAnsiTheme="minorHAnsi" w:cstheme="minorHAnsi"/>
          <w:color w:val="000000" w:themeColor="text1"/>
          <w:sz w:val="22"/>
          <w:szCs w:val="22"/>
        </w:rPr>
        <w:t xml:space="preserve"> is</w:t>
      </w:r>
      <w:r w:rsidR="00ED44C4" w:rsidRPr="00500FBD">
        <w:rPr>
          <w:rFonts w:asciiTheme="minorHAnsi" w:hAnsiTheme="minorHAnsi" w:cstheme="minorHAnsi"/>
          <w:color w:val="000000" w:themeColor="text1"/>
          <w:sz w:val="22"/>
          <w:szCs w:val="22"/>
        </w:rPr>
        <w:t xml:space="preserve"> evaluating how social determinants, gendered cultural norms and expectations, and environmental factors can shape male health behaviours and us</w:t>
      </w:r>
      <w:r w:rsidR="00434714">
        <w:rPr>
          <w:rFonts w:asciiTheme="minorHAnsi" w:hAnsiTheme="minorHAnsi" w:cstheme="minorHAnsi"/>
          <w:color w:val="000000" w:themeColor="text1"/>
          <w:sz w:val="22"/>
          <w:szCs w:val="22"/>
        </w:rPr>
        <w:t>e of health-care services</w:t>
      </w:r>
      <w:r w:rsidR="00ED44C4" w:rsidRPr="00500FBD">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{"citationItems":[{"id":"ITEM-1","itemData":{"DOI":"10.1037/0000023-010","abstract":"Intersectionality is a conceptual framework that addresses how multiple interlocking social identities reflect diverse systems of power, privilege, oppression, and inequity (Bowleg, 2012; Shields, 2008; Stewart &amp; McDermott, 2004). In particular, this framework emphasizes the manner in which multiple social identities, such as race, gender, and social class, are dependent on each other for meaning (Cole, 2009). As a conceptual framework, intersectionality is ideally suited for the study of men of color for several reasons. For one, intersectionality highlights the notion that men of color have relatively unique experiences that differ from those of men in general and from women of color; therefore, they deserve to be studied in their own right rather than simply as men or as people of color. For another, intersectionality reflects the reality and complexities of men of color's lives in that they simultaneously occupy multiple social identities (Shields, 2008). Nonetheless, several scholars have observed challenges and ambiguity regarding how to study intersectionality (Bowleg, 2012; Goff &amp; Kahn, 2013; McCall, 2005; Nash, 2008). Although few scholars dispute the intersectionality framework's basic tenet that people have multiple, interlocking social identities, translating this insight into research questions and testable hypotheses remains substantially more challenging. For example, Bowleg (2008) criticized the additive approach to intersectionality, which focuses on the independent and summative effects of multiple identities, as inadequate to capture the complexities of people's experiences; however, she noted that 'it is virtually impossible, particularly in quantitative research, to ask questions about intersectionality that are not inherently additive' (p. 314). Therefore, the goal of this chapter is to elucidate research paradigms for the application of intersectionality to the psychology of racial/ethnic minority men. Throughout this chapter, we provide examples of theoretical concepts, research questions, research design, and statistical methods that reflect each of these three paradigms. Our basic premise is that there are multiple approaches to studying intersectionality, which can be categorized into at least three research paradigms, each with a different focus. We label these paradigms (a) the intergroup paradigm, (b) the interconstruct paradigm, and (c) the intersectional uniqueness paradigm. Although we believe these three paradigms can b…","author":[{"dropping-particle":"","family":"Wong","given":"Y. Joel","non-dropping-particle":"","parse-names":false,"suffix":""},{"dropping-particle":"","family":"Liu","given":"Tao","non-dropping-particle":"","parse-names":false,"suffix":""},{"dropping-particle":"","family":"Klann","given":"Elyssa M.","non-dropping-particle":"","parse-names":false,"suffix":""}],"container-title":"The psychology of men and masculinities.","id":"ITEM-1","issued":{"date-parts":[["2017"]]},"page":"261–288","title":"The intersection of race, ethnicity, and masculinities: Progress, problems, and prospects.","type":"chapter"},"uris":["http://www.mendeley.com/documents/?uuid=9d5b379b-0e46-4f6f-9fc9-45285690285b"]}],"mendeley":{"formattedCitation":"(99)","plainTextFormattedCitation":"(99)","previouslyFormattedCitation":"(99)"},"properties":{"noteIndex":0},"schema":"https://github.com/citation-style-language/schema/raw/master/csl-citation.json"}</w:instrText>
      </w:r>
      <w:r w:rsidR="00ED44C4" w:rsidRPr="00500FBD">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(99)</w:t>
      </w:r>
      <w:r w:rsidR="00ED44C4" w:rsidRPr="00500FBD">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10.1016/S0140-6736(19)31609-5","ISSN":"1474547X","PMID":"31327355","author":[{"dropping-particle":"","family":"Ragonese","given":"Cody","non-dropping-particle":"","parse-names":false,"suffix":""},{"dropping-particle":"","family":"Barker","given":"Gary","non-dropping-particle":"","parse-names":false,"suffix":""}],"container-title":"The Lancet","id":"ITEM-1","issue":"10194","issued":{"date-parts":[["2019"]]},"page":"198-199","title":"Understanding masculinities to improve men's health","type":"article-journal","volume":"394"},"uris":["http://www.mendeley.com/documents/?uuid=9591e335-d70b-4462-86b3-d533ea875b70"]}],"mendeley":{"formattedCitation":"(100)","plainTextFormattedCitation":"(100)","previouslyFormattedCitation":"(100)"},"properties":{"noteIndex":0},"schema":"https://github.com/citation-style-language/schema/raw/master/csl-citation.json"}</w:instrText>
      </w:r>
      <w:r w:rsidR="00ED44C4" w:rsidRPr="00500FBD">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(100)</w:t>
      </w:r>
      <w:r w:rsidR="00ED44C4" w:rsidRPr="00500FBD">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{"citationItems":[{"id":"ITEM-1","itemData":{"DOI":"10.1016/j.puhe.2011.04.014","ISSN":"00333506","PMID":"21724208","abstract":"Although gender, racial and ethnic differences in health in the USA are well documented, it is less clear how race and gender intersect to produce large and consistently poor health outcomes for men of colour, particularly Black American men. This paper will illustrate how race and gender intersect at multiple levels to shape men's health and health behaviours, and function as fundamental social determinants of health. The paper will conclude by discussing the need to attend to the role of male gender in pathways and processes underlying racial health disparities, and the challenges of developing health promotion interventions for Black American men. © 2011 The Royal Society for Public Health.","author":[{"dropping-particle":"","family":"Griffith","given":"D. M.","non-dropping-particle":"","parse-names":false,"suffix":""},{"dropping-particle":"","family":"Metzl","given":"J. M.","non-dropping-particle":"","parse-names":false,"suffix":""},{"dropping-particle":"","family":"Gunter","given":"K.","non-dropping-particle":"","parse-names":false,"suffix":""}],"container-title":"Public Health","id":"ITEM-1","issue":"7","issued":{"date-parts":[["2011"]]},"page":"417-423","title":"Considering intersections of race and gender in interventions that address US men's health disparities","type":"article-journal","volume":"125"},"uris":["http://www.mendeley.com/documents/?uuid=5831b0b5-d53f-4b66-bc41-ccf84ffc7796"]}],"mendeley":{"formattedCitation":"(101)","plainTextFormattedCitation":"(101)","previouslyFormattedCitation":"(101)"},"properties":{"noteIndex":0},"schema":"https://github.com/citation-style-language/schema/raw/master/csl-citation.json"}</w:instrText>
      </w:r>
      <w:r w:rsidR="00ED44C4" w:rsidRPr="00500FBD">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(101)</w:t>
      </w:r>
      <w:r w:rsidR="00ED44C4" w:rsidRPr="00500FBD">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color w:val="000000" w:themeColor="text1"/>
          <w:sz w:val="22"/>
          <w:szCs w:val="22"/>
        </w:rPr>
        <w:fldChar w:fldCharType="begin" w:fldLock="1"/>
      </w:r>
      <w:r w:rsidR="00693DD5">
        <w:rPr>
          <w:rFonts w:asciiTheme="minorHAnsi" w:hAnsiTheme="minorHAnsi" w:cstheme="minorHAnsi"/>
          <w:color w:val="000000" w:themeColor="text1"/>
          <w:sz w:val="22"/>
          <w:szCs w:val="22"/>
        </w:rPr>
        <w:instrText>ADDIN CSL_CITATION {"citationItems":[{"id":"ITEM-1","itemData":{"DOI":"10.1080/08964289.2016.1194158","ISSN":"19404026","PMID":"27337626","author":[{"dropping-particle":"","family":"Griffith","given":"Derek M.","non-dropping-particle":"","parse-names":false,"suffix":""}],"container-title":"Behavioral Medicine","id":"ITEM-1","issued":{"date-parts":[["2016"]]},"title":"Biopsychosocial Approaches to Men's Health Disparities Research and Policy","type":"article-journal"},"uris":["http://www.mendeley.com/documents/?uuid=6d109bf9-cf21-4b37-a252-856b075cc7a1"]}],"mendeley":{"formattedCitation":"(102)","plainTextFormattedCitation":"(102)","previouslyFormattedCitation":"(102)"},"properties":{"noteIndex":0},"schema":"https://github.com/citation-style-language/schema/raw/master/csl-citation.json"}</w:instrText>
      </w:r>
      <w:r w:rsidR="00ED44C4" w:rsidRPr="00500FBD">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(102)</w:t>
      </w:r>
      <w:r w:rsidR="00ED44C4" w:rsidRPr="00500FBD">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{"citationItems":[{"id":"ITEM-1","itemData":{"DOI":"10.1016/j.jomh.2012.03.003","ISSN":"18756867","abstract":"Men's lives and health are rooted in opportunity structures that are shaped by race, ethnicity and other characteristics that have important social, political, economic and cultural meaning. Within men's health, there is a need to consider how structural factors and men's socially-defined characteristics affect the relationship between sex, gender and health. The goal of an intersectional approach is to simultaneously examine the social and health effects of several key aspects of identity and context in ways that create a new understanding of these factors and that are a more accurate reflection of the lived experiences of the populations of interest. Despite their promise, intersectional approaches have been criticized for being difficult to operationalize and study systematically. This paper, however, presents a framework for studying the intersection of gender and other identities and characteristics that are relevant for men's health, and explicitly identifies key pathways and stratification variables to guide future research. This framework highlights pathways and ways to think about why race, gender, age and ethnicity affect men's health, and offers a tool for studying the relationship between socially-defined characteristics and men's health. Future research on men's health should begin by recognizing that comparing how men experience and embody masculinities may be most useful when researchers are explicit about their assumptions and theories about what and how socially-defined characteristics intersect with gender in a given national and local context. Research employing an intersectional approach also may elucidate how men of specific population groups create new normative masculinities for themselves. © 2012 WPMH GmbH.","author":[{"dropping-particle":"","family":"Griffith","given":"Derek M.","non-dropping-particle":"","parse-names":false,"suffix":""}],"container-title":"Journal of Men's Health","id":"ITEM-1","issue":"2","issued":{"date-parts":[["2012"]]},"page":"106-112","title":"An intersectional approach to Men's Health","type":"article-journal","volume":"9"},"uris":["http://www.mendeley.com/documents/?uuid=bce2bd3f-4096-4462-8156-9c4d6c13be8e"]}],"mendeley":{"formattedCitation":"(103)","plainTextFormattedCitation":"(103)","previouslyFormattedCitation":"(103)"},"properties":{"noteIndex":0},"schema":"https://github.com/citation-style-language/schema/raw/master/csl-citation.json"}</w:instrText>
      </w:r>
      <w:r w:rsidR="00ED44C4" w:rsidRPr="00500FBD">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(103)</w:t>
      </w:r>
      <w:r w:rsidR="00ED44C4" w:rsidRPr="00500FBD">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{"citationItems":[{"id":"ITEM-1","itemData":{"DOI":"10.1080/09581596.2017.1380298","ISSN":"14693682","abstract":"Syndemics (socially produced intertwined epidemics) of psychosocial issues have been shown empirically to increase the risk of HIV infection among gay, bisexual and other men who have sex with men (GBM). However, to intervene effectively identifying those who are most vulnerable is critically important. Using an intersectionality framework, this study analyzed data drawn from 8490 Canadian GBM respondents to an online survey to evaluate demographic factors associated with experiencing a syndemic. A multivariable regression model was used to identify demographic characteristics among those experiencing a syndemic of two or more issues. Then, applying an intersectionality framework, the sample was stratified by gay and bisexual men, and by men partnered with woman (whether they were gay, bisexual or other), and the multivariate analyses for demographic variables were repeated for each strata. Multivariate regression models found that men were more at risk of syndemics if they identified as gay, were single, young (&lt; 30-years-old), did not have a university degree and were low-income earners (&lt; $60,000 per year). On stratified analysis, variations were found between gay, bisexual and female-partnered men where gay men were at greater odds of reporting a syndemic. These results provide further evidence that syndemics of psychosocial issues increase the risk of HIV infection among GBM. More so, the occurrence of syndemics was dependent on every single variable investigated including ethnicity and income. As such, interventions to reduce the effects of syndemics should be targeted to those most at risk and address social and structural inequities.","author":[{"dropping-particle":"","family":"Ferlatte","given":"Olivier","non-dropping-particle":"","parse-names":false,"suffix":""},{"dropping-particle":"","family":"Salway","given":"Travis","non-dropping-particle":"","parse-names":false,"suffix":""},{"dropping-particle":"","family":"Trussler","given":"Terry","non-dropping-particle":"","parse-names":false,"suffix":""},{"dropping-particle":"","family":"Oliffe","given":"John L.","non-dropping-particle":"","parse-names":false,"suffix":""},{"dropping-particle":"","family":"Gilbert","given":"Mark","non-dropping-particle":"","parse-names":false,"suffix":""}],"container-title":"Critical Public Health","id":"ITEM-1","issue":"5","issued":{"date-parts":[["2018"]]},"page":"509-521","title":"Combining intersectionality and syndemic theory to advance understandings of health inequities among Canadian gay, bisexual and other men who have sex with men","type":"article-journal","volume":"28"},"uris":["http://www.mendeley.com/documents/?uuid=313c1006-8fad-4f3f-9abe-9fb8ae1bad83"]}],"mendeley":{"formattedCitation":"(104)","plainTextFormattedCitation":"(104)","previouslyFormattedCitation":"(104)"},"properties":{"noteIndex":0},"schema":"https://github.com/citation-style-language/schema/raw/master/csl-citation.json"}</w:instrText>
      </w:r>
      <w:r w:rsidR="00ED44C4" w:rsidRPr="00500FBD">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(104)</w:t>
      </w:r>
      <w:r w:rsidR="00ED44C4" w:rsidRPr="00500FBD">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sz w:val="22"/>
          <w:szCs w:val="22"/>
        </w:rPr>
        <w:t xml:space="preserve">. </w:t>
      </w:r>
      <w:r w:rsidR="00ED44C4" w:rsidRPr="00500FBD">
        <w:rPr>
          <w:rFonts w:asciiTheme="minorHAnsi" w:hAnsiTheme="minorHAnsi" w:cstheme="minorHAnsi"/>
          <w:color w:val="000000" w:themeColor="text1"/>
          <w:sz w:val="22"/>
          <w:szCs w:val="22"/>
        </w:rPr>
        <w:t>These factors seldom act in isolation</w:t>
      </w:r>
      <w:r>
        <w:rPr>
          <w:rFonts w:asciiTheme="minorHAnsi" w:hAnsiTheme="minorHAnsi" w:cstheme="minorHAnsi"/>
          <w:color w:val="000000" w:themeColor="text1"/>
          <w:sz w:val="22"/>
          <w:szCs w:val="22"/>
        </w:rPr>
        <w:t xml:space="preserve">; thus, </w:t>
      </w:r>
      <w:r w:rsidR="00ED44C4" w:rsidRPr="00500FBD">
        <w:rPr>
          <w:rFonts w:asciiTheme="minorHAnsi" w:hAnsiTheme="minorHAnsi" w:cstheme="minorHAnsi"/>
          <w:color w:val="000000" w:themeColor="text1"/>
          <w:sz w:val="22"/>
          <w:szCs w:val="22"/>
        </w:rPr>
        <w:t xml:space="preserve">intersectional analysis aims to identify how social, cultural, contextual and identity aspects can </w:t>
      </w:r>
      <w:r>
        <w:rPr>
          <w:rFonts w:asciiTheme="minorHAnsi" w:hAnsiTheme="minorHAnsi" w:cstheme="minorHAnsi"/>
          <w:color w:val="000000" w:themeColor="text1"/>
          <w:sz w:val="22"/>
          <w:szCs w:val="22"/>
        </w:rPr>
        <w:t>affect</w:t>
      </w:r>
      <w:r w:rsidR="00ED44C4" w:rsidRPr="00500FBD">
        <w:rPr>
          <w:rFonts w:asciiTheme="minorHAnsi" w:hAnsiTheme="minorHAnsi" w:cstheme="minorHAnsi"/>
          <w:color w:val="000000" w:themeColor="text1"/>
          <w:sz w:val="22"/>
          <w:szCs w:val="22"/>
        </w:rPr>
        <w:t xml:space="preserve"> health outcomes</w:t>
      </w:r>
      <w:r w:rsidR="00ED44C4" w:rsidRPr="00500FBD">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{"citationItems":[{"id":"ITEM-1","itemData":{"DOI":"10.1016/j.jomh.2012.03.003","ISSN":"18756867","abstract":"Men's lives and health are rooted in opportunity structures that are shaped by race, ethnicity and other characteristics that have important social, political, economic and cultural meaning. Within men's health, there is a need to consider how structural factors and men's socially-defined characteristics affect the relationship between sex, gender and health. The goal of an intersectional approach is to simultaneously examine the social and health effects of several key aspects of identity and context in ways that create a new understanding of these factors and that are a more accurate reflection of the lived experiences of the populations of interest. Despite their promise, intersectional approaches have been criticized for being difficult to operationalize and study systematically. This paper, however, presents a framework for studying the intersection of gender and other identities and characteristics that are relevant for men's health, and explicitly identifies key pathways and stratification variables to guide future research. This framework highlights pathways and ways to think about why race, gender, age and ethnicity affect men's health, and offers a tool for studying the relationship between socially-defined characteristics and men's health. Future research on men's health should begin by recognizing that comparing how men experience and embody masculinities may be most useful when researchers are explicit about their assumptions and theories about what and how socially-defined characteristics intersect with gender in a given national and local context. Research employing an intersectional approach also may elucidate how men of specific population groups create new normative masculinities for themselves. © 2012 WPMH GmbH.","author":[{"dropping-particle":"","family":"Griffith","given":"Derek M.","non-dropping-particle":"","parse-names":false,"suffix":""}],"container-title":"Journal of Men's Health","id":"ITEM-1","issue":"2","issued":{"date-parts":[["2012"]]},"page":"106-112","title":"An intersectional approach to Men's Health","type":"article-journal","volume":"9"},"uris":["http://www.mendeley.com/documents/?uuid=bce2bd3f-4096-4462-8156-9c4d6c13be8e"]}],"mendeley":{"formattedCitation":"(103)","plainTextFormattedCitation":"(103)","previouslyFormattedCitation":"(103)"},"properties":{"noteIndex":0},"schema":"https://github.com/citation-style-language/schema/raw/master/csl-citation.json"}</w:instrText>
      </w:r>
      <w:r w:rsidR="00ED44C4" w:rsidRPr="00500FBD">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(103)</w:t>
      </w:r>
      <w:r w:rsidR="00ED44C4" w:rsidRPr="00500FBD">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0242C7">
        <w:rPr>
          <w:rFonts w:asciiTheme="minorHAnsi" w:hAnsiTheme="minorHAnsi" w:cstheme="minorHAnsi"/>
          <w:color w:val="000000" w:themeColor="text1"/>
          <w:sz w:val="22"/>
          <w:szCs w:val="22"/>
        </w:rPr>
        <w:t>A number of intersectional studies have highlighted how psychosocial factors in conjunction with demographic factors can confer an increased risk of health issues in men.</w:t>
      </w:r>
      <w:r w:rsidRPr="009B5594">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For example, a</w:t>
      </w:r>
      <w:r w:rsidR="00ED44C4" w:rsidRPr="00500FBD">
        <w:rPr>
          <w:rFonts w:asciiTheme="minorHAnsi" w:hAnsiTheme="minorHAnsi" w:cstheme="minorHAnsi"/>
          <w:color w:val="000000" w:themeColor="text1"/>
          <w:sz w:val="22"/>
          <w:szCs w:val="22"/>
        </w:rPr>
        <w:t xml:space="preserve"> cross sectional study investigating psychosocial factors associated with HIV risk in men who had sex with men</w:t>
      </w:r>
      <w:r>
        <w:rPr>
          <w:rFonts w:asciiTheme="minorHAnsi" w:hAnsiTheme="minorHAnsi" w:cstheme="minorHAnsi"/>
          <w:color w:val="000000" w:themeColor="text1"/>
          <w:sz w:val="22"/>
          <w:szCs w:val="22"/>
        </w:rPr>
        <w:t xml:space="preserve"> (MSM)</w:t>
      </w:r>
      <w:r w:rsidRPr="009B5594">
        <w:rPr>
          <w:rFonts w:asciiTheme="minorHAnsi" w:hAnsiTheme="minorHAnsi" w:cstheme="minorHAnsi"/>
          <w:color w:val="000000" w:themeColor="text1"/>
          <w:sz w:val="22"/>
          <w:szCs w:val="22"/>
        </w:rPr>
        <w:t xml:space="preserve"> illustrates this concept</w:t>
      </w:r>
      <w:r w:rsidRPr="00980EFC">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{"citationItems":[{"id":"ITEM-1","itemData":{"DOI":"10.2105/AJPH.93.6.939","ISSN":"00900036","PMID":"12773359","abstract":"Objectives. We measured the extent to which a set of psychosocial health problems have an additive effect on increasing HIV risk among men who have sex with men (MSM). Methods. We conducted a cross-sectional household probability telephone sample of MSM in Chicago, Los Angeles, New York, and San Francisco. Results. Psychosocial health problems are highly intercorrelated among urban MSM. Greater numbers of health problems are significantly and positively associated with high-risk sexual behavior and HIV infection. Conclusions. AIDS prevention among MSM has overwhelmingly focused on sexual risk alone. Other health problems among MSM not only are important in their own right, but also may interact to increase HIV risk. HIV prevention might become more effective by addressing the broader health concerns of MSM while also focusing on sexual risks.","author":[{"dropping-particle":"","family":"Stall","given":"Ron","non-dropping-particle":"","parse-names":false,"suffix":""},{"dropping-particle":"","family":"Mills","given":"Thomas C.","non-dropping-particle":"","parse-names":false,"suffix":""},{"dropping-particle":"","family":"Williamson","given":"John","non-dropping-particle":"","parse-names":false,"suffix":""},{"dropping-particle":"","family":"Hart","given":"Trevor","non-dropping-particle":"","parse-names":false,"suffix":""},{"dropping-particle":"","family":"Greenwood","given":"Greg","non-dropping-particle":"","parse-names":false,"suffix":""},{"dropping-particle":"","family":"Paul","given":"Jay","non-dropping-particle":"","parse-names":false,"suffix":""},{"dropping-particle":"","family":"Pollack","given":"Lance","non-dropping-particle":"","parse-names":false,"suffix":""},{"dropping-particle":"","family":"Binson","given":"Diane","non-dropping-particle":"","parse-names":false,"suffix":""},{"dropping-particle":"","family":"Osmond","given":"Dennis","non-dropping-particle":"","parse-names":false,"suffix":""},{"dropping-particle":"","family":"Catania","given":"Joseph A.","non-dropping-particle":"","parse-names":false,"suffix":""}],"container-title":"American Journal of Public Health","id":"ITEM-1","issue":"6","issued":{"date-parts":[["2003"]]},"page":"939–942","title":"Association of Co-Occurring Psychosocial Health Problems and Increased Vulnerability to HIV/AIDS among Urban Men Who Have Sex with Men","type":"article-journal","volume":"93"},"uris":["http://www.mendeley.com/documents/?uuid=3332fcad-abb2-401a-8244-ae58b89dd048"]}],"mendeley":{"formattedCitation":"(105)","plainTextFormattedCitation":"(105)","previouslyFormattedCitation":"(105)"},"properties":{"noteIndex":0},"schema":"https://github.com/citation-style-language/schema/raw/master/csl-citation.json"}</w:instrText>
      </w:r>
      <w:r w:rsidRPr="00980EFC">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(105)</w:t>
      </w:r>
      <w:r w:rsidRPr="00980EFC">
        <w:rPr>
          <w:rFonts w:asciiTheme="minorHAnsi" w:hAnsiTheme="minorHAnsi" w:cstheme="minorHAnsi"/>
          <w:color w:val="000000" w:themeColor="text1"/>
          <w:sz w:val="22"/>
          <w:szCs w:val="22"/>
        </w:rPr>
        <w:fldChar w:fldCharType="end"/>
      </w:r>
      <w:r w:rsidR="00ED44C4" w:rsidRPr="00500FBD">
        <w:rPr>
          <w:rFonts w:asciiTheme="minorHAnsi" w:hAnsiTheme="minorHAnsi" w:cstheme="minorHAnsi"/>
          <w:color w:val="000000" w:themeColor="text1"/>
          <w:sz w:val="22"/>
          <w:szCs w:val="22"/>
        </w:rPr>
        <w:t xml:space="preserve">. The </w:t>
      </w:r>
      <w:r>
        <w:rPr>
          <w:rFonts w:asciiTheme="minorHAnsi" w:hAnsiTheme="minorHAnsi" w:cstheme="minorHAnsi"/>
          <w:color w:val="000000" w:themeColor="text1"/>
          <w:sz w:val="22"/>
          <w:szCs w:val="22"/>
        </w:rPr>
        <w:t>study involv</w:t>
      </w:r>
      <w:r w:rsidR="00ED44C4" w:rsidRPr="00500FBD">
        <w:rPr>
          <w:rFonts w:asciiTheme="minorHAnsi" w:hAnsiTheme="minorHAnsi" w:cstheme="minorHAnsi"/>
          <w:color w:val="000000" w:themeColor="text1"/>
          <w:sz w:val="22"/>
          <w:szCs w:val="22"/>
        </w:rPr>
        <w:t>ed 2</w:t>
      </w:r>
      <w:r>
        <w:rPr>
          <w:rFonts w:asciiTheme="minorHAnsi" w:hAnsiTheme="minorHAnsi" w:cstheme="minorHAnsi"/>
          <w:color w:val="000000" w:themeColor="text1"/>
          <w:sz w:val="22"/>
          <w:szCs w:val="22"/>
        </w:rPr>
        <w:t>,</w:t>
      </w:r>
      <w:r w:rsidR="00ED44C4" w:rsidRPr="00500FBD">
        <w:rPr>
          <w:rFonts w:asciiTheme="minorHAnsi" w:hAnsiTheme="minorHAnsi" w:cstheme="minorHAnsi"/>
          <w:color w:val="000000" w:themeColor="text1"/>
          <w:sz w:val="22"/>
          <w:szCs w:val="22"/>
        </w:rPr>
        <w:t>881 telephone interviews from participants in 4 US cities (New York, Los Angeles, Chicago and San Francisco) and reported that drug use (OR: 2.2; 95% CI: 1.7-2.8, p&lt;0.05) and partner violence (OR:1.5, 95% CI:1.2-1.9, p&lt;0.05) were associated with HIV seropositivity. Moreover, a</w:t>
      </w:r>
      <w:r>
        <w:rPr>
          <w:rFonts w:asciiTheme="minorHAnsi" w:hAnsiTheme="minorHAnsi" w:cstheme="minorHAnsi"/>
          <w:color w:val="000000" w:themeColor="text1"/>
          <w:sz w:val="22"/>
          <w:szCs w:val="22"/>
        </w:rPr>
        <w:t>n increased</w:t>
      </w:r>
      <w:r w:rsidR="00ED44C4" w:rsidRPr="00500FBD">
        <w:rPr>
          <w:rFonts w:asciiTheme="minorHAnsi" w:hAnsiTheme="minorHAnsi" w:cstheme="minorHAnsi"/>
          <w:color w:val="000000" w:themeColor="text1"/>
          <w:sz w:val="22"/>
          <w:szCs w:val="22"/>
        </w:rPr>
        <w:t xml:space="preserve"> number</w:t>
      </w:r>
      <w:r w:rsidR="00AF5E30">
        <w:rPr>
          <w:rFonts w:asciiTheme="minorHAnsi" w:hAnsiTheme="minorHAnsi" w:cstheme="minorHAnsi"/>
          <w:color w:val="000000" w:themeColor="text1"/>
          <w:sz w:val="22"/>
          <w:szCs w:val="22"/>
        </w:rPr>
        <w:t xml:space="preserve"> (odds ratio</w:t>
      </w:r>
      <w:r w:rsidR="004D6819">
        <w:rPr>
          <w:rFonts w:asciiTheme="minorHAnsi" w:hAnsiTheme="minorHAnsi" w:cstheme="minorHAnsi"/>
          <w:color w:val="000000" w:themeColor="text1"/>
          <w:sz w:val="22"/>
          <w:szCs w:val="22"/>
        </w:rPr>
        <w:t xml:space="preserve"> (OR)</w:t>
      </w:r>
      <w:r w:rsidR="00AF5E30">
        <w:rPr>
          <w:rFonts w:asciiTheme="minorHAnsi" w:hAnsiTheme="minorHAnsi" w:cstheme="minorHAnsi"/>
          <w:color w:val="000000" w:themeColor="text1"/>
          <w:sz w:val="22"/>
          <w:szCs w:val="22"/>
        </w:rPr>
        <w:t xml:space="preserve"> for 1 problem 1.8</w:t>
      </w:r>
      <w:r w:rsidR="004D6819">
        <w:rPr>
          <w:rFonts w:asciiTheme="minorHAnsi" w:hAnsiTheme="minorHAnsi" w:cstheme="minorHAnsi"/>
          <w:color w:val="000000" w:themeColor="text1"/>
          <w:sz w:val="22"/>
          <w:szCs w:val="22"/>
        </w:rPr>
        <w:t xml:space="preserve"> </w:t>
      </w:r>
      <w:r w:rsidR="00AF5E30">
        <w:rPr>
          <w:rFonts w:asciiTheme="minorHAnsi" w:hAnsiTheme="minorHAnsi" w:cstheme="minorHAnsi"/>
          <w:color w:val="000000" w:themeColor="text1"/>
          <w:sz w:val="22"/>
          <w:szCs w:val="22"/>
        </w:rPr>
        <w:t>(95% CI =1.4</w:t>
      </w:r>
      <w:r w:rsidR="004D6819">
        <w:rPr>
          <w:rFonts w:asciiTheme="minorHAnsi" w:hAnsiTheme="minorHAnsi" w:cstheme="minorHAnsi"/>
          <w:color w:val="000000" w:themeColor="text1"/>
          <w:sz w:val="22"/>
          <w:szCs w:val="22"/>
        </w:rPr>
        <w:t>–</w:t>
      </w:r>
      <w:r w:rsidR="00AF5E30">
        <w:rPr>
          <w:rFonts w:asciiTheme="minorHAnsi" w:hAnsiTheme="minorHAnsi" w:cstheme="minorHAnsi"/>
          <w:color w:val="000000" w:themeColor="text1"/>
          <w:sz w:val="22"/>
          <w:szCs w:val="22"/>
        </w:rPr>
        <w:t>2.3), 2 problems 2.7 (95% CI = 2.0</w:t>
      </w:r>
      <w:r w:rsidR="004D6819">
        <w:rPr>
          <w:rFonts w:asciiTheme="minorHAnsi" w:hAnsiTheme="minorHAnsi" w:cstheme="minorHAnsi"/>
          <w:color w:val="000000" w:themeColor="text1"/>
          <w:sz w:val="22"/>
          <w:szCs w:val="22"/>
        </w:rPr>
        <w:t>–</w:t>
      </w:r>
      <w:r w:rsidR="00AF5E30">
        <w:rPr>
          <w:rFonts w:asciiTheme="minorHAnsi" w:hAnsiTheme="minorHAnsi" w:cstheme="minorHAnsi"/>
          <w:color w:val="000000" w:themeColor="text1"/>
          <w:sz w:val="22"/>
          <w:szCs w:val="22"/>
        </w:rPr>
        <w:t>3.6), ≥3 problems 2.2 (95% CI 1.4</w:t>
      </w:r>
      <w:r w:rsidR="004D6819">
        <w:rPr>
          <w:rFonts w:asciiTheme="minorHAnsi" w:hAnsiTheme="minorHAnsi" w:cstheme="minorHAnsi"/>
          <w:color w:val="000000" w:themeColor="text1"/>
          <w:sz w:val="22"/>
          <w:szCs w:val="22"/>
        </w:rPr>
        <w:t>–</w:t>
      </w:r>
      <w:r w:rsidR="00AF5E30">
        <w:rPr>
          <w:rFonts w:asciiTheme="minorHAnsi" w:hAnsiTheme="minorHAnsi" w:cstheme="minorHAnsi"/>
          <w:color w:val="000000" w:themeColor="text1"/>
          <w:sz w:val="22"/>
          <w:szCs w:val="22"/>
        </w:rPr>
        <w:t>3.5, p&lt;0.001)</w:t>
      </w:r>
      <w:r>
        <w:rPr>
          <w:rFonts w:asciiTheme="minorHAnsi" w:hAnsiTheme="minorHAnsi" w:cstheme="minorHAnsi"/>
          <w:color w:val="000000" w:themeColor="text1"/>
          <w:sz w:val="22"/>
          <w:szCs w:val="22"/>
        </w:rPr>
        <w:t xml:space="preserve"> </w:t>
      </w:r>
      <w:r w:rsidR="00ED44C4" w:rsidRPr="00500FBD">
        <w:rPr>
          <w:rFonts w:asciiTheme="minorHAnsi" w:hAnsiTheme="minorHAnsi" w:cstheme="minorHAnsi"/>
          <w:color w:val="000000" w:themeColor="text1"/>
          <w:sz w:val="22"/>
          <w:szCs w:val="22"/>
        </w:rPr>
        <w:t>of psychosocial health problems</w:t>
      </w:r>
      <w:r w:rsidR="00AF5E30">
        <w:rPr>
          <w:rFonts w:asciiTheme="minorHAnsi" w:hAnsiTheme="minorHAnsi" w:cstheme="minorHAnsi"/>
          <w:color w:val="000000" w:themeColor="text1"/>
          <w:sz w:val="22"/>
          <w:szCs w:val="22"/>
        </w:rPr>
        <w:t xml:space="preserve"> (</w:t>
      </w:r>
      <w:r w:rsidR="004D6819">
        <w:rPr>
          <w:rFonts w:asciiTheme="minorHAnsi" w:hAnsiTheme="minorHAnsi" w:cstheme="minorHAnsi"/>
          <w:color w:val="000000" w:themeColor="text1"/>
          <w:sz w:val="22"/>
          <w:szCs w:val="22"/>
        </w:rPr>
        <w:t xml:space="preserve">multiple </w:t>
      </w:r>
      <w:r w:rsidR="00AF5E30">
        <w:rPr>
          <w:rFonts w:asciiTheme="minorHAnsi" w:hAnsiTheme="minorHAnsi" w:cstheme="minorHAnsi"/>
          <w:color w:val="000000" w:themeColor="text1"/>
          <w:sz w:val="22"/>
          <w:szCs w:val="22"/>
        </w:rPr>
        <w:t xml:space="preserve">drug use, depression, childhood sexual abuse and partner violence) </w:t>
      </w:r>
      <w:r w:rsidR="00ED44C4" w:rsidRPr="00500FBD">
        <w:rPr>
          <w:rFonts w:asciiTheme="minorHAnsi" w:hAnsiTheme="minorHAnsi" w:cstheme="minorHAnsi"/>
          <w:color w:val="000000" w:themeColor="text1"/>
          <w:sz w:val="22"/>
          <w:szCs w:val="22"/>
        </w:rPr>
        <w:t>w</w:t>
      </w:r>
      <w:r w:rsidR="00AF5E30">
        <w:rPr>
          <w:rFonts w:asciiTheme="minorHAnsi" w:hAnsiTheme="minorHAnsi" w:cstheme="minorHAnsi"/>
          <w:color w:val="000000" w:themeColor="text1"/>
          <w:sz w:val="22"/>
          <w:szCs w:val="22"/>
        </w:rPr>
        <w:t>ere</w:t>
      </w:r>
      <w:r w:rsidR="00ED44C4" w:rsidRPr="00500FBD">
        <w:rPr>
          <w:rFonts w:asciiTheme="minorHAnsi" w:hAnsiTheme="minorHAnsi" w:cstheme="minorHAnsi"/>
          <w:color w:val="000000" w:themeColor="text1"/>
          <w:sz w:val="22"/>
          <w:szCs w:val="22"/>
        </w:rPr>
        <w:t xml:space="preserve"> associated with increasing prevalence of HIV infection.</w:t>
      </w:r>
      <w:r w:rsidR="00ED44C4" w:rsidRPr="00500FBD">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A separate study</w:t>
      </w:r>
      <w:r w:rsidR="0098051E">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{"citationItems":[{"id":"ITEM-1","itemData":{"DOI":"10.1080/09581596.2017.1380298","ISSN":"14693682","abstract":"Syndemics (socially produced intertwined epidemics) of psychosocial issues have been shown empirically to increase the risk of HIV infection among gay, bisexual and other men who have sex with men (GBM). However, to intervene effectively identifying those who are most vulnerable is critically important. Using an intersectionality framework, this study analyzed data drawn from 8490 Canadian GBM respondents to an online survey to evaluate demographic factors associated with experiencing a syndemic. A multivariable regression model was used to identify demographic characteristics among those experiencing a syndemic of two or more issues. Then, applying an intersectionality framework, the sample was stratified by gay and bisexual men, and by men partnered with woman (whether they were gay, bisexual or other), and the multivariate analyses for demographic variables were repeated for each strata. Multivariate regression models found that men were more at risk of syndemics if they identified as gay, were single, young (&lt; 30-years-old), did not have a university degree and were low-income earners (&lt; $60,000 per year). On stratified analysis, variations were found between gay, bisexual and female-partnered men where gay men were at greater odds of reporting a syndemic. These results provide further evidence that syndemics of psychosocial issues increase the risk of HIV infection among GBM. More so, the occurrence of syndemics was dependent on every single variable investigated including ethnicity and income. As such, interventions to reduce the effects of syndemics should be targeted to those most at risk and address social and structural inequities.","author":[{"dropping-particle":"","family":"Ferlatte","given":"Olivier","non-dropping-particle":"","parse-names":false,"suffix":""},{"dropping-particle":"","family":"Salway","given":"Travis","non-dropping-particle":"","parse-names":false,"suffix":""},{"dropping-particle":"","family":"Trussler","given":"Terry","non-dropping-particle":"","parse-names":false,"suffix":""},{"dropping-particle":"","family":"Oliffe","given":"John L.","non-dropping-particle":"","parse-names":false,"suffix":""},{"dropping-particle":"","family":"Gilbert","given":"Mark","non-dropping-particle":"","parse-names":false,"suffix":""}],"container-title":"Critical Public Health","id":"ITEM-1","issue":"5","issued":{"date-parts":[["2018"]]},"page":"509-521","title":"Combining intersectionality and syndemic theory to advance understandings of health inequities among Canadian gay, bisexual and other men who have sex with men","type":"article-journal","volume":"28"},"uris":["http://www.mendeley.com/documents/?uuid=313c1006-8fad-4f3f-9abe-9fb8ae1bad83"]}],"mendeley":{"formattedCitation":"(104)","plainTextFormattedCitation":"(104)","previouslyFormattedCitation":"(104)"},"properties":{"noteIndex":0},"schema":"https://github.com/citation-style-language/schema/raw/master/csl-citation.json"}</w:instrText>
      </w:r>
      <w:r w:rsidR="0098051E">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(104)</w:t>
      </w:r>
      <w:r w:rsidR="0098051E">
        <w:rPr>
          <w:rFonts w:asciiTheme="minorHAnsi" w:hAnsiTheme="minorHAnsi" w:cstheme="minorHAnsi"/>
          <w:color w:val="000000" w:themeColor="text1"/>
          <w:sz w:val="22"/>
          <w:szCs w:val="22"/>
        </w:rPr>
        <w:fldChar w:fldCharType="end"/>
      </w:r>
      <w:r>
        <w:rPr>
          <w:rFonts w:asciiTheme="minorHAnsi" w:hAnsiTheme="minorHAnsi" w:cstheme="minorHAnsi"/>
          <w:color w:val="000000" w:themeColor="text1"/>
          <w:sz w:val="22"/>
          <w:szCs w:val="22"/>
        </w:rPr>
        <w:t xml:space="preserve"> </w:t>
      </w:r>
      <w:r w:rsidR="00ED44C4" w:rsidRPr="00500FBD">
        <w:rPr>
          <w:rFonts w:asciiTheme="minorHAnsi" w:hAnsiTheme="minorHAnsi" w:cstheme="minorHAnsi"/>
          <w:color w:val="000000" w:themeColor="text1"/>
          <w:sz w:val="22"/>
          <w:szCs w:val="22"/>
        </w:rPr>
        <w:t xml:space="preserve">analysed data </w:t>
      </w:r>
      <w:r>
        <w:rPr>
          <w:rFonts w:asciiTheme="minorHAnsi" w:hAnsiTheme="minorHAnsi" w:cstheme="minorHAnsi"/>
          <w:color w:val="000000" w:themeColor="text1"/>
          <w:sz w:val="22"/>
          <w:szCs w:val="22"/>
        </w:rPr>
        <w:t>from</w:t>
      </w:r>
      <w:r w:rsidR="00ED44C4" w:rsidRPr="00500FBD">
        <w:rPr>
          <w:rFonts w:asciiTheme="minorHAnsi" w:hAnsiTheme="minorHAnsi" w:cstheme="minorHAnsi"/>
          <w:color w:val="000000" w:themeColor="text1"/>
          <w:sz w:val="22"/>
          <w:szCs w:val="22"/>
        </w:rPr>
        <w:t xml:space="preserve"> 8</w:t>
      </w:r>
      <w:r>
        <w:rPr>
          <w:rFonts w:asciiTheme="minorHAnsi" w:hAnsiTheme="minorHAnsi" w:cstheme="minorHAnsi"/>
          <w:color w:val="000000" w:themeColor="text1"/>
          <w:sz w:val="22"/>
          <w:szCs w:val="22"/>
        </w:rPr>
        <w:t>,</w:t>
      </w:r>
      <w:r w:rsidR="00ED44C4" w:rsidRPr="00500FBD">
        <w:rPr>
          <w:rFonts w:asciiTheme="minorHAnsi" w:hAnsiTheme="minorHAnsi" w:cstheme="minorHAnsi"/>
          <w:color w:val="000000" w:themeColor="text1"/>
          <w:sz w:val="22"/>
          <w:szCs w:val="22"/>
        </w:rPr>
        <w:t>490 gay, bisexual and other</w:t>
      </w:r>
      <w:r w:rsidR="0098051E">
        <w:rPr>
          <w:rFonts w:asciiTheme="minorHAnsi" w:hAnsiTheme="minorHAnsi" w:cstheme="minorHAnsi"/>
          <w:color w:val="000000" w:themeColor="text1"/>
          <w:sz w:val="22"/>
          <w:szCs w:val="22"/>
        </w:rPr>
        <w:t xml:space="preserve"> (those not defining themselves as either gay or bisexual)</w:t>
      </w:r>
      <w:r>
        <w:rPr>
          <w:rFonts w:asciiTheme="minorHAnsi" w:hAnsiTheme="minorHAnsi" w:cstheme="minorHAnsi"/>
          <w:color w:val="000000" w:themeColor="text1"/>
          <w:sz w:val="22"/>
          <w:szCs w:val="22"/>
        </w:rPr>
        <w:t xml:space="preserve"> MSM</w:t>
      </w:r>
      <w:r w:rsidR="003461CC" w:rsidRPr="00500FBD">
        <w:rPr>
          <w:rFonts w:asciiTheme="minorHAnsi" w:hAnsiTheme="minorHAnsi" w:cstheme="minorHAnsi"/>
          <w:color w:val="000000" w:themeColor="text1"/>
          <w:sz w:val="22"/>
          <w:szCs w:val="22"/>
        </w:rPr>
        <w:t xml:space="preserve"> in Canada. The </w:t>
      </w:r>
      <w:r>
        <w:rPr>
          <w:rFonts w:asciiTheme="minorHAnsi" w:hAnsiTheme="minorHAnsi" w:cstheme="minorHAnsi"/>
          <w:color w:val="000000" w:themeColor="text1"/>
          <w:sz w:val="22"/>
          <w:szCs w:val="22"/>
        </w:rPr>
        <w:t>study</w:t>
      </w:r>
      <w:r w:rsidRPr="00500FBD">
        <w:rPr>
          <w:rFonts w:asciiTheme="minorHAnsi" w:hAnsiTheme="minorHAnsi" w:cstheme="minorHAnsi"/>
          <w:color w:val="000000" w:themeColor="text1"/>
          <w:sz w:val="22"/>
          <w:szCs w:val="22"/>
        </w:rPr>
        <w:t xml:space="preserve"> </w:t>
      </w:r>
      <w:r w:rsidR="003461CC" w:rsidRPr="00500FBD">
        <w:rPr>
          <w:rFonts w:asciiTheme="minorHAnsi" w:hAnsiTheme="minorHAnsi" w:cstheme="minorHAnsi"/>
          <w:color w:val="000000" w:themeColor="text1"/>
          <w:sz w:val="22"/>
          <w:szCs w:val="22"/>
        </w:rPr>
        <w:t>investigated</w:t>
      </w:r>
      <w:r w:rsidR="00ED44C4" w:rsidRPr="00500FBD">
        <w:rPr>
          <w:rFonts w:asciiTheme="minorHAnsi" w:hAnsiTheme="minorHAnsi" w:cstheme="minorHAnsi"/>
          <w:color w:val="000000" w:themeColor="text1"/>
          <w:sz w:val="22"/>
          <w:szCs w:val="22"/>
        </w:rPr>
        <w:t xml:space="preserve"> associations with demographics and psychosocial factors (</w:t>
      </w:r>
      <w:r w:rsidR="0098051E">
        <w:rPr>
          <w:rFonts w:asciiTheme="minorHAnsi" w:hAnsiTheme="minorHAnsi" w:cstheme="minorHAnsi"/>
          <w:color w:val="000000" w:themeColor="text1"/>
          <w:sz w:val="22"/>
          <w:szCs w:val="22"/>
        </w:rPr>
        <w:t xml:space="preserve">specifically </w:t>
      </w:r>
      <w:r w:rsidR="00ED44C4" w:rsidRPr="00500FBD">
        <w:rPr>
          <w:rFonts w:asciiTheme="minorHAnsi" w:hAnsiTheme="minorHAnsi" w:cstheme="minorHAnsi"/>
          <w:color w:val="000000" w:themeColor="text1"/>
          <w:sz w:val="22"/>
          <w:szCs w:val="22"/>
        </w:rPr>
        <w:t>recreational drug use, the weekly practice of alcohol binge drinking; suicidal ideation or attempts, anxiety and</w:t>
      </w:r>
      <w:r w:rsidR="00434714">
        <w:rPr>
          <w:rFonts w:asciiTheme="minorHAnsi" w:hAnsiTheme="minorHAnsi" w:cstheme="minorHAnsi"/>
          <w:color w:val="000000" w:themeColor="text1"/>
          <w:sz w:val="22"/>
          <w:szCs w:val="22"/>
        </w:rPr>
        <w:t>/</w:t>
      </w:r>
      <w:r w:rsidR="00ED44C4" w:rsidRPr="00500FBD">
        <w:rPr>
          <w:rFonts w:asciiTheme="minorHAnsi" w:hAnsiTheme="minorHAnsi" w:cstheme="minorHAnsi"/>
          <w:color w:val="000000" w:themeColor="text1"/>
          <w:sz w:val="22"/>
          <w:szCs w:val="22"/>
        </w:rPr>
        <w:t xml:space="preserve">or depression necessitating mental health treatment. </w:t>
      </w:r>
      <w:r w:rsidR="003461CC" w:rsidRPr="00500FBD">
        <w:rPr>
          <w:rFonts w:asciiTheme="minorHAnsi" w:hAnsiTheme="minorHAnsi" w:cstheme="minorHAnsi"/>
          <w:color w:val="000000" w:themeColor="text1"/>
          <w:sz w:val="22"/>
          <w:szCs w:val="22"/>
        </w:rPr>
        <w:t>M</w:t>
      </w:r>
      <w:r w:rsidR="00ED44C4" w:rsidRPr="00500FBD">
        <w:rPr>
          <w:rFonts w:asciiTheme="minorHAnsi" w:hAnsiTheme="minorHAnsi" w:cstheme="minorHAnsi"/>
          <w:color w:val="000000" w:themeColor="text1"/>
          <w:sz w:val="22"/>
          <w:szCs w:val="22"/>
        </w:rPr>
        <w:t xml:space="preserve">ultivariable analysis </w:t>
      </w:r>
      <w:r w:rsidR="003461CC" w:rsidRPr="00500FBD">
        <w:rPr>
          <w:rFonts w:asciiTheme="minorHAnsi" w:hAnsiTheme="minorHAnsi" w:cstheme="minorHAnsi"/>
          <w:color w:val="000000" w:themeColor="text1"/>
          <w:sz w:val="22"/>
          <w:szCs w:val="22"/>
        </w:rPr>
        <w:t>demonstrated a</w:t>
      </w:r>
      <w:r w:rsidR="00ED44C4" w:rsidRPr="00500FBD">
        <w:rPr>
          <w:rFonts w:asciiTheme="minorHAnsi" w:hAnsiTheme="minorHAnsi" w:cstheme="minorHAnsi"/>
          <w:color w:val="000000" w:themeColor="text1"/>
          <w:sz w:val="22"/>
          <w:szCs w:val="22"/>
        </w:rPr>
        <w:t xml:space="preserve"> significant association</w:t>
      </w:r>
      <w:r w:rsidR="008B7227">
        <w:rPr>
          <w:rFonts w:asciiTheme="minorHAnsi" w:hAnsiTheme="minorHAnsi" w:cstheme="minorHAnsi"/>
          <w:color w:val="000000" w:themeColor="text1"/>
          <w:sz w:val="22"/>
          <w:szCs w:val="22"/>
        </w:rPr>
        <w:t xml:space="preserve"> (p&lt;0.05)</w:t>
      </w:r>
      <w:r w:rsidR="00ED44C4" w:rsidRPr="00500FBD">
        <w:rPr>
          <w:rFonts w:asciiTheme="minorHAnsi" w:hAnsiTheme="minorHAnsi" w:cstheme="minorHAnsi"/>
          <w:color w:val="000000" w:themeColor="text1"/>
          <w:sz w:val="22"/>
          <w:szCs w:val="22"/>
        </w:rPr>
        <w:t xml:space="preserve"> between sexuality</w:t>
      </w:r>
      <w:r>
        <w:rPr>
          <w:rFonts w:asciiTheme="minorHAnsi" w:hAnsiTheme="minorHAnsi" w:cstheme="minorHAnsi"/>
          <w:color w:val="000000" w:themeColor="text1"/>
          <w:sz w:val="22"/>
          <w:szCs w:val="22"/>
        </w:rPr>
        <w:t xml:space="preserve"> </w:t>
      </w:r>
      <w:r w:rsidR="00ED44C4" w:rsidRPr="00500FB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specifically, </w:t>
      </w:r>
      <w:r w:rsidR="00ED44C4" w:rsidRPr="00500FBD">
        <w:rPr>
          <w:rFonts w:asciiTheme="minorHAnsi" w:hAnsiTheme="minorHAnsi" w:cstheme="minorHAnsi"/>
          <w:color w:val="000000" w:themeColor="text1"/>
          <w:sz w:val="22"/>
          <w:szCs w:val="22"/>
        </w:rPr>
        <w:t xml:space="preserve">identifying as gay </w:t>
      </w:r>
      <w:r>
        <w:rPr>
          <w:rFonts w:asciiTheme="minorHAnsi" w:hAnsiTheme="minorHAnsi" w:cstheme="minorHAnsi"/>
          <w:color w:val="000000" w:themeColor="text1"/>
          <w:sz w:val="22"/>
          <w:szCs w:val="22"/>
        </w:rPr>
        <w:t>rather than</w:t>
      </w:r>
      <w:r w:rsidR="00ED44C4" w:rsidRPr="00500FBD">
        <w:rPr>
          <w:rFonts w:asciiTheme="minorHAnsi" w:hAnsiTheme="minorHAnsi" w:cstheme="minorHAnsi"/>
          <w:color w:val="000000" w:themeColor="text1"/>
          <w:sz w:val="22"/>
          <w:szCs w:val="22"/>
        </w:rPr>
        <w:t xml:space="preserve"> bisexual</w:t>
      </w:r>
      <w:r w:rsidR="0098051E">
        <w:rPr>
          <w:rFonts w:asciiTheme="minorHAnsi" w:hAnsiTheme="minorHAnsi" w:cstheme="minorHAnsi"/>
          <w:b/>
          <w:color w:val="0000FF"/>
          <w:sz w:val="22"/>
          <w:szCs w:val="22"/>
        </w:rPr>
        <w:t xml:space="preserve"> </w:t>
      </w:r>
      <w:r w:rsidR="0098051E" w:rsidRPr="000242C7">
        <w:rPr>
          <w:rFonts w:asciiTheme="minorHAnsi" w:hAnsiTheme="minorHAnsi" w:cstheme="minorHAnsi"/>
          <w:bCs/>
          <w:color w:val="0000FF"/>
          <w:sz w:val="22"/>
          <w:szCs w:val="22"/>
        </w:rPr>
        <w:t xml:space="preserve">(the </w:t>
      </w:r>
      <w:r w:rsidR="008B7227" w:rsidRPr="000242C7">
        <w:rPr>
          <w:rFonts w:asciiTheme="minorHAnsi" w:hAnsiTheme="minorHAnsi" w:cstheme="minorHAnsi"/>
          <w:bCs/>
          <w:color w:val="0000FF"/>
          <w:sz w:val="22"/>
          <w:szCs w:val="22"/>
        </w:rPr>
        <w:t>authors</w:t>
      </w:r>
      <w:r w:rsidR="0098051E" w:rsidRPr="000242C7">
        <w:rPr>
          <w:rFonts w:asciiTheme="minorHAnsi" w:hAnsiTheme="minorHAnsi" w:cstheme="minorHAnsi"/>
          <w:bCs/>
          <w:color w:val="0000FF"/>
          <w:sz w:val="22"/>
          <w:szCs w:val="22"/>
        </w:rPr>
        <w:t xml:space="preserve"> did not </w:t>
      </w:r>
      <w:r w:rsidR="008B7227" w:rsidRPr="000242C7">
        <w:rPr>
          <w:rFonts w:asciiTheme="minorHAnsi" w:hAnsiTheme="minorHAnsi" w:cstheme="minorHAnsi"/>
          <w:bCs/>
          <w:color w:val="0000FF"/>
          <w:sz w:val="22"/>
          <w:szCs w:val="22"/>
        </w:rPr>
        <w:t>report any associations with</w:t>
      </w:r>
      <w:r w:rsidR="0098051E" w:rsidRPr="000242C7">
        <w:rPr>
          <w:rFonts w:asciiTheme="minorHAnsi" w:hAnsiTheme="minorHAnsi" w:cstheme="minorHAnsi"/>
          <w:bCs/>
          <w:color w:val="0000FF"/>
          <w:sz w:val="22"/>
          <w:szCs w:val="22"/>
        </w:rPr>
        <w:t xml:space="preserve"> the ‘other’ cohort of men)</w:t>
      </w:r>
      <w:r>
        <w:rPr>
          <w:rFonts w:asciiTheme="minorHAnsi" w:hAnsiTheme="minorHAnsi" w:cstheme="minorHAnsi"/>
          <w:color w:val="000000" w:themeColor="text1"/>
          <w:sz w:val="22"/>
          <w:szCs w:val="22"/>
        </w:rPr>
        <w:t xml:space="preserve">; </w:t>
      </w:r>
      <w:r w:rsidR="00ED44C4" w:rsidRPr="00500FBD">
        <w:rPr>
          <w:rFonts w:asciiTheme="minorHAnsi" w:hAnsiTheme="minorHAnsi" w:cstheme="minorHAnsi"/>
          <w:color w:val="000000" w:themeColor="text1"/>
          <w:sz w:val="22"/>
          <w:szCs w:val="22"/>
        </w:rPr>
        <w:t xml:space="preserve">adjusted </w:t>
      </w:r>
      <w:r>
        <w:rPr>
          <w:rFonts w:asciiTheme="minorHAnsi" w:hAnsiTheme="minorHAnsi" w:cstheme="minorHAnsi"/>
          <w:color w:val="000000" w:themeColor="text1"/>
          <w:sz w:val="22"/>
          <w:szCs w:val="22"/>
        </w:rPr>
        <w:t xml:space="preserve">OR </w:t>
      </w:r>
      <w:r w:rsidR="00ED44C4" w:rsidRPr="00500FBD">
        <w:rPr>
          <w:rFonts w:asciiTheme="minorHAnsi" w:hAnsiTheme="minorHAnsi" w:cstheme="minorHAnsi"/>
          <w:color w:val="000000" w:themeColor="text1"/>
          <w:sz w:val="22"/>
          <w:szCs w:val="22"/>
        </w:rPr>
        <w:t xml:space="preserve">1.68, 95% CI 1.37–2.05), </w:t>
      </w:r>
      <w:r>
        <w:rPr>
          <w:rFonts w:asciiTheme="minorHAnsi" w:hAnsiTheme="minorHAnsi" w:cstheme="minorHAnsi"/>
          <w:color w:val="000000" w:themeColor="text1"/>
          <w:sz w:val="22"/>
          <w:szCs w:val="22"/>
        </w:rPr>
        <w:t xml:space="preserve">being </w:t>
      </w:r>
      <w:r w:rsidR="00ED44C4" w:rsidRPr="00500FBD">
        <w:rPr>
          <w:rFonts w:asciiTheme="minorHAnsi" w:hAnsiTheme="minorHAnsi" w:cstheme="minorHAnsi"/>
          <w:color w:val="000000" w:themeColor="text1"/>
          <w:sz w:val="22"/>
          <w:szCs w:val="22"/>
        </w:rPr>
        <w:t xml:space="preserve">≤45 years </w:t>
      </w:r>
      <w:r>
        <w:rPr>
          <w:rFonts w:asciiTheme="minorHAnsi" w:hAnsiTheme="minorHAnsi" w:cstheme="minorHAnsi"/>
          <w:color w:val="000000" w:themeColor="text1"/>
          <w:sz w:val="22"/>
          <w:szCs w:val="22"/>
        </w:rPr>
        <w:t>old</w:t>
      </w:r>
      <w:r w:rsidR="00ED44C4" w:rsidRPr="00500FBD">
        <w:rPr>
          <w:rFonts w:asciiTheme="minorHAnsi" w:hAnsiTheme="minorHAnsi" w:cstheme="minorHAnsi"/>
          <w:color w:val="000000" w:themeColor="text1"/>
          <w:sz w:val="22"/>
          <w:szCs w:val="22"/>
        </w:rPr>
        <w:t xml:space="preserve"> (&lt;30-years: adjusted </w:t>
      </w:r>
      <w:r>
        <w:rPr>
          <w:rFonts w:asciiTheme="minorHAnsi" w:hAnsiTheme="minorHAnsi" w:cstheme="minorHAnsi"/>
          <w:color w:val="000000" w:themeColor="text1"/>
          <w:sz w:val="22"/>
          <w:szCs w:val="22"/>
        </w:rPr>
        <w:t xml:space="preserve">OR </w:t>
      </w:r>
      <w:r w:rsidR="00ED44C4" w:rsidRPr="00500FBD">
        <w:rPr>
          <w:rFonts w:asciiTheme="minorHAnsi" w:hAnsiTheme="minorHAnsi" w:cstheme="minorHAnsi"/>
          <w:color w:val="000000" w:themeColor="text1"/>
          <w:sz w:val="22"/>
          <w:szCs w:val="22"/>
        </w:rPr>
        <w:t>1.51, 95% CI: 1.27–1.80; 30–45</w:t>
      </w:r>
      <w:r>
        <w:rPr>
          <w:rFonts w:asciiTheme="minorHAnsi" w:hAnsiTheme="minorHAnsi" w:cstheme="minorHAnsi"/>
          <w:color w:val="000000" w:themeColor="text1"/>
          <w:sz w:val="22"/>
          <w:szCs w:val="22"/>
        </w:rPr>
        <w:t xml:space="preserve"> </w:t>
      </w:r>
      <w:r w:rsidR="00ED44C4" w:rsidRPr="00500FBD">
        <w:rPr>
          <w:rFonts w:asciiTheme="minorHAnsi" w:hAnsiTheme="minorHAnsi" w:cstheme="minorHAnsi"/>
          <w:color w:val="000000" w:themeColor="text1"/>
          <w:sz w:val="22"/>
          <w:szCs w:val="22"/>
        </w:rPr>
        <w:t xml:space="preserve">years: adjusted </w:t>
      </w:r>
      <w:r>
        <w:rPr>
          <w:rFonts w:asciiTheme="minorHAnsi" w:hAnsiTheme="minorHAnsi" w:cstheme="minorHAnsi"/>
          <w:color w:val="000000" w:themeColor="text1"/>
          <w:sz w:val="22"/>
          <w:szCs w:val="22"/>
        </w:rPr>
        <w:t xml:space="preserve">OR </w:t>
      </w:r>
      <w:r w:rsidR="00ED44C4" w:rsidRPr="00500FBD">
        <w:rPr>
          <w:rFonts w:asciiTheme="minorHAnsi" w:hAnsiTheme="minorHAnsi" w:cstheme="minorHAnsi"/>
          <w:color w:val="000000" w:themeColor="text1"/>
          <w:sz w:val="22"/>
          <w:szCs w:val="22"/>
        </w:rPr>
        <w:t xml:space="preserve">1.36 95% CI: 1.15–1.63), absence of a </w:t>
      </w:r>
      <w:r w:rsidR="00ED44C4" w:rsidRPr="00500FBD">
        <w:rPr>
          <w:rFonts w:asciiTheme="minorHAnsi" w:hAnsiTheme="minorHAnsi" w:cstheme="minorHAnsi"/>
          <w:color w:val="000000" w:themeColor="text1"/>
          <w:sz w:val="22"/>
          <w:szCs w:val="22"/>
        </w:rPr>
        <w:lastRenderedPageBreak/>
        <w:t xml:space="preserve">university degree (adjusted </w:t>
      </w:r>
      <w:r>
        <w:rPr>
          <w:rFonts w:asciiTheme="minorHAnsi" w:hAnsiTheme="minorHAnsi" w:cstheme="minorHAnsi"/>
          <w:color w:val="000000" w:themeColor="text1"/>
          <w:sz w:val="22"/>
          <w:szCs w:val="22"/>
        </w:rPr>
        <w:t xml:space="preserve">OR </w:t>
      </w:r>
      <w:r w:rsidR="00ED44C4" w:rsidRPr="00500FBD">
        <w:rPr>
          <w:rFonts w:asciiTheme="minorHAnsi" w:hAnsiTheme="minorHAnsi" w:cstheme="minorHAnsi"/>
          <w:color w:val="000000" w:themeColor="text1"/>
          <w:sz w:val="22"/>
          <w:szCs w:val="22"/>
        </w:rPr>
        <w:t xml:space="preserve">1.19, 95% CI: 1.02–1.38), a salary of &lt; $60,000/year (adjusted </w:t>
      </w:r>
      <w:r>
        <w:rPr>
          <w:rFonts w:asciiTheme="minorHAnsi" w:hAnsiTheme="minorHAnsi" w:cstheme="minorHAnsi"/>
          <w:color w:val="000000" w:themeColor="text1"/>
          <w:sz w:val="22"/>
          <w:szCs w:val="22"/>
        </w:rPr>
        <w:t xml:space="preserve">OR </w:t>
      </w:r>
      <w:r w:rsidR="00ED44C4" w:rsidRPr="00500FBD">
        <w:rPr>
          <w:rFonts w:asciiTheme="minorHAnsi" w:hAnsiTheme="minorHAnsi" w:cstheme="minorHAnsi"/>
          <w:color w:val="000000" w:themeColor="text1"/>
          <w:sz w:val="22"/>
          <w:szCs w:val="22"/>
        </w:rPr>
        <w:t>1.32, 95% CI: 1.22–1.554), and</w:t>
      </w:r>
      <w:r>
        <w:rPr>
          <w:rFonts w:asciiTheme="minorHAnsi" w:hAnsiTheme="minorHAnsi" w:cstheme="minorHAnsi"/>
          <w:color w:val="000000" w:themeColor="text1"/>
          <w:sz w:val="22"/>
          <w:szCs w:val="22"/>
        </w:rPr>
        <w:t xml:space="preserve"> presence of</w:t>
      </w:r>
      <w:r w:rsidR="00ED44C4" w:rsidRPr="00500FBD">
        <w:rPr>
          <w:rFonts w:asciiTheme="minorHAnsi" w:hAnsiTheme="minorHAnsi" w:cstheme="minorHAnsi"/>
          <w:color w:val="000000" w:themeColor="text1"/>
          <w:sz w:val="22"/>
          <w:szCs w:val="22"/>
        </w:rPr>
        <w:t xml:space="preserve"> two or more psychosocial issues.</w:t>
      </w:r>
      <w:r w:rsidR="00ED44C4" w:rsidRPr="00500FBD">
        <w:rPr>
          <w:rFonts w:asciiTheme="minorHAnsi" w:hAnsiTheme="minorHAnsi" w:cstheme="minorHAnsi"/>
          <w:b/>
          <w:bCs/>
          <w:color w:val="000000" w:themeColor="text1"/>
          <w:sz w:val="22"/>
          <w:szCs w:val="22"/>
        </w:rPr>
        <w:t xml:space="preserve"> </w:t>
      </w:r>
    </w:p>
    <w:p w14:paraId="46CD5110" w14:textId="6EDDA642" w:rsidR="00ED44C4" w:rsidRPr="004B0BC2" w:rsidRDefault="00ED44C4" w:rsidP="001C26F0">
      <w:pPr>
        <w:shd w:val="clear" w:color="auto" w:fill="FFFFFF" w:themeFill="background1"/>
        <w:spacing w:line="480" w:lineRule="auto"/>
        <w:rPr>
          <w:rFonts w:asciiTheme="minorHAnsi" w:hAnsiTheme="minorHAnsi" w:cstheme="minorHAnsi"/>
          <w:sz w:val="22"/>
          <w:szCs w:val="22"/>
        </w:rPr>
      </w:pPr>
      <w:r w:rsidRPr="009B5594">
        <w:rPr>
          <w:rFonts w:asciiTheme="minorHAnsi" w:hAnsiTheme="minorHAnsi" w:cstheme="minorHAnsi"/>
          <w:color w:val="000000" w:themeColor="text1"/>
          <w:sz w:val="22"/>
          <w:szCs w:val="22"/>
        </w:rPr>
        <w:t>However, intersectional analys</w:t>
      </w:r>
      <w:r w:rsidR="004C7E1A">
        <w:rPr>
          <w:rFonts w:asciiTheme="minorHAnsi" w:hAnsiTheme="minorHAnsi" w:cstheme="minorHAnsi"/>
          <w:color w:val="000000" w:themeColor="text1"/>
          <w:sz w:val="22"/>
          <w:szCs w:val="22"/>
        </w:rPr>
        <w:t>e</w:t>
      </w:r>
      <w:r w:rsidRPr="009B5594">
        <w:rPr>
          <w:rFonts w:asciiTheme="minorHAnsi" w:hAnsiTheme="minorHAnsi" w:cstheme="minorHAnsi"/>
          <w:color w:val="000000" w:themeColor="text1"/>
          <w:sz w:val="22"/>
          <w:szCs w:val="22"/>
        </w:rPr>
        <w:t>s ha</w:t>
      </w:r>
      <w:r w:rsidR="004C7E1A">
        <w:rPr>
          <w:rFonts w:asciiTheme="minorHAnsi" w:hAnsiTheme="minorHAnsi" w:cstheme="minorHAnsi"/>
          <w:color w:val="000000" w:themeColor="text1"/>
          <w:sz w:val="22"/>
          <w:szCs w:val="22"/>
        </w:rPr>
        <w:t>ve</w:t>
      </w:r>
      <w:r w:rsidRPr="009B5594">
        <w:rPr>
          <w:rFonts w:asciiTheme="minorHAnsi" w:hAnsiTheme="minorHAnsi" w:cstheme="minorHAnsi"/>
          <w:color w:val="000000" w:themeColor="text1"/>
          <w:sz w:val="22"/>
          <w:szCs w:val="22"/>
        </w:rPr>
        <w:t xml:space="preserve"> been criticised</w:t>
      </w:r>
      <w:r w:rsidR="004C7E1A">
        <w:rPr>
          <w:rFonts w:asciiTheme="minorHAnsi" w:hAnsiTheme="minorHAnsi" w:cstheme="minorHAnsi"/>
          <w:color w:val="000000" w:themeColor="text1"/>
          <w:sz w:val="22"/>
          <w:szCs w:val="22"/>
        </w:rPr>
        <w:t>,</w:t>
      </w:r>
      <w:r w:rsidRPr="009B5594">
        <w:rPr>
          <w:rFonts w:asciiTheme="minorHAnsi" w:hAnsiTheme="minorHAnsi" w:cstheme="minorHAnsi"/>
          <w:color w:val="000000" w:themeColor="text1"/>
          <w:sz w:val="22"/>
          <w:szCs w:val="22"/>
        </w:rPr>
        <w:t xml:space="preserve"> because </w:t>
      </w:r>
      <w:r w:rsidR="004C7E1A">
        <w:rPr>
          <w:rFonts w:asciiTheme="minorHAnsi" w:hAnsiTheme="minorHAnsi" w:cstheme="minorHAnsi"/>
          <w:color w:val="000000" w:themeColor="text1"/>
          <w:sz w:val="22"/>
          <w:szCs w:val="22"/>
        </w:rPr>
        <w:t>they</w:t>
      </w:r>
      <w:r w:rsidRPr="009B5594">
        <w:rPr>
          <w:rFonts w:asciiTheme="minorHAnsi" w:hAnsiTheme="minorHAnsi" w:cstheme="minorHAnsi"/>
          <w:color w:val="000000" w:themeColor="text1"/>
          <w:sz w:val="22"/>
          <w:szCs w:val="22"/>
        </w:rPr>
        <w:t xml:space="preserve"> assume that different factors lie in isolation and are additive when</w:t>
      </w:r>
      <w:r w:rsidR="004C7E1A">
        <w:rPr>
          <w:rFonts w:asciiTheme="minorHAnsi" w:hAnsiTheme="minorHAnsi" w:cstheme="minorHAnsi"/>
          <w:color w:val="000000" w:themeColor="text1"/>
          <w:sz w:val="22"/>
          <w:szCs w:val="22"/>
        </w:rPr>
        <w:t>, in fact,</w:t>
      </w:r>
      <w:r w:rsidRPr="009B5594">
        <w:rPr>
          <w:rFonts w:asciiTheme="minorHAnsi" w:hAnsiTheme="minorHAnsi" w:cstheme="minorHAnsi"/>
          <w:color w:val="000000" w:themeColor="text1"/>
          <w:sz w:val="22"/>
          <w:szCs w:val="22"/>
        </w:rPr>
        <w:t xml:space="preserve"> they m</w:t>
      </w:r>
      <w:r w:rsidR="004C7E1A">
        <w:rPr>
          <w:rFonts w:asciiTheme="minorHAnsi" w:hAnsiTheme="minorHAnsi" w:cstheme="minorHAnsi"/>
          <w:color w:val="000000" w:themeColor="text1"/>
          <w:sz w:val="22"/>
          <w:szCs w:val="22"/>
        </w:rPr>
        <w:t>ight</w:t>
      </w:r>
      <w:r w:rsidRPr="009B5594">
        <w:rPr>
          <w:rFonts w:asciiTheme="minorHAnsi" w:hAnsiTheme="minorHAnsi" w:cstheme="minorHAnsi"/>
          <w:color w:val="000000" w:themeColor="text1"/>
          <w:sz w:val="22"/>
          <w:szCs w:val="22"/>
        </w:rPr>
        <w:t xml:space="preserve"> be intrinsically linked</w:t>
      </w:r>
      <w:r w:rsidR="004C7E1A">
        <w:rPr>
          <w:rFonts w:asciiTheme="minorHAnsi" w:hAnsiTheme="minorHAnsi" w:cstheme="minorHAnsi"/>
          <w:color w:val="000000" w:themeColor="text1"/>
          <w:sz w:val="22"/>
          <w:szCs w:val="22"/>
        </w:rPr>
        <w:t xml:space="preserve">; for example, </w:t>
      </w:r>
      <w:r w:rsidRPr="009B5594">
        <w:rPr>
          <w:rFonts w:asciiTheme="minorHAnsi" w:hAnsiTheme="minorHAnsi" w:cstheme="minorHAnsi"/>
          <w:color w:val="000000" w:themeColor="text1"/>
          <w:sz w:val="22"/>
          <w:szCs w:val="22"/>
        </w:rPr>
        <w:t>ethnicity and gender are separate entities</w:t>
      </w:r>
      <w:r w:rsidR="004C7E1A">
        <w:rPr>
          <w:rFonts w:asciiTheme="minorHAnsi" w:hAnsiTheme="minorHAnsi" w:cstheme="minorHAnsi"/>
          <w:color w:val="000000" w:themeColor="text1"/>
          <w:sz w:val="22"/>
          <w:szCs w:val="22"/>
        </w:rPr>
        <w:t>,</w:t>
      </w:r>
      <w:r w:rsidRPr="009B5594">
        <w:rPr>
          <w:rFonts w:asciiTheme="minorHAnsi" w:hAnsiTheme="minorHAnsi" w:cstheme="minorHAnsi"/>
          <w:color w:val="000000" w:themeColor="text1"/>
          <w:sz w:val="22"/>
          <w:szCs w:val="22"/>
        </w:rPr>
        <w:t xml:space="preserve"> even though both are likely to be contributing together to influence health behaviours</w:t>
      </w:r>
      <w:r w:rsidRPr="009B5594">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{"citationItems":[{"id":"ITEM-1","itemData":{"DOI":"10.1037/0000023-010","abstract":"Intersectionality is a conceptual framework that addresses how multiple interlocking social identities reflect diverse systems of power, privilege, oppression, and inequity (Bowleg, 2012; Shields, 2008; Stewart &amp; McDermott, 2004). In particular, this framework emphasizes the manner in which multiple social identities, such as race, gender, and social class, are dependent on each other for meaning (Cole, 2009). As a conceptual framework, intersectionality is ideally suited for the study of men of color for several reasons. For one, intersectionality highlights the notion that men of color have relatively unique experiences that differ from those of men in general and from women of color; therefore, they deserve to be studied in their own right rather than simply as men or as people of color. For another, intersectionality reflects the reality and complexities of men of color's lives in that they simultaneously occupy multiple social identities (Shields, 2008). Nonetheless, several scholars have observed challenges and ambiguity regarding how to study intersectionality (Bowleg, 2012; Goff &amp; Kahn, 2013; McCall, 2005; Nash, 2008). Although few scholars dispute the intersectionality framework's basic tenet that people have multiple, interlocking social identities, translating this insight into research questions and testable hypotheses remains substantially more challenging. For example, Bowleg (2008) criticized the additive approach to intersectionality, which focuses on the independent and summative effects of multiple identities, as inadequate to capture the complexities of people's experiences; however, she noted that 'it is virtually impossible, particularly in quantitative research, to ask questions about intersectionality that are not inherently additive' (p. 314). Therefore, the goal of this chapter is to elucidate research paradigms for the application of intersectionality to the psychology of racial/ethnic minority men. Throughout this chapter, we provide examples of theoretical concepts, research questions, research design, and statistical methods that reflect each of these three paradigms. Our basic premise is that there are multiple approaches to studying intersectionality, which can be categorized into at least three research paradigms, each with a different focus. We label these paradigms (a) the intergroup paradigm, (b) the interconstruct paradigm, and (c) the intersectional uniqueness paradigm. Although we believe these three paradigms can b…","author":[{"dropping-particle":"","family":"Wong","given":"Y. Joel","non-dropping-particle":"","parse-names":false,"suffix":""},{"dropping-particle":"","family":"Liu","given":"Tao","non-dropping-particle":"","parse-names":false,"suffix":""},{"dropping-particle":"","family":"Klann","given":"Elyssa M.","non-dropping-particle":"","parse-names":false,"suffix":""}],"container-title":"The psychology of men and masculinities.","id":"ITEM-1","issued":{"date-parts":[["2017"]]},"page":"261–288","title":"The intersection of race, ethnicity, and masculinities: Progress, problems, and prospects.","type":"chapter"},"uris":["http://www.mendeley.com/documents/?uuid=9d5b379b-0e46-4f6f-9fc9-45285690285b"]}],"mendeley":{"formattedCitation":"(99)","plainTextFormattedCitation":"(99)","previouslyFormattedCitation":"(99)"},"properties":{"noteIndex":0},"schema":"https://github.com/citation-style-language/schema/raw/master/csl-citation.json"}</w:instrText>
      </w:r>
      <w:r w:rsidRPr="009B5594">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(99)</w:t>
      </w:r>
      <w:r w:rsidRPr="009B5594">
        <w:rPr>
          <w:rFonts w:asciiTheme="minorHAnsi" w:hAnsiTheme="minorHAnsi" w:cstheme="minorHAnsi"/>
          <w:color w:val="000000" w:themeColor="text1"/>
          <w:sz w:val="22"/>
          <w:szCs w:val="22"/>
        </w:rPr>
        <w:fldChar w:fldCharType="end"/>
      </w:r>
      <w:r w:rsidRPr="009B5594">
        <w:rPr>
          <w:rFonts w:asciiTheme="minorHAnsi" w:hAnsiTheme="minorHAnsi" w:cstheme="minorHAnsi"/>
          <w:color w:val="000000" w:themeColor="text1"/>
          <w:sz w:val="22"/>
          <w:szCs w:val="22"/>
        </w:rPr>
        <w:t>. Furthermore, some frameworks of intersectional analysis focus on individuals rather than populations or communities and</w:t>
      </w:r>
      <w:r w:rsidR="004C7E1A">
        <w:rPr>
          <w:rFonts w:asciiTheme="minorHAnsi" w:hAnsiTheme="minorHAnsi" w:cstheme="minorHAnsi"/>
          <w:color w:val="000000" w:themeColor="text1"/>
          <w:sz w:val="22"/>
          <w:szCs w:val="22"/>
        </w:rPr>
        <w:t>,</w:t>
      </w:r>
      <w:r w:rsidRPr="009B5594">
        <w:rPr>
          <w:rFonts w:asciiTheme="minorHAnsi" w:hAnsiTheme="minorHAnsi" w:cstheme="minorHAnsi"/>
          <w:color w:val="000000" w:themeColor="text1"/>
          <w:sz w:val="22"/>
          <w:szCs w:val="22"/>
        </w:rPr>
        <w:t xml:space="preserve"> therefore</w:t>
      </w:r>
      <w:r w:rsidR="004C7E1A">
        <w:rPr>
          <w:rFonts w:asciiTheme="minorHAnsi" w:hAnsiTheme="minorHAnsi" w:cstheme="minorHAnsi"/>
          <w:color w:val="000000" w:themeColor="text1"/>
          <w:sz w:val="22"/>
          <w:szCs w:val="22"/>
        </w:rPr>
        <w:t>,</w:t>
      </w:r>
      <w:r w:rsidRPr="009B5594">
        <w:rPr>
          <w:rFonts w:asciiTheme="minorHAnsi" w:hAnsiTheme="minorHAnsi" w:cstheme="minorHAnsi"/>
          <w:color w:val="000000" w:themeColor="text1"/>
          <w:sz w:val="22"/>
          <w:szCs w:val="22"/>
        </w:rPr>
        <w:t xml:space="preserve"> the applicability of such data in health policy is questionable</w:t>
      </w:r>
      <w:r w:rsidRPr="009B5594">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{"citationItems":[{"id":"ITEM-1","itemData":{"DOI":"10.1037/0000023-010","abstract":"Intersectionality is a conceptual framework that addresses how multiple interlocking social identities reflect diverse systems of power, privilege, oppression, and inequity (Bowleg, 2012; Shields, 2008; Stewart &amp; McDermott, 2004). In particular, this framework emphasizes the manner in which multiple social identities, such as race, gender, and social class, are dependent on each other for meaning (Cole, 2009). As a conceptual framework, intersectionality is ideally suited for the study of men of color for several reasons. For one, intersectionality highlights the notion that men of color have relatively unique experiences that differ from those of men in general and from women of color; therefore, they deserve to be studied in their own right rather than simply as men or as people of color. For another, intersectionality reflects the reality and complexities of men of color's lives in that they simultaneously occupy multiple social identities (Shields, 2008). Nonetheless, several scholars have observed challenges and ambiguity regarding how to study intersectionality (Bowleg, 2012; Goff &amp; Kahn, 2013; McCall, 2005; Nash, 2008). Although few scholars dispute the intersectionality framework's basic tenet that people have multiple, interlocking social identities, translating this insight into research questions and testable hypotheses remains substantially more challenging. For example, Bowleg (2008) criticized the additive approach to intersectionality, which focuses on the independent and summative effects of multiple identities, as inadequate to capture the complexities of people's experiences; however, she noted that 'it is virtually impossible, particularly in quantitative research, to ask questions about intersectionality that are not inherently additive' (p. 314). Therefore, the goal of this chapter is to elucidate research paradigms for the application of intersectionality to the psychology of racial/ethnic minority men. Throughout this chapter, we provide examples of theoretical concepts, research questions, research design, and statistical methods that reflect each of these three paradigms. Our basic premise is that there are multiple approaches to studying intersectionality, which can be categorized into at least three research paradigms, each with a different focus. We label these paradigms (a) the intergroup paradigm, (b) the interconstruct paradigm, and (c) the intersectional uniqueness paradigm. Although we believe these three paradigms can b…","author":[{"dropping-particle":"","family":"Wong","given":"Y. Joel","non-dropping-particle":"","parse-names":false,"suffix":""},{"dropping-particle":"","family":"Liu","given":"Tao","non-dropping-particle":"","parse-names":false,"suffix":""},{"dropping-particle":"","family":"Klann","given":"Elyssa M.","non-dropping-particle":"","parse-names":false,"suffix":""}],"container-title":"The psychology of men and masculinities.","id":"ITEM-1","issued":{"date-parts":[["2017"]]},"page":"261–288","title":"The intersection of race, ethnicity, and masculinities: Progress, problems, and prospects.","type":"chapter"},"uris":["http://www.mendeley.com/documents/?uuid=9d5b379b-0e46-4f6f-9fc9-45285690285b"]}],"mendeley":{"formattedCitation":"(99)","plainTextFormattedCitation":"(99)","previouslyFormattedCitation":"(99)"},"properties":{"noteIndex":0},"schema":"https://github.com/citation-style-language/schema/raw/master/csl-citation.json"}</w:instrText>
      </w:r>
      <w:r w:rsidRPr="009B5594">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(99)</w:t>
      </w:r>
      <w:r w:rsidRPr="009B5594">
        <w:rPr>
          <w:rFonts w:asciiTheme="minorHAnsi" w:hAnsiTheme="minorHAnsi" w:cstheme="minorHAnsi"/>
          <w:color w:val="000000" w:themeColor="text1"/>
          <w:sz w:val="22"/>
          <w:szCs w:val="22"/>
        </w:rPr>
        <w:fldChar w:fldCharType="end"/>
      </w:r>
      <w:r w:rsidRPr="009B5594">
        <w:rPr>
          <w:rFonts w:asciiTheme="minorHAnsi" w:hAnsiTheme="minorHAnsi" w:cstheme="minorHAnsi"/>
          <w:color w:val="000000" w:themeColor="text1"/>
          <w:sz w:val="22"/>
          <w:szCs w:val="22"/>
        </w:rPr>
        <w:t>. Newer intersectional analysis models are emerging (</w:t>
      </w:r>
      <w:r w:rsidR="004C7E1A">
        <w:rPr>
          <w:rFonts w:asciiTheme="minorHAnsi" w:hAnsiTheme="minorHAnsi" w:cstheme="minorHAnsi"/>
          <w:color w:val="000000" w:themeColor="text1"/>
          <w:sz w:val="22"/>
          <w:szCs w:val="22"/>
        </w:rPr>
        <w:t>such as</w:t>
      </w:r>
      <w:r w:rsidRPr="009B5594">
        <w:rPr>
          <w:rFonts w:asciiTheme="minorHAnsi" w:hAnsiTheme="minorHAnsi" w:cstheme="minorHAnsi"/>
          <w:color w:val="000000" w:themeColor="text1"/>
          <w:sz w:val="22"/>
          <w:szCs w:val="22"/>
        </w:rPr>
        <w:t xml:space="preserve"> the </w:t>
      </w:r>
      <w:r w:rsidRPr="00500FBD">
        <w:rPr>
          <w:rFonts w:asciiTheme="minorHAnsi" w:hAnsiTheme="minorHAnsi" w:cstheme="minorHAnsi"/>
          <w:color w:val="FF0000"/>
          <w:sz w:val="22"/>
          <w:szCs w:val="22"/>
        </w:rPr>
        <w:t>intersectional uniqueness paradigm</w:t>
      </w:r>
      <w:r w:rsidR="004C7E1A">
        <w:rPr>
          <w:rFonts w:asciiTheme="minorHAnsi" w:hAnsiTheme="minorHAnsi" w:cstheme="minorHAnsi"/>
          <w:sz w:val="22"/>
          <w:szCs w:val="22"/>
        </w:rPr>
        <w:t xml:space="preserve"> </w:t>
      </w:r>
      <w:r w:rsidR="004C7E1A">
        <w:rPr>
          <w:rFonts w:asciiTheme="minorHAnsi" w:hAnsiTheme="minorHAnsi" w:cstheme="minorHAnsi"/>
          <w:b/>
          <w:color w:val="0000FF"/>
          <w:sz w:val="22"/>
          <w:szCs w:val="22"/>
        </w:rPr>
        <w:t>[G]</w:t>
      </w:r>
      <w:r w:rsidRPr="009B5594">
        <w:rPr>
          <w:rFonts w:asciiTheme="minorHAnsi" w:hAnsiTheme="minorHAnsi" w:cstheme="minorHAnsi"/>
          <w:color w:val="000000" w:themeColor="text1"/>
          <w:sz w:val="22"/>
          <w:szCs w:val="22"/>
        </w:rPr>
        <w:t>) but these</w:t>
      </w:r>
      <w:r w:rsidR="004C7E1A">
        <w:rPr>
          <w:rFonts w:asciiTheme="minorHAnsi" w:hAnsiTheme="minorHAnsi" w:cstheme="minorHAnsi"/>
          <w:color w:val="000000" w:themeColor="text1"/>
          <w:sz w:val="22"/>
          <w:szCs w:val="22"/>
        </w:rPr>
        <w:t xml:space="preserve"> models</w:t>
      </w:r>
      <w:r w:rsidRPr="009B5594">
        <w:rPr>
          <w:rFonts w:asciiTheme="minorHAnsi" w:hAnsiTheme="minorHAnsi" w:cstheme="minorHAnsi"/>
          <w:color w:val="000000" w:themeColor="text1"/>
          <w:sz w:val="22"/>
          <w:szCs w:val="22"/>
        </w:rPr>
        <w:t xml:space="preserve"> lack an extensive body of supporting literature</w:t>
      </w:r>
      <w:r w:rsidRPr="009B5594">
        <w:rPr>
          <w:rFonts w:asciiTheme="minorHAnsi" w:hAnsiTheme="minorHAnsi" w:cstheme="minorHAnsi"/>
          <w:color w:val="000000" w:themeColor="text1"/>
          <w:sz w:val="22"/>
          <w:szCs w:val="22"/>
        </w:rPr>
        <w:fldChar w:fldCharType="begin" w:fldLock="1"/>
      </w:r>
      <w:r w:rsidR="002410DF">
        <w:rPr>
          <w:rFonts w:asciiTheme="minorHAnsi" w:hAnsiTheme="minorHAnsi" w:cstheme="minorHAnsi"/>
          <w:color w:val="000000" w:themeColor="text1"/>
          <w:sz w:val="22"/>
          <w:szCs w:val="22"/>
        </w:rPr>
        <w:instrText>ADDIN CSL_CITATION {"citationItems":[{"id":"ITEM-1","itemData":{"DOI":"10.1037/0000023-010","abstract":"Intersectionality is a conceptual framework that addresses how multiple interlocking social identities reflect diverse systems of power, privilege, oppression, and inequity (Bowleg, 2012; Shields, 2008; Stewart &amp; McDermott, 2004). In particular, this framework emphasizes the manner in which multiple social identities, such as race, gender, and social class, are dependent on each other for meaning (Cole, 2009). As a conceptual framework, intersectionality is ideally suited for the study of men of color for several reasons. For one, intersectionality highlights the notion that men of color have relatively unique experiences that differ from those of men in general and from women of color; therefore, they deserve to be studied in their own right rather than simply as men or as people of color. For another, intersectionality reflects the reality and complexities of men of color's lives in that they simultaneously occupy multiple social identities (Shields, 2008). Nonetheless, several scholars have observed challenges and ambiguity regarding how to study intersectionality (Bowleg, 2012; Goff &amp; Kahn, 2013; McCall, 2005; Nash, 2008). Although few scholars dispute the intersectionality framework's basic tenet that people have multiple, interlocking social identities, translating this insight into research questions and testable hypotheses remains substantially more challenging. For example, Bowleg (2008) criticized the additive approach to intersectionality, which focuses on the independent and summative effects of multiple identities, as inadequate to capture the complexities of people's experiences; however, she noted that 'it is virtually impossible, particularly in quantitative research, to ask questions about intersectionality that are not inherently additive' (p. 314). Therefore, the goal of this chapter is to elucidate research paradigms for the application of intersectionality to the psychology of racial/ethnic minority men. Throughout this chapter, we provide examples of theoretical concepts, research questions, research design, and statistical methods that reflect each of these three paradigms. Our basic premise is that there are multiple approaches to studying intersectionality, which can be categorized into at least three research paradigms, each with a different focus. We label these paradigms (a) the intergroup paradigm, (b) the interconstruct paradigm, and (c) the intersectional uniqueness paradigm. Although we believe these three paradigms can b…","author":[{"dropping-particle":"","family":"Wong","given":"Y. Joel","non-dropping-particle":"","parse-names":false,"suffix":""},{"dropping-particle":"","family":"Liu","given":"Tao","non-dropping-particle":"","parse-names":false,"suffix":""},{"dropping-particle":"","family":"Klann","given":"Elyssa M.","non-dropping-particle":"","parse-names":false,"suffix":""}],"container-title":"The psychology of men and masculinities.","id":"ITEM-1","issued":{"date-parts":[["2017"]]},"page":"261–288","title":"The intersection of race, ethnicity, and masculinities: Progress, problems, and prospects.","type":"chapter"},"uris":["http://www.mendeley.com/documents/?uuid=9d5b379b-0e46-4f6f-9fc9-45285690285b"]}],"mendeley":{"formattedCitation":"(99)","plainTextFormattedCitation":"(99)","previouslyFormattedCitation":"(99)"},"properties":{"noteIndex":0},"schema":"https://github.com/citation-style-language/schema/raw/master/csl-citation.json"}</w:instrText>
      </w:r>
      <w:r w:rsidRPr="009B5594">
        <w:rPr>
          <w:rFonts w:asciiTheme="minorHAnsi" w:hAnsiTheme="minorHAnsi" w:cstheme="minorHAnsi"/>
          <w:color w:val="000000" w:themeColor="text1"/>
          <w:sz w:val="22"/>
          <w:szCs w:val="22"/>
        </w:rPr>
        <w:fldChar w:fldCharType="separate"/>
      </w:r>
      <w:r w:rsidR="00693DD5" w:rsidRPr="00693DD5">
        <w:rPr>
          <w:rFonts w:asciiTheme="minorHAnsi" w:hAnsiTheme="minorHAnsi" w:cstheme="minorHAnsi"/>
          <w:noProof/>
          <w:color w:val="000000" w:themeColor="text1"/>
          <w:sz w:val="22"/>
          <w:szCs w:val="22"/>
        </w:rPr>
        <w:t>(99)</w:t>
      </w:r>
      <w:r w:rsidRPr="009B5594">
        <w:rPr>
          <w:rFonts w:asciiTheme="minorHAnsi" w:hAnsiTheme="minorHAnsi" w:cstheme="minorHAnsi"/>
          <w:color w:val="000000" w:themeColor="text1"/>
          <w:sz w:val="22"/>
          <w:szCs w:val="22"/>
        </w:rPr>
        <w:fldChar w:fldCharType="end"/>
      </w:r>
      <w:r w:rsidRPr="009B5594">
        <w:rPr>
          <w:rFonts w:asciiTheme="minorHAnsi" w:hAnsiTheme="minorHAnsi" w:cstheme="minorHAnsi"/>
          <w:color w:val="000000" w:themeColor="text1"/>
          <w:sz w:val="22"/>
          <w:szCs w:val="22"/>
        </w:rPr>
        <w:t xml:space="preserve">. </w:t>
      </w:r>
      <w:r w:rsidRPr="004B0BC2">
        <w:rPr>
          <w:rFonts w:asciiTheme="minorHAnsi" w:hAnsiTheme="minorHAnsi" w:cstheme="minorHAnsi"/>
          <w:color w:val="000000" w:themeColor="text1"/>
          <w:sz w:val="22"/>
          <w:szCs w:val="22"/>
        </w:rPr>
        <w:t xml:space="preserve"> </w:t>
      </w:r>
    </w:p>
    <w:p w14:paraId="25569034" w14:textId="4DABB3B2" w:rsidR="00DF31BD" w:rsidRPr="004B0BC2" w:rsidRDefault="00DF31BD" w:rsidP="00BA2925">
      <w:pPr>
        <w:spacing w:line="480" w:lineRule="auto"/>
        <w:rPr>
          <w:rFonts w:asciiTheme="minorHAnsi" w:hAnsiTheme="minorHAnsi" w:cstheme="minorHAnsi"/>
          <w:sz w:val="22"/>
          <w:szCs w:val="22"/>
        </w:rPr>
      </w:pPr>
    </w:p>
    <w:p w14:paraId="073651D5" w14:textId="415CBA7E" w:rsidR="005A4D36" w:rsidRPr="004B0BC2" w:rsidRDefault="004C7E1A" w:rsidP="00B66369">
      <w:pPr>
        <w:pStyle w:val="NoSpacing"/>
        <w:spacing w:line="480" w:lineRule="auto"/>
        <w:rPr>
          <w:rFonts w:cstheme="minorHAnsi"/>
          <w:sz w:val="22"/>
          <w:szCs w:val="22"/>
        </w:rPr>
      </w:pPr>
      <w:r>
        <w:rPr>
          <w:rFonts w:cstheme="minorHAnsi"/>
          <w:b/>
          <w:bCs/>
          <w:sz w:val="22"/>
          <w:szCs w:val="22"/>
          <w:u w:val="single"/>
        </w:rPr>
        <w:t>[H1]</w:t>
      </w:r>
      <w:r w:rsidR="00BB1E0D" w:rsidRPr="004B0BC2">
        <w:rPr>
          <w:rFonts w:cstheme="minorHAnsi"/>
          <w:b/>
          <w:bCs/>
          <w:sz w:val="22"/>
          <w:szCs w:val="22"/>
          <w:u w:val="single"/>
        </w:rPr>
        <w:t>Are</w:t>
      </w:r>
      <w:r w:rsidR="007523AA" w:rsidRPr="004B0BC2">
        <w:rPr>
          <w:rFonts w:cstheme="minorHAnsi"/>
          <w:b/>
          <w:bCs/>
          <w:sz w:val="22"/>
          <w:szCs w:val="22"/>
          <w:u w:val="single"/>
        </w:rPr>
        <w:t xml:space="preserve"> </w:t>
      </w:r>
      <w:r w:rsidR="00C2113A" w:rsidRPr="004B0BC2">
        <w:rPr>
          <w:rFonts w:cstheme="minorHAnsi"/>
          <w:b/>
          <w:bCs/>
          <w:sz w:val="22"/>
          <w:szCs w:val="22"/>
          <w:u w:val="single"/>
        </w:rPr>
        <w:t>men</w:t>
      </w:r>
      <w:r w:rsidR="00912AE9" w:rsidRPr="004B0BC2">
        <w:rPr>
          <w:rFonts w:cstheme="minorHAnsi"/>
          <w:b/>
          <w:bCs/>
          <w:sz w:val="22"/>
          <w:szCs w:val="22"/>
          <w:u w:val="single"/>
        </w:rPr>
        <w:t xml:space="preserve"> </w:t>
      </w:r>
      <w:r w:rsidR="00BB1E0D" w:rsidRPr="004B0BC2">
        <w:rPr>
          <w:rFonts w:cstheme="minorHAnsi"/>
          <w:b/>
          <w:bCs/>
          <w:sz w:val="22"/>
          <w:szCs w:val="22"/>
          <w:u w:val="single"/>
        </w:rPr>
        <w:t>inherently vulnerable to infection and mortality</w:t>
      </w:r>
      <w:r w:rsidR="00271A3B" w:rsidRPr="004B0BC2">
        <w:rPr>
          <w:rFonts w:cstheme="minorHAnsi"/>
          <w:b/>
          <w:bCs/>
          <w:sz w:val="22"/>
          <w:szCs w:val="22"/>
          <w:u w:val="single"/>
        </w:rPr>
        <w:t>?</w:t>
      </w:r>
    </w:p>
    <w:p w14:paraId="49DA4E4F" w14:textId="1369C383" w:rsidR="002C49A5" w:rsidRPr="004B0BC2" w:rsidRDefault="00FA7FCF" w:rsidP="00B66369">
      <w:pPr>
        <w:pStyle w:val="NoSpacing"/>
        <w:spacing w:line="480" w:lineRule="auto"/>
        <w:rPr>
          <w:rFonts w:cstheme="minorHAnsi"/>
          <w:sz w:val="22"/>
          <w:szCs w:val="22"/>
        </w:rPr>
      </w:pPr>
      <w:r w:rsidRPr="004B0BC2">
        <w:rPr>
          <w:rFonts w:cstheme="minorHAnsi"/>
          <w:sz w:val="22"/>
          <w:szCs w:val="22"/>
          <w:shd w:val="clear" w:color="auto" w:fill="FFFFFF"/>
        </w:rPr>
        <w:t>Although case</w:t>
      </w:r>
      <w:r>
        <w:rPr>
          <w:rFonts w:cstheme="minorHAnsi"/>
          <w:sz w:val="22"/>
          <w:szCs w:val="22"/>
          <w:shd w:val="clear" w:color="auto" w:fill="FFFFFF"/>
        </w:rPr>
        <w:t xml:space="preserve"> number</w:t>
      </w:r>
      <w:r w:rsidRPr="004B0BC2">
        <w:rPr>
          <w:rFonts w:cstheme="minorHAnsi"/>
          <w:sz w:val="22"/>
          <w:szCs w:val="22"/>
          <w:shd w:val="clear" w:color="auto" w:fill="FFFFFF"/>
        </w:rPr>
        <w:t xml:space="preserve">s of COVID-19 </w:t>
      </w:r>
      <w:r>
        <w:rPr>
          <w:rFonts w:cstheme="minorHAnsi"/>
          <w:sz w:val="22"/>
          <w:szCs w:val="22"/>
          <w:shd w:val="clear" w:color="auto" w:fill="FFFFFF"/>
        </w:rPr>
        <w:t>are roughly</w:t>
      </w:r>
      <w:r w:rsidRPr="004B0BC2">
        <w:rPr>
          <w:rFonts w:cstheme="minorHAnsi"/>
          <w:sz w:val="22"/>
          <w:szCs w:val="22"/>
          <w:shd w:val="clear" w:color="auto" w:fill="FFFFFF"/>
        </w:rPr>
        <w:t xml:space="preserve"> equal between men and women, </w:t>
      </w:r>
      <w:r>
        <w:rPr>
          <w:rFonts w:cstheme="minorHAnsi"/>
          <w:sz w:val="22"/>
          <w:szCs w:val="22"/>
          <w:shd w:val="clear" w:color="auto" w:fill="FFFFFF"/>
        </w:rPr>
        <w:t>mortality rates are higher in</w:t>
      </w:r>
      <w:r w:rsidRPr="004B0BC2">
        <w:rPr>
          <w:rFonts w:cstheme="minorHAnsi"/>
          <w:sz w:val="22"/>
          <w:szCs w:val="22"/>
          <w:shd w:val="clear" w:color="auto" w:fill="FFFFFF"/>
        </w:rPr>
        <w:t xml:space="preserve"> men</w:t>
      </w:r>
      <w:r>
        <w:rPr>
          <w:rFonts w:cstheme="minorHAnsi"/>
          <w:sz w:val="22"/>
          <w:szCs w:val="22"/>
          <w:shd w:val="clear" w:color="auto" w:fill="FFFFFF"/>
        </w:rPr>
        <w:t xml:space="preserve"> </w:t>
      </w:r>
      <w:r w:rsidRPr="004B0BC2">
        <w:rPr>
          <w:rFonts w:cstheme="minorHAnsi"/>
          <w:sz w:val="22"/>
          <w:szCs w:val="22"/>
          <w:shd w:val="clear" w:color="auto" w:fill="FFFFFF"/>
        </w:rPr>
        <w:t>(Figure 1</w:t>
      </w:r>
      <w:r>
        <w:rPr>
          <w:rFonts w:cstheme="minorHAnsi"/>
          <w:sz w:val="22"/>
          <w:szCs w:val="22"/>
          <w:shd w:val="clear" w:color="auto" w:fill="FFFFFF"/>
        </w:rPr>
        <w:t>)</w:t>
      </w:r>
      <w:r w:rsidR="0035636E" w:rsidRPr="0035636E">
        <w:rPr>
          <w:rFonts w:cstheme="minorHAnsi"/>
          <w:sz w:val="22"/>
          <w:szCs w:val="22"/>
          <w:shd w:val="clear" w:color="auto" w:fill="FFFFFF"/>
        </w:rPr>
        <w:t>.</w:t>
      </w:r>
      <w:r>
        <w:rPr>
          <w:rFonts w:cstheme="minorHAnsi"/>
          <w:sz w:val="22"/>
          <w:szCs w:val="22"/>
          <w:shd w:val="clear" w:color="auto" w:fill="FFFFFF"/>
        </w:rPr>
        <w:t xml:space="preserve"> </w:t>
      </w:r>
      <w:r w:rsidR="004C7E1A">
        <w:rPr>
          <w:rFonts w:cstheme="minorHAnsi"/>
          <w:sz w:val="22"/>
          <w:szCs w:val="22"/>
        </w:rPr>
        <w:t>Both</w:t>
      </w:r>
      <w:r w:rsidR="005A4D36" w:rsidRPr="004B0BC2">
        <w:rPr>
          <w:rFonts w:cstheme="minorHAnsi"/>
          <w:sz w:val="22"/>
          <w:szCs w:val="22"/>
        </w:rPr>
        <w:t xml:space="preserve"> biological and genetic mechanisms </w:t>
      </w:r>
      <w:r w:rsidR="004C7E1A">
        <w:rPr>
          <w:rFonts w:cstheme="minorHAnsi"/>
          <w:sz w:val="22"/>
          <w:szCs w:val="22"/>
        </w:rPr>
        <w:t>could</w:t>
      </w:r>
      <w:r w:rsidR="005A4D36" w:rsidRPr="004B0BC2">
        <w:rPr>
          <w:rFonts w:cstheme="minorHAnsi"/>
          <w:sz w:val="22"/>
          <w:szCs w:val="22"/>
        </w:rPr>
        <w:t xml:space="preserve"> be</w:t>
      </w:r>
      <w:r w:rsidR="002D2331" w:rsidRPr="004B0BC2">
        <w:rPr>
          <w:rFonts w:cstheme="minorHAnsi"/>
          <w:sz w:val="22"/>
          <w:szCs w:val="22"/>
        </w:rPr>
        <w:t xml:space="preserve"> contribut</w:t>
      </w:r>
      <w:r w:rsidR="005A4D36" w:rsidRPr="004B0BC2">
        <w:rPr>
          <w:rFonts w:cstheme="minorHAnsi"/>
          <w:sz w:val="22"/>
          <w:szCs w:val="22"/>
        </w:rPr>
        <w:t>ing to</w:t>
      </w:r>
      <w:r w:rsidR="002D2331" w:rsidRPr="004B0BC2">
        <w:rPr>
          <w:rFonts w:cstheme="minorHAnsi"/>
          <w:sz w:val="22"/>
          <w:szCs w:val="22"/>
        </w:rPr>
        <w:t xml:space="preserve"> </w:t>
      </w:r>
      <w:r w:rsidR="00D44D63" w:rsidRPr="004B0BC2">
        <w:rPr>
          <w:rFonts w:cstheme="minorHAnsi"/>
          <w:sz w:val="22"/>
          <w:szCs w:val="22"/>
        </w:rPr>
        <w:t xml:space="preserve">the </w:t>
      </w:r>
      <w:r w:rsidR="005A4D36" w:rsidRPr="004B0BC2">
        <w:rPr>
          <w:rFonts w:cstheme="minorHAnsi"/>
          <w:sz w:val="22"/>
          <w:szCs w:val="22"/>
        </w:rPr>
        <w:t>disproportionate male mortality from COVID-19.</w:t>
      </w:r>
    </w:p>
    <w:p w14:paraId="49175F08" w14:textId="6D466F63" w:rsidR="00DD0BC5" w:rsidRPr="004B0BC2" w:rsidRDefault="00DD0BC5" w:rsidP="00B66369">
      <w:pPr>
        <w:pStyle w:val="NoSpacing"/>
        <w:spacing w:line="480" w:lineRule="auto"/>
        <w:rPr>
          <w:rFonts w:cstheme="minorHAnsi"/>
          <w:sz w:val="22"/>
          <w:szCs w:val="22"/>
        </w:rPr>
      </w:pPr>
    </w:p>
    <w:p w14:paraId="45073740" w14:textId="3DC8846B" w:rsidR="00334841" w:rsidRPr="004B0BC2" w:rsidRDefault="00FA7FCF" w:rsidP="00B66369">
      <w:pPr>
        <w:pStyle w:val="NoSpacing"/>
        <w:spacing w:line="480" w:lineRule="auto"/>
        <w:rPr>
          <w:rFonts w:cstheme="minorHAnsi"/>
          <w:i/>
          <w:iCs/>
          <w:sz w:val="22"/>
          <w:szCs w:val="22"/>
          <w:shd w:val="clear" w:color="auto" w:fill="FFFFFF"/>
        </w:rPr>
      </w:pPr>
      <w:r>
        <w:rPr>
          <w:rFonts w:cstheme="minorHAnsi"/>
          <w:i/>
          <w:iCs/>
          <w:sz w:val="22"/>
          <w:szCs w:val="22"/>
          <w:shd w:val="clear" w:color="auto" w:fill="FFFFFF"/>
        </w:rPr>
        <w:t>[H2]</w:t>
      </w:r>
      <w:r w:rsidR="00872CE7" w:rsidRPr="004B0BC2">
        <w:rPr>
          <w:rFonts w:cstheme="minorHAnsi"/>
          <w:i/>
          <w:iCs/>
          <w:sz w:val="22"/>
          <w:szCs w:val="22"/>
          <w:shd w:val="clear" w:color="auto" w:fill="FFFFFF"/>
        </w:rPr>
        <w:t>I</w:t>
      </w:r>
      <w:r w:rsidR="002A6B86" w:rsidRPr="004B0BC2">
        <w:rPr>
          <w:rFonts w:cstheme="minorHAnsi"/>
          <w:i/>
          <w:iCs/>
          <w:sz w:val="22"/>
          <w:szCs w:val="22"/>
          <w:shd w:val="clear" w:color="auto" w:fill="FFFFFF"/>
        </w:rPr>
        <w:t>mmunology</w:t>
      </w:r>
    </w:p>
    <w:p w14:paraId="40DF60DA" w14:textId="48E413B7" w:rsidR="00334841" w:rsidRPr="004B0BC2" w:rsidRDefault="00FA7FCF" w:rsidP="00B66369">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The</w:t>
      </w:r>
      <w:r w:rsidR="00B03108" w:rsidRPr="004B0BC2">
        <w:rPr>
          <w:rFonts w:asciiTheme="minorHAnsi" w:hAnsiTheme="minorHAnsi" w:cstheme="minorHAnsi"/>
          <w:sz w:val="22"/>
          <w:szCs w:val="22"/>
          <w:shd w:val="clear" w:color="auto" w:fill="FFFFFF"/>
        </w:rPr>
        <w:t xml:space="preserve"> mortality</w:t>
      </w:r>
      <w:r w:rsidR="008F6240" w:rsidRPr="004B0BC2">
        <w:rPr>
          <w:rFonts w:asciiTheme="minorHAnsi" w:hAnsiTheme="minorHAnsi" w:cstheme="minorHAnsi"/>
          <w:sz w:val="22"/>
          <w:szCs w:val="22"/>
          <w:shd w:val="clear" w:color="auto" w:fill="FFFFFF"/>
        </w:rPr>
        <w:t xml:space="preserve"> rate</w:t>
      </w:r>
      <w:r w:rsidR="00B03108"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associated with</w:t>
      </w:r>
      <w:r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 xml:space="preserve">viral infections </w:t>
      </w:r>
      <w:r>
        <w:rPr>
          <w:rFonts w:asciiTheme="minorHAnsi" w:hAnsiTheme="minorHAnsi" w:cstheme="minorHAnsi"/>
          <w:sz w:val="22"/>
          <w:szCs w:val="22"/>
          <w:shd w:val="clear" w:color="auto" w:fill="FFFFFF"/>
        </w:rPr>
        <w:t xml:space="preserve">in general is higher in men </w:t>
      </w:r>
      <w:r w:rsidR="00334841" w:rsidRPr="004B0BC2">
        <w:rPr>
          <w:rFonts w:asciiTheme="minorHAnsi" w:hAnsiTheme="minorHAnsi" w:cstheme="minorHAnsi"/>
          <w:sz w:val="22"/>
          <w:szCs w:val="22"/>
          <w:shd w:val="clear" w:color="auto" w:fill="FFFFFF"/>
        </w:rPr>
        <w:t>than women</w:t>
      </w:r>
      <w:r w:rsidR="00334841"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10.4415/ANN_16_02_11","author":[{"dropping-particle":"","family":"Ruggieri","given":"Anna","non-dropping-particle":"","parse-names":false,"suffix":""},{"dropping-particle":"","family":"Anticoli","given":"Simona","non-dropping-particle":"","parse-names":false,"suffix":""},{"dropping-particle":"","family":"D'ambrosio","given":"Antonella","non-dropping-particle":"","parse-names":false,"suffix":""},{"dropping-particle":"","family":"Giordani","given":"Luciana","non-dropping-particle":"","parse-names":false,"suffix":""},{"dropping-particle":"","family":"Viora","given":"Marina","non-dropping-particle":"","parse-names":false,"suffix":""}],"container-title":"Ann Ist Super Sanità","id":"ITEM-1","issue":"2","issued":{"date-parts":[["2016"]]},"page":"198-204","title":"Monographic section The influence of sex and gender on immunity, infection and vaccination","type":"article-journal","volume":"52"},"uris":["http://www.mendeley.com/documents/?uuid=9031b4e6-f09d-3af7-a3ac-91ddfb575008"]}],"mendeley":{"formattedCitation":"(106)","plainTextFormattedCitation":"(106)","previouslyFormattedCitation":"(106)"},"properties":{"noteIndex":0},"schema":"https://github.com/citation-style-language/schema/raw/master/csl-citation.json"}</w:instrText>
      </w:r>
      <w:r w:rsidR="00334841"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(106)</w:t>
      </w:r>
      <w:r w:rsidR="00334841" w:rsidRPr="004B0BC2">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this discrepancy</w:t>
      </w:r>
      <w:r w:rsidR="00334841" w:rsidRPr="004B0BC2">
        <w:rPr>
          <w:rFonts w:asciiTheme="minorHAnsi" w:hAnsiTheme="minorHAnsi" w:cstheme="minorHAnsi"/>
          <w:sz w:val="22"/>
          <w:szCs w:val="22"/>
          <w:shd w:val="clear" w:color="auto" w:fill="FFFFFF"/>
        </w:rPr>
        <w:t xml:space="preserve"> has been related to different immunological responses between sexes. </w:t>
      </w:r>
      <w:r>
        <w:rPr>
          <w:rFonts w:asciiTheme="minorHAnsi" w:hAnsiTheme="minorHAnsi" w:cstheme="minorHAnsi"/>
          <w:sz w:val="22"/>
          <w:szCs w:val="22"/>
        </w:rPr>
        <w:t>S</w:t>
      </w:r>
      <w:r w:rsidR="00334841" w:rsidRPr="004B0BC2">
        <w:rPr>
          <w:rFonts w:asciiTheme="minorHAnsi" w:hAnsiTheme="minorHAnsi" w:cstheme="minorHAnsi"/>
          <w:sz w:val="22"/>
          <w:szCs w:val="22"/>
        </w:rPr>
        <w:t xml:space="preserve">ex differences </w:t>
      </w:r>
      <w:r>
        <w:rPr>
          <w:rFonts w:asciiTheme="minorHAnsi" w:hAnsiTheme="minorHAnsi" w:cstheme="minorHAnsi"/>
          <w:sz w:val="22"/>
          <w:szCs w:val="22"/>
        </w:rPr>
        <w:t xml:space="preserve">exist </w:t>
      </w:r>
      <w:r w:rsidR="00334841" w:rsidRPr="004B0BC2">
        <w:rPr>
          <w:rFonts w:asciiTheme="minorHAnsi" w:hAnsiTheme="minorHAnsi" w:cstheme="minorHAnsi"/>
          <w:sz w:val="22"/>
          <w:szCs w:val="22"/>
        </w:rPr>
        <w:t>in both the innate and adaptive immune response.</w:t>
      </w:r>
      <w:r w:rsidR="00386209" w:rsidRPr="004B0BC2">
        <w:rPr>
          <w:rFonts w:asciiTheme="minorHAnsi" w:hAnsiTheme="minorHAnsi" w:cstheme="minorHAnsi"/>
          <w:sz w:val="22"/>
          <w:szCs w:val="22"/>
        </w:rPr>
        <w:t xml:space="preserve"> Interferon-alpha</w:t>
      </w:r>
      <w:r w:rsidR="00334841" w:rsidRPr="004B0BC2">
        <w:rPr>
          <w:rFonts w:asciiTheme="minorHAnsi" w:hAnsiTheme="minorHAnsi" w:cstheme="minorHAnsi"/>
          <w:sz w:val="22"/>
          <w:szCs w:val="22"/>
        </w:rPr>
        <w:t xml:space="preserve"> </w:t>
      </w:r>
      <w:r w:rsidR="00386209" w:rsidRPr="004B0BC2">
        <w:rPr>
          <w:rFonts w:asciiTheme="minorHAnsi" w:hAnsiTheme="minorHAnsi" w:cstheme="minorHAnsi"/>
          <w:sz w:val="22"/>
          <w:szCs w:val="22"/>
        </w:rPr>
        <w:t>(</w:t>
      </w:r>
      <w:r w:rsidR="00334841" w:rsidRPr="004B0BC2">
        <w:rPr>
          <w:rFonts w:asciiTheme="minorHAnsi" w:hAnsiTheme="minorHAnsi" w:cstheme="minorHAnsi"/>
          <w:sz w:val="22"/>
          <w:szCs w:val="22"/>
        </w:rPr>
        <w:t>I</w:t>
      </w:r>
      <w:r>
        <w:rPr>
          <w:rFonts w:asciiTheme="minorHAnsi" w:hAnsiTheme="minorHAnsi" w:cstheme="minorHAnsi"/>
          <w:sz w:val="22"/>
          <w:szCs w:val="22"/>
        </w:rPr>
        <w:t>FN</w:t>
      </w:r>
      <w:r w:rsidR="002A6B86" w:rsidRPr="004B0BC2">
        <w:rPr>
          <w:rFonts w:asciiTheme="minorHAnsi" w:hAnsiTheme="minorHAnsi" w:cstheme="minorHAnsi"/>
          <w:sz w:val="22"/>
          <w:szCs w:val="22"/>
        </w:rPr>
        <w:t>-</w:t>
      </w:r>
      <w:r w:rsidR="002A6B86" w:rsidRPr="004B0BC2">
        <w:rPr>
          <w:rFonts w:asciiTheme="minorHAnsi" w:hAnsiTheme="minorHAnsi" w:cstheme="minorHAnsi"/>
          <w:sz w:val="22"/>
          <w:szCs w:val="22"/>
        </w:rPr>
        <w:sym w:font="Symbol" w:char="F061"/>
      </w:r>
      <w:r w:rsidR="00386209" w:rsidRPr="004B0BC2">
        <w:rPr>
          <w:rFonts w:asciiTheme="minorHAnsi" w:hAnsiTheme="minorHAnsi" w:cstheme="minorHAnsi"/>
          <w:sz w:val="22"/>
          <w:szCs w:val="22"/>
        </w:rPr>
        <w:t>)</w:t>
      </w:r>
      <w:r w:rsidR="00334841" w:rsidRPr="004B0BC2">
        <w:rPr>
          <w:rFonts w:asciiTheme="minorHAnsi" w:hAnsiTheme="minorHAnsi" w:cstheme="minorHAnsi"/>
          <w:sz w:val="22"/>
          <w:szCs w:val="22"/>
        </w:rPr>
        <w:t xml:space="preserve"> </w:t>
      </w:r>
      <w:r w:rsidR="00334841" w:rsidRPr="004B0BC2">
        <w:rPr>
          <w:rFonts w:asciiTheme="minorHAnsi" w:hAnsiTheme="minorHAnsi" w:cstheme="minorHAnsi"/>
          <w:sz w:val="22"/>
          <w:szCs w:val="22"/>
          <w:shd w:val="clear" w:color="auto" w:fill="FFFFFF"/>
        </w:rPr>
        <w:t>is</w:t>
      </w:r>
      <w:r w:rsidR="002A6B86" w:rsidRPr="004B0BC2">
        <w:rPr>
          <w:rFonts w:asciiTheme="minorHAnsi" w:hAnsiTheme="minorHAnsi" w:cstheme="minorHAnsi"/>
          <w:sz w:val="22"/>
          <w:szCs w:val="22"/>
          <w:shd w:val="clear" w:color="auto" w:fill="FFFFFF"/>
        </w:rPr>
        <w:t xml:space="preserve"> </w:t>
      </w:r>
      <w:r w:rsidR="00386209" w:rsidRPr="004B0BC2">
        <w:rPr>
          <w:rFonts w:asciiTheme="minorHAnsi" w:hAnsiTheme="minorHAnsi" w:cstheme="minorHAnsi"/>
          <w:sz w:val="22"/>
          <w:szCs w:val="22"/>
          <w:shd w:val="clear" w:color="auto" w:fill="FFFFFF"/>
        </w:rPr>
        <w:t>required</w:t>
      </w:r>
      <w:r w:rsidR="008F6240"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for</w:t>
      </w:r>
      <w:r w:rsidRPr="004B0BC2">
        <w:rPr>
          <w:rFonts w:asciiTheme="minorHAnsi" w:hAnsiTheme="minorHAnsi" w:cstheme="minorHAnsi"/>
          <w:sz w:val="22"/>
          <w:szCs w:val="22"/>
          <w:shd w:val="clear" w:color="auto" w:fill="FFFFFF"/>
        </w:rPr>
        <w:t xml:space="preserve"> </w:t>
      </w:r>
      <w:r w:rsidR="008F6240" w:rsidRPr="004B0BC2">
        <w:rPr>
          <w:rFonts w:asciiTheme="minorHAnsi" w:hAnsiTheme="minorHAnsi" w:cstheme="minorHAnsi"/>
          <w:sz w:val="22"/>
          <w:szCs w:val="22"/>
          <w:shd w:val="clear" w:color="auto" w:fill="FFFFFF"/>
        </w:rPr>
        <w:t>immunological defence</w:t>
      </w:r>
      <w:r w:rsidR="002A6B86"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against viral infections</w:t>
      </w:r>
      <w:r>
        <w:rPr>
          <w:rFonts w:asciiTheme="minorHAnsi" w:hAnsiTheme="minorHAnsi" w:cstheme="minorHAnsi"/>
          <w:sz w:val="22"/>
          <w:szCs w:val="22"/>
          <w:shd w:val="clear" w:color="auto" w:fill="FFFFFF"/>
        </w:rPr>
        <w:t xml:space="preserve">, </w:t>
      </w:r>
      <w:r w:rsidR="00434714">
        <w:rPr>
          <w:rFonts w:asciiTheme="minorHAnsi" w:hAnsiTheme="minorHAnsi" w:cstheme="minorHAnsi"/>
          <w:sz w:val="22"/>
          <w:szCs w:val="22"/>
          <w:shd w:val="clear" w:color="auto" w:fill="FFFFFF"/>
        </w:rPr>
        <w:t xml:space="preserve">in </w:t>
      </w:r>
      <w:r>
        <w:rPr>
          <w:rFonts w:asciiTheme="minorHAnsi" w:hAnsiTheme="minorHAnsi" w:cstheme="minorHAnsi"/>
          <w:sz w:val="22"/>
          <w:szCs w:val="22"/>
          <w:shd w:val="clear" w:color="auto" w:fill="FFFFFF"/>
        </w:rPr>
        <w:t>wh</w:t>
      </w:r>
      <w:r w:rsidR="00434714">
        <w:rPr>
          <w:rFonts w:asciiTheme="minorHAnsi" w:hAnsiTheme="minorHAnsi" w:cstheme="minorHAnsi"/>
          <w:sz w:val="22"/>
          <w:szCs w:val="22"/>
          <w:shd w:val="clear" w:color="auto" w:fill="FFFFFF"/>
        </w:rPr>
        <w:t xml:space="preserve">ich </w:t>
      </w:r>
      <w:r>
        <w:rPr>
          <w:rFonts w:asciiTheme="minorHAnsi" w:hAnsiTheme="minorHAnsi" w:cstheme="minorHAnsi"/>
          <w:sz w:val="22"/>
          <w:szCs w:val="22"/>
          <w:shd w:val="clear" w:color="auto" w:fill="FFFFFF"/>
        </w:rPr>
        <w:t>it acts via</w:t>
      </w:r>
      <w:r w:rsidR="00334841" w:rsidRPr="004B0BC2">
        <w:rPr>
          <w:rFonts w:asciiTheme="minorHAnsi" w:hAnsiTheme="minorHAnsi" w:cstheme="minorHAnsi"/>
          <w:sz w:val="22"/>
          <w:szCs w:val="22"/>
          <w:shd w:val="clear" w:color="auto" w:fill="FFFFFF"/>
        </w:rPr>
        <w:t xml:space="preserve"> activation of dendritic cells</w:t>
      </w:r>
      <w:r w:rsidR="00386209" w:rsidRPr="004B0BC2">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 </w:t>
      </w:r>
      <w:r w:rsidR="00BC091B" w:rsidRPr="004B0BC2">
        <w:rPr>
          <w:rFonts w:asciiTheme="minorHAnsi" w:hAnsiTheme="minorHAnsi" w:cstheme="minorHAnsi"/>
          <w:sz w:val="22"/>
          <w:szCs w:val="22"/>
        </w:rPr>
        <w:t>stimulati</w:t>
      </w:r>
      <w:r w:rsidR="00A55A3E" w:rsidRPr="004B0BC2">
        <w:rPr>
          <w:rFonts w:asciiTheme="minorHAnsi" w:hAnsiTheme="minorHAnsi" w:cstheme="minorHAnsi"/>
          <w:sz w:val="22"/>
          <w:szCs w:val="22"/>
        </w:rPr>
        <w:t>on of</w:t>
      </w:r>
      <w:r w:rsidR="00386209" w:rsidRPr="004B0BC2">
        <w:rPr>
          <w:rFonts w:asciiTheme="minorHAnsi" w:hAnsiTheme="minorHAnsi" w:cstheme="minorHAnsi"/>
          <w:sz w:val="22"/>
          <w:szCs w:val="22"/>
        </w:rPr>
        <w:t xml:space="preserve"> </w:t>
      </w:r>
      <w:r w:rsidR="00334841" w:rsidRPr="004B0BC2">
        <w:rPr>
          <w:rFonts w:asciiTheme="minorHAnsi" w:hAnsiTheme="minorHAnsi" w:cstheme="minorHAnsi"/>
          <w:sz w:val="22"/>
          <w:szCs w:val="22"/>
          <w:shd w:val="clear" w:color="auto" w:fill="FFFFFF"/>
        </w:rPr>
        <w:t xml:space="preserve">IFN-γ </w:t>
      </w:r>
      <w:r w:rsidR="00BC091B" w:rsidRPr="004B0BC2">
        <w:rPr>
          <w:rFonts w:asciiTheme="minorHAnsi" w:hAnsiTheme="minorHAnsi" w:cstheme="minorHAnsi"/>
          <w:sz w:val="22"/>
          <w:szCs w:val="22"/>
          <w:shd w:val="clear" w:color="auto" w:fill="FFFFFF"/>
        </w:rPr>
        <w:t>and</w:t>
      </w:r>
      <w:r w:rsidR="00334841" w:rsidRPr="004B0BC2">
        <w:rPr>
          <w:rFonts w:asciiTheme="minorHAnsi" w:hAnsiTheme="minorHAnsi" w:cstheme="minorHAnsi"/>
          <w:sz w:val="22"/>
          <w:szCs w:val="22"/>
          <w:shd w:val="clear" w:color="auto" w:fill="FFFFFF"/>
        </w:rPr>
        <w:t xml:space="preserve"> </w:t>
      </w:r>
      <w:r w:rsidR="00A55A3E" w:rsidRPr="004B0BC2">
        <w:rPr>
          <w:rFonts w:asciiTheme="minorHAnsi" w:hAnsiTheme="minorHAnsi" w:cstheme="minorHAnsi"/>
          <w:sz w:val="22"/>
          <w:szCs w:val="22"/>
          <w:shd w:val="clear" w:color="auto" w:fill="FFFFFF"/>
        </w:rPr>
        <w:t>activation of</w:t>
      </w:r>
      <w:r w:rsidR="00334841" w:rsidRPr="004B0BC2">
        <w:rPr>
          <w:rFonts w:asciiTheme="minorHAnsi" w:hAnsiTheme="minorHAnsi" w:cstheme="minorHAnsi"/>
          <w:sz w:val="22"/>
          <w:szCs w:val="22"/>
          <w:shd w:val="clear" w:color="auto" w:fill="FFFFFF"/>
        </w:rPr>
        <w:t xml:space="preserve"> both CD8</w:t>
      </w:r>
      <w:r w:rsidR="00334841" w:rsidRPr="004B0BC2">
        <w:rPr>
          <w:rFonts w:asciiTheme="minorHAnsi" w:hAnsiTheme="minorHAnsi" w:cstheme="minorHAnsi"/>
          <w:sz w:val="22"/>
          <w:szCs w:val="22"/>
          <w:bdr w:val="none" w:sz="0" w:space="0" w:color="auto" w:frame="1"/>
          <w:shd w:val="clear" w:color="auto" w:fill="FFFFFF"/>
          <w:vertAlign w:val="superscript"/>
        </w:rPr>
        <w:t>+</w:t>
      </w:r>
      <w:r w:rsidR="00334841" w:rsidRPr="004B0BC2">
        <w:rPr>
          <w:rFonts w:asciiTheme="minorHAnsi" w:hAnsiTheme="minorHAnsi" w:cstheme="minorHAnsi"/>
          <w:sz w:val="22"/>
          <w:szCs w:val="22"/>
          <w:shd w:val="clear" w:color="auto" w:fill="FFFFFF"/>
        </w:rPr>
        <w:t xml:space="preserve"> T cells and </w:t>
      </w:r>
      <w:r>
        <w:rPr>
          <w:rFonts w:asciiTheme="minorHAnsi" w:hAnsiTheme="minorHAnsi" w:cstheme="minorHAnsi"/>
          <w:sz w:val="22"/>
          <w:szCs w:val="22"/>
          <w:shd w:val="clear" w:color="auto" w:fill="FFFFFF"/>
        </w:rPr>
        <w:t>natural killer (</w:t>
      </w:r>
      <w:r w:rsidR="00334841" w:rsidRPr="004B0BC2">
        <w:rPr>
          <w:rFonts w:asciiTheme="minorHAnsi" w:hAnsiTheme="minorHAnsi" w:cstheme="minorHAnsi"/>
          <w:sz w:val="22"/>
          <w:szCs w:val="22"/>
          <w:shd w:val="clear" w:color="auto" w:fill="FFFFFF"/>
        </w:rPr>
        <w:t>NK</w:t>
      </w:r>
      <w:r>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 cells</w:t>
      </w:r>
      <w:r w:rsidR="00BC091B"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{"citationItems":[{"id":"ITEM-1","itemData":{"DOI":"10.4049/jimmunol.177.4.2088","ISSN":"0022-1767","PMID":"16887967","abstract":"IFN-alpha exercises multiple immune modulatory and antiviral activities and has been suggested to play a critical role in the pathogenesis of systemic lupus erythematosus (SLE). Plasmacytoid dendritic cells (pDCs) release IFN-alpha upon TLR7 and TLR9 ligation. With respect to the nine times higher incidence of SLE in women and the clinical use of synthetic TLR ligands as novel immune adjuvants, we analyzed IFN-alpha and TNF-alpha production in healthy human individuals. Blood samples were incubated with synthetic TLR7 and TLR9 ligands. In three independent groups (n(1) = 120, n(2) = 101, and n(3) = 123), analysis revealed a capacity of female PBLs to produce significantly higher IFN-alpha levels after TLR7 stimulation (p(1) &lt; 0.0000001, p(2) &lt; 0.0000001, and p(3) &lt; 0.0001) compared with male PBLs. In contrast, no sex differences were evident after TLR9 stimulation. TNF-alpha production after TLR7 stimulation and also total pDC numbers were not different between females and males. X-inactivation escape of the TLR7 gene was investigated in monoclonal B cell lines and, independently, in pDCs after cell sorting and single-cell picking, indicating regular silencing of one TLR7 allele in females. Additionally, exogenous 17beta-estrogen and estrogen receptor antagonism did not indicate a significant role on TLR7-induced IFN-alpha production. Our data reveal for the first time a profound sex-dependent pathway of TLR7-induced IFN-alpha with higher production in females. These findings may explain the higher prevalence of SLE in females and the reported decreased therapeutic efficacy of synthetic TLR7 ligands in male individuals.","author":[{"dropping-particle":"","family":"Berghöfer","given":"Beate","non-dropping-particle":"","parse-names":false,"suffix":""},{"dropping-particle":"","family":"Frommer","given":"Ture","non-dropping-particle":"","parse-names":false,"suffix":""},{"dropping-particle":"","family":"Haley","given":"Gabriela","non-dropping-particle":"","parse-names":false,"suffix":""},{"dropping-particle":"","family":"Fink","given":"Ludger","non-dropping-particle":"","parse-names":false,"suffix":""},{"dropping-particle":"","family":"Bein","given":"Gregor","non-dropping-particle":"","parse-names":false,"suffix":""},{"dropping-particle":"","family":"Hackstein","given":"Holger","non-dropping-particle":"","parse-names":false,"suffix":""}],"container-title":"The Journal of Immunology","id":"ITEM-1","issue":"4","issued":{"date-parts":[["2006"]]},"page":"2088-2096","title":"TLR7 Ligands Induce Higher IFN-α Production in Females","type":"article-journal","volume":"177"},"uris":["http://www.mendeley.com/documents/?uuid=0f838646-5b3f-4ace-b605-8cef1f997d21"]}],"mendeley":{"formattedCitation":"(107)","plainTextFormattedCitation":"(107)","previouslyFormattedCitation":"(107)"},"properties":{"noteIndex":0},"schema":"https://github.com/citation-style-language/schema/raw/master/csl-citation.json"}</w:instrText>
      </w:r>
      <w:r w:rsidR="00BC091B"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(107)</w:t>
      </w:r>
      <w:r w:rsidR="00BC091B" w:rsidRPr="004B0BC2">
        <w:rPr>
          <w:rFonts w:asciiTheme="minorHAnsi" w:hAnsiTheme="minorHAnsi" w:cstheme="minorHAnsi"/>
          <w:sz w:val="22"/>
          <w:szCs w:val="22"/>
          <w:shd w:val="clear" w:color="auto" w:fill="FFFFFF"/>
        </w:rPr>
        <w:fldChar w:fldCharType="end"/>
      </w:r>
      <w:r w:rsidR="00BC091B"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A</w:t>
      </w:r>
      <w:r w:rsidR="00334841" w:rsidRPr="004B0BC2">
        <w:rPr>
          <w:rFonts w:asciiTheme="minorHAnsi" w:hAnsiTheme="minorHAnsi" w:cstheme="minorHAnsi"/>
          <w:sz w:val="22"/>
          <w:szCs w:val="22"/>
          <w:shd w:val="clear" w:color="auto" w:fill="FFFFFF"/>
        </w:rPr>
        <w:t xml:space="preserve"> sex-dependent pathway</w:t>
      </w:r>
      <w:r>
        <w:rPr>
          <w:rFonts w:asciiTheme="minorHAnsi" w:hAnsiTheme="minorHAnsi" w:cstheme="minorHAnsi"/>
          <w:sz w:val="22"/>
          <w:szCs w:val="22"/>
          <w:shd w:val="clear" w:color="auto" w:fill="FFFFFF"/>
        </w:rPr>
        <w:t xml:space="preserve"> has been observed</w:t>
      </w:r>
      <w:r w:rsidR="00334841" w:rsidRPr="004B0BC2">
        <w:rPr>
          <w:rFonts w:asciiTheme="minorHAnsi" w:hAnsiTheme="minorHAnsi" w:cstheme="minorHAnsi"/>
          <w:sz w:val="22"/>
          <w:szCs w:val="22"/>
          <w:shd w:val="clear" w:color="auto" w:fill="FFFFFF"/>
        </w:rPr>
        <w:t xml:space="preserve"> </w:t>
      </w:r>
      <w:r w:rsidR="00814443" w:rsidRPr="004B0BC2">
        <w:rPr>
          <w:rFonts w:asciiTheme="minorHAnsi" w:hAnsiTheme="minorHAnsi" w:cstheme="minorHAnsi"/>
          <w:sz w:val="22"/>
          <w:szCs w:val="22"/>
          <w:shd w:val="clear" w:color="auto" w:fill="FFFFFF"/>
        </w:rPr>
        <w:t>for</w:t>
      </w:r>
      <w:r w:rsidR="00334841" w:rsidRPr="004B0BC2">
        <w:rPr>
          <w:rFonts w:asciiTheme="minorHAnsi" w:hAnsiTheme="minorHAnsi" w:cstheme="minorHAnsi"/>
          <w:sz w:val="22"/>
          <w:szCs w:val="22"/>
          <w:shd w:val="clear" w:color="auto" w:fill="FFFFFF"/>
        </w:rPr>
        <w:t xml:space="preserve"> </w:t>
      </w:r>
      <w:r w:rsidR="00814443" w:rsidRPr="004B0BC2">
        <w:rPr>
          <w:rFonts w:asciiTheme="minorHAnsi" w:hAnsiTheme="minorHAnsi" w:cstheme="minorHAnsi"/>
          <w:sz w:val="22"/>
          <w:szCs w:val="22"/>
          <w:shd w:val="clear" w:color="auto" w:fill="FFFFFF"/>
        </w:rPr>
        <w:t>the induction</w:t>
      </w:r>
      <w:r w:rsidR="00BC091B" w:rsidRPr="004B0BC2">
        <w:rPr>
          <w:rFonts w:asciiTheme="minorHAnsi" w:hAnsiTheme="minorHAnsi" w:cstheme="minorHAnsi"/>
          <w:sz w:val="22"/>
          <w:szCs w:val="22"/>
          <w:shd w:val="clear" w:color="auto" w:fill="FFFFFF"/>
        </w:rPr>
        <w:t xml:space="preserve"> of</w:t>
      </w:r>
      <w:r w:rsidR="00334841" w:rsidRPr="004B0BC2">
        <w:rPr>
          <w:rFonts w:asciiTheme="minorHAnsi" w:hAnsiTheme="minorHAnsi" w:cstheme="minorHAnsi"/>
          <w:sz w:val="22"/>
          <w:szCs w:val="22"/>
          <w:shd w:val="clear" w:color="auto" w:fill="FFFFFF"/>
        </w:rPr>
        <w:t xml:space="preserve"> IFN-α</w:t>
      </w:r>
      <w:r>
        <w:rPr>
          <w:rFonts w:asciiTheme="minorHAnsi" w:hAnsiTheme="minorHAnsi" w:cstheme="minorHAnsi"/>
          <w:sz w:val="22"/>
          <w:szCs w:val="22"/>
          <w:shd w:val="clear" w:color="auto" w:fill="FFFFFF"/>
        </w:rPr>
        <w:t>, whereby</w:t>
      </w:r>
      <w:r w:rsidR="00334841" w:rsidRPr="004B0BC2">
        <w:rPr>
          <w:rFonts w:asciiTheme="minorHAnsi" w:hAnsiTheme="minorHAnsi" w:cstheme="minorHAnsi"/>
          <w:sz w:val="22"/>
          <w:szCs w:val="22"/>
          <w:shd w:val="clear" w:color="auto" w:fill="FFFFFF"/>
        </w:rPr>
        <w:t xml:space="preserve"> production</w:t>
      </w:r>
      <w:r>
        <w:rPr>
          <w:rFonts w:asciiTheme="minorHAnsi" w:hAnsiTheme="minorHAnsi" w:cstheme="minorHAnsi"/>
          <w:sz w:val="22"/>
          <w:szCs w:val="22"/>
          <w:shd w:val="clear" w:color="auto" w:fill="FFFFFF"/>
        </w:rPr>
        <w:t xml:space="preserve"> of IFN</w:t>
      </w:r>
      <w:r w:rsidRPr="004B0BC2">
        <w:rPr>
          <w:rFonts w:asciiTheme="minorHAnsi" w:hAnsiTheme="minorHAnsi" w:cstheme="minorHAnsi"/>
          <w:sz w:val="22"/>
          <w:szCs w:val="22"/>
        </w:rPr>
        <w:t>-</w:t>
      </w:r>
      <w:r w:rsidRPr="004B0BC2">
        <w:rPr>
          <w:rFonts w:asciiTheme="minorHAnsi" w:hAnsiTheme="minorHAnsi" w:cstheme="minorHAnsi"/>
          <w:sz w:val="22"/>
          <w:szCs w:val="22"/>
        </w:rPr>
        <w:sym w:font="Symbol" w:char="F061"/>
      </w:r>
      <w:r w:rsidR="00334841"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by peripheral blood leucocytes </w:t>
      </w:r>
      <w:r w:rsidR="00334841" w:rsidRPr="004B0BC2">
        <w:rPr>
          <w:rFonts w:asciiTheme="minorHAnsi" w:hAnsiTheme="minorHAnsi" w:cstheme="minorHAnsi"/>
          <w:sz w:val="22"/>
          <w:szCs w:val="22"/>
          <w:shd w:val="clear" w:color="auto" w:fill="FFFFFF"/>
        </w:rPr>
        <w:t xml:space="preserve">in </w:t>
      </w:r>
      <w:r>
        <w:rPr>
          <w:rFonts w:asciiTheme="minorHAnsi" w:hAnsiTheme="minorHAnsi" w:cstheme="minorHAnsi"/>
          <w:sz w:val="22"/>
          <w:szCs w:val="22"/>
          <w:shd w:val="clear" w:color="auto" w:fill="FFFFFF"/>
        </w:rPr>
        <w:t>blood samples from women was higher than in</w:t>
      </w:r>
      <w:r w:rsidR="00334841" w:rsidRPr="004B0BC2">
        <w:rPr>
          <w:rFonts w:asciiTheme="minorHAnsi" w:hAnsiTheme="minorHAnsi" w:cstheme="minorHAnsi"/>
          <w:sz w:val="22"/>
          <w:szCs w:val="22"/>
          <w:shd w:val="clear" w:color="auto" w:fill="FFFFFF"/>
        </w:rPr>
        <w:t xml:space="preserve"> me</w:t>
      </w:r>
      <w:r>
        <w:rPr>
          <w:rFonts w:asciiTheme="minorHAnsi" w:hAnsiTheme="minorHAnsi" w:cstheme="minorHAnsi"/>
          <w:sz w:val="22"/>
          <w:szCs w:val="22"/>
          <w:shd w:val="clear" w:color="auto" w:fill="FFFFFF"/>
        </w:rPr>
        <w:t>n after stimulation with a TLR7 ligand</w:t>
      </w:r>
      <w:r w:rsidR="00334841" w:rsidRPr="004B0BC2">
        <w:rPr>
          <w:rFonts w:asciiTheme="minorHAnsi" w:hAnsiTheme="minorHAnsi" w:cstheme="minorHAnsi"/>
          <w:sz w:val="22"/>
          <w:szCs w:val="22"/>
          <w:shd w:val="clear" w:color="auto" w:fill="FFFFFF"/>
        </w:rPr>
        <w:t xml:space="preserve"> (</w:t>
      </w:r>
      <w:r w:rsidR="00334841" w:rsidRPr="004B0BC2">
        <w:rPr>
          <w:rStyle w:val="Emphasis"/>
          <w:rFonts w:asciiTheme="minorHAnsi" w:eastAsiaTheme="majorEastAsia" w:hAnsiTheme="minorHAnsi" w:cstheme="minorHAnsi"/>
          <w:i w:val="0"/>
          <w:iCs w:val="0"/>
          <w:sz w:val="22"/>
          <w:szCs w:val="22"/>
          <w:bdr w:val="none" w:sz="0" w:space="0" w:color="auto" w:frame="1"/>
          <w:shd w:val="clear" w:color="auto" w:fill="FFFFFF"/>
        </w:rPr>
        <w:t>p</w:t>
      </w:r>
      <w:r w:rsidR="00334841" w:rsidRPr="004B0BC2">
        <w:rPr>
          <w:rFonts w:asciiTheme="minorHAnsi" w:hAnsiTheme="minorHAnsi" w:cstheme="minorHAnsi"/>
          <w:sz w:val="22"/>
          <w:szCs w:val="22"/>
          <w:shd w:val="clear" w:color="auto" w:fill="FFFFFF"/>
        </w:rPr>
        <w:t>&lt;0.0000001)</w:t>
      </w:r>
      <w:r w:rsidRPr="00FA7FCF">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{"citationItems":[{"id":"ITEM-1","itemData":{"DOI":"10.4049/jimmunol.177.4.2088","ISSN":"0022-1767","PMID":"16887967","abstract":"IFN-alpha exercises multiple immune modulatory and antiviral activities and has been suggested to play a critical role in the pathogenesis of systemic lupus erythematosus (SLE). Plasmacytoid dendritic cells (pDCs) release IFN-alpha upon TLR7 and TLR9 ligation. With respect to the nine times higher incidence of SLE in women and the clinical use of synthetic TLR ligands as novel immune adjuvants, we analyzed IFN-alpha and TNF-alpha production in healthy human individuals. Blood samples were incubated with synthetic TLR7 and TLR9 ligands. In three independent groups (n(1) = 120, n(2) = 101, and n(3) = 123), analysis revealed a capacity of female PBLs to produce significantly higher IFN-alpha levels after TLR7 stimulation (p(1) &lt; 0.0000001, p(2) &lt; 0.0000001, and p(3) &lt; 0.0001) compared with male PBLs. In contrast, no sex differences were evident after TLR9 stimulation. TNF-alpha production after TLR7 stimulation and also total pDC numbers were not different between females and males. X-inactivation escape of the TLR7 gene was investigated in monoclonal B cell lines and, independently, in pDCs after cell sorting and single-cell picking, indicating regular silencing of one TLR7 allele in females. Additionally, exogenous 17beta-estrogen and estrogen receptor antagonism did not indicate a significant role on TLR7-induced IFN-alpha production. Our data reveal for the first time a profound sex-dependent pathway of TLR7-induced IFN-alpha with higher production in females. These findings may explain the higher prevalence of SLE in females and the reported decreased therapeutic efficacy of synthetic TLR7 ligands in male individuals.","author":[{"dropping-particle":"","family":"Berghöfer","given":"Beate","non-dropping-particle":"","parse-names":false,"suffix":""},{"dropping-particle":"","family":"Frommer","given":"Ture","non-dropping-particle":"","parse-names":false,"suffix":""},{"dropping-particle":"","family":"Haley","given":"Gabriela","non-dropping-particle":"","parse-names":false,"suffix":""},{"dropping-particle":"","family":"Fink","given":"Ludger","non-dropping-particle":"","parse-names":false,"suffix":""},{"dropping-particle":"","family":"Bein","given":"Gregor","non-dropping-particle":"","parse-names":false,"suffix":""},{"dropping-particle":"","family":"Hackstein","given":"Holger","non-dropping-particle":"","parse-names":false,"suffix":""}],"container-title":"The Journal of Immunology","id":"ITEM-1","issue":"4","issued":{"date-parts":[["2006"]]},"page":"2088-2096","title":"TLR7 Ligands Induce Higher IFN-α Production in Females","type":"article-journal","volume":"177"},"uris":["http://www.mendeley.com/documents/?uuid=0f838646-5b3f-4ace-b605-8cef1f997d21"]}],"mendeley":{"formattedCitation":"(107)","plainTextFormattedCitation":"(107)","previouslyFormattedCitation":"(107)"},"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(107)</w:t>
      </w:r>
      <w:r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rPr>
        <w:t xml:space="preserve">Likewise, </w:t>
      </w:r>
      <w:r w:rsidR="00334841" w:rsidRPr="004B0BC2">
        <w:rPr>
          <w:rFonts w:asciiTheme="minorHAnsi" w:hAnsiTheme="minorHAnsi" w:cstheme="minorHAnsi"/>
          <w:sz w:val="22"/>
          <w:szCs w:val="22"/>
        </w:rPr>
        <w:t>assess</w:t>
      </w:r>
      <w:r>
        <w:rPr>
          <w:rFonts w:asciiTheme="minorHAnsi" w:hAnsiTheme="minorHAnsi" w:cstheme="minorHAnsi"/>
          <w:sz w:val="22"/>
          <w:szCs w:val="22"/>
        </w:rPr>
        <w:t>ment of</w:t>
      </w:r>
      <w:r w:rsidR="00334841" w:rsidRPr="004B0BC2">
        <w:rPr>
          <w:rFonts w:asciiTheme="minorHAnsi" w:hAnsiTheme="minorHAnsi" w:cstheme="minorHAnsi"/>
          <w:sz w:val="22"/>
          <w:szCs w:val="22"/>
        </w:rPr>
        <w:t xml:space="preserve"> </w:t>
      </w:r>
      <w:r>
        <w:rPr>
          <w:rFonts w:asciiTheme="minorHAnsi" w:hAnsiTheme="minorHAnsi" w:cstheme="minorHAnsi"/>
          <w:sz w:val="22"/>
          <w:szCs w:val="22"/>
        </w:rPr>
        <w:t>sex-related</w:t>
      </w:r>
      <w:r w:rsidR="00334841" w:rsidRPr="004B0BC2">
        <w:rPr>
          <w:rFonts w:asciiTheme="minorHAnsi" w:hAnsiTheme="minorHAnsi" w:cstheme="minorHAnsi"/>
          <w:sz w:val="22"/>
          <w:szCs w:val="22"/>
        </w:rPr>
        <w:t xml:space="preserve"> differences in </w:t>
      </w:r>
      <w:r>
        <w:rPr>
          <w:rFonts w:asciiTheme="minorHAnsi" w:hAnsiTheme="minorHAnsi" w:cstheme="minorHAnsi"/>
          <w:sz w:val="22"/>
          <w:szCs w:val="22"/>
        </w:rPr>
        <w:t>c</w:t>
      </w:r>
      <w:r w:rsidR="00334841" w:rsidRPr="004B0BC2">
        <w:rPr>
          <w:rFonts w:asciiTheme="minorHAnsi" w:hAnsiTheme="minorHAnsi" w:cstheme="minorHAnsi"/>
          <w:sz w:val="22"/>
          <w:szCs w:val="22"/>
        </w:rPr>
        <w:t>ytomegalovirus</w:t>
      </w:r>
      <w:r w:rsidR="00BC091B" w:rsidRPr="004B0BC2">
        <w:rPr>
          <w:rFonts w:asciiTheme="minorHAnsi" w:hAnsiTheme="minorHAnsi" w:cstheme="minorHAnsi"/>
          <w:sz w:val="22"/>
          <w:szCs w:val="22"/>
        </w:rPr>
        <w:t xml:space="preserve"> (CMV)</w:t>
      </w:r>
      <w:r w:rsidR="00334841" w:rsidRPr="004B0BC2">
        <w:rPr>
          <w:rFonts w:asciiTheme="minorHAnsi" w:hAnsiTheme="minorHAnsi" w:cstheme="minorHAnsi"/>
          <w:sz w:val="22"/>
          <w:szCs w:val="22"/>
        </w:rPr>
        <w:t xml:space="preserve"> cytokine secretion in healthy CMV-seropositive men and women</w:t>
      </w:r>
      <w:r>
        <w:rPr>
          <w:rFonts w:asciiTheme="minorHAnsi" w:hAnsiTheme="minorHAnsi" w:cstheme="minorHAnsi"/>
          <w:sz w:val="22"/>
          <w:szCs w:val="22"/>
        </w:rPr>
        <w:t xml:space="preserve">, revealed </w:t>
      </w:r>
      <w:r>
        <w:rPr>
          <w:rFonts w:asciiTheme="minorHAnsi" w:hAnsiTheme="minorHAnsi" w:cstheme="minorHAnsi"/>
          <w:sz w:val="22"/>
          <w:szCs w:val="22"/>
        </w:rPr>
        <w:lastRenderedPageBreak/>
        <w:t>that t</w:t>
      </w:r>
      <w:r w:rsidR="00334841" w:rsidRPr="004B0BC2">
        <w:rPr>
          <w:rFonts w:asciiTheme="minorHAnsi" w:hAnsiTheme="minorHAnsi" w:cstheme="minorHAnsi"/>
          <w:sz w:val="22"/>
          <w:szCs w:val="22"/>
        </w:rPr>
        <w:t>he median</w:t>
      </w:r>
      <w:r w:rsidR="00BC091B" w:rsidRPr="004B0BC2">
        <w:rPr>
          <w:rFonts w:asciiTheme="minorHAnsi" w:hAnsiTheme="minorHAnsi" w:cstheme="minorHAnsi"/>
          <w:sz w:val="22"/>
          <w:szCs w:val="22"/>
        </w:rPr>
        <w:t xml:space="preserve"> interleukin-2 (</w:t>
      </w:r>
      <w:r w:rsidR="00334841" w:rsidRPr="004B0BC2">
        <w:rPr>
          <w:rFonts w:asciiTheme="minorHAnsi" w:hAnsiTheme="minorHAnsi" w:cstheme="minorHAnsi"/>
          <w:sz w:val="22"/>
          <w:szCs w:val="22"/>
        </w:rPr>
        <w:t>IL-2</w:t>
      </w:r>
      <w:r w:rsidR="00BC091B" w:rsidRPr="004B0BC2">
        <w:rPr>
          <w:rFonts w:asciiTheme="minorHAnsi" w:hAnsiTheme="minorHAnsi" w:cstheme="minorHAnsi"/>
          <w:sz w:val="22"/>
          <w:szCs w:val="22"/>
        </w:rPr>
        <w:t>)</w:t>
      </w:r>
      <w:r w:rsidR="00814443" w:rsidRPr="004B0BC2">
        <w:rPr>
          <w:rFonts w:asciiTheme="minorHAnsi" w:hAnsiTheme="minorHAnsi" w:cstheme="minorHAnsi"/>
          <w:sz w:val="22"/>
          <w:szCs w:val="22"/>
        </w:rPr>
        <w:t xml:space="preserve"> concentra</w:t>
      </w:r>
      <w:r w:rsidR="00BC091B" w:rsidRPr="004B0BC2">
        <w:rPr>
          <w:rFonts w:asciiTheme="minorHAnsi" w:hAnsiTheme="minorHAnsi" w:cstheme="minorHAnsi"/>
          <w:sz w:val="22"/>
          <w:szCs w:val="22"/>
        </w:rPr>
        <w:t>t</w:t>
      </w:r>
      <w:r w:rsidR="00814443" w:rsidRPr="004B0BC2">
        <w:rPr>
          <w:rFonts w:asciiTheme="minorHAnsi" w:hAnsiTheme="minorHAnsi" w:cstheme="minorHAnsi"/>
          <w:sz w:val="22"/>
          <w:szCs w:val="22"/>
        </w:rPr>
        <w:t xml:space="preserve">ion in response to CMV was significantly higher in females </w:t>
      </w:r>
      <w:r>
        <w:rPr>
          <w:rFonts w:asciiTheme="minorHAnsi" w:hAnsiTheme="minorHAnsi" w:cstheme="minorHAnsi"/>
          <w:sz w:val="22"/>
          <w:szCs w:val="22"/>
        </w:rPr>
        <w:t>than</w:t>
      </w:r>
      <w:r w:rsidR="00814443" w:rsidRPr="004B0BC2">
        <w:rPr>
          <w:rFonts w:asciiTheme="minorHAnsi" w:hAnsiTheme="minorHAnsi" w:cstheme="minorHAnsi"/>
          <w:sz w:val="22"/>
          <w:szCs w:val="22"/>
        </w:rPr>
        <w:t xml:space="preserve"> males (</w:t>
      </w:r>
      <w:r w:rsidR="00334841" w:rsidRPr="004B0BC2">
        <w:rPr>
          <w:rFonts w:asciiTheme="minorHAnsi" w:hAnsiTheme="minorHAnsi" w:cstheme="minorHAnsi"/>
          <w:sz w:val="22"/>
          <w:szCs w:val="22"/>
        </w:rPr>
        <w:t xml:space="preserve">60 pg/ml </w:t>
      </w:r>
      <w:r w:rsidR="00814443" w:rsidRPr="004B0BC2">
        <w:rPr>
          <w:rFonts w:asciiTheme="minorHAnsi" w:hAnsiTheme="minorHAnsi" w:cstheme="minorHAnsi"/>
          <w:sz w:val="22"/>
          <w:szCs w:val="22"/>
        </w:rPr>
        <w:t>v</w:t>
      </w:r>
      <w:r>
        <w:rPr>
          <w:rFonts w:asciiTheme="minorHAnsi" w:hAnsiTheme="minorHAnsi" w:cstheme="minorHAnsi"/>
          <w:sz w:val="22"/>
          <w:szCs w:val="22"/>
        </w:rPr>
        <w:t>ersus</w:t>
      </w:r>
      <w:r w:rsidR="00334841" w:rsidRPr="004B0BC2">
        <w:rPr>
          <w:rFonts w:asciiTheme="minorHAnsi" w:hAnsiTheme="minorHAnsi" w:cstheme="minorHAnsi"/>
          <w:sz w:val="22"/>
          <w:szCs w:val="22"/>
        </w:rPr>
        <w:t xml:space="preserve"> 31.5 pg/ml</w:t>
      </w:r>
      <w:r w:rsidR="00814443" w:rsidRPr="004B0BC2">
        <w:rPr>
          <w:rFonts w:asciiTheme="minorHAnsi" w:hAnsiTheme="minorHAnsi" w:cstheme="minorHAnsi"/>
          <w:sz w:val="22"/>
          <w:szCs w:val="22"/>
        </w:rPr>
        <w:t>,</w:t>
      </w:r>
      <w:r w:rsidR="00334841" w:rsidRPr="004B0BC2">
        <w:rPr>
          <w:rFonts w:asciiTheme="minorHAnsi" w:hAnsiTheme="minorHAnsi" w:cstheme="minorHAnsi"/>
          <w:sz w:val="22"/>
          <w:szCs w:val="22"/>
        </w:rPr>
        <w:t> </w:t>
      </w:r>
      <w:r w:rsidR="00334841" w:rsidRPr="004B0BC2">
        <w:rPr>
          <w:rStyle w:val="Emphasis"/>
          <w:rFonts w:asciiTheme="minorHAnsi" w:eastAsiaTheme="majorEastAsia" w:hAnsiTheme="minorHAnsi" w:cstheme="minorHAnsi"/>
          <w:i w:val="0"/>
          <w:iCs w:val="0"/>
          <w:sz w:val="22"/>
          <w:szCs w:val="22"/>
        </w:rPr>
        <w:t>p</w:t>
      </w:r>
      <w:r w:rsidR="002C49A5" w:rsidRPr="004B0BC2">
        <w:rPr>
          <w:rFonts w:asciiTheme="minorHAnsi" w:hAnsiTheme="minorHAnsi" w:cstheme="minorHAnsi"/>
          <w:sz w:val="22"/>
          <w:szCs w:val="22"/>
        </w:rPr>
        <w:t>=</w:t>
      </w:r>
      <w:r w:rsidR="00334841" w:rsidRPr="004B0BC2">
        <w:rPr>
          <w:rFonts w:asciiTheme="minorHAnsi" w:hAnsiTheme="minorHAnsi" w:cstheme="minorHAnsi"/>
          <w:sz w:val="22"/>
          <w:szCs w:val="22"/>
        </w:rPr>
        <w:t>0.001).</w:t>
      </w:r>
      <w:r w:rsidR="00814443" w:rsidRPr="004B0BC2">
        <w:rPr>
          <w:rFonts w:asciiTheme="minorHAnsi" w:hAnsiTheme="minorHAnsi" w:cstheme="minorHAnsi"/>
          <w:sz w:val="22"/>
          <w:szCs w:val="22"/>
        </w:rPr>
        <w:t xml:space="preserve"> Furthermore, the </w:t>
      </w:r>
      <w:r>
        <w:rPr>
          <w:rFonts w:asciiTheme="minorHAnsi" w:hAnsiTheme="minorHAnsi" w:cstheme="minorHAnsi"/>
          <w:sz w:val="22"/>
          <w:szCs w:val="22"/>
        </w:rPr>
        <w:t>female cohort</w:t>
      </w:r>
      <w:r w:rsidR="00814443" w:rsidRPr="004B0BC2">
        <w:rPr>
          <w:rFonts w:asciiTheme="minorHAnsi" w:hAnsiTheme="minorHAnsi" w:cstheme="minorHAnsi"/>
          <w:sz w:val="22"/>
          <w:szCs w:val="22"/>
        </w:rPr>
        <w:t xml:space="preserve"> had a higher proportion of responders (patients with an IL-2 concentration</w:t>
      </w:r>
      <w:r w:rsidR="00334841" w:rsidRPr="004B0BC2">
        <w:rPr>
          <w:rFonts w:asciiTheme="minorHAnsi" w:hAnsiTheme="minorHAnsi" w:cstheme="minorHAnsi"/>
          <w:sz w:val="22"/>
          <w:szCs w:val="22"/>
        </w:rPr>
        <w:t xml:space="preserve"> &gt;25 pg/ml</w:t>
      </w:r>
      <w:r w:rsidR="00814443" w:rsidRPr="004B0BC2">
        <w:rPr>
          <w:rFonts w:asciiTheme="minorHAnsi" w:hAnsiTheme="minorHAnsi" w:cstheme="minorHAnsi"/>
          <w:sz w:val="22"/>
          <w:szCs w:val="22"/>
        </w:rPr>
        <w:t>)</w:t>
      </w:r>
      <w:r>
        <w:rPr>
          <w:rFonts w:asciiTheme="minorHAnsi" w:hAnsiTheme="minorHAnsi" w:cstheme="minorHAnsi"/>
          <w:sz w:val="22"/>
          <w:szCs w:val="22"/>
        </w:rPr>
        <w:t xml:space="preserve"> </w:t>
      </w:r>
      <w:r>
        <w:rPr>
          <w:rFonts w:ascii="Calibri" w:hAnsi="Calibri" w:cs="Calibri"/>
          <w:sz w:val="22"/>
          <w:szCs w:val="22"/>
        </w:rPr>
        <w:t>—</w:t>
      </w:r>
      <w:r w:rsidR="00814443" w:rsidRPr="004B0BC2">
        <w:rPr>
          <w:rFonts w:asciiTheme="minorHAnsi" w:hAnsiTheme="minorHAnsi" w:cstheme="minorHAnsi"/>
          <w:sz w:val="22"/>
          <w:szCs w:val="22"/>
        </w:rPr>
        <w:t xml:space="preserve"> </w:t>
      </w:r>
      <w:r w:rsidR="00334841" w:rsidRPr="004B0BC2">
        <w:rPr>
          <w:rFonts w:asciiTheme="minorHAnsi" w:hAnsiTheme="minorHAnsi" w:cstheme="minorHAnsi"/>
          <w:sz w:val="22"/>
          <w:szCs w:val="22"/>
        </w:rPr>
        <w:t xml:space="preserve">95% </w:t>
      </w:r>
      <w:r w:rsidR="00814443" w:rsidRPr="004B0BC2">
        <w:rPr>
          <w:rFonts w:asciiTheme="minorHAnsi" w:hAnsiTheme="minorHAnsi" w:cstheme="minorHAnsi"/>
          <w:sz w:val="22"/>
          <w:szCs w:val="22"/>
        </w:rPr>
        <w:t>of</w:t>
      </w:r>
      <w:r w:rsidR="00334841" w:rsidRPr="004B0BC2">
        <w:rPr>
          <w:rFonts w:asciiTheme="minorHAnsi" w:hAnsiTheme="minorHAnsi" w:cstheme="minorHAnsi"/>
          <w:sz w:val="22"/>
          <w:szCs w:val="22"/>
        </w:rPr>
        <w:t xml:space="preserve"> women </w:t>
      </w:r>
      <w:r w:rsidR="00814443" w:rsidRPr="004B0BC2">
        <w:rPr>
          <w:rFonts w:asciiTheme="minorHAnsi" w:hAnsiTheme="minorHAnsi" w:cstheme="minorHAnsi"/>
          <w:sz w:val="22"/>
          <w:szCs w:val="22"/>
        </w:rPr>
        <w:t>and</w:t>
      </w:r>
      <w:r w:rsidR="00334841" w:rsidRPr="004B0BC2">
        <w:rPr>
          <w:rFonts w:asciiTheme="minorHAnsi" w:hAnsiTheme="minorHAnsi" w:cstheme="minorHAnsi"/>
          <w:sz w:val="22"/>
          <w:szCs w:val="22"/>
        </w:rPr>
        <w:t xml:space="preserve"> 60% </w:t>
      </w:r>
      <w:r w:rsidR="00814443" w:rsidRPr="004B0BC2">
        <w:rPr>
          <w:rFonts w:asciiTheme="minorHAnsi" w:hAnsiTheme="minorHAnsi" w:cstheme="minorHAnsi"/>
          <w:sz w:val="22"/>
          <w:szCs w:val="22"/>
        </w:rPr>
        <w:t>of</w:t>
      </w:r>
      <w:r w:rsidR="00334841" w:rsidRPr="004B0BC2">
        <w:rPr>
          <w:rFonts w:asciiTheme="minorHAnsi" w:hAnsiTheme="minorHAnsi" w:cstheme="minorHAnsi"/>
          <w:sz w:val="22"/>
          <w:szCs w:val="22"/>
        </w:rPr>
        <w:t xml:space="preserve"> men (</w:t>
      </w:r>
      <w:r w:rsidR="00334841" w:rsidRPr="004B0BC2">
        <w:rPr>
          <w:rStyle w:val="Emphasis"/>
          <w:rFonts w:asciiTheme="minorHAnsi" w:eastAsiaTheme="majorEastAsia" w:hAnsiTheme="minorHAnsi" w:cstheme="minorHAnsi"/>
          <w:i w:val="0"/>
          <w:iCs w:val="0"/>
          <w:sz w:val="22"/>
          <w:szCs w:val="22"/>
        </w:rPr>
        <w:t>p</w:t>
      </w:r>
      <w:r w:rsidR="00334841" w:rsidRPr="004B0BC2">
        <w:rPr>
          <w:rFonts w:asciiTheme="minorHAnsi" w:hAnsiTheme="minorHAnsi" w:cstheme="minorHAnsi"/>
          <w:sz w:val="22"/>
          <w:szCs w:val="22"/>
        </w:rPr>
        <w:t>=0.02)</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{"citationItems":[{"id":"ITEM-1","itemData":{"DOI":"10.1016/j.humimm.2004.02.021","ISSN":"01988859","abstract":"Cell-mediated memory immune responses to viral antigens are important for protection against viruses causing persistent or acute infections. This study compared the cytokine profile of memory T-helper cells specific for cytomegalovirus (CMV) in healthy CMV-seropositive men and women. The cytokine response reflected TH1 bias, with dominant secretion of interferon (IFN)-γ along with moderate levels of tumor necrosis factor-α, interleukin (IL)-10, and IL-2. Analyzed by gender, women had higher and significant spontaneous release of IFN-γ and CMV-specific IL-2 secretion. Similar analysis with herpes simplex virus-1 showed a trend toward higher cytokine responsiveness in women, but the differences were not statistically significant. In contrast, men had statistically significant higher influenza virus-specific tumor necrosis factor-α secretion. IL-4 and IL-5, both TH2 cytokines, were low for all three viruses. The results show a predominant TH1 antiviral cytokine T-help memory response with significant differences linked to gender. Such differences may have an impact in the design of immunization strategies against CMV. © American Society for Histocompatibility and Immunogenetics, 2004. Published by Elsevier Inc.","author":[{"dropping-particle":"","family":"Villacres","given":"Maria C.","non-dropping-particle":"","parse-names":false,"suffix":""},{"dropping-particle":"","family":"Longmate","given":"Jeff","non-dropping-particle":"","parse-names":false,"suffix":""},{"dropping-particle":"","family":"Auge","given":"Catherine","non-dropping-particle":"","parse-names":false,"suffix":""},{"dropping-particle":"","family":"Diamond","given":"Don J.","non-dropping-particle":"","parse-names":false,"suffix":""}],"container-title":"Human Immunology","id":"ITEM-1","issue":"5","issued":{"date-parts":[["2004"]]},"page":"476-85","title":"Predominant type 1 CMV-specific memory T-helper response in humans: Evidence for gender differences in cytokine secretion","type":"article-journal","volume":"65"},"uris":["http://www.mendeley.com/documents/?uuid=d0d86574-ce00-4af1-8c19-2ae5eddbb88b"]}],"mendeley":{"formattedCitation":"(108)","plainTextFormattedCitation":"(108)","previouslyFormattedCitation":"(108)"},"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(108)</w:t>
      </w:r>
      <w:r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w:t>
      </w:r>
    </w:p>
    <w:p w14:paraId="0F354C74" w14:textId="15B1D437" w:rsidR="002C49A5" w:rsidRPr="004B0BC2" w:rsidRDefault="00BC091B"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shd w:val="clear" w:color="auto" w:fill="FFFFFF"/>
        </w:rPr>
        <w:t>An i</w:t>
      </w:r>
      <w:r w:rsidR="00334841" w:rsidRPr="004B0BC2">
        <w:rPr>
          <w:rFonts w:asciiTheme="minorHAnsi" w:hAnsiTheme="minorHAnsi" w:cstheme="minorHAnsi"/>
          <w:sz w:val="22"/>
          <w:szCs w:val="22"/>
          <w:shd w:val="clear" w:color="auto" w:fill="FFFFFF"/>
        </w:rPr>
        <w:t>n</w:t>
      </w:r>
      <w:r w:rsidR="00A55A3E" w:rsidRPr="004B0BC2">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vitro stud</w:t>
      </w:r>
      <w:r w:rsidRPr="004B0BC2">
        <w:rPr>
          <w:rFonts w:asciiTheme="minorHAnsi" w:hAnsiTheme="minorHAnsi" w:cstheme="minorHAnsi"/>
          <w:sz w:val="22"/>
          <w:szCs w:val="22"/>
          <w:shd w:val="clear" w:color="auto" w:fill="FFFFFF"/>
        </w:rPr>
        <w:t>y</w:t>
      </w:r>
      <w:r w:rsidR="00334841" w:rsidRPr="004B0BC2">
        <w:rPr>
          <w:rFonts w:asciiTheme="minorHAnsi" w:hAnsiTheme="minorHAnsi" w:cstheme="minorHAnsi"/>
          <w:sz w:val="22"/>
          <w:szCs w:val="22"/>
          <w:shd w:val="clear" w:color="auto" w:fill="FFFFFF"/>
        </w:rPr>
        <w:t xml:space="preserve"> reported that cultured peripheral blood mononuclear cells</w:t>
      </w:r>
      <w:r w:rsidR="00FA7FCF">
        <w:rPr>
          <w:rFonts w:asciiTheme="minorHAnsi" w:hAnsiTheme="minorHAnsi" w:cstheme="minorHAnsi"/>
          <w:sz w:val="22"/>
          <w:szCs w:val="22"/>
          <w:shd w:val="clear" w:color="auto" w:fill="FFFFFF"/>
        </w:rPr>
        <w:t xml:space="preserve"> (PBMC)</w:t>
      </w:r>
      <w:r w:rsidR="00334841" w:rsidRPr="004B0BC2">
        <w:rPr>
          <w:rFonts w:asciiTheme="minorHAnsi" w:hAnsiTheme="minorHAnsi" w:cstheme="minorHAnsi"/>
          <w:sz w:val="22"/>
          <w:szCs w:val="22"/>
          <w:shd w:val="clear" w:color="auto" w:fill="FFFFFF"/>
        </w:rPr>
        <w:t xml:space="preserve"> from females </w:t>
      </w:r>
      <w:r w:rsidR="00FA7FCF" w:rsidRPr="004B0BC2">
        <w:rPr>
          <w:rFonts w:asciiTheme="minorHAnsi" w:hAnsiTheme="minorHAnsi" w:cstheme="minorHAnsi"/>
          <w:sz w:val="22"/>
          <w:szCs w:val="22"/>
          <w:shd w:val="clear" w:color="auto" w:fill="FFFFFF"/>
        </w:rPr>
        <w:t xml:space="preserve">stimulated with </w:t>
      </w:r>
      <w:r w:rsidR="00FA7FCF" w:rsidRPr="004B0BC2">
        <w:rPr>
          <w:rFonts w:asciiTheme="minorHAnsi" w:hAnsiTheme="minorHAnsi" w:cstheme="minorHAnsi"/>
          <w:sz w:val="22"/>
          <w:szCs w:val="22"/>
        </w:rPr>
        <w:t>phytohaemagglutinin</w:t>
      </w:r>
      <w:r w:rsidR="00FA7FCF"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produce</w:t>
      </w:r>
      <w:r w:rsidR="002C49A5" w:rsidRPr="004B0BC2">
        <w:rPr>
          <w:rFonts w:asciiTheme="minorHAnsi" w:hAnsiTheme="minorHAnsi" w:cstheme="minorHAnsi"/>
          <w:sz w:val="22"/>
          <w:szCs w:val="22"/>
          <w:shd w:val="clear" w:color="auto" w:fill="FFFFFF"/>
        </w:rPr>
        <w:t>d</w:t>
      </w:r>
      <w:r w:rsidR="00334841" w:rsidRPr="004B0BC2">
        <w:rPr>
          <w:rFonts w:asciiTheme="minorHAnsi" w:hAnsiTheme="minorHAnsi" w:cstheme="minorHAnsi"/>
          <w:sz w:val="22"/>
          <w:szCs w:val="22"/>
          <w:shd w:val="clear" w:color="auto" w:fill="FFFFFF"/>
        </w:rPr>
        <w:t xml:space="preserve"> significantly more B cells</w:t>
      </w:r>
      <w:r w:rsidR="00FA7FCF">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rPr>
        <w:t>29.6 ± 3.6 v</w:t>
      </w:r>
      <w:r w:rsidR="00FA7FCF">
        <w:rPr>
          <w:rFonts w:asciiTheme="minorHAnsi" w:hAnsiTheme="minorHAnsi" w:cstheme="minorHAnsi"/>
          <w:sz w:val="22"/>
          <w:szCs w:val="22"/>
        </w:rPr>
        <w:t>ersu</w:t>
      </w:r>
      <w:r w:rsidR="00334841" w:rsidRPr="004B0BC2">
        <w:rPr>
          <w:rFonts w:asciiTheme="minorHAnsi" w:hAnsiTheme="minorHAnsi" w:cstheme="minorHAnsi"/>
          <w:sz w:val="22"/>
          <w:szCs w:val="22"/>
        </w:rPr>
        <w:t xml:space="preserve">s 23.8 ± 4.3, </w:t>
      </w:r>
      <w:r w:rsidR="00334841" w:rsidRPr="004B0BC2">
        <w:rPr>
          <w:rStyle w:val="Emphasis"/>
          <w:rFonts w:asciiTheme="minorHAnsi" w:eastAsiaTheme="majorEastAsia" w:hAnsiTheme="minorHAnsi" w:cstheme="minorHAnsi"/>
          <w:i w:val="0"/>
          <w:iCs w:val="0"/>
          <w:sz w:val="22"/>
          <w:szCs w:val="22"/>
        </w:rPr>
        <w:t>p</w:t>
      </w:r>
      <w:r w:rsidR="00334841" w:rsidRPr="004B0BC2">
        <w:rPr>
          <w:rFonts w:asciiTheme="minorHAnsi" w:hAnsiTheme="minorHAnsi" w:cstheme="minorHAnsi"/>
          <w:sz w:val="22"/>
          <w:szCs w:val="22"/>
        </w:rPr>
        <w:t xml:space="preserve">&lt;0.05) and total T lymphocyte cells (79.0 ± 1.3 vs 73.4 ± 1.9, </w:t>
      </w:r>
      <w:r w:rsidR="00334841" w:rsidRPr="004B0BC2">
        <w:rPr>
          <w:rStyle w:val="Emphasis"/>
          <w:rFonts w:asciiTheme="minorHAnsi" w:eastAsiaTheme="majorEastAsia" w:hAnsiTheme="minorHAnsi" w:cstheme="minorHAnsi"/>
          <w:i w:val="0"/>
          <w:iCs w:val="0"/>
          <w:sz w:val="22"/>
          <w:szCs w:val="22"/>
        </w:rPr>
        <w:t>p</w:t>
      </w:r>
      <w:r w:rsidR="00334841" w:rsidRPr="004B0BC2">
        <w:rPr>
          <w:rFonts w:asciiTheme="minorHAnsi" w:hAnsiTheme="minorHAnsi" w:cstheme="minorHAnsi"/>
          <w:sz w:val="22"/>
          <w:szCs w:val="22"/>
        </w:rPr>
        <w:t xml:space="preserve">&lt;0.05) </w:t>
      </w:r>
      <w:r w:rsidR="00334841" w:rsidRPr="004B0BC2">
        <w:rPr>
          <w:rFonts w:asciiTheme="minorHAnsi" w:hAnsiTheme="minorHAnsi" w:cstheme="minorHAnsi"/>
          <w:sz w:val="22"/>
          <w:szCs w:val="22"/>
          <w:shd w:val="clear" w:color="auto" w:fill="FFFFFF"/>
        </w:rPr>
        <w:t xml:space="preserve">than </w:t>
      </w:r>
      <w:r w:rsidR="00FA7FCF">
        <w:rPr>
          <w:rFonts w:asciiTheme="minorHAnsi" w:hAnsiTheme="minorHAnsi" w:cstheme="minorHAnsi"/>
          <w:sz w:val="22"/>
          <w:szCs w:val="22"/>
          <w:shd w:val="clear" w:color="auto" w:fill="FFFFFF"/>
        </w:rPr>
        <w:t xml:space="preserve">PBMCs from men </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{"citationItems":[{"id":"ITEM-1","itemData":{"DOI":"10.1016/j.cellimm.2011.10.009","ISSN":"00088749","PMID":"22078320","abstract":"Differences in gender immune response have resulted in differences in immune protection and susceptibility to inflammatory diseases. Cultured peripheral blood mononuclear cells (PBMC) are widely used in immunomodulation studies, yet the influence of gender is usually not considered. We examined the effect of in vitro culture and phytohaemagglutinin (PHA) stimulation on PBMC lymphocyte subsets using flowcytometry. Full blood counts of whole blood showed higher levels of lymphocyte in male subjects. Lymphocyte subsets enumeration revealed higher NK cell counts in males and higher B cells in females. Cultured PBMC resulted in significant increases in B and total T cell percentages among females and NK cells among males. PHA stimulated significantly increased percentages of NK and total T cells in males and total activated T cells (CD69+) in females. Our results showed significant gender differences in lymphocyte subsets in cultured conditions. This may affect experimental outcome. © 2011 Elsevier Inc.","author":[{"dropping-particle":"","family":"Abdullah","given":"Maha","non-dropping-particle":"","parse-names":false,"suffix":""},{"dropping-particle":"","family":"Chai","given":"Pei Shin","non-dropping-particle":"","parse-names":false,"suffix":""},{"dropping-particle":"","family":"Chong","given":"Mun Yee","non-dropping-particle":"","parse-names":false,"suffix":""},{"dropping-particle":"","family":"Tohit","given":"Eusni Rahayu Mohd","non-dropping-particle":"","parse-names":false,"suffix":""},{"dropping-particle":"","family":"Ramasamy","given":"Rajesh","non-dropping-particle":"","parse-names":false,"suffix":""},{"dropping-particle":"","family":"Pei","given":"Chong Pei","non-dropping-particle":"","parse-names":false,"suffix":""},{"dropping-particle":"","family":"Vidyadaran","given":"Sharmili","non-dropping-particle":"","parse-names":false,"suffix":""}],"container-title":"Cellular Immunology","id":"ITEM-1","issue":"2","issued":{"date-parts":[["2012"]]},"page":"214-9","title":"Gender effect on in vitro lymphocyte subset levels of healthy individuals","type":"article-journal","volume":"272"},"uris":["http://www.mendeley.com/documents/?uuid=413725da-6db7-4f22-b9b2-f7338bfc7aaf"]}],"mendeley":{"formattedCitation":"(109)","plainTextFormattedCitation":"(109)","previouslyFormattedCitation":"(109)"},"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(109)</w:t>
      </w:r>
      <w:r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t>. Th</w:t>
      </w:r>
      <w:r w:rsidR="00FA7FCF">
        <w:rPr>
          <w:rFonts w:asciiTheme="minorHAnsi" w:hAnsiTheme="minorHAnsi" w:cstheme="minorHAnsi"/>
          <w:sz w:val="22"/>
          <w:szCs w:val="22"/>
          <w:shd w:val="clear" w:color="auto" w:fill="FFFFFF"/>
        </w:rPr>
        <w:t>ese data</w:t>
      </w:r>
      <w:r w:rsidR="00334841" w:rsidRPr="004B0BC2">
        <w:rPr>
          <w:rFonts w:asciiTheme="minorHAnsi" w:hAnsiTheme="minorHAnsi" w:cstheme="minorHAnsi"/>
          <w:sz w:val="22"/>
          <w:szCs w:val="22"/>
          <w:shd w:val="clear" w:color="auto" w:fill="FFFFFF"/>
        </w:rPr>
        <w:t xml:space="preserve"> suggest</w:t>
      </w:r>
      <w:r w:rsidR="00FA7FCF">
        <w:rPr>
          <w:rFonts w:asciiTheme="minorHAnsi" w:hAnsiTheme="minorHAnsi" w:cstheme="minorHAnsi"/>
          <w:sz w:val="22"/>
          <w:szCs w:val="22"/>
          <w:shd w:val="clear" w:color="auto" w:fill="FFFFFF"/>
        </w:rPr>
        <w:t xml:space="preserve"> that</w:t>
      </w:r>
      <w:r w:rsidR="00334841" w:rsidRPr="004B0BC2">
        <w:rPr>
          <w:rFonts w:asciiTheme="minorHAnsi" w:hAnsiTheme="minorHAnsi" w:cstheme="minorHAnsi"/>
          <w:sz w:val="22"/>
          <w:szCs w:val="22"/>
          <w:shd w:val="clear" w:color="auto" w:fill="FFFFFF"/>
        </w:rPr>
        <w:t xml:space="preserve"> females produce a greater </w:t>
      </w:r>
      <w:r w:rsidRPr="004B0BC2">
        <w:rPr>
          <w:rFonts w:asciiTheme="minorHAnsi" w:hAnsiTheme="minorHAnsi" w:cstheme="minorHAnsi"/>
          <w:sz w:val="22"/>
          <w:szCs w:val="22"/>
          <w:shd w:val="clear" w:color="auto" w:fill="FFFFFF"/>
        </w:rPr>
        <w:t>humoral</w:t>
      </w:r>
      <w:r w:rsidR="00334841" w:rsidRPr="004B0BC2">
        <w:rPr>
          <w:rFonts w:asciiTheme="minorHAnsi" w:hAnsiTheme="minorHAnsi" w:cstheme="minorHAnsi"/>
          <w:sz w:val="22"/>
          <w:szCs w:val="22"/>
          <w:shd w:val="clear" w:color="auto" w:fill="FFFFFF"/>
        </w:rPr>
        <w:t xml:space="preserve"> response than </w:t>
      </w:r>
      <w:r w:rsidRPr="004B0BC2">
        <w:rPr>
          <w:rFonts w:asciiTheme="minorHAnsi" w:hAnsiTheme="minorHAnsi" w:cstheme="minorHAnsi"/>
          <w:sz w:val="22"/>
          <w:szCs w:val="22"/>
          <w:shd w:val="clear" w:color="auto" w:fill="FFFFFF"/>
        </w:rPr>
        <w:t>males</w:t>
      </w:r>
      <w:r w:rsidR="00FA7FCF">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 xml:space="preserve">this </w:t>
      </w:r>
      <w:r w:rsidR="00FA7FCF">
        <w:rPr>
          <w:rFonts w:asciiTheme="minorHAnsi" w:hAnsiTheme="minorHAnsi" w:cstheme="minorHAnsi"/>
          <w:sz w:val="22"/>
          <w:szCs w:val="22"/>
          <w:shd w:val="clear" w:color="auto" w:fill="FFFFFF"/>
        </w:rPr>
        <w:t xml:space="preserve">conclusion </w:t>
      </w:r>
      <w:r w:rsidR="00334841" w:rsidRPr="004B0BC2">
        <w:rPr>
          <w:rFonts w:asciiTheme="minorHAnsi" w:hAnsiTheme="minorHAnsi" w:cstheme="minorHAnsi"/>
          <w:sz w:val="22"/>
          <w:szCs w:val="22"/>
          <w:shd w:val="clear" w:color="auto" w:fill="FFFFFF"/>
        </w:rPr>
        <w:t>has been supported by vaccination studies that have observed that women</w:t>
      </w:r>
      <w:r w:rsidR="00C94035" w:rsidRPr="004B0BC2">
        <w:rPr>
          <w:rFonts w:asciiTheme="minorHAnsi" w:hAnsiTheme="minorHAnsi" w:cstheme="minorHAnsi"/>
          <w:sz w:val="22"/>
          <w:szCs w:val="22"/>
          <w:shd w:val="clear" w:color="auto" w:fill="FFFFFF"/>
        </w:rPr>
        <w:t xml:space="preserve"> produce higher antibody responses. </w:t>
      </w:r>
      <w:r w:rsidR="00FA7FCF">
        <w:rPr>
          <w:rFonts w:asciiTheme="minorHAnsi" w:hAnsiTheme="minorHAnsi" w:cstheme="minorHAnsi"/>
          <w:sz w:val="22"/>
          <w:szCs w:val="22"/>
          <w:shd w:val="clear" w:color="auto" w:fill="FFFFFF"/>
        </w:rPr>
        <w:t>For example, a study comparing</w:t>
      </w:r>
      <w:r w:rsidR="00C94035" w:rsidRPr="004B0BC2">
        <w:rPr>
          <w:rFonts w:asciiTheme="minorHAnsi" w:hAnsiTheme="minorHAnsi" w:cstheme="minorHAnsi"/>
          <w:sz w:val="22"/>
          <w:szCs w:val="22"/>
          <w:shd w:val="clear" w:color="auto" w:fill="FFFFFF"/>
        </w:rPr>
        <w:t xml:space="preserve"> sex differences in response to the influenza vaccination reported that women given the full dose of the </w:t>
      </w:r>
      <w:r w:rsidR="00790EBA" w:rsidRPr="004B0BC2">
        <w:rPr>
          <w:rFonts w:asciiTheme="minorHAnsi" w:hAnsiTheme="minorHAnsi" w:cstheme="minorHAnsi"/>
          <w:sz w:val="22"/>
          <w:szCs w:val="22"/>
          <w:shd w:val="clear" w:color="auto" w:fill="FFFFFF"/>
        </w:rPr>
        <w:t>vaccine</w:t>
      </w:r>
      <w:r w:rsidR="00C94035" w:rsidRPr="004B0BC2">
        <w:rPr>
          <w:rFonts w:asciiTheme="minorHAnsi" w:hAnsiTheme="minorHAnsi" w:cstheme="minorHAnsi"/>
          <w:sz w:val="22"/>
          <w:szCs w:val="22"/>
          <w:shd w:val="clear" w:color="auto" w:fill="FFFFFF"/>
        </w:rPr>
        <w:t xml:space="preserve"> produced higher concentrations </w:t>
      </w:r>
      <w:r w:rsidR="00790EBA" w:rsidRPr="004B0BC2">
        <w:rPr>
          <w:rFonts w:asciiTheme="minorHAnsi" w:hAnsiTheme="minorHAnsi" w:cstheme="minorHAnsi"/>
          <w:sz w:val="22"/>
          <w:szCs w:val="22"/>
          <w:shd w:val="clear" w:color="auto" w:fill="FFFFFF"/>
        </w:rPr>
        <w:t xml:space="preserve">of </w:t>
      </w:r>
      <w:r w:rsidR="00C94035" w:rsidRPr="004B0BC2">
        <w:rPr>
          <w:rFonts w:asciiTheme="minorHAnsi" w:hAnsiTheme="minorHAnsi" w:cstheme="minorHAnsi"/>
          <w:sz w:val="22"/>
          <w:szCs w:val="22"/>
        </w:rPr>
        <w:t xml:space="preserve">serum hemagglutination inhibition (HAI) antibody </w:t>
      </w:r>
      <w:r w:rsidR="00FA7FCF">
        <w:rPr>
          <w:rFonts w:asciiTheme="minorHAnsi" w:hAnsiTheme="minorHAnsi" w:cstheme="minorHAnsi"/>
          <w:sz w:val="22"/>
          <w:szCs w:val="22"/>
        </w:rPr>
        <w:t xml:space="preserve">than men </w:t>
      </w:r>
      <w:r w:rsidR="00C94035" w:rsidRPr="004B0BC2">
        <w:rPr>
          <w:rFonts w:asciiTheme="minorHAnsi" w:hAnsiTheme="minorHAnsi" w:cstheme="minorHAnsi"/>
          <w:sz w:val="22"/>
          <w:szCs w:val="22"/>
        </w:rPr>
        <w:t>for all the influenza virus strains</w:t>
      </w:r>
      <w:r w:rsidR="00FA7FCF"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{"citationItems":[{"id":"ITEM-1","itemData":{"DOI":"10.1001/archinternmed.2008.513","ISSN":"00039926","PMID":"19064822","abstract":"Background: Optimal public health strategies for managing influenza vaccine shortages are not yet defined. Our objective was to determine the effects of age, sex, and dose on the immunogenicity of intramuscular trivalent inactivated vaccine (TIV). Methods: Healthy adults aged 18 to 64 years, stratified by age (18-49 and 50-64 years) and sex, were randomized to receive full- or half-dose TIV. Hemagglutination inhibition titers against vaccine antigens were measured before and 21 days after immunization. A primary outcome of noninferiority was defined as a difference of less than 20% in the upper 95% confidence interval (CI) of the proportion of subjects with strain-specific hemagglutination inhibition antibody titers of 1:40 or higher after vaccination. Secondary outcomes included geometric mean titers, after vaccination side effects, and occurrences of influenza-like illnesses. Results: Amongpreviously immunized subjects (N=1114) receiving half- vs full-dose TIV (age, 18-49 years, n=284 [half] and n=274 [full]; and age 50-64 years, n=276 [half] and n=280 [full]), CIs for proportions of subjects with hemagglutination inhibition antibody titers of 1:40 or higher excluded substantial reduction for all antigens in the 18- to 49-year age group and for B/Shanghai/361/2002 (B) and A/Fujian/411/2002 (A/H3N2) in the 50- to 64-year age group. Geometric mean titer in the female 18-to 49-year age group exceeded male responses for all strains: responses to half-dose TIV that were comparable with male full-dose responses for A/New Caledonia/20/99 (A/H1N1) antigen, 25.4 (95% CI, 20.9-30.9) vs 25.6 (95% CI, 21.3-30.9); A/H3N2 antigen, 60.8 (95% CI, 50.8-72.7) vs 44.1 (95% CI, 37.6-51.8); and B antigen, 64.4 (95% CI, 53.9-76.9) vs 60.7 (95% CI, 51.4-71.7) (findings were similar for the 50- to 64-year age group). Some injection site and systemic reactions (myalgias and/or arthralgias [P&lt;.05], headache [P&lt;.001], and impact of fatigue [P&lt;.05]) were significantly lower in men. The relative risk of medical visits and hospitalizations for influenza-like illnesses were similar in the half- and full-dose groups regardless of age. Conclusions: Antibody responses to intramuscular half-dose TIV in healthy, previously immunized adults were not substantially inferior to the full-dose vaccine, particularly for ages 18 to 49 years. Significantly higher geometric mean titer responses in women were identified for all ages, regardless of dose or influenza strain. Half-dose vaccination ma…","author":[{"dropping-particle":"","family":"Engler","given":"Renata J.M.","non-dropping-particle":"","parse-names":false,"suffix":""},{"dropping-particle":"","family":"Nelson","given":"Michael R.","non-dropping-particle":"","parse-names":false,"suffix":""},{"dropping-particle":"","family":"Klote","given":"Mary M.","non-dropping-particle":"","parse-names":false,"suffix":""},{"dropping-particle":"","family":"VanRaden","given":"Mark J.","non-dropping-particle":"","parse-names":false,"suffix":""},{"dropping-particle":"","family":"Huang","given":"Chiung Yu","non-dropping-particle":"","parse-names":false,"suffix":""},{"dropping-particle":"","family":"Cox","given":"Nancy J.","non-dropping-particle":"","parse-names":false,"suffix":""},{"dropping-particle":"","family":"Klimov","given":"Alexander","non-dropping-particle":"","parse-names":false,"suffix":""},{"dropping-particle":"","family":"Keitel","given":"Wendy A.","non-dropping-particle":"","parse-names":false,"suffix":""},{"dropping-particle":"","family":"Nichol","given":"Kristin L.","non-dropping-particle":"","parse-names":false,"suffix":""},{"dropping-particle":"","family":"Carr","given":"Warner W.","non-dropping-particle":"","parse-names":false,"suffix":""},{"dropping-particle":"","family":"Treanor","given":"John J.","non-dropping-particle":"","parse-names":false,"suffix":""}],"container-title":"Archives of Internal Medicine","id":"ITEM-1","issue":"22","issued":{"date-parts":[["2008"]]},"page":"2405-14","title":"Half- vs full-dose trivalent inactivated influenza vaccine (2004-2005): Age, dose, and sex effects on immune responses","type":"article-journal","volume":"168"},"uris":["http://www.mendeley.com/documents/?uuid=2c7e2157-476a-41a3-af15-f35715b00799"]}],"mendeley":{"formattedCitation":"(110)","plainTextFormattedCitation":"(110)","previouslyFormattedCitation":"(110)"},"properties":{"noteIndex":0},"schema":"https://github.com/citation-style-language/schema/raw/master/csl-citation.json"}</w:instrText>
      </w:r>
      <w:r w:rsidR="00FA7FCF"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(110)</w:t>
      </w:r>
      <w:r w:rsidR="00FA7FCF" w:rsidRPr="004B0BC2">
        <w:rPr>
          <w:rFonts w:asciiTheme="minorHAnsi" w:hAnsiTheme="minorHAnsi" w:cstheme="minorHAnsi"/>
          <w:sz w:val="22"/>
          <w:szCs w:val="22"/>
          <w:shd w:val="clear" w:color="auto" w:fill="FFFFFF"/>
        </w:rPr>
        <w:fldChar w:fldCharType="end"/>
      </w:r>
      <w:r w:rsidR="00790EBA" w:rsidRPr="004B0BC2">
        <w:rPr>
          <w:rFonts w:asciiTheme="minorHAnsi" w:hAnsiTheme="minorHAnsi" w:cstheme="minorHAnsi"/>
          <w:sz w:val="22"/>
          <w:szCs w:val="22"/>
        </w:rPr>
        <w:t>. Furthermore, the same study observed that</w:t>
      </w:r>
      <w:r w:rsidR="002C49A5" w:rsidRPr="004B0BC2">
        <w:rPr>
          <w:rFonts w:asciiTheme="minorHAnsi" w:hAnsiTheme="minorHAnsi" w:cstheme="minorHAnsi"/>
          <w:sz w:val="22"/>
          <w:szCs w:val="22"/>
          <w:shd w:val="clear" w:color="auto" w:fill="FFFFFF"/>
        </w:rPr>
        <w:t xml:space="preserve"> </w:t>
      </w:r>
      <w:r w:rsidR="00C94035" w:rsidRPr="004B0BC2">
        <w:rPr>
          <w:rFonts w:asciiTheme="minorHAnsi" w:hAnsiTheme="minorHAnsi" w:cstheme="minorHAnsi"/>
          <w:sz w:val="22"/>
          <w:szCs w:val="22"/>
          <w:shd w:val="clear" w:color="auto" w:fill="FFFFFF"/>
        </w:rPr>
        <w:t>women</w:t>
      </w:r>
      <w:r w:rsidR="00334841" w:rsidRPr="004B0BC2">
        <w:rPr>
          <w:rFonts w:asciiTheme="minorHAnsi" w:hAnsiTheme="minorHAnsi" w:cstheme="minorHAnsi"/>
          <w:sz w:val="22"/>
          <w:szCs w:val="22"/>
          <w:shd w:val="clear" w:color="auto" w:fill="FFFFFF"/>
        </w:rPr>
        <w:t xml:space="preserve"> given half the dose of the influenza vaccination produce</w:t>
      </w:r>
      <w:r w:rsidR="00790EBA" w:rsidRPr="004B0BC2">
        <w:rPr>
          <w:rFonts w:asciiTheme="minorHAnsi" w:hAnsiTheme="minorHAnsi" w:cstheme="minorHAnsi"/>
          <w:sz w:val="22"/>
          <w:szCs w:val="22"/>
          <w:shd w:val="clear" w:color="auto" w:fill="FFFFFF"/>
        </w:rPr>
        <w:t>d comparable</w:t>
      </w:r>
      <w:r w:rsidR="00C94035"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rPr>
        <w:t>antibody</w:t>
      </w:r>
      <w:r w:rsidR="00790EBA" w:rsidRPr="004B0BC2">
        <w:rPr>
          <w:rFonts w:asciiTheme="minorHAnsi" w:hAnsiTheme="minorHAnsi" w:cstheme="minorHAnsi"/>
          <w:sz w:val="22"/>
          <w:szCs w:val="22"/>
        </w:rPr>
        <w:t xml:space="preserve"> responses to men given the full dose of the vaccine</w:t>
      </w:r>
      <w:r w:rsidR="00334841" w:rsidRPr="004B0BC2">
        <w:rPr>
          <w:rFonts w:asciiTheme="minorHAnsi" w:hAnsiTheme="minorHAnsi" w:cstheme="minorHAnsi"/>
          <w:sz w:val="22"/>
          <w:szCs w:val="22"/>
        </w:rPr>
        <w:t xml:space="preserve"> (</w:t>
      </w:r>
      <w:r w:rsidR="00C94035" w:rsidRPr="004B0BC2">
        <w:rPr>
          <w:rFonts w:asciiTheme="minorHAnsi" w:hAnsiTheme="minorHAnsi" w:cstheme="minorHAnsi"/>
          <w:sz w:val="22"/>
          <w:szCs w:val="22"/>
        </w:rPr>
        <w:t>25.4 v</w:t>
      </w:r>
      <w:r w:rsidR="00FA7FCF">
        <w:rPr>
          <w:rFonts w:asciiTheme="minorHAnsi" w:hAnsiTheme="minorHAnsi" w:cstheme="minorHAnsi"/>
          <w:sz w:val="22"/>
          <w:szCs w:val="22"/>
        </w:rPr>
        <w:t>ersus</w:t>
      </w:r>
      <w:r w:rsidR="00C94035" w:rsidRPr="004B0BC2">
        <w:rPr>
          <w:rFonts w:asciiTheme="minorHAnsi" w:hAnsiTheme="minorHAnsi" w:cstheme="minorHAnsi"/>
          <w:sz w:val="22"/>
          <w:szCs w:val="22"/>
        </w:rPr>
        <w:t xml:space="preserve"> 25.6</w:t>
      </w:r>
      <w:r w:rsidR="00334841" w:rsidRPr="004B0BC2">
        <w:rPr>
          <w:rFonts w:asciiTheme="minorHAnsi" w:hAnsiTheme="minorHAnsi" w:cstheme="minorHAnsi"/>
          <w:sz w:val="22"/>
          <w:szCs w:val="22"/>
        </w:rPr>
        <w:t>)</w:t>
      </w:r>
      <w:r w:rsidR="00790EBA"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{"citationItems":[{"id":"ITEM-1","itemData":{"DOI":"10.1001/archinternmed.2008.513","ISSN":"00039926","PMID":"19064822","abstract":"Background: Optimal public health strategies for managing influenza vaccine shortages are not yet defined. Our objective was to determine the effects of age, sex, and dose on the immunogenicity of intramuscular trivalent inactivated vaccine (TIV). Methods: Healthy adults aged 18 to 64 years, stratified by age (18-49 and 50-64 years) and sex, were randomized to receive full- or half-dose TIV. Hemagglutination inhibition titers against vaccine antigens were measured before and 21 days after immunization. A primary outcome of noninferiority was defined as a difference of less than 20% in the upper 95% confidence interval (CI) of the proportion of subjects with strain-specific hemagglutination inhibition antibody titers of 1:40 or higher after vaccination. Secondary outcomes included geometric mean titers, after vaccination side effects, and occurrences of influenza-like illnesses. Results: Amongpreviously immunized subjects (N=1114) receiving half- vs full-dose TIV (age, 18-49 years, n=284 [half] and n=274 [full]; and age 50-64 years, n=276 [half] and n=280 [full]), CIs for proportions of subjects with hemagglutination inhibition antibody titers of 1:40 or higher excluded substantial reduction for all antigens in the 18- to 49-year age group and for B/Shanghai/361/2002 (B) and A/Fujian/411/2002 (A/H3N2) in the 50- to 64-year age group. Geometric mean titer in the female 18-to 49-year age group exceeded male responses for all strains: responses to half-dose TIV that were comparable with male full-dose responses for A/New Caledonia/20/99 (A/H1N1) antigen, 25.4 (95% CI, 20.9-30.9) vs 25.6 (95% CI, 21.3-30.9); A/H3N2 antigen, 60.8 (95% CI, 50.8-72.7) vs 44.1 (95% CI, 37.6-51.8); and B antigen, 64.4 (95% CI, 53.9-76.9) vs 60.7 (95% CI, 51.4-71.7) (findings were similar for the 50- to 64-year age group). Some injection site and systemic reactions (myalgias and/or arthralgias [P&lt;.05], headache [P&lt;.001], and impact of fatigue [P&lt;.05]) were significantly lower in men. The relative risk of medical visits and hospitalizations for influenza-like illnesses were similar in the half- and full-dose groups regardless of age. Conclusions: Antibody responses to intramuscular half-dose TIV in healthy, previously immunized adults were not substantially inferior to the full-dose vaccine, particularly for ages 18 to 49 years. Significantly higher geometric mean titer responses in women were identified for all ages, regardless of dose or influenza strain. Half-dose vaccination ma…","author":[{"dropping-particle":"","family":"Engler","given":"Renata J.M.","non-dropping-particle":"","parse-names":false,"suffix":""},{"dropping-particle":"","family":"Nelson","given":"Michael R.","non-dropping-particle":"","parse-names":false,"suffix":""},{"dropping-particle":"","family":"Klote","given":"Mary M.","non-dropping-particle":"","parse-names":false,"suffix":""},{"dropping-particle":"","family":"VanRaden","given":"Mark J.","non-dropping-particle":"","parse-names":false,"suffix":""},{"dropping-particle":"","family":"Huang","given":"Chiung Yu","non-dropping-particle":"","parse-names":false,"suffix":""},{"dropping-particle":"","family":"Cox","given":"Nancy J.","non-dropping-particle":"","parse-names":false,"suffix":""},{"dropping-particle":"","family":"Klimov","given":"Alexander","non-dropping-particle":"","parse-names":false,"suffix":""},{"dropping-particle":"","family":"Keitel","given":"Wendy A.","non-dropping-particle":"","parse-names":false,"suffix":""},{"dropping-particle":"","family":"Nichol","given":"Kristin L.","non-dropping-particle":"","parse-names":false,"suffix":""},{"dropping-particle":"","family":"Carr","given":"Warner W.","non-dropping-particle":"","parse-names":false,"suffix":""},{"dropping-particle":"","family":"Treanor","given":"John J.","non-dropping-particle":"","parse-names":false,"suffix":""}],"container-title":"Archives of Internal Medicine","id":"ITEM-1","issue":"22","issued":{"date-parts":[["2008"]]},"page":"2405-14","title":"Half- vs full-dose trivalent inactivated influenza vaccine (2004-2005): Age, dose, and sex effects on immune responses","type":"article-journal","volume":"168"},"uris":["http://www.mendeley.com/documents/?uuid=2c7e2157-476a-41a3-af15-f35715b00799"]}],"mendeley":{"formattedCitation":"(110)","plainTextFormattedCitation":"(110)","previouslyFormattedCitation":"(110)"},"properties":{"noteIndex":0},"schema":"https://github.com/citation-style-language/schema/raw/master/csl-citation.json"}</w:instrText>
      </w:r>
      <w:r w:rsidR="00790EBA"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(110)</w:t>
      </w:r>
      <w:r w:rsidR="00790EBA"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 xml:space="preserve">. </w:t>
      </w:r>
      <w:r w:rsidR="00790EBA" w:rsidRPr="004B0BC2">
        <w:rPr>
          <w:rFonts w:asciiTheme="minorHAnsi" w:hAnsiTheme="minorHAnsi" w:cstheme="minorHAnsi"/>
          <w:sz w:val="22"/>
          <w:szCs w:val="22"/>
        </w:rPr>
        <w:t>Similarly</w:t>
      </w:r>
      <w:r w:rsidR="00334841" w:rsidRPr="004B0BC2">
        <w:rPr>
          <w:rFonts w:asciiTheme="minorHAnsi" w:hAnsiTheme="minorHAnsi" w:cstheme="minorHAnsi"/>
          <w:sz w:val="22"/>
          <w:szCs w:val="22"/>
        </w:rPr>
        <w:t xml:space="preserve">, </w:t>
      </w:r>
      <w:r w:rsidR="00790EBA" w:rsidRPr="004B0BC2">
        <w:rPr>
          <w:rFonts w:asciiTheme="minorHAnsi" w:hAnsiTheme="minorHAnsi" w:cstheme="minorHAnsi"/>
          <w:sz w:val="22"/>
          <w:szCs w:val="22"/>
        </w:rPr>
        <w:t>g</w:t>
      </w:r>
      <w:r w:rsidR="00334841" w:rsidRPr="004B0BC2">
        <w:rPr>
          <w:rFonts w:asciiTheme="minorHAnsi" w:hAnsiTheme="minorHAnsi" w:cstheme="minorHAnsi"/>
          <w:sz w:val="22"/>
          <w:szCs w:val="22"/>
        </w:rPr>
        <w:t xml:space="preserve">eometric mean titres of </w:t>
      </w:r>
      <w:r w:rsidR="00790EBA" w:rsidRPr="004B0BC2">
        <w:rPr>
          <w:rFonts w:asciiTheme="minorHAnsi" w:hAnsiTheme="minorHAnsi" w:cstheme="minorHAnsi"/>
          <w:sz w:val="22"/>
          <w:szCs w:val="22"/>
        </w:rPr>
        <w:t>HAI</w:t>
      </w:r>
      <w:r w:rsidR="00334841" w:rsidRPr="004B0BC2">
        <w:rPr>
          <w:rFonts w:asciiTheme="minorHAnsi" w:hAnsiTheme="minorHAnsi" w:cstheme="minorHAnsi"/>
          <w:sz w:val="22"/>
          <w:szCs w:val="22"/>
        </w:rPr>
        <w:t xml:space="preserve"> </w:t>
      </w:r>
      <w:r w:rsidR="00FA7FCF">
        <w:rPr>
          <w:rFonts w:asciiTheme="minorHAnsi" w:hAnsiTheme="minorHAnsi" w:cstheme="minorHAnsi"/>
          <w:sz w:val="22"/>
          <w:szCs w:val="22"/>
        </w:rPr>
        <w:t>after</w:t>
      </w:r>
      <w:r w:rsidR="00AB3BEC" w:rsidRPr="004B0BC2">
        <w:rPr>
          <w:rFonts w:asciiTheme="minorHAnsi" w:hAnsiTheme="minorHAnsi" w:cstheme="minorHAnsi"/>
          <w:sz w:val="22"/>
          <w:szCs w:val="22"/>
        </w:rPr>
        <w:t xml:space="preserve"> influenza </w:t>
      </w:r>
      <w:r w:rsidR="00334841" w:rsidRPr="004B0BC2">
        <w:rPr>
          <w:rFonts w:asciiTheme="minorHAnsi" w:hAnsiTheme="minorHAnsi" w:cstheme="minorHAnsi"/>
          <w:sz w:val="22"/>
          <w:szCs w:val="22"/>
        </w:rPr>
        <w:t xml:space="preserve">vaccination </w:t>
      </w:r>
      <w:r w:rsidR="00AB3BEC" w:rsidRPr="004B0BC2">
        <w:rPr>
          <w:rFonts w:asciiTheme="minorHAnsi" w:hAnsiTheme="minorHAnsi" w:cstheme="minorHAnsi"/>
          <w:sz w:val="22"/>
          <w:szCs w:val="22"/>
        </w:rPr>
        <w:t>were</w:t>
      </w:r>
      <w:r w:rsidR="00334841" w:rsidRPr="004B0BC2">
        <w:rPr>
          <w:rFonts w:asciiTheme="minorHAnsi" w:hAnsiTheme="minorHAnsi" w:cstheme="minorHAnsi"/>
          <w:sz w:val="22"/>
          <w:szCs w:val="22"/>
        </w:rPr>
        <w:t xml:space="preserve"> </w:t>
      </w:r>
      <w:r w:rsidR="00790EBA" w:rsidRPr="004B0BC2">
        <w:rPr>
          <w:rFonts w:asciiTheme="minorHAnsi" w:hAnsiTheme="minorHAnsi" w:cstheme="minorHAnsi"/>
          <w:sz w:val="22"/>
          <w:szCs w:val="22"/>
        </w:rPr>
        <w:t>significantly</w:t>
      </w:r>
      <w:r w:rsidR="00334841" w:rsidRPr="004B0BC2">
        <w:rPr>
          <w:rFonts w:asciiTheme="minorHAnsi" w:hAnsiTheme="minorHAnsi" w:cstheme="minorHAnsi"/>
          <w:sz w:val="22"/>
          <w:szCs w:val="22"/>
        </w:rPr>
        <w:t xml:space="preserve"> higher in females than males (110.7 v</w:t>
      </w:r>
      <w:r w:rsidR="00FA7FCF">
        <w:rPr>
          <w:rFonts w:asciiTheme="minorHAnsi" w:hAnsiTheme="minorHAnsi" w:cstheme="minorHAnsi"/>
          <w:sz w:val="22"/>
          <w:szCs w:val="22"/>
        </w:rPr>
        <w:t>ersu</w:t>
      </w:r>
      <w:r w:rsidR="00334841" w:rsidRPr="004B0BC2">
        <w:rPr>
          <w:rFonts w:asciiTheme="minorHAnsi" w:hAnsiTheme="minorHAnsi" w:cstheme="minorHAnsi"/>
          <w:sz w:val="22"/>
          <w:szCs w:val="22"/>
        </w:rPr>
        <w:t xml:space="preserve">s 67.5, </w:t>
      </w:r>
      <w:r w:rsidR="002C49A5" w:rsidRPr="004B0BC2">
        <w:rPr>
          <w:rFonts w:asciiTheme="minorHAnsi" w:hAnsiTheme="minorHAnsi" w:cstheme="minorHAnsi"/>
          <w:sz w:val="22"/>
          <w:szCs w:val="22"/>
        </w:rPr>
        <w:t>p</w:t>
      </w:r>
      <w:r w:rsidR="00334841" w:rsidRPr="004B0BC2">
        <w:rPr>
          <w:rFonts w:asciiTheme="minorHAnsi" w:hAnsiTheme="minorHAnsi" w:cstheme="minorHAnsi"/>
          <w:sz w:val="22"/>
          <w:szCs w:val="22"/>
        </w:rPr>
        <w:t>&lt;0.0002)</w:t>
      </w:r>
      <w:r w:rsidR="00790EBA"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{"citationItems":[{"id":"ITEM-1","itemData":{"DOI":"10.1016/j.vaccine.2005.11.057","ISSN":"0264410X","PMID":"16406171","abstract":"In many countries there is no clear recommendation regarding the preferred route of administration of inactivated influenza vaccines. In a randomised, observer blind study of 720 elderly subjects, a split, trivalent influenza vaccine was significantly more immunogenic for both A strains (H3N2 and H1N1, p = 0.0016 and 0.003, respectively) when given intramuscularly compared to subcutaneously. This difference was due entirely to a gender effect, with females in the intramuscular (IM) group having a significantly greater serological response than females in the subcutaneous (SC) group for both of these strains. Similar results were seen with local adverse effects. These data suggest that vaccination practices that ensure intramuscular injection are required for optimal administration of influenza vaccines in the elderly. © 2005 Elsevier Ltd. All rights reserved.","author":[{"dropping-particle":"","family":"Cook","given":"Ian F.","non-dropping-particle":"","parse-names":false,"suffix":""},{"dropping-particle":"","family":"Barr","given":"Ian","non-dropping-particle":"","parse-names":false,"suffix":""},{"dropping-particle":"","family":"Hartel","given":"Gunter","non-dropping-particle":"","parse-names":false,"suffix":""},{"dropping-particle":"","family":"Pond","given":"Dimity","non-dropping-particle":"","parse-names":false,"suffix":""},{"dropping-particle":"","family":"Hampson","given":"Alan W.","non-dropping-particle":"","parse-names":false,"suffix":""}],"container-title":"Vaccine","id":"ITEM-1","issue":"13","issued":{"date-parts":[["2006"]]},"page":"2395-402","title":"Reactogenicity and immunogenicity of an inactivated influenza vaccine administered by intramuscular or subcutaneous injection in elderly adults","type":"article-journal","volume":"24"},"uris":["http://www.mendeley.com/documents/?uuid=41011608-eab0-461f-960b-9143d5401f32"]}],"mendeley":{"formattedCitation":"(111)","plainTextFormattedCitation":"(111)","previouslyFormattedCitation":"(111)"},"properties":{"noteIndex":0},"schema":"https://github.com/citation-style-language/schema/raw/master/csl-citation.json"}</w:instrText>
      </w:r>
      <w:r w:rsidR="00790EBA"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(111)</w:t>
      </w:r>
      <w:r w:rsidR="00790EBA"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 xml:space="preserve">. </w:t>
      </w:r>
      <w:r w:rsidR="00FA7FCF">
        <w:rPr>
          <w:rFonts w:asciiTheme="minorHAnsi" w:hAnsiTheme="minorHAnsi" w:cstheme="minorHAnsi"/>
          <w:sz w:val="22"/>
          <w:szCs w:val="22"/>
        </w:rPr>
        <w:t>F</w:t>
      </w:r>
      <w:r w:rsidR="00334841" w:rsidRPr="004B0BC2">
        <w:rPr>
          <w:rFonts w:asciiTheme="minorHAnsi" w:hAnsiTheme="minorHAnsi" w:cstheme="minorHAnsi"/>
          <w:sz w:val="22"/>
          <w:szCs w:val="22"/>
        </w:rPr>
        <w:t xml:space="preserve">emales have </w:t>
      </w:r>
      <w:r w:rsidR="00FA7FCF">
        <w:rPr>
          <w:rFonts w:asciiTheme="minorHAnsi" w:hAnsiTheme="minorHAnsi" w:cstheme="minorHAnsi"/>
          <w:sz w:val="22"/>
          <w:szCs w:val="22"/>
        </w:rPr>
        <w:t xml:space="preserve">also </w:t>
      </w:r>
      <w:r w:rsidR="00334841" w:rsidRPr="004B0BC2">
        <w:rPr>
          <w:rFonts w:asciiTheme="minorHAnsi" w:hAnsiTheme="minorHAnsi" w:cstheme="minorHAnsi"/>
          <w:sz w:val="22"/>
          <w:szCs w:val="22"/>
        </w:rPr>
        <w:t xml:space="preserve">been shown to produce </w:t>
      </w:r>
      <w:r w:rsidR="00A55A3E" w:rsidRPr="004B0BC2">
        <w:rPr>
          <w:rFonts w:asciiTheme="minorHAnsi" w:hAnsiTheme="minorHAnsi" w:cstheme="minorHAnsi"/>
          <w:sz w:val="22"/>
          <w:szCs w:val="22"/>
        </w:rPr>
        <w:t>significantly</w:t>
      </w:r>
      <w:r w:rsidR="00334841" w:rsidRPr="004B0BC2">
        <w:rPr>
          <w:rFonts w:asciiTheme="minorHAnsi" w:hAnsiTheme="minorHAnsi" w:cstheme="minorHAnsi"/>
          <w:sz w:val="22"/>
          <w:szCs w:val="22"/>
        </w:rPr>
        <w:t xml:space="preserve"> higher antibody </w:t>
      </w:r>
      <w:r w:rsidR="00A55A3E" w:rsidRPr="004B0BC2">
        <w:rPr>
          <w:rFonts w:asciiTheme="minorHAnsi" w:hAnsiTheme="minorHAnsi" w:cstheme="minorHAnsi"/>
          <w:sz w:val="22"/>
          <w:szCs w:val="22"/>
        </w:rPr>
        <w:t>titres</w:t>
      </w:r>
      <w:r w:rsidR="00334841" w:rsidRPr="004B0BC2">
        <w:rPr>
          <w:rFonts w:asciiTheme="minorHAnsi" w:hAnsiTheme="minorHAnsi" w:cstheme="minorHAnsi"/>
          <w:sz w:val="22"/>
          <w:szCs w:val="22"/>
        </w:rPr>
        <w:t xml:space="preserve"> in response to the hepatitis A </w:t>
      </w:r>
      <w:r w:rsidR="00A55A3E" w:rsidRPr="004B0BC2">
        <w:rPr>
          <w:rFonts w:asciiTheme="minorHAnsi" w:hAnsiTheme="minorHAnsi" w:cstheme="minorHAnsi"/>
          <w:sz w:val="22"/>
          <w:szCs w:val="22"/>
        </w:rPr>
        <w:t xml:space="preserve">vaccination </w:t>
      </w:r>
      <w:r w:rsidR="00334841" w:rsidRPr="004B0BC2">
        <w:rPr>
          <w:rFonts w:asciiTheme="minorHAnsi" w:hAnsiTheme="minorHAnsi" w:cstheme="minorHAnsi"/>
          <w:sz w:val="22"/>
          <w:szCs w:val="22"/>
        </w:rPr>
        <w:t>(</w:t>
      </w:r>
      <w:r w:rsidR="002C49A5" w:rsidRPr="004B0BC2">
        <w:rPr>
          <w:rFonts w:asciiTheme="minorHAnsi" w:hAnsiTheme="minorHAnsi" w:cstheme="minorHAnsi"/>
          <w:sz w:val="22"/>
          <w:szCs w:val="22"/>
        </w:rPr>
        <w:t>p</w:t>
      </w:r>
      <w:r w:rsidR="00334841" w:rsidRPr="004B0BC2">
        <w:rPr>
          <w:rFonts w:asciiTheme="minorHAnsi" w:hAnsiTheme="minorHAnsi" w:cstheme="minorHAnsi"/>
          <w:sz w:val="22"/>
          <w:szCs w:val="22"/>
        </w:rPr>
        <w:t>&lt;0.01)</w:t>
      </w:r>
      <w:r w:rsidR="00790EBA"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{"citationItems":[{"id":"ITEM-1","itemData":{"DOI":"10.1016/s1386-6346(97)00079-x","abstract":"We examined the seroconversion rate and level of hepatitis A virus antibodies induced by inactivated hepatitis A vaccine. Inactivated hepatitis A vaccine was administered intramuscularly to 127 healthy antibody negative subjects at doses of either 0.5 and 1.0 μg two or three times. Convalescent sera from 21 adults with acute hepatitis A were also assayed. Serum antibody titers were measured by enzyme-linked immunosorbent assay. Seroconversion occurred in all 127 subjects (43 children, 84 adults). Acquired antibody levels in children in the early stage were higher than those in adults. Protective titers appeared 6 weeks after initial inoculation in 126 of 127 subjects and were maintained for at least 3 years in a 11 subjects. Mean maximum titer in subjects inoculated twice and three times after the initial vaccination were 393 mIU ml-1 at 6 weeks and 2745 mIU ml-1 at 7 months, respectively. Titers at 6 and 12 months after the initial vaccination were significantly higher in subjects with the 1.0 μg inoculation than with 0.5 μg. Titers in females were significantly higher than in males. The mean titer after inoculation was 1.1% of the convalescent titer in patients with acute hepatitis A. Neither adverse clinical events nor abnormal laboratory tests were observed after vaccination. Hepatitis A virus antibodies appeared reliably after inoculation with inactivated vaccine, persisting for at least 3 years. Although seroconversion rate was not age- or sex-dependent, the acquired titer was higher in children and females than in elderly males.","author":[{"dropping-particle":"","family":"Tanaka","given":"Eisuke","non-dropping-particle":"","parse-names":false,"suffix":""},{"dropping-particle":"","family":"Sata","given":"Michio","non-dropping-particle":"","parse-names":false,"suffix":""},{"dropping-particle":"","family":"Nakano","given":"Hitoshi","non-dropping-particle":"","parse-names":false,"suffix":""},{"dropping-particle":"","family":"Suzuki","given":"Hiroshi","non-dropping-particle":"","parse-names":false,"suffix":""},{"dropping-particle":"","family":"Tanikawa","given":"Kyuichi","non-dropping-particle":"","parse-names":false,"suffix":""}],"container-title":"Hepatology Research","id":"ITEM-1","issue":"2-3","issued":{"date-parts":[["1997"]]},"page":"103-112","title":"Antibody response to inactivated hepatitis A vaccine","type":"article-journal","volume":"9"},"uris":["http://www.mendeley.com/documents/?uuid=fecc4fa0-7818-41ee-8716-1d546f73fd8c"]}],"mendeley":{"formattedCitation":"(112)","plainTextFormattedCitation":"(112)","previouslyFormattedCitation":"(112)"},"properties":{"noteIndex":0},"schema":"https://github.com/citation-style-language/schema/raw/master/csl-citation.json"}</w:instrText>
      </w:r>
      <w:r w:rsidR="00790EBA"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(112)</w:t>
      </w:r>
      <w:r w:rsidR="00790EBA"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 xml:space="preserve"> and smallpox </w:t>
      </w:r>
      <w:r w:rsidR="00A55A3E" w:rsidRPr="004B0BC2">
        <w:rPr>
          <w:rFonts w:asciiTheme="minorHAnsi" w:hAnsiTheme="minorHAnsi" w:cstheme="minorHAnsi"/>
          <w:sz w:val="22"/>
          <w:szCs w:val="22"/>
        </w:rPr>
        <w:t>vaccination</w:t>
      </w:r>
      <w:r w:rsidR="00334841" w:rsidRPr="004B0BC2">
        <w:rPr>
          <w:rFonts w:asciiTheme="minorHAnsi" w:hAnsiTheme="minorHAnsi" w:cstheme="minorHAnsi"/>
          <w:sz w:val="22"/>
          <w:szCs w:val="22"/>
        </w:rPr>
        <w:t xml:space="preserve"> (158.5 v</w:t>
      </w:r>
      <w:r w:rsidR="00FA7FCF">
        <w:rPr>
          <w:rFonts w:asciiTheme="minorHAnsi" w:hAnsiTheme="minorHAnsi" w:cstheme="minorHAnsi"/>
          <w:sz w:val="22"/>
          <w:szCs w:val="22"/>
        </w:rPr>
        <w:t>ersu</w:t>
      </w:r>
      <w:r w:rsidR="00334841" w:rsidRPr="004B0BC2">
        <w:rPr>
          <w:rFonts w:asciiTheme="minorHAnsi" w:hAnsiTheme="minorHAnsi" w:cstheme="minorHAnsi"/>
          <w:sz w:val="22"/>
          <w:szCs w:val="22"/>
        </w:rPr>
        <w:t>s. 124.1 p&lt;0.0001)</w:t>
      </w:r>
      <w:r w:rsidR="00790EBA"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{"citationItems":[{"id":"ITEM-1","itemData":{"DOI":"10.1016/j.vaccine.2009.01.086","ISSN":"0264410X","PMID":"19200827","abstract":"There are no data currently available on gender and racial variation in smallpox vaccine immune responses. We recruited 1076 healthy adults 18-40 years old who received one dose of the US-licensed smallpox vaccine (Dryvax®). Vaccinia neutralizing antibody titers in each subject's serum were determined using a high throughput neutralization assay based on a recombinant, β-gal expressing vaccinia virus. Results are reported as the serum dilution inhibiting 50% of virus activity (ID50). The median ID50 for all subjects was 132.2 (inter-quartile range (IQR) = 78.8, 205.6). While no significant differences were observed with race and ethnicity, females had significantly higher neutralizing antibody titers than males (158.5 [93.2, 255.8] vs. 124.1 [75.2, 185.9]; p &lt; 0.0001). As expected, time since vaccination was also associated with variations in neutralizing antibody titers in our subjects. These data indicate that neutralizing antibody titers following primary smallpox vaccination vary by gender. © 2009 Elsevier Ltd. All rights reserved.","author":[{"dropping-particle":"","family":"Kennedy","given":"Richard B.","non-dropping-particle":"","parse-names":false,"suffix":""},{"dropping-particle":"","family":"Ovsyannikova","given":"Inna G.","non-dropping-particle":"","parse-names":false,"suffix":""},{"dropping-particle":"","family":"Pankratz","given":"V. Shane","non-dropping-particle":"","parse-names":false,"suffix":""},{"dropping-particle":"","family":"Vierkant","given":"Robert A.","non-dropping-particle":"","parse-names":false,"suffix":""},{"dropping-particle":"","family":"Jacobson","given":"Robert M.","non-dropping-particle":"","parse-names":false,"suffix":""},{"dropping-particle":"","family":"Ryan","given":"Margaret A.K.","non-dropping-particle":"","parse-names":false,"suffix":""},{"dropping-particle":"","family":"Poland","given":"Gregory A.","non-dropping-particle":"","parse-names":false,"suffix":""}],"container-title":"Vaccine","id":"ITEM-1","issue":"25-26","issued":{"date-parts":[["2009"]]},"page":"3319–3323","title":"Gender effects on humoral immune responses to smallpox vaccine","type":"article-journal","volume":"27"},"uris":["http://www.mendeley.com/documents/?uuid=77f5bbec-585b-46e6-a872-4f12193c1083"]}],"mendeley":{"formattedCitation":"(113)","plainTextFormattedCitation":"(113)","previouslyFormattedCitation":"(113)"},"properties":{"noteIndex":0},"schema":"https://github.com/citation-style-language/schema/raw/master/csl-citation.json"}</w:instrText>
      </w:r>
      <w:r w:rsidR="00790EBA"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(113)</w:t>
      </w:r>
      <w:r w:rsidR="00790EBA"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 xml:space="preserve">. </w:t>
      </w:r>
    </w:p>
    <w:p w14:paraId="17814C58" w14:textId="574D711E" w:rsidR="007F24DD" w:rsidRDefault="007F24DD" w:rsidP="00271A3B">
      <w:pPr>
        <w:spacing w:line="480" w:lineRule="auto"/>
        <w:rPr>
          <w:rFonts w:asciiTheme="minorHAnsi" w:hAnsiTheme="minorHAnsi" w:cstheme="minorHAnsi"/>
          <w:sz w:val="22"/>
          <w:szCs w:val="22"/>
          <w:shd w:val="clear" w:color="auto" w:fill="FFFFFF"/>
        </w:rPr>
      </w:pPr>
    </w:p>
    <w:p w14:paraId="50F97ADE" w14:textId="4185EFF4" w:rsidR="00FA7FCF" w:rsidRPr="004B0BC2" w:rsidRDefault="00FA7FCF" w:rsidP="00271A3B">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[H3] The X chromosome and immunity </w:t>
      </w:r>
    </w:p>
    <w:p w14:paraId="12E32569" w14:textId="00150A5D" w:rsidR="00AB7E1C" w:rsidRPr="004B0BC2" w:rsidRDefault="00334841" w:rsidP="00B66369">
      <w:pPr>
        <w:pStyle w:val="NoSpacing"/>
        <w:spacing w:line="480" w:lineRule="auto"/>
        <w:rPr>
          <w:rFonts w:cstheme="minorHAnsi"/>
          <w:sz w:val="22"/>
          <w:szCs w:val="22"/>
          <w:shd w:val="clear" w:color="auto" w:fill="FFFFFF"/>
        </w:rPr>
      </w:pPr>
      <w:r w:rsidRPr="004B0BC2">
        <w:rPr>
          <w:rFonts w:cstheme="minorHAnsi"/>
          <w:sz w:val="22"/>
          <w:szCs w:val="22"/>
        </w:rPr>
        <w:t>The X chromosome encodes genes</w:t>
      </w:r>
      <w:r w:rsidR="00FA7FCF">
        <w:rPr>
          <w:rFonts w:cstheme="minorHAnsi"/>
          <w:sz w:val="22"/>
          <w:szCs w:val="22"/>
        </w:rPr>
        <w:t>,</w:t>
      </w:r>
      <w:r w:rsidRPr="004B0BC2">
        <w:rPr>
          <w:rFonts w:cstheme="minorHAnsi"/>
          <w:sz w:val="22"/>
          <w:szCs w:val="22"/>
        </w:rPr>
        <w:t xml:space="preserve"> such as </w:t>
      </w:r>
      <w:r w:rsidR="00FA7FCF" w:rsidRPr="00500FBD">
        <w:rPr>
          <w:rFonts w:cstheme="minorHAnsi"/>
          <w:i/>
          <w:sz w:val="22"/>
          <w:szCs w:val="22"/>
        </w:rPr>
        <w:t>TLR</w:t>
      </w:r>
      <w:r w:rsidRPr="00500FBD">
        <w:rPr>
          <w:rFonts w:cstheme="minorHAnsi"/>
          <w:i/>
          <w:sz w:val="22"/>
          <w:szCs w:val="22"/>
        </w:rPr>
        <w:t>7</w:t>
      </w:r>
      <w:r w:rsidRPr="004B0BC2">
        <w:rPr>
          <w:rFonts w:cstheme="minorHAnsi"/>
          <w:sz w:val="22"/>
          <w:szCs w:val="22"/>
        </w:rPr>
        <w:t xml:space="preserve"> and </w:t>
      </w:r>
      <w:r w:rsidR="00FA7FCF" w:rsidRPr="00500FBD">
        <w:rPr>
          <w:rFonts w:cstheme="minorHAnsi"/>
          <w:i/>
          <w:sz w:val="22"/>
          <w:szCs w:val="22"/>
        </w:rPr>
        <w:t>TLR</w:t>
      </w:r>
      <w:r w:rsidRPr="00500FBD">
        <w:rPr>
          <w:rFonts w:cstheme="minorHAnsi"/>
          <w:i/>
          <w:sz w:val="22"/>
          <w:szCs w:val="22"/>
        </w:rPr>
        <w:t>8</w:t>
      </w:r>
      <w:r w:rsidRPr="004B0BC2">
        <w:rPr>
          <w:rFonts w:cstheme="minorHAnsi"/>
          <w:sz w:val="22"/>
          <w:szCs w:val="22"/>
        </w:rPr>
        <w:t xml:space="preserve">, </w:t>
      </w:r>
      <w:r w:rsidRPr="00500FBD">
        <w:rPr>
          <w:rFonts w:cstheme="minorHAnsi"/>
          <w:i/>
          <w:sz w:val="22"/>
          <w:szCs w:val="22"/>
        </w:rPr>
        <w:t>FOXP3</w:t>
      </w:r>
      <w:r w:rsidRPr="004B0BC2">
        <w:rPr>
          <w:rFonts w:cstheme="minorHAnsi"/>
          <w:sz w:val="22"/>
          <w:szCs w:val="22"/>
        </w:rPr>
        <w:t xml:space="preserve"> </w:t>
      </w:r>
      <w:r w:rsidR="00FA7FCF">
        <w:rPr>
          <w:rFonts w:cstheme="minorHAnsi"/>
          <w:sz w:val="22"/>
          <w:szCs w:val="22"/>
        </w:rPr>
        <w:t xml:space="preserve">and </w:t>
      </w:r>
      <w:r w:rsidRPr="00500FBD">
        <w:rPr>
          <w:rFonts w:cstheme="minorHAnsi"/>
          <w:i/>
          <w:sz w:val="22"/>
          <w:szCs w:val="22"/>
        </w:rPr>
        <w:t>CD40L</w:t>
      </w:r>
      <w:r w:rsidR="00FA7FCF">
        <w:rPr>
          <w:rFonts w:cstheme="minorHAnsi"/>
          <w:sz w:val="22"/>
          <w:szCs w:val="22"/>
        </w:rPr>
        <w:t>,</w:t>
      </w:r>
      <w:r w:rsidRPr="004B0BC2">
        <w:rPr>
          <w:rFonts w:cstheme="minorHAnsi"/>
          <w:sz w:val="22"/>
          <w:szCs w:val="22"/>
        </w:rPr>
        <w:t xml:space="preserve"> that are involved in recognising viral pathogens, regulation of T cells and immunoglobulin class switching</w:t>
      </w:r>
      <w:r w:rsidRPr="004B0BC2">
        <w:rPr>
          <w:rFonts w:cstheme="minorHAnsi"/>
          <w:sz w:val="22"/>
          <w:szCs w:val="22"/>
        </w:rPr>
        <w:fldChar w:fldCharType="begin" w:fldLock="1"/>
      </w:r>
      <w:r w:rsidR="00693DD5">
        <w:rPr>
          <w:rFonts w:cstheme="minorHAnsi"/>
          <w:sz w:val="22"/>
          <w:szCs w:val="22"/>
        </w:rPr>
        <w:instrText>ADDIN CSL_CITATION {"citationItems":[{"id":"ITEM-1","itemData":{"DOI":"10.1093/infdis/jiu159","ISSN":"15376613","abstract":"Women and men are different - and this fundamental observation extends to their susceptibility and response to different diseases, including autoimmune and infectious diseases. Apart from cultural and behavioral differences between the sexes that play a prominent role in the exposure to pathogens, increasing data show that women and men also differ in their immune responses to infections. This applies to infections with viruses, bacteria, and parasites, including the pathogens most relevant for human health, causing malaria, tuberculosis, AIDS, hepatitis, and influenza. Only recently, the biological pathways responsible for these sex-based differences in the manifestations of infectious diseases have been started to be unveiled. These include immunological pathways affected by sex hormones, as well as consequences of differential expression of X-chromosome-encoded genes on immune responses to pathogens. Further research is required to gain a better understanding of the differences in immunity to infections between women and men in order to develop individualized treatment concepts in infectious diseases that take sex-specific host factors into account. © 2014 The Author.","author":[{"dropping-particle":"","family":"Lunzen","given":"Jan","non-dropping-particle":"Van","parse-names":false,"suffix":""},{"dropping-particle":"","family":"Altfeld","given":"Marcus","non-dropping-particle":"","parse-names":false,"suffix":""}],"container-title":"Journal of Infectious Diseases","id":"ITEM-1","issue":"3","issued":{"date-parts":[["2014"]]},"page":"S79–S80","title":"Sex differences in infectious diseases-common but neglected","type":"article-journal","volume":"209"},"uris":["http://www.mendeley.com/documents/?uuid=27fc7152-9564-4dd8-9ad6-c1df7de16a51"]}],"mendeley":{"formattedCitation":"(114)","plainTextFormattedCitation":"(114)","previouslyFormattedCitation":"(114)"},"properties":{"noteIndex":0},"schema":"https://github.com/citation-style-language/schema/raw/master/csl-citation.json"}</w:instrText>
      </w:r>
      <w:r w:rsidRPr="004B0BC2">
        <w:rPr>
          <w:rFonts w:cstheme="minorHAnsi"/>
          <w:sz w:val="22"/>
          <w:szCs w:val="22"/>
        </w:rPr>
        <w:fldChar w:fldCharType="separate"/>
      </w:r>
      <w:r w:rsidR="00693DD5" w:rsidRPr="00693DD5">
        <w:rPr>
          <w:rFonts w:cstheme="minorHAnsi"/>
          <w:noProof/>
          <w:sz w:val="22"/>
          <w:szCs w:val="22"/>
        </w:rPr>
        <w:t>(114)</w:t>
      </w:r>
      <w:r w:rsidRPr="004B0BC2">
        <w:rPr>
          <w:rFonts w:cstheme="minorHAnsi"/>
          <w:sz w:val="22"/>
          <w:szCs w:val="22"/>
        </w:rPr>
        <w:fldChar w:fldCharType="end"/>
      </w:r>
      <w:r w:rsidRPr="004B0BC2">
        <w:rPr>
          <w:rFonts w:cstheme="minorHAnsi"/>
          <w:sz w:val="22"/>
          <w:szCs w:val="22"/>
        </w:rPr>
        <w:t xml:space="preserve">. </w:t>
      </w:r>
      <w:r w:rsidR="00C02E07" w:rsidRPr="004B0BC2">
        <w:rPr>
          <w:rFonts w:cstheme="minorHAnsi"/>
          <w:sz w:val="22"/>
          <w:szCs w:val="22"/>
        </w:rPr>
        <w:t>Males possess only one X chromosome</w:t>
      </w:r>
      <w:r w:rsidR="00FA7FCF">
        <w:rPr>
          <w:rFonts w:cstheme="minorHAnsi"/>
          <w:sz w:val="22"/>
          <w:szCs w:val="22"/>
        </w:rPr>
        <w:t>,</w:t>
      </w:r>
      <w:r w:rsidR="00C02E07" w:rsidRPr="004B0BC2">
        <w:rPr>
          <w:rFonts w:cstheme="minorHAnsi"/>
          <w:sz w:val="22"/>
          <w:szCs w:val="22"/>
        </w:rPr>
        <w:t xml:space="preserve"> which is inherited from their mother</w:t>
      </w:r>
      <w:r w:rsidR="00FA7FCF">
        <w:rPr>
          <w:rFonts w:cstheme="minorHAnsi"/>
          <w:sz w:val="22"/>
          <w:szCs w:val="22"/>
        </w:rPr>
        <w:t>, whereas</w:t>
      </w:r>
      <w:r w:rsidR="00C02E07" w:rsidRPr="004B0BC2">
        <w:rPr>
          <w:rFonts w:cstheme="minorHAnsi"/>
          <w:sz w:val="22"/>
          <w:szCs w:val="22"/>
        </w:rPr>
        <w:t xml:space="preserve"> females carry and express two X chromosomes. </w:t>
      </w:r>
      <w:r w:rsidR="00FA7FCF">
        <w:rPr>
          <w:rFonts w:cstheme="minorHAnsi"/>
          <w:sz w:val="22"/>
          <w:szCs w:val="22"/>
        </w:rPr>
        <w:t>T</w:t>
      </w:r>
      <w:r w:rsidRPr="004B0BC2">
        <w:rPr>
          <w:rFonts w:cstheme="minorHAnsi"/>
          <w:sz w:val="22"/>
          <w:szCs w:val="22"/>
        </w:rPr>
        <w:t>he additional X chromosome in women</w:t>
      </w:r>
      <w:r w:rsidR="00C02E07" w:rsidRPr="004B0BC2">
        <w:rPr>
          <w:rFonts w:cstheme="minorHAnsi"/>
          <w:sz w:val="22"/>
          <w:szCs w:val="22"/>
        </w:rPr>
        <w:t xml:space="preserve"> </w:t>
      </w:r>
      <w:r w:rsidR="00FA7FCF">
        <w:rPr>
          <w:rFonts w:cstheme="minorHAnsi"/>
          <w:sz w:val="22"/>
          <w:szCs w:val="22"/>
        </w:rPr>
        <w:t>is thought to</w:t>
      </w:r>
      <w:r w:rsidR="00FA7FCF" w:rsidRPr="004B0BC2">
        <w:rPr>
          <w:rFonts w:cstheme="minorHAnsi"/>
          <w:sz w:val="22"/>
          <w:szCs w:val="22"/>
        </w:rPr>
        <w:t xml:space="preserve"> </w:t>
      </w:r>
      <w:r w:rsidRPr="004B0BC2">
        <w:rPr>
          <w:rFonts w:cstheme="minorHAnsi"/>
          <w:sz w:val="22"/>
          <w:szCs w:val="22"/>
        </w:rPr>
        <w:t>provide</w:t>
      </w:r>
      <w:r w:rsidR="00C02E07" w:rsidRPr="004B0BC2">
        <w:rPr>
          <w:rFonts w:cstheme="minorHAnsi"/>
          <w:sz w:val="22"/>
          <w:szCs w:val="22"/>
        </w:rPr>
        <w:t xml:space="preserve"> increased immunological</w:t>
      </w:r>
      <w:r w:rsidRPr="004B0BC2">
        <w:rPr>
          <w:rFonts w:cstheme="minorHAnsi"/>
          <w:sz w:val="22"/>
          <w:szCs w:val="22"/>
        </w:rPr>
        <w:t xml:space="preserve"> protection </w:t>
      </w:r>
      <w:r w:rsidR="00C02E07" w:rsidRPr="004B0BC2">
        <w:rPr>
          <w:rFonts w:cstheme="minorHAnsi"/>
          <w:sz w:val="22"/>
          <w:szCs w:val="22"/>
        </w:rPr>
        <w:t xml:space="preserve">compared </w:t>
      </w:r>
      <w:r w:rsidR="00FA7FCF">
        <w:rPr>
          <w:rFonts w:cstheme="minorHAnsi"/>
          <w:sz w:val="22"/>
          <w:szCs w:val="22"/>
        </w:rPr>
        <w:t xml:space="preserve">with the single X chromosome expressed in </w:t>
      </w:r>
      <w:r w:rsidR="00C02E07" w:rsidRPr="004B0BC2">
        <w:rPr>
          <w:rFonts w:cstheme="minorHAnsi"/>
          <w:sz w:val="22"/>
          <w:szCs w:val="22"/>
        </w:rPr>
        <w:t>men</w:t>
      </w:r>
      <w:r w:rsidRPr="004B0BC2">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{"citationItems":[{"id":"ITEM-1","itemData":{"DOI":"10.1093/infdis/jiu020","ISSN":"15376613","abstract":"Sex-specific endocrine and immune responses are widely recognized to account for differential disease outcomes between females and males. Surprisingly, sex-specific risk assessments for influenza, a viral pathogen that affects human populations worldwide through seasonal epidemics and irregular occurring pandemics, are sparse and - if available - ambiguous. To date, this precludes proposing an unequivocal sex-dependent susceptibility to influenza. However, one undisputable observation recurrently confirmed during influenza seasons of the last decades is the significantly increased risk for pregnant women. This increased risk is likely attributable to the contradictory demands for the maternal immune system to adapt to pregnancy and to simultaneously mount an immune response to clear the influenza virus infection. Here, we review published evidence on the potential association between sex on influenza risk and propose that future epidemiologic studies should carefully dissect surveillance data for sex-specific effects. Moreover, we propose potential mechanisms involved in enhanced risk for severe influenza during pregnancy that could be studied to identify causal pathways. © 2014 The Author.","author":[{"dropping-particle":"","family":"Gabriel","given":"Gülsah","non-dropping-particle":"","parse-names":false,"suffix":""},{"dropping-particle":"","family":"Arck","given":"Petra Clara","non-dropping-particle":"","parse-names":false,"suffix":""}],"container-title":"Journal of Infectious Diseases","id":"ITEM-1","issue":"3","issued":{"date-parts":[["2014"]]},"page":"S93–S99","title":"Sex, immunity and influenza","type":"article-journal","volume":"209"},"uris":["http://www.mendeley.com/documents/?uuid=544162fa-d312-4604-8344-4bd22897c671"]}],"mendeley":{"formattedCitation":"(115)","plainTextFormattedCitation":"(115)","previouslyFormattedCitation":"(115)"},"properties":{"noteIndex":0},"schema":"https://github.com/citation-style-language/schema/raw/master/csl-citation.json"}</w:instrText>
      </w:r>
      <w:r w:rsidRPr="004B0BC2">
        <w:rPr>
          <w:rFonts w:cstheme="minorHAnsi"/>
          <w:sz w:val="22"/>
          <w:szCs w:val="22"/>
          <w:shd w:val="clear" w:color="auto" w:fill="FFFFFF"/>
        </w:rPr>
        <w:fldChar w:fldCharType="separate"/>
      </w:r>
      <w:r w:rsidR="00693DD5" w:rsidRPr="00693DD5">
        <w:rPr>
          <w:rFonts w:cstheme="minorHAnsi"/>
          <w:noProof/>
          <w:sz w:val="22"/>
          <w:szCs w:val="22"/>
          <w:shd w:val="clear" w:color="auto" w:fill="FFFFFF"/>
        </w:rPr>
        <w:t>(115)</w:t>
      </w:r>
      <w:r w:rsidRPr="004B0BC2">
        <w:rPr>
          <w:rFonts w:cstheme="minorHAnsi"/>
          <w:sz w:val="22"/>
          <w:szCs w:val="22"/>
          <w:shd w:val="clear" w:color="auto" w:fill="FFFFFF"/>
        </w:rPr>
        <w:fldChar w:fldCharType="end"/>
      </w:r>
      <w:r w:rsidRPr="004B0BC2">
        <w:rPr>
          <w:rFonts w:cstheme="minorHAnsi"/>
          <w:sz w:val="22"/>
          <w:szCs w:val="22"/>
          <w:shd w:val="clear" w:color="auto" w:fill="FFFFFF"/>
        </w:rPr>
        <w:t>.</w:t>
      </w:r>
      <w:r w:rsidR="008F59EA" w:rsidRPr="004B0BC2">
        <w:rPr>
          <w:rFonts w:cstheme="minorHAnsi"/>
          <w:sz w:val="22"/>
          <w:szCs w:val="22"/>
          <w:shd w:val="clear" w:color="auto" w:fill="FFFFFF"/>
        </w:rPr>
        <w:t xml:space="preserve"> </w:t>
      </w:r>
      <w:r w:rsidRPr="004B0BC2">
        <w:rPr>
          <w:rFonts w:cstheme="minorHAnsi"/>
          <w:sz w:val="22"/>
          <w:szCs w:val="22"/>
          <w:shd w:val="clear" w:color="auto" w:fill="FFFFFF"/>
        </w:rPr>
        <w:t>The X-linked</w:t>
      </w:r>
      <w:r w:rsidR="003E20EA" w:rsidRPr="004B0BC2">
        <w:rPr>
          <w:rFonts w:cstheme="minorHAnsi"/>
          <w:sz w:val="22"/>
          <w:szCs w:val="22"/>
          <w:shd w:val="clear" w:color="auto" w:fill="FFFFFF"/>
        </w:rPr>
        <w:t xml:space="preserve"> glycos</w:t>
      </w:r>
      <w:r w:rsidR="009A421B" w:rsidRPr="004B0BC2">
        <w:rPr>
          <w:rFonts w:cstheme="minorHAnsi"/>
          <w:sz w:val="22"/>
          <w:szCs w:val="22"/>
          <w:shd w:val="clear" w:color="auto" w:fill="FFFFFF"/>
        </w:rPr>
        <w:t>ylated 91-kDA glycoprotein gene (</w:t>
      </w:r>
      <w:r w:rsidRPr="00500FBD">
        <w:rPr>
          <w:rFonts w:cstheme="minorHAnsi"/>
          <w:i/>
          <w:sz w:val="22"/>
          <w:szCs w:val="22"/>
          <w:shd w:val="clear" w:color="auto" w:fill="FFFFFF"/>
        </w:rPr>
        <w:t>gp91phox</w:t>
      </w:r>
      <w:r w:rsidR="009A421B" w:rsidRPr="004B0BC2">
        <w:rPr>
          <w:rFonts w:cstheme="minorHAnsi"/>
          <w:sz w:val="22"/>
          <w:szCs w:val="22"/>
          <w:shd w:val="clear" w:color="auto" w:fill="FFFFFF"/>
        </w:rPr>
        <w:t>)</w:t>
      </w:r>
      <w:r w:rsidR="00A74609" w:rsidRPr="004B0BC2">
        <w:rPr>
          <w:rFonts w:cstheme="minorHAnsi"/>
          <w:sz w:val="22"/>
          <w:szCs w:val="22"/>
          <w:shd w:val="clear" w:color="auto" w:fill="FFFFFF"/>
        </w:rPr>
        <w:t xml:space="preserve"> </w:t>
      </w:r>
      <w:r w:rsidRPr="004B0BC2">
        <w:rPr>
          <w:rFonts w:cstheme="minorHAnsi"/>
          <w:sz w:val="22"/>
          <w:szCs w:val="22"/>
          <w:shd w:val="clear" w:color="auto" w:fill="FFFFFF"/>
        </w:rPr>
        <w:t xml:space="preserve">is subunit of </w:t>
      </w:r>
      <w:r w:rsidRPr="004B0BC2">
        <w:rPr>
          <w:rFonts w:cstheme="minorHAnsi"/>
          <w:sz w:val="22"/>
          <w:szCs w:val="22"/>
          <w:shd w:val="clear" w:color="auto" w:fill="FFFFFF"/>
        </w:rPr>
        <w:lastRenderedPageBreak/>
        <w:t>nicotinamide adenine dinucleotide phosphate</w:t>
      </w:r>
      <w:r w:rsidR="00F03344">
        <w:rPr>
          <w:rFonts w:cstheme="minorHAnsi"/>
          <w:sz w:val="22"/>
          <w:szCs w:val="22"/>
          <w:shd w:val="clear" w:color="auto" w:fill="FFFFFF"/>
        </w:rPr>
        <w:t xml:space="preserve"> (NADPH) </w:t>
      </w:r>
      <w:r w:rsidRPr="004B0BC2">
        <w:rPr>
          <w:rFonts w:cstheme="minorHAnsi"/>
          <w:sz w:val="22"/>
          <w:szCs w:val="22"/>
          <w:shd w:val="clear" w:color="auto" w:fill="FFFFFF"/>
        </w:rPr>
        <w:t xml:space="preserve">oxidase complex, which is </w:t>
      </w:r>
      <w:r w:rsidR="00191EEC" w:rsidRPr="004B0BC2">
        <w:rPr>
          <w:rFonts w:cstheme="minorHAnsi"/>
          <w:sz w:val="22"/>
          <w:szCs w:val="22"/>
          <w:shd w:val="clear" w:color="auto" w:fill="FFFFFF"/>
        </w:rPr>
        <w:t>integral</w:t>
      </w:r>
      <w:r w:rsidRPr="004B0BC2">
        <w:rPr>
          <w:rFonts w:cstheme="minorHAnsi"/>
          <w:sz w:val="22"/>
          <w:szCs w:val="22"/>
          <w:shd w:val="clear" w:color="auto" w:fill="FFFFFF"/>
        </w:rPr>
        <w:t xml:space="preserve"> </w:t>
      </w:r>
      <w:r w:rsidR="00F03344">
        <w:rPr>
          <w:rFonts w:cstheme="minorHAnsi"/>
          <w:sz w:val="22"/>
          <w:szCs w:val="22"/>
          <w:shd w:val="clear" w:color="auto" w:fill="FFFFFF"/>
        </w:rPr>
        <w:t>to</w:t>
      </w:r>
      <w:r w:rsidR="00F03344" w:rsidRPr="004B0BC2">
        <w:rPr>
          <w:rFonts w:cstheme="minorHAnsi"/>
          <w:sz w:val="22"/>
          <w:szCs w:val="22"/>
          <w:shd w:val="clear" w:color="auto" w:fill="FFFFFF"/>
        </w:rPr>
        <w:t xml:space="preserve"> </w:t>
      </w:r>
      <w:r w:rsidRPr="004B0BC2">
        <w:rPr>
          <w:rFonts w:cstheme="minorHAnsi"/>
          <w:sz w:val="22"/>
          <w:szCs w:val="22"/>
          <w:shd w:val="clear" w:color="auto" w:fill="FFFFFF"/>
        </w:rPr>
        <w:t>the production of</w:t>
      </w:r>
      <w:r w:rsidR="00191EEC" w:rsidRPr="004B0BC2">
        <w:rPr>
          <w:rFonts w:cstheme="minorHAnsi"/>
          <w:sz w:val="22"/>
          <w:szCs w:val="22"/>
          <w:shd w:val="clear" w:color="auto" w:fill="FFFFFF"/>
        </w:rPr>
        <w:t xml:space="preserve"> micro</w:t>
      </w:r>
      <w:r w:rsidR="00F03344">
        <w:rPr>
          <w:rFonts w:cstheme="minorHAnsi"/>
          <w:sz w:val="22"/>
          <w:szCs w:val="22"/>
          <w:shd w:val="clear" w:color="auto" w:fill="FFFFFF"/>
        </w:rPr>
        <w:t>bi</w:t>
      </w:r>
      <w:r w:rsidR="00191EEC" w:rsidRPr="004B0BC2">
        <w:rPr>
          <w:rFonts w:cstheme="minorHAnsi"/>
          <w:sz w:val="22"/>
          <w:szCs w:val="22"/>
          <w:shd w:val="clear" w:color="auto" w:fill="FFFFFF"/>
        </w:rPr>
        <w:t>cidal</w:t>
      </w:r>
      <w:r w:rsidR="00F03344">
        <w:rPr>
          <w:rFonts w:cstheme="minorHAnsi"/>
          <w:sz w:val="22"/>
          <w:szCs w:val="22"/>
          <w:shd w:val="clear" w:color="auto" w:fill="FFFFFF"/>
        </w:rPr>
        <w:t xml:space="preserve"> </w:t>
      </w:r>
      <w:r w:rsidR="00191EEC" w:rsidRPr="004B0BC2">
        <w:rPr>
          <w:rFonts w:cstheme="minorHAnsi"/>
          <w:sz w:val="22"/>
          <w:szCs w:val="22"/>
          <w:shd w:val="clear" w:color="auto" w:fill="FFFFFF"/>
        </w:rPr>
        <w:t>reactive oxygen species</w:t>
      </w:r>
      <w:r w:rsidR="00F03344">
        <w:rPr>
          <w:rFonts w:cstheme="minorHAnsi"/>
          <w:sz w:val="22"/>
          <w:szCs w:val="22"/>
          <w:shd w:val="clear" w:color="auto" w:fill="FFFFFF"/>
        </w:rPr>
        <w:t xml:space="preserve"> (ROS)</w:t>
      </w:r>
      <w:r w:rsidR="009A421B" w:rsidRPr="004B0BC2">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{"citationItems":[{"id":"ITEM-1","itemData":{"DOI":"10.1073/pnas.95.14.7993","ISSN":"00278424","PMID":"9653128","abstract":"The phagocyte NADPH oxidase flavocytochrome b558 is a membrane-bound heterodimer comprised of a glycosylated subunit, gp91phox, and a nonglycosylated subunit, p22phox. It contains two nonidentical heme groups that mediate the final steps of electron transfer to molecular oxygen (O2), resulting in the generation of superoxide ion (O-2). However, the location of the hemes within the flavocytochrome heterodimer remains controversial. In this study, we have used transgenic COS7 cell lines expressing gp91phox, p22phox, or both polypeptides to examine the relative role of each flavocytochrome b558 subunit in heme binding and O-2 formation. A similar membrane localization was observed when gp91phox and p22phox were either expressed individually or coexpressed, as analyzed by confocal microscopy and immunoblotting of subcellular fractions. Spectral analysis of membranes prepared from COS7 cell lines expressing either gp91phox or both gp91phox and p22phox showed a b-type cytochrome with spectral characteristics identical to those of human neutrophil flavocytochrome b558. In contrast, no heme spectrum was detected in wild-type COS7 membranes or those containing only p22phox. Furthermore, redox titration studies suggested that two heme groups were contained in gp91phox expressed in COS7 membranes, with midpoint potentials of -264 and -233 mV that were very similar to those obtained for neutrophil flavocytochrome b558. These results provide strong support for the hypothesis that gp91phox is the sole heme binding subunit of flavocytochrome b558. However, coexpression of gp91phox and p22phox in COS7 membranes was required to support O-2 production in combination with neutrophil cytosol, indicating that the functional assembly of the active NADPH oxidase complex requires both subunits of flavocytochrome b558.","author":[{"dropping-particle":"","family":"Yu","given":"Lixin","non-dropping-particle":"","parse-names":false,"suffix":""},{"dropping-particle":"","family":"Quinn","given":"Mark T.","non-dropping-particle":"","parse-names":false,"suffix":""},{"dropping-particle":"","family":"Cross","given":"Andrew R.","non-dropping-particle":"","parse-names":false,"suffix":""},{"dropping-particle":"","family":"Dinauer","given":"Mary C.","non-dropping-particle":"","parse-names":false,"suffix":""}],"container-title":"Proceedings of the National Academy of Sciences of the United States of America","id":"ITEM-1","issue":"14","issued":{"date-parts":[["1998"]]},"page":"7993-7998","title":"Gp91phox is the heme binding subunit of the superoxide-generating NADPH oxidase","type":"article-journal","volume":"95"},"uris":["http://www.mendeley.com/documents/?uuid=c45b3fc6-2230-4456-adc9-f5f77f7b2ba9"]}],"mendeley":{"formattedCitation":"(116)","plainTextFormattedCitation":"(116)","previouslyFormattedCitation":"(116)"},"properties":{"noteIndex":0},"schema":"https://github.com/citation-style-language/schema/raw/master/csl-citation.json"}</w:instrText>
      </w:r>
      <w:r w:rsidR="009A421B" w:rsidRPr="004B0BC2">
        <w:rPr>
          <w:rFonts w:cstheme="minorHAnsi"/>
          <w:sz w:val="22"/>
          <w:szCs w:val="22"/>
          <w:shd w:val="clear" w:color="auto" w:fill="FFFFFF"/>
        </w:rPr>
        <w:fldChar w:fldCharType="separate"/>
      </w:r>
      <w:r w:rsidR="00693DD5" w:rsidRPr="00693DD5">
        <w:rPr>
          <w:rFonts w:cstheme="minorHAnsi"/>
          <w:noProof/>
          <w:sz w:val="22"/>
          <w:szCs w:val="22"/>
          <w:shd w:val="clear" w:color="auto" w:fill="FFFFFF"/>
        </w:rPr>
        <w:t>(116)</w:t>
      </w:r>
      <w:r w:rsidR="009A421B" w:rsidRPr="004B0BC2">
        <w:rPr>
          <w:rFonts w:cstheme="minorHAnsi"/>
          <w:sz w:val="22"/>
          <w:szCs w:val="22"/>
          <w:shd w:val="clear" w:color="auto" w:fill="FFFFFF"/>
        </w:rPr>
        <w:fldChar w:fldCharType="end"/>
      </w:r>
      <w:r w:rsidR="00003DFC" w:rsidRPr="004B0BC2">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{"citationItems":[{"id":"ITEM-1","itemData":{"DOI":"10.1186/1476-7961-10-2","ISSN":"14767961","abstract":"Objective: The phenomena manifested during inflammation require interplay between circulating effector cells, local resident cells, soluble mediators and genetic host factors to establish, develop and maintain itself. Of the molecues involed in the initiation and perpetuation of acute allergic inflammation in asthma, the involvement of effector cells in redox reactions for producing O 2-(superoxide anion) through the mediation of NADPH oxidase is a critical step. Prior data suggest that reactive oxygen species (ROS) produced by NADPH oxidase homologues in non-phagocytic cells play an important role in the regulation of signal transduction, while macrophages use a membrane-associated NADPH oxidase to generate an array of oxidizing intermediates which inactivate MMPs on or near them.Materials and Methods and Treatment: To clarify the role of gp91phox subunit of NADPH oxidase in the development and progression of an acute allergic asthma phenotype, we induced allergen dependent inflammation in a gp91 phox-/- single knockout and a gp91phox-/-MMP-12-/- double knockout mouse models.Results: In the knockout mice, both inflammation and airway hyperreactivity were more extensive than in wildtype mice post-OVA. Although OVA-specific IgE in plasma were comparable in wildtype and knockout mice, enhanced inflammatory cell recruitment from circulation and cytokine release in lung and BALf, accompanied by higher airway resistance as well as Penh in response to methacholine, indicate a regulatory role for NADPH oxidase in development of allergic asthma. While T cell mediated functions like Th2 cytokine secretion, and proliferation to OVA were upregulated synchronous with the overall robustness of the asthma phenotype, macrophage upregulation in functions such as proliferation, and mixed lymphocyte reaction indicate a regulatory role for gp91phox and an overall non-involvement or synergistic involvement of MMP12 in the response pathway (comparing data from gp91phox-/- and gp91phox-/-MMP-12-/- mice). © 2012 Banerjee and Henderson; licensee BioMed Central Ltd.","author":[{"dropping-particle":"","family":"Banerjee","given":"Ena R.","non-dropping-particle":"","parse-names":false,"suffix":""},{"dropping-particle":"","family":"Henderson","given":"William R.","non-dropping-particle":"","parse-names":false,"suffix":""}],"container-title":"Clinical and Molecular Allergy","id":"ITEM-1","issue":"1","issued":{"date-parts":[["2012"]]},"page":"1-14","title":"Defining the molecular role of gp91phox in the immune manifestation of acute allergic asthma using a preclinical murine model","type":"article-journal","volume":"10"},"uris":["http://www.mendeley.com/documents/?uuid=ee04ce15-13e5-42fd-9cc8-f037e3c01b27"]}],"mendeley":{"formattedCitation":"(117)","plainTextFormattedCitation":"(117)","previouslyFormattedCitation":"(117)"},"properties":{"noteIndex":0},"schema":"https://github.com/citation-style-language/schema/raw/master/csl-citation.json"}</w:instrText>
      </w:r>
      <w:r w:rsidR="00003DFC" w:rsidRPr="004B0BC2">
        <w:rPr>
          <w:rFonts w:cstheme="minorHAnsi"/>
          <w:sz w:val="22"/>
          <w:szCs w:val="22"/>
          <w:shd w:val="clear" w:color="auto" w:fill="FFFFFF"/>
        </w:rPr>
        <w:fldChar w:fldCharType="separate"/>
      </w:r>
      <w:r w:rsidR="00693DD5" w:rsidRPr="00693DD5">
        <w:rPr>
          <w:rFonts w:cstheme="minorHAnsi"/>
          <w:noProof/>
          <w:sz w:val="22"/>
          <w:szCs w:val="22"/>
          <w:shd w:val="clear" w:color="auto" w:fill="FFFFFF"/>
        </w:rPr>
        <w:t>(117)</w:t>
      </w:r>
      <w:r w:rsidR="00003DFC" w:rsidRPr="004B0BC2">
        <w:rPr>
          <w:rFonts w:cstheme="minorHAnsi"/>
          <w:sz w:val="22"/>
          <w:szCs w:val="22"/>
          <w:shd w:val="clear" w:color="auto" w:fill="FFFFFF"/>
        </w:rPr>
        <w:fldChar w:fldCharType="end"/>
      </w:r>
      <w:r w:rsidRPr="004B0BC2">
        <w:rPr>
          <w:rFonts w:cstheme="minorHAnsi"/>
          <w:sz w:val="22"/>
          <w:szCs w:val="22"/>
          <w:shd w:val="clear" w:color="auto" w:fill="FFFFFF"/>
        </w:rPr>
        <w:t>.</w:t>
      </w:r>
      <w:r w:rsidR="008F59EA" w:rsidRPr="004B0BC2">
        <w:rPr>
          <w:rFonts w:cstheme="minorHAnsi"/>
          <w:sz w:val="22"/>
          <w:szCs w:val="22"/>
          <w:shd w:val="clear" w:color="auto" w:fill="FFFFFF"/>
        </w:rPr>
        <w:t xml:space="preserve"> </w:t>
      </w:r>
      <w:r w:rsidR="00F03344">
        <w:rPr>
          <w:rFonts w:cstheme="minorHAnsi"/>
          <w:sz w:val="22"/>
          <w:szCs w:val="22"/>
          <w:shd w:val="clear" w:color="auto" w:fill="FFFFFF"/>
        </w:rPr>
        <w:t xml:space="preserve">In a </w:t>
      </w:r>
      <w:r w:rsidRPr="004B0BC2">
        <w:rPr>
          <w:rFonts w:cstheme="minorHAnsi"/>
          <w:sz w:val="22"/>
          <w:szCs w:val="22"/>
          <w:shd w:val="clear" w:color="auto" w:fill="FFFFFF"/>
        </w:rPr>
        <w:t>compar</w:t>
      </w:r>
      <w:r w:rsidR="00F03344">
        <w:rPr>
          <w:rFonts w:cstheme="minorHAnsi"/>
          <w:sz w:val="22"/>
          <w:szCs w:val="22"/>
          <w:shd w:val="clear" w:color="auto" w:fill="FFFFFF"/>
        </w:rPr>
        <w:t>ison of</w:t>
      </w:r>
      <w:r w:rsidRPr="004B0BC2">
        <w:rPr>
          <w:rFonts w:cstheme="minorHAnsi"/>
          <w:sz w:val="22"/>
          <w:szCs w:val="22"/>
          <w:shd w:val="clear" w:color="auto" w:fill="FFFFFF"/>
        </w:rPr>
        <w:t xml:space="preserve"> responses of heterozygous (+/-) mice, </w:t>
      </w:r>
      <w:r w:rsidRPr="00500FBD">
        <w:rPr>
          <w:rFonts w:cstheme="minorHAnsi"/>
          <w:i/>
          <w:sz w:val="22"/>
          <w:szCs w:val="22"/>
          <w:shd w:val="clear" w:color="auto" w:fill="FFFFFF"/>
        </w:rPr>
        <w:t>gp91phosx</w:t>
      </w:r>
      <w:r w:rsidR="00F03344">
        <w:rPr>
          <w:rFonts w:cstheme="minorHAnsi"/>
          <w:sz w:val="22"/>
          <w:szCs w:val="22"/>
          <w:shd w:val="clear" w:color="auto" w:fill="FFFFFF"/>
        </w:rPr>
        <w:t>-</w:t>
      </w:r>
      <w:r w:rsidRPr="004B0BC2">
        <w:rPr>
          <w:rFonts w:cstheme="minorHAnsi"/>
          <w:sz w:val="22"/>
          <w:szCs w:val="22"/>
          <w:shd w:val="clear" w:color="auto" w:fill="FFFFFF"/>
        </w:rPr>
        <w:t>deficient mice (-/-) and wild</w:t>
      </w:r>
      <w:r w:rsidR="00F03344">
        <w:rPr>
          <w:rFonts w:cstheme="minorHAnsi"/>
          <w:sz w:val="22"/>
          <w:szCs w:val="22"/>
          <w:shd w:val="clear" w:color="auto" w:fill="FFFFFF"/>
        </w:rPr>
        <w:t>-</w:t>
      </w:r>
      <w:r w:rsidRPr="004B0BC2">
        <w:rPr>
          <w:rFonts w:cstheme="minorHAnsi"/>
          <w:sz w:val="22"/>
          <w:szCs w:val="22"/>
          <w:shd w:val="clear" w:color="auto" w:fill="FFFFFF"/>
        </w:rPr>
        <w:t>type mice (+/+)</w:t>
      </w:r>
      <w:r w:rsidR="00F03344">
        <w:rPr>
          <w:rFonts w:cstheme="minorHAnsi"/>
          <w:sz w:val="22"/>
          <w:szCs w:val="22"/>
          <w:shd w:val="clear" w:color="auto" w:fill="FFFFFF"/>
        </w:rPr>
        <w:t xml:space="preserve"> (all female, t</w:t>
      </w:r>
      <w:r w:rsidR="00F03344" w:rsidRPr="004B0BC2">
        <w:rPr>
          <w:rFonts w:cstheme="minorHAnsi"/>
          <w:sz w:val="22"/>
          <w:szCs w:val="22"/>
          <w:shd w:val="clear" w:color="auto" w:fill="FFFFFF"/>
        </w:rPr>
        <w:t>o control for the confounding effects of sex hormones</w:t>
      </w:r>
      <w:r w:rsidR="00F03344">
        <w:rPr>
          <w:rFonts w:cstheme="minorHAnsi"/>
          <w:sz w:val="22"/>
          <w:szCs w:val="22"/>
          <w:shd w:val="clear" w:color="auto" w:fill="FFFFFF"/>
        </w:rPr>
        <w:t>) to</w:t>
      </w:r>
      <w:r w:rsidR="00F03344" w:rsidRPr="004B0BC2">
        <w:rPr>
          <w:rFonts w:cstheme="minorHAnsi"/>
          <w:sz w:val="22"/>
          <w:szCs w:val="22"/>
          <w:shd w:val="clear" w:color="auto" w:fill="FFFFFF"/>
        </w:rPr>
        <w:t xml:space="preserve"> </w:t>
      </w:r>
      <w:r w:rsidR="00AB7E1C" w:rsidRPr="004B0BC2">
        <w:rPr>
          <w:rFonts w:cstheme="minorHAnsi"/>
          <w:sz w:val="22"/>
          <w:szCs w:val="22"/>
          <w:shd w:val="clear" w:color="auto" w:fill="FFFFFF"/>
        </w:rPr>
        <w:t>polymicrobial sepsis initiated by c</w:t>
      </w:r>
      <w:r w:rsidR="00283611" w:rsidRPr="004B0BC2">
        <w:rPr>
          <w:rFonts w:cstheme="minorHAnsi"/>
          <w:sz w:val="22"/>
          <w:szCs w:val="22"/>
          <w:shd w:val="clear" w:color="auto" w:fill="FFFFFF"/>
        </w:rPr>
        <w:t>a</w:t>
      </w:r>
      <w:r w:rsidR="00AB7E1C" w:rsidRPr="004B0BC2">
        <w:rPr>
          <w:rFonts w:cstheme="minorHAnsi"/>
          <w:sz w:val="22"/>
          <w:szCs w:val="22"/>
          <w:shd w:val="clear" w:color="auto" w:fill="FFFFFF"/>
        </w:rPr>
        <w:t>ecal ligation and puncture</w:t>
      </w:r>
      <w:r w:rsidR="00F03344">
        <w:rPr>
          <w:rFonts w:cstheme="minorHAnsi"/>
          <w:sz w:val="22"/>
          <w:szCs w:val="22"/>
          <w:shd w:val="clear" w:color="auto" w:fill="FFFFFF"/>
        </w:rPr>
        <w:t>, w</w:t>
      </w:r>
      <w:r w:rsidR="00AB7E1C" w:rsidRPr="004B0BC2">
        <w:rPr>
          <w:rFonts w:cstheme="minorHAnsi"/>
          <w:sz w:val="22"/>
          <w:szCs w:val="22"/>
        </w:rPr>
        <w:t>ild</w:t>
      </w:r>
      <w:r w:rsidR="00F03344">
        <w:rPr>
          <w:rFonts w:cstheme="minorHAnsi"/>
          <w:sz w:val="22"/>
          <w:szCs w:val="22"/>
        </w:rPr>
        <w:t>-</w:t>
      </w:r>
      <w:r w:rsidR="00AB7E1C" w:rsidRPr="004B0BC2">
        <w:rPr>
          <w:rFonts w:cstheme="minorHAnsi"/>
          <w:sz w:val="22"/>
          <w:szCs w:val="22"/>
        </w:rPr>
        <w:t xml:space="preserve">type animals </w:t>
      </w:r>
      <w:r w:rsidR="00F03344">
        <w:rPr>
          <w:rFonts w:cstheme="minorHAnsi"/>
          <w:sz w:val="22"/>
          <w:szCs w:val="22"/>
        </w:rPr>
        <w:t>ha</w:t>
      </w:r>
      <w:r w:rsidR="00F03344" w:rsidRPr="004B0BC2">
        <w:rPr>
          <w:rFonts w:cstheme="minorHAnsi"/>
          <w:sz w:val="22"/>
          <w:szCs w:val="22"/>
        </w:rPr>
        <w:t xml:space="preserve">d </w:t>
      </w:r>
      <w:r w:rsidR="00AB7E1C" w:rsidRPr="004B0BC2">
        <w:rPr>
          <w:rFonts w:cstheme="minorHAnsi"/>
          <w:sz w:val="22"/>
          <w:szCs w:val="22"/>
        </w:rPr>
        <w:t>the highest mortality</w:t>
      </w:r>
      <w:r w:rsidR="00A35BDF" w:rsidRPr="004B0BC2">
        <w:rPr>
          <w:rFonts w:cstheme="minorHAnsi"/>
          <w:sz w:val="22"/>
          <w:szCs w:val="22"/>
        </w:rPr>
        <w:t xml:space="preserve"> </w:t>
      </w:r>
      <w:r w:rsidR="00F03344">
        <w:rPr>
          <w:rFonts w:cstheme="minorHAnsi"/>
          <w:sz w:val="22"/>
          <w:szCs w:val="22"/>
        </w:rPr>
        <w:t>(</w:t>
      </w:r>
      <w:r w:rsidR="00AB7E1C" w:rsidRPr="004B0BC2">
        <w:rPr>
          <w:rFonts w:cstheme="minorHAnsi"/>
          <w:sz w:val="22"/>
          <w:szCs w:val="22"/>
        </w:rPr>
        <w:t>10% overall survival</w:t>
      </w:r>
      <w:r w:rsidR="00F03344">
        <w:rPr>
          <w:rFonts w:cstheme="minorHAnsi"/>
          <w:sz w:val="22"/>
          <w:szCs w:val="22"/>
        </w:rPr>
        <w:t>),</w:t>
      </w:r>
      <w:r w:rsidR="00671BDE">
        <w:rPr>
          <w:rFonts w:cstheme="minorHAnsi"/>
          <w:sz w:val="22"/>
          <w:szCs w:val="22"/>
        </w:rPr>
        <w:t xml:space="preserve"> </w:t>
      </w:r>
      <w:r w:rsidR="00EC7236" w:rsidRPr="004B0BC2">
        <w:rPr>
          <w:rFonts w:cstheme="minorHAnsi"/>
          <w:sz w:val="22"/>
          <w:szCs w:val="22"/>
        </w:rPr>
        <w:t>significantly</w:t>
      </w:r>
      <w:r w:rsidR="00A35BDF" w:rsidRPr="004B0BC2">
        <w:rPr>
          <w:rFonts w:cstheme="minorHAnsi"/>
          <w:sz w:val="22"/>
          <w:szCs w:val="22"/>
        </w:rPr>
        <w:t xml:space="preserve"> lower than both m</w:t>
      </w:r>
      <w:r w:rsidR="00AB7E1C" w:rsidRPr="004B0BC2">
        <w:rPr>
          <w:rFonts w:cstheme="minorHAnsi"/>
          <w:sz w:val="22"/>
          <w:szCs w:val="22"/>
        </w:rPr>
        <w:t>osaic</w:t>
      </w:r>
      <w:r w:rsidR="00A35BDF" w:rsidRPr="004B0BC2">
        <w:rPr>
          <w:rFonts w:cstheme="minorHAnsi"/>
          <w:sz w:val="22"/>
          <w:szCs w:val="22"/>
        </w:rPr>
        <w:t xml:space="preserve"> (50% overall survival)</w:t>
      </w:r>
      <w:r w:rsidR="00AB7E1C" w:rsidRPr="004B0BC2">
        <w:rPr>
          <w:rFonts w:cstheme="minorHAnsi"/>
          <w:sz w:val="22"/>
          <w:szCs w:val="22"/>
        </w:rPr>
        <w:t xml:space="preserve"> and </w:t>
      </w:r>
      <w:r w:rsidR="00003DFC" w:rsidRPr="00500FBD">
        <w:rPr>
          <w:rFonts w:cstheme="minorHAnsi"/>
          <w:i/>
          <w:sz w:val="22"/>
          <w:szCs w:val="22"/>
          <w:shd w:val="clear" w:color="auto" w:fill="FFFFFF"/>
        </w:rPr>
        <w:t>gp91phosx</w:t>
      </w:r>
      <w:r w:rsidR="00F03344">
        <w:rPr>
          <w:rFonts w:cstheme="minorHAnsi"/>
          <w:sz w:val="22"/>
          <w:szCs w:val="22"/>
          <w:shd w:val="clear" w:color="auto" w:fill="FFFFFF"/>
        </w:rPr>
        <w:t>-</w:t>
      </w:r>
      <w:r w:rsidR="00003DFC" w:rsidRPr="004B0BC2">
        <w:rPr>
          <w:rFonts w:cstheme="minorHAnsi"/>
          <w:sz w:val="22"/>
          <w:szCs w:val="22"/>
          <w:shd w:val="clear" w:color="auto" w:fill="FFFFFF"/>
        </w:rPr>
        <w:t xml:space="preserve">deficient </w:t>
      </w:r>
      <w:r w:rsidR="00003DFC" w:rsidRPr="004B0BC2">
        <w:rPr>
          <w:rFonts w:cstheme="minorHAnsi"/>
          <w:sz w:val="22"/>
          <w:szCs w:val="22"/>
        </w:rPr>
        <w:t>mice</w:t>
      </w:r>
      <w:r w:rsidR="007F24DD" w:rsidRPr="004B0BC2">
        <w:rPr>
          <w:rFonts w:cstheme="minorHAnsi"/>
          <w:sz w:val="22"/>
          <w:szCs w:val="22"/>
        </w:rPr>
        <w:t xml:space="preserve"> </w:t>
      </w:r>
      <w:r w:rsidR="00A35BDF" w:rsidRPr="004B0BC2">
        <w:rPr>
          <w:rFonts w:cstheme="minorHAnsi"/>
          <w:sz w:val="22"/>
          <w:szCs w:val="22"/>
        </w:rPr>
        <w:t>(40% overall survival)</w:t>
      </w:r>
      <w:r w:rsidR="00C2113A" w:rsidRPr="004B0BC2">
        <w:rPr>
          <w:rFonts w:cstheme="minorHAnsi"/>
          <w:sz w:val="22"/>
          <w:szCs w:val="22"/>
        </w:rPr>
        <w:t xml:space="preserve"> </w:t>
      </w:r>
      <w:r w:rsidR="00AB7E1C" w:rsidRPr="004B0BC2">
        <w:rPr>
          <w:rFonts w:cstheme="minorHAnsi"/>
          <w:sz w:val="22"/>
          <w:szCs w:val="22"/>
        </w:rPr>
        <w:t>(</w:t>
      </w:r>
      <w:r w:rsidR="00AB7E1C" w:rsidRPr="004B0BC2">
        <w:rPr>
          <w:rFonts w:cstheme="minorHAnsi"/>
          <w:sz w:val="22"/>
          <w:szCs w:val="22"/>
          <w:shd w:val="clear" w:color="auto" w:fill="FFFFFF"/>
        </w:rPr>
        <w:t>p&lt;0.05)</w:t>
      </w:r>
      <w:r w:rsidR="00F03344" w:rsidRPr="00F03344">
        <w:rPr>
          <w:rFonts w:cstheme="minorHAnsi"/>
          <w:sz w:val="22"/>
          <w:szCs w:val="22"/>
          <w:shd w:val="clear" w:color="auto" w:fill="FFFFFF"/>
        </w:rPr>
        <w:t xml:space="preserve"> </w:t>
      </w:r>
      <w:r w:rsidR="00F03344" w:rsidRPr="004B0BC2">
        <w:rPr>
          <w:rFonts w:cstheme="minorHAnsi"/>
          <w:sz w:val="22"/>
          <w:szCs w:val="22"/>
          <w:shd w:val="clear" w:color="auto" w:fill="FFFFFF"/>
        </w:rPr>
        <w:fldChar w:fldCharType="begin" w:fldLock="1"/>
      </w:r>
      <w:r w:rsidR="00693DD5">
        <w:rPr>
          <w:rFonts w:cstheme="minorHAnsi"/>
          <w:sz w:val="22"/>
          <w:szCs w:val="22"/>
          <w:shd w:val="clear" w:color="auto" w:fill="FFFFFF"/>
        </w:rPr>
        <w:instrText>ADDIN CSL_CITATION {"citationItems":[{"id":"ITEM-1","itemData":{"DOI":"10.4049/jimmunol.1100205","ISSN":"0022-1767","PMID":"21502376","abstract":"Cellular X-chromosome mosaicism, which is unique to females, may be advantageous during pathophysiological challenges compared with the single X-chromosome machinery of males, and it may contribute to gender dimorphism in the inflammatory response. We tested the hypothesis of whether cellular mosaicism for the X-linked gp91phox (NOX2) deficiency, the catalytic component of the superoxide anion-generating NADPH oxidase complex, is advantageous during polymicrobial sepsis. Deficient, wild-type (WT), and heterozygous/mosaic mice were compared following polymicrobial sepsis initiated by cecal ligation and puncture. Compared with WT littermates, sepsis-induced mortality was improved in deficient mice, as well as in mosaic animals carrying both deficient and WT phagocyte subpopulations. In contrast, blood bacterial counts were greatest in deficient mice. Consistent with poor survival, WT mice also showed the most severe organ damage following sepsis. In mosaic animals, the deficient neutrophil subpopulations displayed increased organ recruitment and elevated CD11b membrane expression compared with WT neutrophil subpopulations within the same animal. The dynamics of sepsis-induced blood and organ cytokine content and WBC composition changes, including lymphocyte subsets in blood and bone marrow, showed differences among WT, deficient, and mosaic subjects, indicating that mosaic mice are not simply the average of the deficient and WT responses. Upon oxidative burst, interchange of oxidants between WT and deficient neutrophil subpopulations occurred in mosaic mice. This study suggests that mice mosaic for gp91phox expression have multiple advantages compared with WT and deficient mice during the septic course.","author":[{"dropping-particle":"","family":"Chandra","given":"Rachna","non-dropping-particle":"","parse-names":false,"suffix":""},{"dropping-particle":"","family":"Federici","given":"Stephanie","non-dropping-particle":"","parse-names":false,"suffix":""},{"dropping-particle":"","family":"Németh","given":"Zoltán H.","non-dropping-particle":"","parse-names":false,"suffix":""},{"dropping-particle":"","family":"Horváth","given":"Béla","non-dropping-particle":"","parse-names":false,"suffix":""},{"dropping-particle":"","family":"Pacher","given":"Pál","non-dropping-particle":"","parse-names":false,"suffix":""},{"dropping-particle":"","family":"Haskó","given":"György","non-dropping-particle":"","parse-names":false,"suffix":""},{"dropping-particle":"","family":"Deitch","given":"Edwin A.","non-dropping-particle":"","parse-names":false,"suffix":""},{"dropping-particle":"","family":"Spolarics","given":"Zoltán","non-dropping-particle":"","parse-names":false,"suffix":""}],"container-title":"The Journal of Immunology","id":"ITEM-1","issue":"11","issued":{"date-parts":[["2011"]]},"page":"6465–6473","title":"Female X-Chromosome Mosaicism for NOX2 Deficiency Presents Unique Inflammatory Phenotype and Improves Outcome in Polymicrobial Sepsis","type":"article-journal","volume":"186"},"uris":["http://www.mendeley.com/documents/?uuid=9373c29f-9fde-42b2-a70e-dae0a8fca5ec"]}],"mendeley":{"formattedCitation":"(118)","plainTextFormattedCitation":"(118)","previouslyFormattedCitation":"(118)"},"properties":{"noteIndex":0},"schema":"https://github.com/citation-style-language/schema/raw/master/csl-citation.json"}</w:instrText>
      </w:r>
      <w:r w:rsidR="00F03344" w:rsidRPr="004B0BC2">
        <w:rPr>
          <w:rFonts w:cstheme="minorHAnsi"/>
          <w:sz w:val="22"/>
          <w:szCs w:val="22"/>
          <w:shd w:val="clear" w:color="auto" w:fill="FFFFFF"/>
        </w:rPr>
        <w:fldChar w:fldCharType="separate"/>
      </w:r>
      <w:r w:rsidR="00693DD5" w:rsidRPr="00693DD5">
        <w:rPr>
          <w:rFonts w:cstheme="minorHAnsi"/>
          <w:noProof/>
          <w:sz w:val="22"/>
          <w:szCs w:val="22"/>
          <w:shd w:val="clear" w:color="auto" w:fill="FFFFFF"/>
        </w:rPr>
        <w:t>(118)</w:t>
      </w:r>
      <w:r w:rsidR="00F03344" w:rsidRPr="004B0BC2">
        <w:rPr>
          <w:rFonts w:cstheme="minorHAnsi"/>
          <w:sz w:val="22"/>
          <w:szCs w:val="22"/>
          <w:shd w:val="clear" w:color="auto" w:fill="FFFFFF"/>
        </w:rPr>
        <w:fldChar w:fldCharType="end"/>
      </w:r>
      <w:r w:rsidR="00AB7E1C" w:rsidRPr="004B0BC2">
        <w:rPr>
          <w:rFonts w:cstheme="minorHAnsi"/>
          <w:sz w:val="22"/>
          <w:szCs w:val="22"/>
        </w:rPr>
        <w:t>.</w:t>
      </w:r>
      <w:r w:rsidR="0003792D" w:rsidRPr="004B0BC2">
        <w:rPr>
          <w:rFonts w:cstheme="minorHAnsi"/>
          <w:sz w:val="22"/>
          <w:szCs w:val="22"/>
        </w:rPr>
        <w:t xml:space="preserve"> </w:t>
      </w:r>
      <w:r w:rsidR="00AB7E1C" w:rsidRPr="004B0BC2">
        <w:rPr>
          <w:rFonts w:cstheme="minorHAnsi"/>
          <w:sz w:val="22"/>
          <w:szCs w:val="22"/>
        </w:rPr>
        <w:t>The longest median survival time (100</w:t>
      </w:r>
      <w:r w:rsidR="00A35BDF" w:rsidRPr="004B0BC2">
        <w:rPr>
          <w:rFonts w:cstheme="minorHAnsi"/>
          <w:sz w:val="22"/>
          <w:szCs w:val="22"/>
        </w:rPr>
        <w:t xml:space="preserve"> hours</w:t>
      </w:r>
      <w:r w:rsidR="00AB7E1C" w:rsidRPr="004B0BC2">
        <w:rPr>
          <w:rFonts w:cstheme="minorHAnsi"/>
          <w:sz w:val="22"/>
          <w:szCs w:val="22"/>
        </w:rPr>
        <w:t xml:space="preserve">) was observed in </w:t>
      </w:r>
      <w:r w:rsidR="00003DFC" w:rsidRPr="004B0BC2">
        <w:rPr>
          <w:rFonts w:cstheme="minorHAnsi"/>
          <w:sz w:val="22"/>
          <w:szCs w:val="22"/>
        </w:rPr>
        <w:t>heterozygous</w:t>
      </w:r>
      <w:r w:rsidR="00AB7E1C" w:rsidRPr="004B0BC2">
        <w:rPr>
          <w:rFonts w:cstheme="minorHAnsi"/>
          <w:sz w:val="22"/>
          <w:szCs w:val="22"/>
        </w:rPr>
        <w:t xml:space="preserve"> </w:t>
      </w:r>
      <w:r w:rsidR="00F03344">
        <w:rPr>
          <w:rFonts w:cstheme="minorHAnsi"/>
          <w:sz w:val="22"/>
          <w:szCs w:val="22"/>
        </w:rPr>
        <w:t>mice, whereas</w:t>
      </w:r>
      <w:r w:rsidR="00A35BDF" w:rsidRPr="004B0BC2">
        <w:rPr>
          <w:rFonts w:cstheme="minorHAnsi"/>
          <w:sz w:val="22"/>
          <w:szCs w:val="22"/>
        </w:rPr>
        <w:t xml:space="preserve"> </w:t>
      </w:r>
      <w:r w:rsidR="00003DFC" w:rsidRPr="00500FBD">
        <w:rPr>
          <w:rFonts w:cstheme="minorHAnsi"/>
          <w:i/>
          <w:sz w:val="22"/>
          <w:szCs w:val="22"/>
          <w:shd w:val="clear" w:color="auto" w:fill="FFFFFF"/>
        </w:rPr>
        <w:t>gp91phosx</w:t>
      </w:r>
      <w:r w:rsidR="00F03344">
        <w:rPr>
          <w:rFonts w:cstheme="minorHAnsi"/>
          <w:sz w:val="22"/>
          <w:szCs w:val="22"/>
          <w:shd w:val="clear" w:color="auto" w:fill="FFFFFF"/>
        </w:rPr>
        <w:t>-</w:t>
      </w:r>
      <w:r w:rsidR="00003DFC" w:rsidRPr="004B0BC2">
        <w:rPr>
          <w:rFonts w:cstheme="minorHAnsi"/>
          <w:sz w:val="22"/>
          <w:szCs w:val="22"/>
          <w:shd w:val="clear" w:color="auto" w:fill="FFFFFF"/>
        </w:rPr>
        <w:t xml:space="preserve">deficient </w:t>
      </w:r>
      <w:r w:rsidR="00EC7236" w:rsidRPr="004B0BC2">
        <w:rPr>
          <w:rFonts w:cstheme="minorHAnsi"/>
          <w:sz w:val="22"/>
          <w:szCs w:val="22"/>
        </w:rPr>
        <w:t>and wild</w:t>
      </w:r>
      <w:r w:rsidR="00F03344">
        <w:rPr>
          <w:rFonts w:cstheme="minorHAnsi"/>
          <w:sz w:val="22"/>
          <w:szCs w:val="22"/>
        </w:rPr>
        <w:t>-</w:t>
      </w:r>
      <w:r w:rsidR="00EC7236" w:rsidRPr="004B0BC2">
        <w:rPr>
          <w:rFonts w:cstheme="minorHAnsi"/>
          <w:sz w:val="22"/>
          <w:szCs w:val="22"/>
        </w:rPr>
        <w:t>type</w:t>
      </w:r>
      <w:r w:rsidR="00A35BDF" w:rsidRPr="004B0BC2">
        <w:rPr>
          <w:rFonts w:cstheme="minorHAnsi"/>
          <w:sz w:val="22"/>
          <w:szCs w:val="22"/>
        </w:rPr>
        <w:t xml:space="preserve"> mice had a media</w:t>
      </w:r>
      <w:r w:rsidR="00EC7236" w:rsidRPr="004B0BC2">
        <w:rPr>
          <w:rFonts w:cstheme="minorHAnsi"/>
          <w:sz w:val="22"/>
          <w:szCs w:val="22"/>
        </w:rPr>
        <w:t>n survival time of</w:t>
      </w:r>
      <w:r w:rsidR="00A35BDF" w:rsidRPr="004B0BC2">
        <w:rPr>
          <w:rFonts w:cstheme="minorHAnsi"/>
          <w:sz w:val="22"/>
          <w:szCs w:val="22"/>
        </w:rPr>
        <w:t xml:space="preserve"> 65 hours</w:t>
      </w:r>
      <w:r w:rsidR="00EC7236" w:rsidRPr="004B0BC2">
        <w:rPr>
          <w:rFonts w:cstheme="minorHAnsi"/>
          <w:sz w:val="22"/>
          <w:szCs w:val="22"/>
        </w:rPr>
        <w:t xml:space="preserve"> and 40 hours</w:t>
      </w:r>
      <w:r w:rsidR="00F03344">
        <w:rPr>
          <w:rFonts w:cstheme="minorHAnsi"/>
          <w:sz w:val="22"/>
          <w:szCs w:val="22"/>
        </w:rPr>
        <w:t>,</w:t>
      </w:r>
      <w:r w:rsidR="00EC7236" w:rsidRPr="004B0BC2">
        <w:rPr>
          <w:rFonts w:cstheme="minorHAnsi"/>
          <w:sz w:val="22"/>
          <w:szCs w:val="22"/>
        </w:rPr>
        <w:t xml:space="preserve"> respectively. The </w:t>
      </w:r>
      <w:r w:rsidR="00003DFC" w:rsidRPr="00500FBD">
        <w:rPr>
          <w:rFonts w:cstheme="minorHAnsi"/>
          <w:i/>
          <w:sz w:val="22"/>
          <w:szCs w:val="22"/>
          <w:shd w:val="clear" w:color="auto" w:fill="FFFFFF"/>
        </w:rPr>
        <w:t>gp91phosx</w:t>
      </w:r>
      <w:r w:rsidR="005E0181">
        <w:rPr>
          <w:rFonts w:cstheme="minorHAnsi"/>
          <w:sz w:val="22"/>
          <w:szCs w:val="22"/>
          <w:shd w:val="clear" w:color="auto" w:fill="FFFFFF"/>
        </w:rPr>
        <w:t>-</w:t>
      </w:r>
      <w:r w:rsidR="00003DFC" w:rsidRPr="004B0BC2">
        <w:rPr>
          <w:rFonts w:cstheme="minorHAnsi"/>
          <w:sz w:val="22"/>
          <w:szCs w:val="22"/>
          <w:shd w:val="clear" w:color="auto" w:fill="FFFFFF"/>
        </w:rPr>
        <w:t xml:space="preserve">deficient </w:t>
      </w:r>
      <w:r w:rsidR="00003DFC" w:rsidRPr="004B0BC2">
        <w:rPr>
          <w:rFonts w:cstheme="minorHAnsi"/>
          <w:sz w:val="22"/>
          <w:szCs w:val="22"/>
        </w:rPr>
        <w:t xml:space="preserve">mice </w:t>
      </w:r>
      <w:r w:rsidR="00EC7236" w:rsidRPr="004B0BC2">
        <w:rPr>
          <w:rFonts w:cstheme="minorHAnsi"/>
          <w:sz w:val="22"/>
          <w:szCs w:val="22"/>
        </w:rPr>
        <w:t>cohort had a significantly higher</w:t>
      </w:r>
      <w:r w:rsidR="00003DFC" w:rsidRPr="004B0BC2">
        <w:rPr>
          <w:rFonts w:cstheme="minorHAnsi"/>
          <w:sz w:val="22"/>
          <w:szCs w:val="22"/>
        </w:rPr>
        <w:t xml:space="preserve"> concentration of </w:t>
      </w:r>
      <w:r w:rsidR="00EC7236" w:rsidRPr="004B0BC2">
        <w:rPr>
          <w:rFonts w:cstheme="minorHAnsi"/>
          <w:sz w:val="22"/>
          <w:szCs w:val="22"/>
        </w:rPr>
        <w:t xml:space="preserve">circulating blood neutrophil numbers </w:t>
      </w:r>
      <w:r w:rsidR="005E0181">
        <w:rPr>
          <w:rFonts w:cstheme="minorHAnsi"/>
          <w:sz w:val="22"/>
          <w:szCs w:val="22"/>
        </w:rPr>
        <w:t>than</w:t>
      </w:r>
      <w:r w:rsidR="00EC7236" w:rsidRPr="004B0BC2">
        <w:rPr>
          <w:rFonts w:cstheme="minorHAnsi"/>
          <w:sz w:val="22"/>
          <w:szCs w:val="22"/>
        </w:rPr>
        <w:t xml:space="preserve"> the wild</w:t>
      </w:r>
      <w:r w:rsidR="005E0181">
        <w:rPr>
          <w:rFonts w:cstheme="minorHAnsi"/>
          <w:sz w:val="22"/>
          <w:szCs w:val="22"/>
        </w:rPr>
        <w:t>-</w:t>
      </w:r>
      <w:r w:rsidR="00EC7236" w:rsidRPr="004B0BC2">
        <w:rPr>
          <w:rFonts w:cstheme="minorHAnsi"/>
          <w:sz w:val="22"/>
          <w:szCs w:val="22"/>
        </w:rPr>
        <w:t xml:space="preserve">type and </w:t>
      </w:r>
      <w:r w:rsidR="00003DFC" w:rsidRPr="004B0BC2">
        <w:rPr>
          <w:rFonts w:cstheme="minorHAnsi"/>
          <w:sz w:val="22"/>
          <w:szCs w:val="22"/>
        </w:rPr>
        <w:t>heterozygous</w:t>
      </w:r>
      <w:r w:rsidR="00EC7236" w:rsidRPr="004B0BC2">
        <w:rPr>
          <w:rFonts w:cstheme="minorHAnsi"/>
          <w:sz w:val="22"/>
          <w:szCs w:val="22"/>
        </w:rPr>
        <w:t xml:space="preserve"> </w:t>
      </w:r>
      <w:r w:rsidR="00665567" w:rsidRPr="004B0BC2">
        <w:rPr>
          <w:rFonts w:cstheme="minorHAnsi"/>
          <w:sz w:val="22"/>
          <w:szCs w:val="22"/>
        </w:rPr>
        <w:t>groups</w:t>
      </w:r>
      <w:r w:rsidR="00EC7236" w:rsidRPr="004B0BC2">
        <w:rPr>
          <w:rFonts w:cstheme="minorHAnsi"/>
          <w:sz w:val="22"/>
          <w:szCs w:val="22"/>
        </w:rPr>
        <w:t xml:space="preserve"> (</w:t>
      </w:r>
      <w:r w:rsidR="008F59EA" w:rsidRPr="004B0BC2">
        <w:rPr>
          <w:rFonts w:cstheme="minorHAnsi"/>
          <w:sz w:val="22"/>
          <w:szCs w:val="22"/>
        </w:rPr>
        <w:t>p</w:t>
      </w:r>
      <w:r w:rsidR="00EC7236" w:rsidRPr="004B0BC2">
        <w:rPr>
          <w:rFonts w:cstheme="minorHAnsi"/>
          <w:sz w:val="22"/>
          <w:szCs w:val="22"/>
        </w:rPr>
        <w:t>&lt;0.05)</w:t>
      </w:r>
      <w:r w:rsidR="005E0181">
        <w:rPr>
          <w:rFonts w:cstheme="minorHAnsi"/>
          <w:sz w:val="22"/>
          <w:szCs w:val="22"/>
        </w:rPr>
        <w:t xml:space="preserve"> and c</w:t>
      </w:r>
      <w:r w:rsidR="00665567" w:rsidRPr="004B0BC2">
        <w:rPr>
          <w:rFonts w:cstheme="minorHAnsi"/>
          <w:sz w:val="22"/>
          <w:szCs w:val="22"/>
        </w:rPr>
        <w:t>aecal ligation and puncture</w:t>
      </w:r>
      <w:r w:rsidR="00EC7236" w:rsidRPr="004B0BC2">
        <w:rPr>
          <w:rFonts w:cstheme="minorHAnsi"/>
          <w:sz w:val="22"/>
          <w:szCs w:val="22"/>
        </w:rPr>
        <w:t xml:space="preserve"> result</w:t>
      </w:r>
      <w:r w:rsidR="00665567" w:rsidRPr="004B0BC2">
        <w:rPr>
          <w:rFonts w:cstheme="minorHAnsi"/>
          <w:sz w:val="22"/>
          <w:szCs w:val="22"/>
        </w:rPr>
        <w:t>ed</w:t>
      </w:r>
      <w:r w:rsidR="00EC7236" w:rsidRPr="004B0BC2">
        <w:rPr>
          <w:rFonts w:cstheme="minorHAnsi"/>
          <w:sz w:val="22"/>
          <w:szCs w:val="22"/>
        </w:rPr>
        <w:t xml:space="preserve"> in</w:t>
      </w:r>
      <w:r w:rsidR="00665567" w:rsidRPr="004B0BC2">
        <w:rPr>
          <w:rFonts w:cstheme="minorHAnsi"/>
          <w:sz w:val="22"/>
          <w:szCs w:val="22"/>
        </w:rPr>
        <w:t xml:space="preserve"> a significant </w:t>
      </w:r>
      <w:r w:rsidR="00EC7236" w:rsidRPr="004B0BC2">
        <w:rPr>
          <w:rFonts w:cstheme="minorHAnsi"/>
          <w:sz w:val="22"/>
          <w:szCs w:val="22"/>
        </w:rPr>
        <w:t xml:space="preserve">decrease in circulating CD4 </w:t>
      </w:r>
      <w:r w:rsidR="008F59EA" w:rsidRPr="004B0BC2">
        <w:rPr>
          <w:rFonts w:cstheme="minorHAnsi"/>
          <w:sz w:val="22"/>
          <w:szCs w:val="22"/>
        </w:rPr>
        <w:t xml:space="preserve">and </w:t>
      </w:r>
      <w:r w:rsidR="00EC7236" w:rsidRPr="004B0BC2">
        <w:rPr>
          <w:rFonts w:cstheme="minorHAnsi"/>
          <w:sz w:val="22"/>
          <w:szCs w:val="22"/>
        </w:rPr>
        <w:t>CD8 T-cells</w:t>
      </w:r>
      <w:r w:rsidR="00665567" w:rsidRPr="004B0BC2">
        <w:rPr>
          <w:rFonts w:cstheme="minorHAnsi"/>
          <w:sz w:val="22"/>
          <w:szCs w:val="22"/>
        </w:rPr>
        <w:t xml:space="preserve"> in </w:t>
      </w:r>
      <w:r w:rsidR="005E0181" w:rsidRPr="004B0BC2">
        <w:rPr>
          <w:rFonts w:cstheme="minorHAnsi"/>
          <w:sz w:val="22"/>
          <w:szCs w:val="22"/>
        </w:rPr>
        <w:t>wild</w:t>
      </w:r>
      <w:r w:rsidR="005E0181">
        <w:rPr>
          <w:rFonts w:cstheme="minorHAnsi"/>
          <w:sz w:val="22"/>
          <w:szCs w:val="22"/>
        </w:rPr>
        <w:t>-</w:t>
      </w:r>
      <w:r w:rsidR="00665567" w:rsidRPr="004B0BC2">
        <w:rPr>
          <w:rFonts w:cstheme="minorHAnsi"/>
          <w:sz w:val="22"/>
          <w:szCs w:val="22"/>
        </w:rPr>
        <w:t xml:space="preserve">type and </w:t>
      </w:r>
      <w:r w:rsidR="00003DFC" w:rsidRPr="00500FBD">
        <w:rPr>
          <w:rFonts w:cstheme="minorHAnsi"/>
          <w:i/>
          <w:sz w:val="22"/>
          <w:szCs w:val="22"/>
          <w:shd w:val="clear" w:color="auto" w:fill="FFFFFF"/>
        </w:rPr>
        <w:t>gp91phosx</w:t>
      </w:r>
      <w:r w:rsidR="005E0181">
        <w:rPr>
          <w:rFonts w:cstheme="minorHAnsi"/>
          <w:sz w:val="22"/>
          <w:szCs w:val="22"/>
          <w:shd w:val="clear" w:color="auto" w:fill="FFFFFF"/>
        </w:rPr>
        <w:t>-</w:t>
      </w:r>
      <w:r w:rsidR="00003DFC" w:rsidRPr="004B0BC2">
        <w:rPr>
          <w:rFonts w:cstheme="minorHAnsi"/>
          <w:sz w:val="22"/>
          <w:szCs w:val="22"/>
          <w:shd w:val="clear" w:color="auto" w:fill="FFFFFF"/>
        </w:rPr>
        <w:t xml:space="preserve">deficient </w:t>
      </w:r>
      <w:r w:rsidR="00665567" w:rsidRPr="004B0BC2">
        <w:rPr>
          <w:rFonts w:cstheme="minorHAnsi"/>
          <w:sz w:val="22"/>
          <w:szCs w:val="22"/>
        </w:rPr>
        <w:t>mice</w:t>
      </w:r>
      <w:r w:rsidR="005E0181">
        <w:rPr>
          <w:rFonts w:cstheme="minorHAnsi"/>
          <w:sz w:val="22"/>
          <w:szCs w:val="22"/>
        </w:rPr>
        <w:t>,</w:t>
      </w:r>
      <w:r w:rsidR="00665567" w:rsidRPr="004B0BC2">
        <w:rPr>
          <w:rFonts w:cstheme="minorHAnsi"/>
          <w:sz w:val="22"/>
          <w:szCs w:val="22"/>
        </w:rPr>
        <w:t xml:space="preserve"> but not</w:t>
      </w:r>
      <w:r w:rsidR="00EC7236" w:rsidRPr="004B0BC2">
        <w:rPr>
          <w:rFonts w:cstheme="minorHAnsi"/>
          <w:sz w:val="22"/>
          <w:szCs w:val="22"/>
        </w:rPr>
        <w:t xml:space="preserve"> </w:t>
      </w:r>
      <w:r w:rsidR="00003DFC" w:rsidRPr="004B0BC2">
        <w:rPr>
          <w:rFonts w:cstheme="minorHAnsi"/>
          <w:sz w:val="22"/>
          <w:szCs w:val="22"/>
        </w:rPr>
        <w:t>in the heterozygous</w:t>
      </w:r>
      <w:r w:rsidR="00EC7236" w:rsidRPr="004B0BC2">
        <w:rPr>
          <w:rFonts w:cstheme="minorHAnsi"/>
          <w:sz w:val="22"/>
          <w:szCs w:val="22"/>
        </w:rPr>
        <w:t xml:space="preserve"> </w:t>
      </w:r>
      <w:r w:rsidR="00003DFC" w:rsidRPr="004B0BC2">
        <w:rPr>
          <w:rFonts w:cstheme="minorHAnsi"/>
          <w:sz w:val="22"/>
          <w:szCs w:val="22"/>
        </w:rPr>
        <w:t>mice</w:t>
      </w:r>
      <w:r w:rsidR="00665567" w:rsidRPr="004B0BC2">
        <w:rPr>
          <w:rFonts w:cstheme="minorHAnsi"/>
          <w:sz w:val="22"/>
          <w:szCs w:val="22"/>
        </w:rPr>
        <w:t xml:space="preserve"> </w:t>
      </w:r>
      <w:r w:rsidR="00EC7236" w:rsidRPr="004B0BC2">
        <w:rPr>
          <w:rFonts w:cstheme="minorHAnsi"/>
          <w:sz w:val="22"/>
          <w:szCs w:val="22"/>
        </w:rPr>
        <w:t>(</w:t>
      </w:r>
      <w:r w:rsidR="008F59EA" w:rsidRPr="004B0BC2">
        <w:rPr>
          <w:rFonts w:cstheme="minorHAnsi"/>
          <w:sz w:val="22"/>
          <w:szCs w:val="22"/>
        </w:rPr>
        <w:t>p</w:t>
      </w:r>
      <w:r w:rsidR="00EC7236" w:rsidRPr="004B0BC2">
        <w:rPr>
          <w:rFonts w:cstheme="minorHAnsi"/>
          <w:sz w:val="22"/>
          <w:szCs w:val="22"/>
        </w:rPr>
        <w:t>&lt;0.05)</w:t>
      </w:r>
      <w:r w:rsidR="00665567" w:rsidRPr="004B0BC2">
        <w:rPr>
          <w:rFonts w:cstheme="minorHAnsi"/>
          <w:sz w:val="22"/>
          <w:szCs w:val="22"/>
        </w:rPr>
        <w:t xml:space="preserve">. </w:t>
      </w:r>
      <w:r w:rsidR="00591068" w:rsidRPr="004B0BC2">
        <w:rPr>
          <w:rFonts w:cstheme="minorHAnsi"/>
          <w:sz w:val="22"/>
          <w:szCs w:val="22"/>
        </w:rPr>
        <w:t>Furthermore, sepsis</w:t>
      </w:r>
      <w:r w:rsidR="00665567" w:rsidRPr="004B0BC2">
        <w:rPr>
          <w:rFonts w:cstheme="minorHAnsi"/>
          <w:sz w:val="22"/>
          <w:szCs w:val="22"/>
        </w:rPr>
        <w:t xml:space="preserve"> caused a decrease in bone marrow</w:t>
      </w:r>
      <w:r w:rsidR="00003DFC" w:rsidRPr="004B0BC2">
        <w:rPr>
          <w:rFonts w:cstheme="minorHAnsi"/>
          <w:sz w:val="22"/>
          <w:szCs w:val="22"/>
        </w:rPr>
        <w:t xml:space="preserve"> </w:t>
      </w:r>
      <w:r w:rsidR="00EC7236" w:rsidRPr="004B0BC2">
        <w:rPr>
          <w:rFonts w:cstheme="minorHAnsi"/>
          <w:sz w:val="22"/>
          <w:szCs w:val="22"/>
        </w:rPr>
        <w:t>B cell</w:t>
      </w:r>
      <w:r w:rsidR="00665567" w:rsidRPr="004B0BC2">
        <w:rPr>
          <w:rFonts w:cstheme="minorHAnsi"/>
          <w:sz w:val="22"/>
          <w:szCs w:val="22"/>
        </w:rPr>
        <w:t xml:space="preserve">s </w:t>
      </w:r>
      <w:r w:rsidR="00EC7236" w:rsidRPr="004B0BC2">
        <w:rPr>
          <w:rFonts w:cstheme="minorHAnsi"/>
          <w:sz w:val="22"/>
          <w:szCs w:val="22"/>
        </w:rPr>
        <w:t xml:space="preserve">in </w:t>
      </w:r>
      <w:r w:rsidR="00003DFC" w:rsidRPr="00500FBD">
        <w:rPr>
          <w:rFonts w:cstheme="minorHAnsi"/>
          <w:i/>
          <w:sz w:val="22"/>
          <w:szCs w:val="22"/>
          <w:shd w:val="clear" w:color="auto" w:fill="FFFFFF"/>
        </w:rPr>
        <w:t>gp91phosx</w:t>
      </w:r>
      <w:r w:rsidR="005E0181">
        <w:rPr>
          <w:rFonts w:cstheme="minorHAnsi"/>
          <w:sz w:val="22"/>
          <w:szCs w:val="22"/>
          <w:shd w:val="clear" w:color="auto" w:fill="FFFFFF"/>
        </w:rPr>
        <w:t>-</w:t>
      </w:r>
      <w:r w:rsidR="00003DFC" w:rsidRPr="004B0BC2">
        <w:rPr>
          <w:rFonts w:cstheme="minorHAnsi"/>
          <w:sz w:val="22"/>
          <w:szCs w:val="22"/>
          <w:shd w:val="clear" w:color="auto" w:fill="FFFFFF"/>
        </w:rPr>
        <w:t xml:space="preserve">deficient </w:t>
      </w:r>
      <w:r w:rsidR="00665567" w:rsidRPr="004B0BC2">
        <w:rPr>
          <w:rFonts w:cstheme="minorHAnsi"/>
          <w:sz w:val="22"/>
          <w:szCs w:val="22"/>
        </w:rPr>
        <w:t>and wild</w:t>
      </w:r>
      <w:r w:rsidR="005E0181">
        <w:rPr>
          <w:rFonts w:cstheme="minorHAnsi"/>
          <w:sz w:val="22"/>
          <w:szCs w:val="22"/>
        </w:rPr>
        <w:t>-</w:t>
      </w:r>
      <w:r w:rsidR="00665567" w:rsidRPr="004B0BC2">
        <w:rPr>
          <w:rFonts w:cstheme="minorHAnsi"/>
          <w:sz w:val="22"/>
          <w:szCs w:val="22"/>
        </w:rPr>
        <w:t>type mice</w:t>
      </w:r>
      <w:r w:rsidR="00EC7236" w:rsidRPr="004B0BC2">
        <w:rPr>
          <w:rFonts w:cstheme="minorHAnsi"/>
          <w:sz w:val="22"/>
          <w:szCs w:val="22"/>
        </w:rPr>
        <w:t xml:space="preserve"> but </w:t>
      </w:r>
      <w:r w:rsidR="00665567" w:rsidRPr="004B0BC2">
        <w:rPr>
          <w:rFonts w:cstheme="minorHAnsi"/>
          <w:sz w:val="22"/>
          <w:szCs w:val="22"/>
        </w:rPr>
        <w:t>not</w:t>
      </w:r>
      <w:r w:rsidR="00EC7236" w:rsidRPr="004B0BC2">
        <w:rPr>
          <w:rFonts w:cstheme="minorHAnsi"/>
          <w:sz w:val="22"/>
          <w:szCs w:val="22"/>
        </w:rPr>
        <w:t xml:space="preserve"> </w:t>
      </w:r>
      <w:r w:rsidR="00003DFC" w:rsidRPr="004B0BC2">
        <w:rPr>
          <w:rFonts w:cstheme="minorHAnsi"/>
          <w:sz w:val="22"/>
          <w:szCs w:val="22"/>
        </w:rPr>
        <w:t>heterozygous</w:t>
      </w:r>
      <w:r w:rsidR="00EC7236" w:rsidRPr="004B0BC2">
        <w:rPr>
          <w:rFonts w:cstheme="minorHAnsi"/>
          <w:sz w:val="22"/>
          <w:szCs w:val="22"/>
        </w:rPr>
        <w:t xml:space="preserve"> </w:t>
      </w:r>
      <w:r w:rsidR="005E0181">
        <w:rPr>
          <w:rFonts w:cstheme="minorHAnsi"/>
          <w:sz w:val="22"/>
          <w:szCs w:val="22"/>
        </w:rPr>
        <w:t>mice</w:t>
      </w:r>
      <w:r w:rsidR="005E0181" w:rsidRPr="004B0BC2">
        <w:rPr>
          <w:rFonts w:cstheme="minorHAnsi"/>
          <w:sz w:val="22"/>
          <w:szCs w:val="22"/>
        </w:rPr>
        <w:t xml:space="preserve"> </w:t>
      </w:r>
      <w:r w:rsidR="00EC7236" w:rsidRPr="004B0BC2">
        <w:rPr>
          <w:rFonts w:cstheme="minorHAnsi"/>
          <w:sz w:val="22"/>
          <w:szCs w:val="22"/>
        </w:rPr>
        <w:t>(</w:t>
      </w:r>
      <w:r w:rsidR="008F59EA" w:rsidRPr="004B0BC2">
        <w:rPr>
          <w:rFonts w:cstheme="minorHAnsi"/>
          <w:sz w:val="22"/>
          <w:szCs w:val="22"/>
        </w:rPr>
        <w:t>p</w:t>
      </w:r>
      <w:r w:rsidR="00EC7236" w:rsidRPr="004B0BC2">
        <w:rPr>
          <w:rFonts w:cstheme="minorHAnsi"/>
          <w:sz w:val="22"/>
          <w:szCs w:val="22"/>
        </w:rPr>
        <w:t xml:space="preserve">&lt;0.05). </w:t>
      </w:r>
      <w:r w:rsidR="00591068" w:rsidRPr="004B0BC2">
        <w:rPr>
          <w:rFonts w:cstheme="minorHAnsi"/>
          <w:sz w:val="22"/>
          <w:szCs w:val="22"/>
        </w:rPr>
        <w:t>Following caecal ligation and puncture</w:t>
      </w:r>
      <w:r w:rsidR="005E0181">
        <w:rPr>
          <w:rFonts w:cstheme="minorHAnsi"/>
          <w:sz w:val="22"/>
          <w:szCs w:val="22"/>
        </w:rPr>
        <w:t>,</w:t>
      </w:r>
      <w:r w:rsidR="00591068" w:rsidRPr="004B0BC2">
        <w:rPr>
          <w:rFonts w:cstheme="minorHAnsi"/>
          <w:sz w:val="22"/>
          <w:szCs w:val="22"/>
        </w:rPr>
        <w:t xml:space="preserve"> </w:t>
      </w:r>
      <w:r w:rsidR="00834959" w:rsidRPr="004B0BC2">
        <w:rPr>
          <w:rFonts w:cstheme="minorHAnsi"/>
          <w:sz w:val="22"/>
          <w:szCs w:val="22"/>
        </w:rPr>
        <w:t>serum levels of</w:t>
      </w:r>
      <w:r w:rsidR="00EC7236" w:rsidRPr="004B0BC2">
        <w:rPr>
          <w:rFonts w:cstheme="minorHAnsi"/>
          <w:sz w:val="22"/>
          <w:szCs w:val="22"/>
        </w:rPr>
        <w:t xml:space="preserve"> IL-6 </w:t>
      </w:r>
      <w:r w:rsidR="00834959" w:rsidRPr="004B0BC2">
        <w:rPr>
          <w:rFonts w:cstheme="minorHAnsi"/>
          <w:sz w:val="22"/>
          <w:szCs w:val="22"/>
        </w:rPr>
        <w:t>were</w:t>
      </w:r>
      <w:r w:rsidR="00EC7236" w:rsidRPr="004B0BC2">
        <w:rPr>
          <w:rFonts w:cstheme="minorHAnsi"/>
          <w:sz w:val="22"/>
          <w:szCs w:val="22"/>
        </w:rPr>
        <w:t xml:space="preserve"> lower in </w:t>
      </w:r>
      <w:r w:rsidR="00003DFC" w:rsidRPr="004B0BC2">
        <w:rPr>
          <w:rFonts w:cstheme="minorHAnsi"/>
          <w:sz w:val="22"/>
          <w:szCs w:val="22"/>
        </w:rPr>
        <w:t xml:space="preserve">heterozygous </w:t>
      </w:r>
      <w:r w:rsidR="00EC7236" w:rsidRPr="004B0BC2">
        <w:rPr>
          <w:rFonts w:cstheme="minorHAnsi"/>
          <w:sz w:val="22"/>
          <w:szCs w:val="22"/>
        </w:rPr>
        <w:t xml:space="preserve">and </w:t>
      </w:r>
      <w:r w:rsidR="00003DFC" w:rsidRPr="00500FBD">
        <w:rPr>
          <w:rFonts w:cstheme="minorHAnsi"/>
          <w:i/>
          <w:sz w:val="22"/>
          <w:szCs w:val="22"/>
          <w:shd w:val="clear" w:color="auto" w:fill="FFFFFF"/>
        </w:rPr>
        <w:t>gp91phosx</w:t>
      </w:r>
      <w:r w:rsidR="005E0181">
        <w:rPr>
          <w:rFonts w:cstheme="minorHAnsi"/>
          <w:sz w:val="22"/>
          <w:szCs w:val="22"/>
          <w:shd w:val="clear" w:color="auto" w:fill="FFFFFF"/>
        </w:rPr>
        <w:t>-</w:t>
      </w:r>
      <w:r w:rsidR="00003DFC" w:rsidRPr="004B0BC2">
        <w:rPr>
          <w:rFonts w:cstheme="minorHAnsi"/>
          <w:sz w:val="22"/>
          <w:szCs w:val="22"/>
          <w:shd w:val="clear" w:color="auto" w:fill="FFFFFF"/>
        </w:rPr>
        <w:t xml:space="preserve">deficient </w:t>
      </w:r>
      <w:r w:rsidR="00003DFC" w:rsidRPr="004B0BC2">
        <w:rPr>
          <w:rFonts w:cstheme="minorHAnsi"/>
          <w:sz w:val="22"/>
          <w:szCs w:val="22"/>
        </w:rPr>
        <w:t xml:space="preserve">mice </w:t>
      </w:r>
      <w:r w:rsidR="005E0181">
        <w:rPr>
          <w:rFonts w:cstheme="minorHAnsi"/>
          <w:sz w:val="22"/>
          <w:szCs w:val="22"/>
        </w:rPr>
        <w:t>than in</w:t>
      </w:r>
      <w:r w:rsidR="00003DFC" w:rsidRPr="004B0BC2">
        <w:rPr>
          <w:rFonts w:cstheme="minorHAnsi"/>
          <w:sz w:val="22"/>
          <w:szCs w:val="22"/>
        </w:rPr>
        <w:t xml:space="preserve"> wild</w:t>
      </w:r>
      <w:r w:rsidR="005E0181">
        <w:rPr>
          <w:rFonts w:cstheme="minorHAnsi"/>
          <w:sz w:val="22"/>
          <w:szCs w:val="22"/>
        </w:rPr>
        <w:t>-</w:t>
      </w:r>
      <w:r w:rsidR="00003DFC" w:rsidRPr="004B0BC2">
        <w:rPr>
          <w:rFonts w:cstheme="minorHAnsi"/>
          <w:sz w:val="22"/>
          <w:szCs w:val="22"/>
        </w:rPr>
        <w:t xml:space="preserve">type </w:t>
      </w:r>
      <w:r w:rsidR="005E0181">
        <w:rPr>
          <w:rFonts w:cstheme="minorHAnsi"/>
          <w:sz w:val="22"/>
          <w:szCs w:val="22"/>
        </w:rPr>
        <w:t xml:space="preserve">animals </w:t>
      </w:r>
      <w:r w:rsidR="00EC7236" w:rsidRPr="004B0BC2">
        <w:rPr>
          <w:rFonts w:cstheme="minorHAnsi"/>
          <w:sz w:val="22"/>
          <w:szCs w:val="22"/>
        </w:rPr>
        <w:t>(</w:t>
      </w:r>
      <w:r w:rsidR="008F59EA" w:rsidRPr="004B0BC2">
        <w:rPr>
          <w:rFonts w:cstheme="minorHAnsi"/>
          <w:sz w:val="22"/>
          <w:szCs w:val="22"/>
        </w:rPr>
        <w:t>p</w:t>
      </w:r>
      <w:r w:rsidR="00EC7236" w:rsidRPr="004B0BC2">
        <w:rPr>
          <w:rFonts w:cstheme="minorHAnsi"/>
          <w:sz w:val="22"/>
          <w:szCs w:val="22"/>
        </w:rPr>
        <w:t>&lt;0.05)</w:t>
      </w:r>
      <w:r w:rsidR="005E0181">
        <w:rPr>
          <w:rFonts w:cstheme="minorHAnsi"/>
          <w:sz w:val="22"/>
          <w:szCs w:val="22"/>
        </w:rPr>
        <w:t>,</w:t>
      </w:r>
      <w:r w:rsidR="00591068" w:rsidRPr="004B0BC2">
        <w:rPr>
          <w:rFonts w:cstheme="minorHAnsi"/>
          <w:sz w:val="22"/>
          <w:szCs w:val="22"/>
        </w:rPr>
        <w:t xml:space="preserve"> but</w:t>
      </w:r>
      <w:r w:rsidR="00EC7236" w:rsidRPr="004B0BC2">
        <w:rPr>
          <w:rFonts w:cstheme="minorHAnsi"/>
          <w:sz w:val="22"/>
          <w:szCs w:val="22"/>
        </w:rPr>
        <w:t xml:space="preserve"> lung</w:t>
      </w:r>
      <w:r w:rsidR="00834959" w:rsidRPr="004B0BC2">
        <w:rPr>
          <w:rFonts w:cstheme="minorHAnsi"/>
          <w:sz w:val="22"/>
          <w:szCs w:val="22"/>
        </w:rPr>
        <w:t xml:space="preserve"> concentrations of</w:t>
      </w:r>
      <w:r w:rsidR="00EC7236" w:rsidRPr="004B0BC2">
        <w:rPr>
          <w:rFonts w:cstheme="minorHAnsi"/>
          <w:sz w:val="22"/>
          <w:szCs w:val="22"/>
        </w:rPr>
        <w:t xml:space="preserve"> IL-</w:t>
      </w:r>
      <w:r w:rsidR="00834959" w:rsidRPr="004B0BC2">
        <w:rPr>
          <w:rFonts w:cstheme="minorHAnsi"/>
          <w:sz w:val="22"/>
          <w:szCs w:val="22"/>
        </w:rPr>
        <w:t>6</w:t>
      </w:r>
      <w:r w:rsidR="00EC7236" w:rsidRPr="004B0BC2">
        <w:rPr>
          <w:rFonts w:cstheme="minorHAnsi"/>
          <w:sz w:val="22"/>
          <w:szCs w:val="22"/>
        </w:rPr>
        <w:t xml:space="preserve"> </w:t>
      </w:r>
      <w:r w:rsidR="00834959" w:rsidRPr="004B0BC2">
        <w:rPr>
          <w:rFonts w:cstheme="minorHAnsi"/>
          <w:sz w:val="22"/>
          <w:szCs w:val="22"/>
        </w:rPr>
        <w:t>were</w:t>
      </w:r>
      <w:r w:rsidR="00EC7236" w:rsidRPr="004B0BC2">
        <w:rPr>
          <w:rFonts w:cstheme="minorHAnsi"/>
          <w:sz w:val="22"/>
          <w:szCs w:val="22"/>
        </w:rPr>
        <w:t xml:space="preserve"> </w:t>
      </w:r>
      <w:r w:rsidR="00591068" w:rsidRPr="004B0BC2">
        <w:rPr>
          <w:rFonts w:cstheme="minorHAnsi"/>
          <w:sz w:val="22"/>
          <w:szCs w:val="22"/>
        </w:rPr>
        <w:t>significantly</w:t>
      </w:r>
      <w:r w:rsidR="00EC7236" w:rsidRPr="004B0BC2">
        <w:rPr>
          <w:rFonts w:cstheme="minorHAnsi"/>
          <w:sz w:val="22"/>
          <w:szCs w:val="22"/>
        </w:rPr>
        <w:t xml:space="preserve"> </w:t>
      </w:r>
      <w:r w:rsidR="00591068" w:rsidRPr="004B0BC2">
        <w:rPr>
          <w:rFonts w:cstheme="minorHAnsi"/>
          <w:sz w:val="22"/>
          <w:szCs w:val="22"/>
        </w:rPr>
        <w:t>higher</w:t>
      </w:r>
      <w:r w:rsidR="00EC7236" w:rsidRPr="004B0BC2">
        <w:rPr>
          <w:rFonts w:cstheme="minorHAnsi"/>
          <w:sz w:val="22"/>
          <w:szCs w:val="22"/>
        </w:rPr>
        <w:t xml:space="preserve"> in </w:t>
      </w:r>
      <w:r w:rsidR="00834959" w:rsidRPr="004B0BC2">
        <w:rPr>
          <w:rFonts w:cstheme="minorHAnsi"/>
          <w:sz w:val="22"/>
          <w:szCs w:val="22"/>
        </w:rPr>
        <w:t xml:space="preserve">heterozygous </w:t>
      </w:r>
      <w:r w:rsidR="00EC7236" w:rsidRPr="004B0BC2">
        <w:rPr>
          <w:rFonts w:cstheme="minorHAnsi"/>
          <w:sz w:val="22"/>
          <w:szCs w:val="22"/>
        </w:rPr>
        <w:t xml:space="preserve">subjects </w:t>
      </w:r>
      <w:r w:rsidR="005E0181">
        <w:rPr>
          <w:rFonts w:cstheme="minorHAnsi"/>
          <w:sz w:val="22"/>
          <w:szCs w:val="22"/>
        </w:rPr>
        <w:t>than</w:t>
      </w:r>
      <w:r w:rsidR="00EC7236" w:rsidRPr="004B0BC2">
        <w:rPr>
          <w:rFonts w:cstheme="minorHAnsi"/>
          <w:sz w:val="22"/>
          <w:szCs w:val="22"/>
        </w:rPr>
        <w:t xml:space="preserve"> </w:t>
      </w:r>
      <w:r w:rsidR="00834959" w:rsidRPr="004B0BC2">
        <w:rPr>
          <w:rFonts w:cstheme="minorHAnsi"/>
          <w:sz w:val="22"/>
          <w:szCs w:val="22"/>
        </w:rPr>
        <w:t>wild</w:t>
      </w:r>
      <w:r w:rsidR="005E0181">
        <w:rPr>
          <w:rFonts w:cstheme="minorHAnsi"/>
          <w:sz w:val="22"/>
          <w:szCs w:val="22"/>
        </w:rPr>
        <w:t>-</w:t>
      </w:r>
      <w:r w:rsidR="00834959" w:rsidRPr="004B0BC2">
        <w:rPr>
          <w:rFonts w:cstheme="minorHAnsi"/>
          <w:sz w:val="22"/>
          <w:szCs w:val="22"/>
        </w:rPr>
        <w:t>type</w:t>
      </w:r>
      <w:r w:rsidR="00EC7236" w:rsidRPr="004B0BC2">
        <w:rPr>
          <w:rFonts w:cstheme="minorHAnsi"/>
          <w:sz w:val="22"/>
          <w:szCs w:val="22"/>
        </w:rPr>
        <w:t xml:space="preserve"> or </w:t>
      </w:r>
      <w:r w:rsidR="00834959" w:rsidRPr="00500FBD">
        <w:rPr>
          <w:rFonts w:cstheme="minorHAnsi"/>
          <w:i/>
          <w:sz w:val="22"/>
          <w:szCs w:val="22"/>
          <w:shd w:val="clear" w:color="auto" w:fill="FFFFFF"/>
        </w:rPr>
        <w:t>gp91phosx</w:t>
      </w:r>
      <w:r w:rsidR="005E0181">
        <w:rPr>
          <w:rFonts w:cstheme="minorHAnsi"/>
          <w:sz w:val="22"/>
          <w:szCs w:val="22"/>
          <w:shd w:val="clear" w:color="auto" w:fill="FFFFFF"/>
        </w:rPr>
        <w:t>-</w:t>
      </w:r>
      <w:r w:rsidR="00834959" w:rsidRPr="004B0BC2">
        <w:rPr>
          <w:rFonts w:cstheme="minorHAnsi"/>
          <w:sz w:val="22"/>
          <w:szCs w:val="22"/>
          <w:shd w:val="clear" w:color="auto" w:fill="FFFFFF"/>
        </w:rPr>
        <w:t>deficient mice</w:t>
      </w:r>
      <w:r w:rsidR="00202D76" w:rsidRPr="004B0BC2">
        <w:rPr>
          <w:rFonts w:cstheme="minorHAnsi"/>
          <w:sz w:val="22"/>
          <w:szCs w:val="22"/>
          <w:shd w:val="clear" w:color="auto" w:fill="FFFFFF"/>
        </w:rPr>
        <w:t xml:space="preserve"> </w:t>
      </w:r>
      <w:r w:rsidR="00591068" w:rsidRPr="004B0BC2">
        <w:rPr>
          <w:rFonts w:cstheme="minorHAnsi"/>
          <w:sz w:val="22"/>
          <w:szCs w:val="22"/>
        </w:rPr>
        <w:t>(</w:t>
      </w:r>
      <w:r w:rsidR="008F59EA" w:rsidRPr="004B0BC2">
        <w:rPr>
          <w:rFonts w:cstheme="minorHAnsi"/>
          <w:sz w:val="22"/>
          <w:szCs w:val="22"/>
        </w:rPr>
        <w:t>p</w:t>
      </w:r>
      <w:r w:rsidR="00EC7236" w:rsidRPr="004B0BC2">
        <w:rPr>
          <w:rFonts w:cstheme="minorHAnsi"/>
          <w:sz w:val="22"/>
          <w:szCs w:val="22"/>
        </w:rPr>
        <w:t>&lt;0.05)</w:t>
      </w:r>
      <w:r w:rsidR="00591068" w:rsidRPr="004B0BC2">
        <w:rPr>
          <w:rFonts w:cstheme="minorHAnsi"/>
          <w:sz w:val="22"/>
          <w:szCs w:val="22"/>
        </w:rPr>
        <w:t xml:space="preserve">. This study highlights </w:t>
      </w:r>
      <w:r w:rsidR="00671BDE">
        <w:rPr>
          <w:rFonts w:cstheme="minorHAnsi"/>
          <w:sz w:val="22"/>
          <w:szCs w:val="22"/>
        </w:rPr>
        <w:t>how</w:t>
      </w:r>
      <w:r w:rsidR="00671BDE" w:rsidRPr="004B0BC2">
        <w:rPr>
          <w:rFonts w:cstheme="minorHAnsi"/>
          <w:sz w:val="22"/>
          <w:szCs w:val="22"/>
        </w:rPr>
        <w:t xml:space="preserve"> </w:t>
      </w:r>
      <w:r w:rsidR="00591068" w:rsidRPr="004B0BC2">
        <w:rPr>
          <w:rFonts w:cstheme="minorHAnsi"/>
          <w:sz w:val="22"/>
          <w:szCs w:val="22"/>
        </w:rPr>
        <w:t xml:space="preserve">cellular mosaicism for </w:t>
      </w:r>
      <w:r w:rsidR="00591068" w:rsidRPr="00500FBD">
        <w:rPr>
          <w:rFonts w:cstheme="minorHAnsi"/>
          <w:i/>
          <w:sz w:val="22"/>
          <w:szCs w:val="22"/>
        </w:rPr>
        <w:t>gp91phox</w:t>
      </w:r>
      <w:r w:rsidR="00591068" w:rsidRPr="004B0BC2">
        <w:rPr>
          <w:rFonts w:cstheme="minorHAnsi"/>
          <w:sz w:val="22"/>
          <w:szCs w:val="22"/>
        </w:rPr>
        <w:t xml:space="preserve"> confer</w:t>
      </w:r>
      <w:r w:rsidR="00671BDE">
        <w:rPr>
          <w:rFonts w:cstheme="minorHAnsi"/>
          <w:sz w:val="22"/>
          <w:szCs w:val="22"/>
        </w:rPr>
        <w:t xml:space="preserve">s </w:t>
      </w:r>
      <w:r w:rsidR="00591068" w:rsidRPr="004B0BC2">
        <w:rPr>
          <w:rFonts w:cstheme="minorHAnsi"/>
          <w:sz w:val="22"/>
          <w:szCs w:val="22"/>
        </w:rPr>
        <w:t>a</w:t>
      </w:r>
      <w:r w:rsidR="00834959" w:rsidRPr="004B0BC2">
        <w:rPr>
          <w:rFonts w:cstheme="minorHAnsi"/>
          <w:sz w:val="22"/>
          <w:szCs w:val="22"/>
        </w:rPr>
        <w:t xml:space="preserve"> different immunological response and</w:t>
      </w:r>
      <w:r w:rsidR="00591068" w:rsidRPr="004B0BC2">
        <w:rPr>
          <w:rFonts w:cstheme="minorHAnsi"/>
          <w:sz w:val="22"/>
          <w:szCs w:val="22"/>
        </w:rPr>
        <w:t xml:space="preserve"> </w:t>
      </w:r>
      <w:r w:rsidR="00671BDE">
        <w:rPr>
          <w:rFonts w:cstheme="minorHAnsi"/>
          <w:sz w:val="22"/>
          <w:szCs w:val="22"/>
        </w:rPr>
        <w:t>reduced</w:t>
      </w:r>
      <w:r w:rsidR="00671BDE" w:rsidRPr="004B0BC2">
        <w:rPr>
          <w:rFonts w:cstheme="minorHAnsi"/>
          <w:sz w:val="22"/>
          <w:szCs w:val="22"/>
        </w:rPr>
        <w:t xml:space="preserve"> </w:t>
      </w:r>
      <w:r w:rsidR="00591068" w:rsidRPr="004B0BC2">
        <w:rPr>
          <w:rFonts w:cstheme="minorHAnsi"/>
          <w:sz w:val="22"/>
          <w:szCs w:val="22"/>
        </w:rPr>
        <w:t>mortality rate</w:t>
      </w:r>
      <w:r w:rsidR="00834959" w:rsidRPr="004B0BC2">
        <w:rPr>
          <w:rFonts w:cstheme="minorHAnsi"/>
          <w:sz w:val="22"/>
          <w:szCs w:val="22"/>
        </w:rPr>
        <w:t xml:space="preserve"> </w:t>
      </w:r>
      <w:r w:rsidR="00591068" w:rsidRPr="004B0BC2">
        <w:rPr>
          <w:rFonts w:cstheme="minorHAnsi"/>
          <w:sz w:val="22"/>
          <w:szCs w:val="22"/>
        </w:rPr>
        <w:t xml:space="preserve">following polymicrobial sepsis compared </w:t>
      </w:r>
      <w:r w:rsidR="00671BDE">
        <w:rPr>
          <w:rFonts w:cstheme="minorHAnsi"/>
          <w:sz w:val="22"/>
          <w:szCs w:val="22"/>
        </w:rPr>
        <w:t>with</w:t>
      </w:r>
      <w:r w:rsidR="00591068" w:rsidRPr="004B0BC2">
        <w:rPr>
          <w:rFonts w:cstheme="minorHAnsi"/>
          <w:sz w:val="22"/>
          <w:szCs w:val="22"/>
        </w:rPr>
        <w:t xml:space="preserve"> wild</w:t>
      </w:r>
      <w:r w:rsidR="00671BDE">
        <w:rPr>
          <w:rFonts w:cstheme="minorHAnsi"/>
          <w:sz w:val="22"/>
          <w:szCs w:val="22"/>
        </w:rPr>
        <w:t>-</w:t>
      </w:r>
      <w:r w:rsidR="00591068" w:rsidRPr="004B0BC2">
        <w:rPr>
          <w:rFonts w:cstheme="minorHAnsi"/>
          <w:sz w:val="22"/>
          <w:szCs w:val="22"/>
        </w:rPr>
        <w:t xml:space="preserve">type or deficient states. </w:t>
      </w:r>
    </w:p>
    <w:p w14:paraId="3A40C348" w14:textId="144C4FE5" w:rsidR="00334841" w:rsidRPr="004B0BC2" w:rsidRDefault="00334841" w:rsidP="00B66369">
      <w:pPr>
        <w:spacing w:line="480" w:lineRule="auto"/>
        <w:rPr>
          <w:rFonts w:asciiTheme="minorHAnsi" w:hAnsiTheme="minorHAnsi" w:cstheme="minorHAnsi"/>
          <w:sz w:val="22"/>
          <w:szCs w:val="22"/>
        </w:rPr>
      </w:pPr>
      <w:r w:rsidRPr="00500FBD">
        <w:rPr>
          <w:rFonts w:asciiTheme="minorHAnsi" w:hAnsiTheme="minorHAnsi" w:cstheme="minorHAnsi"/>
          <w:i/>
          <w:sz w:val="22"/>
          <w:szCs w:val="22"/>
          <w:shd w:val="clear" w:color="auto" w:fill="FFFFFF"/>
        </w:rPr>
        <w:t>I</w:t>
      </w:r>
      <w:r w:rsidR="000250B5">
        <w:rPr>
          <w:rFonts w:asciiTheme="minorHAnsi" w:hAnsiTheme="minorHAnsi" w:cstheme="minorHAnsi"/>
          <w:i/>
          <w:sz w:val="22"/>
          <w:szCs w:val="22"/>
          <w:shd w:val="clear" w:color="auto" w:fill="FFFFFF"/>
        </w:rPr>
        <w:t>rak1</w:t>
      </w:r>
      <w:r w:rsidR="000250B5">
        <w:rPr>
          <w:rFonts w:asciiTheme="minorHAnsi" w:hAnsiTheme="minorHAnsi" w:cstheme="minorHAnsi"/>
          <w:sz w:val="22"/>
          <w:szCs w:val="22"/>
          <w:shd w:val="clear" w:color="auto" w:fill="FFFFFF"/>
        </w:rPr>
        <w:t xml:space="preserve"> </w:t>
      </w:r>
      <w:r w:rsidR="00F74341" w:rsidRPr="004B0BC2">
        <w:rPr>
          <w:rFonts w:asciiTheme="minorHAnsi" w:hAnsiTheme="minorHAnsi" w:cstheme="minorHAnsi"/>
          <w:sz w:val="22"/>
          <w:szCs w:val="22"/>
          <w:shd w:val="clear" w:color="auto" w:fill="FFFFFF"/>
        </w:rPr>
        <w:t>is an</w:t>
      </w:r>
      <w:r w:rsidR="00BC4247" w:rsidRPr="004B0BC2">
        <w:rPr>
          <w:rFonts w:asciiTheme="minorHAnsi" w:hAnsiTheme="minorHAnsi" w:cstheme="minorHAnsi"/>
          <w:sz w:val="22"/>
          <w:szCs w:val="22"/>
          <w:shd w:val="clear" w:color="auto" w:fill="FFFFFF"/>
        </w:rPr>
        <w:t>other</w:t>
      </w:r>
      <w:r w:rsidR="00F74341" w:rsidRPr="004B0BC2">
        <w:rPr>
          <w:rFonts w:asciiTheme="minorHAnsi" w:hAnsiTheme="minorHAnsi" w:cstheme="minorHAnsi"/>
          <w:sz w:val="22"/>
          <w:szCs w:val="22"/>
          <w:shd w:val="clear" w:color="auto" w:fill="FFFFFF"/>
        </w:rPr>
        <w:t xml:space="preserve"> X-linked immuno</w:t>
      </w:r>
      <w:r w:rsidR="00834959" w:rsidRPr="004B0BC2">
        <w:rPr>
          <w:rFonts w:asciiTheme="minorHAnsi" w:hAnsiTheme="minorHAnsi" w:cstheme="minorHAnsi"/>
          <w:sz w:val="22"/>
          <w:szCs w:val="22"/>
          <w:shd w:val="clear" w:color="auto" w:fill="FFFFFF"/>
        </w:rPr>
        <w:t>mo</w:t>
      </w:r>
      <w:r w:rsidR="00F74341" w:rsidRPr="004B0BC2">
        <w:rPr>
          <w:rFonts w:asciiTheme="minorHAnsi" w:hAnsiTheme="minorHAnsi" w:cstheme="minorHAnsi"/>
          <w:sz w:val="22"/>
          <w:szCs w:val="22"/>
          <w:shd w:val="clear" w:color="auto" w:fill="FFFFFF"/>
        </w:rPr>
        <w:t>dulation gene that is involved in regulating inflammatory signalling pathways</w:t>
      </w:r>
      <w:r w:rsidR="00671BDE">
        <w:rPr>
          <w:rFonts w:asciiTheme="minorHAnsi" w:hAnsiTheme="minorHAnsi" w:cstheme="minorHAnsi"/>
          <w:sz w:val="22"/>
          <w:szCs w:val="22"/>
          <w:shd w:val="clear" w:color="auto" w:fill="FFFFFF"/>
        </w:rPr>
        <w:t>;</w:t>
      </w:r>
      <w:r w:rsidR="00F74341" w:rsidRPr="004B0BC2">
        <w:rPr>
          <w:rFonts w:asciiTheme="minorHAnsi" w:hAnsiTheme="minorHAnsi" w:cstheme="minorHAnsi"/>
          <w:sz w:val="22"/>
          <w:szCs w:val="22"/>
          <w:shd w:val="clear" w:color="auto" w:fill="FFFFFF"/>
        </w:rPr>
        <w:t xml:space="preserve"> </w:t>
      </w:r>
      <w:r w:rsidR="000250B5">
        <w:rPr>
          <w:rFonts w:asciiTheme="minorHAnsi" w:hAnsiTheme="minorHAnsi" w:cstheme="minorHAnsi"/>
          <w:sz w:val="22"/>
          <w:szCs w:val="22"/>
          <w:shd w:val="clear" w:color="auto" w:fill="FFFFFF"/>
        </w:rPr>
        <w:t>data suggest</w:t>
      </w:r>
      <w:r w:rsidR="00F74341" w:rsidRPr="004B0BC2">
        <w:rPr>
          <w:rFonts w:asciiTheme="minorHAnsi" w:hAnsiTheme="minorHAnsi" w:cstheme="minorHAnsi"/>
          <w:sz w:val="22"/>
          <w:szCs w:val="22"/>
          <w:shd w:val="clear" w:color="auto" w:fill="FFFFFF"/>
        </w:rPr>
        <w:t xml:space="preserve"> that </w:t>
      </w:r>
      <w:r w:rsidRPr="00500FBD">
        <w:rPr>
          <w:rFonts w:asciiTheme="minorHAnsi" w:hAnsiTheme="minorHAnsi" w:cstheme="minorHAnsi"/>
          <w:i/>
          <w:sz w:val="22"/>
          <w:szCs w:val="22"/>
          <w:shd w:val="clear" w:color="auto" w:fill="FFFFFF"/>
        </w:rPr>
        <w:t>I</w:t>
      </w:r>
      <w:r w:rsidR="000250B5">
        <w:rPr>
          <w:rFonts w:asciiTheme="minorHAnsi" w:hAnsiTheme="minorHAnsi" w:cstheme="minorHAnsi"/>
          <w:i/>
          <w:sz w:val="22"/>
          <w:szCs w:val="22"/>
          <w:shd w:val="clear" w:color="auto" w:fill="FFFFFF"/>
        </w:rPr>
        <w:t>rak</w:t>
      </w:r>
      <w:r w:rsidRPr="00500FBD">
        <w:rPr>
          <w:rFonts w:asciiTheme="minorHAnsi" w:hAnsiTheme="minorHAnsi" w:cstheme="minorHAnsi"/>
          <w:i/>
          <w:sz w:val="22"/>
          <w:szCs w:val="22"/>
          <w:shd w:val="clear" w:color="auto" w:fill="FFFFFF"/>
        </w:rPr>
        <w:t>1</w:t>
      </w:r>
      <w:r w:rsidR="00671BDE">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deficiency</w:t>
      </w:r>
      <w:r w:rsidR="00F74341" w:rsidRPr="004B0BC2">
        <w:rPr>
          <w:rFonts w:asciiTheme="minorHAnsi" w:hAnsiTheme="minorHAnsi" w:cstheme="minorHAnsi"/>
          <w:sz w:val="22"/>
          <w:szCs w:val="22"/>
          <w:shd w:val="clear" w:color="auto" w:fill="FFFFFF"/>
        </w:rPr>
        <w:t xml:space="preserve"> is associated with a decrease in sepsis mortality</w:t>
      </w:r>
      <w:r w:rsidR="00834959"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{"citationItems":[{"id":"ITEM-1","itemData":{"DOI":"10.1007/s10753-013-9692-1","ISSN":"03603997","PMID":"23856940","abstract":"Interleukin-1 receptor-associated kinase (IRAK1) is a key regulatory protein in TLR/IL1R-mediated cell activation during inflammatory response. Studies indicated that pending on the nature of the used inflammatory model, downregulation of IRAK1 may be beneficial or detrimental. However, the role of IRAK1 in affecting outcome in polymicrobial sepsis is unknown. We tested this question using an IRAK1-deficient mouse strain and cecal ligation and puncture (CLP) procedure, which is a clinically relevant rodent septic model. Sepsis-induced mortality was markedly lower in IRAK1-deficient mice (35 %) compared to WT (85 %). Sepsis-induced increases in blood IL-6 and IL-10 levels were blunted at 6 h post-CLP in IRAK1 deficiency compared to WT, but cytokine levels were similar at 20 h post-CLP. Sepsis-induced blood granulocytosis and depletion of splenic B cells were also blunted in IRAK1-deficient mice as compared to WT. Analysis of TLR-mediated cytokine responses by IRAK1-deficient and WT macrophages ex vivo indicated a TLR4-dependent downregulation of IL-6 and IL1β in IRAK1 deficiency, whereas TLR2-dependent responses were unaffected. TLR7/8-mediated IL-6, IL1β, and IL-10 production was also blunted in IRAK1 macrophages as compared to WT. The study shows that IRAK1 deficiency impacts multiple TLR-dependent pathways and decreases early cytokine responses following polymicrobial sepsis. The delayed inflammatory response caused by the lack of IRAK1 expression is beneficial, as it manifests a marked increased chance of survival after polymicrobial sepsis. © 2013 Springer Science+Business Media New York.","author":[{"dropping-particle":"","family":"Chandra","given":"Rachna","non-dropping-particle":"","parse-names":false,"suffix":""},{"dropping-particle":"","family":"Federici","given":"Stephanie","non-dropping-particle":"","parse-names":false,"suffix":""},{"dropping-particle":"","family":"Bishwas","given":"Tripti","non-dropping-particle":"","parse-names":false,"suffix":""},{"dropping-particle":"","family":"Németh","given":"Zoltán H.","non-dropping-particle":"","parse-names":false,"suffix":""},{"dropping-particle":"","family":"Deitch","given":"Edwin A.","non-dropping-particle":"","parse-names":false,"suffix":""},{"dropping-particle":"","family":"Thomas","given":"James A.","non-dropping-particle":"","parse-names":false,"suffix":""},{"dropping-particle":"","family":"Spolarics","given":"Zoltán","non-dropping-particle":"","parse-names":false,"suffix":""}],"container-title":"Inflammation","id":"ITEM-1","issue":"6","issued":{"date-parts":[["2013"]]},"page":"1503-12","title":"IRAK1-dependent signaling mediates mortality in polymicrobial sepsis","type":"article-journal","volume":"36"},"uris":["http://www.mendeley.com/documents/?uuid=331ab73b-9f5a-4eb5-b93f-7bd629942f35"]}],"mendeley":{"formattedCitation":"(119)","plainTextFormattedCitation":"(119)","previouslyFormattedCitation":"(119)"},"properties":{"noteIndex":0},"schema":"https://github.com/citation-style-language/schema/raw/master/csl-citation.json"}</w:instrText>
      </w:r>
      <w:r w:rsidR="00834959"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(119)</w:t>
      </w:r>
      <w:r w:rsidR="00834959"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 xml:space="preserve">. </w:t>
      </w:r>
      <w:r w:rsidR="00671BDE">
        <w:rPr>
          <w:rFonts w:asciiTheme="minorHAnsi" w:hAnsiTheme="minorHAnsi" w:cstheme="minorHAnsi"/>
          <w:sz w:val="22"/>
          <w:szCs w:val="22"/>
        </w:rPr>
        <w:t>Comparison of</w:t>
      </w:r>
      <w:r w:rsidRPr="004B0BC2">
        <w:rPr>
          <w:rFonts w:asciiTheme="minorHAnsi" w:hAnsiTheme="minorHAnsi" w:cstheme="minorHAnsi"/>
          <w:sz w:val="22"/>
          <w:szCs w:val="22"/>
        </w:rPr>
        <w:t xml:space="preserve"> </w:t>
      </w:r>
      <w:r w:rsidRPr="004B0BC2">
        <w:rPr>
          <w:rFonts w:asciiTheme="minorHAnsi" w:hAnsiTheme="minorHAnsi" w:cstheme="minorHAnsi"/>
          <w:sz w:val="22"/>
          <w:szCs w:val="22"/>
          <w:shd w:val="clear" w:color="auto" w:fill="FFFFFF"/>
        </w:rPr>
        <w:t>mortality</w:t>
      </w:r>
      <w:r w:rsidR="00BC4247" w:rsidRPr="004B0BC2">
        <w:rPr>
          <w:rFonts w:asciiTheme="minorHAnsi" w:hAnsiTheme="minorHAnsi" w:cstheme="minorHAnsi"/>
          <w:sz w:val="22"/>
          <w:szCs w:val="22"/>
          <w:shd w:val="clear" w:color="auto" w:fill="FFFFFF"/>
        </w:rPr>
        <w:t xml:space="preserve"> rates and cytokine </w:t>
      </w:r>
      <w:r w:rsidR="00E86182" w:rsidRPr="004B0BC2">
        <w:rPr>
          <w:rFonts w:asciiTheme="minorHAnsi" w:hAnsiTheme="minorHAnsi" w:cstheme="minorHAnsi"/>
          <w:sz w:val="22"/>
          <w:szCs w:val="22"/>
          <w:shd w:val="clear" w:color="auto" w:fill="FFFFFF"/>
        </w:rPr>
        <w:t>responses</w:t>
      </w:r>
      <w:r w:rsidRPr="004B0BC2">
        <w:rPr>
          <w:rFonts w:asciiTheme="minorHAnsi" w:hAnsiTheme="minorHAnsi" w:cstheme="minorHAnsi"/>
          <w:sz w:val="22"/>
          <w:szCs w:val="22"/>
          <w:shd w:val="clear" w:color="auto" w:fill="FFFFFF"/>
        </w:rPr>
        <w:t xml:space="preserve"> in </w:t>
      </w:r>
      <w:r w:rsidR="000250B5" w:rsidRPr="00500FBD">
        <w:rPr>
          <w:rFonts w:asciiTheme="minorHAnsi" w:hAnsiTheme="minorHAnsi" w:cstheme="minorHAnsi"/>
          <w:i/>
          <w:sz w:val="22"/>
          <w:szCs w:val="22"/>
          <w:shd w:val="clear" w:color="auto" w:fill="FFFFFF"/>
        </w:rPr>
        <w:t>I</w:t>
      </w:r>
      <w:r w:rsidR="000250B5">
        <w:rPr>
          <w:rFonts w:asciiTheme="minorHAnsi" w:hAnsiTheme="minorHAnsi" w:cstheme="minorHAnsi"/>
          <w:i/>
          <w:sz w:val="22"/>
          <w:szCs w:val="22"/>
          <w:shd w:val="clear" w:color="auto" w:fill="FFFFFF"/>
        </w:rPr>
        <w:t>rak</w:t>
      </w:r>
      <w:r w:rsidR="000250B5" w:rsidRPr="00500FBD">
        <w:rPr>
          <w:rFonts w:asciiTheme="minorHAnsi" w:hAnsiTheme="minorHAnsi" w:cstheme="minorHAnsi"/>
          <w:i/>
          <w:sz w:val="22"/>
          <w:szCs w:val="22"/>
          <w:shd w:val="clear" w:color="auto" w:fill="FFFFFF"/>
        </w:rPr>
        <w:t>1</w:t>
      </w:r>
      <w:r w:rsidRPr="004B0BC2">
        <w:rPr>
          <w:rFonts w:asciiTheme="minorHAnsi" w:hAnsiTheme="minorHAnsi" w:cstheme="minorHAnsi"/>
          <w:sz w:val="22"/>
          <w:szCs w:val="22"/>
          <w:shd w:val="clear" w:color="auto" w:fill="FFFFFF"/>
        </w:rPr>
        <w:t>-deficient</w:t>
      </w:r>
      <w:r w:rsidR="00834959" w:rsidRPr="004B0BC2">
        <w:rPr>
          <w:rFonts w:asciiTheme="minorHAnsi" w:hAnsiTheme="minorHAnsi" w:cstheme="minorHAnsi"/>
          <w:sz w:val="22"/>
          <w:szCs w:val="22"/>
          <w:shd w:val="clear" w:color="auto" w:fill="FFFFFF"/>
        </w:rPr>
        <w:t xml:space="preserve"> mice,</w:t>
      </w:r>
      <w:r w:rsidR="003C11E1">
        <w:rPr>
          <w:rFonts w:asciiTheme="minorHAnsi" w:hAnsiTheme="minorHAnsi" w:cstheme="minorHAnsi"/>
          <w:sz w:val="22"/>
          <w:szCs w:val="22"/>
          <w:shd w:val="clear" w:color="auto" w:fill="FFFFFF"/>
        </w:rPr>
        <w:t xml:space="preserve"> </w:t>
      </w:r>
      <w:r w:rsidR="00834959" w:rsidRPr="004B0BC2">
        <w:rPr>
          <w:rFonts w:asciiTheme="minorHAnsi" w:hAnsiTheme="minorHAnsi" w:cstheme="minorHAnsi"/>
          <w:sz w:val="22"/>
          <w:szCs w:val="22"/>
          <w:shd w:val="clear" w:color="auto" w:fill="FFFFFF"/>
        </w:rPr>
        <w:t xml:space="preserve">mice with </w:t>
      </w:r>
      <w:r w:rsidRPr="00500FBD">
        <w:rPr>
          <w:rFonts w:asciiTheme="minorHAnsi" w:hAnsiTheme="minorHAnsi" w:cstheme="minorHAnsi"/>
          <w:i/>
          <w:sz w:val="22"/>
          <w:szCs w:val="22"/>
          <w:shd w:val="clear" w:color="auto" w:fill="FFFFFF"/>
        </w:rPr>
        <w:t>I</w:t>
      </w:r>
      <w:r w:rsidR="000250B5">
        <w:rPr>
          <w:rFonts w:asciiTheme="minorHAnsi" w:hAnsiTheme="minorHAnsi" w:cstheme="minorHAnsi"/>
          <w:i/>
          <w:sz w:val="22"/>
          <w:szCs w:val="22"/>
          <w:shd w:val="clear" w:color="auto" w:fill="FFFFFF"/>
        </w:rPr>
        <w:t>rak</w:t>
      </w:r>
      <w:r w:rsidRPr="00500FBD">
        <w:rPr>
          <w:rFonts w:asciiTheme="minorHAnsi" w:hAnsiTheme="minorHAnsi" w:cstheme="minorHAnsi"/>
          <w:i/>
          <w:sz w:val="22"/>
          <w:szCs w:val="22"/>
          <w:shd w:val="clear" w:color="auto" w:fill="FFFFFF"/>
        </w:rPr>
        <w:t>1</w:t>
      </w:r>
      <w:r w:rsidR="00834959" w:rsidRPr="004B0BC2">
        <w:rPr>
          <w:rFonts w:asciiTheme="minorHAnsi" w:hAnsiTheme="minorHAnsi" w:cstheme="minorHAnsi"/>
          <w:sz w:val="22"/>
          <w:szCs w:val="22"/>
          <w:shd w:val="clear" w:color="auto" w:fill="FFFFFF"/>
        </w:rPr>
        <w:t xml:space="preserve"> cellular </w:t>
      </w:r>
      <w:r w:rsidRPr="004B0BC2">
        <w:rPr>
          <w:rFonts w:asciiTheme="minorHAnsi" w:hAnsiTheme="minorHAnsi" w:cstheme="minorHAnsi"/>
          <w:sz w:val="22"/>
          <w:szCs w:val="22"/>
          <w:shd w:val="clear" w:color="auto" w:fill="FFFFFF"/>
        </w:rPr>
        <w:t>mosaic</w:t>
      </w:r>
      <w:r w:rsidR="00834959" w:rsidRPr="004B0BC2">
        <w:rPr>
          <w:rFonts w:asciiTheme="minorHAnsi" w:hAnsiTheme="minorHAnsi" w:cstheme="minorHAnsi"/>
          <w:sz w:val="22"/>
          <w:szCs w:val="22"/>
          <w:shd w:val="clear" w:color="auto" w:fill="FFFFFF"/>
        </w:rPr>
        <w:t>ism</w:t>
      </w:r>
      <w:r w:rsidR="00BC4247" w:rsidRPr="004B0BC2">
        <w:rPr>
          <w:rFonts w:asciiTheme="minorHAnsi" w:hAnsiTheme="minorHAnsi" w:cstheme="minorHAnsi"/>
          <w:sz w:val="22"/>
          <w:szCs w:val="22"/>
          <w:shd w:val="clear" w:color="auto" w:fill="FFFFFF"/>
        </w:rPr>
        <w:t xml:space="preserve"> and wild</w:t>
      </w:r>
      <w:r w:rsidR="00671BDE">
        <w:rPr>
          <w:rFonts w:asciiTheme="minorHAnsi" w:hAnsiTheme="minorHAnsi" w:cstheme="minorHAnsi"/>
          <w:sz w:val="22"/>
          <w:szCs w:val="22"/>
          <w:shd w:val="clear" w:color="auto" w:fill="FFFFFF"/>
        </w:rPr>
        <w:t>-</w:t>
      </w:r>
      <w:r w:rsidR="00BC4247" w:rsidRPr="004B0BC2">
        <w:rPr>
          <w:rFonts w:asciiTheme="minorHAnsi" w:hAnsiTheme="minorHAnsi" w:cstheme="minorHAnsi"/>
          <w:sz w:val="22"/>
          <w:szCs w:val="22"/>
          <w:shd w:val="clear" w:color="auto" w:fill="FFFFFF"/>
        </w:rPr>
        <w:t>type</w:t>
      </w:r>
      <w:r w:rsidRPr="004B0BC2">
        <w:rPr>
          <w:rFonts w:asciiTheme="minorHAnsi" w:hAnsiTheme="minorHAnsi" w:cstheme="minorHAnsi"/>
          <w:sz w:val="22"/>
          <w:szCs w:val="22"/>
          <w:shd w:val="clear" w:color="auto" w:fill="FFFFFF"/>
        </w:rPr>
        <w:t xml:space="preserve"> mice </w:t>
      </w:r>
      <w:r w:rsidR="00BC4247" w:rsidRPr="004B0BC2">
        <w:rPr>
          <w:rFonts w:asciiTheme="minorHAnsi" w:hAnsiTheme="minorHAnsi" w:cstheme="minorHAnsi"/>
          <w:sz w:val="22"/>
          <w:szCs w:val="22"/>
          <w:shd w:val="clear" w:color="auto" w:fill="FFFFFF"/>
        </w:rPr>
        <w:t>following caecal ligation and puncture</w:t>
      </w:r>
      <w:r w:rsidR="00671BDE">
        <w:rPr>
          <w:rFonts w:asciiTheme="minorHAnsi" w:hAnsiTheme="minorHAnsi" w:cstheme="minorHAnsi"/>
          <w:sz w:val="22"/>
          <w:szCs w:val="22"/>
          <w:shd w:val="clear" w:color="auto" w:fill="FFFFFF"/>
        </w:rPr>
        <w:t xml:space="preserve"> showed </w:t>
      </w:r>
      <w:r w:rsidR="00BC4247" w:rsidRPr="004B0BC2">
        <w:rPr>
          <w:rFonts w:asciiTheme="minorHAnsi" w:hAnsiTheme="minorHAnsi" w:cstheme="minorHAnsi"/>
          <w:sz w:val="22"/>
          <w:szCs w:val="22"/>
          <w:shd w:val="clear" w:color="auto" w:fill="FFFFFF"/>
        </w:rPr>
        <w:t>that</w:t>
      </w:r>
      <w:r w:rsidR="00EE0F89" w:rsidRPr="004B0BC2">
        <w:rPr>
          <w:rFonts w:asciiTheme="minorHAnsi" w:hAnsiTheme="minorHAnsi" w:cstheme="minorHAnsi"/>
          <w:sz w:val="22"/>
          <w:szCs w:val="22"/>
          <w:shd w:val="clear" w:color="auto" w:fill="FFFFFF"/>
        </w:rPr>
        <w:t xml:space="preserve"> wild</w:t>
      </w:r>
      <w:r w:rsidR="00671BDE">
        <w:rPr>
          <w:rFonts w:asciiTheme="minorHAnsi" w:hAnsiTheme="minorHAnsi" w:cstheme="minorHAnsi"/>
          <w:sz w:val="22"/>
          <w:szCs w:val="22"/>
          <w:shd w:val="clear" w:color="auto" w:fill="FFFFFF"/>
        </w:rPr>
        <w:t>-</w:t>
      </w:r>
      <w:r w:rsidR="00EE0F89" w:rsidRPr="004B0BC2">
        <w:rPr>
          <w:rFonts w:asciiTheme="minorHAnsi" w:hAnsiTheme="minorHAnsi" w:cstheme="minorHAnsi"/>
          <w:sz w:val="22"/>
          <w:szCs w:val="22"/>
          <w:shd w:val="clear" w:color="auto" w:fill="FFFFFF"/>
        </w:rPr>
        <w:t xml:space="preserve">type mice had a significantly higher mortality rate </w:t>
      </w:r>
      <w:r w:rsidR="00671BDE">
        <w:rPr>
          <w:rFonts w:asciiTheme="minorHAnsi" w:hAnsiTheme="minorHAnsi" w:cstheme="minorHAnsi"/>
          <w:sz w:val="22"/>
          <w:szCs w:val="22"/>
          <w:shd w:val="clear" w:color="auto" w:fill="FFFFFF"/>
        </w:rPr>
        <w:t>than</w:t>
      </w:r>
      <w:r w:rsidR="00EE0F89" w:rsidRPr="004B0BC2">
        <w:rPr>
          <w:rFonts w:asciiTheme="minorHAnsi" w:hAnsiTheme="minorHAnsi" w:cstheme="minorHAnsi"/>
          <w:sz w:val="22"/>
          <w:szCs w:val="22"/>
          <w:shd w:val="clear" w:color="auto" w:fill="FFFFFF"/>
        </w:rPr>
        <w:t xml:space="preserve"> </w:t>
      </w:r>
      <w:r w:rsidR="00EE0F89" w:rsidRPr="00500FBD">
        <w:rPr>
          <w:rFonts w:asciiTheme="minorHAnsi" w:hAnsiTheme="minorHAnsi" w:cstheme="minorHAnsi"/>
          <w:i/>
          <w:sz w:val="22"/>
          <w:szCs w:val="22"/>
          <w:shd w:val="clear" w:color="auto" w:fill="FFFFFF"/>
        </w:rPr>
        <w:t>I</w:t>
      </w:r>
      <w:r w:rsidR="000250B5">
        <w:rPr>
          <w:rFonts w:asciiTheme="minorHAnsi" w:hAnsiTheme="minorHAnsi" w:cstheme="minorHAnsi"/>
          <w:i/>
          <w:sz w:val="22"/>
          <w:szCs w:val="22"/>
          <w:shd w:val="clear" w:color="auto" w:fill="FFFFFF"/>
        </w:rPr>
        <w:t>rak</w:t>
      </w:r>
      <w:r w:rsidR="00EE0F89" w:rsidRPr="00500FBD">
        <w:rPr>
          <w:rFonts w:asciiTheme="minorHAnsi" w:hAnsiTheme="minorHAnsi" w:cstheme="minorHAnsi"/>
          <w:i/>
          <w:sz w:val="22"/>
          <w:szCs w:val="22"/>
          <w:shd w:val="clear" w:color="auto" w:fill="FFFFFF"/>
        </w:rPr>
        <w:t>1</w:t>
      </w:r>
      <w:r w:rsidR="00EE0F89" w:rsidRPr="004B0BC2">
        <w:rPr>
          <w:rFonts w:asciiTheme="minorHAnsi" w:hAnsiTheme="minorHAnsi" w:cstheme="minorHAnsi"/>
          <w:sz w:val="22"/>
          <w:szCs w:val="22"/>
          <w:shd w:val="clear" w:color="auto" w:fill="FFFFFF"/>
        </w:rPr>
        <w:t xml:space="preserve">-deficient and </w:t>
      </w:r>
      <w:r w:rsidR="00EE0F89" w:rsidRPr="00500FBD">
        <w:rPr>
          <w:rFonts w:asciiTheme="minorHAnsi" w:hAnsiTheme="minorHAnsi" w:cstheme="minorHAnsi"/>
          <w:i/>
          <w:sz w:val="22"/>
          <w:szCs w:val="22"/>
          <w:shd w:val="clear" w:color="auto" w:fill="FFFFFF"/>
        </w:rPr>
        <w:t>I</w:t>
      </w:r>
      <w:r w:rsidR="000250B5">
        <w:rPr>
          <w:rFonts w:asciiTheme="minorHAnsi" w:hAnsiTheme="minorHAnsi" w:cstheme="minorHAnsi"/>
          <w:i/>
          <w:sz w:val="22"/>
          <w:szCs w:val="22"/>
          <w:shd w:val="clear" w:color="auto" w:fill="FFFFFF"/>
        </w:rPr>
        <w:t>rak</w:t>
      </w:r>
      <w:r w:rsidR="00EE0F89" w:rsidRPr="00500FBD">
        <w:rPr>
          <w:rFonts w:asciiTheme="minorHAnsi" w:hAnsiTheme="minorHAnsi" w:cstheme="minorHAnsi"/>
          <w:i/>
          <w:sz w:val="22"/>
          <w:szCs w:val="22"/>
          <w:shd w:val="clear" w:color="auto" w:fill="FFFFFF"/>
        </w:rPr>
        <w:t>1</w:t>
      </w:r>
      <w:r w:rsidR="00EE0F89" w:rsidRPr="004B0BC2">
        <w:rPr>
          <w:rFonts w:asciiTheme="minorHAnsi" w:hAnsiTheme="minorHAnsi" w:cstheme="minorHAnsi"/>
          <w:sz w:val="22"/>
          <w:szCs w:val="22"/>
          <w:shd w:val="clear" w:color="auto" w:fill="FFFFFF"/>
        </w:rPr>
        <w:t>-mosaic mice</w:t>
      </w:r>
      <w:r w:rsidRPr="004B0BC2">
        <w:rPr>
          <w:rFonts w:asciiTheme="minorHAnsi" w:hAnsiTheme="minorHAnsi" w:cstheme="minorHAnsi"/>
          <w:sz w:val="22"/>
          <w:szCs w:val="22"/>
        </w:rPr>
        <w:t xml:space="preserve"> (</w:t>
      </w:r>
      <w:r w:rsidR="008F59EA" w:rsidRPr="004B0BC2">
        <w:rPr>
          <w:rFonts w:asciiTheme="minorHAnsi" w:hAnsiTheme="minorHAnsi" w:cstheme="minorHAnsi"/>
          <w:sz w:val="22"/>
          <w:szCs w:val="22"/>
        </w:rPr>
        <w:t>p</w:t>
      </w:r>
      <w:r w:rsidRPr="004B0BC2">
        <w:rPr>
          <w:rFonts w:asciiTheme="minorHAnsi" w:hAnsiTheme="minorHAnsi" w:cstheme="minorHAnsi"/>
          <w:sz w:val="22"/>
          <w:szCs w:val="22"/>
        </w:rPr>
        <w:t>&lt;0.01).</w:t>
      </w:r>
      <w:r w:rsidR="004D6B67" w:rsidRPr="004B0BC2">
        <w:rPr>
          <w:rFonts w:asciiTheme="minorHAnsi" w:hAnsiTheme="minorHAnsi" w:cstheme="minorHAnsi"/>
          <w:sz w:val="22"/>
          <w:szCs w:val="22"/>
          <w:shd w:val="clear" w:color="auto" w:fill="FFFFFF"/>
        </w:rPr>
        <w:t xml:space="preserve"> </w:t>
      </w:r>
      <w:r w:rsidR="00BD1D63" w:rsidRPr="004B0BC2">
        <w:rPr>
          <w:rFonts w:asciiTheme="minorHAnsi" w:hAnsiTheme="minorHAnsi" w:cstheme="minorHAnsi"/>
          <w:sz w:val="22"/>
          <w:szCs w:val="22"/>
          <w:shd w:val="clear" w:color="auto" w:fill="FFFFFF"/>
        </w:rPr>
        <w:t xml:space="preserve">Moreover, </w:t>
      </w:r>
      <w:r w:rsidR="004D6B67" w:rsidRPr="004B0BC2">
        <w:rPr>
          <w:rFonts w:asciiTheme="minorHAnsi" w:hAnsiTheme="minorHAnsi" w:cstheme="minorHAnsi"/>
          <w:sz w:val="22"/>
          <w:szCs w:val="22"/>
          <w:shd w:val="clear" w:color="auto" w:fill="FFFFFF"/>
        </w:rPr>
        <w:t xml:space="preserve">serum, lung and splenic IL-6 concentrations were significantly lower in </w:t>
      </w:r>
      <w:r w:rsidR="004D6B67" w:rsidRPr="00500FBD">
        <w:rPr>
          <w:rFonts w:asciiTheme="minorHAnsi" w:hAnsiTheme="minorHAnsi" w:cstheme="minorHAnsi"/>
          <w:i/>
          <w:sz w:val="22"/>
          <w:szCs w:val="22"/>
          <w:shd w:val="clear" w:color="auto" w:fill="FFFFFF"/>
        </w:rPr>
        <w:t>I</w:t>
      </w:r>
      <w:r w:rsidR="000250B5">
        <w:rPr>
          <w:rFonts w:asciiTheme="minorHAnsi" w:hAnsiTheme="minorHAnsi" w:cstheme="minorHAnsi"/>
          <w:i/>
          <w:sz w:val="22"/>
          <w:szCs w:val="22"/>
          <w:shd w:val="clear" w:color="auto" w:fill="FFFFFF"/>
        </w:rPr>
        <w:t>rak</w:t>
      </w:r>
      <w:r w:rsidR="004D6B67" w:rsidRPr="00500FBD">
        <w:rPr>
          <w:rFonts w:asciiTheme="minorHAnsi" w:hAnsiTheme="minorHAnsi" w:cstheme="minorHAnsi"/>
          <w:i/>
          <w:sz w:val="22"/>
          <w:szCs w:val="22"/>
          <w:shd w:val="clear" w:color="auto" w:fill="FFFFFF"/>
        </w:rPr>
        <w:t>1</w:t>
      </w:r>
      <w:r w:rsidR="004D6B67" w:rsidRPr="004B0BC2">
        <w:rPr>
          <w:rFonts w:asciiTheme="minorHAnsi" w:hAnsiTheme="minorHAnsi" w:cstheme="minorHAnsi"/>
          <w:sz w:val="22"/>
          <w:szCs w:val="22"/>
          <w:shd w:val="clear" w:color="auto" w:fill="FFFFFF"/>
        </w:rPr>
        <w:t xml:space="preserve">-mosaic mice </w:t>
      </w:r>
      <w:r w:rsidR="00671BDE">
        <w:rPr>
          <w:rFonts w:asciiTheme="minorHAnsi" w:hAnsiTheme="minorHAnsi" w:cstheme="minorHAnsi"/>
          <w:sz w:val="22"/>
          <w:szCs w:val="22"/>
          <w:shd w:val="clear" w:color="auto" w:fill="FFFFFF"/>
        </w:rPr>
        <w:t>than in</w:t>
      </w:r>
      <w:r w:rsidR="004D6B67" w:rsidRPr="004B0BC2">
        <w:rPr>
          <w:rFonts w:asciiTheme="minorHAnsi" w:hAnsiTheme="minorHAnsi" w:cstheme="minorHAnsi"/>
          <w:sz w:val="22"/>
          <w:szCs w:val="22"/>
          <w:shd w:val="clear" w:color="auto" w:fill="FFFFFF"/>
        </w:rPr>
        <w:t xml:space="preserve"> </w:t>
      </w:r>
      <w:r w:rsidR="00BD1D63" w:rsidRPr="004B0BC2">
        <w:rPr>
          <w:rFonts w:asciiTheme="minorHAnsi" w:hAnsiTheme="minorHAnsi" w:cstheme="minorHAnsi"/>
          <w:sz w:val="22"/>
          <w:szCs w:val="22"/>
          <w:shd w:val="clear" w:color="auto" w:fill="FFFFFF"/>
        </w:rPr>
        <w:t>w</w:t>
      </w:r>
      <w:r w:rsidR="004D6B67" w:rsidRPr="004B0BC2">
        <w:rPr>
          <w:rFonts w:asciiTheme="minorHAnsi" w:hAnsiTheme="minorHAnsi" w:cstheme="minorHAnsi"/>
          <w:sz w:val="22"/>
          <w:szCs w:val="22"/>
          <w:shd w:val="clear" w:color="auto" w:fill="FFFFFF"/>
        </w:rPr>
        <w:t>ild</w:t>
      </w:r>
      <w:r w:rsidR="00671BDE">
        <w:rPr>
          <w:rFonts w:asciiTheme="minorHAnsi" w:hAnsiTheme="minorHAnsi" w:cstheme="minorHAnsi"/>
          <w:sz w:val="22"/>
          <w:szCs w:val="22"/>
          <w:shd w:val="clear" w:color="auto" w:fill="FFFFFF"/>
        </w:rPr>
        <w:t>-</w:t>
      </w:r>
      <w:r w:rsidR="00BD1D63" w:rsidRPr="004B0BC2">
        <w:rPr>
          <w:rFonts w:asciiTheme="minorHAnsi" w:hAnsiTheme="minorHAnsi" w:cstheme="minorHAnsi"/>
          <w:sz w:val="22"/>
          <w:szCs w:val="22"/>
          <w:shd w:val="clear" w:color="auto" w:fill="FFFFFF"/>
        </w:rPr>
        <w:t>t</w:t>
      </w:r>
      <w:r w:rsidR="004D6B67" w:rsidRPr="004B0BC2">
        <w:rPr>
          <w:rFonts w:asciiTheme="minorHAnsi" w:hAnsiTheme="minorHAnsi" w:cstheme="minorHAnsi"/>
          <w:sz w:val="22"/>
          <w:szCs w:val="22"/>
          <w:shd w:val="clear" w:color="auto" w:fill="FFFFFF"/>
        </w:rPr>
        <w:t>ype</w:t>
      </w:r>
      <w:r w:rsidR="00BD1D63" w:rsidRPr="004B0BC2">
        <w:rPr>
          <w:rFonts w:asciiTheme="minorHAnsi" w:hAnsiTheme="minorHAnsi" w:cstheme="minorHAnsi"/>
          <w:sz w:val="22"/>
          <w:szCs w:val="22"/>
          <w:shd w:val="clear" w:color="auto" w:fill="FFFFFF"/>
        </w:rPr>
        <w:t xml:space="preserve"> subjects </w:t>
      </w:r>
      <w:r w:rsidR="004D6B67" w:rsidRPr="004B0BC2">
        <w:rPr>
          <w:rFonts w:asciiTheme="minorHAnsi" w:hAnsiTheme="minorHAnsi" w:cstheme="minorHAnsi"/>
          <w:sz w:val="22"/>
          <w:szCs w:val="22"/>
          <w:shd w:val="clear" w:color="auto" w:fill="FFFFFF"/>
        </w:rPr>
        <w:t>(</w:t>
      </w:r>
      <w:r w:rsidR="008F59EA" w:rsidRPr="004B0BC2">
        <w:rPr>
          <w:rFonts w:asciiTheme="minorHAnsi" w:hAnsiTheme="minorHAnsi" w:cstheme="minorHAnsi"/>
          <w:sz w:val="22"/>
          <w:szCs w:val="22"/>
          <w:shd w:val="clear" w:color="auto" w:fill="FFFFFF"/>
        </w:rPr>
        <w:t>p</w:t>
      </w:r>
      <w:r w:rsidR="004D6B67" w:rsidRPr="004B0BC2">
        <w:rPr>
          <w:rFonts w:asciiTheme="minorHAnsi" w:hAnsiTheme="minorHAnsi" w:cstheme="minorHAnsi"/>
          <w:sz w:val="22"/>
          <w:szCs w:val="22"/>
          <w:shd w:val="clear" w:color="auto" w:fill="FFFFFF"/>
        </w:rPr>
        <w:t xml:space="preserve">&lt;0.05). </w:t>
      </w:r>
      <w:r w:rsidR="00671BDE">
        <w:rPr>
          <w:rFonts w:asciiTheme="minorHAnsi" w:hAnsiTheme="minorHAnsi" w:cstheme="minorHAnsi"/>
          <w:sz w:val="22"/>
          <w:szCs w:val="22"/>
        </w:rPr>
        <w:t>N</w:t>
      </w:r>
      <w:r w:rsidRPr="004B0BC2">
        <w:rPr>
          <w:rFonts w:asciiTheme="minorHAnsi" w:hAnsiTheme="minorHAnsi" w:cstheme="minorHAnsi"/>
          <w:sz w:val="22"/>
          <w:szCs w:val="22"/>
        </w:rPr>
        <w:t xml:space="preserve">o statistical differences </w:t>
      </w:r>
      <w:r w:rsidR="00671BDE">
        <w:rPr>
          <w:rFonts w:asciiTheme="minorHAnsi" w:hAnsiTheme="minorHAnsi" w:cstheme="minorHAnsi"/>
          <w:sz w:val="22"/>
          <w:szCs w:val="22"/>
        </w:rPr>
        <w:t xml:space="preserve">were observed </w:t>
      </w:r>
      <w:r w:rsidRPr="004B0BC2">
        <w:rPr>
          <w:rFonts w:asciiTheme="minorHAnsi" w:hAnsiTheme="minorHAnsi" w:cstheme="minorHAnsi"/>
          <w:sz w:val="22"/>
          <w:szCs w:val="22"/>
        </w:rPr>
        <w:t xml:space="preserve">in </w:t>
      </w:r>
      <w:r w:rsidR="006F43AA" w:rsidRPr="004B0BC2">
        <w:rPr>
          <w:rFonts w:asciiTheme="minorHAnsi" w:hAnsiTheme="minorHAnsi" w:cstheme="minorHAnsi"/>
          <w:sz w:val="22"/>
          <w:szCs w:val="22"/>
        </w:rPr>
        <w:lastRenderedPageBreak/>
        <w:t>bacteraemia</w:t>
      </w:r>
      <w:r w:rsidRPr="004B0BC2">
        <w:rPr>
          <w:rFonts w:asciiTheme="minorHAnsi" w:hAnsiTheme="minorHAnsi" w:cstheme="minorHAnsi"/>
          <w:sz w:val="22"/>
          <w:szCs w:val="22"/>
        </w:rPr>
        <w:t xml:space="preserve"> among the groups</w:t>
      </w:r>
      <w:r w:rsidR="00671BDE">
        <w:rPr>
          <w:rFonts w:asciiTheme="minorHAnsi" w:hAnsiTheme="minorHAnsi" w:cstheme="minorHAnsi"/>
          <w:sz w:val="22"/>
          <w:szCs w:val="22"/>
        </w:rPr>
        <w:t>,</w:t>
      </w:r>
      <w:r w:rsidR="00EE0F89" w:rsidRPr="004B0BC2">
        <w:rPr>
          <w:rFonts w:asciiTheme="minorHAnsi" w:hAnsiTheme="minorHAnsi" w:cstheme="minorHAnsi"/>
          <w:sz w:val="22"/>
          <w:szCs w:val="22"/>
        </w:rPr>
        <w:t xml:space="preserve"> suggesting that the difference in mortality rates between mice cohorts was related to differences in immunological and inflammatory responses</w:t>
      </w:r>
      <w:r w:rsidR="00B471C8">
        <w:rPr>
          <w:rFonts w:asciiTheme="minorHAnsi" w:hAnsiTheme="minorHAnsi" w:cstheme="minorHAnsi"/>
          <w:sz w:val="22"/>
          <w:szCs w:val="22"/>
        </w:rPr>
        <w:t xml:space="preserve"> rather than bacterial load</w:t>
      </w:r>
      <w:r w:rsidR="0035636E" w:rsidRPr="0035636E">
        <w:rPr>
          <w:rFonts w:asciiTheme="minorHAnsi" w:hAnsiTheme="minorHAnsi" w:cstheme="minorHAnsi"/>
          <w:sz w:val="22"/>
          <w:szCs w:val="22"/>
        </w:rPr>
        <w:t>.</w:t>
      </w:r>
      <w:r w:rsidR="003C11E1">
        <w:rPr>
          <w:rFonts w:asciiTheme="minorHAnsi" w:hAnsiTheme="minorHAnsi" w:cstheme="minorHAnsi"/>
          <w:sz w:val="22"/>
          <w:szCs w:val="22"/>
        </w:rPr>
        <w:t xml:space="preserve"> </w:t>
      </w:r>
      <w:r w:rsidR="004D6B67" w:rsidRPr="004B0BC2">
        <w:rPr>
          <w:rFonts w:asciiTheme="minorHAnsi" w:hAnsiTheme="minorHAnsi" w:cstheme="minorHAnsi"/>
          <w:sz w:val="22"/>
          <w:szCs w:val="22"/>
        </w:rPr>
        <w:t xml:space="preserve">Thus, cellular mosaicism for </w:t>
      </w:r>
      <w:r w:rsidR="004D6B67" w:rsidRPr="00500FBD">
        <w:rPr>
          <w:rFonts w:asciiTheme="minorHAnsi" w:hAnsiTheme="minorHAnsi" w:cstheme="minorHAnsi"/>
          <w:i/>
          <w:sz w:val="22"/>
          <w:szCs w:val="22"/>
        </w:rPr>
        <w:t>IRAK1</w:t>
      </w:r>
      <w:r w:rsidR="00B471C8">
        <w:rPr>
          <w:rFonts w:asciiTheme="minorHAnsi" w:hAnsiTheme="minorHAnsi" w:cstheme="minorHAnsi"/>
          <w:i/>
          <w:sz w:val="22"/>
          <w:szCs w:val="22"/>
        </w:rPr>
        <w:t xml:space="preserve"> </w:t>
      </w:r>
      <w:r w:rsidR="00B471C8">
        <w:rPr>
          <w:rFonts w:asciiTheme="minorHAnsi" w:hAnsiTheme="minorHAnsi" w:cstheme="minorHAnsi"/>
          <w:iCs/>
          <w:sz w:val="22"/>
          <w:szCs w:val="22"/>
        </w:rPr>
        <w:t xml:space="preserve">related to the presence of 2 copies in females with </w:t>
      </w:r>
      <w:r w:rsidR="004D6819">
        <w:rPr>
          <w:rFonts w:asciiTheme="minorHAnsi" w:hAnsiTheme="minorHAnsi" w:cstheme="minorHAnsi"/>
          <w:iCs/>
          <w:sz w:val="22"/>
          <w:szCs w:val="22"/>
        </w:rPr>
        <w:t>two</w:t>
      </w:r>
      <w:r w:rsidR="00B471C8">
        <w:rPr>
          <w:rFonts w:asciiTheme="minorHAnsi" w:hAnsiTheme="minorHAnsi" w:cstheme="minorHAnsi"/>
          <w:iCs/>
          <w:sz w:val="22"/>
          <w:szCs w:val="22"/>
        </w:rPr>
        <w:t xml:space="preserve"> X chromosomes</w:t>
      </w:r>
      <w:r w:rsidR="00671BDE">
        <w:rPr>
          <w:rFonts w:asciiTheme="minorHAnsi" w:hAnsiTheme="minorHAnsi" w:cstheme="minorHAnsi"/>
          <w:sz w:val="22"/>
          <w:szCs w:val="22"/>
        </w:rPr>
        <w:t xml:space="preserve"> </w:t>
      </w:r>
      <w:r w:rsidR="004D6B67" w:rsidRPr="004B0BC2">
        <w:rPr>
          <w:rFonts w:asciiTheme="minorHAnsi" w:hAnsiTheme="minorHAnsi" w:cstheme="minorHAnsi"/>
          <w:sz w:val="22"/>
          <w:szCs w:val="22"/>
        </w:rPr>
        <w:t>m</w:t>
      </w:r>
      <w:r w:rsidR="00671BDE">
        <w:rPr>
          <w:rFonts w:asciiTheme="minorHAnsi" w:hAnsiTheme="minorHAnsi" w:cstheme="minorHAnsi"/>
          <w:sz w:val="22"/>
          <w:szCs w:val="22"/>
        </w:rPr>
        <w:t>ight</w:t>
      </w:r>
      <w:r w:rsidR="004D6B67" w:rsidRPr="004B0BC2">
        <w:rPr>
          <w:rFonts w:asciiTheme="minorHAnsi" w:hAnsiTheme="minorHAnsi" w:cstheme="minorHAnsi"/>
          <w:sz w:val="22"/>
          <w:szCs w:val="22"/>
        </w:rPr>
        <w:t xml:space="preserve"> offer immunological protection compared </w:t>
      </w:r>
      <w:r w:rsidR="00671BDE">
        <w:rPr>
          <w:rFonts w:asciiTheme="minorHAnsi" w:hAnsiTheme="minorHAnsi" w:cstheme="minorHAnsi"/>
          <w:sz w:val="22"/>
          <w:szCs w:val="22"/>
        </w:rPr>
        <w:t>with</w:t>
      </w:r>
      <w:r w:rsidR="00671BDE" w:rsidRPr="004B0BC2">
        <w:rPr>
          <w:rFonts w:asciiTheme="minorHAnsi" w:hAnsiTheme="minorHAnsi" w:cstheme="minorHAnsi"/>
          <w:sz w:val="22"/>
          <w:szCs w:val="22"/>
        </w:rPr>
        <w:t xml:space="preserve"> </w:t>
      </w:r>
      <w:r w:rsidR="004D6B67" w:rsidRPr="004B0BC2">
        <w:rPr>
          <w:rFonts w:asciiTheme="minorHAnsi" w:hAnsiTheme="minorHAnsi" w:cstheme="minorHAnsi"/>
          <w:sz w:val="22"/>
          <w:szCs w:val="22"/>
        </w:rPr>
        <w:t xml:space="preserve">single X chromosome gene representation. </w:t>
      </w:r>
    </w:p>
    <w:p w14:paraId="352F6759" w14:textId="769C837E" w:rsidR="00BD1D63" w:rsidRPr="004B0BC2" w:rsidRDefault="00BD1D63" w:rsidP="00B66369">
      <w:pPr>
        <w:spacing w:line="480" w:lineRule="auto"/>
        <w:rPr>
          <w:rFonts w:asciiTheme="minorHAnsi" w:hAnsiTheme="minorHAnsi" w:cstheme="minorHAnsi"/>
          <w:sz w:val="22"/>
          <w:szCs w:val="22"/>
        </w:rPr>
      </w:pPr>
    </w:p>
    <w:p w14:paraId="0994E6C1" w14:textId="3492A101" w:rsidR="008F59EA" w:rsidRPr="004B0BC2" w:rsidRDefault="00BD1D63"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T</w:t>
      </w:r>
      <w:r w:rsidR="00241B23">
        <w:rPr>
          <w:rFonts w:asciiTheme="minorHAnsi" w:hAnsiTheme="minorHAnsi" w:cstheme="minorHAnsi"/>
          <w:sz w:val="22"/>
          <w:szCs w:val="22"/>
        </w:rPr>
        <w:t>aken together, t</w:t>
      </w:r>
      <w:r w:rsidRPr="004B0BC2">
        <w:rPr>
          <w:rFonts w:asciiTheme="minorHAnsi" w:hAnsiTheme="minorHAnsi" w:cstheme="minorHAnsi"/>
          <w:sz w:val="22"/>
          <w:szCs w:val="22"/>
        </w:rPr>
        <w:t xml:space="preserve">hese two animal studies suggest that cellular mosaicism for </w:t>
      </w:r>
      <w:r w:rsidR="007F24DD" w:rsidRPr="004B0BC2">
        <w:rPr>
          <w:rFonts w:asciiTheme="minorHAnsi" w:hAnsiTheme="minorHAnsi" w:cstheme="minorHAnsi"/>
          <w:sz w:val="22"/>
          <w:szCs w:val="22"/>
        </w:rPr>
        <w:t>X</w:t>
      </w:r>
      <w:r w:rsidRPr="004B0BC2">
        <w:rPr>
          <w:rFonts w:asciiTheme="minorHAnsi" w:hAnsiTheme="minorHAnsi" w:cstheme="minorHAnsi"/>
          <w:sz w:val="22"/>
          <w:szCs w:val="22"/>
        </w:rPr>
        <w:t>-linked genes and</w:t>
      </w:r>
      <w:r w:rsidR="00241B23">
        <w:rPr>
          <w:rFonts w:asciiTheme="minorHAnsi" w:hAnsiTheme="minorHAnsi" w:cstheme="minorHAnsi"/>
          <w:sz w:val="22"/>
          <w:szCs w:val="22"/>
        </w:rPr>
        <w:t>, therefore,</w:t>
      </w:r>
      <w:r w:rsidRPr="004B0BC2">
        <w:rPr>
          <w:rFonts w:asciiTheme="minorHAnsi" w:hAnsiTheme="minorHAnsi" w:cstheme="minorHAnsi"/>
          <w:sz w:val="22"/>
          <w:szCs w:val="22"/>
        </w:rPr>
        <w:t xml:space="preserve"> the additional X chromosome in women</w:t>
      </w:r>
      <w:r w:rsidR="00241B23">
        <w:rPr>
          <w:rFonts w:asciiTheme="minorHAnsi" w:hAnsiTheme="minorHAnsi" w:cstheme="minorHAnsi"/>
          <w:sz w:val="22"/>
          <w:szCs w:val="22"/>
        </w:rPr>
        <w:t>,</w:t>
      </w:r>
      <w:r w:rsidRPr="004B0BC2">
        <w:rPr>
          <w:rFonts w:asciiTheme="minorHAnsi" w:hAnsiTheme="minorHAnsi" w:cstheme="minorHAnsi"/>
          <w:sz w:val="22"/>
          <w:szCs w:val="22"/>
        </w:rPr>
        <w:t xml:space="preserve"> </w:t>
      </w:r>
      <w:r w:rsidR="00241B23" w:rsidRPr="004B0BC2">
        <w:rPr>
          <w:rFonts w:asciiTheme="minorHAnsi" w:hAnsiTheme="minorHAnsi" w:cstheme="minorHAnsi"/>
          <w:sz w:val="22"/>
          <w:szCs w:val="22"/>
        </w:rPr>
        <w:t>m</w:t>
      </w:r>
      <w:r w:rsidR="00241B23">
        <w:rPr>
          <w:rFonts w:asciiTheme="minorHAnsi" w:hAnsiTheme="minorHAnsi" w:cstheme="minorHAnsi"/>
          <w:sz w:val="22"/>
          <w:szCs w:val="22"/>
        </w:rPr>
        <w:t>ight</w:t>
      </w:r>
      <w:r w:rsidR="00241B23" w:rsidRPr="004B0BC2">
        <w:rPr>
          <w:rFonts w:asciiTheme="minorHAnsi" w:hAnsiTheme="minorHAnsi" w:cstheme="minorHAnsi"/>
          <w:sz w:val="22"/>
          <w:szCs w:val="22"/>
        </w:rPr>
        <w:t xml:space="preserve"> </w:t>
      </w:r>
      <w:r w:rsidRPr="004B0BC2">
        <w:rPr>
          <w:rFonts w:asciiTheme="minorHAnsi" w:hAnsiTheme="minorHAnsi" w:cstheme="minorHAnsi"/>
          <w:sz w:val="22"/>
          <w:szCs w:val="22"/>
        </w:rPr>
        <w:t xml:space="preserve">provide immunological protection. </w:t>
      </w:r>
    </w:p>
    <w:p w14:paraId="7FAE7017" w14:textId="77777777" w:rsidR="00334841" w:rsidRPr="004B0BC2" w:rsidRDefault="00334841" w:rsidP="00271A3B">
      <w:pPr>
        <w:spacing w:line="480" w:lineRule="auto"/>
        <w:rPr>
          <w:rFonts w:asciiTheme="minorHAnsi" w:hAnsiTheme="minorHAnsi" w:cstheme="minorHAnsi"/>
          <w:sz w:val="22"/>
          <w:szCs w:val="22"/>
        </w:rPr>
      </w:pPr>
    </w:p>
    <w:p w14:paraId="7A51BCD6" w14:textId="0AA91610" w:rsidR="00334841" w:rsidRPr="004B0BC2" w:rsidRDefault="00241B23" w:rsidP="00B66369">
      <w:pPr>
        <w:pStyle w:val="NoSpacing"/>
        <w:spacing w:line="480" w:lineRule="auto"/>
        <w:rPr>
          <w:rFonts w:cstheme="minorHAnsi"/>
          <w:i/>
          <w:iCs/>
          <w:sz w:val="22"/>
          <w:szCs w:val="22"/>
          <w:shd w:val="clear" w:color="auto" w:fill="FFFFFF"/>
        </w:rPr>
      </w:pPr>
      <w:r>
        <w:rPr>
          <w:rFonts w:cstheme="minorHAnsi"/>
          <w:i/>
          <w:iCs/>
          <w:sz w:val="22"/>
          <w:szCs w:val="22"/>
          <w:shd w:val="clear" w:color="auto" w:fill="FFFFFF"/>
        </w:rPr>
        <w:t>[H2]</w:t>
      </w:r>
      <w:r w:rsidR="00334841" w:rsidRPr="004B0BC2">
        <w:rPr>
          <w:rFonts w:cstheme="minorHAnsi"/>
          <w:i/>
          <w:iCs/>
          <w:sz w:val="22"/>
          <w:szCs w:val="22"/>
          <w:shd w:val="clear" w:color="auto" w:fill="FFFFFF"/>
        </w:rPr>
        <w:t>Receptor Expression</w:t>
      </w:r>
    </w:p>
    <w:p w14:paraId="35AE5987" w14:textId="0C73F980" w:rsidR="00334841" w:rsidRPr="004B0BC2" w:rsidRDefault="00F9406E" w:rsidP="00B66369">
      <w:pPr>
        <w:spacing w:line="480" w:lineRule="auto"/>
        <w:rPr>
          <w:rFonts w:asciiTheme="minorHAnsi" w:hAnsiTheme="minorHAnsi" w:cstheme="minorHAnsi"/>
          <w:sz w:val="22"/>
          <w:szCs w:val="22"/>
        </w:rPr>
      </w:pPr>
      <w:r w:rsidRPr="00F6487C">
        <w:rPr>
          <w:rFonts w:asciiTheme="minorHAnsi" w:hAnsiTheme="minorHAnsi" w:cstheme="minorHAnsi"/>
          <w:sz w:val="22"/>
          <w:szCs w:val="22"/>
          <w:shd w:val="clear" w:color="auto" w:fill="FFFFFF"/>
        </w:rPr>
        <w:t>T</w:t>
      </w:r>
      <w:r w:rsidR="0092673D" w:rsidRPr="00F6487C">
        <w:rPr>
          <w:rFonts w:asciiTheme="minorHAnsi" w:hAnsiTheme="minorHAnsi" w:cstheme="minorHAnsi"/>
          <w:sz w:val="22"/>
          <w:szCs w:val="22"/>
          <w:shd w:val="clear" w:color="auto" w:fill="FFFFFF"/>
        </w:rPr>
        <w:t>he</w:t>
      </w:r>
      <w:r w:rsidR="00334841" w:rsidRPr="00F6487C">
        <w:rPr>
          <w:rFonts w:asciiTheme="minorHAnsi" w:hAnsiTheme="minorHAnsi" w:cstheme="minorHAnsi"/>
          <w:sz w:val="22"/>
          <w:szCs w:val="22"/>
          <w:shd w:val="clear" w:color="auto" w:fill="FFFFFF"/>
        </w:rPr>
        <w:t xml:space="preserve"> </w:t>
      </w:r>
      <w:r w:rsidR="000250B5" w:rsidRPr="00F6487C">
        <w:rPr>
          <w:rFonts w:asciiTheme="minorHAnsi" w:hAnsiTheme="minorHAnsi" w:cstheme="minorHAnsi"/>
          <w:sz w:val="22"/>
          <w:szCs w:val="22"/>
          <w:shd w:val="clear" w:color="auto" w:fill="FFFFFF"/>
        </w:rPr>
        <w:t xml:space="preserve">SARS CoV spike protein binds to </w:t>
      </w:r>
      <w:r w:rsidR="007F24DD" w:rsidRPr="00F6487C">
        <w:rPr>
          <w:rFonts w:asciiTheme="minorHAnsi" w:hAnsiTheme="minorHAnsi" w:cstheme="minorHAnsi"/>
          <w:sz w:val="22"/>
          <w:szCs w:val="22"/>
          <w:shd w:val="clear" w:color="auto" w:fill="FFFFFF"/>
        </w:rPr>
        <w:t>a</w:t>
      </w:r>
      <w:r w:rsidR="00334841" w:rsidRPr="00F6487C">
        <w:rPr>
          <w:rFonts w:asciiTheme="minorHAnsi" w:hAnsiTheme="minorHAnsi" w:cstheme="minorHAnsi"/>
          <w:sz w:val="22"/>
          <w:szCs w:val="22"/>
          <w:shd w:val="clear" w:color="auto" w:fill="FFFFFF"/>
        </w:rPr>
        <w:t>ngiotensin-converting enzyme 2 (ACE2)</w:t>
      </w:r>
      <w:r w:rsidR="00F6487C" w:rsidRPr="000242C7">
        <w:rPr>
          <w:rFonts w:asciiTheme="minorHAnsi" w:hAnsiTheme="minorHAnsi" w:cstheme="minorHAnsi"/>
          <w:sz w:val="22"/>
          <w:szCs w:val="22"/>
          <w:shd w:val="clear" w:color="auto" w:fill="FFFFFF"/>
        </w:rPr>
        <w:t xml:space="preserve"> receptor on ACE2- expressing cells </w:t>
      </w:r>
      <w:r w:rsidR="0092673D" w:rsidRPr="006F6B02">
        <w:rPr>
          <w:rFonts w:asciiTheme="minorHAnsi" w:hAnsiTheme="minorHAnsi" w:cstheme="minorHAnsi"/>
          <w:sz w:val="22"/>
          <w:szCs w:val="22"/>
          <w:shd w:val="clear" w:color="auto" w:fill="FFFFFF"/>
        </w:rPr>
        <w:t>to</w:t>
      </w:r>
      <w:r w:rsidR="00334841" w:rsidRPr="006F6B02">
        <w:rPr>
          <w:rFonts w:asciiTheme="minorHAnsi" w:hAnsiTheme="minorHAnsi" w:cstheme="minorHAnsi"/>
          <w:sz w:val="22"/>
          <w:szCs w:val="22"/>
          <w:shd w:val="clear" w:color="auto" w:fill="FFFFFF"/>
        </w:rPr>
        <w:t xml:space="preserve"> facilitate</w:t>
      </w:r>
      <w:r w:rsidR="00334841" w:rsidRPr="004B0BC2">
        <w:rPr>
          <w:rFonts w:asciiTheme="minorHAnsi" w:hAnsiTheme="minorHAnsi" w:cstheme="minorHAnsi"/>
          <w:sz w:val="22"/>
          <w:szCs w:val="22"/>
          <w:shd w:val="clear" w:color="auto" w:fill="FFFFFF"/>
        </w:rPr>
        <w:t xml:space="preserve"> </w:t>
      </w:r>
      <w:r w:rsidR="000250B5">
        <w:rPr>
          <w:rFonts w:asciiTheme="minorHAnsi" w:hAnsiTheme="minorHAnsi" w:cstheme="minorHAnsi"/>
          <w:sz w:val="22"/>
          <w:szCs w:val="22"/>
          <w:shd w:val="clear" w:color="auto" w:fill="FFFFFF"/>
        </w:rPr>
        <w:t xml:space="preserve">cell entry and </w:t>
      </w:r>
      <w:r w:rsidR="00334841" w:rsidRPr="004B0BC2">
        <w:rPr>
          <w:rFonts w:asciiTheme="minorHAnsi" w:hAnsiTheme="minorHAnsi" w:cstheme="minorHAnsi"/>
          <w:sz w:val="22"/>
          <w:szCs w:val="22"/>
          <w:shd w:val="clear" w:color="auto" w:fill="FFFFFF"/>
        </w:rPr>
        <w:t>viral replication</w:t>
      </w:r>
      <w:r w:rsidR="000250B5">
        <w:rPr>
          <w:rFonts w:asciiTheme="minorHAnsi" w:hAnsiTheme="minorHAnsi" w:cstheme="minorHAnsi"/>
          <w:sz w:val="22"/>
          <w:szCs w:val="22"/>
          <w:shd w:val="clear" w:color="auto" w:fill="FFFFFF"/>
        </w:rPr>
        <w:t xml:space="preserve">  </w:t>
      </w:r>
      <w:r w:rsidR="00F6487C">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{"citationItems":[{"id":"ITEM-1","itemData":{"DOI":"10.1038/s41586-020-2012-7","ISSN":"14764687","PMID":"32015507","abstract":"Since the outbreak of severe acute respiratory syndrome (SARS) 18 years ago, a large number of SARS-related coronaviruses (SARSr-CoVs) have been discovered in their natural reservoir host, bats1–4. Previous studies have shown that some bat SARSr-CoVs have the potential to infect humans5–7. Here we report the identification and characterization of a new coronavirus (2019-nCoV), which caused an epidemic of acute respiratory syndrome in humans in Wuhan, China. The epidemic, which started on 12 December 2019, had caused 2,794 laboratory-confirmed infections including 80 deaths by 26 January 2020. Full-length genome sequences were obtained from five patients at an early stage of the outbreak. The sequences are almost identical and share 79.6% sequence identity to SARS-CoV. Furthermore, we show that 2019-nCoV is 96% identical at the whole-genome level to a bat coronavirus. Pairwise protein sequence analysis of seven conserved non-structural proteins domains show that this virus belongs to the species of SARSr-CoV. In addition, 2019-nCoV virus isolated from the bronchoalveolar lavage fluid of a critically ill patient could be neutralized by sera from several patients. Notably, we confirmed that 2019-nCoV uses the same cell entry receptor—angiotensin converting enzyme II (ACE2)—as SARS-CoV.","author":[{"dropping-particle":"","family":"Zhou","given":"Peng","non-dropping-particle":"","parse-names":false,"suffix":""},{"dropping-particle":"Lou","family":"Yang","given":"Xing","non-dropping-particle":"","parse-names":false,"suffix":""},{"dropping-particle":"","family":"Wang","given":"Xian Guang","non-dropping-particle":"","parse-names":false,"suffix":""},{"dropping-particle":"","family":"Hu","given":"Ben","non-dropping-particle":"","parse-names":false,"suffix":""},{"dropping-particle":"","family":"Zhang","given":"Lei","non-dropping-particle":"","parse-names":false,"suffix":""},{"dropping-particle":"","family":"Zhang","given":"Wei","non-dropping-particle":"","parse-names":false,"suffix":""},{"dropping-particle":"","family":"Si","given":"Hao Rui","non-dropping-particle":"","parse-names":false,"suffix":""},{"dropping-particle":"","family":"Zhu","given":"Yan","non-dropping-particle":"","parse-names":false,"suffix":""},{"dropping-particle":"","family":"Li","given":"Bei","non-dropping-particle":"","parse-names":false,"suffix":""},{"dropping-particle":"","family":"Huang","given":"Chao Lin","non-dropping-particle":"","parse-names":false,"suffix":""},{"dropping-particle":"","family":"Chen","given":"Hui Dong","non-dropping-particle":"","parse-names":false,"suffix":""},{"dropping-particle":"","family":"Chen","given":"Jing","non-dropping-particle":"","parse-names":false,"suffix":""},{"dropping-particle":"","family":"Luo","given":"Yun","non-dropping-particle":"","parse-names":false,"suffix":""},{"dropping-particle":"","family":"Guo","given":"Hua","non-dropping-particle":"","parse-names":false,"suffix":""},{"dropping-particle":"Di","family":"Jiang","given":"Ren","non-dropping-particle":"","parse-names":false,"suffix":""},{"dropping-particle":"","family":"Liu","given":"Mei Qin","non-dropping-particle":"","parse-names":false,"suffix":""},{"dropping-particle":"","family":"Chen","given":"Ying","non-dropping-particle":"","parse-names":false,"suffix":""},{"dropping-particle":"","family":"Shen","given":"Xu Rui","non-dropping-particle":"","parse-names":false,"suffix":""},{"dropping-particle":"","family":"Wang","given":"Xi","non-dropping-particle":"","parse-names":false,"suffix":""},{"dropping-particle":"","family":"Zheng","given":"Xiao Shuang","non-dropping-particle":"","parse-names":false,"suffix":""},{"dropping-particle":"","family":"Zhao","given":"Kai","non-dropping-particle":"","parse-names":false,"suffix":""},{"dropping-particle":"","family":"Chen","given":"Quan Jiao","non-dropping-particle":"","parse-names":false,"suffix":""},{"dropping-particle":"","family":"Deng","given":"Fei","non-dropping-particle":"","parse-names":false,"suffix":""},{"dropping-particle":"","family":"Liu","given":"Lin Lin","non-dropping-particle":"","parse-names":false,"suffix":""},{"dropping-particle":"","family":"Yan","given":"Bing","non-dropping-particle":"","parse-names":false,"suffix":""},{"dropping-particle":"","family":"Zhan","given":"Fa Xian","non-dropping-particle":"","parse-names":false,"suffix":""},{"dropping-particle":"","family":"Wang","given":"Yan Yi","non-dropping-particle":"","parse-names":false,"suffix":""},{"dropping-particle":"","family":"Xiao","given":"Geng Fu","non-dropping-particle":"","parse-names":false,"suffix":""},{"dropping-particle":"","family":"Shi","given":"Zheng Li","non-dropping-particle":"","parse-names":false,"suffix":""}],"container-title":"Nature","id":"ITEM-1","issued":{"date-parts":[["2020"]]},"page":"270-273","title":"A pneumonia outbreak associated with a new coronavirus of probable bat origin","type":"article-journal","volume":"579"},"uris":["http://www.mendeley.com/documents/?uuid=f6a00367-4c3e-4ab2-b596-bdc0bb72e80c"]}],"mendeley":{"formattedCitation":"(120)","plainTextFormattedCitation":"(120)","previouslyFormattedCitation":"(120)"},"properties":{"noteIndex":0},"schema":"https://github.com/citation-style-language/schema/raw/master/csl-citation.json"}</w:instrText>
      </w:r>
      <w:r w:rsidR="00F6487C">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(120)</w:t>
      </w:r>
      <w:r w:rsidR="00F6487C">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{"citationItems":[{"id":"ITEM-1","itemData":{"DOI":"10.1038/nature02145","ISSN":"00280836","PMID":"14647384","abstract":"Spike (S) proteins of coronaviruses, including the coronavirus that causes severe acute respiratory syndrome (SARS), associate with cellular receptors to mediate infection of their target cells. Here we identify a metallopeptidase, angiotensin-converting enzyme 2 (ACE2, isolated from SARS coronavirus (SARS-CoV)-permissive Vero E6 cells, that efficiently binds the S1 domain of the SARS-CoV S protein. We found that a soluble form of ACE2, but not of the related enzyme ACE1, blocked association of the S1 domain with Vero E6 cells. 293T cells transfected with ACE2, but not those transfected with human immunodeficiency virus-1 receptors, formed multinucleated syncytia with cells expressing S protein. Furthermore, SARS-CoV replicated efficiently on ACE2-transfected but not mock-transfected 293T cells. Finally, anti-ACE2 but not anti-ACE1 antibody blocked viral replication on Vero E6 cells. Together our data indicate that ACE2 is a functional receptor for SARS-CoV.","author":[{"dropping-particle":"","family":"Li","given":"Wenhui","non-dropping-particle":"","parse-names":false,"suffix":""},{"dropping-particle":"","family":"Moore","given":"Michael J.","non-dropping-particle":"","parse-names":false,"suffix":""},{"dropping-particle":"","family":"Vasllieva","given":"Natalya","non-dropping-particle":"","parse-names":false,"suffix":""},{"dropping-particle":"","family":"Sui","given":"Jianhua","non-dropping-particle":"","parse-names":false,"suffix":""},{"dropping-particle":"","family":"Wong","given":"Swee Kee","non-dropping-particle":"","parse-names":false,"suffix":""},{"dropping-particle":"","family":"Berne","given":"Michael A.","non-dropping-particle":"","parse-names":false,"suffix":""},{"dropping-particle":"","family":"Somasundaran","given":"Mohan","non-dropping-particle":"","parse-names":false,"suffix":""},{"dropping-particle":"","family":"Sullivan","given":"John L.","non-dropping-particle":"","parse-names":false,"suffix":""},{"dropping-particle":"","family":"Luzuriaga","given":"Katherine","non-dropping-particle":"","parse-names":false,"suffix":""},{"dropping-particle":"","family":"Greeneugh","given":"Thomas C.","non-dropping-particle":"","parse-names":false,"suffix":""},{"dropping-particle":"","family":"Choe","given":"Hyeryun","non-dropping-particle":"","parse-names":false,"suffix":""},{"dropping-particle":"","family":"Farzan","given":"Michael","non-dropping-particle":"","parse-names":false,"suffix":""}],"container-title":"Nature","id":"ITEM-1","issued":{"date-parts":[["2003"]]},"page":"450-454","title":"Angiotensin-converting enzyme 2 is a functional receptor for the SARS coronavirus","type":"article-journal","volume":"426"},"uris":["http://www.mendeley.com/documents/?uuid=07d85bad-80d2-4123-bb22-74d7482358cc"]}],"mendeley":{"formattedCitation":"(121)","plainTextFormattedCitation":"(121)","previouslyFormattedCitation":"(121)"},"properties":{"noteIndex":0},"schema":"https://github.com/citation-style-language/schema/raw/master/csl-citation.json"}</w:instrText>
      </w:r>
      <w:r w:rsidR="00334841"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(121)</w:t>
      </w:r>
      <w:r w:rsidR="00334841"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t xml:space="preserve">.  </w:t>
      </w:r>
      <w:r w:rsidR="002D3751">
        <w:rPr>
          <w:rFonts w:asciiTheme="minorHAnsi" w:hAnsiTheme="minorHAnsi" w:cstheme="minorHAnsi"/>
          <w:sz w:val="22"/>
          <w:szCs w:val="22"/>
          <w:shd w:val="clear" w:color="auto" w:fill="FFFFFF"/>
        </w:rPr>
        <w:t>V</w:t>
      </w:r>
      <w:r w:rsidR="00862E4A" w:rsidRPr="004B0BC2">
        <w:rPr>
          <w:rFonts w:asciiTheme="minorHAnsi" w:hAnsiTheme="minorHAnsi" w:cstheme="minorHAnsi"/>
          <w:sz w:val="22"/>
          <w:szCs w:val="22"/>
          <w:shd w:val="clear" w:color="auto" w:fill="FFFFFF"/>
        </w:rPr>
        <w:t xml:space="preserve">irus infectivity studies </w:t>
      </w:r>
      <w:r w:rsidR="002D3751">
        <w:rPr>
          <w:rFonts w:asciiTheme="minorHAnsi" w:hAnsiTheme="minorHAnsi" w:cstheme="minorHAnsi"/>
          <w:sz w:val="22"/>
          <w:szCs w:val="22"/>
          <w:shd w:val="clear" w:color="auto" w:fill="FFFFFF"/>
        </w:rPr>
        <w:t>using</w:t>
      </w:r>
      <w:r w:rsidR="002D3751" w:rsidRPr="004B0BC2">
        <w:rPr>
          <w:rFonts w:asciiTheme="minorHAnsi" w:hAnsiTheme="minorHAnsi" w:cstheme="minorHAnsi"/>
          <w:sz w:val="22"/>
          <w:szCs w:val="22"/>
          <w:shd w:val="clear" w:color="auto" w:fill="FFFFFF"/>
        </w:rPr>
        <w:t xml:space="preserve"> </w:t>
      </w:r>
      <w:r w:rsidR="00862E4A" w:rsidRPr="004B0BC2">
        <w:rPr>
          <w:rFonts w:asciiTheme="minorHAnsi" w:hAnsiTheme="minorHAnsi" w:cstheme="minorHAnsi"/>
          <w:sz w:val="22"/>
          <w:szCs w:val="22"/>
          <w:shd w:val="clear" w:color="auto" w:fill="FFFFFF"/>
        </w:rPr>
        <w:t xml:space="preserve">SARS-COV-2 </w:t>
      </w:r>
      <w:r w:rsidR="002D3751">
        <w:rPr>
          <w:rFonts w:asciiTheme="minorHAnsi" w:hAnsiTheme="minorHAnsi" w:cstheme="minorHAnsi"/>
          <w:sz w:val="22"/>
          <w:szCs w:val="22"/>
          <w:shd w:val="clear" w:color="auto" w:fill="FFFFFF"/>
        </w:rPr>
        <w:t>on</w:t>
      </w:r>
      <w:r w:rsidR="002D3751" w:rsidRPr="004B0BC2">
        <w:rPr>
          <w:rFonts w:asciiTheme="minorHAnsi" w:hAnsiTheme="minorHAnsi" w:cstheme="minorHAnsi"/>
          <w:sz w:val="22"/>
          <w:szCs w:val="22"/>
          <w:shd w:val="clear" w:color="auto" w:fill="FFFFFF"/>
        </w:rPr>
        <w:t xml:space="preserve"> </w:t>
      </w:r>
      <w:r w:rsidR="00862E4A" w:rsidRPr="004B0BC2">
        <w:rPr>
          <w:rFonts w:asciiTheme="minorHAnsi" w:hAnsiTheme="minorHAnsi" w:cstheme="minorHAnsi"/>
          <w:sz w:val="22"/>
          <w:szCs w:val="22"/>
          <w:shd w:val="clear" w:color="auto" w:fill="FFFFFF"/>
        </w:rPr>
        <w:t xml:space="preserve">HeLA cells </w:t>
      </w:r>
      <w:r w:rsidR="002D3751">
        <w:rPr>
          <w:rFonts w:asciiTheme="minorHAnsi" w:hAnsiTheme="minorHAnsi" w:cstheme="minorHAnsi"/>
          <w:sz w:val="22"/>
          <w:szCs w:val="22"/>
          <w:shd w:val="clear" w:color="auto" w:fill="FFFFFF"/>
        </w:rPr>
        <w:t>showed</w:t>
      </w:r>
      <w:r w:rsidR="00862E4A" w:rsidRPr="004B0BC2">
        <w:rPr>
          <w:rFonts w:asciiTheme="minorHAnsi" w:hAnsiTheme="minorHAnsi" w:cstheme="minorHAnsi"/>
          <w:sz w:val="22"/>
          <w:szCs w:val="22"/>
          <w:shd w:val="clear" w:color="auto" w:fill="FFFFFF"/>
        </w:rPr>
        <w:t xml:space="preserve"> that </w:t>
      </w:r>
      <w:r w:rsidR="002D3751">
        <w:rPr>
          <w:rFonts w:asciiTheme="minorHAnsi" w:hAnsiTheme="minorHAnsi" w:cstheme="minorHAnsi"/>
          <w:sz w:val="22"/>
          <w:szCs w:val="22"/>
          <w:shd w:val="clear" w:color="auto" w:fill="FFFFFF"/>
        </w:rPr>
        <w:t xml:space="preserve">SARS-CoV-2 </w:t>
      </w:r>
      <w:r w:rsidR="00F5159D" w:rsidRPr="004B0BC2">
        <w:rPr>
          <w:rFonts w:asciiTheme="minorHAnsi" w:hAnsiTheme="minorHAnsi" w:cstheme="minorHAnsi"/>
          <w:sz w:val="22"/>
          <w:szCs w:val="22"/>
          <w:shd w:val="clear" w:color="auto" w:fill="FFFFFF"/>
        </w:rPr>
        <w:t>used ACE2</w:t>
      </w:r>
      <w:r w:rsidR="002D3751">
        <w:rPr>
          <w:rFonts w:asciiTheme="minorHAnsi" w:hAnsiTheme="minorHAnsi" w:cstheme="minorHAnsi"/>
          <w:sz w:val="22"/>
          <w:szCs w:val="22"/>
          <w:shd w:val="clear" w:color="auto" w:fill="FFFFFF"/>
        </w:rPr>
        <w:t xml:space="preserve"> </w:t>
      </w:r>
      <w:r w:rsidR="00F5159D" w:rsidRPr="004B0BC2">
        <w:rPr>
          <w:rFonts w:asciiTheme="minorHAnsi" w:hAnsiTheme="minorHAnsi" w:cstheme="minorHAnsi"/>
          <w:sz w:val="22"/>
          <w:szCs w:val="22"/>
          <w:shd w:val="clear" w:color="auto" w:fill="FFFFFF"/>
        </w:rPr>
        <w:t>as a</w:t>
      </w:r>
      <w:r w:rsidR="002D3751">
        <w:rPr>
          <w:rFonts w:asciiTheme="minorHAnsi" w:hAnsiTheme="minorHAnsi" w:cstheme="minorHAnsi"/>
          <w:sz w:val="22"/>
          <w:szCs w:val="22"/>
          <w:shd w:val="clear" w:color="auto" w:fill="FFFFFF"/>
        </w:rPr>
        <w:t xml:space="preserve"> cellular</w:t>
      </w:r>
      <w:r w:rsidR="00F5159D" w:rsidRPr="004B0BC2">
        <w:rPr>
          <w:rFonts w:asciiTheme="minorHAnsi" w:hAnsiTheme="minorHAnsi" w:cstheme="minorHAnsi"/>
          <w:sz w:val="22"/>
          <w:szCs w:val="22"/>
          <w:shd w:val="clear" w:color="auto" w:fill="FFFFFF"/>
        </w:rPr>
        <w:t xml:space="preserve"> entry </w:t>
      </w:r>
      <w:r w:rsidR="002D3751">
        <w:rPr>
          <w:rFonts w:asciiTheme="minorHAnsi" w:hAnsiTheme="minorHAnsi" w:cstheme="minorHAnsi"/>
          <w:sz w:val="22"/>
          <w:szCs w:val="22"/>
          <w:shd w:val="clear" w:color="auto" w:fill="FFFFFF"/>
        </w:rPr>
        <w:t xml:space="preserve">point </w:t>
      </w:r>
      <w:r w:rsidR="002D3751" w:rsidRPr="004B0BC2">
        <w:rPr>
          <w:rFonts w:asciiTheme="minorHAnsi" w:hAnsiTheme="minorHAnsi" w:cstheme="minorHAnsi"/>
          <w:sz w:val="22"/>
          <w:szCs w:val="22"/>
          <w:shd w:val="clear" w:color="auto" w:fill="FFFFFF"/>
        </w:rPr>
        <w:t>in humans</w:t>
      </w:r>
      <w:r w:rsidR="00E9725E">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{"citationItems":[{"id":"ITEM-1","itemData":{"DOI":"10.1038/s41586-020-2012-7","ISSN":"14764687","PMID":"32015507","abstract":"Since the outbreak of severe acute respiratory syndrome (SARS) 18 years ago, a large number of SARS-related coronaviruses (SARSr-CoVs) have been discovered in their natural reservoir host, bats1–4. Previous studies have shown that some bat SARSr-CoVs have the potential to infect humans5–7. Here we report the identification and characterization of a new coronavirus (2019-nCoV), which caused an epidemic of acute respiratory syndrome in humans in Wuhan, China. The epidemic, which started on 12 December 2019, had caused 2,794 laboratory-confirmed infections including 80 deaths by 26 January 2020. Full-length genome sequences were obtained from five patients at an early stage of the outbreak. The sequences are almost identical and share 79.6% sequence identity to SARS-CoV. Furthermore, we show that 2019-nCoV is 96% identical at the whole-genome level to a bat coronavirus. Pairwise protein sequence analysis of seven conserved non-structural proteins domains show that this virus belongs to the species of SARSr-CoV. In addition, 2019-nCoV virus isolated from the bronchoalveolar lavage fluid of a critically ill patient could be neutralized by sera from several patients. Notably, we confirmed that 2019-nCoV uses the same cell entry receptor—angiotensin converting enzyme II (ACE2)—as SARS-CoV.","author":[{"dropping-particle":"","family":"Zhou","given":"Peng","non-dropping-particle":"","parse-names":false,"suffix":""},{"dropping-particle":"Lou","family":"Yang","given":"Xing","non-dropping-particle":"","parse-names":false,"suffix":""},{"dropping-particle":"","family":"Wang","given":"Xian Guang","non-dropping-particle":"","parse-names":false,"suffix":""},{"dropping-particle":"","family":"Hu","given":"Ben","non-dropping-particle":"","parse-names":false,"suffix":""},{"dropping-particle":"","family":"Zhang","given":"Lei","non-dropping-particle":"","parse-names":false,"suffix":""},{"dropping-particle":"","family":"Zhang","given":"Wei","non-dropping-particle":"","parse-names":false,"suffix":""},{"dropping-particle":"","family":"Si","given":"Hao Rui","non-dropping-particle":"","parse-names":false,"suffix":""},{"dropping-particle":"","family":"Zhu","given":"Yan","non-dropping-particle":"","parse-names":false,"suffix":""},{"dropping-particle":"","family":"Li","given":"Bei","non-dropping-particle":"","parse-names":false,"suffix":""},{"dropping-particle":"","family":"Huang","given":"Chao Lin","non-dropping-particle":"","parse-names":false,"suffix":""},{"dropping-particle":"","family":"Chen","given":"Hui Dong","non-dropping-particle":"","parse-names":false,"suffix":""},{"dropping-particle":"","family":"Chen","given":"Jing","non-dropping-particle":"","parse-names":false,"suffix":""},{"dropping-particle":"","family":"Luo","given":"Yun","non-dropping-particle":"","parse-names":false,"suffix":""},{"dropping-particle":"","family":"Guo","given":"Hua","non-dropping-particle":"","parse-names":false,"suffix":""},{"dropping-particle":"Di","family":"Jiang","given":"Ren","non-dropping-particle":"","parse-names":false,"suffix":""},{"dropping-particle":"","family":"Liu","given":"Mei Qin","non-dropping-particle":"","parse-names":false,"suffix":""},{"dropping-particle":"","family":"Chen","given":"Ying","non-dropping-particle":"","parse-names":false,"suffix":""},{"dropping-particle":"","family":"Shen","given":"Xu Rui","non-dropping-particle":"","parse-names":false,"suffix":""},{"dropping-particle":"","family":"Wang","given":"Xi","non-dropping-particle":"","parse-names":false,"suffix":""},{"dropping-particle":"","family":"Zheng","given":"Xiao Shuang","non-dropping-particle":"","parse-names":false,"suffix":""},{"dropping-particle":"","family":"Zhao","given":"Kai","non-dropping-particle":"","parse-names":false,"suffix":""},{"dropping-particle":"","family":"Chen","given":"Quan Jiao","non-dropping-particle":"","parse-names":false,"suffix":""},{"dropping-particle":"","family":"Deng","given":"Fei","non-dropping-particle":"","parse-names":false,"suffix":""},{"dropping-particle":"","family":"Liu","given":"Lin Lin","non-dropping-particle":"","parse-names":false,"suffix":""},{"dropping-particle":"","family":"Yan","given":"Bing","non-dropping-particle":"","parse-names":false,"suffix":""},{"dropping-particle":"","family":"Zhan","given":"Fa Xian","non-dropping-particle":"","parse-names":false,"suffix":""},{"dropping-particle":"","family":"Wang","given":"Yan Yi","non-dropping-particle":"","parse-names":false,"suffix":""},{"dropping-particle":"","family":"Xiao","given":"Geng Fu","non-dropping-particle":"","parse-names":false,"suffix":""},{"dropping-particle":"","family":"Shi","given":"Zheng Li","non-dropping-particle":"","parse-names":false,"suffix":""}],"container-title":"Nature","id":"ITEM-1","issued":{"date-parts":[["2020"]]},"page":"270-273","title":"A pneumonia outbreak associated with a new coronavirus of probable bat origin","type":"article-journal","volume":"579"},"uris":["http://www.mendeley.com/documents/?uuid=f6a00367-4c3e-4ab2-b596-bdc0bb72e80c"]}],"mendeley":{"formattedCitation":"(120)","plainTextFormattedCitation":"(120)","previouslyFormattedCitation":"(120)"},"properties":{"noteIndex":0},"schema":"https://github.com/citation-style-language/schema/raw/master/csl-citation.json"}</w:instrText>
      </w:r>
      <w:r w:rsidR="00E9725E">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(120)</w:t>
      </w:r>
      <w:r w:rsidR="00E9725E">
        <w:rPr>
          <w:rFonts w:asciiTheme="minorHAnsi" w:hAnsiTheme="minorHAnsi" w:cstheme="minorHAnsi"/>
          <w:sz w:val="22"/>
          <w:szCs w:val="22"/>
          <w:shd w:val="clear" w:color="auto" w:fill="FFFFFF"/>
        </w:rPr>
        <w:fldChar w:fldCharType="end"/>
      </w:r>
      <w:r w:rsidR="00E9725E">
        <w:rPr>
          <w:rFonts w:asciiTheme="minorHAnsi" w:hAnsiTheme="minorHAnsi" w:cstheme="minorHAnsi"/>
          <w:sz w:val="22"/>
          <w:szCs w:val="22"/>
          <w:shd w:val="clear" w:color="auto" w:fill="FFFFFF"/>
        </w:rPr>
        <w:t>.</w:t>
      </w:r>
      <w:r w:rsidR="00E9725E">
        <w:rPr>
          <w:rFonts w:asciiTheme="minorHAnsi" w:hAnsiTheme="minorHAnsi" w:cstheme="minorHAnsi"/>
          <w:sz w:val="22"/>
          <w:szCs w:val="22"/>
        </w:rPr>
        <w:t xml:space="preserve"> </w:t>
      </w:r>
      <w:r w:rsidR="00672FA9" w:rsidRPr="004B0BC2">
        <w:rPr>
          <w:rFonts w:asciiTheme="minorHAnsi" w:hAnsiTheme="minorHAnsi" w:cstheme="minorHAnsi"/>
          <w:sz w:val="22"/>
          <w:szCs w:val="22"/>
          <w:shd w:val="clear" w:color="auto" w:fill="FFFFFF"/>
        </w:rPr>
        <w:t>Furthermore</w:t>
      </w:r>
      <w:r w:rsidR="00DE298B" w:rsidRPr="004B0BC2">
        <w:rPr>
          <w:rFonts w:asciiTheme="minorHAnsi" w:hAnsiTheme="minorHAnsi" w:cstheme="minorHAnsi"/>
          <w:sz w:val="22"/>
          <w:szCs w:val="22"/>
          <w:shd w:val="clear" w:color="auto" w:fill="FFFFFF"/>
        </w:rPr>
        <w:t>, anti</w:t>
      </w:r>
      <w:r w:rsidR="00672FA9" w:rsidRPr="004B0BC2">
        <w:rPr>
          <w:rFonts w:asciiTheme="minorHAnsi" w:hAnsiTheme="minorHAnsi" w:cstheme="minorHAnsi"/>
          <w:sz w:val="22"/>
          <w:szCs w:val="22"/>
          <w:shd w:val="clear" w:color="auto" w:fill="FFFFFF"/>
        </w:rPr>
        <w:t>-</w:t>
      </w:r>
      <w:r w:rsidR="00DE298B" w:rsidRPr="004B0BC2">
        <w:rPr>
          <w:rFonts w:asciiTheme="minorHAnsi" w:hAnsiTheme="minorHAnsi" w:cstheme="minorHAnsi"/>
          <w:sz w:val="22"/>
          <w:szCs w:val="22"/>
          <w:shd w:val="clear" w:color="auto" w:fill="FFFFFF"/>
        </w:rPr>
        <w:t>serum against human ACE2 inhibited both SARS-C</w:t>
      </w:r>
      <w:r w:rsidR="00672FA9" w:rsidRPr="004B0BC2">
        <w:rPr>
          <w:rFonts w:asciiTheme="minorHAnsi" w:hAnsiTheme="minorHAnsi" w:cstheme="minorHAnsi"/>
          <w:sz w:val="22"/>
          <w:szCs w:val="22"/>
          <w:shd w:val="clear" w:color="auto" w:fill="FFFFFF"/>
        </w:rPr>
        <w:t>o</w:t>
      </w:r>
      <w:r w:rsidR="00DE298B" w:rsidRPr="004B0BC2">
        <w:rPr>
          <w:rFonts w:asciiTheme="minorHAnsi" w:hAnsiTheme="minorHAnsi" w:cstheme="minorHAnsi"/>
          <w:sz w:val="22"/>
          <w:szCs w:val="22"/>
          <w:shd w:val="clear" w:color="auto" w:fill="FFFFFF"/>
        </w:rPr>
        <w:t>V-2 and SARS-C</w:t>
      </w:r>
      <w:r w:rsidR="00672FA9" w:rsidRPr="004B0BC2">
        <w:rPr>
          <w:rFonts w:asciiTheme="minorHAnsi" w:hAnsiTheme="minorHAnsi" w:cstheme="minorHAnsi"/>
          <w:sz w:val="22"/>
          <w:szCs w:val="22"/>
          <w:shd w:val="clear" w:color="auto" w:fill="FFFFFF"/>
        </w:rPr>
        <w:t>o</w:t>
      </w:r>
      <w:r w:rsidR="00DE298B" w:rsidRPr="004B0BC2">
        <w:rPr>
          <w:rFonts w:asciiTheme="minorHAnsi" w:hAnsiTheme="minorHAnsi" w:cstheme="minorHAnsi"/>
          <w:sz w:val="22"/>
          <w:szCs w:val="22"/>
          <w:shd w:val="clear" w:color="auto" w:fill="FFFFFF"/>
        </w:rPr>
        <w:t>V spike proteins</w:t>
      </w:r>
      <w:r w:rsidR="002D3751" w:rsidRPr="002D3751">
        <w:rPr>
          <w:rFonts w:asciiTheme="minorHAnsi" w:hAnsiTheme="minorHAnsi" w:cstheme="minorHAnsi"/>
          <w:sz w:val="22"/>
          <w:szCs w:val="22"/>
        </w:rPr>
        <w:t xml:space="preserve"> </w:t>
      </w:r>
      <w:r w:rsidR="002D3751"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{"citationItems":[{"id":"ITEM-1","itemData":{"DOI":"10.1016/j.cell.2020.02.052","ISSN":"10974172","PMID":"32142651","abstract":"The emerging SARS-coronavirus 2 (SARS-CoV-2) threatens public health. Hoffmann and coworkers show that SARS-CoV-2 infection depends on the host cell factors ACE2 and TMPRSS2 and can be blocked by a clinically proven protease inhibitor. These findings might help to establish options for prevention and treatment.","author":[{"dropping-particle":"","family":"Hoffmann","given":"Markus","non-dropping-particle":"","parse-names":false,"suffix":""},{"dropping-particle":"","family":"Kleine-Weber","given":"Hannah","non-dropping-particle":"","parse-names":false,"suffix":""},{"dropping-particle":"","family":"Schroeder","given":"Simon","non-dropping-particle":"","parse-names":false,"suffix":""},{"dropping-particle":"","family":"Krüger","given":"Nadine","non-dropping-particle":"","parse-names":false,"suffix":""},{"dropping-particle":"","family":"Herrler","given":"Tanja","non-dropping-particle":"","parse-names":false,"suffix":""},{"dropping-particle":"","family":"Erichsen","given":"Sandra","non-dropping-particle":"","parse-names":false,"suffix":""},{"dropping-particle":"","family":"Schiergens","given":"Tobias S.","non-dropping-particle":"","parse-names":false,"suffix":""},{"dropping-particle":"","family":"Herrler","given":"Georg","non-dropping-particle":"","parse-names":false,"suffix":""},{"dropping-particle":"","family":"Wu","given":"Nai Huei","non-dropping-particle":"","parse-names":false,"suffix":""},{"dropping-particle":"","family":"Nitsche","given":"Andreas","non-dropping-particle":"","parse-names":false,"suffix":""},{"dropping-particle":"","family":"Müller","given":"Marcel A.","non-dropping-particle":"","parse-names":false,"suffix":""},{"dropping-particle":"","family":"Drosten","given":"Christian","non-dropping-particle":"","parse-names":false,"suffix":""},{"dropping-particle":"","family":"Pöhlmann","given":"Stefan","non-dropping-particle":"","parse-names":false,"suffix":""}],"container-title":"Cell","id":"ITEM-1","issue":"2","issued":{"date-parts":[["2020"]]},"page":"271-280","title":"SARS-CoV-2 Cell Entry Depends on ACE2 and TMPRSS2 and Is Blocked by a Clinically Proven Protease Inhibitor","type":"article-journal","volume":"181"},"uris":["http://www.mendeley.com/documents/?uuid=3e4c7321-8d6f-46a3-9c8b-5acf1e2d197b"]}],"mendeley":{"formattedCitation":"(122)","plainTextFormattedCitation":"(122)","previouslyFormattedCitation":"(122)"},"properties":{"noteIndex":0},"schema":"https://github.com/citation-style-language/schema/raw/master/csl-citation.json"}</w:instrText>
      </w:r>
      <w:r w:rsidR="002D3751"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(122)</w:t>
      </w:r>
      <w:r w:rsidR="002D3751" w:rsidRPr="004B0BC2">
        <w:rPr>
          <w:rFonts w:asciiTheme="minorHAnsi" w:hAnsiTheme="minorHAnsi" w:cstheme="minorHAnsi"/>
          <w:sz w:val="22"/>
          <w:szCs w:val="22"/>
        </w:rPr>
        <w:fldChar w:fldCharType="end"/>
      </w:r>
      <w:r w:rsidR="00DE298B" w:rsidRPr="004B0BC2">
        <w:rPr>
          <w:rFonts w:asciiTheme="minorHAnsi" w:hAnsiTheme="minorHAnsi" w:cstheme="minorHAnsi"/>
          <w:sz w:val="22"/>
          <w:szCs w:val="22"/>
          <w:shd w:val="clear" w:color="auto" w:fill="FFFFFF"/>
        </w:rPr>
        <w:t>.</w:t>
      </w:r>
      <w:r w:rsidR="00E9725E">
        <w:rPr>
          <w:rFonts w:asciiTheme="minorHAnsi" w:hAnsiTheme="minorHAnsi" w:cstheme="minorHAnsi"/>
          <w:sz w:val="22"/>
          <w:szCs w:val="22"/>
          <w:shd w:val="clear" w:color="auto" w:fill="FFFFFF"/>
        </w:rPr>
        <w:t xml:space="preserve"> </w:t>
      </w:r>
      <w:r w:rsidR="002D3751" w:rsidRPr="004B0BC2">
        <w:rPr>
          <w:rFonts w:asciiTheme="minorHAnsi" w:hAnsiTheme="minorHAnsi" w:cstheme="minorHAnsi"/>
          <w:sz w:val="22"/>
          <w:szCs w:val="22"/>
          <w:shd w:val="clear" w:color="auto" w:fill="FFFFFF"/>
        </w:rPr>
        <w:t>Th</w:t>
      </w:r>
      <w:r w:rsidR="002D3751">
        <w:rPr>
          <w:rFonts w:asciiTheme="minorHAnsi" w:hAnsiTheme="minorHAnsi" w:cstheme="minorHAnsi"/>
          <w:sz w:val="22"/>
          <w:szCs w:val="22"/>
          <w:shd w:val="clear" w:color="auto" w:fill="FFFFFF"/>
        </w:rPr>
        <w:t>us</w:t>
      </w:r>
      <w:r w:rsidR="00DE298B" w:rsidRPr="004B0BC2">
        <w:rPr>
          <w:rFonts w:asciiTheme="minorHAnsi" w:hAnsiTheme="minorHAnsi" w:cstheme="minorHAnsi"/>
          <w:sz w:val="22"/>
          <w:szCs w:val="22"/>
          <w:shd w:val="clear" w:color="auto" w:fill="FFFFFF"/>
        </w:rPr>
        <w:t>,</w:t>
      </w:r>
      <w:r w:rsidR="00672FA9" w:rsidRPr="004B0BC2">
        <w:rPr>
          <w:rFonts w:asciiTheme="minorHAnsi" w:hAnsiTheme="minorHAnsi" w:cstheme="minorHAnsi"/>
          <w:sz w:val="22"/>
          <w:szCs w:val="22"/>
          <w:shd w:val="clear" w:color="auto" w:fill="FFFFFF"/>
        </w:rPr>
        <w:t xml:space="preserve"> </w:t>
      </w:r>
      <w:r w:rsidR="002D3751">
        <w:rPr>
          <w:rFonts w:asciiTheme="minorHAnsi" w:hAnsiTheme="minorHAnsi" w:cstheme="minorHAnsi"/>
          <w:sz w:val="22"/>
          <w:szCs w:val="22"/>
          <w:shd w:val="clear" w:color="auto" w:fill="FFFFFF"/>
        </w:rPr>
        <w:t xml:space="preserve">as </w:t>
      </w:r>
      <w:r w:rsidR="00DE298B" w:rsidRPr="004B0BC2">
        <w:rPr>
          <w:rFonts w:asciiTheme="minorHAnsi" w:hAnsiTheme="minorHAnsi" w:cstheme="minorHAnsi"/>
          <w:sz w:val="22"/>
          <w:szCs w:val="22"/>
          <w:shd w:val="clear" w:color="auto" w:fill="FFFFFF"/>
        </w:rPr>
        <w:t xml:space="preserve">ACE2 is </w:t>
      </w:r>
      <w:r w:rsidR="002D3751">
        <w:rPr>
          <w:rFonts w:asciiTheme="minorHAnsi" w:hAnsiTheme="minorHAnsi" w:cstheme="minorHAnsi"/>
          <w:sz w:val="22"/>
          <w:szCs w:val="22"/>
          <w:shd w:val="clear" w:color="auto" w:fill="FFFFFF"/>
        </w:rPr>
        <w:t>probab</w:t>
      </w:r>
      <w:r w:rsidR="002D3751" w:rsidRPr="004B0BC2">
        <w:rPr>
          <w:rFonts w:asciiTheme="minorHAnsi" w:hAnsiTheme="minorHAnsi" w:cstheme="minorHAnsi"/>
          <w:sz w:val="22"/>
          <w:szCs w:val="22"/>
          <w:shd w:val="clear" w:color="auto" w:fill="FFFFFF"/>
        </w:rPr>
        <w:t xml:space="preserve">ly </w:t>
      </w:r>
      <w:r w:rsidR="00DE298B" w:rsidRPr="004B0BC2">
        <w:rPr>
          <w:rFonts w:asciiTheme="minorHAnsi" w:hAnsiTheme="minorHAnsi" w:cstheme="minorHAnsi"/>
          <w:sz w:val="22"/>
          <w:szCs w:val="22"/>
          <w:shd w:val="clear" w:color="auto" w:fill="FFFFFF"/>
        </w:rPr>
        <w:t>the entry point for SARS-C</w:t>
      </w:r>
      <w:r w:rsidR="00672FA9" w:rsidRPr="004B0BC2">
        <w:rPr>
          <w:rFonts w:asciiTheme="minorHAnsi" w:hAnsiTheme="minorHAnsi" w:cstheme="minorHAnsi"/>
          <w:sz w:val="22"/>
          <w:szCs w:val="22"/>
          <w:shd w:val="clear" w:color="auto" w:fill="FFFFFF"/>
        </w:rPr>
        <w:t>o</w:t>
      </w:r>
      <w:r w:rsidR="00DE298B" w:rsidRPr="004B0BC2">
        <w:rPr>
          <w:rFonts w:asciiTheme="minorHAnsi" w:hAnsiTheme="minorHAnsi" w:cstheme="minorHAnsi"/>
          <w:sz w:val="22"/>
          <w:szCs w:val="22"/>
          <w:shd w:val="clear" w:color="auto" w:fill="FFFFFF"/>
        </w:rPr>
        <w:t>V-2 into cells</w:t>
      </w:r>
      <w:r w:rsidR="00334841" w:rsidRPr="004B0BC2">
        <w:rPr>
          <w:rFonts w:asciiTheme="minorHAnsi" w:hAnsiTheme="minorHAnsi" w:cstheme="minorHAnsi"/>
          <w:sz w:val="22"/>
          <w:szCs w:val="22"/>
          <w:shd w:val="clear" w:color="auto" w:fill="FFFFFF"/>
        </w:rPr>
        <w:fldChar w:fldCharType="begin" w:fldLock="1"/>
      </w:r>
      <w:r w:rsidR="00334841" w:rsidRPr="004B0BC2">
        <w:rPr>
          <w:rFonts w:asciiTheme="minorHAnsi" w:hAnsiTheme="minorHAnsi" w:cstheme="minorHAnsi"/>
          <w:sz w:val="22"/>
          <w:szCs w:val="22"/>
          <w:shd w:val="clear" w:color="auto" w:fill="FFFFFF"/>
        </w:rPr>
        <w:instrText>ADDIN CSL_CITATION {"citationItems":[{"id":"ITEM-1","itemData":{"DOI":"10.1016/S0140-6736(20)30251-8","ISSN":"1474547X","PMID":"32007145","abstract":"Background: 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 Methods: 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 Findings: 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 Interpretation: 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author":[{"dropping-particle":"","family":"Lu","given":"Roujian","non-dropping-particle":"","parse-names":false,"suffix":""},{"dropping-particle":"","family":"Zhao","given":"Xiang","non-dropping-particle":"","parse-names":false,"suffix":""},{"dropping-particle":"","family":"Li","given":"Juan","non-dropping-particle":"","parse-names":false,"suffix":""},{"dropping-particle":"","family":"Niu","given":"Peihua","non-dropping-particle":"","parse-names":false,"suffix":""},{"dropping-particle":"","family":"Yang","given":"Bo","non-dropping-particle":"","parse-names":false,"suffix":""},{"dropping-particle":"","family":"Wu","given":"Honglong","non-dropping-particle":"","parse-names":false,"suffix":""},{"dropping-particle":"","family":"Wang","given":"Wenling","non-dropping-particle":"","parse-names":false,"suffix":""},{"dropping-particle":"","family":"Song","given":"Hao","non-dropping-particle":"","parse-names":false,"suffix":""},{"dropping-particle":"","family":"Huang","given":"Baoying","non-dropping-particle":"","parse-names":false,"suffix":""},{"dropping-particle":"","family":"Zhu","given":"Na","non-dropping-particle":"","parse-names":false,"suffix":""},{"dropping-particle":"","family":"Bi","given":"Yuhai","non-dropping-particle":"","parse-names":false,"suffix":""},{"dropping-particle":"","family":"Ma","given":"Xuejun","non-dropping-particle":"","parse-names":false,"suffix":""},{"dropping-particle":"","family":"Zhan","given":"Faxian","non-dropping-particle":"","parse-names":false,"suffix":""},{"dropping-particle":"","family":"Wang","given":"Liang","non-dropping-particle":"","parse-names":false,"suffix":""},{"dropping-particle":"","family":"Hu","given":"Tao","non-dropping-particle":"","parse-names":false,"suffix":""},{"dropping-particle":"","family":"Zhou","given":"Hong","non-dropping-particle":"","parse-names":false,"suffix":""},{"dropping-particle":"","family":"Hu","given":"Zhenhong","non-dropping-particle":"","parse-names":false,"suffix":""},{"dropping-particle":"","family":"Zhou","given":"Weimin","non-dropping-particle":"","parse-names":false,"suffix":""},{"dropping-particle":"","family":"Zhao","given":"Li","non-dropping-particle":"","parse-names":false,"suffix":""},{"dropping-particle":"","family":"Chen","given":"Jing","non-dropping-particle":"","parse-names":false,"suffix":""},{"dropping-particle":"","family":"Meng","given":"Yao","non-dropping-particle":"","parse-names":false,"suffix":""},{"dropping-particle":"","family":"Wang","given":"Ji","non-dropping-particle":"","parse-names":false,"suffix":""},{"dropping-particle":"","family":"Lin","given":"Yang","non-dropping-particle":"","parse-names":false,"suffix":""},{"dropping-particle":"","family":"Yuan","given":"Jianying","non-dropping-particle":"","parse-names":false,"suffix":""},{"dropping-particle":"","family":"Xie","given":"Zhihao","non-dropping-particle":"","parse-names":false,"suffix":""},{"dropping-particle":"","family":"Ma","given":"Jinmin","non-dropping-particle":"","parse-names":false,"suffix":""},{"dropping-particle":"","family":"Liu","given":"William J.","non-dropping-particle":"","parse-names":false,"suffix":""},{"dropping-particle":"","family":"Wang","given":"Dayan","non-dropping-particle":"","parse-names":false,"suffix":""},{"dropping-particle":"","family":"Xu","given":"Wenbo","non-dropping-particle":"","parse-names":false,"suffix":""},{"dropping-particle":"","family":"Holmes","given":"Edward C.","non-dropping-particle":"","parse-names":false,"suffix":""},{"dropping-particle":"","family":"Gao","given":"George F.","non-dropping-particle":"","parse-names":false,"suffix":""},{"dropping-particle":"","family":"Wu","given":"Guizhen","non-dropping-particle":"","parse-names":false,"suffix":""},{"dropping-particle":"","family":"Chen","given":"Weijun","non-dropping-particle":"","parse-names":false,"suffix":""},{"dropping-particle":"","family":"Shi","given":"Weifeng","non-dropping-particle":"","parse-names":false,"suffix":""},{"dropping-particle":"","family":"Tan","given":"Wenjie","non-dropping-particle":"","parse-names":false,"suffix":""}],"container-title":"The Lancet","id":"ITEM-1","issue":"10224","issued":{"date-parts":[["2020","2","22"]]},"page":"565-574","publisher":"Lancet Publishing Group","title":"Genomic characterisation and epidemiology of 2019 novel coronavirus: implications for virus origins and receptor binding","type":"article-journal","volume":"395"},"uris":["http://www.mendeley.com/documents/?uuid=28f641c6-07fa-3ea9-9863-539a45a618f5"]}],"mendeley":{"formattedCitation":"(1)","plainTextFormattedCitation":"(1)","previouslyFormattedCitation":"(1)"},"properties":{"noteIndex":0},"schema":"https://github.com/citation-style-language/schema/raw/master/csl-citation.json"}</w:instrText>
      </w:r>
      <w:r w:rsidR="00334841" w:rsidRPr="004B0BC2">
        <w:rPr>
          <w:rFonts w:asciiTheme="minorHAnsi" w:hAnsiTheme="minorHAnsi" w:cstheme="minorHAnsi"/>
          <w:sz w:val="22"/>
          <w:szCs w:val="22"/>
          <w:shd w:val="clear" w:color="auto" w:fill="FFFFFF"/>
        </w:rPr>
        <w:fldChar w:fldCharType="separate"/>
      </w:r>
      <w:r w:rsidR="00334841" w:rsidRPr="004B0BC2">
        <w:rPr>
          <w:rFonts w:asciiTheme="minorHAnsi" w:hAnsiTheme="minorHAnsi" w:cstheme="minorHAnsi"/>
          <w:noProof/>
          <w:sz w:val="22"/>
          <w:szCs w:val="22"/>
          <w:shd w:val="clear" w:color="auto" w:fill="FFFFFF"/>
        </w:rPr>
        <w:t>(1)</w:t>
      </w:r>
      <w:r w:rsidR="00334841" w:rsidRPr="004B0BC2">
        <w:rPr>
          <w:rFonts w:asciiTheme="minorHAnsi" w:hAnsiTheme="minorHAnsi" w:cstheme="minorHAnsi"/>
          <w:sz w:val="22"/>
          <w:szCs w:val="22"/>
          <w:shd w:val="clear" w:color="auto" w:fill="FFFFFF"/>
        </w:rPr>
        <w:fldChar w:fldCharType="end"/>
      </w:r>
      <w:r w:rsidR="002D3751">
        <w:rPr>
          <w:rFonts w:asciiTheme="minorHAnsi" w:hAnsiTheme="minorHAnsi" w:cstheme="minorHAnsi"/>
          <w:sz w:val="22"/>
          <w:szCs w:val="22"/>
          <w:shd w:val="clear" w:color="auto" w:fill="FFFFFF"/>
        </w:rPr>
        <w:t>, sex disparities in ACE2 could be clinically relevant</w:t>
      </w:r>
      <w:r w:rsidR="00DB32C8">
        <w:rPr>
          <w:rFonts w:asciiTheme="minorHAnsi" w:hAnsiTheme="minorHAnsi" w:cstheme="minorHAnsi"/>
          <w:sz w:val="22"/>
          <w:szCs w:val="22"/>
          <w:shd w:val="clear" w:color="auto" w:fill="FFFFFF"/>
        </w:rPr>
        <w:t xml:space="preserve">. </w:t>
      </w:r>
      <w:r w:rsidR="002D3751">
        <w:rPr>
          <w:rFonts w:asciiTheme="minorHAnsi" w:hAnsiTheme="minorHAnsi" w:cstheme="minorHAnsi"/>
          <w:sz w:val="22"/>
          <w:szCs w:val="22"/>
          <w:shd w:val="clear" w:color="auto" w:fill="FFFFFF"/>
        </w:rPr>
        <w:t>A c</w:t>
      </w:r>
      <w:r w:rsidR="00334841" w:rsidRPr="004B0BC2">
        <w:rPr>
          <w:rFonts w:asciiTheme="minorHAnsi" w:hAnsiTheme="minorHAnsi" w:cstheme="minorHAnsi"/>
          <w:sz w:val="22"/>
          <w:szCs w:val="22"/>
          <w:shd w:val="clear" w:color="auto" w:fill="FFFFFF"/>
        </w:rPr>
        <w:t>ompar</w:t>
      </w:r>
      <w:r w:rsidR="002D3751">
        <w:rPr>
          <w:rFonts w:asciiTheme="minorHAnsi" w:hAnsiTheme="minorHAnsi" w:cstheme="minorHAnsi"/>
          <w:sz w:val="22"/>
          <w:szCs w:val="22"/>
          <w:shd w:val="clear" w:color="auto" w:fill="FFFFFF"/>
        </w:rPr>
        <w:t>ison of</w:t>
      </w:r>
      <w:r w:rsidR="00334841" w:rsidRPr="004B0BC2">
        <w:rPr>
          <w:rFonts w:asciiTheme="minorHAnsi" w:hAnsiTheme="minorHAnsi" w:cstheme="minorHAnsi"/>
          <w:sz w:val="22"/>
          <w:szCs w:val="22"/>
          <w:shd w:val="clear" w:color="auto" w:fill="FFFFFF"/>
        </w:rPr>
        <w:t xml:space="preserve"> serum ACE</w:t>
      </w:r>
      <w:r w:rsidR="00F6487C">
        <w:rPr>
          <w:rFonts w:asciiTheme="minorHAnsi" w:hAnsiTheme="minorHAnsi" w:cstheme="minorHAnsi"/>
          <w:sz w:val="22"/>
          <w:szCs w:val="22"/>
          <w:shd w:val="clear" w:color="auto" w:fill="FFFFFF"/>
        </w:rPr>
        <w:t>2</w:t>
      </w:r>
      <w:r w:rsidR="002D3751">
        <w:rPr>
          <w:rFonts w:asciiTheme="minorHAnsi" w:hAnsiTheme="minorHAnsi" w:cstheme="minorHAnsi"/>
          <w:sz w:val="22"/>
          <w:szCs w:val="22"/>
          <w:shd w:val="clear" w:color="auto" w:fill="FFFFFF"/>
        </w:rPr>
        <w:t xml:space="preserve"> </w:t>
      </w:r>
      <w:r w:rsidR="00672FA9" w:rsidRPr="004B0BC2">
        <w:rPr>
          <w:rFonts w:asciiTheme="minorHAnsi" w:hAnsiTheme="minorHAnsi" w:cstheme="minorHAnsi"/>
          <w:sz w:val="22"/>
          <w:szCs w:val="22"/>
          <w:shd w:val="clear" w:color="auto" w:fill="FFFFFF"/>
        </w:rPr>
        <w:t>concentrations</w:t>
      </w:r>
      <w:r w:rsidR="00334841" w:rsidRPr="004B0BC2">
        <w:rPr>
          <w:rFonts w:asciiTheme="minorHAnsi" w:hAnsiTheme="minorHAnsi" w:cstheme="minorHAnsi"/>
          <w:sz w:val="22"/>
          <w:szCs w:val="22"/>
          <w:shd w:val="clear" w:color="auto" w:fill="FFFFFF"/>
        </w:rPr>
        <w:t xml:space="preserve"> between </w:t>
      </w:r>
      <w:r w:rsidR="00672FA9" w:rsidRPr="004B0BC2">
        <w:rPr>
          <w:rFonts w:asciiTheme="minorHAnsi" w:hAnsiTheme="minorHAnsi" w:cstheme="minorHAnsi"/>
          <w:sz w:val="22"/>
          <w:szCs w:val="22"/>
          <w:shd w:val="clear" w:color="auto" w:fill="FFFFFF"/>
        </w:rPr>
        <w:t>sexes</w:t>
      </w:r>
      <w:r w:rsidR="00334841" w:rsidRPr="004B0BC2">
        <w:rPr>
          <w:rFonts w:asciiTheme="minorHAnsi" w:hAnsiTheme="minorHAnsi" w:cstheme="minorHAnsi"/>
          <w:sz w:val="22"/>
          <w:szCs w:val="22"/>
          <w:shd w:val="clear" w:color="auto" w:fill="FFFFFF"/>
        </w:rPr>
        <w:t xml:space="preserve"> in a cohort of patients with heart failure (n = 2022)</w:t>
      </w:r>
      <w:r w:rsidR="002D3751">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 reported</w:t>
      </w:r>
      <w:r w:rsidR="00AE7B79" w:rsidRPr="004B0BC2">
        <w:rPr>
          <w:rFonts w:asciiTheme="minorHAnsi" w:hAnsiTheme="minorHAnsi" w:cstheme="minorHAnsi"/>
          <w:sz w:val="22"/>
          <w:szCs w:val="22"/>
          <w:shd w:val="clear" w:color="auto" w:fill="FFFFFF"/>
        </w:rPr>
        <w:t xml:space="preserve"> that</w:t>
      </w:r>
      <w:r w:rsidR="00334841" w:rsidRPr="004B0BC2">
        <w:rPr>
          <w:rFonts w:asciiTheme="minorHAnsi" w:hAnsiTheme="minorHAnsi" w:cstheme="minorHAnsi"/>
          <w:sz w:val="22"/>
          <w:szCs w:val="22"/>
          <w:shd w:val="clear" w:color="auto" w:fill="FFFFFF"/>
        </w:rPr>
        <w:t xml:space="preserve"> </w:t>
      </w:r>
      <w:r w:rsidR="00672FA9" w:rsidRPr="004B0BC2">
        <w:rPr>
          <w:rFonts w:asciiTheme="minorHAnsi" w:hAnsiTheme="minorHAnsi" w:cstheme="minorHAnsi"/>
          <w:sz w:val="22"/>
          <w:szCs w:val="22"/>
          <w:shd w:val="clear" w:color="auto" w:fill="FFFFFF"/>
        </w:rPr>
        <w:t>men</w:t>
      </w:r>
      <w:r w:rsidR="00334841" w:rsidRPr="004B0BC2">
        <w:rPr>
          <w:rFonts w:asciiTheme="minorHAnsi" w:hAnsiTheme="minorHAnsi" w:cstheme="minorHAnsi"/>
          <w:sz w:val="22"/>
          <w:szCs w:val="22"/>
          <w:shd w:val="clear" w:color="auto" w:fill="FFFFFF"/>
        </w:rPr>
        <w:t xml:space="preserve"> had a significantly </w:t>
      </w:r>
      <w:r w:rsidR="007F24DD" w:rsidRPr="004B0BC2">
        <w:rPr>
          <w:rFonts w:asciiTheme="minorHAnsi" w:hAnsiTheme="minorHAnsi" w:cstheme="minorHAnsi"/>
          <w:sz w:val="22"/>
          <w:szCs w:val="22"/>
          <w:shd w:val="clear" w:color="auto" w:fill="FFFFFF"/>
        </w:rPr>
        <w:t>higher mean</w:t>
      </w:r>
      <w:r w:rsidR="00672FA9"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serum ACE level</w:t>
      </w:r>
      <w:r w:rsidR="002D3751">
        <w:rPr>
          <w:rFonts w:asciiTheme="minorHAnsi" w:hAnsiTheme="minorHAnsi" w:cstheme="minorHAnsi"/>
          <w:sz w:val="22"/>
          <w:szCs w:val="22"/>
          <w:shd w:val="clear" w:color="auto" w:fill="FFFFFF"/>
        </w:rPr>
        <w:t>s</w:t>
      </w:r>
      <w:r w:rsidR="00334841" w:rsidRPr="004B0BC2">
        <w:rPr>
          <w:rFonts w:asciiTheme="minorHAnsi" w:hAnsiTheme="minorHAnsi" w:cstheme="minorHAnsi"/>
          <w:sz w:val="22"/>
          <w:szCs w:val="22"/>
          <w:shd w:val="clear" w:color="auto" w:fill="FFFFFF"/>
        </w:rPr>
        <w:t xml:space="preserve"> </w:t>
      </w:r>
      <w:r w:rsidR="002D3751">
        <w:rPr>
          <w:rFonts w:asciiTheme="minorHAnsi" w:hAnsiTheme="minorHAnsi" w:cstheme="minorHAnsi"/>
          <w:sz w:val="22"/>
          <w:szCs w:val="22"/>
          <w:shd w:val="clear" w:color="auto" w:fill="FFFFFF"/>
        </w:rPr>
        <w:t>than</w:t>
      </w:r>
      <w:r w:rsidR="00334841" w:rsidRPr="004B0BC2">
        <w:rPr>
          <w:rFonts w:asciiTheme="minorHAnsi" w:hAnsiTheme="minorHAnsi" w:cstheme="minorHAnsi"/>
          <w:sz w:val="22"/>
          <w:szCs w:val="22"/>
          <w:shd w:val="clear" w:color="auto" w:fill="FFFFFF"/>
        </w:rPr>
        <w:t xml:space="preserve"> </w:t>
      </w:r>
      <w:r w:rsidR="00672FA9" w:rsidRPr="004B0BC2">
        <w:rPr>
          <w:rFonts w:asciiTheme="minorHAnsi" w:hAnsiTheme="minorHAnsi" w:cstheme="minorHAnsi"/>
          <w:sz w:val="22"/>
          <w:szCs w:val="22"/>
          <w:shd w:val="clear" w:color="auto" w:fill="FFFFFF"/>
        </w:rPr>
        <w:t>women</w:t>
      </w:r>
      <w:r w:rsidR="00EF3A9D" w:rsidRPr="004B0BC2">
        <w:rPr>
          <w:rFonts w:asciiTheme="minorHAnsi" w:hAnsiTheme="minorHAnsi" w:cstheme="minorHAnsi"/>
          <w:sz w:val="22"/>
          <w:szCs w:val="22"/>
          <w:shd w:val="clear" w:color="auto" w:fill="FFFFFF"/>
        </w:rPr>
        <w:t xml:space="preserve"> </w:t>
      </w:r>
      <w:r w:rsidR="00672FA9" w:rsidRPr="004B0BC2">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5.38 </w:t>
      </w:r>
      <w:r w:rsidR="00672FA9" w:rsidRPr="004B0BC2">
        <w:rPr>
          <w:rFonts w:asciiTheme="minorHAnsi" w:hAnsiTheme="minorHAnsi" w:cstheme="minorHAnsi"/>
          <w:sz w:val="22"/>
          <w:szCs w:val="22"/>
          <w:shd w:val="clear" w:color="auto" w:fill="FFFFFF"/>
        </w:rPr>
        <w:t>v</w:t>
      </w:r>
      <w:r w:rsidR="002D3751">
        <w:rPr>
          <w:rFonts w:asciiTheme="minorHAnsi" w:hAnsiTheme="minorHAnsi" w:cstheme="minorHAnsi"/>
          <w:sz w:val="22"/>
          <w:szCs w:val="22"/>
          <w:shd w:val="clear" w:color="auto" w:fill="FFFFFF"/>
        </w:rPr>
        <w:t>ersu</w:t>
      </w:r>
      <w:r w:rsidR="00672FA9" w:rsidRPr="004B0BC2">
        <w:rPr>
          <w:rFonts w:asciiTheme="minorHAnsi" w:hAnsiTheme="minorHAnsi" w:cstheme="minorHAnsi"/>
          <w:sz w:val="22"/>
          <w:szCs w:val="22"/>
          <w:shd w:val="clear" w:color="auto" w:fill="FFFFFF"/>
        </w:rPr>
        <w:t>s</w:t>
      </w:r>
      <w:r w:rsidR="00334841" w:rsidRPr="004B0BC2">
        <w:rPr>
          <w:rFonts w:asciiTheme="minorHAnsi" w:hAnsiTheme="minorHAnsi" w:cstheme="minorHAnsi"/>
          <w:sz w:val="22"/>
          <w:szCs w:val="22"/>
          <w:shd w:val="clear" w:color="auto" w:fill="FFFFFF"/>
        </w:rPr>
        <w:t xml:space="preserve"> 5.09</w:t>
      </w:r>
      <w:r w:rsidR="00672FA9" w:rsidRPr="004B0BC2">
        <w:rPr>
          <w:rFonts w:asciiTheme="minorHAnsi" w:hAnsiTheme="minorHAnsi" w:cstheme="minorHAnsi"/>
          <w:sz w:val="22"/>
          <w:szCs w:val="22"/>
          <w:shd w:val="clear" w:color="auto" w:fill="FFFFFF"/>
        </w:rPr>
        <w:t xml:space="preserve">, </w:t>
      </w:r>
      <w:r w:rsidR="00AE7B79" w:rsidRPr="004B0BC2">
        <w:rPr>
          <w:rStyle w:val="Emphasis"/>
          <w:rFonts w:asciiTheme="minorHAnsi" w:eastAsiaTheme="majorEastAsia" w:hAnsiTheme="minorHAnsi" w:cstheme="minorHAnsi"/>
          <w:i w:val="0"/>
          <w:iCs w:val="0"/>
          <w:sz w:val="22"/>
          <w:szCs w:val="22"/>
          <w:bdr w:val="none" w:sz="0" w:space="0" w:color="auto" w:frame="1"/>
          <w:shd w:val="clear" w:color="auto" w:fill="FFFFFF"/>
        </w:rPr>
        <w:t>p</w:t>
      </w:r>
      <w:r w:rsidR="00334841" w:rsidRPr="004B0BC2">
        <w:rPr>
          <w:rFonts w:asciiTheme="minorHAnsi" w:hAnsiTheme="minorHAnsi" w:cstheme="minorHAnsi"/>
          <w:sz w:val="22"/>
          <w:szCs w:val="22"/>
          <w:shd w:val="clear" w:color="auto" w:fill="FFFFFF"/>
        </w:rPr>
        <w:t>&lt;0.001)</w:t>
      </w:r>
      <w:r w:rsidR="002D3751">
        <w:rPr>
          <w:rFonts w:asciiTheme="minorHAnsi" w:hAnsiTheme="minorHAnsi" w:cstheme="minorHAnsi"/>
          <w:sz w:val="22"/>
          <w:szCs w:val="22"/>
          <w:shd w:val="clear" w:color="auto" w:fill="FFFFFF"/>
        </w:rPr>
        <w:t xml:space="preserve"> and that male sex was</w:t>
      </w:r>
      <w:r w:rsidR="00EF3A9D" w:rsidRPr="004B0BC2">
        <w:rPr>
          <w:rFonts w:asciiTheme="minorHAnsi" w:hAnsiTheme="minorHAnsi" w:cstheme="minorHAnsi"/>
          <w:sz w:val="22"/>
          <w:szCs w:val="22"/>
          <w:shd w:val="clear" w:color="auto" w:fill="FFFFFF"/>
        </w:rPr>
        <w:t xml:space="preserve"> t</w:t>
      </w:r>
      <w:r w:rsidR="00334841" w:rsidRPr="004B0BC2">
        <w:rPr>
          <w:rFonts w:asciiTheme="minorHAnsi" w:hAnsiTheme="minorHAnsi" w:cstheme="minorHAnsi"/>
          <w:sz w:val="22"/>
          <w:szCs w:val="22"/>
          <w:shd w:val="clear" w:color="auto" w:fill="FFFFFF"/>
        </w:rPr>
        <w:t>he strongest predictor of elevated plasma concentrations of ACE2 (</w:t>
      </w:r>
      <w:r w:rsidR="00AE7B79" w:rsidRPr="004B0BC2">
        <w:rPr>
          <w:rStyle w:val="Emphasis"/>
          <w:rFonts w:asciiTheme="minorHAnsi" w:eastAsiaTheme="majorEastAsia" w:hAnsiTheme="minorHAnsi" w:cstheme="minorHAnsi"/>
          <w:i w:val="0"/>
          <w:iCs w:val="0"/>
          <w:sz w:val="22"/>
          <w:szCs w:val="22"/>
          <w:bdr w:val="none" w:sz="0" w:space="0" w:color="auto" w:frame="1"/>
          <w:shd w:val="clear" w:color="auto" w:fill="FFFFFF"/>
        </w:rPr>
        <w:t>p</w:t>
      </w:r>
      <w:r w:rsidR="00334841" w:rsidRPr="004B0BC2">
        <w:rPr>
          <w:rFonts w:asciiTheme="minorHAnsi" w:hAnsiTheme="minorHAnsi" w:cstheme="minorHAnsi"/>
          <w:sz w:val="22"/>
          <w:szCs w:val="22"/>
          <w:shd w:val="clear" w:color="auto" w:fill="FFFFFF"/>
        </w:rPr>
        <w:t>&lt;0.001)</w:t>
      </w:r>
      <w:r w:rsidR="002D3751">
        <w:rPr>
          <w:rFonts w:asciiTheme="minorHAnsi" w:hAnsiTheme="minorHAnsi" w:cstheme="minorHAnsi"/>
          <w:sz w:val="22"/>
          <w:szCs w:val="22"/>
          <w:shd w:val="clear" w:color="auto" w:fill="FFFFFF"/>
        </w:rPr>
        <w:t xml:space="preserve"> </w:t>
      </w:r>
      <w:r w:rsidR="002D3751"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{"citationItems":[{"id":"ITEM-1","itemData":{"DOI":"10.1093/eurheartj/ehaa373","ISSN":"15229645","PMID":"32388565","abstract":"Aims The current pandemic coronavirus SARS-CoV-2 infects a wide age group but predominantly elderly individuals, especially men and those with cardiovascular disease. Recent reports suggest an association with use of renin-angiotensin- aldosterone system (RAAS) inhibitors. Angiotensin-converting enzyme 2 (ACE2) is a functional receptor for coronaviruses. Higher ACE2 concentrations might lead to increased vulnerability to SARS-CoV-2 in patients on RAAS inhibitors. Methods and results We measured ACE2 concentrations in 1485 men and 537 women with heart failure (index cohort). Results were validated in 1123 men and 575 women (validation cohort). The median age was 69 years for men and 75 years for women. The strongest predictor of elevated concentrations of ACE2 in both cohorts was male sex (estimate = 0.26, P &lt; 0.001; and 0.19, P &lt; 0.001, respectively). In the index cohort, use of ACE inhibitors, angiotensin receptor blockers (ARBs), or mineralocorticoid receptor antagonists (MRAs) was not an independent predictor of plasma ACE2. In the validation cohort, ACE inhibitor (estimate = - 0.17, P = 0.002) and ARB use (estimate = -0.15, P = 0.03) were independent predictors of lower plasma ACE2, while use of an MRA (estimate = 0.11, P = 0.04) was an independent predictor of higher plasma ACE2 concentrations. Conclusion In two independent cohorts of patients with heart failure, plasma concentrations of ACE2 were higher in men than in women, but use of neither an ACE inhibitor nor an ARB was associated with higher plasma ACE2 concentrations. These data might explain the higher incidence and fatality rate of COVID-19 in men, but do not support previous reports suggesting that ACE inhibitors or ARBs increase the vulnerability for COVID-19 through increased plasma ACE2 concentrations.","author":[{"dropping-particle":"","family":"Sama","given":"Iziah E.","non-dropping-particle":"","parse-names":false,"suffix":""},{"dropping-particle":"","family":"Ravera","given":"Alice","non-dropping-particle":"","parse-names":false,"suffix":""},{"dropping-particle":"","family":"Santema","given":"Bernadet T.","non-dropping-particle":"","parse-names":false,"suffix":""},{"dropping-particle":"","family":"Goor","given":"Harry","non-dropping-particle":"Van","parse-names":false,"suffix":""},{"dropping-particle":"","family":"Maaten","given":"Jozine M.","non-dropping-particle":"Ter","parse-names":false,"suffix":""},{"dropping-particle":"","family":"Cleland","given":"John G.F.","non-dropping-particle":"","parse-names":false,"suffix":""},{"dropping-particle":"","family":"Rienstra","given":"Michiel","non-dropping-particle":"","parse-names":false,"suffix":""},{"dropping-particle":"","family":"Friedrich","given":"Alex W.","non-dropping-particle":"","parse-names":false,"suffix":""},{"dropping-particle":"","family":"Samani","given":"Nilesh J.","non-dropping-particle":"","parse-names":false,"suffix":""},{"dropping-particle":"","family":"Ng","given":"Leong L.","non-dropping-particle":"","parse-names":false,"suffix":""},{"dropping-particle":"","family":"Dickstein","given":"Kenneth","non-dropping-particle":"","parse-names":false,"suffix":""},{"dropping-particle":"","family":"Lang","given":"Chim C.","non-dropping-particle":"","parse-names":false,"suffix":""},{"dropping-particle":"","family":"Filippatos","given":"Gerasimos","non-dropping-particle":"","parse-names":false,"suffix":""},{"dropping-particle":"","family":"Anker","given":"Stefan D.","non-dropping-particle":"","parse-names":false,"suffix":""},{"dropping-particle":"","family":"Ponikowski","given":"Piotr","non-dropping-particle":"","parse-names":false,"suffix":""},{"dropping-particle":"","family":"Metra","given":"Marco","non-dropping-particle":"","parse-names":false,"suffix":""},{"dropping-particle":"","family":"Veldhuisen","given":"Dirk J.","non-dropping-particle":"Van","parse-names":false,"suffix":""},{"dropping-particle":"","family":"Voors","given":"Adriaan A.","non-dropping-particle":"","parse-names":false,"suffix":""}],"container-title":"European Heart Journal","id":"ITEM-1","issue":"19","issued":{"date-parts":[["2020"]]},"page":"1810-1817","title":"Circulating plasma concentrations of angiotensin-converting enzyme 2 in men and women with heart failure and effects of renin-angiotensin-aldosterone inhibitors","type":"article-journal","volume":"41"},"uris":["http://www.mendeley.com/documents/?uuid=8bff9730-9995-410f-8d3a-3144b63249a6"]}],"mendeley":{"formattedCitation":"(123)","plainTextFormattedCitation":"(123)","previouslyFormattedCitation":"(123)"},"properties":{"noteIndex":0},"schema":"https://github.com/citation-style-language/schema/raw/master/csl-citation.json"}</w:instrText>
      </w:r>
      <w:r w:rsidR="002D3751"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(123)</w:t>
      </w:r>
      <w:r w:rsidR="002D3751"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t xml:space="preserve">. The authors postulated that the higher serum concentrations of ACE2 in men compared </w:t>
      </w:r>
      <w:r w:rsidR="002D3751">
        <w:rPr>
          <w:rFonts w:asciiTheme="minorHAnsi" w:hAnsiTheme="minorHAnsi" w:cstheme="minorHAnsi"/>
          <w:sz w:val="22"/>
          <w:szCs w:val="22"/>
          <w:shd w:val="clear" w:color="auto" w:fill="FFFFFF"/>
        </w:rPr>
        <w:t>with</w:t>
      </w:r>
      <w:r w:rsidR="002D3751"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women m</w:t>
      </w:r>
      <w:r w:rsidR="002D3751">
        <w:rPr>
          <w:rFonts w:asciiTheme="minorHAnsi" w:hAnsiTheme="minorHAnsi" w:cstheme="minorHAnsi"/>
          <w:sz w:val="22"/>
          <w:szCs w:val="22"/>
          <w:shd w:val="clear" w:color="auto" w:fill="FFFFFF"/>
        </w:rPr>
        <w:t>ight</w:t>
      </w:r>
      <w:r w:rsidR="00334841" w:rsidRPr="004B0BC2">
        <w:rPr>
          <w:rFonts w:asciiTheme="minorHAnsi" w:hAnsiTheme="minorHAnsi" w:cstheme="minorHAnsi"/>
          <w:sz w:val="22"/>
          <w:szCs w:val="22"/>
          <w:shd w:val="clear" w:color="auto" w:fill="FFFFFF"/>
        </w:rPr>
        <w:t xml:space="preserve"> explain the </w:t>
      </w:r>
      <w:r w:rsidR="009A6051" w:rsidRPr="004B0BC2">
        <w:rPr>
          <w:rFonts w:asciiTheme="minorHAnsi" w:hAnsiTheme="minorHAnsi" w:cstheme="minorHAnsi"/>
          <w:sz w:val="22"/>
          <w:szCs w:val="22"/>
          <w:shd w:val="clear" w:color="auto" w:fill="FFFFFF"/>
        </w:rPr>
        <w:t xml:space="preserve">sex discrepancies </w:t>
      </w:r>
      <w:r w:rsidR="002D3751">
        <w:rPr>
          <w:rFonts w:asciiTheme="minorHAnsi" w:hAnsiTheme="minorHAnsi" w:cstheme="minorHAnsi"/>
          <w:sz w:val="22"/>
          <w:szCs w:val="22"/>
          <w:shd w:val="clear" w:color="auto" w:fill="FFFFFF"/>
        </w:rPr>
        <w:t xml:space="preserve">seen </w:t>
      </w:r>
      <w:r w:rsidR="009A6051" w:rsidRPr="004B0BC2">
        <w:rPr>
          <w:rFonts w:asciiTheme="minorHAnsi" w:hAnsiTheme="minorHAnsi" w:cstheme="minorHAnsi"/>
          <w:sz w:val="22"/>
          <w:szCs w:val="22"/>
          <w:shd w:val="clear" w:color="auto" w:fill="FFFFFF"/>
        </w:rPr>
        <w:t>in COVID-19 mortality</w:t>
      </w:r>
      <w:r w:rsidR="00334841" w:rsidRPr="004B0BC2">
        <w:rPr>
          <w:rFonts w:asciiTheme="minorHAnsi" w:hAnsiTheme="minorHAnsi" w:cstheme="minorHAnsi"/>
          <w:sz w:val="22"/>
          <w:szCs w:val="22"/>
          <w:shd w:val="clear" w:color="auto" w:fill="FFFFFF"/>
        </w:rPr>
        <w:t xml:space="preserve">. However, </w:t>
      </w:r>
      <w:r w:rsidR="002D3751">
        <w:rPr>
          <w:rFonts w:asciiTheme="minorHAnsi" w:hAnsiTheme="minorHAnsi" w:cstheme="minorHAnsi"/>
          <w:sz w:val="22"/>
          <w:szCs w:val="22"/>
          <w:shd w:val="clear" w:color="auto" w:fill="FFFFFF"/>
        </w:rPr>
        <w:t xml:space="preserve">the conclusions that can be drawn from </w:t>
      </w:r>
      <w:r w:rsidR="00334841" w:rsidRPr="004B0BC2">
        <w:rPr>
          <w:rFonts w:asciiTheme="minorHAnsi" w:hAnsiTheme="minorHAnsi" w:cstheme="minorHAnsi"/>
          <w:sz w:val="22"/>
          <w:szCs w:val="22"/>
          <w:shd w:val="clear" w:color="auto" w:fill="FFFFFF"/>
        </w:rPr>
        <w:t xml:space="preserve">this study </w:t>
      </w:r>
      <w:r w:rsidR="002D3751">
        <w:rPr>
          <w:rFonts w:asciiTheme="minorHAnsi" w:hAnsiTheme="minorHAnsi" w:cstheme="minorHAnsi"/>
          <w:sz w:val="22"/>
          <w:szCs w:val="22"/>
          <w:shd w:val="clear" w:color="auto" w:fill="FFFFFF"/>
        </w:rPr>
        <w:t>are</w:t>
      </w:r>
      <w:r w:rsidR="00334841" w:rsidRPr="004B0BC2">
        <w:rPr>
          <w:rFonts w:asciiTheme="minorHAnsi" w:hAnsiTheme="minorHAnsi" w:cstheme="minorHAnsi"/>
          <w:sz w:val="22"/>
          <w:szCs w:val="22"/>
          <w:shd w:val="clear" w:color="auto" w:fill="FFFFFF"/>
        </w:rPr>
        <w:t xml:space="preserve"> limited</w:t>
      </w:r>
      <w:r w:rsidR="002D3751">
        <w:rPr>
          <w:rFonts w:asciiTheme="minorHAnsi" w:hAnsiTheme="minorHAnsi" w:cstheme="minorHAnsi"/>
          <w:sz w:val="22"/>
          <w:szCs w:val="22"/>
          <w:shd w:val="clear" w:color="auto" w:fill="FFFFFF"/>
        </w:rPr>
        <w:t xml:space="preserve">, as </w:t>
      </w:r>
      <w:r w:rsidR="00334841" w:rsidRPr="004B0BC2">
        <w:rPr>
          <w:rFonts w:asciiTheme="minorHAnsi" w:hAnsiTheme="minorHAnsi" w:cstheme="minorHAnsi"/>
          <w:sz w:val="22"/>
          <w:szCs w:val="22"/>
          <w:shd w:val="clear" w:color="auto" w:fill="FFFFFF"/>
        </w:rPr>
        <w:t>it only analysed patients with heart failure</w:t>
      </w:r>
      <w:r w:rsidR="00F6487C">
        <w:rPr>
          <w:rFonts w:asciiTheme="minorHAnsi" w:hAnsiTheme="minorHAnsi" w:cstheme="minorHAnsi"/>
          <w:sz w:val="22"/>
          <w:szCs w:val="22"/>
          <w:shd w:val="clear" w:color="auto" w:fill="FFFFFF"/>
        </w:rPr>
        <w:t xml:space="preserve"> and</w:t>
      </w:r>
      <w:r w:rsidR="00334841" w:rsidRPr="004B0BC2">
        <w:rPr>
          <w:rFonts w:asciiTheme="minorHAnsi" w:hAnsiTheme="minorHAnsi" w:cstheme="minorHAnsi"/>
          <w:sz w:val="22"/>
          <w:szCs w:val="22"/>
          <w:shd w:val="clear" w:color="auto" w:fill="FFFFFF"/>
        </w:rPr>
        <w:t xml:space="preserve"> did not </w:t>
      </w:r>
      <w:r w:rsidR="00EF3A9D" w:rsidRPr="004B0BC2">
        <w:rPr>
          <w:rFonts w:asciiTheme="minorHAnsi" w:hAnsiTheme="minorHAnsi" w:cstheme="minorHAnsi"/>
          <w:sz w:val="22"/>
          <w:szCs w:val="22"/>
          <w:shd w:val="clear" w:color="auto" w:fill="FFFFFF"/>
        </w:rPr>
        <w:t>include</w:t>
      </w:r>
      <w:r w:rsidR="00334841" w:rsidRPr="004B0BC2">
        <w:rPr>
          <w:rFonts w:asciiTheme="minorHAnsi" w:hAnsiTheme="minorHAnsi" w:cstheme="minorHAnsi"/>
          <w:sz w:val="22"/>
          <w:szCs w:val="22"/>
          <w:shd w:val="clear" w:color="auto" w:fill="FFFFFF"/>
        </w:rPr>
        <w:t xml:space="preserve"> patients with </w:t>
      </w:r>
      <w:r w:rsidR="009A6051" w:rsidRPr="004B0BC2">
        <w:rPr>
          <w:rFonts w:asciiTheme="minorHAnsi" w:hAnsiTheme="minorHAnsi" w:cstheme="minorHAnsi"/>
          <w:sz w:val="22"/>
          <w:szCs w:val="22"/>
          <w:shd w:val="clear" w:color="auto" w:fill="FFFFFF"/>
        </w:rPr>
        <w:t>COVID</w:t>
      </w:r>
      <w:r w:rsidR="00334841" w:rsidRPr="004B0BC2">
        <w:rPr>
          <w:rFonts w:asciiTheme="minorHAnsi" w:hAnsiTheme="minorHAnsi" w:cstheme="minorHAnsi"/>
          <w:sz w:val="22"/>
          <w:szCs w:val="22"/>
          <w:shd w:val="clear" w:color="auto" w:fill="FFFFFF"/>
        </w:rPr>
        <w:t>-19</w:t>
      </w:r>
      <w:r w:rsidR="0035636E" w:rsidRPr="0035636E">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 </w:t>
      </w:r>
      <w:r w:rsidR="002D3751">
        <w:rPr>
          <w:rFonts w:asciiTheme="minorHAnsi" w:hAnsiTheme="minorHAnsi" w:cstheme="minorHAnsi"/>
          <w:sz w:val="22"/>
          <w:szCs w:val="22"/>
        </w:rPr>
        <w:t>S</w:t>
      </w:r>
      <w:r w:rsidR="00334841" w:rsidRPr="004B0BC2">
        <w:rPr>
          <w:rFonts w:asciiTheme="minorHAnsi" w:hAnsiTheme="minorHAnsi" w:cstheme="minorHAnsi"/>
          <w:sz w:val="22"/>
          <w:szCs w:val="22"/>
        </w:rPr>
        <w:t>ingle-cell RNA expression profiling of ACE2 in human lungs</w:t>
      </w:r>
      <w:r w:rsidR="00F54BD5">
        <w:rPr>
          <w:rFonts w:asciiTheme="minorHAnsi" w:hAnsiTheme="minorHAnsi" w:cstheme="minorHAnsi"/>
          <w:sz w:val="22"/>
          <w:szCs w:val="22"/>
        </w:rPr>
        <w:t xml:space="preserve"> from 8 adult human lung transplant donors</w:t>
      </w:r>
      <w:r w:rsidR="002D3751">
        <w:rPr>
          <w:rFonts w:asciiTheme="minorHAnsi" w:hAnsiTheme="minorHAnsi" w:cstheme="minorHAnsi"/>
          <w:sz w:val="22"/>
          <w:szCs w:val="22"/>
        </w:rPr>
        <w:t xml:space="preserve"> showed</w:t>
      </w:r>
      <w:r w:rsidR="00EF3A9D" w:rsidRPr="004B0BC2">
        <w:rPr>
          <w:rFonts w:asciiTheme="minorHAnsi" w:hAnsiTheme="minorHAnsi" w:cstheme="minorHAnsi"/>
          <w:sz w:val="22"/>
          <w:szCs w:val="22"/>
        </w:rPr>
        <w:t xml:space="preserve"> that </w:t>
      </w:r>
      <w:r w:rsidR="00334841" w:rsidRPr="004B0BC2">
        <w:rPr>
          <w:rFonts w:asciiTheme="minorHAnsi" w:hAnsiTheme="minorHAnsi" w:cstheme="minorHAnsi"/>
          <w:sz w:val="22"/>
          <w:szCs w:val="22"/>
        </w:rPr>
        <w:t xml:space="preserve">the </w:t>
      </w:r>
      <w:r w:rsidR="002D3751">
        <w:rPr>
          <w:rFonts w:asciiTheme="minorHAnsi" w:hAnsiTheme="minorHAnsi" w:cstheme="minorHAnsi"/>
          <w:sz w:val="22"/>
          <w:szCs w:val="22"/>
        </w:rPr>
        <w:t>two</w:t>
      </w:r>
      <w:r w:rsidR="00334841" w:rsidRPr="004B0BC2">
        <w:rPr>
          <w:rFonts w:asciiTheme="minorHAnsi" w:hAnsiTheme="minorHAnsi" w:cstheme="minorHAnsi"/>
          <w:sz w:val="22"/>
          <w:szCs w:val="22"/>
        </w:rPr>
        <w:t xml:space="preserve"> male donors </w:t>
      </w:r>
      <w:r w:rsidR="00EF3A9D" w:rsidRPr="004B0BC2">
        <w:rPr>
          <w:rFonts w:asciiTheme="minorHAnsi" w:hAnsiTheme="minorHAnsi" w:cstheme="minorHAnsi"/>
          <w:sz w:val="22"/>
          <w:szCs w:val="22"/>
        </w:rPr>
        <w:t>had</w:t>
      </w:r>
      <w:r w:rsidR="00334841" w:rsidRPr="004B0BC2">
        <w:rPr>
          <w:rFonts w:asciiTheme="minorHAnsi" w:hAnsiTheme="minorHAnsi" w:cstheme="minorHAnsi"/>
          <w:sz w:val="22"/>
          <w:szCs w:val="22"/>
        </w:rPr>
        <w:t xml:space="preserve"> a higher</w:t>
      </w:r>
      <w:r w:rsidR="00EF3A9D" w:rsidRPr="004B0BC2">
        <w:rPr>
          <w:rFonts w:asciiTheme="minorHAnsi" w:hAnsiTheme="minorHAnsi" w:cstheme="minorHAnsi"/>
          <w:sz w:val="22"/>
          <w:szCs w:val="22"/>
        </w:rPr>
        <w:t xml:space="preserve"> (albeit not statistically significant)</w:t>
      </w:r>
      <w:r w:rsidR="00334841" w:rsidRPr="004B0BC2">
        <w:rPr>
          <w:rFonts w:asciiTheme="minorHAnsi" w:hAnsiTheme="minorHAnsi" w:cstheme="minorHAnsi"/>
          <w:sz w:val="22"/>
          <w:szCs w:val="22"/>
        </w:rPr>
        <w:t xml:space="preserve"> ACE2-expressing cell ratio than </w:t>
      </w:r>
      <w:r w:rsidR="00EF3A9D" w:rsidRPr="004B0BC2">
        <w:rPr>
          <w:rFonts w:asciiTheme="minorHAnsi" w:hAnsiTheme="minorHAnsi" w:cstheme="minorHAnsi"/>
          <w:sz w:val="22"/>
          <w:szCs w:val="22"/>
        </w:rPr>
        <w:t>the</w:t>
      </w:r>
      <w:r w:rsidR="00334841" w:rsidRPr="004B0BC2">
        <w:rPr>
          <w:rFonts w:asciiTheme="minorHAnsi" w:hAnsiTheme="minorHAnsi" w:cstheme="minorHAnsi"/>
          <w:sz w:val="22"/>
          <w:szCs w:val="22"/>
        </w:rPr>
        <w:t xml:space="preserve"> 6 female donors (1.66% v</w:t>
      </w:r>
      <w:r w:rsidR="002D3751">
        <w:rPr>
          <w:rFonts w:asciiTheme="minorHAnsi" w:hAnsiTheme="minorHAnsi" w:cstheme="minorHAnsi"/>
          <w:sz w:val="22"/>
          <w:szCs w:val="22"/>
        </w:rPr>
        <w:t>ersus</w:t>
      </w:r>
      <w:r w:rsidR="00334841" w:rsidRPr="004B0BC2">
        <w:rPr>
          <w:rFonts w:asciiTheme="minorHAnsi" w:hAnsiTheme="minorHAnsi" w:cstheme="minorHAnsi"/>
          <w:sz w:val="22"/>
          <w:szCs w:val="22"/>
        </w:rPr>
        <w:t xml:space="preserve"> 0.41%, </w:t>
      </w:r>
      <w:r w:rsidR="00A50E38" w:rsidRPr="004B0BC2">
        <w:rPr>
          <w:rFonts w:asciiTheme="minorHAnsi" w:hAnsiTheme="minorHAnsi" w:cstheme="minorHAnsi"/>
          <w:sz w:val="22"/>
          <w:szCs w:val="22"/>
        </w:rPr>
        <w:t>p</w:t>
      </w:r>
      <w:r w:rsidR="00334841" w:rsidRPr="004B0BC2">
        <w:rPr>
          <w:rFonts w:asciiTheme="minorHAnsi" w:hAnsiTheme="minorHAnsi" w:cstheme="minorHAnsi"/>
          <w:sz w:val="22"/>
          <w:szCs w:val="22"/>
        </w:rPr>
        <w:t>=</w:t>
      </w:r>
      <w:r w:rsidR="00EF3A9D" w:rsidRPr="004B0BC2">
        <w:rPr>
          <w:rFonts w:asciiTheme="minorHAnsi" w:hAnsiTheme="minorHAnsi" w:cstheme="minorHAnsi"/>
          <w:sz w:val="22"/>
          <w:szCs w:val="22"/>
        </w:rPr>
        <w:t xml:space="preserve"> </w:t>
      </w:r>
      <w:r w:rsidR="00334841" w:rsidRPr="004B0BC2">
        <w:rPr>
          <w:rFonts w:asciiTheme="minorHAnsi" w:hAnsiTheme="minorHAnsi" w:cstheme="minorHAnsi"/>
          <w:sz w:val="22"/>
          <w:szCs w:val="22"/>
        </w:rPr>
        <w:t>0.07)</w:t>
      </w:r>
      <w:r w:rsidR="002D3751"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{"citationItems":[{"id":"ITEM-1","itemData":{"DOI":"10.1101/2020.01.26.919985","abstract":"A novel coronavirus (2019-nCov) was identified in Wuhan, Hubei Province, China in December of 2019. This new coronavirus has resulted in thousands of cases of lethal disease in China, with additional patients being identified in a rapidly growing number internationally. 2019-nCov was reported to share the same receptor, Angiotensin-converting enzyme 2 (ACE2), with SARS-Cov. Here based on the public database and the state-of-the-art single-cell RNA-Seq technique, we analyzed the ACE2 RNA expression profile in the normal human lungs. The result indicates that the ACE2 virus receptor expression is concentrated in a small population of type II alveolar cells (AT2). Surprisingly, we found that this population of ACE2-expressing AT2 also highly expressed many other genes that positively regulating viral reproduction and transmission. A comparison between eight individual samples demonstrated that the Asian male one has an extremely large number of ACE2-expressing cells in the lung. This study provides a biological background for the epidemic investigation of the 2019-nCov infection disease, and could be informative for future anti-ACE2 therapeutic strategy development.","author":[{"dropping-particle":"","family":"Zhao","given":"Yu","non-dropping-particle":"","parse-names":false,"suffix":""},{"dropping-particle":"","family":"Zhao","given":"Zixian","non-dropping-particle":"","parse-names":false,"suffix":""},{"dropping-particle":"","family":"Wang","given":"Yujia","non-dropping-particle":"","parse-names":false,"suffix":""},{"dropping-particle":"","family":"Zhou","given":"Yueqing","non-dropping-particle":"","parse-names":false,"suffix":""},{"dropping-particle":"","family":"Ma","given":"Yu","non-dropping-particle":"","parse-names":false,"suffix":""},{"dropping-particle":"","family":"Zuo","given":"Wei","non-dropping-particle":"","parse-names":false,"suffix":""}],"container-title":"bioRxiv","id":"ITEM-1","issued":{"date-parts":[["2020"]]},"title":"Single-cell RNA expression profiling of ACE2, the putative receptor of Wuhan 2019-nCov doi: bioRxiv preprint","type":"article-journal"},"uris":["http://www.mendeley.com/documents/?uuid=01a8bc04-a789-4592-a4e5-3b5747616459"]}],"mendeley":{"formattedCitation":"(124)","plainTextFormattedCitation":"(124)","previouslyFormattedCitation":"(124)"},"properties":{"noteIndex":0},"schema":"https://github.com/citation-style-language/schema/raw/master/csl-citation.json"}</w:instrText>
      </w:r>
      <w:r w:rsidR="002D3751"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(124)</w:t>
      </w:r>
      <w:r w:rsidR="002D3751"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rPr>
        <w:t>.</w:t>
      </w:r>
      <w:r w:rsidR="009A6051" w:rsidRPr="004B0BC2">
        <w:rPr>
          <w:rFonts w:asciiTheme="minorHAnsi" w:hAnsiTheme="minorHAnsi" w:cstheme="minorHAnsi"/>
          <w:sz w:val="22"/>
          <w:szCs w:val="22"/>
        </w:rPr>
        <w:t xml:space="preserve"> </w:t>
      </w:r>
      <w:r w:rsidR="003C7113" w:rsidRPr="004B0BC2">
        <w:rPr>
          <w:rFonts w:asciiTheme="minorHAnsi" w:hAnsiTheme="minorHAnsi" w:cstheme="minorHAnsi"/>
          <w:sz w:val="22"/>
          <w:szCs w:val="22"/>
          <w:shd w:val="clear" w:color="auto" w:fill="FFFFFF"/>
        </w:rPr>
        <w:t xml:space="preserve">However, </w:t>
      </w:r>
      <w:r w:rsidR="002D3751">
        <w:rPr>
          <w:rFonts w:asciiTheme="minorHAnsi" w:hAnsiTheme="minorHAnsi" w:cstheme="minorHAnsi"/>
          <w:sz w:val="22"/>
          <w:szCs w:val="22"/>
          <w:shd w:val="clear" w:color="auto" w:fill="FFFFFF"/>
        </w:rPr>
        <w:t xml:space="preserve">these data are contradicted by an </w:t>
      </w:r>
      <w:r w:rsidR="00334841" w:rsidRPr="004B0BC2">
        <w:rPr>
          <w:rFonts w:asciiTheme="minorHAnsi" w:hAnsiTheme="minorHAnsi" w:cstheme="minorHAnsi"/>
          <w:sz w:val="22"/>
          <w:szCs w:val="22"/>
          <w:shd w:val="clear" w:color="auto" w:fill="FFFFFF"/>
        </w:rPr>
        <w:t>analys</w:t>
      </w:r>
      <w:r w:rsidR="002D3751">
        <w:rPr>
          <w:rFonts w:asciiTheme="minorHAnsi" w:hAnsiTheme="minorHAnsi" w:cstheme="minorHAnsi"/>
          <w:sz w:val="22"/>
          <w:szCs w:val="22"/>
          <w:shd w:val="clear" w:color="auto" w:fill="FFFFFF"/>
        </w:rPr>
        <w:t>is of</w:t>
      </w:r>
      <w:r w:rsidR="00334841"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rPr>
        <w:t xml:space="preserve">five large-scale bulk transcriptomic datasets </w:t>
      </w:r>
      <w:r w:rsidR="00334841" w:rsidRPr="004B0BC2">
        <w:rPr>
          <w:rFonts w:asciiTheme="minorHAnsi" w:hAnsiTheme="minorHAnsi" w:cstheme="minorHAnsi"/>
          <w:sz w:val="22"/>
          <w:szCs w:val="22"/>
        </w:rPr>
        <w:lastRenderedPageBreak/>
        <w:t>of normal lung tissue and two single-cell transcriptomic datasets from lung cancer patients</w:t>
      </w:r>
      <w:r w:rsidR="002D3751">
        <w:rPr>
          <w:rFonts w:asciiTheme="minorHAnsi" w:hAnsiTheme="minorHAnsi" w:cstheme="minorHAnsi"/>
          <w:sz w:val="22"/>
          <w:szCs w:val="22"/>
        </w:rPr>
        <w:t>, which showed</w:t>
      </w:r>
      <w:r w:rsidR="00334841" w:rsidRPr="004B0BC2">
        <w:rPr>
          <w:rFonts w:asciiTheme="minorHAnsi" w:hAnsiTheme="minorHAnsi" w:cstheme="minorHAnsi"/>
          <w:sz w:val="22"/>
          <w:szCs w:val="22"/>
          <w:shd w:val="clear" w:color="auto" w:fill="FFFFFF"/>
        </w:rPr>
        <w:t xml:space="preserve"> no </w:t>
      </w:r>
      <w:r w:rsidR="00334841" w:rsidRPr="004B0BC2">
        <w:rPr>
          <w:rFonts w:asciiTheme="minorHAnsi" w:hAnsiTheme="minorHAnsi" w:cstheme="minorHAnsi"/>
          <w:sz w:val="22"/>
          <w:szCs w:val="22"/>
        </w:rPr>
        <w:t xml:space="preserve">significant </w:t>
      </w:r>
      <w:r w:rsidR="009A6051" w:rsidRPr="004B0BC2">
        <w:rPr>
          <w:rFonts w:asciiTheme="minorHAnsi" w:hAnsiTheme="minorHAnsi" w:cstheme="minorHAnsi"/>
          <w:sz w:val="22"/>
          <w:szCs w:val="22"/>
        </w:rPr>
        <w:t>differences</w:t>
      </w:r>
      <w:r w:rsidR="00334841" w:rsidRPr="004B0BC2">
        <w:rPr>
          <w:rFonts w:asciiTheme="minorHAnsi" w:hAnsiTheme="minorHAnsi" w:cstheme="minorHAnsi"/>
          <w:sz w:val="22"/>
          <w:szCs w:val="22"/>
        </w:rPr>
        <w:t xml:space="preserve"> in ACE2 gene expression between racial groups (Asian v</w:t>
      </w:r>
      <w:r w:rsidR="002D3751">
        <w:rPr>
          <w:rFonts w:asciiTheme="minorHAnsi" w:hAnsiTheme="minorHAnsi" w:cstheme="minorHAnsi"/>
          <w:sz w:val="22"/>
          <w:szCs w:val="22"/>
        </w:rPr>
        <w:t>ersu</w:t>
      </w:r>
      <w:r w:rsidR="00334841" w:rsidRPr="004B0BC2">
        <w:rPr>
          <w:rFonts w:asciiTheme="minorHAnsi" w:hAnsiTheme="minorHAnsi" w:cstheme="minorHAnsi"/>
          <w:sz w:val="22"/>
          <w:szCs w:val="22"/>
        </w:rPr>
        <w:t>s Caucasian), age groups (&gt;60</w:t>
      </w:r>
      <w:r w:rsidR="002D3751">
        <w:rPr>
          <w:rFonts w:asciiTheme="minorHAnsi" w:hAnsiTheme="minorHAnsi" w:cstheme="minorHAnsi"/>
          <w:sz w:val="22"/>
          <w:szCs w:val="22"/>
        </w:rPr>
        <w:t xml:space="preserve"> years</w:t>
      </w:r>
      <w:r w:rsidR="00334841" w:rsidRPr="004B0BC2">
        <w:rPr>
          <w:rFonts w:asciiTheme="minorHAnsi" w:hAnsiTheme="minorHAnsi" w:cstheme="minorHAnsi"/>
          <w:sz w:val="22"/>
          <w:szCs w:val="22"/>
        </w:rPr>
        <w:t xml:space="preserve"> v</w:t>
      </w:r>
      <w:r w:rsidR="002D3751">
        <w:rPr>
          <w:rFonts w:asciiTheme="minorHAnsi" w:hAnsiTheme="minorHAnsi" w:cstheme="minorHAnsi"/>
          <w:sz w:val="22"/>
          <w:szCs w:val="22"/>
        </w:rPr>
        <w:t>ersu</w:t>
      </w:r>
      <w:r w:rsidR="00334841" w:rsidRPr="004B0BC2">
        <w:rPr>
          <w:rFonts w:asciiTheme="minorHAnsi" w:hAnsiTheme="minorHAnsi" w:cstheme="minorHAnsi"/>
          <w:sz w:val="22"/>
          <w:szCs w:val="22"/>
        </w:rPr>
        <w:t>s &lt;60</w:t>
      </w:r>
      <w:r w:rsidR="002D3751">
        <w:rPr>
          <w:rFonts w:asciiTheme="minorHAnsi" w:hAnsiTheme="minorHAnsi" w:cstheme="minorHAnsi"/>
          <w:sz w:val="22"/>
          <w:szCs w:val="22"/>
        </w:rPr>
        <w:t xml:space="preserve"> years</w:t>
      </w:r>
      <w:r w:rsidR="00334841" w:rsidRPr="004B0BC2">
        <w:rPr>
          <w:rFonts w:asciiTheme="minorHAnsi" w:hAnsiTheme="minorHAnsi" w:cstheme="minorHAnsi"/>
          <w:sz w:val="22"/>
          <w:szCs w:val="22"/>
        </w:rPr>
        <w:t>) and sex (male v</w:t>
      </w:r>
      <w:r w:rsidR="002D3751">
        <w:rPr>
          <w:rFonts w:asciiTheme="minorHAnsi" w:hAnsiTheme="minorHAnsi" w:cstheme="minorHAnsi"/>
          <w:sz w:val="22"/>
          <w:szCs w:val="22"/>
        </w:rPr>
        <w:t>ersu</w:t>
      </w:r>
      <w:r w:rsidR="00334841" w:rsidRPr="004B0BC2">
        <w:rPr>
          <w:rFonts w:asciiTheme="minorHAnsi" w:hAnsiTheme="minorHAnsi" w:cstheme="minorHAnsi"/>
          <w:sz w:val="22"/>
          <w:szCs w:val="22"/>
        </w:rPr>
        <w:t>s female)</w:t>
      </w:r>
      <w:r w:rsidR="002D3751"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10.20944/PREPRINTS202002.0051.V2","author":[{"dropping-particle":"","family":"Cai","given":"Guoshuai","non-dropping-particle":"","parse-names":false,"suffix":""}],"container-title":"medRxiv","id":"ITEM-1","issued":{"date-parts":[["2020","2","14"]]},"publisher":"Preprints","title":"Bulk and Single-Cell Transcriptomics Identify Tobacco-Use Disparity in Lung Gene Expression of ACE2, the Receptor of 2019-nCov","type":"webpage"},"uris":["http://www.mendeley.com/documents/?uuid=6c182b72-579a-3a62-8bf7-43f655c59306"]}],"mendeley":{"formattedCitation":"(125)","plainTextFormattedCitation":"(125)","previouslyFormattedCitation":"(125)"},"properties":{"noteIndex":0},"schema":"https://github.com/citation-style-language/schema/raw/master/csl-citation.json"}</w:instrText>
      </w:r>
      <w:r w:rsidR="002D3751"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(125)</w:t>
      </w:r>
      <w:r w:rsidR="002D3751"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rPr>
        <w:t xml:space="preserve">. </w:t>
      </w:r>
      <w:r w:rsidR="002D3751">
        <w:rPr>
          <w:rFonts w:asciiTheme="minorHAnsi" w:hAnsiTheme="minorHAnsi" w:cstheme="minorHAnsi"/>
          <w:sz w:val="22"/>
          <w:szCs w:val="22"/>
        </w:rPr>
        <w:t>Interestingly</w:t>
      </w:r>
      <w:r w:rsidR="003C7113" w:rsidRPr="004B0BC2">
        <w:rPr>
          <w:rFonts w:asciiTheme="minorHAnsi" w:hAnsiTheme="minorHAnsi" w:cstheme="minorHAnsi"/>
          <w:sz w:val="22"/>
          <w:szCs w:val="22"/>
        </w:rPr>
        <w:t>,</w:t>
      </w:r>
      <w:r w:rsidR="002D3751">
        <w:rPr>
          <w:rFonts w:asciiTheme="minorHAnsi" w:hAnsiTheme="minorHAnsi" w:cstheme="minorHAnsi"/>
          <w:sz w:val="22"/>
          <w:szCs w:val="22"/>
        </w:rPr>
        <w:t xml:space="preserve"> data from a rat study that</w:t>
      </w:r>
      <w:r w:rsidR="003C7113" w:rsidRPr="004B0BC2">
        <w:rPr>
          <w:rFonts w:asciiTheme="minorHAnsi" w:hAnsiTheme="minorHAnsi" w:cstheme="minorHAnsi"/>
          <w:sz w:val="22"/>
          <w:szCs w:val="22"/>
        </w:rPr>
        <w:t xml:space="preserve"> </w:t>
      </w:r>
      <w:r w:rsidR="00281C77" w:rsidRPr="004B0BC2">
        <w:rPr>
          <w:rFonts w:asciiTheme="minorHAnsi" w:hAnsiTheme="minorHAnsi" w:cstheme="minorHAnsi"/>
          <w:sz w:val="22"/>
          <w:szCs w:val="22"/>
        </w:rPr>
        <w:t>compared lung</w:t>
      </w:r>
      <w:r w:rsidR="003C7113" w:rsidRPr="004B0BC2">
        <w:rPr>
          <w:rFonts w:asciiTheme="minorHAnsi" w:hAnsiTheme="minorHAnsi" w:cstheme="minorHAnsi"/>
          <w:sz w:val="22"/>
          <w:szCs w:val="22"/>
        </w:rPr>
        <w:t xml:space="preserve"> ACE2 expression</w:t>
      </w:r>
      <w:r w:rsidR="00334841" w:rsidRPr="004B0BC2">
        <w:rPr>
          <w:rFonts w:asciiTheme="minorHAnsi" w:hAnsiTheme="minorHAnsi" w:cstheme="minorHAnsi"/>
          <w:sz w:val="22"/>
          <w:szCs w:val="22"/>
        </w:rPr>
        <w:t xml:space="preserve"> </w:t>
      </w:r>
      <w:r w:rsidR="00281C77" w:rsidRPr="004B0BC2">
        <w:rPr>
          <w:rFonts w:asciiTheme="minorHAnsi" w:hAnsiTheme="minorHAnsi" w:cstheme="minorHAnsi"/>
          <w:sz w:val="22"/>
          <w:szCs w:val="22"/>
        </w:rPr>
        <w:t>between male and female rats</w:t>
      </w:r>
      <w:r w:rsidR="00334841" w:rsidRPr="004B0BC2">
        <w:rPr>
          <w:rFonts w:asciiTheme="minorHAnsi" w:hAnsiTheme="minorHAnsi" w:cstheme="minorHAnsi"/>
          <w:sz w:val="22"/>
          <w:szCs w:val="22"/>
        </w:rPr>
        <w:t xml:space="preserve"> at three distinct ages (3 months, 12 months</w:t>
      </w:r>
      <w:r w:rsidR="00281C77" w:rsidRPr="004B0BC2">
        <w:rPr>
          <w:rFonts w:asciiTheme="minorHAnsi" w:hAnsiTheme="minorHAnsi" w:cstheme="minorHAnsi"/>
          <w:sz w:val="22"/>
          <w:szCs w:val="22"/>
        </w:rPr>
        <w:t xml:space="preserve"> and </w:t>
      </w:r>
      <w:r w:rsidR="00334841" w:rsidRPr="004B0BC2">
        <w:rPr>
          <w:rFonts w:asciiTheme="minorHAnsi" w:hAnsiTheme="minorHAnsi" w:cstheme="minorHAnsi"/>
          <w:sz w:val="22"/>
          <w:szCs w:val="22"/>
        </w:rPr>
        <w:t>24 months)</w:t>
      </w:r>
      <w:r w:rsidR="00281C77" w:rsidRPr="004B0BC2">
        <w:rPr>
          <w:rFonts w:asciiTheme="minorHAnsi" w:hAnsiTheme="minorHAnsi" w:cstheme="minorHAnsi"/>
          <w:sz w:val="22"/>
          <w:szCs w:val="22"/>
        </w:rPr>
        <w:t xml:space="preserve"> reported </w:t>
      </w:r>
      <w:r w:rsidR="00334841" w:rsidRPr="004B0BC2">
        <w:rPr>
          <w:rFonts w:asciiTheme="minorHAnsi" w:hAnsiTheme="minorHAnsi" w:cstheme="minorHAnsi"/>
          <w:sz w:val="22"/>
          <w:szCs w:val="22"/>
        </w:rPr>
        <w:t xml:space="preserve">no </w:t>
      </w:r>
      <w:r w:rsidR="00281C77" w:rsidRPr="004B0BC2">
        <w:rPr>
          <w:rFonts w:asciiTheme="minorHAnsi" w:hAnsiTheme="minorHAnsi" w:cstheme="minorHAnsi"/>
          <w:sz w:val="22"/>
          <w:szCs w:val="22"/>
        </w:rPr>
        <w:t xml:space="preserve">sex </w:t>
      </w:r>
      <w:r w:rsidR="00334841" w:rsidRPr="004B0BC2">
        <w:rPr>
          <w:rFonts w:asciiTheme="minorHAnsi" w:hAnsiTheme="minorHAnsi" w:cstheme="minorHAnsi"/>
          <w:sz w:val="22"/>
          <w:szCs w:val="22"/>
        </w:rPr>
        <w:t>difference</w:t>
      </w:r>
      <w:r w:rsidR="00281C77" w:rsidRPr="004B0BC2">
        <w:rPr>
          <w:rFonts w:asciiTheme="minorHAnsi" w:hAnsiTheme="minorHAnsi" w:cstheme="minorHAnsi"/>
          <w:sz w:val="22"/>
          <w:szCs w:val="22"/>
        </w:rPr>
        <w:t>s</w:t>
      </w:r>
      <w:r w:rsidR="00334841" w:rsidRPr="004B0BC2">
        <w:rPr>
          <w:rFonts w:asciiTheme="minorHAnsi" w:hAnsiTheme="minorHAnsi" w:cstheme="minorHAnsi"/>
          <w:sz w:val="22"/>
          <w:szCs w:val="22"/>
        </w:rPr>
        <w:t xml:space="preserve"> </w:t>
      </w:r>
      <w:r w:rsidR="00281C77" w:rsidRPr="004B0BC2">
        <w:rPr>
          <w:rFonts w:asciiTheme="minorHAnsi" w:hAnsiTheme="minorHAnsi" w:cstheme="minorHAnsi"/>
          <w:sz w:val="22"/>
          <w:szCs w:val="22"/>
        </w:rPr>
        <w:t>in</w:t>
      </w:r>
      <w:r w:rsidR="00334841" w:rsidRPr="004B0BC2">
        <w:rPr>
          <w:rFonts w:asciiTheme="minorHAnsi" w:hAnsiTheme="minorHAnsi" w:cstheme="minorHAnsi"/>
          <w:sz w:val="22"/>
          <w:szCs w:val="22"/>
        </w:rPr>
        <w:t xml:space="preserve"> ACE2</w:t>
      </w:r>
      <w:r w:rsidR="00281C77" w:rsidRPr="004B0BC2">
        <w:rPr>
          <w:rFonts w:asciiTheme="minorHAnsi" w:hAnsiTheme="minorHAnsi" w:cstheme="minorHAnsi"/>
          <w:sz w:val="22"/>
          <w:szCs w:val="22"/>
        </w:rPr>
        <w:t xml:space="preserve"> expression</w:t>
      </w:r>
      <w:r w:rsidR="00334841" w:rsidRPr="004B0BC2">
        <w:rPr>
          <w:rFonts w:asciiTheme="minorHAnsi" w:hAnsiTheme="minorHAnsi" w:cstheme="minorHAnsi"/>
          <w:sz w:val="22"/>
          <w:szCs w:val="22"/>
        </w:rPr>
        <w:t xml:space="preserve"> in </w:t>
      </w:r>
      <w:r w:rsidR="00281C77" w:rsidRPr="004B0BC2">
        <w:rPr>
          <w:rFonts w:asciiTheme="minorHAnsi" w:hAnsiTheme="minorHAnsi" w:cstheme="minorHAnsi"/>
          <w:sz w:val="22"/>
          <w:szCs w:val="22"/>
        </w:rPr>
        <w:t xml:space="preserve">the </w:t>
      </w:r>
      <w:r w:rsidR="001E5AD7" w:rsidRPr="004B0BC2">
        <w:rPr>
          <w:rFonts w:asciiTheme="minorHAnsi" w:hAnsiTheme="minorHAnsi" w:cstheme="minorHAnsi"/>
          <w:sz w:val="22"/>
          <w:szCs w:val="22"/>
        </w:rPr>
        <w:t>3-</w:t>
      </w:r>
      <w:r w:rsidR="002D3751">
        <w:rPr>
          <w:rFonts w:asciiTheme="minorHAnsi" w:hAnsiTheme="minorHAnsi" w:cstheme="minorHAnsi"/>
          <w:sz w:val="22"/>
          <w:szCs w:val="22"/>
        </w:rPr>
        <w:t>month</w:t>
      </w:r>
      <w:r w:rsidR="001E5AD7" w:rsidRPr="004B0BC2">
        <w:rPr>
          <w:rFonts w:asciiTheme="minorHAnsi" w:hAnsiTheme="minorHAnsi" w:cstheme="minorHAnsi"/>
          <w:sz w:val="22"/>
          <w:szCs w:val="22"/>
        </w:rPr>
        <w:t xml:space="preserve"> and 12-month</w:t>
      </w:r>
      <w:r w:rsidR="00281C77" w:rsidRPr="004B0BC2">
        <w:rPr>
          <w:rFonts w:asciiTheme="minorHAnsi" w:hAnsiTheme="minorHAnsi" w:cstheme="minorHAnsi"/>
          <w:sz w:val="22"/>
          <w:szCs w:val="22"/>
        </w:rPr>
        <w:t xml:space="preserve"> cohorts</w:t>
      </w:r>
      <w:r w:rsidR="002D3751">
        <w:rPr>
          <w:rFonts w:asciiTheme="minorHAnsi" w:hAnsiTheme="minorHAnsi" w:cstheme="minorHAnsi"/>
          <w:sz w:val="22"/>
          <w:szCs w:val="22"/>
        </w:rPr>
        <w:t>,</w:t>
      </w:r>
      <w:r w:rsidR="00334841" w:rsidRPr="004B0BC2">
        <w:rPr>
          <w:rFonts w:asciiTheme="minorHAnsi" w:hAnsiTheme="minorHAnsi" w:cstheme="minorHAnsi"/>
          <w:sz w:val="22"/>
          <w:szCs w:val="22"/>
        </w:rPr>
        <w:t xml:space="preserve"> </w:t>
      </w:r>
      <w:r w:rsidR="00281C77" w:rsidRPr="004B0BC2">
        <w:rPr>
          <w:rFonts w:asciiTheme="minorHAnsi" w:hAnsiTheme="minorHAnsi" w:cstheme="minorHAnsi"/>
          <w:sz w:val="22"/>
          <w:szCs w:val="22"/>
        </w:rPr>
        <w:t>but a</w:t>
      </w:r>
      <w:r w:rsidR="00334841" w:rsidRPr="004B0BC2">
        <w:rPr>
          <w:rFonts w:asciiTheme="minorHAnsi" w:hAnsiTheme="minorHAnsi" w:cstheme="minorHAnsi"/>
          <w:sz w:val="22"/>
          <w:szCs w:val="22"/>
        </w:rPr>
        <w:t xml:space="preserve"> significantly higher ACE2 </w:t>
      </w:r>
      <w:r w:rsidR="00281C77" w:rsidRPr="004B0BC2">
        <w:rPr>
          <w:rFonts w:asciiTheme="minorHAnsi" w:hAnsiTheme="minorHAnsi" w:cstheme="minorHAnsi"/>
          <w:sz w:val="22"/>
          <w:szCs w:val="22"/>
        </w:rPr>
        <w:t>level</w:t>
      </w:r>
      <w:r w:rsidR="00334841" w:rsidRPr="004B0BC2">
        <w:rPr>
          <w:rFonts w:asciiTheme="minorHAnsi" w:hAnsiTheme="minorHAnsi" w:cstheme="minorHAnsi"/>
          <w:sz w:val="22"/>
          <w:szCs w:val="22"/>
        </w:rPr>
        <w:t xml:space="preserve"> in female rats</w:t>
      </w:r>
      <w:r w:rsidR="00281C77" w:rsidRPr="004B0BC2">
        <w:rPr>
          <w:rFonts w:asciiTheme="minorHAnsi" w:hAnsiTheme="minorHAnsi" w:cstheme="minorHAnsi"/>
          <w:sz w:val="22"/>
          <w:szCs w:val="22"/>
        </w:rPr>
        <w:t xml:space="preserve"> aged 24 </w:t>
      </w:r>
      <w:r w:rsidR="00281C77" w:rsidRPr="00C0119C">
        <w:rPr>
          <w:rFonts w:asciiTheme="minorHAnsi" w:hAnsiTheme="minorHAnsi" w:cstheme="minorHAnsi"/>
          <w:sz w:val="22"/>
          <w:szCs w:val="22"/>
        </w:rPr>
        <w:t xml:space="preserve">months compared </w:t>
      </w:r>
      <w:r w:rsidR="002D3751" w:rsidRPr="00C0119C">
        <w:rPr>
          <w:rFonts w:asciiTheme="minorHAnsi" w:hAnsiTheme="minorHAnsi" w:cstheme="minorHAnsi"/>
          <w:sz w:val="22"/>
          <w:szCs w:val="22"/>
        </w:rPr>
        <w:t xml:space="preserve">with </w:t>
      </w:r>
      <w:r w:rsidR="00281C77" w:rsidRPr="00C0119C">
        <w:rPr>
          <w:rFonts w:asciiTheme="minorHAnsi" w:hAnsiTheme="minorHAnsi" w:cstheme="minorHAnsi"/>
          <w:sz w:val="22"/>
          <w:szCs w:val="22"/>
        </w:rPr>
        <w:t>age matched</w:t>
      </w:r>
      <w:r w:rsidR="00334841" w:rsidRPr="00C0119C">
        <w:rPr>
          <w:rFonts w:asciiTheme="minorHAnsi" w:hAnsiTheme="minorHAnsi" w:cstheme="minorHAnsi"/>
          <w:sz w:val="22"/>
          <w:szCs w:val="22"/>
        </w:rPr>
        <w:t xml:space="preserve"> male</w:t>
      </w:r>
      <w:r w:rsidR="00281C77" w:rsidRPr="00C0119C">
        <w:rPr>
          <w:rFonts w:asciiTheme="minorHAnsi" w:hAnsiTheme="minorHAnsi" w:cstheme="minorHAnsi"/>
          <w:sz w:val="22"/>
          <w:szCs w:val="22"/>
        </w:rPr>
        <w:t>s</w:t>
      </w:r>
      <w:r w:rsidR="001A2A9C" w:rsidRPr="00C0119C">
        <w:rPr>
          <w:rFonts w:asciiTheme="minorHAnsi" w:hAnsiTheme="minorHAnsi" w:cstheme="minorHAnsi"/>
          <w:sz w:val="22"/>
          <w:szCs w:val="22"/>
        </w:rPr>
        <w:t xml:space="preserve"> </w:t>
      </w:r>
      <w:r w:rsidR="00334841" w:rsidRPr="00C0119C">
        <w:rPr>
          <w:rFonts w:asciiTheme="minorHAnsi" w:hAnsiTheme="minorHAnsi" w:cstheme="minorHAnsi"/>
          <w:sz w:val="22"/>
          <w:szCs w:val="22"/>
        </w:rPr>
        <w:t>(</w:t>
      </w:r>
      <w:r w:rsidR="00A50E38" w:rsidRPr="00C0119C">
        <w:rPr>
          <w:rStyle w:val="Emphasis"/>
          <w:rFonts w:asciiTheme="minorHAnsi" w:eastAsiaTheme="majorEastAsia" w:hAnsiTheme="minorHAnsi" w:cstheme="minorHAnsi"/>
          <w:i w:val="0"/>
          <w:iCs w:val="0"/>
          <w:sz w:val="22"/>
          <w:szCs w:val="22"/>
        </w:rPr>
        <w:t>p</w:t>
      </w:r>
      <w:r w:rsidR="00334841" w:rsidRPr="00C0119C">
        <w:rPr>
          <w:rFonts w:asciiTheme="minorHAnsi" w:hAnsiTheme="minorHAnsi" w:cstheme="minorHAnsi"/>
          <w:sz w:val="22"/>
          <w:szCs w:val="22"/>
        </w:rPr>
        <w:t> &lt; 0.05)</w:t>
      </w:r>
      <w:r w:rsidR="002D3751" w:rsidRPr="00C0119C">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{"citationItems":[{"id":"ITEM-1","itemData":{"DOI":"10.1016/j.lfs.2005.09.038","ISSN":"00243205","PMID":"16303146","abstract":"Epidemiologic data suggested that there was an obvious predominance of young adult patients with a slight female proneness in severe acute respiratory syndrome (SARS). The angiotensin-converting enzyme 2 (ACE2) was very recently identified as a functional receptor for SARS virus and is therefore a prime target for pathogenesis and pharmacological intervention. Rats of both genders at three distinct ages (young-adult, 3 months; middle-aged, 12 months; old, 24 months) were evaluated to determine the characteristic of ACE2 expression in lung and the effect of aging and gender on its expression. ACE2 was predominantly expressed in alveolar epithelium, bronchiolar epithelium, endothelium and smooth muscle cells of pulmonary vessels with similar content, whereas no obvious signal was detected in the bronchiolar smooth muscle cells. ACE2 expression is dramatically reduced with aging in both genders: young-adult vs. old P &lt; 0.001 (by 78% in male and 67% in female, respectively) and middle-aged vs. old P &lt; 0.001 (by 71% in male rats and 59% in female rats, respectively). The decrease of ACE2 content was relatively slight between young-adult and middle-aged groups (by 25% in male and 18% in female, respectively). Although there was no gender-related difference of ACE2 in young-adult and middle-aged groups, a significantly higher ACE2 content was detected in old female rats than male. In conclusion, the more elevated ACE2 in young adults as compared to aged groups may contribute to the predominance in SARS attacks in this age group. © 2005 Elsevier Inc. All rights reserved.","author":[{"dropping-particle":"","family":"Xudong","given":"Xie","non-dropping-particle":"","parse-names":false,"suffix":""},{"dropping-particle":"","family":"Junzhu","given":"Chen","non-dropping-particle":"","parse-names":false,"suffix":""},{"dropping-particle":"","family":"Xingxiang","given":"Wang","non-dropping-particle":"","parse-names":false,"suffix":""},{"dropping-particle":"","family":"Furong","given":"Zhang","non-dropping-particle":"","parse-names":false,"suffix":""},{"dropping-particle":"","family":"Yanrong","given":"Liu","non-dropping-particle":"","parse-names":false,"suffix":""}],"container-title":"Life Sciences","id":"ITEM-1","issue":"19","issued":{"date-parts":[["2006"]]},"page":"2166–2171","title":"Age- and gender-related difference of ACE2 expression in rat lung","type":"article-journal","volume":"78"},"uris":["http://www.mendeley.com/documents/?uuid=4324cecc-2e7e-4795-9d5c-dd019e832448"]}],"mendeley":{"formattedCitation":"(126)","plainTextFormattedCitation":"(126)","previouslyFormattedCitation":"(126)"},"properties":{"noteIndex":0},"schema":"https://github.com/citation-style-language/schema/raw/master/csl-citation.json"}</w:instrText>
      </w:r>
      <w:r w:rsidR="002D3751" w:rsidRPr="00C0119C">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(126)</w:t>
      </w:r>
      <w:r w:rsidR="002D3751" w:rsidRPr="00C0119C">
        <w:rPr>
          <w:rFonts w:asciiTheme="minorHAnsi" w:hAnsiTheme="minorHAnsi" w:cstheme="minorHAnsi"/>
          <w:sz w:val="22"/>
          <w:szCs w:val="22"/>
        </w:rPr>
        <w:fldChar w:fldCharType="end"/>
      </w:r>
      <w:r w:rsidR="002D3751" w:rsidRPr="00C0119C">
        <w:rPr>
          <w:rFonts w:asciiTheme="minorHAnsi" w:hAnsiTheme="minorHAnsi" w:cstheme="minorHAnsi"/>
          <w:sz w:val="22"/>
          <w:szCs w:val="22"/>
        </w:rPr>
        <w:t xml:space="preserve"> </w:t>
      </w:r>
      <w:r w:rsidR="00F54BD5" w:rsidRPr="00C0119C">
        <w:rPr>
          <w:rFonts w:asciiTheme="minorHAnsi" w:hAnsiTheme="minorHAnsi" w:cstheme="minorHAnsi"/>
          <w:sz w:val="22"/>
          <w:szCs w:val="22"/>
        </w:rPr>
        <w:t xml:space="preserve">. </w:t>
      </w:r>
      <w:r w:rsidR="00F54BD5" w:rsidRPr="004D6819">
        <w:rPr>
          <w:rFonts w:asciiTheme="minorHAnsi" w:hAnsiTheme="minorHAnsi" w:cstheme="minorHAnsi"/>
          <w:sz w:val="22"/>
          <w:szCs w:val="22"/>
        </w:rPr>
        <w:t xml:space="preserve">This </w:t>
      </w:r>
      <w:r w:rsidR="003371B0">
        <w:rPr>
          <w:rFonts w:asciiTheme="minorHAnsi" w:hAnsiTheme="minorHAnsi" w:cstheme="minorHAnsi"/>
          <w:sz w:val="22"/>
          <w:szCs w:val="22"/>
        </w:rPr>
        <w:t xml:space="preserve">difference </w:t>
      </w:r>
      <w:r w:rsidR="00F54BD5" w:rsidRPr="004D6819">
        <w:rPr>
          <w:rFonts w:asciiTheme="minorHAnsi" w:hAnsiTheme="minorHAnsi" w:cstheme="minorHAnsi"/>
          <w:sz w:val="22"/>
          <w:szCs w:val="22"/>
        </w:rPr>
        <w:t>could reflect an</w:t>
      </w:r>
      <w:r w:rsidR="00F54BD5" w:rsidRPr="006F6B02">
        <w:rPr>
          <w:rFonts w:asciiTheme="minorHAnsi" w:hAnsiTheme="minorHAnsi" w:cstheme="minorHAnsi"/>
          <w:sz w:val="22"/>
          <w:szCs w:val="22"/>
        </w:rPr>
        <w:t xml:space="preserve"> age-related change in ACE2 expression that has not been investigated in humans</w:t>
      </w:r>
      <w:r w:rsidR="003371B0">
        <w:rPr>
          <w:rFonts w:asciiTheme="minorHAnsi" w:hAnsiTheme="minorHAnsi" w:cstheme="minorHAnsi"/>
          <w:sz w:val="22"/>
          <w:szCs w:val="22"/>
        </w:rPr>
        <w:t>, which might</w:t>
      </w:r>
      <w:r w:rsidR="00F54BD5" w:rsidRPr="006F6B02">
        <w:rPr>
          <w:rFonts w:asciiTheme="minorHAnsi" w:hAnsiTheme="minorHAnsi" w:cstheme="minorHAnsi"/>
          <w:sz w:val="22"/>
          <w:szCs w:val="22"/>
        </w:rPr>
        <w:t xml:space="preserve"> explain why children are less susceptible to severe disease than adults. </w:t>
      </w:r>
      <w:r w:rsidR="003371B0">
        <w:rPr>
          <w:rFonts w:asciiTheme="minorHAnsi" w:hAnsiTheme="minorHAnsi" w:cstheme="minorHAnsi"/>
          <w:sz w:val="22"/>
          <w:szCs w:val="22"/>
        </w:rPr>
        <w:t>For example,</w:t>
      </w:r>
      <w:r w:rsidR="00C0119C" w:rsidRPr="00C0119C">
        <w:rPr>
          <w:rFonts w:asciiTheme="minorHAnsi" w:hAnsiTheme="minorHAnsi" w:cstheme="minorHAnsi"/>
          <w:sz w:val="22"/>
          <w:szCs w:val="22"/>
        </w:rPr>
        <w:t xml:space="preserve"> </w:t>
      </w:r>
      <w:r w:rsidR="00F54BD5" w:rsidRPr="00C0119C">
        <w:rPr>
          <w:rFonts w:asciiTheme="minorHAnsi" w:hAnsiTheme="minorHAnsi" w:cstheme="minorHAnsi"/>
          <w:sz w:val="22"/>
          <w:szCs w:val="22"/>
        </w:rPr>
        <w:t>a retrospective case series of 2</w:t>
      </w:r>
      <w:r w:rsidR="003371B0">
        <w:rPr>
          <w:rFonts w:asciiTheme="minorHAnsi" w:hAnsiTheme="minorHAnsi" w:cstheme="minorHAnsi"/>
          <w:sz w:val="22"/>
          <w:szCs w:val="22"/>
        </w:rPr>
        <w:t>,</w:t>
      </w:r>
      <w:r w:rsidR="00F54BD5" w:rsidRPr="00C0119C">
        <w:rPr>
          <w:rFonts w:asciiTheme="minorHAnsi" w:hAnsiTheme="minorHAnsi" w:cstheme="minorHAnsi"/>
          <w:sz w:val="22"/>
          <w:szCs w:val="22"/>
        </w:rPr>
        <w:t>135 children</w:t>
      </w:r>
      <w:r w:rsidR="00F54BD5" w:rsidRPr="00B9511B">
        <w:rPr>
          <w:rFonts w:asciiTheme="minorHAnsi" w:hAnsiTheme="minorHAnsi" w:cstheme="minorHAnsi"/>
          <w:sz w:val="22"/>
          <w:szCs w:val="22"/>
        </w:rPr>
        <w:t xml:space="preserve"> with COVID-19 reported to the Chinese </w:t>
      </w:r>
      <w:r w:rsidR="00B5785D" w:rsidRPr="00B9511B">
        <w:rPr>
          <w:rFonts w:asciiTheme="minorHAnsi" w:hAnsiTheme="minorHAnsi" w:cstheme="minorHAnsi"/>
          <w:sz w:val="22"/>
          <w:szCs w:val="22"/>
        </w:rPr>
        <w:t>C</w:t>
      </w:r>
      <w:r w:rsidR="00F54BD5" w:rsidRPr="00B9511B">
        <w:rPr>
          <w:rFonts w:asciiTheme="minorHAnsi" w:hAnsiTheme="minorHAnsi" w:cstheme="minorHAnsi"/>
          <w:sz w:val="22"/>
          <w:szCs w:val="22"/>
        </w:rPr>
        <w:t xml:space="preserve">entre </w:t>
      </w:r>
      <w:r w:rsidR="00B5785D" w:rsidRPr="00B9511B">
        <w:rPr>
          <w:rFonts w:asciiTheme="minorHAnsi" w:hAnsiTheme="minorHAnsi" w:cstheme="minorHAnsi"/>
          <w:sz w:val="22"/>
          <w:szCs w:val="22"/>
        </w:rPr>
        <w:t>for</w:t>
      </w:r>
      <w:r w:rsidR="00F54BD5" w:rsidRPr="00B9511B">
        <w:rPr>
          <w:rFonts w:asciiTheme="minorHAnsi" w:hAnsiTheme="minorHAnsi" w:cstheme="minorHAnsi"/>
          <w:sz w:val="22"/>
          <w:szCs w:val="22"/>
        </w:rPr>
        <w:t xml:space="preserve"> </w:t>
      </w:r>
      <w:r w:rsidR="00B5785D" w:rsidRPr="00B9511B">
        <w:rPr>
          <w:rFonts w:asciiTheme="minorHAnsi" w:hAnsiTheme="minorHAnsi" w:cstheme="minorHAnsi"/>
          <w:sz w:val="22"/>
          <w:szCs w:val="22"/>
        </w:rPr>
        <w:t>D</w:t>
      </w:r>
      <w:r w:rsidR="00F54BD5" w:rsidRPr="00B9511B">
        <w:rPr>
          <w:rFonts w:asciiTheme="minorHAnsi" w:hAnsiTheme="minorHAnsi" w:cstheme="minorHAnsi"/>
          <w:sz w:val="22"/>
          <w:szCs w:val="22"/>
        </w:rPr>
        <w:t xml:space="preserve">isease </w:t>
      </w:r>
      <w:r w:rsidR="00B5785D" w:rsidRPr="00B9511B">
        <w:rPr>
          <w:rFonts w:asciiTheme="minorHAnsi" w:hAnsiTheme="minorHAnsi" w:cstheme="minorHAnsi"/>
          <w:sz w:val="22"/>
          <w:szCs w:val="22"/>
        </w:rPr>
        <w:t>C</w:t>
      </w:r>
      <w:r w:rsidR="00F54BD5" w:rsidRPr="00B9511B">
        <w:rPr>
          <w:rFonts w:asciiTheme="minorHAnsi" w:hAnsiTheme="minorHAnsi" w:cstheme="minorHAnsi"/>
          <w:sz w:val="22"/>
          <w:szCs w:val="22"/>
        </w:rPr>
        <w:t xml:space="preserve">ontrol and </w:t>
      </w:r>
      <w:r w:rsidR="00B5785D" w:rsidRPr="00B9511B">
        <w:rPr>
          <w:rFonts w:asciiTheme="minorHAnsi" w:hAnsiTheme="minorHAnsi" w:cstheme="minorHAnsi"/>
          <w:sz w:val="22"/>
          <w:szCs w:val="22"/>
        </w:rPr>
        <w:t>Prevention</w:t>
      </w:r>
      <w:r w:rsidR="00F54BD5" w:rsidRPr="00B9511B">
        <w:rPr>
          <w:rFonts w:asciiTheme="minorHAnsi" w:hAnsiTheme="minorHAnsi" w:cstheme="minorHAnsi"/>
          <w:sz w:val="22"/>
          <w:szCs w:val="22"/>
        </w:rPr>
        <w:t xml:space="preserve"> </w:t>
      </w:r>
      <w:r w:rsidR="003371B0">
        <w:rPr>
          <w:rFonts w:asciiTheme="minorHAnsi" w:hAnsiTheme="minorHAnsi" w:cstheme="minorHAnsi"/>
          <w:sz w:val="22"/>
          <w:szCs w:val="22"/>
        </w:rPr>
        <w:t>bet</w:t>
      </w:r>
      <w:r w:rsidR="004409CA">
        <w:rPr>
          <w:rFonts w:asciiTheme="minorHAnsi" w:hAnsiTheme="minorHAnsi" w:cstheme="minorHAnsi"/>
          <w:sz w:val="22"/>
          <w:szCs w:val="22"/>
        </w:rPr>
        <w:t>w</w:t>
      </w:r>
      <w:r w:rsidR="003371B0">
        <w:rPr>
          <w:rFonts w:asciiTheme="minorHAnsi" w:hAnsiTheme="minorHAnsi" w:cstheme="minorHAnsi"/>
          <w:sz w:val="22"/>
          <w:szCs w:val="22"/>
        </w:rPr>
        <w:t>een</w:t>
      </w:r>
      <w:r w:rsidR="00F54BD5" w:rsidRPr="00B9511B">
        <w:rPr>
          <w:rFonts w:asciiTheme="minorHAnsi" w:hAnsiTheme="minorHAnsi" w:cstheme="minorHAnsi"/>
          <w:sz w:val="22"/>
          <w:szCs w:val="22"/>
        </w:rPr>
        <w:t xml:space="preserve"> 16</w:t>
      </w:r>
      <w:r w:rsidR="003371B0" w:rsidRPr="000242C7">
        <w:rPr>
          <w:rFonts w:asciiTheme="minorHAnsi" w:hAnsiTheme="minorHAnsi" w:cstheme="minorHAnsi"/>
          <w:sz w:val="22"/>
          <w:szCs w:val="22"/>
          <w:vertAlign w:val="superscript"/>
        </w:rPr>
        <w:t>th</w:t>
      </w:r>
      <w:r w:rsidR="003371B0">
        <w:rPr>
          <w:rFonts w:asciiTheme="minorHAnsi" w:hAnsiTheme="minorHAnsi" w:cstheme="minorHAnsi"/>
          <w:sz w:val="22"/>
          <w:szCs w:val="22"/>
        </w:rPr>
        <w:t xml:space="preserve"> January 20</w:t>
      </w:r>
      <w:r w:rsidR="00F54BD5" w:rsidRPr="00B9511B">
        <w:rPr>
          <w:rFonts w:asciiTheme="minorHAnsi" w:hAnsiTheme="minorHAnsi" w:cstheme="minorHAnsi"/>
          <w:sz w:val="22"/>
          <w:szCs w:val="22"/>
        </w:rPr>
        <w:t>20</w:t>
      </w:r>
      <w:r w:rsidR="003371B0">
        <w:rPr>
          <w:rFonts w:asciiTheme="minorHAnsi" w:hAnsiTheme="minorHAnsi" w:cstheme="minorHAnsi"/>
          <w:sz w:val="22"/>
          <w:szCs w:val="22"/>
        </w:rPr>
        <w:t xml:space="preserve"> and </w:t>
      </w:r>
      <w:r w:rsidR="00F54BD5" w:rsidRPr="00954DC5">
        <w:rPr>
          <w:rFonts w:asciiTheme="minorHAnsi" w:hAnsiTheme="minorHAnsi" w:cstheme="minorHAnsi"/>
          <w:sz w:val="22"/>
          <w:szCs w:val="22"/>
        </w:rPr>
        <w:t>8</w:t>
      </w:r>
      <w:r w:rsidR="003371B0" w:rsidRPr="000242C7">
        <w:rPr>
          <w:rFonts w:asciiTheme="minorHAnsi" w:hAnsiTheme="minorHAnsi" w:cstheme="minorHAnsi"/>
          <w:sz w:val="22"/>
          <w:szCs w:val="22"/>
          <w:vertAlign w:val="superscript"/>
        </w:rPr>
        <w:t>th</w:t>
      </w:r>
      <w:r w:rsidR="003371B0">
        <w:rPr>
          <w:rFonts w:asciiTheme="minorHAnsi" w:hAnsiTheme="minorHAnsi" w:cstheme="minorHAnsi"/>
          <w:sz w:val="22"/>
          <w:szCs w:val="22"/>
        </w:rPr>
        <w:t xml:space="preserve"> Fe</w:t>
      </w:r>
      <w:r w:rsidR="004409CA">
        <w:rPr>
          <w:rFonts w:asciiTheme="minorHAnsi" w:hAnsiTheme="minorHAnsi" w:cstheme="minorHAnsi"/>
          <w:sz w:val="22"/>
          <w:szCs w:val="22"/>
        </w:rPr>
        <w:t>b</w:t>
      </w:r>
      <w:r w:rsidR="003371B0">
        <w:rPr>
          <w:rFonts w:asciiTheme="minorHAnsi" w:hAnsiTheme="minorHAnsi" w:cstheme="minorHAnsi"/>
          <w:sz w:val="22"/>
          <w:szCs w:val="22"/>
        </w:rPr>
        <w:t>ruary 20</w:t>
      </w:r>
      <w:r w:rsidR="00F54BD5" w:rsidRPr="0053080F">
        <w:rPr>
          <w:rFonts w:asciiTheme="minorHAnsi" w:hAnsiTheme="minorHAnsi" w:cstheme="minorHAnsi"/>
          <w:sz w:val="22"/>
          <w:szCs w:val="22"/>
        </w:rPr>
        <w:t>20</w:t>
      </w:r>
      <w:r w:rsidR="00B5785D" w:rsidRPr="0053080F">
        <w:rPr>
          <w:rFonts w:asciiTheme="minorHAnsi" w:hAnsiTheme="minorHAnsi" w:cstheme="minorHAnsi"/>
          <w:sz w:val="22"/>
          <w:szCs w:val="22"/>
        </w:rPr>
        <w:t xml:space="preserve"> reported</w:t>
      </w:r>
      <w:r w:rsidR="00B5785D" w:rsidRPr="00906747">
        <w:rPr>
          <w:rFonts w:asciiTheme="minorHAnsi" w:hAnsiTheme="minorHAnsi" w:cstheme="minorHAnsi"/>
          <w:sz w:val="22"/>
          <w:szCs w:val="22"/>
        </w:rPr>
        <w:t xml:space="preserve"> that only 6% of cases were severe</w:t>
      </w:r>
      <w:r w:rsidR="003371B0" w:rsidRPr="00C0119C">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{"citationItems":[{"id":"ITEM-1","itemData":{"DOI":"10.1542/PEDS.2020-0702","ISSN":"0031-4005","PMID":"32179660","abstract":"OBJECTIVE: To identify the epidemiological characteristics and transmission patterns of pediatric patients with the 2019 novel coronavirus disease (COVID-19) in China. METHODS: Nationwide case series of 2135 pediatric patients with COVID-19 reported to the Chinese Center for Disease Control and Prevention from January 16, 2020, to February 8, 2020, were included. The epidemic curves were constructed by key dates of disease onset and case diagnosis. Onset-to-diagnosis curves were constructed by fitting a log-normal distribution to data on both onset and diagnosis dates. RESULTS: There were 728 (34.1%) laboratory-confirmed cases and 1407 (65.9%) suspected cases. The median age of all patients was 7 years (interquartile range: 2–13 years), and 1208 case patients (56.6%) were boys. More than 90% of all patients had asymptomatic, mild, or moderate cases. The median time from illness onset to diagnoses was 2 days (range: 0–42 days). There was a rapid increase of disease at the early stage of the epidemic, and then there was a gradual and steady decrease. The disease rapidly spread from Hubei province to surrounding provinces over time. More children were infected in Hubei province than any other province. CONCLUSIONS: Children of all ages appeared susceptible to COVID-19, and there was no significant sex difference. Although clinical manifestations of children’s COVID-19 cases were generally less severe than those of adult patients, young children, particularly infants, were vulnerable to infection. The distribution of children’s COVID-19 cases varied with time and space, and most of the cases were concentrated in Hubei province and surrounding areas. Furthermore, this study provides strong evidence of human-to-human transmission.","author":[{"dropping-particle":"","family":"Dong","given":"Yuanyuan","non-dropping-particle":"","parse-names":false,"suffix":""},{"dropping-particle":"","family":"Mo","given":"Xi","non-dropping-particle":"","parse-names":false,"suffix":""},{"dropping-particle":"","family":"Hu","given":"Yabin","non-dropping-particle":"","parse-names":false,"suffix":""},{"dropping-particle":"","family":"Qi","given":"Xin","non-dropping-particle":"","parse-names":false,"suffix":""},{"dropping-particle":"","family":"Jiang","given":"Fan","non-dropping-particle":"","parse-names":false,"suffix":""},{"dropping-particle":"","family":"Jiang","given":"Zhongyi","non-dropping-particle":"","parse-names":false,"suffix":""},{"dropping-particle":"","family":"Tong","given":"Shilu","non-dropping-particle":"","parse-names":false,"suffix":""}],"container-title":"Pediatrics","id":"ITEM-1","issue":"6","issued":{"date-parts":[["2020"]]},"page":"1-12","title":"Epidemiology of COVID-19 Among Children in China","type":"article-journal","volume":"145"},"uris":["http://www.mendeley.com/documents/?uuid=557538ba-318a-315d-b7d9-0954eb5fe301"]}],"mendeley":{"formattedCitation":"(127)","plainTextFormattedCitation":"(127)","previouslyFormattedCitation":"(127)"},"properties":{"noteIndex":0},"schema":"https://github.com/citation-style-language/schema/raw/master/csl-citation.json"}</w:instrText>
      </w:r>
      <w:r w:rsidR="003371B0" w:rsidRPr="00C0119C">
        <w:rPr>
          <w:rFonts w:asciiTheme="minorHAnsi" w:hAnsiTheme="minorHAnsi" w:cstheme="minorHAnsi"/>
          <w:sz w:val="22"/>
          <w:szCs w:val="22"/>
        </w:rPr>
        <w:fldChar w:fldCharType="separate"/>
      </w:r>
      <w:r w:rsidR="003371B0" w:rsidRPr="00693DD5">
        <w:rPr>
          <w:rFonts w:asciiTheme="minorHAnsi" w:hAnsiTheme="minorHAnsi" w:cstheme="minorHAnsi"/>
          <w:noProof/>
          <w:sz w:val="22"/>
          <w:szCs w:val="22"/>
        </w:rPr>
        <w:t>(127)</w:t>
      </w:r>
      <w:r w:rsidR="003371B0" w:rsidRPr="00C0119C">
        <w:rPr>
          <w:rFonts w:asciiTheme="minorHAnsi" w:hAnsiTheme="minorHAnsi" w:cstheme="minorHAnsi"/>
          <w:sz w:val="22"/>
          <w:szCs w:val="22"/>
        </w:rPr>
        <w:fldChar w:fldCharType="end"/>
      </w:r>
      <w:r w:rsidR="003F5F2A" w:rsidRPr="00906747">
        <w:rPr>
          <w:rFonts w:asciiTheme="minorHAnsi" w:hAnsiTheme="minorHAnsi" w:cstheme="minorHAnsi"/>
          <w:sz w:val="22"/>
          <w:szCs w:val="22"/>
        </w:rPr>
        <w:t xml:space="preserve">. </w:t>
      </w:r>
      <w:r w:rsidR="003F5F2A" w:rsidRPr="00A94111">
        <w:rPr>
          <w:rFonts w:asciiTheme="minorHAnsi" w:hAnsiTheme="minorHAnsi" w:cstheme="minorHAnsi"/>
          <w:sz w:val="22"/>
          <w:szCs w:val="22"/>
        </w:rPr>
        <w:t>In accordance with this study</w:t>
      </w:r>
      <w:r w:rsidR="003F5F2A" w:rsidRPr="00B511E9">
        <w:rPr>
          <w:rFonts w:asciiTheme="minorHAnsi" w:hAnsiTheme="minorHAnsi" w:cstheme="minorHAnsi"/>
          <w:sz w:val="22"/>
          <w:szCs w:val="22"/>
        </w:rPr>
        <w:t xml:space="preserve"> </w:t>
      </w:r>
      <w:r w:rsidR="003F5F2A" w:rsidRPr="00D15635">
        <w:rPr>
          <w:rFonts w:asciiTheme="minorHAnsi" w:hAnsiTheme="minorHAnsi" w:cstheme="minorHAnsi"/>
          <w:sz w:val="22"/>
          <w:szCs w:val="22"/>
        </w:rPr>
        <w:t>a retrospective case series</w:t>
      </w:r>
      <w:r w:rsidR="00C0119C" w:rsidRPr="00C0119C">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{"citationItems":[{"id":"ITEM-1","itemData":{"DOI":"10.1056/NEJMoa2002032","ISSN":"0028-4793","abstract":"BACKGROUND: Since December 2019, when coronavirus disease 2019 (Covid-19) emerged in Wuhan city and rapidly spread throughout China, data have been needed on the clinical characteristics of the affected patients. METHODS: We extracted data regarding 1099 patients with laboratory-confirmed Covid-19 from 552 hospitals in 30 provinces, autonomous regions, and municipalities in China through January 29, 2020. The primary composite end point was admission to an intensive care unit (ICU), the use of mechanical ventilation, or death. RESULTS: The median age of the patients was 47 years; 41.9% of the patients were female. The primary composite end point occurred in 67 patients (6.1%), including 5.0% who were admitted to the ICU, 2.3% who underwent invasive mechanical ventilation, and 1.4% who died. Only 1.9% of the patients had a history of direct contact with wildlife. Among nonresidents of Wuhan, 72.3% had contact with residents of Wuhan, including 31.3% who had visited the city. The most common symptoms were fever (43.8% on admission and 88.7% during hospitalization) and cough (67.8%). Diarrhea was uncommon (3.8%). The median incubation period was 4 days (interquartile range, 2 to 7). On admission, ground-glass opacity was the most common radiologic finding on chest computed tomography (CT) (56.4%). No radiographic or CT abnormality was found in 157 of 877 patients (17.9%) with nonsevere disease and in 5 of 173 patients (2.9%) with severe disease. Lymphocytopenia was present in 83.2% of the patients on admission. CONCLUSIONS: During the first 2 months of the current outbreak, Covid-19 spread rapidly throughout China and caused varying degrees of illness. Patients often presented without fever, and many did not have abnormal radiologic findings. (Funded by the National Health Commission of China and others.).","author":[{"dropping-particle":"","family":"Guan","given":"Wei-jie","non-dropping-particle":"","parse-names":false,"suffix":""},{"dropping-particle":"","family":"Ni","given":"Zheng-yi","non-dropping-particle":"","parse-names":false,"suffix":""},{"dropping-particle":"","family":"Hu","given":"Yu","non-dropping-particle":"","parse-names":false,"suffix":""},{"dropping-particle":"","family":"Liang","given":"Wen-hua","non-dropping-particle":"","parse-names":false,"suffix":""},{"dropping-particle":"","family":"Ou","given":"Chun-quan","non-dropping-particle":"","parse-names":false,"suffix":""},{"dropping-particle":"","family":"He","given":"Jian-xing","non-dropping-particle":"","parse-names":false,"suffix":""},{"dropping-particle":"","family":"Liu","given":"Lei","non-dropping-particle":"","parse-names":false,"suffix":""},{"dropping-particle":"","family":"Shan","given":"Hong","non-dropping-particle":"","parse-names":false,"suffix":""},{"dropping-particle":"","family":"Lei","given":"Chun-liang","non-dropping-particle":"","parse-names":false,"suffix":""},{"dropping-particle":"","family":"Hui","given":"David S.C.","non-dropping-particle":"","parse-names":false,"suffix":""},{"dropping-particle":"","family":"Du","given":"Bin","non-dropping-particle":"","parse-names":false,"suffix":""},{"dropping-particle":"","family":"Li","given":"Lan-juan","non-dropping-particle":"","parse-names":false,"suffix":""},{"dropping-particle":"","family":"Zeng","given":"Guang","non-dropping-particle":"","parse-names":false,"suffix":""},{"dropping-particle":"","family":"Yuen","given":"Kwok-Yung","non-dropping-particle":"","parse-names":false,"suffix":""},{"dropping-particle":"","family":"Chen","given":"Ru-chong","non-dropping-particle":"","parse-names":false,"suffix":""},{"dropping-particle":"","family":"Tang","given":"Chun-li","non-dropping-particle":"","parse-names":false,"suffix":""},{"dropping-particle":"","family":"Wang","given":"Tao","non-dropping-particle":"","parse-names":false,"suffix":""},{"dropping-particle":"","family":"Chen","given":"Ping-yan","non-dropping-particle":"","parse-names":false,"suffix":""},{"dropping-particle":"","family":"Xiang","given":"Jie","non-dropping-particle":"","parse-names":false,"suffix":""},{"dropping-particle":"","family":"Li","given":"Shi-yue","non-dropping-particle":"","parse-names":false,"suffix":""},{"dropping-particle":"","family":"Wang","given":"Jin-lin","non-dropping-particle":"","parse-names":false,"suffix":""},{"dropping-particle":"","family":"Liang","given":"Zi-jing","non-dropping-particle":"","parse-names":false,"suffix":""},{"dropping-particle":"","family":"Peng","given":"Yi-xiang","non-dropping-particle":"","parse-names":false,"suffix":""},{"dropping-particle":"","family":"Wei","given":"Li","non-dropping-particle":"","parse-names":false,"suffix":""},{"dropping-particle":"","family":"Liu","given":"Yong","non-dropping-particle":"","parse-names":false,"suffix":""},{"dropping-particle":"","family":"Hu","given":"Ya-hua","non-dropping-particle":"","parse-names":false,"suffix":""},{"dropping-particle":"","family":"Peng","given":"Peng","non-dropping-particle":"","parse-names":false,"suffix":""},{"dropping-particle":"","family":"Wang","given":"Jian-ming","non-dropping-particle":"","parse-names":false,"suffix":""},{"dropping-particle":"","family":"Liu","given":"Ji-yang","non-dropping-particle":"","parse-names":false,"suffix":""},{"dropping-particle":"","family":"Chen","given":"Zhong","non-dropping-particle":"","parse-names":false,"suffix":""},{"dropping-particle":"","family":"Li","given":"Gang","non-dropping-particle":"","parse-names":false,"suffix":""},{"dropping-particle":"","family":"Zheng","given":"Zhi-jian","non-dropping-particle":"","parse-names":false,"suffix":""},{"dropping-particle":"","family":"Qiu","given":"Shao-qin","non-dropping-particle":"","parse-names":false,"suffix":""},{"dropping-particle":"","family":"Luo","given":"Jie","non-dropping-particle":"","parse-names":false,"suffix":""},{"dropping-particle":"","family":"Ye","given":"Chang-jiang","non-dropping-particle":"","parse-names":false,"suffix":""},{"dropping-particle":"","family":"Zhu","given":"Shao-yong","non-dropping-particle":"","parse-names":false,"suffix":""},{"dropping-particle":"","family":"Zhong","given":"Nan-shan","non-dropping-particle":"","parse-names":false,"suffix":""}],"container-title":"New England Journal of Medicine","id":"ITEM-1","issue":"18","issued":{"date-parts":[["2020","4","30"]]},"page":"1708-1720","publisher":"NLM (Medline)","title":"Clinical Characteristics of Coronavirus Disease 2019 in China","type":"article-journal","volume":"382"},"uris":["http://www.mendeley.com/documents/?uuid=4481c638-e3b0-3f96-8f5f-7412563b70ee"]}],"mendeley":{"formattedCitation":"(128)","plainTextFormattedCitation":"(128)","previouslyFormattedCitation":"(128)"},"properties":{"noteIndex":0},"schema":"https://github.com/citation-style-language/schema/raw/master/csl-citation.json"}</w:instrText>
      </w:r>
      <w:r w:rsidR="00C0119C" w:rsidRPr="00C0119C">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(128)</w:t>
      </w:r>
      <w:r w:rsidR="00C0119C" w:rsidRPr="00C0119C">
        <w:rPr>
          <w:rFonts w:asciiTheme="minorHAnsi" w:hAnsiTheme="minorHAnsi" w:cstheme="minorHAnsi"/>
          <w:sz w:val="22"/>
          <w:szCs w:val="22"/>
        </w:rPr>
        <w:fldChar w:fldCharType="end"/>
      </w:r>
      <w:r w:rsidR="003F5F2A" w:rsidRPr="00C0119C">
        <w:rPr>
          <w:rFonts w:asciiTheme="minorHAnsi" w:hAnsiTheme="minorHAnsi" w:cstheme="minorHAnsi"/>
          <w:sz w:val="22"/>
          <w:szCs w:val="22"/>
        </w:rPr>
        <w:t xml:space="preserve"> of 1099 patients infected with COVID-19 hospitalised in China between the period </w:t>
      </w:r>
      <w:r w:rsidR="00C0119C">
        <w:rPr>
          <w:rFonts w:asciiTheme="minorHAnsi" w:hAnsiTheme="minorHAnsi" w:cstheme="minorHAnsi"/>
          <w:sz w:val="22"/>
          <w:szCs w:val="22"/>
        </w:rPr>
        <w:t>31/12/19</w:t>
      </w:r>
      <w:r w:rsidR="003F5F2A" w:rsidRPr="00C0119C">
        <w:rPr>
          <w:rFonts w:asciiTheme="minorHAnsi" w:hAnsiTheme="minorHAnsi" w:cstheme="minorHAnsi"/>
          <w:sz w:val="22"/>
          <w:szCs w:val="22"/>
        </w:rPr>
        <w:t>-20/01/20, reported that only 0.7% of those diagnosed with severe COVID-19 were aged less than 15 years and the median age of the patient</w:t>
      </w:r>
      <w:r w:rsidR="00C0119C">
        <w:rPr>
          <w:rFonts w:asciiTheme="minorHAnsi" w:hAnsiTheme="minorHAnsi" w:cstheme="minorHAnsi"/>
          <w:sz w:val="22"/>
          <w:szCs w:val="22"/>
        </w:rPr>
        <w:t xml:space="preserve"> cohort</w:t>
      </w:r>
      <w:r w:rsidR="003F5F2A" w:rsidRPr="00C0119C">
        <w:rPr>
          <w:rFonts w:asciiTheme="minorHAnsi" w:hAnsiTheme="minorHAnsi" w:cstheme="minorHAnsi"/>
          <w:sz w:val="22"/>
          <w:szCs w:val="22"/>
        </w:rPr>
        <w:t xml:space="preserve"> with severe COVID-19 was 52 years.</w:t>
      </w:r>
      <w:r w:rsidR="00F54BD5" w:rsidRPr="00C0119C">
        <w:rPr>
          <w:rFonts w:asciiTheme="minorHAnsi" w:hAnsiTheme="minorHAnsi" w:cstheme="minorHAnsi"/>
          <w:sz w:val="22"/>
          <w:szCs w:val="22"/>
        </w:rPr>
        <w:t xml:space="preserve"> </w:t>
      </w:r>
    </w:p>
    <w:p w14:paraId="237ED7E1" w14:textId="77777777" w:rsidR="00334841" w:rsidRPr="004B0BC2" w:rsidRDefault="00334841" w:rsidP="00B66369">
      <w:pPr>
        <w:spacing w:line="480" w:lineRule="auto"/>
        <w:rPr>
          <w:rFonts w:asciiTheme="minorHAnsi" w:hAnsiTheme="minorHAnsi" w:cstheme="minorHAnsi"/>
          <w:sz w:val="22"/>
          <w:szCs w:val="22"/>
        </w:rPr>
      </w:pPr>
    </w:p>
    <w:p w14:paraId="4A3A5121" w14:textId="46112158" w:rsidR="00334841" w:rsidRPr="004B0BC2" w:rsidRDefault="002D3751" w:rsidP="00B66369">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S</w:t>
      </w:r>
      <w:r w:rsidR="001A2A9C" w:rsidRPr="004B0BC2">
        <w:rPr>
          <w:rFonts w:asciiTheme="minorHAnsi" w:hAnsiTheme="minorHAnsi" w:cstheme="minorHAnsi"/>
          <w:sz w:val="22"/>
          <w:szCs w:val="22"/>
          <w:shd w:val="clear" w:color="auto" w:fill="FFFFFF"/>
        </w:rPr>
        <w:t>moking</w:t>
      </w:r>
      <w:r w:rsidR="00DE7FD8" w:rsidRPr="004B0BC2">
        <w:rPr>
          <w:rFonts w:asciiTheme="minorHAnsi" w:hAnsiTheme="minorHAnsi" w:cstheme="minorHAnsi"/>
          <w:sz w:val="22"/>
          <w:szCs w:val="22"/>
          <w:shd w:val="clear" w:color="auto" w:fill="FFFFFF"/>
        </w:rPr>
        <w:t xml:space="preserve"> status</w:t>
      </w:r>
      <w:r>
        <w:rPr>
          <w:rFonts w:asciiTheme="minorHAnsi" w:hAnsiTheme="minorHAnsi" w:cstheme="minorHAnsi"/>
          <w:sz w:val="22"/>
          <w:szCs w:val="22"/>
          <w:shd w:val="clear" w:color="auto" w:fill="FFFFFF"/>
        </w:rPr>
        <w:t xml:space="preserve"> has also been reported to </w:t>
      </w:r>
      <w:r w:rsidR="001E5AD7" w:rsidRPr="004B0BC2">
        <w:rPr>
          <w:rFonts w:asciiTheme="minorHAnsi" w:hAnsiTheme="minorHAnsi" w:cstheme="minorHAnsi"/>
          <w:sz w:val="22"/>
          <w:szCs w:val="22"/>
          <w:shd w:val="clear" w:color="auto" w:fill="FFFFFF"/>
        </w:rPr>
        <w:t>a</w:t>
      </w:r>
      <w:r w:rsidR="001A2A9C" w:rsidRPr="004B0BC2">
        <w:rPr>
          <w:rFonts w:asciiTheme="minorHAnsi" w:hAnsiTheme="minorHAnsi" w:cstheme="minorHAnsi"/>
          <w:sz w:val="22"/>
          <w:szCs w:val="22"/>
          <w:shd w:val="clear" w:color="auto" w:fill="FFFFFF"/>
        </w:rPr>
        <w:t xml:space="preserve">ffect </w:t>
      </w:r>
      <w:r w:rsidR="001A2A9C" w:rsidRPr="00500FBD">
        <w:rPr>
          <w:rFonts w:asciiTheme="minorHAnsi" w:hAnsiTheme="minorHAnsi" w:cstheme="minorHAnsi"/>
          <w:i/>
          <w:sz w:val="22"/>
          <w:szCs w:val="22"/>
          <w:shd w:val="clear" w:color="auto" w:fill="FFFFFF"/>
        </w:rPr>
        <w:t>ACE2</w:t>
      </w:r>
      <w:r w:rsidR="001A2A9C" w:rsidRPr="004B0BC2">
        <w:rPr>
          <w:rFonts w:asciiTheme="minorHAnsi" w:hAnsiTheme="minorHAnsi" w:cstheme="minorHAnsi"/>
          <w:sz w:val="22"/>
          <w:szCs w:val="22"/>
          <w:shd w:val="clear" w:color="auto" w:fill="FFFFFF"/>
        </w:rPr>
        <w:t xml:space="preserve"> expression</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10.20944/PREPRINTS202002.0051.V2","author":[{"dropping-particle":"","family":"Cai","given":"Guoshuai","non-dropping-particle":"","parse-names":false,"suffix":""}],"container-title":"medRxiv","id":"ITEM-1","issued":{"date-parts":[["2020","2","14"]]},"publisher":"Preprints","title":"Bulk and Single-Cell Transcriptomics Identify Tobacco-Use Disparity in Lung Gene Expression of ACE2, the Receptor of 2019-nCov","type":"webpage"},"uris":["http://www.mendeley.com/documents/?uuid=6c182b72-579a-3a62-8bf7-43f655c59306"]}],"mendeley":{"formattedCitation":"(125)","plainTextFormattedCitation":"(125)","previouslyFormattedCitation":"(125)"},"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(125)</w:t>
      </w:r>
      <w:r w:rsidRPr="004B0BC2">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with higher </w:t>
      </w:r>
      <w:r w:rsidRPr="00500FBD">
        <w:rPr>
          <w:rFonts w:asciiTheme="minorHAnsi" w:hAnsiTheme="minorHAnsi" w:cstheme="minorHAnsi"/>
          <w:i/>
          <w:sz w:val="22"/>
          <w:szCs w:val="22"/>
          <w:shd w:val="clear" w:color="auto" w:fill="FFFFFF"/>
        </w:rPr>
        <w:t>ACE2</w:t>
      </w:r>
      <w:r w:rsidR="003C11E1">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 xml:space="preserve">expression </w:t>
      </w:r>
      <w:r>
        <w:rPr>
          <w:rFonts w:asciiTheme="minorHAnsi" w:hAnsiTheme="minorHAnsi" w:cstheme="minorHAnsi"/>
          <w:sz w:val="22"/>
          <w:szCs w:val="22"/>
          <w:shd w:val="clear" w:color="auto" w:fill="FFFFFF"/>
        </w:rPr>
        <w:t xml:space="preserve">reported </w:t>
      </w:r>
      <w:r w:rsidR="00334841" w:rsidRPr="004B0BC2">
        <w:rPr>
          <w:rFonts w:asciiTheme="minorHAnsi" w:hAnsiTheme="minorHAnsi" w:cstheme="minorHAnsi"/>
          <w:sz w:val="22"/>
          <w:szCs w:val="22"/>
          <w:shd w:val="clear" w:color="auto" w:fill="FFFFFF"/>
        </w:rPr>
        <w:t xml:space="preserve">in </w:t>
      </w:r>
      <w:r>
        <w:rPr>
          <w:rFonts w:asciiTheme="minorHAnsi" w:hAnsiTheme="minorHAnsi" w:cstheme="minorHAnsi"/>
          <w:sz w:val="22"/>
          <w:szCs w:val="22"/>
          <w:shd w:val="clear" w:color="auto" w:fill="FFFFFF"/>
        </w:rPr>
        <w:t xml:space="preserve">lungs from </w:t>
      </w:r>
      <w:r w:rsidR="00334841" w:rsidRPr="004B0BC2">
        <w:rPr>
          <w:rFonts w:asciiTheme="minorHAnsi" w:hAnsiTheme="minorHAnsi" w:cstheme="minorHAnsi"/>
          <w:sz w:val="22"/>
          <w:szCs w:val="22"/>
          <w:shd w:val="clear" w:color="auto" w:fill="FFFFFF"/>
        </w:rPr>
        <w:t>former smokers</w:t>
      </w:r>
      <w:r w:rsidR="00DE7FD8" w:rsidRPr="004B0BC2">
        <w:rPr>
          <w:rFonts w:asciiTheme="minorHAnsi" w:hAnsiTheme="minorHAnsi" w:cstheme="minorHAnsi"/>
          <w:sz w:val="22"/>
          <w:szCs w:val="22"/>
          <w:shd w:val="clear" w:color="auto" w:fill="FFFFFF"/>
        </w:rPr>
        <w:t xml:space="preserve"> compared </w:t>
      </w:r>
      <w:r>
        <w:rPr>
          <w:rFonts w:asciiTheme="minorHAnsi" w:hAnsiTheme="minorHAnsi" w:cstheme="minorHAnsi"/>
          <w:sz w:val="22"/>
          <w:szCs w:val="22"/>
          <w:shd w:val="clear" w:color="auto" w:fill="FFFFFF"/>
        </w:rPr>
        <w:t>with</w:t>
      </w:r>
      <w:r w:rsidR="00DE7FD8" w:rsidRPr="004B0BC2">
        <w:rPr>
          <w:rFonts w:asciiTheme="minorHAnsi" w:hAnsiTheme="minorHAnsi" w:cstheme="minorHAnsi"/>
          <w:sz w:val="22"/>
          <w:szCs w:val="22"/>
          <w:shd w:val="clear" w:color="auto" w:fill="FFFFFF"/>
        </w:rPr>
        <w:t xml:space="preserve"> non-smokers</w:t>
      </w:r>
      <w:r>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 lungs</w:t>
      </w:r>
      <w:r w:rsidR="00DE7FD8" w:rsidRPr="004B0BC2">
        <w:rPr>
          <w:rFonts w:asciiTheme="minorHAnsi" w:hAnsiTheme="minorHAnsi" w:cstheme="minorHAnsi"/>
          <w:sz w:val="22"/>
          <w:szCs w:val="22"/>
          <w:shd w:val="clear" w:color="auto" w:fill="FFFFFF"/>
        </w:rPr>
        <w:t xml:space="preserve"> (</w:t>
      </w:r>
      <w:r w:rsidR="00A50E38" w:rsidRPr="004B0BC2">
        <w:rPr>
          <w:rFonts w:asciiTheme="minorHAnsi" w:hAnsiTheme="minorHAnsi" w:cstheme="minorHAnsi"/>
          <w:sz w:val="22"/>
          <w:szCs w:val="22"/>
          <w:shd w:val="clear" w:color="auto" w:fill="FFFFFF"/>
        </w:rPr>
        <w:t>p</w:t>
      </w:r>
      <w:r w:rsidR="00DE7FD8" w:rsidRPr="004B0BC2">
        <w:rPr>
          <w:rFonts w:asciiTheme="minorHAnsi" w:hAnsiTheme="minorHAnsi" w:cstheme="minorHAnsi"/>
          <w:sz w:val="22"/>
          <w:szCs w:val="22"/>
          <w:shd w:val="clear" w:color="auto" w:fill="FFFFFF"/>
        </w:rPr>
        <w:t>=0.04)</w:t>
      </w:r>
      <w:r w:rsidR="00334841" w:rsidRPr="004B0BC2">
        <w:rPr>
          <w:rFonts w:asciiTheme="minorHAnsi" w:hAnsiTheme="minorHAnsi" w:cstheme="minorHAnsi"/>
          <w:sz w:val="22"/>
          <w:szCs w:val="22"/>
          <w:shd w:val="clear" w:color="auto" w:fill="FFFFFF"/>
        </w:rPr>
        <w:t xml:space="preserve">. </w:t>
      </w:r>
      <w:r w:rsidR="001E5AD7" w:rsidRPr="004B0BC2">
        <w:rPr>
          <w:rFonts w:asciiTheme="minorHAnsi" w:hAnsiTheme="minorHAnsi" w:cstheme="minorHAnsi"/>
          <w:sz w:val="22"/>
          <w:szCs w:val="22"/>
          <w:shd w:val="clear" w:color="auto" w:fill="FFFFFF"/>
        </w:rPr>
        <w:t xml:space="preserve">As </w:t>
      </w:r>
      <w:r w:rsidR="00334841" w:rsidRPr="004B0BC2">
        <w:rPr>
          <w:rFonts w:asciiTheme="minorHAnsi" w:hAnsiTheme="minorHAnsi" w:cstheme="minorHAnsi"/>
          <w:sz w:val="22"/>
          <w:szCs w:val="22"/>
          <w:shd w:val="clear" w:color="auto" w:fill="FFFFFF"/>
        </w:rPr>
        <w:t xml:space="preserve">men tend to smoke more than women </w:t>
      </w:r>
      <w:r>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with a global discrepancy of 35:6</w:t>
      </w:r>
      <w:r>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 this </w:t>
      </w:r>
      <w:r>
        <w:rPr>
          <w:rFonts w:asciiTheme="minorHAnsi" w:hAnsiTheme="minorHAnsi" w:cstheme="minorHAnsi"/>
          <w:sz w:val="22"/>
          <w:szCs w:val="22"/>
          <w:shd w:val="clear" w:color="auto" w:fill="FFFFFF"/>
        </w:rPr>
        <w:t>observation might</w:t>
      </w:r>
      <w:r w:rsidR="00334841" w:rsidRPr="004B0BC2">
        <w:rPr>
          <w:rFonts w:asciiTheme="minorHAnsi" w:hAnsiTheme="minorHAnsi" w:cstheme="minorHAnsi"/>
          <w:sz w:val="22"/>
          <w:szCs w:val="22"/>
          <w:shd w:val="clear" w:color="auto" w:fill="FFFFFF"/>
        </w:rPr>
        <w:t xml:space="preserve"> explain some of the sex discrepancies in COVID-19 mortality</w:t>
      </w:r>
      <w:r w:rsidR="00334841"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{"citationItems":[{"id":"ITEM-1","itemData":{"URL":"http://wdi.worldbank.org/table/2.17","accessed":{"date-parts":[["2020","5","9"]]},"id":"ITEM-1","issued":{"date-parts":[["0"]]},"title":"World Development Indicators | The World Bank","type":"webpage"},"uris":["http://www.mendeley.com/documents/?uuid=ffce0873-8c15-319f-95ab-b230203cf081"]}],"mendeley":{"formattedCitation":"(129)","plainTextFormattedCitation":"(129)","previouslyFormattedCitation":"(129)"},"properties":{"noteIndex":0},"schema":"https://github.com/citation-style-language/schema/raw/master/csl-citation.json"}</w:instrText>
      </w:r>
      <w:r w:rsidR="00334841"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(129)</w:t>
      </w:r>
      <w:r w:rsidR="00334841" w:rsidRPr="004B0BC2">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whereby </w:t>
      </w:r>
      <w:r w:rsidR="001E5AD7" w:rsidRPr="004B0BC2">
        <w:rPr>
          <w:rFonts w:asciiTheme="minorHAnsi" w:hAnsiTheme="minorHAnsi" w:cstheme="minorHAnsi"/>
          <w:sz w:val="22"/>
          <w:szCs w:val="22"/>
          <w:shd w:val="clear" w:color="auto" w:fill="FFFFFF"/>
        </w:rPr>
        <w:t xml:space="preserve">a higher rate of smoking in </w:t>
      </w:r>
      <w:r>
        <w:rPr>
          <w:rFonts w:asciiTheme="minorHAnsi" w:hAnsiTheme="minorHAnsi" w:cstheme="minorHAnsi"/>
          <w:sz w:val="22"/>
          <w:szCs w:val="22"/>
          <w:shd w:val="clear" w:color="auto" w:fill="FFFFFF"/>
        </w:rPr>
        <w:t>men tha</w:t>
      </w:r>
      <w:r w:rsidR="000250B5">
        <w:rPr>
          <w:rFonts w:asciiTheme="minorHAnsi" w:hAnsiTheme="minorHAnsi" w:cstheme="minorHAnsi"/>
          <w:sz w:val="22"/>
          <w:szCs w:val="22"/>
          <w:shd w:val="clear" w:color="auto" w:fill="FFFFFF"/>
        </w:rPr>
        <w:t>n</w:t>
      </w:r>
      <w:r>
        <w:rPr>
          <w:rFonts w:asciiTheme="minorHAnsi" w:hAnsiTheme="minorHAnsi" w:cstheme="minorHAnsi"/>
          <w:sz w:val="22"/>
          <w:szCs w:val="22"/>
          <w:shd w:val="clear" w:color="auto" w:fill="FFFFFF"/>
        </w:rPr>
        <w:t xml:space="preserve"> women might increase</w:t>
      </w:r>
      <w:r w:rsidR="001E5AD7" w:rsidRPr="004B0BC2">
        <w:rPr>
          <w:rFonts w:asciiTheme="minorHAnsi" w:hAnsiTheme="minorHAnsi" w:cstheme="minorHAnsi"/>
          <w:sz w:val="22"/>
          <w:szCs w:val="22"/>
          <w:shd w:val="clear" w:color="auto" w:fill="FFFFFF"/>
        </w:rPr>
        <w:t xml:space="preserve"> </w:t>
      </w:r>
      <w:r w:rsidR="001E5AD7" w:rsidRPr="00500FBD">
        <w:rPr>
          <w:rFonts w:asciiTheme="minorHAnsi" w:hAnsiTheme="minorHAnsi" w:cstheme="minorHAnsi"/>
          <w:i/>
          <w:sz w:val="22"/>
          <w:szCs w:val="22"/>
          <w:shd w:val="clear" w:color="auto" w:fill="FFFFFF"/>
        </w:rPr>
        <w:t>ACE2</w:t>
      </w:r>
      <w:r w:rsidR="001E5AD7" w:rsidRPr="004B0BC2">
        <w:rPr>
          <w:rFonts w:asciiTheme="minorHAnsi" w:hAnsiTheme="minorHAnsi" w:cstheme="minorHAnsi"/>
          <w:sz w:val="22"/>
          <w:szCs w:val="22"/>
          <w:shd w:val="clear" w:color="auto" w:fill="FFFFFF"/>
        </w:rPr>
        <w:t xml:space="preserve"> expression and</w:t>
      </w:r>
      <w:r>
        <w:rPr>
          <w:rFonts w:asciiTheme="minorHAnsi" w:hAnsiTheme="minorHAnsi" w:cstheme="minorHAnsi"/>
          <w:sz w:val="22"/>
          <w:szCs w:val="22"/>
          <w:shd w:val="clear" w:color="auto" w:fill="FFFFFF"/>
        </w:rPr>
        <w:t>,</w:t>
      </w:r>
      <w:r w:rsidR="001E5AD7" w:rsidRPr="004B0BC2">
        <w:rPr>
          <w:rFonts w:asciiTheme="minorHAnsi" w:hAnsiTheme="minorHAnsi" w:cstheme="minorHAnsi"/>
          <w:sz w:val="22"/>
          <w:szCs w:val="22"/>
          <w:shd w:val="clear" w:color="auto" w:fill="FFFFFF"/>
        </w:rPr>
        <w:t xml:space="preserve"> consequen</w:t>
      </w:r>
      <w:r>
        <w:rPr>
          <w:rFonts w:asciiTheme="minorHAnsi" w:hAnsiTheme="minorHAnsi" w:cstheme="minorHAnsi"/>
          <w:sz w:val="22"/>
          <w:szCs w:val="22"/>
          <w:shd w:val="clear" w:color="auto" w:fill="FFFFFF"/>
        </w:rPr>
        <w:t>tly,</w:t>
      </w:r>
      <w:r w:rsidR="001E5AD7" w:rsidRPr="004B0BC2">
        <w:rPr>
          <w:rFonts w:asciiTheme="minorHAnsi" w:hAnsiTheme="minorHAnsi" w:cstheme="minorHAnsi"/>
          <w:sz w:val="22"/>
          <w:szCs w:val="22"/>
          <w:shd w:val="clear" w:color="auto" w:fill="FFFFFF"/>
        </w:rPr>
        <w:t xml:space="preserve"> increase susceptibility and mortality from COVID-19.</w:t>
      </w:r>
    </w:p>
    <w:p w14:paraId="57B402AA" w14:textId="77777777" w:rsidR="00334841" w:rsidRPr="004B0BC2" w:rsidRDefault="00334841" w:rsidP="00B66369">
      <w:pPr>
        <w:spacing w:line="480" w:lineRule="auto"/>
        <w:rPr>
          <w:rFonts w:asciiTheme="minorHAnsi" w:hAnsiTheme="minorHAnsi" w:cstheme="minorHAnsi"/>
          <w:sz w:val="22"/>
          <w:szCs w:val="22"/>
          <w:shd w:val="clear" w:color="auto" w:fill="FFFFFF"/>
        </w:rPr>
      </w:pPr>
    </w:p>
    <w:p w14:paraId="2FD7201B" w14:textId="4AE6743E" w:rsidR="00334841" w:rsidRPr="004B0BC2" w:rsidRDefault="002D3751" w:rsidP="00B66369">
      <w:pPr>
        <w:pStyle w:val="NoSpacing"/>
        <w:spacing w:line="480" w:lineRule="auto"/>
        <w:rPr>
          <w:rFonts w:cstheme="minorHAnsi"/>
          <w:i/>
          <w:iCs/>
          <w:sz w:val="22"/>
          <w:szCs w:val="22"/>
          <w:shd w:val="clear" w:color="auto" w:fill="FFFFFF"/>
        </w:rPr>
      </w:pPr>
      <w:r>
        <w:rPr>
          <w:rFonts w:cstheme="minorHAnsi"/>
          <w:i/>
          <w:iCs/>
          <w:sz w:val="22"/>
          <w:szCs w:val="22"/>
          <w:shd w:val="clear" w:color="auto" w:fill="FFFFFF"/>
        </w:rPr>
        <w:t>[H2]</w:t>
      </w:r>
      <w:r w:rsidR="00334841" w:rsidRPr="004B0BC2">
        <w:rPr>
          <w:rFonts w:cstheme="minorHAnsi"/>
          <w:i/>
          <w:iCs/>
          <w:sz w:val="22"/>
          <w:szCs w:val="22"/>
          <w:shd w:val="clear" w:color="auto" w:fill="FFFFFF"/>
        </w:rPr>
        <w:t>Endocrine factors</w:t>
      </w:r>
    </w:p>
    <w:p w14:paraId="092D0349" w14:textId="5EDB192D" w:rsidR="00865A78" w:rsidRPr="004B0BC2" w:rsidRDefault="00865A78"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shd w:val="clear" w:color="auto" w:fill="FFFFFF"/>
        </w:rPr>
        <w:t>Transmembrane protease serine 2 (TMPRSS2) is</w:t>
      </w:r>
      <w:r w:rsidR="00E56DB6">
        <w:rPr>
          <w:rFonts w:asciiTheme="minorHAnsi" w:hAnsiTheme="minorHAnsi" w:cstheme="minorHAnsi"/>
          <w:sz w:val="22"/>
          <w:szCs w:val="22"/>
          <w:shd w:val="clear" w:color="auto" w:fill="FFFFFF"/>
        </w:rPr>
        <w:t xml:space="preserve"> a cell surface protein that has been shown to be</w:t>
      </w:r>
      <w:r w:rsidRPr="004B0BC2">
        <w:rPr>
          <w:rFonts w:asciiTheme="minorHAnsi" w:hAnsiTheme="minorHAnsi" w:cstheme="minorHAnsi"/>
          <w:sz w:val="22"/>
          <w:szCs w:val="22"/>
          <w:shd w:val="clear" w:color="auto" w:fill="FFFFFF"/>
        </w:rPr>
        <w:t xml:space="preserve"> essential for viral entry and replication of the SARS-CoV</w:t>
      </w:r>
      <w:r w:rsidR="003461CC"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2 virus by facilitating the priming of the </w:t>
      </w:r>
      <w:r w:rsidRPr="004B0BC2">
        <w:rPr>
          <w:rFonts w:asciiTheme="minorHAnsi" w:hAnsiTheme="minorHAnsi" w:cstheme="minorHAnsi"/>
          <w:sz w:val="22"/>
          <w:szCs w:val="22"/>
          <w:shd w:val="clear" w:color="auto" w:fill="FFFFFF"/>
        </w:rPr>
        <w:lastRenderedPageBreak/>
        <w:t>spike proteins of the virus</w:t>
      </w:r>
      <w:r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{"citationItems":[{"id":"ITEM-1","itemData":{"DOI":"10.1002/ddr.21688","ISSN":"10982299","abstract":"In this communication, we present arguments for androgen sensitivity as a likely determinant of COVID-19 disease severity. The androgen sensitivity model explains why males are more likely to develop severe symptoms while children are ostensibly resistant to infection. Further, the model explains the difference in COVID-19 mortality rates among different ethnicities. Androgen sensitivity is determined by genetic variants of the androgen receptor. The androgen receptor regulates transcription of the transmembrane protease, serine 2 (TMPRSS2), which is required for SARS-CoV-2 infectivity. TMPRSS2 primes the Spike protein of the virus, which has two consequences: diminishing viral recognition by neutralizing antibodies and activating SARS-CoV-2 for virus-cell fusion. Genetic variants that have been associated with androgenetic alopecia, prostate cancer, benign prostatic hyperplasia and polycystic ovary syndrome could be associated with host susceptibility. In addition to theoretical epidemiological and molecular mechanisms, there are reports of high rates of androgenetic alopecia of from hospitalized COVID-19 patients due to severe symptoms. Androgen sensitivity is a likely determinant of COVID-19 disease severity. We believe that the evidence presented in this communication warrants the initiation of trials using anti-androgen agents.","author":[{"dropping-particle":"","family":"Wambier","given":"Carlos Gustavo","non-dropping-particle":"","parse-names":false,"suffix":""},{"dropping-particle":"","family":"Goren","given":"Andy","non-dropping-particle":"","parse-names":false,"suffix":""},{"dropping-particle":"","family":"Vaño-Galván","given":"Sergio","non-dropping-particle":"","parse-names":false,"suffix":""},{"dropping-particle":"","family":"Ramos","given":"Paulo Müller","non-dropping-particle":"","parse-names":false,"suffix":""},{"dropping-particle":"","family":"Ossimetha","given":"Angelina","non-dropping-particle":"","parse-names":false,"suffix":""},{"dropping-particle":"","family":"Nau","given":"Gerard","non-dropping-particle":"","parse-names":false,"suffix":""},{"dropping-particle":"","family":"Herrera","given":"Sabina","non-dropping-particle":"","parse-names":false,"suffix":""},{"dropping-particle":"","family":"McCoy","given":"John","non-dropping-particle":"","parse-names":false,"suffix":""}],"container-title":"Drug Development Research","id":"ITEM-1","issue":"7","issued":{"date-parts":[["2020"]]},"page":"771-776","title":"Androgen sensitivity gateway to COVID-19 disease severity","type":"article-journal","volume":"81"},"uris":["http://www.mendeley.com/documents/?uuid=c50fda5d-72b7-3a30-94a5-f85cf49c47e8"]}],"mendeley":{"formattedCitation":"(130)","plainTextFormattedCitation":"(130)","previouslyFormattedCitation":"(130)"},"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(130)</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 TMPRSS2 is expressed on the surface of type II pneumocytes in human lung tissue</w:t>
      </w:r>
      <w:r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{"citationItems":[{"id":"ITEM-1","itemData":{"DOI":"10.1002/ddr.21688","ISSN":"10982299","abstract":"In this communication, we present arguments for androgen sensitivity as a likely determinant of COVID-19 disease severity. The androgen sensitivity model explains why males are more likely to develop severe symptoms while children are ostensibly resistant to infection. Further, the model explains the difference in COVID-19 mortality rates among different ethnicities. Androgen sensitivity is determined by genetic variants of the androgen receptor. The androgen receptor regulates transcription of the transmembrane protease, serine 2 (TMPRSS2), which is required for SARS-CoV-2 infectivity. TMPRSS2 primes the Spike protein of the virus, which has two consequences: diminishing viral recognition by neutralizing antibodies and activating SARS-CoV-2 for virus-cell fusion. Genetic variants that have been associated with androgenetic alopecia, prostate cancer, benign prostatic hyperplasia and polycystic ovary syndrome could be associated with host susceptibility. In addition to theoretical epidemiological and molecular mechanisms, there are reports of high rates of androgenetic alopecia of from hospitalized COVID-19 patients due to severe symptoms. Androgen sensitivity is a likely determinant of COVID-19 disease severity. We believe that the evidence presented in this communication warrants the initiation of trials using anti-androgen agents.","author":[{"dropping-particle":"","family":"Wambier","given":"Carlos Gustavo","non-dropping-particle":"","parse-names":false,"suffix":""},{"dropping-particle":"","family":"Goren","given":"Andy","non-dropping-particle":"","parse-names":false,"suffix":""},{"dropping-particle":"","family":"Vaño-Galván","given":"Sergio","non-dropping-particle":"","parse-names":false,"suffix":""},{"dropping-particle":"","family":"Ramos","given":"Paulo Müller","non-dropping-particle":"","parse-names":false,"suffix":""},{"dropping-particle":"","family":"Ossimetha","given":"Angelina","non-dropping-particle":"","parse-names":false,"suffix":""},{"dropping-particle":"","family":"Nau","given":"Gerard","non-dropping-particle":"","parse-names":false,"suffix":""},{"dropping-particle":"","family":"Herrera","given":"Sabina","non-dropping-particle":"","parse-names":false,"suffix":""},{"dropping-particle":"","family":"McCoy","given":"John","non-dropping-particle":"","parse-names":false,"suffix":""}],"container-title":"Drug Development Research","id":"ITEM-1","issue":"7","issued":{"date-parts":[["2020"]]},"page":"771-776","title":"Androgen sensitivity gateway to COVID-19 disease severity","type":"article-journal","volume":"81"},"uris":["http://www.mendeley.com/documents/?uuid=c50fda5d-72b7-3a30-94a5-f85cf49c47e8"]}],"mendeley":{"formattedCitation":"(130)","plainTextFormattedCitation":"(130)","previouslyFormattedCitation":"(130)"},"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(130)</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 xml:space="preserve"> and studies evaluating the transcription of TRMPRSS2 in prostate cancer cells have </w:t>
      </w:r>
      <w:r w:rsidR="00E56DB6">
        <w:rPr>
          <w:rFonts w:asciiTheme="minorHAnsi" w:hAnsiTheme="minorHAnsi" w:cstheme="minorHAnsi"/>
          <w:sz w:val="22"/>
          <w:szCs w:val="22"/>
          <w:shd w:val="clear" w:color="auto" w:fill="FFFFFF"/>
        </w:rPr>
        <w:t>shown</w:t>
      </w:r>
      <w:r w:rsidR="00E56DB6"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that TRMPRSS2 expression is regulated by androgens and promoted through the androgen receptor</w:t>
      </w:r>
      <w:r w:rsidR="00E56DB6">
        <w:rPr>
          <w:rFonts w:asciiTheme="minorHAnsi" w:hAnsiTheme="minorHAnsi" w:cstheme="minorHAnsi"/>
          <w:sz w:val="22"/>
          <w:szCs w:val="22"/>
          <w:shd w:val="clear" w:color="auto" w:fill="FFFFFF"/>
        </w:rPr>
        <w:t xml:space="preserve"> (AR)</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{"citationItems":[{"id":"ITEM-1","itemData":{"DOI":"10.1158/2159-8290.CD-13-1010","ISSN":"21598290","abstract":"TMPRSS2 is an androgen-regulated cell-surface serine protease expressed predominantly in prostate epithelium. TMPRSS2 is expressed highly in localized high-grade prostate cancers and in the majority of human prostate cancer metastases. Through the generation of mouse models with a targeted deletion of Tmprss2, we demonstrate that the activity of this protease regulates cancer cell invasion and metastasis to distant organs. By screening combinatorial peptide libraries, we identified a spectrum of TMPRSS2 substrates that include pro-hepatocyte growth factor (HGF). HGF activated by TMPRSS2 promoted c-MET receptor tyrosine kinase signaling, and initiated a proinvasive epithelial-to-mesenchymal transition phenotype. Chemical library screens identified a potent bioavailable TMPRSS2 inhibitor that suppressed prostate cancer metastasis in vivo. Together, these findings provide a mechanistic link between androgen-regulated signaling programs and prostate cancer metastasis that operate via context-dependent interactions with extracellular constituents of the tumor microenvironment.\nSIGNIFICANCE: The vast majority of prostate cancer deaths are due to metastasis. Loss of TMPRSS2 activity dramatically attenuated the metastatic phenotype through mechanisms involving the HGF-c-MET axis. Therapeutic approaches directed toward inhibiting TMPRSS2 may reduce the incidence or progression of metastasis in patients with prostate cancer.","author":[{"dropping-particle":"","family":"Lucas","given":"Jared M.","non-dropping-particle":"","parse-names":false,"suffix":""},{"dropping-particle":"","family":"Heinlein","given":"Cynthia","non-dropping-particle":"","parse-names":false,"suffix":""},{"dropping-particle":"","family":"Kim","given":"Tom","non-dropping-particle":"","parse-names":false,"suffix":""},{"dropping-particle":"","family":"Hernandez","given":"Susana A.","non-dropping-particle":"","parse-names":false,"suffix":""},{"dropping-particle":"","family":"Malik","given":"Muzdah S.","non-dropping-particle":"","parse-names":false,"suffix":""},{"dropping-particle":"","family":"True","given":"Lawrence D.","non-dropping-particle":"","parse-names":false,"suffix":""},{"dropping-particle":"","family":"Morrissey","given":"Colm","non-dropping-particle":"","parse-names":false,"suffix":""},{"dropping-particle":"","family":"Corey","given":"Eva","non-dropping-particle":"","parse-names":false,"suffix":""},{"dropping-particle":"","family":"Montgomery","given":"Bruce","non-dropping-particle":"","parse-names":false,"suffix":""},{"dropping-particle":"","family":"Mostaghel","given":"Elahe","non-dropping-particle":"","parse-names":false,"suffix":""},{"dropping-particle":"","family":"Clegg","given":"Nigel","non-dropping-particle":"","parse-names":false,"suffix":""},{"dropping-particle":"","family":"Coleman","given":"Ilsa","non-dropping-particle":"","parse-names":false,"suffix":""},{"dropping-particle":"","family":"Brown","given":"Christopher M.","non-dropping-particle":"","parse-names":false,"suffix":""},{"dropping-particle":"","family":"Schneider","given":"Eric L.","non-dropping-particle":"","parse-names":false,"suffix":""},{"dropping-particle":"","family":"Craik","given":"Charles","non-dropping-particle":"","parse-names":false,"suffix":""},{"dropping-particle":"","family":"Simon","given":"Julian A.","non-dropping-particle":"","parse-names":false,"suffix":""},{"dropping-particle":"","family":"Bedalov","given":"Antonio","non-dropping-particle":"","parse-names":false,"suffix":""},{"dropping-particle":"","family":"Nelson","given":"Peter S.","non-dropping-particle":"","parse-names":false,"suffix":""}],"container-title":"Cancer Discovery","id":"ITEM-1","issue":"11","issued":{"date-parts":[["2014","11","1"]]},"page":"1310-1325","publisher":"American Association for Cancer Research Inc.","title":"The androgen-regulated protease TMPRSS2 activates a proteolytic cascade involving components of the tumor microenvironment and promotes prostate cancer metastasis","type":"article-journal","volume":"4"},"uris":["http://www.mendeley.com/documents/?uuid=93ddb350-a3e0-3186-9e98-6b070a60c13d"]}],"mendeley":{"formattedCitation":"(131)","plainTextFormattedCitation":"(131)","previouslyFormattedCitation":"(131)"},"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(131)</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 xml:space="preserve">. Furthermore, men with castrate levels of testosterone through treatment with </w:t>
      </w:r>
      <w:r w:rsidR="00E56DB6">
        <w:rPr>
          <w:rFonts w:asciiTheme="minorHAnsi" w:hAnsiTheme="minorHAnsi" w:cstheme="minorHAnsi"/>
          <w:sz w:val="22"/>
          <w:szCs w:val="22"/>
          <w:shd w:val="clear" w:color="auto" w:fill="FFFFFF"/>
        </w:rPr>
        <w:t xml:space="preserve">either </w:t>
      </w:r>
      <w:r w:rsidRPr="004B0BC2">
        <w:rPr>
          <w:rFonts w:asciiTheme="minorHAnsi" w:hAnsiTheme="minorHAnsi" w:cstheme="minorHAnsi"/>
          <w:sz w:val="22"/>
          <w:szCs w:val="22"/>
          <w:shd w:val="clear" w:color="auto" w:fill="FFFFFF"/>
        </w:rPr>
        <w:t xml:space="preserve">the LHRH agonist leuprolide or oestradiol had significantly lower TMPRSS2 transcripts compared </w:t>
      </w:r>
      <w:r w:rsidR="00E56DB6">
        <w:rPr>
          <w:rFonts w:asciiTheme="minorHAnsi" w:hAnsiTheme="minorHAnsi" w:cstheme="minorHAnsi"/>
          <w:sz w:val="22"/>
          <w:szCs w:val="22"/>
          <w:shd w:val="clear" w:color="auto" w:fill="FFFFFF"/>
        </w:rPr>
        <w:t>with</w:t>
      </w:r>
      <w:r w:rsidRPr="004B0BC2">
        <w:rPr>
          <w:rFonts w:asciiTheme="minorHAnsi" w:hAnsiTheme="minorHAnsi" w:cstheme="minorHAnsi"/>
          <w:sz w:val="22"/>
          <w:szCs w:val="22"/>
          <w:shd w:val="clear" w:color="auto" w:fill="FFFFFF"/>
        </w:rPr>
        <w:t xml:space="preserve"> untreated men (</w:t>
      </w:r>
      <w:r w:rsidRPr="004B0BC2">
        <w:rPr>
          <w:rStyle w:val="Emphasis"/>
          <w:rFonts w:asciiTheme="minorHAnsi" w:eastAsiaTheme="majorEastAsia" w:hAnsiTheme="minorHAnsi" w:cstheme="minorHAnsi"/>
          <w:i w:val="0"/>
          <w:iCs w:val="0"/>
          <w:sz w:val="22"/>
          <w:szCs w:val="22"/>
          <w:shd w:val="clear" w:color="auto" w:fill="FFFFFF"/>
        </w:rPr>
        <w:t>p</w:t>
      </w:r>
      <w:r w:rsidRPr="004B0BC2">
        <w:rPr>
          <w:rFonts w:asciiTheme="minorHAnsi" w:hAnsiTheme="minorHAnsi" w:cstheme="minorHAnsi"/>
          <w:sz w:val="22"/>
          <w:szCs w:val="22"/>
          <w:shd w:val="clear" w:color="auto" w:fill="FFFFFF"/>
        </w:rPr>
        <w:t>&lt;0.01)</w:t>
      </w:r>
      <w:r w:rsidR="00B9511B"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{"citationItems":[{"id":"ITEM-1","itemData":{"DOI":"10.1158/2159-8290.CD-13-1010","ISSN":"21598290","abstract":"TMPRSS2 is an androgen-regulated cell-surface serine protease expressed predominantly in prostate epithelium. TMPRSS2 is expressed highly in localized high-grade prostate cancers and in the majority of human prostate cancer metastases. Through the generation of mouse models with a targeted deletion of Tmprss2, we demonstrate that the activity of this protease regulates cancer cell invasion and metastasis to distant organs. By screening combinatorial peptide libraries, we identified a spectrum of TMPRSS2 substrates that include pro-hepatocyte growth factor (HGF). HGF activated by TMPRSS2 promoted c-MET receptor tyrosine kinase signaling, and initiated a proinvasive epithelial-to-mesenchymal transition phenotype. Chemical library screens identified a potent bioavailable TMPRSS2 inhibitor that suppressed prostate cancer metastasis in vivo. Together, these findings provide a mechanistic link between androgen-regulated signaling programs and prostate cancer metastasis that operate via context-dependent interactions with extracellular constituents of the tumor microenvironment.\nSIGNIFICANCE: The vast majority of prostate cancer deaths are due to metastasis. Loss of TMPRSS2 activity dramatically attenuated the metastatic phenotype through mechanisms involving the HGF-c-MET axis. Therapeutic approaches directed toward inhibiting TMPRSS2 may reduce the incidence or progression of metastasis in patients with prostate cancer.","author":[{"dropping-particle":"","family":"Lucas","given":"Jared M.","non-dropping-particle":"","parse-names":false,"suffix":""},{"dropping-particle":"","family":"Heinlein","given":"Cynthia","non-dropping-particle":"","parse-names":false,"suffix":""},{"dropping-particle":"","family":"Kim","given":"Tom","non-dropping-particle":"","parse-names":false,"suffix":""},{"dropping-particle":"","family":"Hernandez","given":"Susana A.","non-dropping-particle":"","parse-names":false,"suffix":""},{"dropping-particle":"","family":"Malik","given":"Muzdah S.","non-dropping-particle":"","parse-names":false,"suffix":""},{"dropping-particle":"","family":"True","given":"Lawrence D.","non-dropping-particle":"","parse-names":false,"suffix":""},{"dropping-particle":"","family":"Morrissey","given":"Colm","non-dropping-particle":"","parse-names":false,"suffix":""},{"dropping-particle":"","family":"Corey","given":"Eva","non-dropping-particle":"","parse-names":false,"suffix":""},{"dropping-particle":"","family":"Montgomery","given":"Bruce","non-dropping-particle":"","parse-names":false,"suffix":""},{"dropping-particle":"","family":"Mostaghel","given":"Elahe","non-dropping-particle":"","parse-names":false,"suffix":""},{"dropping-particle":"","family":"Clegg","given":"Nigel","non-dropping-particle":"","parse-names":false,"suffix":""},{"dropping-particle":"","family":"Coleman","given":"Ilsa","non-dropping-particle":"","parse-names":false,"suffix":""},{"dropping-particle":"","family":"Brown","given":"Christopher M.","non-dropping-particle":"","parse-names":false,"suffix":""},{"dropping-particle":"","family":"Schneider","given":"Eric L.","non-dropping-particle":"","parse-names":false,"suffix":""},{"dropping-particle":"","family":"Craik","given":"Charles","non-dropping-particle":"","parse-names":false,"suffix":""},{"dropping-particle":"","family":"Simon","given":"Julian A.","non-dropping-particle":"","parse-names":false,"suffix":""},{"dropping-particle":"","family":"Bedalov","given":"Antonio","non-dropping-particle":"","parse-names":false,"suffix":""},{"dropping-particle":"","family":"Nelson","given":"Peter S.","non-dropping-particle":"","parse-names":false,"suffix":""}],"container-title":"Cancer Discovery","id":"ITEM-1","issue":"11","issued":{"date-parts":[["2014","11","1"]]},"page":"1310-1325","publisher":"American Association for Cancer Research Inc.","title":"The androgen-regulated protease TMPRSS2 activates a proteolytic cascade involving components of the tumor microenvironment and promotes prostate cancer metastasis","type":"article-journal","volume":"4"},"uris":["http://www.mendeley.com/documents/?uuid=93ddb350-a3e0-3186-9e98-6b070a60c13d"]}],"mendeley":{"formattedCitation":"(131)","plainTextFormattedCitation":"(131)","previouslyFormattedCitation":"(131)"},"properties":{"noteIndex":0},"schema":"https://github.com/citation-style-language/schema/raw/master/csl-citation.json"}</w:instrText>
      </w:r>
      <w:r w:rsidR="00B9511B"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(131)</w:t>
      </w:r>
      <w:r w:rsidR="00B9511B" w:rsidRPr="004B0BC2">
        <w:rPr>
          <w:rFonts w:asciiTheme="minorHAnsi" w:hAnsiTheme="minorHAnsi" w:cstheme="minorHAnsi"/>
          <w:sz w:val="22"/>
          <w:szCs w:val="22"/>
          <w:shd w:val="clear" w:color="auto" w:fill="FFFFFF"/>
        </w:rPr>
        <w:fldChar w:fldCharType="end"/>
      </w:r>
      <w:r w:rsidR="00B9511B">
        <w:rPr>
          <w:rFonts w:asciiTheme="minorHAnsi" w:hAnsiTheme="minorHAnsi" w:cstheme="minorHAnsi"/>
          <w:sz w:val="22"/>
          <w:szCs w:val="22"/>
          <w:shd w:val="clear" w:color="auto" w:fill="FFFFFF"/>
        </w:rPr>
        <w:t>.</w:t>
      </w:r>
      <w:r w:rsidR="00E56DB6">
        <w:rPr>
          <w:rFonts w:asciiTheme="minorHAnsi" w:hAnsiTheme="minorHAnsi" w:cstheme="minorHAnsi"/>
          <w:sz w:val="22"/>
          <w:szCs w:val="22"/>
          <w:shd w:val="clear" w:color="auto" w:fill="FFFFFF"/>
        </w:rPr>
        <w:t xml:space="preserve"> </w:t>
      </w:r>
    </w:p>
    <w:p w14:paraId="1EE3BEBE" w14:textId="77777777" w:rsidR="00865A78" w:rsidRPr="004B0BC2" w:rsidRDefault="00865A78" w:rsidP="00B66369">
      <w:pPr>
        <w:spacing w:line="480" w:lineRule="auto"/>
        <w:rPr>
          <w:rFonts w:asciiTheme="minorHAnsi" w:hAnsiTheme="minorHAnsi" w:cstheme="minorHAnsi"/>
          <w:sz w:val="22"/>
          <w:szCs w:val="22"/>
        </w:rPr>
      </w:pPr>
    </w:p>
    <w:p w14:paraId="221953D8" w14:textId="6C30253C" w:rsidR="00865A78" w:rsidRPr="004B0BC2" w:rsidRDefault="00865A78"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shd w:val="clear" w:color="auto" w:fill="FFFFFF"/>
        </w:rPr>
        <w:t>Th</w:t>
      </w:r>
      <w:r w:rsidR="00E56DB6">
        <w:rPr>
          <w:rFonts w:asciiTheme="minorHAnsi" w:hAnsiTheme="minorHAnsi" w:cstheme="minorHAnsi"/>
          <w:sz w:val="22"/>
          <w:szCs w:val="22"/>
          <w:shd w:val="clear" w:color="auto" w:fill="FFFFFF"/>
        </w:rPr>
        <w:t>us</w:t>
      </w:r>
      <w:r w:rsidRPr="004B0BC2">
        <w:rPr>
          <w:rFonts w:asciiTheme="minorHAnsi" w:hAnsiTheme="minorHAnsi" w:cstheme="minorHAnsi"/>
          <w:sz w:val="22"/>
          <w:szCs w:val="22"/>
          <w:shd w:val="clear" w:color="auto" w:fill="FFFFFF"/>
        </w:rPr>
        <w:t xml:space="preserve">, </w:t>
      </w:r>
      <w:r w:rsidR="00E56DB6">
        <w:rPr>
          <w:rFonts w:asciiTheme="minorHAnsi" w:hAnsiTheme="minorHAnsi" w:cstheme="minorHAnsi"/>
          <w:sz w:val="22"/>
          <w:szCs w:val="22"/>
          <w:shd w:val="clear" w:color="auto" w:fill="FFFFFF"/>
        </w:rPr>
        <w:t>androgens have</w:t>
      </w:r>
      <w:r w:rsidRPr="004B0BC2">
        <w:rPr>
          <w:rFonts w:asciiTheme="minorHAnsi" w:hAnsiTheme="minorHAnsi" w:cstheme="minorHAnsi"/>
          <w:sz w:val="22"/>
          <w:szCs w:val="22"/>
          <w:shd w:val="clear" w:color="auto" w:fill="FFFFFF"/>
        </w:rPr>
        <w:t xml:space="preserve"> been postulated </w:t>
      </w:r>
      <w:r w:rsidR="00E56DB6">
        <w:rPr>
          <w:rFonts w:asciiTheme="minorHAnsi" w:hAnsiTheme="minorHAnsi" w:cstheme="minorHAnsi"/>
          <w:sz w:val="22"/>
          <w:szCs w:val="22"/>
          <w:shd w:val="clear" w:color="auto" w:fill="FFFFFF"/>
        </w:rPr>
        <w:t>to</w:t>
      </w:r>
      <w:r w:rsidRPr="004B0BC2">
        <w:rPr>
          <w:rFonts w:asciiTheme="minorHAnsi" w:hAnsiTheme="minorHAnsi" w:cstheme="minorHAnsi"/>
          <w:sz w:val="22"/>
          <w:szCs w:val="22"/>
          <w:shd w:val="clear" w:color="auto" w:fill="FFFFFF"/>
        </w:rPr>
        <w:t xml:space="preserve"> contribut</w:t>
      </w:r>
      <w:r w:rsidR="00E56DB6">
        <w:rPr>
          <w:rFonts w:asciiTheme="minorHAnsi" w:hAnsiTheme="minorHAnsi" w:cstheme="minorHAnsi"/>
          <w:sz w:val="22"/>
          <w:szCs w:val="22"/>
          <w:shd w:val="clear" w:color="auto" w:fill="FFFFFF"/>
        </w:rPr>
        <w:t>e</w:t>
      </w:r>
      <w:r w:rsidRPr="004B0BC2">
        <w:rPr>
          <w:rFonts w:asciiTheme="minorHAnsi" w:hAnsiTheme="minorHAnsi" w:cstheme="minorHAnsi"/>
          <w:sz w:val="22"/>
          <w:szCs w:val="22"/>
          <w:shd w:val="clear" w:color="auto" w:fill="FFFFFF"/>
        </w:rPr>
        <w:t xml:space="preserve"> to the severity of COVID-19 infection</w:t>
      </w:r>
      <w:r w:rsidR="00E56DB6">
        <w:rPr>
          <w:rFonts w:asciiTheme="minorHAnsi" w:hAnsiTheme="minorHAnsi" w:cstheme="minorHAnsi"/>
          <w:sz w:val="22"/>
          <w:szCs w:val="22"/>
          <w:shd w:val="clear" w:color="auto" w:fill="FFFFFF"/>
        </w:rPr>
        <w:t>, providing a mechanism by</w:t>
      </w:r>
      <w:r w:rsidRPr="004B0BC2">
        <w:rPr>
          <w:rFonts w:asciiTheme="minorHAnsi" w:hAnsiTheme="minorHAnsi" w:cstheme="minorHAnsi"/>
          <w:sz w:val="22"/>
          <w:szCs w:val="22"/>
          <w:shd w:val="clear" w:color="auto" w:fill="FFFFFF"/>
        </w:rPr>
        <w:t xml:space="preserve"> which men</w:t>
      </w:r>
      <w:r w:rsidR="00E56DB6">
        <w:rPr>
          <w:rFonts w:asciiTheme="minorHAnsi" w:hAnsiTheme="minorHAnsi" w:cstheme="minorHAnsi"/>
          <w:sz w:val="22"/>
          <w:szCs w:val="22"/>
          <w:shd w:val="clear" w:color="auto" w:fill="FFFFFF"/>
        </w:rPr>
        <w:t xml:space="preserve"> are</w:t>
      </w:r>
      <w:r w:rsidRPr="004B0BC2">
        <w:rPr>
          <w:rFonts w:asciiTheme="minorHAnsi" w:hAnsiTheme="minorHAnsi" w:cstheme="minorHAnsi"/>
          <w:sz w:val="22"/>
          <w:szCs w:val="22"/>
          <w:shd w:val="clear" w:color="auto" w:fill="FFFFFF"/>
        </w:rPr>
        <w:t xml:space="preserve"> more likely to be</w:t>
      </w:r>
      <w:r w:rsidR="00E56DB6">
        <w:rPr>
          <w:rFonts w:asciiTheme="minorHAnsi" w:hAnsiTheme="minorHAnsi" w:cstheme="minorHAnsi"/>
          <w:sz w:val="22"/>
          <w:szCs w:val="22"/>
          <w:shd w:val="clear" w:color="auto" w:fill="FFFFFF"/>
        </w:rPr>
        <w:t>come</w:t>
      </w:r>
      <w:r w:rsidRPr="004B0BC2">
        <w:rPr>
          <w:rFonts w:asciiTheme="minorHAnsi" w:hAnsiTheme="minorHAnsi" w:cstheme="minorHAnsi"/>
          <w:sz w:val="22"/>
          <w:szCs w:val="22"/>
          <w:shd w:val="clear" w:color="auto" w:fill="FFFFFF"/>
        </w:rPr>
        <w:t xml:space="preserve"> severely ill with COVID-19.</w:t>
      </w:r>
      <w:r w:rsidR="00E56DB6">
        <w:rPr>
          <w:rFonts w:asciiTheme="minorHAnsi" w:hAnsiTheme="minorHAnsi" w:cstheme="minorHAnsi"/>
          <w:sz w:val="22"/>
          <w:szCs w:val="22"/>
          <w:shd w:val="clear" w:color="auto" w:fill="FFFFFF"/>
        </w:rPr>
        <w:t xml:space="preserve"> A</w:t>
      </w:r>
      <w:r w:rsidRPr="004B0BC2">
        <w:rPr>
          <w:rFonts w:asciiTheme="minorHAnsi" w:hAnsiTheme="minorHAnsi" w:cstheme="minorHAnsi"/>
          <w:b/>
          <w:sz w:val="22"/>
          <w:szCs w:val="22"/>
          <w:shd w:val="clear" w:color="auto" w:fill="FFFFFF"/>
        </w:rPr>
        <w:t xml:space="preserve"> </w:t>
      </w:r>
      <w:r w:rsidR="00E56DB6">
        <w:rPr>
          <w:rFonts w:asciiTheme="minorHAnsi" w:hAnsiTheme="minorHAnsi" w:cstheme="minorHAnsi"/>
          <w:sz w:val="22"/>
          <w:szCs w:val="22"/>
          <w:shd w:val="clear" w:color="auto" w:fill="FFFFFF"/>
        </w:rPr>
        <w:t>study of</w:t>
      </w:r>
      <w:r w:rsidRPr="004B0BC2">
        <w:rPr>
          <w:rFonts w:asciiTheme="minorHAnsi" w:hAnsiTheme="minorHAnsi" w:cstheme="minorHAnsi"/>
          <w:sz w:val="22"/>
          <w:szCs w:val="22"/>
          <w:shd w:val="clear" w:color="auto" w:fill="FFFFFF"/>
        </w:rPr>
        <w:t xml:space="preserve"> 4</w:t>
      </w:r>
      <w:r w:rsidR="00E56DB6">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532 m</w:t>
      </w:r>
      <w:r w:rsidR="00E56DB6">
        <w:rPr>
          <w:rFonts w:asciiTheme="minorHAnsi" w:hAnsiTheme="minorHAnsi" w:cstheme="minorHAnsi"/>
          <w:sz w:val="22"/>
          <w:szCs w:val="22"/>
          <w:shd w:val="clear" w:color="auto" w:fill="FFFFFF"/>
        </w:rPr>
        <w:t>en</w:t>
      </w:r>
      <w:r w:rsidRPr="004B0BC2">
        <w:rPr>
          <w:rFonts w:asciiTheme="minorHAnsi" w:hAnsiTheme="minorHAnsi" w:cstheme="minorHAnsi"/>
          <w:sz w:val="22"/>
          <w:szCs w:val="22"/>
          <w:shd w:val="clear" w:color="auto" w:fill="FFFFFF"/>
        </w:rPr>
        <w:t xml:space="preserve"> with laboratory-confirmed SARS-CoV-2 infection from 68 hospitals in </w:t>
      </w:r>
      <w:r w:rsidR="006F43AA" w:rsidRPr="004B0BC2">
        <w:rPr>
          <w:rFonts w:asciiTheme="minorHAnsi" w:hAnsiTheme="minorHAnsi" w:cstheme="minorHAnsi"/>
          <w:sz w:val="22"/>
          <w:szCs w:val="22"/>
          <w:shd w:val="clear" w:color="auto" w:fill="FFFFFF"/>
        </w:rPr>
        <w:t>Veneto, Italy</w:t>
      </w:r>
      <w:r w:rsidRPr="004B0BC2">
        <w:rPr>
          <w:rFonts w:asciiTheme="minorHAnsi" w:hAnsiTheme="minorHAnsi" w:cstheme="minorHAnsi"/>
          <w:sz w:val="22"/>
          <w:szCs w:val="22"/>
          <w:shd w:val="clear" w:color="auto" w:fill="FFFFFF"/>
        </w:rPr>
        <w:t xml:space="preserve"> noted that </w:t>
      </w:r>
      <w:r w:rsidR="00E56DB6">
        <w:rPr>
          <w:rFonts w:asciiTheme="minorHAnsi" w:hAnsiTheme="minorHAnsi" w:cstheme="minorHAnsi"/>
          <w:sz w:val="22"/>
          <w:szCs w:val="22"/>
          <w:shd w:val="clear" w:color="auto" w:fill="FFFFFF"/>
        </w:rPr>
        <w:t xml:space="preserve">when the data from these patients was considered </w:t>
      </w:r>
      <w:r w:rsidRPr="004B0BC2">
        <w:rPr>
          <w:rFonts w:asciiTheme="minorHAnsi" w:hAnsiTheme="minorHAnsi" w:cstheme="minorHAnsi"/>
          <w:sz w:val="22"/>
          <w:szCs w:val="22"/>
          <w:shd w:val="clear" w:color="auto" w:fill="FFFFFF"/>
        </w:rPr>
        <w:t xml:space="preserve">within the context of the </w:t>
      </w:r>
      <w:r w:rsidR="00E56DB6">
        <w:rPr>
          <w:rFonts w:asciiTheme="minorHAnsi" w:hAnsiTheme="minorHAnsi" w:cstheme="minorHAnsi"/>
          <w:sz w:val="22"/>
          <w:szCs w:val="22"/>
          <w:shd w:val="clear" w:color="auto" w:fill="FFFFFF"/>
        </w:rPr>
        <w:t xml:space="preserve">male population of </w:t>
      </w:r>
      <w:r w:rsidRPr="004B0BC2">
        <w:rPr>
          <w:rFonts w:asciiTheme="minorHAnsi" w:hAnsiTheme="minorHAnsi" w:cstheme="minorHAnsi"/>
          <w:sz w:val="22"/>
          <w:szCs w:val="22"/>
          <w:shd w:val="clear" w:color="auto" w:fill="FFFFFF"/>
        </w:rPr>
        <w:t xml:space="preserve">Veneto (2.4 million), 0.2% </w:t>
      </w:r>
      <w:r w:rsidR="00E56DB6">
        <w:rPr>
          <w:rFonts w:asciiTheme="minorHAnsi" w:hAnsiTheme="minorHAnsi" w:cstheme="minorHAnsi"/>
          <w:sz w:val="22"/>
          <w:szCs w:val="22"/>
          <w:shd w:val="clear" w:color="auto" w:fill="FFFFFF"/>
        </w:rPr>
        <w:t>of men without</w:t>
      </w:r>
      <w:r w:rsidR="00DC59EB">
        <w:rPr>
          <w:rFonts w:asciiTheme="minorHAnsi" w:hAnsiTheme="minorHAnsi" w:cstheme="minorHAnsi"/>
          <w:sz w:val="22"/>
          <w:szCs w:val="22"/>
          <w:shd w:val="clear" w:color="auto" w:fill="FFFFFF"/>
        </w:rPr>
        <w:t xml:space="preserve"> </w:t>
      </w:r>
      <w:r w:rsidR="00303FCE" w:rsidRPr="004B0BC2">
        <w:rPr>
          <w:rFonts w:asciiTheme="minorHAnsi" w:hAnsiTheme="minorHAnsi" w:cstheme="minorHAnsi"/>
          <w:sz w:val="22"/>
          <w:szCs w:val="22"/>
          <w:shd w:val="clear" w:color="auto" w:fill="FFFFFF"/>
        </w:rPr>
        <w:t>cancer</w:t>
      </w:r>
      <w:r w:rsidRPr="004B0BC2">
        <w:rPr>
          <w:rFonts w:asciiTheme="minorHAnsi" w:hAnsiTheme="minorHAnsi" w:cstheme="minorHAnsi"/>
          <w:sz w:val="22"/>
          <w:szCs w:val="22"/>
          <w:shd w:val="clear" w:color="auto" w:fill="FFFFFF"/>
        </w:rPr>
        <w:t xml:space="preserve"> and 0.3% </w:t>
      </w:r>
      <w:r w:rsidR="00DC59EB">
        <w:rPr>
          <w:rFonts w:asciiTheme="minorHAnsi" w:hAnsiTheme="minorHAnsi" w:cstheme="minorHAnsi"/>
          <w:sz w:val="22"/>
          <w:szCs w:val="22"/>
          <w:shd w:val="clear" w:color="auto" w:fill="FFFFFF"/>
        </w:rPr>
        <w:t xml:space="preserve">of men with  </w:t>
      </w:r>
      <w:r w:rsidRPr="004B0BC2">
        <w:rPr>
          <w:rFonts w:asciiTheme="minorHAnsi" w:hAnsiTheme="minorHAnsi" w:cstheme="minorHAnsi"/>
          <w:sz w:val="22"/>
          <w:szCs w:val="22"/>
          <w:shd w:val="clear" w:color="auto" w:fill="FFFFFF"/>
        </w:rPr>
        <w:t>cancer tested positive for COVID-19</w:t>
      </w:r>
      <w:r w:rsidR="00B9511B">
        <w:rPr>
          <w:rFonts w:asciiTheme="minorHAnsi" w:hAnsiTheme="minorHAnsi" w:cstheme="minorHAnsi"/>
          <w:sz w:val="22"/>
          <w:szCs w:val="22"/>
          <w:shd w:val="clear" w:color="auto" w:fill="FFFFFF"/>
        </w:rPr>
        <w:t xml:space="preserve">. </w:t>
      </w:r>
      <w:r w:rsidR="00DC59EB">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 xml:space="preserve">Furthermore, a sub-analysis </w:t>
      </w:r>
      <w:r w:rsidR="00DC59EB">
        <w:rPr>
          <w:rFonts w:asciiTheme="minorHAnsi" w:hAnsiTheme="minorHAnsi" w:cstheme="minorHAnsi"/>
          <w:sz w:val="22"/>
          <w:szCs w:val="22"/>
          <w:shd w:val="clear" w:color="auto" w:fill="FFFFFF"/>
        </w:rPr>
        <w:t xml:space="preserve">of this study </w:t>
      </w:r>
      <w:r w:rsidRPr="004B0BC2">
        <w:rPr>
          <w:rFonts w:asciiTheme="minorHAnsi" w:hAnsiTheme="minorHAnsi" w:cstheme="minorHAnsi"/>
          <w:sz w:val="22"/>
          <w:szCs w:val="22"/>
          <w:shd w:val="clear" w:color="auto" w:fill="FFFFFF"/>
        </w:rPr>
        <w:t xml:space="preserve">showed that </w:t>
      </w:r>
      <w:r w:rsidR="00DC59EB">
        <w:rPr>
          <w:rFonts w:asciiTheme="minorHAnsi" w:hAnsiTheme="minorHAnsi" w:cstheme="minorHAnsi"/>
          <w:sz w:val="22"/>
          <w:szCs w:val="22"/>
          <w:shd w:val="clear" w:color="auto" w:fill="FFFFFF"/>
        </w:rPr>
        <w:t xml:space="preserve">men with </w:t>
      </w:r>
      <w:r w:rsidRPr="004B0BC2">
        <w:rPr>
          <w:rFonts w:asciiTheme="minorHAnsi" w:hAnsiTheme="minorHAnsi" w:cstheme="minorHAnsi"/>
          <w:sz w:val="22"/>
          <w:szCs w:val="22"/>
          <w:shd w:val="clear" w:color="auto" w:fill="FFFFFF"/>
        </w:rPr>
        <w:t xml:space="preserve">prostate cancer </w:t>
      </w:r>
      <w:r w:rsidR="00DC59EB">
        <w:rPr>
          <w:rFonts w:asciiTheme="minorHAnsi" w:hAnsiTheme="minorHAnsi" w:cstheme="minorHAnsi"/>
          <w:sz w:val="22"/>
          <w:szCs w:val="22"/>
          <w:shd w:val="clear" w:color="auto" w:fill="FFFFFF"/>
        </w:rPr>
        <w:t>who</w:t>
      </w:r>
      <w:r w:rsidRPr="004B0BC2">
        <w:rPr>
          <w:rFonts w:asciiTheme="minorHAnsi" w:hAnsiTheme="minorHAnsi" w:cstheme="minorHAnsi"/>
          <w:sz w:val="22"/>
          <w:szCs w:val="22"/>
          <w:shd w:val="clear" w:color="auto" w:fill="FFFFFF"/>
        </w:rPr>
        <w:t xml:space="preserve"> receiv</w:t>
      </w:r>
      <w:r w:rsidR="00DC59EB">
        <w:rPr>
          <w:rFonts w:asciiTheme="minorHAnsi" w:hAnsiTheme="minorHAnsi" w:cstheme="minorHAnsi"/>
          <w:sz w:val="22"/>
          <w:szCs w:val="22"/>
          <w:shd w:val="clear" w:color="auto" w:fill="FFFFFF"/>
        </w:rPr>
        <w:t>ed</w:t>
      </w:r>
      <w:r w:rsidRPr="004B0BC2">
        <w:rPr>
          <w:rFonts w:asciiTheme="minorHAnsi" w:hAnsiTheme="minorHAnsi" w:cstheme="minorHAnsi"/>
          <w:sz w:val="22"/>
          <w:szCs w:val="22"/>
          <w:shd w:val="clear" w:color="auto" w:fill="FFFFFF"/>
        </w:rPr>
        <w:t xml:space="preserve"> androgen deprivation therapy </w:t>
      </w:r>
      <w:r w:rsidR="00DC59EB">
        <w:rPr>
          <w:rFonts w:asciiTheme="minorHAnsi" w:hAnsiTheme="minorHAnsi" w:cstheme="minorHAnsi"/>
          <w:sz w:val="22"/>
          <w:szCs w:val="22"/>
          <w:shd w:val="clear" w:color="auto" w:fill="FFFFFF"/>
        </w:rPr>
        <w:t xml:space="preserve">(ADT) </w:t>
      </w:r>
      <w:r w:rsidRPr="004B0BC2">
        <w:rPr>
          <w:rFonts w:asciiTheme="minorHAnsi" w:hAnsiTheme="minorHAnsi" w:cstheme="minorHAnsi"/>
          <w:sz w:val="22"/>
          <w:szCs w:val="22"/>
          <w:shd w:val="clear" w:color="auto" w:fill="FFFFFF"/>
        </w:rPr>
        <w:t xml:space="preserve">had a significantly lower risk of SARS-CoV-2 infection </w:t>
      </w:r>
      <w:r w:rsidR="00DC59EB">
        <w:rPr>
          <w:rFonts w:asciiTheme="minorHAnsi" w:hAnsiTheme="minorHAnsi" w:cstheme="minorHAnsi"/>
          <w:sz w:val="22"/>
          <w:szCs w:val="22"/>
          <w:shd w:val="clear" w:color="auto" w:fill="FFFFFF"/>
        </w:rPr>
        <w:t>than those</w:t>
      </w:r>
      <w:r w:rsidRPr="004B0BC2">
        <w:rPr>
          <w:rFonts w:asciiTheme="minorHAnsi" w:hAnsiTheme="minorHAnsi" w:cstheme="minorHAnsi"/>
          <w:sz w:val="22"/>
          <w:szCs w:val="22"/>
          <w:shd w:val="clear" w:color="auto" w:fill="FFFFFF"/>
        </w:rPr>
        <w:t xml:space="preserve"> not receiving</w:t>
      </w:r>
      <w:r w:rsidR="00DC59EB">
        <w:rPr>
          <w:rFonts w:asciiTheme="minorHAnsi" w:hAnsiTheme="minorHAnsi" w:cstheme="minorHAnsi"/>
          <w:sz w:val="22"/>
          <w:szCs w:val="22"/>
          <w:shd w:val="clear" w:color="auto" w:fill="FFFFFF"/>
        </w:rPr>
        <w:t xml:space="preserve"> ADT</w:t>
      </w:r>
      <w:r w:rsidRPr="004B0BC2">
        <w:rPr>
          <w:rFonts w:asciiTheme="minorHAnsi" w:hAnsiTheme="minorHAnsi" w:cstheme="minorHAnsi"/>
          <w:sz w:val="22"/>
          <w:szCs w:val="22"/>
          <w:shd w:val="clear" w:color="auto" w:fill="FFFFFF"/>
        </w:rPr>
        <w:t xml:space="preserve"> (OR</w:t>
      </w:r>
      <w:r w:rsidR="001E5AD7"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4.05</w:t>
      </w:r>
      <w:r w:rsidR="001E5AD7"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95% CI</w:t>
      </w:r>
      <w:r w:rsidR="001E5AD7"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1.55–10.59) or other types of malignancy (OR</w:t>
      </w:r>
      <w:r w:rsidR="001E5AD7"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4.86</w:t>
      </w:r>
      <w:r w:rsidR="001E5AD7"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95% CI</w:t>
      </w:r>
      <w:r w:rsidR="001E5AD7"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1.88–12.56). Th</w:t>
      </w:r>
      <w:r w:rsidR="00DC59EB">
        <w:rPr>
          <w:rFonts w:asciiTheme="minorHAnsi" w:hAnsiTheme="minorHAnsi" w:cstheme="minorHAnsi"/>
          <w:sz w:val="22"/>
          <w:szCs w:val="22"/>
          <w:shd w:val="clear" w:color="auto" w:fill="FFFFFF"/>
        </w:rPr>
        <w:t xml:space="preserve">ese data </w:t>
      </w:r>
      <w:r w:rsidRPr="004B0BC2">
        <w:rPr>
          <w:rFonts w:asciiTheme="minorHAnsi" w:hAnsiTheme="minorHAnsi" w:cstheme="minorHAnsi"/>
          <w:sz w:val="22"/>
          <w:szCs w:val="22"/>
          <w:shd w:val="clear" w:color="auto" w:fill="FFFFFF"/>
        </w:rPr>
        <w:t xml:space="preserve">highlight that androgens </w:t>
      </w:r>
      <w:r w:rsidR="00DC59EB">
        <w:rPr>
          <w:rFonts w:asciiTheme="minorHAnsi" w:hAnsiTheme="minorHAnsi" w:cstheme="minorHAnsi"/>
          <w:sz w:val="22"/>
          <w:szCs w:val="22"/>
          <w:shd w:val="clear" w:color="auto" w:fill="FFFFFF"/>
        </w:rPr>
        <w:t>could</w:t>
      </w:r>
      <w:r w:rsidR="00DC59EB"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also increase susceptibility to COVID-19 infection</w:t>
      </w:r>
      <w:r w:rsidR="00DC59EB">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which would make </w:t>
      </w:r>
      <w:r w:rsidR="00DC59EB">
        <w:rPr>
          <w:rFonts w:asciiTheme="minorHAnsi" w:hAnsiTheme="minorHAnsi" w:cstheme="minorHAnsi"/>
          <w:sz w:val="22"/>
          <w:szCs w:val="22"/>
          <w:shd w:val="clear" w:color="auto" w:fill="FFFFFF"/>
        </w:rPr>
        <w:t>men</w:t>
      </w:r>
      <w:r w:rsidRPr="004B0BC2">
        <w:rPr>
          <w:rFonts w:asciiTheme="minorHAnsi" w:hAnsiTheme="minorHAnsi" w:cstheme="minorHAnsi"/>
          <w:sz w:val="22"/>
          <w:szCs w:val="22"/>
          <w:shd w:val="clear" w:color="auto" w:fill="FFFFFF"/>
        </w:rPr>
        <w:t xml:space="preserve"> at </w:t>
      </w:r>
      <w:r w:rsidR="000250B5">
        <w:rPr>
          <w:rFonts w:asciiTheme="minorHAnsi" w:hAnsiTheme="minorHAnsi" w:cstheme="minorHAnsi"/>
          <w:sz w:val="22"/>
          <w:szCs w:val="22"/>
          <w:shd w:val="clear" w:color="auto" w:fill="FFFFFF"/>
        </w:rPr>
        <w:t>increased</w:t>
      </w:r>
      <w:r w:rsidR="000250B5"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risk of acquiring the infection.</w:t>
      </w:r>
    </w:p>
    <w:p w14:paraId="722EC3BF" w14:textId="7F6535FE" w:rsidR="00334841" w:rsidRPr="004B0BC2" w:rsidRDefault="00DC59EB" w:rsidP="00B66369">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This hypothesis was supported by data from a</w:t>
      </w:r>
      <w:r w:rsidR="00303FCE" w:rsidRPr="004B0BC2">
        <w:rPr>
          <w:rFonts w:asciiTheme="minorHAnsi" w:hAnsiTheme="minorHAnsi" w:cstheme="minorHAnsi"/>
          <w:sz w:val="22"/>
          <w:szCs w:val="22"/>
          <w:shd w:val="clear" w:color="auto" w:fill="FFFFFF"/>
        </w:rPr>
        <w:t xml:space="preserve"> m</w:t>
      </w:r>
      <w:r w:rsidR="00334841" w:rsidRPr="004B0BC2">
        <w:rPr>
          <w:rFonts w:asciiTheme="minorHAnsi" w:hAnsiTheme="minorHAnsi" w:cstheme="minorHAnsi"/>
          <w:sz w:val="22"/>
          <w:szCs w:val="22"/>
          <w:shd w:val="clear" w:color="auto" w:fill="FFFFFF"/>
        </w:rPr>
        <w:t>urine stud</w:t>
      </w:r>
      <w:r w:rsidR="00303FCE" w:rsidRPr="004B0BC2">
        <w:rPr>
          <w:rFonts w:asciiTheme="minorHAnsi" w:hAnsiTheme="minorHAnsi" w:cstheme="minorHAnsi"/>
          <w:sz w:val="22"/>
          <w:szCs w:val="22"/>
          <w:shd w:val="clear" w:color="auto" w:fill="FFFFFF"/>
        </w:rPr>
        <w:t>y</w:t>
      </w:r>
      <w:r>
        <w:rPr>
          <w:rFonts w:asciiTheme="minorHAnsi" w:hAnsiTheme="minorHAnsi" w:cstheme="minorHAnsi"/>
          <w:sz w:val="22"/>
          <w:szCs w:val="22"/>
          <w:shd w:val="clear" w:color="auto" w:fill="FFFFFF"/>
        </w:rPr>
        <w:t>, which</w:t>
      </w:r>
      <w:r w:rsidR="00334841" w:rsidRPr="004B0BC2">
        <w:rPr>
          <w:rFonts w:asciiTheme="minorHAnsi" w:hAnsiTheme="minorHAnsi" w:cstheme="minorHAnsi"/>
          <w:sz w:val="22"/>
          <w:szCs w:val="22"/>
          <w:shd w:val="clear" w:color="auto" w:fill="FFFFFF"/>
        </w:rPr>
        <w:t xml:space="preserve"> </w:t>
      </w:r>
      <w:r w:rsidR="00303FCE" w:rsidRPr="004B0BC2">
        <w:rPr>
          <w:rFonts w:asciiTheme="minorHAnsi" w:hAnsiTheme="minorHAnsi" w:cstheme="minorHAnsi"/>
          <w:sz w:val="22"/>
          <w:szCs w:val="22"/>
          <w:shd w:val="clear" w:color="auto" w:fill="FFFFFF"/>
        </w:rPr>
        <w:t>showed that</w:t>
      </w:r>
      <w:r w:rsidR="00334841" w:rsidRPr="004B0BC2">
        <w:rPr>
          <w:rFonts w:asciiTheme="minorHAnsi" w:hAnsiTheme="minorHAnsi" w:cstheme="minorHAnsi"/>
          <w:sz w:val="22"/>
          <w:szCs w:val="22"/>
          <w:shd w:val="clear" w:color="auto" w:fill="FFFFFF"/>
        </w:rPr>
        <w:t xml:space="preserve"> male mice </w:t>
      </w:r>
      <w:r w:rsidR="001177B6" w:rsidRPr="004B0BC2">
        <w:rPr>
          <w:rFonts w:asciiTheme="minorHAnsi" w:hAnsiTheme="minorHAnsi" w:cstheme="minorHAnsi"/>
          <w:sz w:val="22"/>
          <w:szCs w:val="22"/>
          <w:shd w:val="clear" w:color="auto" w:fill="FFFFFF"/>
        </w:rPr>
        <w:t xml:space="preserve">are </w:t>
      </w:r>
      <w:r w:rsidR="00334841" w:rsidRPr="004B0BC2">
        <w:rPr>
          <w:rFonts w:asciiTheme="minorHAnsi" w:hAnsiTheme="minorHAnsi" w:cstheme="minorHAnsi"/>
          <w:sz w:val="22"/>
          <w:szCs w:val="22"/>
          <w:shd w:val="clear" w:color="auto" w:fill="FFFFFF"/>
        </w:rPr>
        <w:t>at</w:t>
      </w:r>
      <w:r w:rsidR="001177B6" w:rsidRPr="004B0BC2">
        <w:rPr>
          <w:rFonts w:asciiTheme="minorHAnsi" w:hAnsiTheme="minorHAnsi" w:cstheme="minorHAnsi"/>
          <w:sz w:val="22"/>
          <w:szCs w:val="22"/>
          <w:shd w:val="clear" w:color="auto" w:fill="FFFFFF"/>
        </w:rPr>
        <w:t xml:space="preserve"> higher</w:t>
      </w:r>
      <w:r w:rsidR="00334841" w:rsidRPr="004B0BC2">
        <w:rPr>
          <w:rFonts w:asciiTheme="minorHAnsi" w:hAnsiTheme="minorHAnsi" w:cstheme="minorHAnsi"/>
          <w:sz w:val="22"/>
          <w:szCs w:val="22"/>
          <w:shd w:val="clear" w:color="auto" w:fill="FFFFFF"/>
        </w:rPr>
        <w:t xml:space="preserve"> risk of mortality from</w:t>
      </w:r>
      <w:r w:rsidR="00303FCE"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SARS</w:t>
      </w:r>
      <w:r>
        <w:rPr>
          <w:rFonts w:asciiTheme="minorHAnsi" w:hAnsiTheme="minorHAnsi" w:cstheme="minorHAnsi"/>
          <w:sz w:val="22"/>
          <w:szCs w:val="22"/>
          <w:shd w:val="clear" w:color="auto" w:fill="FFFFFF"/>
        </w:rPr>
        <w:t>-CoV</w:t>
      </w:r>
      <w:r w:rsidR="00334841" w:rsidRPr="004B0BC2">
        <w:rPr>
          <w:rFonts w:asciiTheme="minorHAnsi" w:hAnsiTheme="minorHAnsi" w:cstheme="minorHAnsi"/>
          <w:sz w:val="22"/>
          <w:szCs w:val="22"/>
          <w:shd w:val="clear" w:color="auto" w:fill="FFFFFF"/>
        </w:rPr>
        <w:t xml:space="preserve"> than female</w:t>
      </w:r>
      <w:r w:rsidR="001177B6" w:rsidRPr="004B0BC2">
        <w:rPr>
          <w:rFonts w:asciiTheme="minorHAnsi" w:hAnsiTheme="minorHAnsi" w:cstheme="minorHAnsi"/>
          <w:sz w:val="22"/>
          <w:szCs w:val="22"/>
          <w:shd w:val="clear" w:color="auto" w:fill="FFFFFF"/>
        </w:rPr>
        <w:t xml:space="preserve"> mice</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{"citationItems":[{"id":"ITEM-1","itemData":{"DOI":"10.4049/jimmunol.1601896.Sex-based","abstract":"Pathogenic human coronaviruses such as the severe acute respiratory syndrome coronavirus (SARS-CoV) and the Middle East respiratory syndrome coronavirus (MERS-CoV) cause acute respiratory illness. Epidemiological data from the 2002-2003 SARS epidemic and recent MERS indicate that there may be sex-dependent differences in disease outcomes. To investigate these differences, we infected male and female mice of different age groups with SARS-CoV and analyzed their susceptibility to the infection. Our results showed that male mice were more susceptible to SARS-CoV infection compared to age matched females. The degree of sex-bias to SARS-CoV infection increased with advancing age such that middle-aged mice showed much more pronounced differences compared to young mice. Enhanced susceptibility of male mice to SARS-CoV was associated with elevated virus titers, enhanced vascular leakage and alveolar edema. These changes were accompanied by increased accumulation of inflammatory monocyte macrophages (IMMs) and neutrophils in the lungs of male mice and depletion of IMMs partially protected these mice from lethal SARS. Moreover, the sex-specific differences were independent of T and B cell responses. Furthermore, ovariectomy or treating female mice with an estrogen receptor antagonist increased mortality indicating a protective effect for estrogen receptor signaling in mice infected with SARS-CoV. Together, these data suggest that sex differences in susceptibility to SARS-CoV in mice parallel those observed in patients and also identify estrogen receptor signaling as critical for protection in females. Full Text:","author":[{"dropping-particle":"","family":"Channappanavar","given":"Rudragouda","non-dropping-particle":"","parse-names":false,"suffix":""},{"dropping-particle":"","family":"Fett","given":"Craig","non-dropping-particle":"","parse-names":false,"suffix":""},{"dropping-particle":"","family":"Mack","given":"Matthias","non-dropping-particle":"","parse-names":false,"suffix":""},{"dropping-particle":"Ten","family":"Eyck","given":"Patrick P","non-dropping-particle":"","parse-names":false,"suffix":""},{"dropping-particle":"","family":"Meyerholz","given":"David K","non-dropping-particle":"","parse-names":false,"suffix":""},{"dropping-particle":"","family":"Perlman","given":"Stanley","non-dropping-particle":"","parse-names":false,"suffix":""}],"container-title":"Journal of Immunology","id":"ITEM-1","issue":"10","issued":{"date-parts":[["2017"]]},"page":"4046–4053.","title":"Sex-based differences in susceptibility to SARS-CoV infection","type":"article-journal","volume":"198"},"uris":["http://www.mendeley.com/documents/?uuid=7f45fdb4-9e72-451e-bb9c-ba8878412baa"]}],"mendeley":{"formattedCitation":"(132)","plainTextFormattedCitation":"(132)","previouslyFormattedCitation":"(132)"},"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(132)</w:t>
      </w:r>
      <w:r w:rsidRPr="004B0BC2">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in which a</w:t>
      </w:r>
      <w:r w:rsidR="00334841" w:rsidRPr="004B0BC2">
        <w:rPr>
          <w:rFonts w:asciiTheme="minorHAnsi" w:hAnsiTheme="minorHAnsi" w:cstheme="minorHAnsi"/>
          <w:sz w:val="22"/>
          <w:szCs w:val="22"/>
          <w:shd w:val="clear" w:color="auto" w:fill="FFFFFF"/>
        </w:rPr>
        <w:t>dministr</w:t>
      </w:r>
      <w:r>
        <w:rPr>
          <w:rFonts w:asciiTheme="minorHAnsi" w:hAnsiTheme="minorHAnsi" w:cstheme="minorHAnsi"/>
          <w:sz w:val="22"/>
          <w:szCs w:val="22"/>
          <w:shd w:val="clear" w:color="auto" w:fill="FFFFFF"/>
        </w:rPr>
        <w:t>ation of</w:t>
      </w:r>
      <w:r w:rsidR="00334841" w:rsidRPr="004B0BC2">
        <w:rPr>
          <w:rFonts w:asciiTheme="minorHAnsi" w:hAnsiTheme="minorHAnsi" w:cstheme="minorHAnsi"/>
          <w:sz w:val="22"/>
          <w:szCs w:val="22"/>
          <w:shd w:val="clear" w:color="auto" w:fill="FFFFFF"/>
        </w:rPr>
        <w:t xml:space="preserve"> SARS-CoV </w:t>
      </w:r>
      <w:r>
        <w:rPr>
          <w:rFonts w:asciiTheme="minorHAnsi" w:hAnsiTheme="minorHAnsi" w:cstheme="minorHAnsi"/>
          <w:sz w:val="22"/>
          <w:szCs w:val="22"/>
          <w:shd w:val="clear" w:color="auto" w:fill="FFFFFF"/>
        </w:rPr>
        <w:t>led to</w:t>
      </w:r>
      <w:r w:rsidR="001177B6" w:rsidRPr="004B0BC2">
        <w:rPr>
          <w:rFonts w:asciiTheme="minorHAnsi" w:hAnsiTheme="minorHAnsi" w:cstheme="minorHAnsi"/>
          <w:sz w:val="22"/>
          <w:szCs w:val="22"/>
          <w:shd w:val="clear" w:color="auto" w:fill="FFFFFF"/>
        </w:rPr>
        <w:t xml:space="preserve"> significantly higher mortality in male </w:t>
      </w:r>
      <w:r>
        <w:rPr>
          <w:rFonts w:asciiTheme="minorHAnsi" w:hAnsiTheme="minorHAnsi" w:cstheme="minorHAnsi"/>
          <w:sz w:val="22"/>
          <w:szCs w:val="22"/>
          <w:shd w:val="clear" w:color="auto" w:fill="FFFFFF"/>
        </w:rPr>
        <w:t>mice than</w:t>
      </w:r>
      <w:r w:rsidR="001177B6" w:rsidRPr="004B0BC2">
        <w:rPr>
          <w:rFonts w:asciiTheme="minorHAnsi" w:hAnsiTheme="minorHAnsi" w:cstheme="minorHAnsi"/>
          <w:sz w:val="22"/>
          <w:szCs w:val="22"/>
          <w:shd w:val="clear" w:color="auto" w:fill="FFFFFF"/>
        </w:rPr>
        <w:t xml:space="preserve"> female</w:t>
      </w:r>
      <w:r>
        <w:rPr>
          <w:rFonts w:asciiTheme="minorHAnsi" w:hAnsiTheme="minorHAnsi" w:cstheme="minorHAnsi"/>
          <w:sz w:val="22"/>
          <w:szCs w:val="22"/>
          <w:shd w:val="clear" w:color="auto" w:fill="FFFFFF"/>
        </w:rPr>
        <w:t xml:space="preserve"> mice</w:t>
      </w:r>
      <w:r w:rsidR="001177B6"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90%</w:t>
      </w:r>
      <w:r w:rsidR="00B64DBD" w:rsidRPr="004B0BC2">
        <w:rPr>
          <w:rFonts w:asciiTheme="minorHAnsi" w:hAnsiTheme="minorHAnsi" w:cstheme="minorHAnsi"/>
          <w:sz w:val="22"/>
          <w:szCs w:val="22"/>
          <w:shd w:val="clear" w:color="auto" w:fill="FFFFFF"/>
        </w:rPr>
        <w:t xml:space="preserve"> v</w:t>
      </w:r>
      <w:r>
        <w:rPr>
          <w:rFonts w:asciiTheme="minorHAnsi" w:hAnsiTheme="minorHAnsi" w:cstheme="minorHAnsi"/>
          <w:sz w:val="22"/>
          <w:szCs w:val="22"/>
          <w:shd w:val="clear" w:color="auto" w:fill="FFFFFF"/>
        </w:rPr>
        <w:t>ersu</w:t>
      </w:r>
      <w:r w:rsidR="00B64DBD" w:rsidRPr="004B0BC2">
        <w:rPr>
          <w:rFonts w:asciiTheme="minorHAnsi" w:hAnsiTheme="minorHAnsi" w:cstheme="minorHAnsi"/>
          <w:sz w:val="22"/>
          <w:szCs w:val="22"/>
          <w:shd w:val="clear" w:color="auto" w:fill="FFFFFF"/>
        </w:rPr>
        <w:t>s</w:t>
      </w:r>
      <w:r w:rsidR="00334841" w:rsidRPr="004B0BC2">
        <w:rPr>
          <w:rFonts w:asciiTheme="minorHAnsi" w:hAnsiTheme="minorHAnsi" w:cstheme="minorHAnsi"/>
          <w:sz w:val="22"/>
          <w:szCs w:val="22"/>
          <w:shd w:val="clear" w:color="auto" w:fill="FFFFFF"/>
        </w:rPr>
        <w:t xml:space="preserve"> 20%</w:t>
      </w:r>
      <w:r w:rsidR="001177B6" w:rsidRPr="004B0BC2">
        <w:rPr>
          <w:rFonts w:asciiTheme="minorHAnsi" w:hAnsiTheme="minorHAnsi" w:cstheme="minorHAnsi"/>
          <w:sz w:val="22"/>
          <w:szCs w:val="22"/>
          <w:shd w:val="clear" w:color="auto" w:fill="FFFFFF"/>
        </w:rPr>
        <w:t xml:space="preserve">, </w:t>
      </w:r>
      <w:r w:rsidR="00A50E38"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&lt;0.001)</w:t>
      </w:r>
      <w:r w:rsidR="00303FCE" w:rsidRPr="004B0BC2">
        <w:rPr>
          <w:rFonts w:asciiTheme="minorHAnsi" w:hAnsiTheme="minorHAnsi" w:cstheme="minorHAnsi"/>
          <w:sz w:val="22"/>
          <w:szCs w:val="22"/>
        </w:rPr>
        <w:t xml:space="preserve">. </w:t>
      </w:r>
      <w:r w:rsidR="00334841" w:rsidRPr="004B0BC2">
        <w:rPr>
          <w:rFonts w:asciiTheme="minorHAnsi" w:hAnsiTheme="minorHAnsi" w:cstheme="minorHAnsi"/>
          <w:sz w:val="22"/>
          <w:szCs w:val="22"/>
          <w:shd w:val="clear" w:color="auto" w:fill="FFFFFF"/>
        </w:rPr>
        <w:t>Furthermore, ovariectomy</w:t>
      </w:r>
      <w:r w:rsidR="00CB7C9F"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of the females </w:t>
      </w:r>
      <w:r w:rsidR="00CB7C9F" w:rsidRPr="004B0BC2">
        <w:rPr>
          <w:rFonts w:asciiTheme="minorHAnsi" w:hAnsiTheme="minorHAnsi" w:cstheme="minorHAnsi"/>
          <w:sz w:val="22"/>
          <w:szCs w:val="22"/>
          <w:shd w:val="clear" w:color="auto" w:fill="FFFFFF"/>
        </w:rPr>
        <w:t>significant</w:t>
      </w:r>
      <w:r>
        <w:rPr>
          <w:rFonts w:asciiTheme="minorHAnsi" w:hAnsiTheme="minorHAnsi" w:cstheme="minorHAnsi"/>
          <w:sz w:val="22"/>
          <w:szCs w:val="22"/>
          <w:shd w:val="clear" w:color="auto" w:fill="FFFFFF"/>
        </w:rPr>
        <w:t>ly</w:t>
      </w:r>
      <w:r w:rsidR="00334841" w:rsidRPr="004B0BC2">
        <w:rPr>
          <w:rFonts w:asciiTheme="minorHAnsi" w:hAnsiTheme="minorHAnsi" w:cstheme="minorHAnsi"/>
          <w:sz w:val="22"/>
          <w:szCs w:val="22"/>
          <w:shd w:val="clear" w:color="auto" w:fill="FFFFFF"/>
        </w:rPr>
        <w:t xml:space="preserve"> increas</w:t>
      </w:r>
      <w:r w:rsidR="00CB7C9F" w:rsidRPr="004B0BC2">
        <w:rPr>
          <w:rFonts w:asciiTheme="minorHAnsi" w:hAnsiTheme="minorHAnsi" w:cstheme="minorHAnsi"/>
          <w:sz w:val="22"/>
          <w:szCs w:val="22"/>
          <w:shd w:val="clear" w:color="auto" w:fill="FFFFFF"/>
        </w:rPr>
        <w:t>e</w:t>
      </w:r>
      <w:r>
        <w:rPr>
          <w:rFonts w:asciiTheme="minorHAnsi" w:hAnsiTheme="minorHAnsi" w:cstheme="minorHAnsi"/>
          <w:sz w:val="22"/>
          <w:szCs w:val="22"/>
          <w:shd w:val="clear" w:color="auto" w:fill="FFFFFF"/>
        </w:rPr>
        <w:t>d</w:t>
      </w:r>
      <w:r w:rsidR="00CB7C9F" w:rsidRPr="004B0BC2">
        <w:rPr>
          <w:rFonts w:asciiTheme="minorHAnsi" w:hAnsiTheme="minorHAnsi" w:cstheme="minorHAnsi"/>
          <w:sz w:val="22"/>
          <w:szCs w:val="22"/>
          <w:shd w:val="clear" w:color="auto" w:fill="FFFFFF"/>
        </w:rPr>
        <w:t xml:space="preserve"> SARS-CoV</w:t>
      </w:r>
      <w:r w:rsidR="00334841" w:rsidRPr="004B0BC2">
        <w:rPr>
          <w:rFonts w:asciiTheme="minorHAnsi" w:hAnsiTheme="minorHAnsi" w:cstheme="minorHAnsi"/>
          <w:sz w:val="22"/>
          <w:szCs w:val="22"/>
          <w:shd w:val="clear" w:color="auto" w:fill="FFFFFF"/>
        </w:rPr>
        <w:t xml:space="preserve"> mortality </w:t>
      </w:r>
      <w:r w:rsidR="00CB7C9F" w:rsidRPr="004B0BC2">
        <w:rPr>
          <w:rFonts w:asciiTheme="minorHAnsi" w:hAnsiTheme="minorHAnsi" w:cstheme="minorHAnsi"/>
          <w:sz w:val="22"/>
          <w:szCs w:val="22"/>
          <w:shd w:val="clear" w:color="auto" w:fill="FFFFFF"/>
        </w:rPr>
        <w:t xml:space="preserve">compared </w:t>
      </w:r>
      <w:r>
        <w:rPr>
          <w:rFonts w:asciiTheme="minorHAnsi" w:hAnsiTheme="minorHAnsi" w:cstheme="minorHAnsi"/>
          <w:sz w:val="22"/>
          <w:szCs w:val="22"/>
          <w:shd w:val="clear" w:color="auto" w:fill="FFFFFF"/>
        </w:rPr>
        <w:t xml:space="preserve">with intact female </w:t>
      </w:r>
      <w:r w:rsidR="00CB7C9F" w:rsidRPr="004B0BC2">
        <w:rPr>
          <w:rFonts w:asciiTheme="minorHAnsi" w:hAnsiTheme="minorHAnsi" w:cstheme="minorHAnsi"/>
          <w:sz w:val="22"/>
          <w:szCs w:val="22"/>
          <w:shd w:val="clear" w:color="auto" w:fill="FFFFFF"/>
        </w:rPr>
        <w:t>controls</w:t>
      </w:r>
      <w:r>
        <w:rPr>
          <w:rFonts w:asciiTheme="minorHAnsi" w:hAnsiTheme="minorHAnsi" w:cstheme="minorHAnsi"/>
          <w:sz w:val="22"/>
          <w:szCs w:val="22"/>
          <w:shd w:val="clear" w:color="auto" w:fill="FFFFFF"/>
        </w:rPr>
        <w:t xml:space="preserve">, whereby </w:t>
      </w:r>
      <w:r w:rsidR="00334841" w:rsidRPr="004B0BC2">
        <w:rPr>
          <w:rFonts w:asciiTheme="minorHAnsi" w:hAnsiTheme="minorHAnsi" w:cstheme="minorHAnsi"/>
          <w:sz w:val="22"/>
          <w:szCs w:val="22"/>
          <w:shd w:val="clear" w:color="auto" w:fill="FFFFFF"/>
        </w:rPr>
        <w:t>85% of ovariectomised mice</w:t>
      </w:r>
      <w:r w:rsidR="00CB7C9F" w:rsidRPr="004B0BC2">
        <w:rPr>
          <w:rFonts w:asciiTheme="minorHAnsi" w:hAnsiTheme="minorHAnsi" w:cstheme="minorHAnsi"/>
          <w:sz w:val="22"/>
          <w:szCs w:val="22"/>
          <w:shd w:val="clear" w:color="auto" w:fill="FFFFFF"/>
        </w:rPr>
        <w:t xml:space="preserve"> died</w:t>
      </w:r>
      <w:r w:rsidR="00334841" w:rsidRPr="004B0BC2">
        <w:rPr>
          <w:rFonts w:asciiTheme="minorHAnsi" w:hAnsiTheme="minorHAnsi" w:cstheme="minorHAnsi"/>
          <w:sz w:val="22"/>
          <w:szCs w:val="22"/>
          <w:shd w:val="clear" w:color="auto" w:fill="FFFFFF"/>
        </w:rPr>
        <w:t xml:space="preserve"> compared </w:t>
      </w:r>
      <w:r>
        <w:rPr>
          <w:rFonts w:asciiTheme="minorHAnsi" w:hAnsiTheme="minorHAnsi" w:cstheme="minorHAnsi"/>
          <w:sz w:val="22"/>
          <w:szCs w:val="22"/>
          <w:shd w:val="clear" w:color="auto" w:fill="FFFFFF"/>
        </w:rPr>
        <w:t>with just</w:t>
      </w:r>
      <w:r w:rsidR="00CB7C9F"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20% in</w:t>
      </w:r>
      <w:r w:rsidR="00CB7C9F" w:rsidRPr="004B0BC2">
        <w:rPr>
          <w:rFonts w:asciiTheme="minorHAnsi" w:hAnsiTheme="minorHAnsi" w:cstheme="minorHAnsi"/>
          <w:sz w:val="22"/>
          <w:szCs w:val="22"/>
          <w:shd w:val="clear" w:color="auto" w:fill="FFFFFF"/>
        </w:rPr>
        <w:t xml:space="preserve"> the</w:t>
      </w:r>
      <w:r w:rsidR="00334841" w:rsidRPr="004B0BC2">
        <w:rPr>
          <w:rFonts w:asciiTheme="minorHAnsi" w:hAnsiTheme="minorHAnsi" w:cstheme="minorHAnsi"/>
          <w:sz w:val="22"/>
          <w:szCs w:val="22"/>
          <w:shd w:val="clear" w:color="auto" w:fill="FFFFFF"/>
        </w:rPr>
        <w:t xml:space="preserve"> control </w:t>
      </w:r>
      <w:r w:rsidR="00CB7C9F" w:rsidRPr="004B0BC2">
        <w:rPr>
          <w:rFonts w:asciiTheme="minorHAnsi" w:hAnsiTheme="minorHAnsi" w:cstheme="minorHAnsi"/>
          <w:sz w:val="22"/>
          <w:szCs w:val="22"/>
          <w:shd w:val="clear" w:color="auto" w:fill="FFFFFF"/>
        </w:rPr>
        <w:t>cohort</w:t>
      </w:r>
      <w:r>
        <w:rPr>
          <w:rFonts w:asciiTheme="minorHAnsi" w:hAnsiTheme="minorHAnsi" w:cstheme="minorHAnsi"/>
          <w:sz w:val="22"/>
          <w:szCs w:val="22"/>
          <w:shd w:val="clear" w:color="auto" w:fill="FFFFFF"/>
        </w:rPr>
        <w:t xml:space="preserve"> (</w:t>
      </w:r>
      <w:r w:rsidR="00A50E38"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&lt;0.01). Th</w:t>
      </w:r>
      <w:r>
        <w:rPr>
          <w:rFonts w:asciiTheme="minorHAnsi" w:hAnsiTheme="minorHAnsi" w:cstheme="minorHAnsi"/>
          <w:sz w:val="22"/>
          <w:szCs w:val="22"/>
          <w:shd w:val="clear" w:color="auto" w:fill="FFFFFF"/>
        </w:rPr>
        <w:t xml:space="preserve">ese data </w:t>
      </w:r>
      <w:r w:rsidR="00334841" w:rsidRPr="004B0BC2">
        <w:rPr>
          <w:rFonts w:asciiTheme="minorHAnsi" w:hAnsiTheme="minorHAnsi" w:cstheme="minorHAnsi"/>
          <w:sz w:val="22"/>
          <w:szCs w:val="22"/>
          <w:shd w:val="clear" w:color="auto" w:fill="FFFFFF"/>
        </w:rPr>
        <w:t>suggest that oestrogen confers a protective effect against SARS</w:t>
      </w:r>
      <w:r>
        <w:rPr>
          <w:rFonts w:asciiTheme="minorHAnsi" w:hAnsiTheme="minorHAnsi" w:cstheme="minorHAnsi"/>
          <w:sz w:val="22"/>
          <w:szCs w:val="22"/>
          <w:shd w:val="clear" w:color="auto" w:fill="FFFFFF"/>
        </w:rPr>
        <w:t>-CoV;</w:t>
      </w:r>
      <w:r w:rsidR="00334841" w:rsidRPr="004B0BC2">
        <w:rPr>
          <w:rFonts w:asciiTheme="minorHAnsi" w:hAnsiTheme="minorHAnsi" w:cstheme="minorHAnsi"/>
          <w:sz w:val="22"/>
          <w:szCs w:val="22"/>
          <w:shd w:val="clear" w:color="auto" w:fill="FFFFFF"/>
        </w:rPr>
        <w:t xml:space="preserve"> extrapolat</w:t>
      </w:r>
      <w:r>
        <w:rPr>
          <w:rFonts w:asciiTheme="minorHAnsi" w:hAnsiTheme="minorHAnsi" w:cstheme="minorHAnsi"/>
          <w:sz w:val="22"/>
          <w:szCs w:val="22"/>
          <w:shd w:val="clear" w:color="auto" w:fill="FFFFFF"/>
        </w:rPr>
        <w:t>ion of</w:t>
      </w:r>
      <w:r w:rsidR="00334841" w:rsidRPr="004B0BC2">
        <w:rPr>
          <w:rFonts w:asciiTheme="minorHAnsi" w:hAnsiTheme="minorHAnsi" w:cstheme="minorHAnsi"/>
          <w:sz w:val="22"/>
          <w:szCs w:val="22"/>
          <w:shd w:val="clear" w:color="auto" w:fill="FFFFFF"/>
        </w:rPr>
        <w:t xml:space="preserve"> these findings to the COVID-19 variant </w:t>
      </w:r>
      <w:r>
        <w:rPr>
          <w:rFonts w:asciiTheme="minorHAnsi" w:hAnsiTheme="minorHAnsi" w:cstheme="minorHAnsi"/>
          <w:sz w:val="22"/>
          <w:szCs w:val="22"/>
          <w:shd w:val="clear" w:color="auto" w:fill="FFFFFF"/>
        </w:rPr>
        <w:t>might</w:t>
      </w:r>
      <w:r w:rsidR="00334841" w:rsidRPr="004B0BC2">
        <w:rPr>
          <w:rFonts w:asciiTheme="minorHAnsi" w:hAnsiTheme="minorHAnsi" w:cstheme="minorHAnsi"/>
          <w:sz w:val="22"/>
          <w:szCs w:val="22"/>
          <w:shd w:val="clear" w:color="auto" w:fill="FFFFFF"/>
        </w:rPr>
        <w:t xml:space="preserve"> explain the some of the sex disparities in</w:t>
      </w:r>
      <w:r>
        <w:rPr>
          <w:rFonts w:asciiTheme="minorHAnsi" w:hAnsiTheme="minorHAnsi" w:cstheme="minorHAnsi"/>
          <w:sz w:val="22"/>
          <w:szCs w:val="22"/>
          <w:shd w:val="clear" w:color="auto" w:fill="FFFFFF"/>
        </w:rPr>
        <w:t xml:space="preserve"> COVID-19</w:t>
      </w:r>
      <w:r w:rsidR="00334841" w:rsidRPr="004B0BC2">
        <w:rPr>
          <w:rFonts w:asciiTheme="minorHAnsi" w:hAnsiTheme="minorHAnsi" w:cstheme="minorHAnsi"/>
          <w:sz w:val="22"/>
          <w:szCs w:val="22"/>
          <w:shd w:val="clear" w:color="auto" w:fill="FFFFFF"/>
        </w:rPr>
        <w:t xml:space="preserve"> mortality. However, no studies </w:t>
      </w:r>
      <w:r>
        <w:rPr>
          <w:rFonts w:asciiTheme="minorHAnsi" w:hAnsiTheme="minorHAnsi" w:cstheme="minorHAnsi"/>
          <w:sz w:val="22"/>
          <w:szCs w:val="22"/>
          <w:shd w:val="clear" w:color="auto" w:fill="FFFFFF"/>
        </w:rPr>
        <w:t xml:space="preserve">have </w:t>
      </w:r>
      <w:r w:rsidR="00334841" w:rsidRPr="004B0BC2">
        <w:rPr>
          <w:rFonts w:asciiTheme="minorHAnsi" w:hAnsiTheme="minorHAnsi" w:cstheme="minorHAnsi"/>
          <w:sz w:val="22"/>
          <w:szCs w:val="22"/>
          <w:shd w:val="clear" w:color="auto" w:fill="FFFFFF"/>
        </w:rPr>
        <w:t>examin</w:t>
      </w:r>
      <w:r>
        <w:rPr>
          <w:rFonts w:asciiTheme="minorHAnsi" w:hAnsiTheme="minorHAnsi" w:cstheme="minorHAnsi"/>
          <w:sz w:val="22"/>
          <w:szCs w:val="22"/>
          <w:shd w:val="clear" w:color="auto" w:fill="FFFFFF"/>
        </w:rPr>
        <w:t>ed</w:t>
      </w:r>
      <w:r w:rsidR="00334841" w:rsidRPr="004B0BC2">
        <w:rPr>
          <w:rFonts w:asciiTheme="minorHAnsi" w:hAnsiTheme="minorHAnsi" w:cstheme="minorHAnsi"/>
          <w:sz w:val="22"/>
          <w:szCs w:val="22"/>
          <w:shd w:val="clear" w:color="auto" w:fill="FFFFFF"/>
        </w:rPr>
        <w:t xml:space="preserve"> COVID</w:t>
      </w:r>
      <w:r w:rsidR="00303FCE" w:rsidRPr="004B0BC2">
        <w:rPr>
          <w:rFonts w:asciiTheme="minorHAnsi" w:hAnsiTheme="minorHAnsi" w:cstheme="minorHAnsi"/>
          <w:sz w:val="22"/>
          <w:szCs w:val="22"/>
          <w:shd w:val="clear" w:color="auto" w:fill="FFFFFF"/>
        </w:rPr>
        <w:t>-19</w:t>
      </w:r>
      <w:r w:rsidR="00334841" w:rsidRPr="004B0BC2">
        <w:rPr>
          <w:rFonts w:asciiTheme="minorHAnsi" w:hAnsiTheme="minorHAnsi" w:cstheme="minorHAnsi"/>
          <w:sz w:val="22"/>
          <w:szCs w:val="22"/>
          <w:shd w:val="clear" w:color="auto" w:fill="FFFFFF"/>
        </w:rPr>
        <w:t xml:space="preserve"> outcomes in </w:t>
      </w:r>
      <w:r>
        <w:rPr>
          <w:rFonts w:asciiTheme="minorHAnsi" w:hAnsiTheme="minorHAnsi" w:cstheme="minorHAnsi"/>
          <w:sz w:val="22"/>
          <w:szCs w:val="22"/>
          <w:shd w:val="clear" w:color="auto" w:fill="FFFFFF"/>
        </w:rPr>
        <w:t>human patients</w:t>
      </w:r>
      <w:r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taking hormone therapy</w:t>
      </w:r>
      <w:r>
        <w:rPr>
          <w:rFonts w:asciiTheme="minorHAnsi" w:hAnsiTheme="minorHAnsi" w:cstheme="minorHAnsi"/>
          <w:sz w:val="22"/>
          <w:szCs w:val="22"/>
          <w:shd w:val="clear" w:color="auto" w:fill="FFFFFF"/>
        </w:rPr>
        <w:t>, so</w:t>
      </w:r>
      <w:r w:rsidR="00334841" w:rsidRPr="004B0BC2">
        <w:rPr>
          <w:rFonts w:asciiTheme="minorHAnsi" w:hAnsiTheme="minorHAnsi" w:cstheme="minorHAnsi"/>
          <w:sz w:val="22"/>
          <w:szCs w:val="22"/>
          <w:shd w:val="clear" w:color="auto" w:fill="FFFFFF"/>
        </w:rPr>
        <w:t xml:space="preserve"> retrospective analys</w:t>
      </w:r>
      <w:r>
        <w:rPr>
          <w:rFonts w:asciiTheme="minorHAnsi" w:hAnsiTheme="minorHAnsi" w:cstheme="minorHAnsi"/>
          <w:sz w:val="22"/>
          <w:szCs w:val="22"/>
          <w:shd w:val="clear" w:color="auto" w:fill="FFFFFF"/>
        </w:rPr>
        <w:t>is of</w:t>
      </w:r>
      <w:r w:rsidR="00334841" w:rsidRPr="004B0BC2">
        <w:rPr>
          <w:rFonts w:asciiTheme="minorHAnsi" w:hAnsiTheme="minorHAnsi" w:cstheme="minorHAnsi"/>
          <w:sz w:val="22"/>
          <w:szCs w:val="22"/>
          <w:shd w:val="clear" w:color="auto" w:fill="FFFFFF"/>
        </w:rPr>
        <w:t xml:space="preserve"> whether COVID</w:t>
      </w:r>
      <w:r w:rsidR="00303FCE" w:rsidRPr="004B0BC2">
        <w:rPr>
          <w:rFonts w:asciiTheme="minorHAnsi" w:hAnsiTheme="minorHAnsi" w:cstheme="minorHAnsi"/>
          <w:sz w:val="22"/>
          <w:szCs w:val="22"/>
          <w:shd w:val="clear" w:color="auto" w:fill="FFFFFF"/>
        </w:rPr>
        <w:t>-19</w:t>
      </w:r>
      <w:r w:rsidR="00334841" w:rsidRPr="004B0BC2">
        <w:rPr>
          <w:rFonts w:asciiTheme="minorHAnsi" w:hAnsiTheme="minorHAnsi" w:cstheme="minorHAnsi"/>
          <w:sz w:val="22"/>
          <w:szCs w:val="22"/>
          <w:shd w:val="clear" w:color="auto" w:fill="FFFFFF"/>
        </w:rPr>
        <w:t xml:space="preserve"> differentially </w:t>
      </w:r>
      <w:r w:rsidR="00334841" w:rsidRPr="004B0BC2">
        <w:rPr>
          <w:rFonts w:asciiTheme="minorHAnsi" w:hAnsiTheme="minorHAnsi" w:cstheme="minorHAnsi"/>
          <w:sz w:val="22"/>
          <w:szCs w:val="22"/>
          <w:shd w:val="clear" w:color="auto" w:fill="FFFFFF"/>
        </w:rPr>
        <w:lastRenderedPageBreak/>
        <w:t xml:space="preserve">effects either women taking </w:t>
      </w:r>
      <w:r w:rsidR="006F43AA" w:rsidRPr="004B0BC2">
        <w:rPr>
          <w:rFonts w:asciiTheme="minorHAnsi" w:hAnsiTheme="minorHAnsi" w:cstheme="minorHAnsi"/>
          <w:sz w:val="22"/>
          <w:szCs w:val="22"/>
          <w:shd w:val="clear" w:color="auto" w:fill="FFFFFF"/>
        </w:rPr>
        <w:t>oestrogen</w:t>
      </w:r>
      <w:r w:rsidR="00334841" w:rsidRPr="004B0BC2">
        <w:rPr>
          <w:rFonts w:asciiTheme="minorHAnsi" w:hAnsiTheme="minorHAnsi" w:cstheme="minorHAnsi"/>
          <w:sz w:val="22"/>
          <w:szCs w:val="22"/>
          <w:shd w:val="clear" w:color="auto" w:fill="FFFFFF"/>
        </w:rPr>
        <w:t xml:space="preserve"> receptor antagonists or men taking exogenous oestrogen</w:t>
      </w:r>
      <w:r>
        <w:rPr>
          <w:rFonts w:asciiTheme="minorHAnsi" w:hAnsiTheme="minorHAnsi" w:cstheme="minorHAnsi"/>
          <w:sz w:val="22"/>
          <w:szCs w:val="22"/>
          <w:shd w:val="clear" w:color="auto" w:fill="FFFFFF"/>
        </w:rPr>
        <w:t xml:space="preserve"> would be interesting</w:t>
      </w:r>
      <w:r w:rsidR="00334841" w:rsidRPr="004B0BC2">
        <w:rPr>
          <w:rFonts w:asciiTheme="minorHAnsi" w:hAnsiTheme="minorHAnsi" w:cstheme="minorHAnsi"/>
          <w:sz w:val="22"/>
          <w:szCs w:val="22"/>
          <w:shd w:val="clear" w:color="auto" w:fill="FFFFFF"/>
        </w:rPr>
        <w:t>.</w:t>
      </w:r>
    </w:p>
    <w:p w14:paraId="0718758B" w14:textId="589240B6" w:rsidR="00334841" w:rsidRPr="004B0BC2" w:rsidRDefault="00885870" w:rsidP="00B66369">
      <w:pPr>
        <w:spacing w:line="480" w:lineRule="auto"/>
        <w:rPr>
          <w:rFonts w:asciiTheme="minorHAnsi" w:hAnsiTheme="minorHAnsi" w:cstheme="minorHAnsi"/>
          <w:sz w:val="22"/>
          <w:szCs w:val="22"/>
        </w:rPr>
      </w:pPr>
      <w:r>
        <w:rPr>
          <w:rFonts w:asciiTheme="minorHAnsi" w:hAnsiTheme="minorHAnsi" w:cstheme="minorHAnsi"/>
          <w:sz w:val="22"/>
          <w:szCs w:val="22"/>
        </w:rPr>
        <w:t>E</w:t>
      </w:r>
      <w:r w:rsidR="00334841" w:rsidRPr="004B0BC2">
        <w:rPr>
          <w:rFonts w:asciiTheme="minorHAnsi" w:hAnsiTheme="minorHAnsi" w:cstheme="minorHAnsi"/>
          <w:sz w:val="22"/>
          <w:szCs w:val="22"/>
        </w:rPr>
        <w:t>vidence</w:t>
      </w:r>
      <w:r>
        <w:rPr>
          <w:rFonts w:asciiTheme="minorHAnsi" w:hAnsiTheme="minorHAnsi" w:cstheme="minorHAnsi"/>
          <w:sz w:val="22"/>
          <w:szCs w:val="22"/>
        </w:rPr>
        <w:t xml:space="preserve"> suggests</w:t>
      </w:r>
      <w:r w:rsidR="00334841" w:rsidRPr="004B0BC2">
        <w:rPr>
          <w:rFonts w:asciiTheme="minorHAnsi" w:hAnsiTheme="minorHAnsi" w:cstheme="minorHAnsi"/>
          <w:sz w:val="22"/>
          <w:szCs w:val="22"/>
        </w:rPr>
        <w:t xml:space="preserve"> </w:t>
      </w:r>
      <w:r w:rsidR="00F51025" w:rsidRPr="004B0BC2">
        <w:rPr>
          <w:rFonts w:asciiTheme="minorHAnsi" w:hAnsiTheme="minorHAnsi" w:cstheme="minorHAnsi"/>
          <w:sz w:val="22"/>
          <w:szCs w:val="22"/>
        </w:rPr>
        <w:t>that</w:t>
      </w:r>
      <w:r w:rsidR="00AE7B79" w:rsidRPr="004B0BC2">
        <w:rPr>
          <w:rFonts w:asciiTheme="minorHAnsi" w:hAnsiTheme="minorHAnsi" w:cstheme="minorHAnsi"/>
          <w:sz w:val="22"/>
          <w:szCs w:val="22"/>
        </w:rPr>
        <w:t xml:space="preserve"> </w:t>
      </w:r>
      <w:r w:rsidR="00334841" w:rsidRPr="004B0BC2">
        <w:rPr>
          <w:rFonts w:asciiTheme="minorHAnsi" w:hAnsiTheme="minorHAnsi" w:cstheme="minorHAnsi"/>
          <w:sz w:val="22"/>
          <w:szCs w:val="22"/>
        </w:rPr>
        <w:t>17β</w:t>
      </w:r>
      <w:r w:rsidR="00334841" w:rsidRPr="004B0BC2">
        <w:rPr>
          <w:rFonts w:asciiTheme="minorHAnsi" w:hAnsiTheme="minorHAnsi" w:cstheme="minorHAnsi"/>
          <w:sz w:val="22"/>
          <w:szCs w:val="22"/>
        </w:rPr>
        <w:noBreakHyphen/>
      </w:r>
      <w:r w:rsidR="00334841" w:rsidRPr="004B0BC2">
        <w:rPr>
          <w:rFonts w:asciiTheme="minorHAnsi" w:hAnsiTheme="minorHAnsi" w:cstheme="minorHAnsi"/>
          <w:sz w:val="22"/>
          <w:szCs w:val="22"/>
        </w:rPr>
        <w:softHyphen/>
        <w:t>oestradiol regulates many aspects of</w:t>
      </w:r>
      <w:r w:rsidR="003C11E1">
        <w:rPr>
          <w:rFonts w:asciiTheme="minorHAnsi" w:hAnsiTheme="minorHAnsi" w:cstheme="minorHAnsi"/>
          <w:sz w:val="22"/>
          <w:szCs w:val="22"/>
        </w:rPr>
        <w:t xml:space="preserve"> </w:t>
      </w:r>
      <w:r w:rsidR="006F43AA" w:rsidRPr="004B0BC2">
        <w:rPr>
          <w:rFonts w:asciiTheme="minorHAnsi" w:hAnsiTheme="minorHAnsi" w:cstheme="minorHAnsi"/>
          <w:sz w:val="22"/>
          <w:szCs w:val="22"/>
        </w:rPr>
        <w:t xml:space="preserve">the </w:t>
      </w:r>
      <w:r w:rsidR="00334841" w:rsidRPr="004B0BC2">
        <w:rPr>
          <w:rFonts w:asciiTheme="minorHAnsi" w:hAnsiTheme="minorHAnsi" w:cstheme="minorHAnsi"/>
          <w:sz w:val="22"/>
          <w:szCs w:val="22"/>
        </w:rPr>
        <w:t xml:space="preserve">innate and adaptive </w:t>
      </w:r>
      <w:r w:rsidR="006F43AA" w:rsidRPr="004B0BC2">
        <w:rPr>
          <w:rFonts w:asciiTheme="minorHAnsi" w:hAnsiTheme="minorHAnsi" w:cstheme="minorHAnsi"/>
          <w:sz w:val="22"/>
          <w:szCs w:val="22"/>
        </w:rPr>
        <w:t>immune systems</w:t>
      </w:r>
      <w:r>
        <w:rPr>
          <w:rFonts w:asciiTheme="minorHAnsi" w:hAnsiTheme="minorHAnsi" w:cstheme="minorHAnsi"/>
          <w:sz w:val="22"/>
          <w:szCs w:val="22"/>
        </w:rPr>
        <w:t>, including</w:t>
      </w:r>
      <w:r w:rsidR="00334841" w:rsidRPr="004B0BC2">
        <w:rPr>
          <w:rFonts w:asciiTheme="minorHAnsi" w:hAnsiTheme="minorHAnsi" w:cstheme="minorHAnsi"/>
          <w:sz w:val="22"/>
          <w:szCs w:val="22"/>
        </w:rPr>
        <w:t xml:space="preserve"> stimulati</w:t>
      </w:r>
      <w:r>
        <w:rPr>
          <w:rFonts w:asciiTheme="minorHAnsi" w:hAnsiTheme="minorHAnsi" w:cstheme="minorHAnsi"/>
          <w:sz w:val="22"/>
          <w:szCs w:val="22"/>
        </w:rPr>
        <w:t>o</w:t>
      </w:r>
      <w:r w:rsidR="00334841" w:rsidRPr="004B0BC2">
        <w:rPr>
          <w:rFonts w:asciiTheme="minorHAnsi" w:hAnsiTheme="minorHAnsi" w:cstheme="minorHAnsi"/>
          <w:sz w:val="22"/>
          <w:szCs w:val="22"/>
        </w:rPr>
        <w:t>n</w:t>
      </w:r>
      <w:r>
        <w:rPr>
          <w:rFonts w:asciiTheme="minorHAnsi" w:hAnsiTheme="minorHAnsi" w:cstheme="minorHAnsi"/>
          <w:sz w:val="22"/>
          <w:szCs w:val="22"/>
        </w:rPr>
        <w:t xml:space="preserve"> of </w:t>
      </w:r>
      <w:r w:rsidR="00334841" w:rsidRPr="004B0BC2">
        <w:rPr>
          <w:rFonts w:asciiTheme="minorHAnsi" w:hAnsiTheme="minorHAnsi" w:cstheme="minorHAnsi"/>
          <w:sz w:val="22"/>
          <w:szCs w:val="22"/>
        </w:rPr>
        <w:t>pro inflammatory cytokines, increasing neutrophil</w:t>
      </w:r>
      <w:r w:rsidR="00F51025" w:rsidRPr="004B0BC2">
        <w:rPr>
          <w:rFonts w:asciiTheme="minorHAnsi" w:hAnsiTheme="minorHAnsi" w:cstheme="minorHAnsi"/>
          <w:sz w:val="22"/>
          <w:szCs w:val="22"/>
        </w:rPr>
        <w:t xml:space="preserve"> concentrations</w:t>
      </w:r>
      <w:r w:rsidR="00334841" w:rsidRPr="004B0BC2">
        <w:rPr>
          <w:rFonts w:asciiTheme="minorHAnsi" w:hAnsiTheme="minorHAnsi" w:cstheme="minorHAnsi"/>
          <w:sz w:val="22"/>
          <w:szCs w:val="22"/>
        </w:rPr>
        <w:t xml:space="preserve"> and promoting the differentiation of bone marrow precursors cells and monocytes in</w:t>
      </w:r>
      <w:r w:rsidR="003E1EF6" w:rsidRPr="004B0BC2">
        <w:rPr>
          <w:rFonts w:asciiTheme="minorHAnsi" w:hAnsiTheme="minorHAnsi" w:cstheme="minorHAnsi"/>
          <w:sz w:val="22"/>
          <w:szCs w:val="22"/>
        </w:rPr>
        <w:t>to</w:t>
      </w:r>
      <w:r w:rsidR="00334841" w:rsidRPr="004B0BC2">
        <w:rPr>
          <w:rFonts w:asciiTheme="minorHAnsi" w:hAnsiTheme="minorHAnsi" w:cstheme="minorHAnsi"/>
          <w:sz w:val="22"/>
          <w:szCs w:val="22"/>
        </w:rPr>
        <w:t xml:space="preserve"> dendritic cells</w:t>
      </w:r>
      <w:r w:rsidR="00E111FA"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{"citationItems":[{"id":"ITEM-1","itemData":{"DOI":"10.1038/nri.2016.90","abstract":"Sex is a biological variable that affects immune responses to both self and foreign antigens (for example, those from fungi, viruses, bacteria, parasites and allergens). The sex of an individual is defined by the differential organization of chromosomes, reproductive organs, and sex steroid levels; it is distinct from gender, which includes behaviours and activities that are determined by society or culture in humans. Male and female differ­ ences in immunological responses may be influenced by both sex and gender, with sex contributing to physio logi­ cal and anatomical differences that influence exposure, recognition, clearance, and even transmission of micro­ organisms. By contrast, gender may reflect behaviours that influence exposure to microorganisms, access to healthcare or health­seeking behaviours that affect the course of infection. Although we acknowledge that both sex and gender influence the immune response, the focus of this Review will be on the biological factors that influence immunological differences between the sexes. Despite a growing body of literature illustrating sex­based differences in immune responses, immunol­ ogy ranks the lowest of ten biological disciplines for reporting the sex of animal or human subjects in pub­ lished papers, with fewer than 10% of articles analysing data by sex 1. The field of sex­based biology is under­ going a revolution, in which research funding agencies and journals have launched policies to promote greater consideration, reporting and analyses of sex and gender in the biomedical sciences in an effort to improve rigour and reproducibility (BOX 1). It is increasingly important to acknowledge sex dif­ ferences in immune responses when we consider the marked differences seen between males in females in various diseases. For instance, 80% of autoimmune dis­ ease occurs in females, women with acute HIV infection have 40% less viral RNA in their blood than men, men show an almost twofold higher risk of death from malignant cancer than women and antibody responses to seasonal influenza vaccines are consistently at least twice as strong in women than men. Generally, adult females mount stronger innate and adaptive immune responses than males. This results in faster clearance of pathogens and greater vaccine efficacy in females than in males but also contributes to their increased suscepti­ bility to inflammatory and autoimmune diseases. In this Review, we explain how these immunological differences betwee…","author":[{"dropping-particle":"","family":"Klein","given":"Sabra L","non-dropping-particle":"","parse-names":false,"suffix":""},{"dropping-particle":"","family":"Flanagan","given":"Katie L","non-dropping-particle":"","parse-names":false,"suffix":""}],"container-title":"Nature Reviews Immunology","id":"ITEM-1","issued":{"date-parts":[["2016"]]},"page":"626–638","title":"Sex differences in immune responses","type":"article-journal","volume":"16"},"uris":["http://www.mendeley.com/documents/?uuid=f006013e-8812-39ab-8932-e7e88fe64b91"]}],"mendeley":{"formattedCitation":"(133)","plainTextFormattedCitation":"(133)","previouslyFormattedCitation":"(133)"},"properties":{"noteIndex":0},"schema":"https://github.com/citation-style-language/schema/raw/master/csl-citation.json"}</w:instrText>
      </w:r>
      <w:r w:rsidR="00E111FA"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(133)</w:t>
      </w:r>
      <w:r w:rsidR="00E111FA"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 xml:space="preserve">. </w:t>
      </w:r>
      <w:r>
        <w:rPr>
          <w:rFonts w:asciiTheme="minorHAnsi" w:hAnsiTheme="minorHAnsi" w:cstheme="minorHAnsi"/>
          <w:sz w:val="22"/>
          <w:szCs w:val="22"/>
        </w:rPr>
        <w:t>By</w:t>
      </w:r>
      <w:r w:rsidR="00334841" w:rsidRPr="004B0BC2">
        <w:rPr>
          <w:rFonts w:asciiTheme="minorHAnsi" w:hAnsiTheme="minorHAnsi" w:cstheme="minorHAnsi"/>
          <w:sz w:val="22"/>
          <w:szCs w:val="22"/>
        </w:rPr>
        <w:t xml:space="preserve"> contrast, androgens have been observed to suppress the immune system; in vitro studies</w:t>
      </w:r>
      <w:r>
        <w:rPr>
          <w:rFonts w:asciiTheme="minorHAnsi" w:hAnsiTheme="minorHAnsi" w:cstheme="minorHAnsi"/>
          <w:sz w:val="22"/>
          <w:szCs w:val="22"/>
        </w:rPr>
        <w:t xml:space="preserve"> </w:t>
      </w:r>
      <w:r w:rsidRPr="000242C7">
        <w:rPr>
          <w:rFonts w:asciiTheme="minorHAnsi" w:hAnsiTheme="minorHAnsi" w:cstheme="minorHAnsi"/>
          <w:bCs/>
          <w:color w:val="000000" w:themeColor="text1"/>
          <w:sz w:val="22"/>
          <w:szCs w:val="22"/>
        </w:rPr>
        <w:t>in cultured macrophages</w:t>
      </w:r>
      <w:r w:rsidRPr="000242C7">
        <w:rPr>
          <w:rFonts w:asciiTheme="minorHAnsi" w:hAnsiTheme="minorHAnsi" w:cstheme="minorHAnsi"/>
          <w:color w:val="000000" w:themeColor="text1"/>
          <w:sz w:val="22"/>
          <w:szCs w:val="22"/>
        </w:rPr>
        <w:t xml:space="preserve"> </w:t>
      </w:r>
      <w:r w:rsidR="00334841" w:rsidRPr="004B0BC2">
        <w:rPr>
          <w:rFonts w:asciiTheme="minorHAnsi" w:hAnsiTheme="minorHAnsi" w:cstheme="minorHAnsi"/>
          <w:sz w:val="22"/>
          <w:szCs w:val="22"/>
        </w:rPr>
        <w:t>have reported that testosterone reduces</w:t>
      </w:r>
      <w:r w:rsidR="003E1EF6" w:rsidRPr="004B0BC2">
        <w:rPr>
          <w:rFonts w:asciiTheme="minorHAnsi" w:hAnsiTheme="minorHAnsi" w:cstheme="minorHAnsi"/>
          <w:sz w:val="22"/>
          <w:szCs w:val="22"/>
        </w:rPr>
        <w:t xml:space="preserve"> the</w:t>
      </w:r>
      <w:r w:rsidR="00334841" w:rsidRPr="004B0BC2">
        <w:rPr>
          <w:rFonts w:asciiTheme="minorHAnsi" w:hAnsiTheme="minorHAnsi" w:cstheme="minorHAnsi"/>
          <w:sz w:val="22"/>
          <w:szCs w:val="22"/>
        </w:rPr>
        <w:t xml:space="preserve"> synthesis of </w:t>
      </w:r>
      <w:r w:rsidR="00F51025" w:rsidRPr="004B0BC2">
        <w:rPr>
          <w:rFonts w:asciiTheme="minorHAnsi" w:hAnsiTheme="minorHAnsi" w:cstheme="minorHAnsi"/>
          <w:sz w:val="22"/>
          <w:szCs w:val="22"/>
          <w:shd w:val="clear" w:color="auto" w:fill="FFFFFF"/>
        </w:rPr>
        <w:t>TNF-</w:t>
      </w:r>
      <w:r w:rsidR="00F51025" w:rsidRPr="004B0BC2">
        <w:rPr>
          <w:rFonts w:asciiTheme="minorHAnsi" w:hAnsiTheme="minorHAnsi" w:cstheme="minorHAnsi"/>
          <w:sz w:val="22"/>
          <w:szCs w:val="22"/>
          <w:shd w:val="clear" w:color="auto" w:fill="FFFFFF"/>
        </w:rPr>
        <w:sym w:font="Symbol" w:char="F061"/>
      </w:r>
      <w:r w:rsidR="00F51025"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rPr>
        <w:t>and nitric oxide by macrophages</w:t>
      </w:r>
      <w:r w:rsidR="00F51025"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10.1111/j.1749-6632.1999.tb07667.x","ISSN":"00778923","PMID":"10415638","author":[{"dropping-particle":"","family":"Agostino","given":"P.","non-dropping-particle":"","parse-names":false,"suffix":""},{"dropping-particle":"","family":"Milano","given":"S.","non-dropping-particle":"","parse-names":false,"suffix":""},{"dropping-particle":"","family":"Barbera","given":"C.","non-dropping-particle":"","parse-names":false,"suffix":""},{"dropping-particle":"","family":"Bella","given":"G.","non-dropping-particle":"Di","parse-names":false,"suffix":""},{"dropping-particle":"","family":"Rosa","given":"M.","non-dropping-particle":"La","parse-names":false,"suffix":""},{"dropping-particle":"","family":"Ferlazzo","given":"V.","non-dropping-particle":"","parse-names":false,"suffix":""},{"dropping-particle":"","family":"Farruggio","given":"R.","non-dropping-particle":"","parse-names":false,"suffix":""},{"dropping-particle":"","family":"Miceli","given":"D. M.","non-dropping-particle":"","parse-names":false,"suffix":""},{"dropping-particle":"","family":"Miele","given":"M.","non-dropping-particle":"","parse-names":false,"suffix":""},{"dropping-particle":"","family":"Castagnetta","given":"L.","non-dropping-particle":"","parse-names":false,"suffix":""},{"dropping-particle":"","family":"Cillari","given":"Enrico","non-dropping-particle":"","parse-names":false,"suffix":""}],"container-title":"Annals of the New York Academy of Sciences","id":"ITEM-1","issue":"1","issued":{"date-parts":[["1999"]]},"page":"426-429","title":"Sex hormones modulate inflammatory mediators produced by macrophages","type":"article-journal","volume":"876"},"uris":["http://www.mendeley.com/documents/?uuid=673e9d52-1238-4699-b1b1-44d9e64dd9ef"]}],"mendeley":{"formattedCitation":"(134)","plainTextFormattedCitation":"(134)","previouslyFormattedCitation":"(134)"},"properties":{"noteIndex":0},"schema":"https://github.com/citation-style-language/schema/raw/master/csl-citation.json"}</w:instrText>
      </w:r>
      <w:r w:rsidR="00F51025"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(134)</w:t>
      </w:r>
      <w:r w:rsidR="00F51025" w:rsidRPr="004B0BC2">
        <w:rPr>
          <w:rFonts w:asciiTheme="minorHAnsi" w:hAnsiTheme="minorHAnsi" w:cstheme="minorHAnsi"/>
          <w:sz w:val="22"/>
          <w:szCs w:val="22"/>
        </w:rPr>
        <w:fldChar w:fldCharType="end"/>
      </w:r>
      <w:r w:rsidR="00AE7ACC" w:rsidRPr="004B0BC2">
        <w:rPr>
          <w:rFonts w:asciiTheme="minorHAnsi" w:hAnsiTheme="minorHAnsi" w:cstheme="minorHAnsi"/>
          <w:sz w:val="22"/>
          <w:szCs w:val="22"/>
        </w:rPr>
        <w:t>. Moreover androgens have been observed to increase</w:t>
      </w:r>
      <w:r w:rsidR="00334841" w:rsidRPr="004B0BC2">
        <w:rPr>
          <w:rFonts w:asciiTheme="minorHAnsi" w:hAnsiTheme="minorHAnsi" w:cstheme="minorHAnsi"/>
          <w:sz w:val="22"/>
          <w:szCs w:val="22"/>
        </w:rPr>
        <w:t xml:space="preserve"> levels of I</w:t>
      </w:r>
      <w:r>
        <w:rPr>
          <w:rFonts w:asciiTheme="minorHAnsi" w:hAnsiTheme="minorHAnsi" w:cstheme="minorHAnsi"/>
          <w:sz w:val="22"/>
          <w:szCs w:val="22"/>
        </w:rPr>
        <w:t>L</w:t>
      </w:r>
      <w:r w:rsidR="00334841" w:rsidRPr="004B0BC2">
        <w:rPr>
          <w:rFonts w:asciiTheme="minorHAnsi" w:hAnsiTheme="minorHAnsi" w:cstheme="minorHAnsi"/>
          <w:sz w:val="22"/>
          <w:szCs w:val="22"/>
        </w:rPr>
        <w:t>-10</w:t>
      </w:r>
      <w:r>
        <w:rPr>
          <w:rFonts w:asciiTheme="minorHAnsi" w:hAnsiTheme="minorHAnsi" w:cstheme="minorHAnsi"/>
          <w:sz w:val="22"/>
          <w:szCs w:val="22"/>
        </w:rPr>
        <w:t>,</w:t>
      </w:r>
      <w:r w:rsidR="00334841" w:rsidRPr="004B0BC2">
        <w:rPr>
          <w:rFonts w:asciiTheme="minorHAnsi" w:hAnsiTheme="minorHAnsi" w:cstheme="minorHAnsi"/>
          <w:sz w:val="22"/>
          <w:szCs w:val="22"/>
        </w:rPr>
        <w:t xml:space="preserve"> which has anti</w:t>
      </w:r>
      <w:r w:rsidR="003E1EF6" w:rsidRPr="004B0BC2">
        <w:rPr>
          <w:rFonts w:asciiTheme="minorHAnsi" w:hAnsiTheme="minorHAnsi" w:cstheme="minorHAnsi"/>
          <w:sz w:val="22"/>
          <w:szCs w:val="22"/>
        </w:rPr>
        <w:t>-i</w:t>
      </w:r>
      <w:r w:rsidR="00334841" w:rsidRPr="004B0BC2">
        <w:rPr>
          <w:rFonts w:asciiTheme="minorHAnsi" w:hAnsiTheme="minorHAnsi" w:cstheme="minorHAnsi"/>
          <w:sz w:val="22"/>
          <w:szCs w:val="22"/>
        </w:rPr>
        <w:t>nflamm</w:t>
      </w:r>
      <w:r w:rsidR="003E1EF6" w:rsidRPr="004B0BC2">
        <w:rPr>
          <w:rFonts w:asciiTheme="minorHAnsi" w:hAnsiTheme="minorHAnsi" w:cstheme="minorHAnsi"/>
          <w:sz w:val="22"/>
          <w:szCs w:val="22"/>
        </w:rPr>
        <w:t>a</w:t>
      </w:r>
      <w:r w:rsidR="00334841" w:rsidRPr="004B0BC2">
        <w:rPr>
          <w:rFonts w:asciiTheme="minorHAnsi" w:hAnsiTheme="minorHAnsi" w:cstheme="minorHAnsi"/>
          <w:sz w:val="22"/>
          <w:szCs w:val="22"/>
        </w:rPr>
        <w:t>tory properties and</w:t>
      </w:r>
      <w:r>
        <w:rPr>
          <w:rFonts w:asciiTheme="minorHAnsi" w:hAnsiTheme="minorHAnsi" w:cstheme="minorHAnsi"/>
          <w:sz w:val="22"/>
          <w:szCs w:val="22"/>
        </w:rPr>
        <w:t xml:space="preserve"> which, therefore,</w:t>
      </w:r>
      <w:r w:rsidR="00334841" w:rsidRPr="004B0BC2">
        <w:rPr>
          <w:rFonts w:asciiTheme="minorHAnsi" w:hAnsiTheme="minorHAnsi" w:cstheme="minorHAnsi"/>
          <w:sz w:val="22"/>
          <w:szCs w:val="22"/>
        </w:rPr>
        <w:t xml:space="preserve"> limit the</w:t>
      </w:r>
      <w:r w:rsidR="00334841" w:rsidRPr="004B0BC2">
        <w:rPr>
          <w:rFonts w:asciiTheme="minorHAnsi" w:hAnsiTheme="minorHAnsi" w:cstheme="minorHAnsi"/>
          <w:sz w:val="22"/>
          <w:szCs w:val="22"/>
          <w:shd w:val="clear" w:color="auto" w:fill="FFFFFF"/>
        </w:rPr>
        <w:t xml:space="preserve"> host immune response to pathogens</w:t>
      </w:r>
      <w:r w:rsidR="003E1EF6"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10.1111/j.1749-6632.1999.tb07667.x","ISSN":"00778923","PMID":"10415638","author":[{"dropping-particle":"","family":"Agostino","given":"P.","non-dropping-particle":"","parse-names":false,"suffix":""},{"dropping-particle":"","family":"Milano","given":"S.","non-dropping-particle":"","parse-names":false,"suffix":""},{"dropping-particle":"","family":"Barbera","given":"C.","non-dropping-particle":"","parse-names":false,"suffix":""},{"dropping-particle":"","family":"Bella","given":"G.","non-dropping-particle":"Di","parse-names":false,"suffix":""},{"dropping-particle":"","family":"Rosa","given":"M.","non-dropping-particle":"La","parse-names":false,"suffix":""},{"dropping-particle":"","family":"Ferlazzo","given":"V.","non-dropping-particle":"","parse-names":false,"suffix":""},{"dropping-particle":"","family":"Farruggio","given":"R.","non-dropping-particle":"","parse-names":false,"suffix":""},{"dropping-particle":"","family":"Miceli","given":"D. M.","non-dropping-particle":"","parse-names":false,"suffix":""},{"dropping-particle":"","family":"Miele","given":"M.","non-dropping-particle":"","parse-names":false,"suffix":""},{"dropping-particle":"","family":"Castagnetta","given":"L.","non-dropping-particle":"","parse-names":false,"suffix":""},{"dropping-particle":"","family":"Cillari","given":"Enrico","non-dropping-particle":"","parse-names":false,"suffix":""}],"container-title":"Annals of the New York Academy of Sciences","id":"ITEM-1","issue":"1","issued":{"date-parts":[["1999"]]},"page":"426-429","title":"Sex hormones modulate inflammatory mediators produced by macrophages","type":"article-journal","volume":"876"},"uris":["http://www.mendeley.com/documents/?uuid=673e9d52-1238-4699-b1b1-44d9e64dd9ef"]}],"mendeley":{"formattedCitation":"(134)","plainTextFormattedCitation":"(134)","previouslyFormattedCitation":"(134)"},"properties":{"noteIndex":0},"schema":"https://github.com/citation-style-language/schema/raw/master/csl-citation.json"}</w:instrText>
      </w:r>
      <w:r w:rsidR="003E1EF6"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(134)</w:t>
      </w:r>
      <w:r w:rsidR="003E1EF6" w:rsidRPr="004B0BC2">
        <w:rPr>
          <w:rFonts w:asciiTheme="minorHAnsi" w:hAnsiTheme="minorHAnsi" w:cstheme="minorHAnsi"/>
          <w:sz w:val="22"/>
          <w:szCs w:val="22"/>
          <w:shd w:val="clear" w:color="auto" w:fill="FFFFFF"/>
        </w:rPr>
        <w:fldChar w:fldCharType="end"/>
      </w:r>
      <w:r w:rsidR="003E1EF6"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{"citationItems":[{"id":"ITEM-1","itemData":{"DOI":"10.1615/critrevimmunol.v32.i1.30","ISSN":"10408401","PMID":"22428854","abstract":"Interleukin 10 (IL-10) is a cytokine with potent anti-inflammatory properties that plays a central role in limiting host immune response to pathogens, thereby preventing damage to the host and maintaining normal tissue homeostasis. Dysregulation of IL-10 is associated with enhanced immunopathology in response to infection as well as increased risk for development of many autoimmune diseases. Thus a fundamental understanding of IL-10 gene expression is critical for our comprehension of disease progression and resolution of host inflammatory response. In this review, we discuss modes of regulation of IL-10 gene expression in immune effector cell types, including signal transduction, epigenetics, promoter architecture, and post-transcriptional regulation, and how aberrant regulation contributes to immunopathology and disease progression. © 2012 by Begell House, Inc.","author":[{"dropping-particle":"","family":"Iyer","given":"Shankar Subramanian","non-dropping-particle":"","parse-names":false,"suffix":""},{"dropping-particle":"","family":"Cheng","given":"Genhong","non-dropping-particle":"","parse-names":false,"suffix":""}],"container-title":"Critical Reviews in Immunology","id":"ITEM-1","issue":"1","issued":{"date-parts":[["2012"]]},"page":"23–63","title":"Role of interleukin 10 transcriptional regulation in inflammation and autoimmune disease","type":"article-journal","volume":"32"},"uris":["http://www.mendeley.com/documents/?uuid=9c841548-0a81-4221-aad9-62637ec5517a"]}],"mendeley":{"formattedCitation":"(135)","plainTextFormattedCitation":"(135)","previouslyFormattedCitation":"(135)"},"properties":{"noteIndex":0},"schema":"https://github.com/citation-style-language/schema/raw/master/csl-citation.json"}</w:instrText>
      </w:r>
      <w:r w:rsidR="003E1EF6"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(135)</w:t>
      </w:r>
      <w:r w:rsidR="003E1EF6"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t>.</w:t>
      </w:r>
      <w:r w:rsidR="003C11E1">
        <w:rPr>
          <w:rFonts w:asciiTheme="minorHAnsi" w:hAnsiTheme="minorHAnsi" w:cstheme="minorHAnsi"/>
          <w:sz w:val="22"/>
          <w:szCs w:val="22"/>
        </w:rPr>
        <w:t xml:space="preserve"> </w:t>
      </w:r>
      <w:r w:rsidR="00334841" w:rsidRPr="004B0BC2">
        <w:rPr>
          <w:rFonts w:asciiTheme="minorHAnsi" w:hAnsiTheme="minorHAnsi" w:cstheme="minorHAnsi"/>
          <w:sz w:val="22"/>
          <w:szCs w:val="22"/>
        </w:rPr>
        <w:t>Furthermore, testosterone has been observed to reduce numbers of CD8</w:t>
      </w:r>
      <w:r w:rsidR="00334841" w:rsidRPr="00500FBD">
        <w:rPr>
          <w:rFonts w:asciiTheme="minorHAnsi" w:hAnsiTheme="minorHAnsi" w:cstheme="minorHAnsi"/>
          <w:sz w:val="22"/>
          <w:szCs w:val="22"/>
          <w:vertAlign w:val="superscript"/>
        </w:rPr>
        <w:t>+</w:t>
      </w:r>
      <w:r>
        <w:rPr>
          <w:rFonts w:asciiTheme="minorHAnsi" w:hAnsiTheme="minorHAnsi" w:cstheme="minorHAnsi"/>
          <w:sz w:val="22"/>
          <w:szCs w:val="22"/>
        </w:rPr>
        <w:t xml:space="preserve"> </w:t>
      </w:r>
      <w:r w:rsidR="00334841" w:rsidRPr="004B0BC2">
        <w:rPr>
          <w:rFonts w:asciiTheme="minorHAnsi" w:hAnsiTheme="minorHAnsi" w:cstheme="minorHAnsi"/>
          <w:sz w:val="22"/>
          <w:szCs w:val="22"/>
        </w:rPr>
        <w:t>T</w:t>
      </w:r>
      <w:r>
        <w:rPr>
          <w:rFonts w:asciiTheme="minorHAnsi" w:hAnsiTheme="minorHAnsi" w:cstheme="minorHAnsi"/>
          <w:sz w:val="22"/>
          <w:szCs w:val="22"/>
        </w:rPr>
        <w:t xml:space="preserve"> </w:t>
      </w:r>
      <w:r w:rsidR="00334841" w:rsidRPr="004B0BC2">
        <w:rPr>
          <w:rFonts w:asciiTheme="minorHAnsi" w:hAnsiTheme="minorHAnsi" w:cstheme="minorHAnsi"/>
          <w:sz w:val="22"/>
          <w:szCs w:val="22"/>
        </w:rPr>
        <w:t>cells</w:t>
      </w:r>
      <w:r w:rsidR="00334841"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{"citationItems":[{"id":"ITEM-1","itemData":{"DOI":"10.1038/nri.2016.90","abstract":"Sex is a biological variable that affects immune responses to both self and foreign antigens (for example, those from fungi, viruses, bacteria, parasites and allergens). The sex of an individual is defined by the differential organization of chromosomes, reproductive organs, and sex steroid levels; it is distinct from gender, which includes behaviours and activities that are determined by society or culture in humans. Male and female differ­ ences in immunological responses may be influenced by both sex and gender, with sex contributing to physio logi­ cal and anatomical differences that influence exposure, recognition, clearance, and even transmission of micro­ organisms. By contrast, gender may reflect behaviours that influence exposure to microorganisms, access to healthcare or health­seeking behaviours that affect the course of infection. Although we acknowledge that both sex and gender influence the immune response, the focus of this Review will be on the biological factors that influence immunological differences between the sexes. Despite a growing body of literature illustrating sex­based differences in immune responses, immunol­ ogy ranks the lowest of ten biological disciplines for reporting the sex of animal or human subjects in pub­ lished papers, with fewer than 10% of articles analysing data by sex 1. The field of sex­based biology is under­ going a revolution, in which research funding agencies and journals have launched policies to promote greater consideration, reporting and analyses of sex and gender in the biomedical sciences in an effort to improve rigour and reproducibility (BOX 1). It is increasingly important to acknowledge sex dif­ ferences in immune responses when we consider the marked differences seen between males in females in various diseases. For instance, 80% of autoimmune dis­ ease occurs in females, women with acute HIV infection have 40% less viral RNA in their blood than men, men show an almost twofold higher risk of death from malignant cancer than women and antibody responses to seasonal influenza vaccines are consistently at least twice as strong in women than men. Generally, adult females mount stronger innate and adaptive immune responses than males. This results in faster clearance of pathogens and greater vaccine efficacy in females than in males but also contributes to their increased suscepti­ bility to inflammatory and autoimmune diseases. In this Review, we explain how these immunological differences betwee…","author":[{"dropping-particle":"","family":"Klein","given":"Sabra L","non-dropping-particle":"","parse-names":false,"suffix":""},{"dropping-particle":"","family":"Flanagan","given":"Katie L","non-dropping-particle":"","parse-names":false,"suffix":""}],"container-title":"Nature Reviews Immunology","id":"ITEM-1","issued":{"date-parts":[["2016"]]},"page":"626–638","title":"Sex differences in immune responses","type":"article-journal","volume":"16"},"uris":["http://www.mendeley.com/documents/?uuid=f006013e-8812-39ab-8932-e7e88fe64b91"]}],"mendeley":{"formattedCitation":"(133)","plainTextFormattedCitation":"(133)","previouslyFormattedCitation":"(133)"},"properties":{"noteIndex":0},"schema":"https://github.com/citation-style-language/schema/raw/master/csl-citation.json"}</w:instrText>
      </w:r>
      <w:r w:rsidR="00334841"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(133)</w:t>
      </w:r>
      <w:r w:rsidR="00334841"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w:t>
      </w:r>
      <w:r w:rsidR="00FF407F" w:rsidRPr="004B0BC2">
        <w:rPr>
          <w:rFonts w:asciiTheme="minorHAnsi" w:hAnsiTheme="minorHAnsi" w:cstheme="minorHAnsi"/>
          <w:sz w:val="22"/>
          <w:szCs w:val="22"/>
        </w:rPr>
        <w:t xml:space="preserve"> </w:t>
      </w:r>
      <w:r>
        <w:rPr>
          <w:rFonts w:asciiTheme="minorHAnsi" w:hAnsiTheme="minorHAnsi" w:cstheme="minorHAnsi"/>
          <w:sz w:val="22"/>
          <w:szCs w:val="22"/>
        </w:rPr>
        <w:t>In accordance with these data, m</w:t>
      </w:r>
      <w:r w:rsidR="00334841" w:rsidRPr="004B0BC2">
        <w:rPr>
          <w:rFonts w:asciiTheme="minorHAnsi" w:hAnsiTheme="minorHAnsi" w:cstheme="minorHAnsi"/>
          <w:sz w:val="22"/>
          <w:szCs w:val="22"/>
        </w:rPr>
        <w:t>en with</w:t>
      </w:r>
      <w:r w:rsidR="00F40CFE" w:rsidRPr="004B0BC2">
        <w:rPr>
          <w:rFonts w:asciiTheme="minorHAnsi" w:hAnsiTheme="minorHAnsi" w:cstheme="minorHAnsi"/>
          <w:sz w:val="22"/>
          <w:szCs w:val="22"/>
        </w:rPr>
        <w:t xml:space="preserve"> idiopathic</w:t>
      </w:r>
      <w:r w:rsidR="00334841" w:rsidRPr="004B0BC2">
        <w:rPr>
          <w:rFonts w:asciiTheme="minorHAnsi" w:hAnsiTheme="minorHAnsi" w:cstheme="minorHAnsi"/>
          <w:sz w:val="22"/>
          <w:szCs w:val="22"/>
        </w:rPr>
        <w:t xml:space="preserve"> </w:t>
      </w:r>
      <w:r w:rsidR="006F43AA" w:rsidRPr="004B0BC2">
        <w:rPr>
          <w:rFonts w:asciiTheme="minorHAnsi" w:hAnsiTheme="minorHAnsi" w:cstheme="minorHAnsi"/>
          <w:sz w:val="22"/>
          <w:szCs w:val="22"/>
        </w:rPr>
        <w:t>hypogonadotropic</w:t>
      </w:r>
      <w:r w:rsidR="00334841" w:rsidRPr="004B0BC2">
        <w:rPr>
          <w:rFonts w:asciiTheme="minorHAnsi" w:hAnsiTheme="minorHAnsi" w:cstheme="minorHAnsi"/>
          <w:sz w:val="22"/>
          <w:szCs w:val="22"/>
        </w:rPr>
        <w:t xml:space="preserve"> hypogonadism </w:t>
      </w:r>
      <w:r w:rsidR="00F40CFE" w:rsidRPr="004B0BC2">
        <w:rPr>
          <w:rFonts w:asciiTheme="minorHAnsi" w:hAnsiTheme="minorHAnsi" w:cstheme="minorHAnsi"/>
          <w:sz w:val="22"/>
          <w:szCs w:val="22"/>
        </w:rPr>
        <w:t xml:space="preserve">have been reported </w:t>
      </w:r>
      <w:r w:rsidR="00334841" w:rsidRPr="004B0BC2">
        <w:rPr>
          <w:rFonts w:asciiTheme="minorHAnsi" w:hAnsiTheme="minorHAnsi" w:cstheme="minorHAnsi"/>
          <w:sz w:val="22"/>
          <w:szCs w:val="22"/>
        </w:rPr>
        <w:t>have</w:t>
      </w:r>
      <w:r w:rsidR="00AE7ACC" w:rsidRPr="004B0BC2">
        <w:rPr>
          <w:rFonts w:asciiTheme="minorHAnsi" w:hAnsiTheme="minorHAnsi" w:cstheme="minorHAnsi"/>
          <w:sz w:val="22"/>
          <w:szCs w:val="22"/>
        </w:rPr>
        <w:t xml:space="preserve"> </w:t>
      </w:r>
      <w:r w:rsidR="00334841" w:rsidRPr="004B0BC2">
        <w:rPr>
          <w:rFonts w:asciiTheme="minorHAnsi" w:hAnsiTheme="minorHAnsi" w:cstheme="minorHAnsi"/>
          <w:sz w:val="22"/>
          <w:szCs w:val="22"/>
        </w:rPr>
        <w:t>significantly higher</w:t>
      </w:r>
      <w:r>
        <w:rPr>
          <w:rFonts w:asciiTheme="minorHAnsi" w:hAnsiTheme="minorHAnsi" w:cstheme="minorHAnsi"/>
          <w:sz w:val="22"/>
          <w:szCs w:val="22"/>
        </w:rPr>
        <w:t xml:space="preserve"> serum levels of the proinflammatory cytokines</w:t>
      </w:r>
      <w:r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{"citationItems":[{"id":"ITEM-1","itemData":{"DOI":"10.4172/2576-3881.1000109","abstract":"Interleukin 2 (IL-2) is a monomeric glycoprotein that is primarily produced by activated CD4+ T cells, CD8+ T cells and dendritic cells. It is characterized as a proinflammatory cytokine that is secreted by Th1 cells. IL-2 plays a central role in the activation of regulatory T cells to produce the cytokines tumor necrosis factor alpha (TNF-α) and interferon gamma (IFN-γ). IL-2 may also enhance the cytolytic activity of natural killer cells, thereby ensuring their significance in the control of the immune response, and effectively participate in the pathogenesis of several pathological conditions, such as cancer and metabolic, infectious, autoimmune and inflammatory diseases. We emphasize the importance of studies of IL-2 and discuss perspectives resulting from our increasing understanding of genetic diversity and its role in the immune response.","author":[{"dropping-particle":"","family":"Capobianco","given":"Marcela Petrolini","non-dropping-particle":"","parse-names":false,"suffix":""},{"dropping-particle":"","family":"Cassiano","given":"Gustavo Capatti","non-dropping-particle":"","parse-names":false,"suffix":""},{"dropping-particle":"","family":"Cruz Furini","given":"Adriana Antonia","non-dropping-particle":"da","parse-names":false,"suffix":""},{"dropping-particle":"","family":"Storti de Melo","given":"Luciane Moreno","non-dropping-particle":"","parse-names":false,"suffix":""},{"dropping-particle":"","family":"Bonini Domingos","given":"Claudia Regina","non-dropping-particle":"","parse-names":false,"suffix":""},{"dropping-particle":"","family":"Dantas Machado","given":"Ricardo Luiz","non-dropping-particle":"","parse-names":false,"suffix":""}],"container-title":"Journal of Cytokine Biology","id":"ITEM-1","issue":"2","issued":{"date-parts":[["2016"]]},"page":"1-4","title":"Human Interleukin 2 (IL-2) Promotion of Immune Regulation and Clinical Outcomes: A Review","type":"article-journal","volume":"1"},"uris":["http://www.mendeley.com/documents/?uuid=706a2543-5af5-45c3-b973-fd0a3e81a19b"]}],"mendeley":{"formattedCitation":"(136)","plainTextFormattedCitation":"(136)","previouslyFormattedCitation":"(136)"},"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(136)</w:t>
      </w:r>
      <w:r w:rsidRPr="004B0BC2">
        <w:rPr>
          <w:rFonts w:asciiTheme="minorHAnsi" w:hAnsiTheme="minorHAnsi" w:cstheme="minorHAnsi"/>
          <w:sz w:val="22"/>
          <w:szCs w:val="22"/>
          <w:shd w:val="clear" w:color="auto" w:fill="FFFFFF"/>
        </w:rPr>
        <w:fldChar w:fldCharType="end"/>
      </w:r>
      <w:r>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rPr>
        <w:t>IL-4 (13.19pg/ml v</w:t>
      </w:r>
      <w:r>
        <w:rPr>
          <w:rFonts w:asciiTheme="minorHAnsi" w:hAnsiTheme="minorHAnsi" w:cstheme="minorHAnsi"/>
          <w:sz w:val="22"/>
          <w:szCs w:val="22"/>
        </w:rPr>
        <w:t>ersu</w:t>
      </w:r>
      <w:r w:rsidR="00334841" w:rsidRPr="004B0BC2">
        <w:rPr>
          <w:rFonts w:asciiTheme="minorHAnsi" w:hAnsiTheme="minorHAnsi" w:cstheme="minorHAnsi"/>
          <w:sz w:val="22"/>
          <w:szCs w:val="22"/>
        </w:rPr>
        <w:t xml:space="preserve">s 5.33pg/ml, </w:t>
      </w:r>
      <w:r w:rsidR="00FF407F" w:rsidRPr="004B0BC2">
        <w:rPr>
          <w:rFonts w:asciiTheme="minorHAnsi" w:hAnsiTheme="minorHAnsi" w:cstheme="minorHAnsi"/>
          <w:sz w:val="22"/>
          <w:szCs w:val="22"/>
        </w:rPr>
        <w:t>p</w:t>
      </w:r>
      <w:r w:rsidR="00334841" w:rsidRPr="004B0BC2">
        <w:rPr>
          <w:rFonts w:asciiTheme="minorHAnsi" w:hAnsiTheme="minorHAnsi" w:cstheme="minorHAnsi"/>
          <w:sz w:val="22"/>
          <w:szCs w:val="22"/>
        </w:rPr>
        <w:t xml:space="preserve">&lt;0.001) and </w:t>
      </w:r>
      <w:r w:rsidR="00334841" w:rsidRPr="004B0BC2">
        <w:rPr>
          <w:rFonts w:asciiTheme="minorHAnsi" w:hAnsiTheme="minorHAnsi" w:cstheme="minorHAnsi"/>
          <w:sz w:val="22"/>
          <w:szCs w:val="22"/>
          <w:shd w:val="clear" w:color="auto" w:fill="FFFFFF"/>
        </w:rPr>
        <w:t>IL-2 (21.22pg/ml v</w:t>
      </w:r>
      <w:r>
        <w:rPr>
          <w:rFonts w:asciiTheme="minorHAnsi" w:hAnsiTheme="minorHAnsi" w:cstheme="minorHAnsi"/>
          <w:sz w:val="22"/>
          <w:szCs w:val="22"/>
          <w:shd w:val="clear" w:color="auto" w:fill="FFFFFF"/>
        </w:rPr>
        <w:t>ersu</w:t>
      </w:r>
      <w:r w:rsidR="00334841" w:rsidRPr="004B0BC2">
        <w:rPr>
          <w:rFonts w:asciiTheme="minorHAnsi" w:hAnsiTheme="minorHAnsi" w:cstheme="minorHAnsi"/>
          <w:sz w:val="22"/>
          <w:szCs w:val="22"/>
          <w:shd w:val="clear" w:color="auto" w:fill="FFFFFF"/>
        </w:rPr>
        <w:t xml:space="preserve">s 13.01pg/ml, </w:t>
      </w:r>
      <w:r w:rsidR="00FF407F"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 xml:space="preserve">&lt;0.001) compared </w:t>
      </w:r>
      <w:r>
        <w:rPr>
          <w:rFonts w:asciiTheme="minorHAnsi" w:hAnsiTheme="minorHAnsi" w:cstheme="minorHAnsi"/>
          <w:sz w:val="22"/>
          <w:szCs w:val="22"/>
          <w:shd w:val="clear" w:color="auto" w:fill="FFFFFF"/>
        </w:rPr>
        <w:t>with</w:t>
      </w:r>
      <w:r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patients with a normal HPG axis </w:t>
      </w:r>
      <w:r w:rsidR="00F40CFE"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{"citationItems":[{"id":"ITEM-1","itemData":{"DOI":"10.1046/j.1365-2249.2003.02141.x","ISSN":"00099104","PMID":"12699415","abstract":"In the present study, we aimed to investigate the effects of testosterone deficiency and gonadotropin therapy on the in vitro production of tumour necrosis factor-α (TNF-α) and interleukin-1β (IL-1β) by peripheral blood mononuclear cells (PBMCs) from patients with idiopathic hypogonadotropic hypogonadism (IHH) in order to elucidate the modulatory role of androgen in cytokine production. Fifteen male patients with untreated IHH and 15 age-matched healthy male subjects were enrolled in the study. Serum follicle-stimulating hormone (FSH), luteinizing hormone (LH), free testosterone (FT), sex hormone binding globulin (SHBG), prolactin, and IL-2 and IL-4 levels were also measured. In unstimulated cultures, IL-1β and TNF-α secretion were not significantly different between patient and control groups. However, after stimulation with lipopolysaccharide (LPS), secretion of IL-1β and TNF-α was significantly higher in cultures from untreated patients with IHH than in control subjects. Mean FSH, LH and FT levels were significantly lower, whereas SHBG, IL-2 and IL-4 levels were significantly higher in patients with IHH compared than in controls. In patients with IHH, FT negatively affected the serum levels of IL-4 and in vitro secretion of IL-1β and TNF-α. In addition, IL-2 and IL-4 affected the in vitro secretion of IL-1β in a positive manner. Gonadotropin therapy decreased both TNF-α and IL-1β in PBMCs from patients with IHH. The levels of serum IL-2 and IL-4 were also decreased by therapy. In conclusion, in the present study, gonadotropin treatment restored the in vitro production of IL-1β and TNF-α by PBMCs from patients with IHH, suggesting that androgen modulates proinflammatory cytokine production, at least directly through its effects on PBMCs. It seems probable that this effect plays an important role in the immunosuppressive action of androgens.","author":[{"dropping-particle":"","family":"Musabak","given":"U.","non-dropping-particle":"","parse-names":false,"suffix":""},{"dropping-particle":"","family":"Bolu","given":"E.","non-dropping-particle":"","parse-names":false,"suffix":""},{"dropping-particle":"","family":"Ozata","given":"M.","non-dropping-particle":"","parse-names":false,"suffix":""},{"dropping-particle":"","family":"Oktenli","given":"C.","non-dropping-particle":"","parse-names":false,"suffix":""},{"dropping-particle":"","family":"Sengul","given":"A.","non-dropping-particle":"","parse-names":false,"suffix":""},{"dropping-particle":"","family":"Inal","given":"A.","non-dropping-particle":"","parse-names":false,"suffix":""},{"dropping-particle":"","family":"Yesilova","given":"Z.","non-dropping-particle":"","parse-names":false,"suffix":""},{"dropping-particle":"","family":"Kilciler","given":"G.","non-dropping-particle":"","parse-names":false,"suffix":""},{"dropping-particle":"","family":"Ozdemir","given":"I. C.","non-dropping-particle":"","parse-names":false,"suffix":""},{"dropping-particle":"","family":"Kocar","given":"I. H.","non-dropping-particle":"","parse-names":false,"suffix":""}],"container-title":"Clinical and Experimental Immunology","id":"ITEM-1","issue":"2","issued":{"date-parts":[["2003"]]},"page":"265–270","title":"Gonadotropin treatment restores in vitro interleukin-1β and tumour necrosis factor-α production by stimulated peripheral blood mononuclear cells from patients with idiopathic hypogonadotropic hypogonadism","type":"article-journal","volume":"132"},"uris":["http://www.mendeley.com/documents/?uuid=5e001904-d483-4b52-ac58-3d15bae6e0d1"]}],"mendeley":{"formattedCitation":"(137)","plainTextFormattedCitation":"(137)","previouslyFormattedCitation":"(137)"},"properties":{"noteIndex":0},"schema":"https://github.com/citation-style-language/schema/raw/master/csl-citation.json"}</w:instrText>
      </w:r>
      <w:r w:rsidR="00F40CFE"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(137)</w:t>
      </w:r>
      <w:r w:rsidR="00F40CFE"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t>. T</w:t>
      </w:r>
      <w:r w:rsidR="00CE5674">
        <w:rPr>
          <w:rFonts w:asciiTheme="minorHAnsi" w:hAnsiTheme="minorHAnsi" w:cstheme="minorHAnsi"/>
          <w:sz w:val="22"/>
          <w:szCs w:val="22"/>
          <w:shd w:val="clear" w:color="auto" w:fill="FFFFFF"/>
        </w:rPr>
        <w:t>reatment with</w:t>
      </w:r>
      <w:r w:rsidR="00334841" w:rsidRPr="004B0BC2">
        <w:rPr>
          <w:rFonts w:asciiTheme="minorHAnsi" w:hAnsiTheme="minorHAnsi" w:cstheme="minorHAnsi"/>
          <w:sz w:val="22"/>
          <w:szCs w:val="22"/>
          <w:shd w:val="clear" w:color="auto" w:fill="FFFFFF"/>
        </w:rPr>
        <w:t xml:space="preserve"> </w:t>
      </w:r>
      <w:r w:rsidR="00CE5674">
        <w:rPr>
          <w:rFonts w:asciiTheme="minorHAnsi" w:hAnsiTheme="minorHAnsi" w:cstheme="minorHAnsi"/>
          <w:sz w:val="22"/>
          <w:szCs w:val="22"/>
          <w:shd w:val="clear" w:color="auto" w:fill="FFFFFF"/>
        </w:rPr>
        <w:t>human chorionic gonadotrophin (</w:t>
      </w:r>
      <w:r w:rsidR="00334841" w:rsidRPr="004B0BC2">
        <w:rPr>
          <w:rFonts w:asciiTheme="minorHAnsi" w:hAnsiTheme="minorHAnsi" w:cstheme="minorHAnsi"/>
          <w:sz w:val="22"/>
          <w:szCs w:val="22"/>
          <w:shd w:val="clear" w:color="auto" w:fill="FFFFFF"/>
        </w:rPr>
        <w:t>hCG</w:t>
      </w:r>
      <w:r w:rsidR="00CE5674">
        <w:rPr>
          <w:rFonts w:asciiTheme="minorHAnsi" w:hAnsiTheme="minorHAnsi" w:cstheme="minorHAnsi"/>
          <w:sz w:val="22"/>
          <w:szCs w:val="22"/>
          <w:shd w:val="clear" w:color="auto" w:fill="FFFFFF"/>
        </w:rPr>
        <w:t>)</w:t>
      </w:r>
      <w:r w:rsidR="00334841" w:rsidRPr="004B0BC2">
        <w:rPr>
          <w:rFonts w:asciiTheme="minorHAnsi" w:hAnsiTheme="minorHAnsi" w:cstheme="minorHAnsi"/>
          <w:sz w:val="22"/>
          <w:szCs w:val="22"/>
          <w:shd w:val="clear" w:color="auto" w:fill="FFFFFF"/>
        </w:rPr>
        <w:t xml:space="preserve"> and </w:t>
      </w:r>
      <w:r w:rsidR="00CE5674" w:rsidRPr="00CE5674">
        <w:rPr>
          <w:rFonts w:asciiTheme="minorHAnsi" w:hAnsiTheme="minorHAnsi" w:cstheme="minorHAnsi"/>
          <w:sz w:val="22"/>
          <w:szCs w:val="22"/>
          <w:shd w:val="clear" w:color="auto" w:fill="FFFFFF"/>
        </w:rPr>
        <w:t>human menopausal gonadotropin</w:t>
      </w:r>
      <w:r w:rsidR="00CE5674">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hMG</w:t>
      </w:r>
      <w:r w:rsidR="00CE5674">
        <w:rPr>
          <w:rFonts w:asciiTheme="minorHAnsi" w:hAnsiTheme="minorHAnsi" w:cstheme="minorHAnsi"/>
          <w:sz w:val="22"/>
          <w:szCs w:val="22"/>
          <w:shd w:val="clear" w:color="auto" w:fill="FFFFFF"/>
        </w:rPr>
        <w:t xml:space="preserve">) in these patients </w:t>
      </w:r>
      <w:r w:rsidR="00334841" w:rsidRPr="004B0BC2">
        <w:rPr>
          <w:rFonts w:asciiTheme="minorHAnsi" w:hAnsiTheme="minorHAnsi" w:cstheme="minorHAnsi"/>
          <w:sz w:val="22"/>
          <w:szCs w:val="22"/>
          <w:shd w:val="clear" w:color="auto" w:fill="FFFFFF"/>
        </w:rPr>
        <w:t>corresponded to an increase in testosterone (1.10pg/ml v</w:t>
      </w:r>
      <w:r w:rsidR="00CE5674">
        <w:rPr>
          <w:rFonts w:asciiTheme="minorHAnsi" w:hAnsiTheme="minorHAnsi" w:cstheme="minorHAnsi"/>
          <w:sz w:val="22"/>
          <w:szCs w:val="22"/>
          <w:shd w:val="clear" w:color="auto" w:fill="FFFFFF"/>
        </w:rPr>
        <w:t>ersu</w:t>
      </w:r>
      <w:r w:rsidR="00334841" w:rsidRPr="004B0BC2">
        <w:rPr>
          <w:rFonts w:asciiTheme="minorHAnsi" w:hAnsiTheme="minorHAnsi" w:cstheme="minorHAnsi"/>
          <w:sz w:val="22"/>
          <w:szCs w:val="22"/>
          <w:shd w:val="clear" w:color="auto" w:fill="FFFFFF"/>
        </w:rPr>
        <w:t xml:space="preserve">s 25.30pg/ml, </w:t>
      </w:r>
      <w:r w:rsidR="00FF407F"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 xml:space="preserve">&lt;0.001) and significant reductions in </w:t>
      </w:r>
      <w:r w:rsidR="006F4406" w:rsidRPr="004B0BC2">
        <w:rPr>
          <w:rFonts w:asciiTheme="minorHAnsi" w:hAnsiTheme="minorHAnsi" w:cstheme="minorHAnsi"/>
          <w:sz w:val="22"/>
          <w:szCs w:val="22"/>
          <w:shd w:val="clear" w:color="auto" w:fill="FFFFFF"/>
        </w:rPr>
        <w:t>IL-2 and IL-4</w:t>
      </w:r>
      <w:r w:rsidR="00CE5674">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(&lt;0.001)</w:t>
      </w:r>
      <w:r w:rsidR="00954DC5">
        <w:rPr>
          <w:rFonts w:asciiTheme="minorHAnsi" w:hAnsiTheme="minorHAnsi" w:cstheme="minorHAnsi"/>
          <w:sz w:val="22"/>
          <w:szCs w:val="22"/>
          <w:shd w:val="clear" w:color="auto" w:fill="FFFFFF"/>
        </w:rPr>
        <w:t xml:space="preserve"> when comparing pre</w:t>
      </w:r>
      <w:r w:rsidR="00215887">
        <w:rPr>
          <w:rFonts w:asciiTheme="minorHAnsi" w:hAnsiTheme="minorHAnsi" w:cstheme="minorHAnsi"/>
          <w:sz w:val="22"/>
          <w:szCs w:val="22"/>
          <w:shd w:val="clear" w:color="auto" w:fill="FFFFFF"/>
        </w:rPr>
        <w:t>-</w:t>
      </w:r>
      <w:r w:rsidR="00954DC5">
        <w:rPr>
          <w:rFonts w:asciiTheme="minorHAnsi" w:hAnsiTheme="minorHAnsi" w:cstheme="minorHAnsi"/>
          <w:sz w:val="22"/>
          <w:szCs w:val="22"/>
          <w:shd w:val="clear" w:color="auto" w:fill="FFFFFF"/>
        </w:rPr>
        <w:t>treatment and post</w:t>
      </w:r>
      <w:r w:rsidR="00215887">
        <w:rPr>
          <w:rFonts w:asciiTheme="minorHAnsi" w:hAnsiTheme="minorHAnsi" w:cstheme="minorHAnsi"/>
          <w:sz w:val="22"/>
          <w:szCs w:val="22"/>
          <w:shd w:val="clear" w:color="auto" w:fill="FFFFFF"/>
        </w:rPr>
        <w:t>-</w:t>
      </w:r>
      <w:r w:rsidR="00954DC5">
        <w:rPr>
          <w:rFonts w:asciiTheme="minorHAnsi" w:hAnsiTheme="minorHAnsi" w:cstheme="minorHAnsi"/>
          <w:sz w:val="22"/>
          <w:szCs w:val="22"/>
          <w:shd w:val="clear" w:color="auto" w:fill="FFFFFF"/>
        </w:rPr>
        <w:t xml:space="preserve">treatment levels. </w:t>
      </w:r>
      <w:r w:rsidR="00F40CFE"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{"citationItems":[{"id":"ITEM-1","itemData":{"DOI":"10.1046/j.1365-2249.2003.02141.x","ISSN":"00099104","PMID":"12699415","abstract":"In the present study, we aimed to investigate the effects of testosterone deficiency and gonadotropin therapy on the in vitro production of tumour necrosis factor-α (TNF-α) and interleukin-1β (IL-1β) by peripheral blood mononuclear cells (PBMCs) from patients with idiopathic hypogonadotropic hypogonadism (IHH) in order to elucidate the modulatory role of androgen in cytokine production. Fifteen male patients with untreated IHH and 15 age-matched healthy male subjects were enrolled in the study. Serum follicle-stimulating hormone (FSH), luteinizing hormone (LH), free testosterone (FT), sex hormone binding globulin (SHBG), prolactin, and IL-2 and IL-4 levels were also measured. In unstimulated cultures, IL-1β and TNF-α secretion were not significantly different between patient and control groups. However, after stimulation with lipopolysaccharide (LPS), secretion of IL-1β and TNF-α was significantly higher in cultures from untreated patients with IHH than in control subjects. Mean FSH, LH and FT levels were significantly lower, whereas SHBG, IL-2 and IL-4 levels were significantly higher in patients with IHH compared than in controls. In patients with IHH, FT negatively affected the serum levels of IL-4 and in vitro secretion of IL-1β and TNF-α. In addition, IL-2 and IL-4 affected the in vitro secretion of IL-1β in a positive manner. Gonadotropin therapy decreased both TNF-α and IL-1β in PBMCs from patients with IHH. The levels of serum IL-2 and IL-4 were also decreased by therapy. In conclusion, in the present study, gonadotropin treatment restored the in vitro production of IL-1β and TNF-α by PBMCs from patients with IHH, suggesting that androgen modulates proinflammatory cytokine production, at least directly through its effects on PBMCs. It seems probable that this effect plays an important role in the immunosuppressive action of androgens.","author":[{"dropping-particle":"","family":"Musabak","given":"U.","non-dropping-particle":"","parse-names":false,"suffix":""},{"dropping-particle":"","family":"Bolu","given":"E.","non-dropping-particle":"","parse-names":false,"suffix":""},{"dropping-particle":"","family":"Ozata","given":"M.","non-dropping-particle":"","parse-names":false,"suffix":""},{"dropping-particle":"","family":"Oktenli","given":"C.","non-dropping-particle":"","parse-names":false,"suffix":""},{"dropping-particle":"","family":"Sengul","given":"A.","non-dropping-particle":"","parse-names":false,"suffix":""},{"dropping-particle":"","family":"Inal","given":"A.","non-dropping-particle":"","parse-names":false,"suffix":""},{"dropping-particle":"","family":"Yesilova","given":"Z.","non-dropping-particle":"","parse-names":false,"suffix":""},{"dropping-particle":"","family":"Kilciler","given":"G.","non-dropping-particle":"","parse-names":false,"suffix":""},{"dropping-particle":"","family":"Ozdemir","given":"I. C.","non-dropping-particle":"","parse-names":false,"suffix":""},{"dropping-particle":"","family":"Kocar","given":"I. H.","non-dropping-particle":"","parse-names":false,"suffix":""}],"container-title":"Clinical and Experimental Immunology","id":"ITEM-1","issue":"2","issued":{"date-parts":[["2003"]]},"page":"265–270","title":"Gonadotropin treatment restores in vitro interleukin-1β and tumour necrosis factor-α production by stimulated peripheral blood mononuclear cells from patients with idiopathic hypogonadotropic hypogonadism","type":"article-journal","volume":"132"},"uris":["http://www.mendeley.com/documents/?uuid=5e001904-d483-4b52-ac58-3d15bae6e0d1"]}],"mendeley":{"formattedCitation":"(137)","plainTextFormattedCitation":"(137)","previouslyFormattedCitation":"(137)"},"properties":{"noteIndex":0},"schema":"https://github.com/citation-style-language/schema/raw/master/csl-citation.json"}</w:instrText>
      </w:r>
      <w:r w:rsidR="00F40CFE"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(137)</w:t>
      </w:r>
      <w:r w:rsidR="00F40CFE" w:rsidRPr="004B0BC2">
        <w:rPr>
          <w:rFonts w:asciiTheme="minorHAnsi" w:hAnsiTheme="minorHAnsi" w:cstheme="minorHAnsi"/>
          <w:sz w:val="22"/>
          <w:szCs w:val="22"/>
          <w:shd w:val="clear" w:color="auto" w:fill="FFFFFF"/>
        </w:rPr>
        <w:fldChar w:fldCharType="end"/>
      </w:r>
      <w:r w:rsidR="00334841" w:rsidRPr="004B0BC2">
        <w:rPr>
          <w:rFonts w:asciiTheme="minorHAnsi" w:hAnsiTheme="minorHAnsi" w:cstheme="minorHAnsi"/>
          <w:sz w:val="22"/>
          <w:szCs w:val="22"/>
          <w:shd w:val="clear" w:color="auto" w:fill="FFFFFF"/>
        </w:rPr>
        <w:t xml:space="preserve">. </w:t>
      </w:r>
      <w:r w:rsidR="00CE5674">
        <w:rPr>
          <w:rFonts w:asciiTheme="minorHAnsi" w:hAnsiTheme="minorHAnsi" w:cstheme="minorHAnsi"/>
          <w:sz w:val="22"/>
          <w:szCs w:val="22"/>
          <w:shd w:val="clear" w:color="auto" w:fill="FFFFFF"/>
        </w:rPr>
        <w:t xml:space="preserve">In a </w:t>
      </w:r>
      <w:r w:rsidR="00334841" w:rsidRPr="004B0BC2">
        <w:rPr>
          <w:rFonts w:asciiTheme="minorHAnsi" w:hAnsiTheme="minorHAnsi" w:cstheme="minorHAnsi"/>
          <w:sz w:val="22"/>
          <w:szCs w:val="22"/>
          <w:shd w:val="clear" w:color="auto" w:fill="FFFFFF"/>
        </w:rPr>
        <w:t xml:space="preserve">randomised, single-blind, </w:t>
      </w:r>
      <w:r w:rsidR="00FF6C02" w:rsidRPr="004B0BC2">
        <w:rPr>
          <w:rFonts w:asciiTheme="minorHAnsi" w:hAnsiTheme="minorHAnsi" w:cstheme="minorHAnsi"/>
          <w:sz w:val="22"/>
          <w:szCs w:val="22"/>
          <w:shd w:val="clear" w:color="auto" w:fill="FFFFFF"/>
        </w:rPr>
        <w:t>placebo-controlled</w:t>
      </w:r>
      <w:r w:rsidR="00334841" w:rsidRPr="004B0BC2">
        <w:rPr>
          <w:rFonts w:asciiTheme="minorHAnsi" w:hAnsiTheme="minorHAnsi" w:cstheme="minorHAnsi"/>
          <w:sz w:val="22"/>
          <w:szCs w:val="22"/>
          <w:shd w:val="clear" w:color="auto" w:fill="FFFFFF"/>
        </w:rPr>
        <w:t xml:space="preserve"> crossover trial </w:t>
      </w:r>
      <w:r w:rsidR="00CE5674">
        <w:rPr>
          <w:rFonts w:asciiTheme="minorHAnsi" w:hAnsiTheme="minorHAnsi" w:cstheme="minorHAnsi"/>
          <w:sz w:val="22"/>
          <w:szCs w:val="22"/>
          <w:shd w:val="clear" w:color="auto" w:fill="FFFFFF"/>
        </w:rPr>
        <w:t>of</w:t>
      </w:r>
      <w:r w:rsidR="00CE5674"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testosterone replacement therapy</w:t>
      </w:r>
      <w:r w:rsidR="00F40CFE" w:rsidRPr="004B0BC2">
        <w:rPr>
          <w:rFonts w:asciiTheme="minorHAnsi" w:hAnsiTheme="minorHAnsi" w:cstheme="minorHAnsi"/>
          <w:sz w:val="22"/>
          <w:szCs w:val="22"/>
          <w:shd w:val="clear" w:color="auto" w:fill="FFFFFF"/>
        </w:rPr>
        <w:t xml:space="preserve"> (TRT)</w:t>
      </w:r>
      <w:r w:rsidR="00334841" w:rsidRPr="004B0BC2">
        <w:rPr>
          <w:rFonts w:asciiTheme="minorHAnsi" w:hAnsiTheme="minorHAnsi" w:cstheme="minorHAnsi"/>
          <w:sz w:val="22"/>
          <w:szCs w:val="22"/>
          <w:shd w:val="clear" w:color="auto" w:fill="FFFFFF"/>
        </w:rPr>
        <w:t xml:space="preserve"> versus placebo in 27 symptomatic hypogonadal men (total testosterone 2.2nmol/l)</w:t>
      </w:r>
      <w:r w:rsidR="00CE5674"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{"citationItems":[{"id":"ITEM-1","itemData":{"DOI":"10.1210/jc.2003-031069","ISSN":"0021972X","PMID":"15240608","abstract":"Testosterone has immune-modulating properties, and current in vitro evidence suggests that testosterone may suppress the expression of the proinflammatory cytokines TNFα, IL-1β, and IL-6 and potentiate the expression of the antiinflammatory eytokine IL-10. We report a randomized, single-blind, placebo-controlled, crossover study of testosterone replacement (Sustsnon 100) vs. placebo in 27 men (age, 62 ± 9 yr) with symptomatic androgen deficiency (total testosterone, 4.4 ± 1.2 nmol/liter; bioavailable testosterone, 2.4 ± 1.1 nmol/liter). Compared with placebo, testosterone induced reductions in TNFα (-3.1 ± 8.3 vs. 1.3 ± 5.2 pg/ml; P = 0.01) and IL-1β (-0.14 ± 0.32 vs. 0.18 ± 0.55 pg/ml; P = 0.08) and an increase in IL-10 (0.33 ± 1.8 vs. -1.1 ± 3.0 pg/mi; P = 0.01); the reductions of TNFα and IL-1β were positively correlated (rs = 0.588; P = 0.003). In addition, a significant reduction in total cholesterol was recorded with testosterone therapy (-0.25 ± 0.4 vs. -0.004 ± 0.4 mmol/liter; P = 0.04). In conclusion, testosterone replacement shifts the cytokine balance to a state of reduced inflammation and lowers total cholesterol. Twenty of these men had established coronary disease, and because total cholesterol is a cardiovascular risk factor, and proinflammatory cytokines mediate the development and complications associated with atheromatous plaque, these properties may have particular relevance in men with overt vascular disease.","author":[{"dropping-particle":"","family":"Malkin","given":"Chris J.","non-dropping-particle":"","parse-names":false,"suffix":""},{"dropping-particle":"","family":"Pugh","given":"Peter J.","non-dropping-particle":"","parse-names":false,"suffix":""},{"dropping-particle":"","family":"Jones","given":"Richard D.","non-dropping-particle":"","parse-names":false,"suffix":""},{"dropping-particle":"","family":"Kapoor","given":"Dheeraj","non-dropping-particle":"","parse-names":false,"suffix":""},{"dropping-particle":"","family":"Channer","given":"Kevin S.","non-dropping-particle":"","parse-names":false,"suffix":""},{"dropping-particle":"","family":"Jones","given":"T. Hugh","non-dropping-particle":"","parse-names":false,"suffix":""}],"container-title":"Journal of Clinical Endocrinology and Metabolism","id":"ITEM-1","issue":"7","issued":{"date-parts":[["2004"]]},"page":"3313-8","title":"The effect of testosterone replacement on endogenous inflammatory cytokines and lipid profiles in hypogonadal men","type":"article-journal","volume":"89"},"uris":["http://www.mendeley.com/documents/?uuid=8025aae3-e65c-4482-bb48-418215086556"]}],"mendeley":{"formattedCitation":"(138)","plainTextFormattedCitation":"(138)","previouslyFormattedCitation":"(138)"},"properties":{"noteIndex":0},"schema":"https://github.com/citation-style-language/schema/raw/master/csl-citation.json"}</w:instrText>
      </w:r>
      <w:r w:rsidR="00CE5674"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(138)</w:t>
      </w:r>
      <w:r w:rsidR="00CE5674" w:rsidRPr="004B0BC2">
        <w:rPr>
          <w:rFonts w:asciiTheme="minorHAnsi" w:hAnsiTheme="minorHAnsi" w:cstheme="minorHAnsi"/>
          <w:sz w:val="22"/>
          <w:szCs w:val="22"/>
          <w:shd w:val="clear" w:color="auto" w:fill="FFFFFF"/>
        </w:rPr>
        <w:fldChar w:fldCharType="end"/>
      </w:r>
      <w:r w:rsidR="00CE5674">
        <w:rPr>
          <w:rFonts w:asciiTheme="minorHAnsi" w:hAnsiTheme="minorHAnsi" w:cstheme="minorHAnsi"/>
          <w:sz w:val="22"/>
          <w:szCs w:val="22"/>
          <w:shd w:val="clear" w:color="auto" w:fill="FFFFFF"/>
        </w:rPr>
        <w:t>,</w:t>
      </w:r>
      <w:r w:rsidR="003C11E1">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T</w:t>
      </w:r>
      <w:r w:rsidR="00CE5674">
        <w:rPr>
          <w:rFonts w:asciiTheme="minorHAnsi" w:hAnsiTheme="minorHAnsi" w:cstheme="minorHAnsi"/>
          <w:sz w:val="22"/>
          <w:szCs w:val="22"/>
          <w:shd w:val="clear" w:color="auto" w:fill="FFFFFF"/>
        </w:rPr>
        <w:t>RT</w:t>
      </w:r>
      <w:r w:rsidR="00334841" w:rsidRPr="004B0BC2">
        <w:rPr>
          <w:rFonts w:asciiTheme="minorHAnsi" w:hAnsiTheme="minorHAnsi" w:cstheme="minorHAnsi"/>
          <w:sz w:val="22"/>
          <w:szCs w:val="22"/>
          <w:shd w:val="clear" w:color="auto" w:fill="FFFFFF"/>
        </w:rPr>
        <w:t xml:space="preserve"> was associated with a decrease in TNF</w:t>
      </w:r>
      <w:r w:rsidR="00FF6C02" w:rsidRPr="004B0BC2">
        <w:rPr>
          <w:rFonts w:asciiTheme="minorHAnsi" w:hAnsiTheme="minorHAnsi" w:cstheme="minorHAnsi"/>
          <w:sz w:val="22"/>
          <w:szCs w:val="22"/>
          <w:shd w:val="clear" w:color="auto" w:fill="FFFFFF"/>
        </w:rPr>
        <w:sym w:font="Symbol" w:char="F061"/>
      </w:r>
      <w:r w:rsidR="00334841" w:rsidRPr="004B0BC2">
        <w:rPr>
          <w:rFonts w:asciiTheme="minorHAnsi" w:hAnsiTheme="minorHAnsi" w:cstheme="minorHAnsi"/>
          <w:sz w:val="22"/>
          <w:szCs w:val="22"/>
          <w:shd w:val="clear" w:color="auto" w:fill="FFFFFF"/>
        </w:rPr>
        <w:t xml:space="preserve"> in patients taking </w:t>
      </w:r>
      <w:r w:rsidR="00F40CFE" w:rsidRPr="004B0BC2">
        <w:rPr>
          <w:rFonts w:asciiTheme="minorHAnsi" w:hAnsiTheme="minorHAnsi" w:cstheme="minorHAnsi"/>
          <w:sz w:val="22"/>
          <w:szCs w:val="22"/>
          <w:shd w:val="clear" w:color="auto" w:fill="FFFFFF"/>
        </w:rPr>
        <w:t>TRT</w:t>
      </w:r>
      <w:r w:rsidR="00334841" w:rsidRPr="004B0BC2">
        <w:rPr>
          <w:rFonts w:asciiTheme="minorHAnsi" w:hAnsiTheme="minorHAnsi" w:cstheme="minorHAnsi"/>
          <w:sz w:val="22"/>
          <w:szCs w:val="22"/>
          <w:shd w:val="clear" w:color="auto" w:fill="FFFFFF"/>
        </w:rPr>
        <w:t xml:space="preserve"> (5.77 v</w:t>
      </w:r>
      <w:r w:rsidR="00CE5674">
        <w:rPr>
          <w:rFonts w:asciiTheme="minorHAnsi" w:hAnsiTheme="minorHAnsi" w:cstheme="minorHAnsi"/>
          <w:sz w:val="22"/>
          <w:szCs w:val="22"/>
          <w:shd w:val="clear" w:color="auto" w:fill="FFFFFF"/>
        </w:rPr>
        <w:t>ersu</w:t>
      </w:r>
      <w:r w:rsidR="00334841" w:rsidRPr="004B0BC2">
        <w:rPr>
          <w:rFonts w:asciiTheme="minorHAnsi" w:hAnsiTheme="minorHAnsi" w:cstheme="minorHAnsi"/>
          <w:sz w:val="22"/>
          <w:szCs w:val="22"/>
          <w:shd w:val="clear" w:color="auto" w:fill="FFFFFF"/>
        </w:rPr>
        <w:t xml:space="preserve">s 2.9, </w:t>
      </w:r>
      <w:r w:rsidR="00FF407F"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=0.02)</w:t>
      </w:r>
      <w:r w:rsidR="00F40CFE" w:rsidRPr="004B0BC2">
        <w:rPr>
          <w:rFonts w:asciiTheme="minorHAnsi" w:hAnsiTheme="minorHAnsi" w:cstheme="minorHAnsi"/>
          <w:sz w:val="22"/>
          <w:szCs w:val="22"/>
          <w:shd w:val="clear" w:color="auto" w:fill="FFFFFF"/>
        </w:rPr>
        <w:t xml:space="preserve"> compared </w:t>
      </w:r>
      <w:r w:rsidR="00CE5674">
        <w:rPr>
          <w:rFonts w:asciiTheme="minorHAnsi" w:hAnsiTheme="minorHAnsi" w:cstheme="minorHAnsi"/>
          <w:sz w:val="22"/>
          <w:szCs w:val="22"/>
          <w:shd w:val="clear" w:color="auto" w:fill="FFFFFF"/>
        </w:rPr>
        <w:t>with untreated patients</w:t>
      </w:r>
      <w:r w:rsidR="00334841" w:rsidRPr="004B0BC2">
        <w:rPr>
          <w:rFonts w:asciiTheme="minorHAnsi" w:hAnsiTheme="minorHAnsi" w:cstheme="minorHAnsi"/>
          <w:sz w:val="22"/>
          <w:szCs w:val="22"/>
          <w:shd w:val="clear" w:color="auto" w:fill="FFFFFF"/>
        </w:rPr>
        <w:t>.</w:t>
      </w:r>
    </w:p>
    <w:p w14:paraId="768E9B8C" w14:textId="74730553" w:rsidR="00334841" w:rsidRPr="004B0BC2" w:rsidRDefault="00CE5674" w:rsidP="00B66369">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rPr>
        <w:t>Other evidence for sex disparities in viral infection related to hormone levels come</w:t>
      </w:r>
      <w:r w:rsidR="000250B5">
        <w:rPr>
          <w:rFonts w:asciiTheme="minorHAnsi" w:hAnsiTheme="minorHAnsi" w:cstheme="minorHAnsi"/>
          <w:sz w:val="22"/>
          <w:szCs w:val="22"/>
        </w:rPr>
        <w:t>s</w:t>
      </w:r>
      <w:r>
        <w:rPr>
          <w:rFonts w:asciiTheme="minorHAnsi" w:hAnsiTheme="minorHAnsi" w:cstheme="minorHAnsi"/>
          <w:sz w:val="22"/>
          <w:szCs w:val="22"/>
        </w:rPr>
        <w:t xml:space="preserve"> from a study that</w:t>
      </w:r>
      <w:r>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 xml:space="preserve">compared </w:t>
      </w:r>
      <w:r w:rsidR="00042522" w:rsidRPr="004B0BC2">
        <w:rPr>
          <w:rFonts w:asciiTheme="minorHAnsi" w:hAnsiTheme="minorHAnsi" w:cstheme="minorHAnsi"/>
          <w:sz w:val="22"/>
          <w:szCs w:val="22"/>
          <w:shd w:val="clear" w:color="auto" w:fill="FFFFFF"/>
        </w:rPr>
        <w:t xml:space="preserve">sex differences in </w:t>
      </w:r>
      <w:r w:rsidR="00334841" w:rsidRPr="004B0BC2">
        <w:rPr>
          <w:rFonts w:asciiTheme="minorHAnsi" w:hAnsiTheme="minorHAnsi" w:cstheme="minorHAnsi"/>
          <w:sz w:val="22"/>
          <w:szCs w:val="22"/>
          <w:shd w:val="clear" w:color="auto" w:fill="FFFFFF"/>
        </w:rPr>
        <w:t>mice inoculated with herpes simplex virus type 1 (HSV-1) administered into the cornea</w:t>
      </w:r>
      <w:r w:rsidR="00954DC5">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{"citationItems":[{"id":"ITEM-1","itemData":{"DOI":"10.1128/jvi.75.6.3048-3052.2001","ISSN":"0022-538X","abstract":"Gender influences the incidence and severity of some bacterial and viral infections and autoimmune diseases in animal models and humans. To determine a gender-based difference, comparisons were made between male and female mice inoculated with herpes simplex virus type 1 (HSV-1) by the corneal route. Mortality was higher in the male mice of the three strains tested: 129/Sv//Ev wild type, gamma interferon (IFN-γ) knockout (GKO), and IFN-γ receptor knockout (RGKO). Similarly, in vivo HSV-1 reactivation occurred more commonly in male mice, but the male-female difference in reactivation was restricted to the two knockout strains and was not seen in the 129/Sv//Ev control. Comparison among male mice of the three strains showed a higher mortality of the RGKO mice and a higher reactivation rate of the GKO and RGKO mice than of the 129/Sv//Ev males. In contrast, female RGKO and GKO mice did not differ from female 129/Sv//Ev controls in either mortality or reactivation. HSV-1 periocular and eyelid disease was also more severe in male and dihydrotestosterone (DHT)-treated female mice than in control female mice. These results show a consistent gender difference in HSV-1 infection, with a worse outcome in male mice. In addition, the results comparing GKO and RGKO mice to controls show differences only in male mice, suggesting that some effects of IFN-γ, a key immunoregulatory molecule, are gender specific.","author":[{"dropping-particle":"","family":"Han","given":"Xiao","non-dropping-particle":"","parse-names":false,"suffix":""},{"dropping-particle":"","family":"Lundberg","given":"Patric","non-dropping-particle":"","parse-names":false,"suffix":""},{"dropping-particle":"","family":"Tanamachi","given":"Becky","non-dropping-particle":"","parse-names":false,"suffix":""},{"dropping-particle":"","family":"Openshaw","given":"Harry","non-dropping-particle":"","parse-names":false,"suffix":""},{"dropping-particle":"","family":"Longmate","given":"Jeff","non-dropping-particle":"","parse-names":false,"suffix":""},{"dropping-particle":"","family":"Cantin","given":"Edouard","non-dropping-particle":"","parse-names":false,"suffix":""}],"container-title":"Journal of Virology","id":"ITEM-1","issue":"6","issued":{"date-parts":[["2001"]]},"page":"3048-52","title":"Gender Influences Herpes Simplex Virus Type 1 Infection in Normal and Gamma Interferon-Mutant Mice","type":"article-journal","volume":"75"},"uris":["http://www.mendeley.com/documents/?uuid=6aa6b87a-c153-4e91-8327-9de82d7b8792"]}],"mendeley":{"formattedCitation":"(139)","plainTextFormattedCitation":"(139)","previouslyFormattedCitation":"(139)"},"properties":{"noteIndex":0},"schema":"https://github.com/citation-style-language/schema/raw/master/csl-citation.json"}</w:instrText>
      </w:r>
      <w:r w:rsidR="00954DC5">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(139)</w:t>
      </w:r>
      <w:r w:rsidR="00954DC5">
        <w:rPr>
          <w:rFonts w:asciiTheme="minorHAnsi" w:hAnsiTheme="minorHAnsi" w:cstheme="minorHAnsi"/>
          <w:sz w:val="22"/>
          <w:szCs w:val="22"/>
          <w:shd w:val="clear" w:color="auto" w:fill="FFFFFF"/>
        </w:rPr>
        <w:fldChar w:fldCharType="end"/>
      </w:r>
      <w:r w:rsidR="00042522"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In this study. t</w:t>
      </w:r>
      <w:r w:rsidR="00334841" w:rsidRPr="004B0BC2">
        <w:rPr>
          <w:rFonts w:asciiTheme="minorHAnsi" w:hAnsiTheme="minorHAnsi" w:cstheme="minorHAnsi"/>
          <w:sz w:val="22"/>
          <w:szCs w:val="22"/>
          <w:shd w:val="clear" w:color="auto" w:fill="FFFFFF"/>
        </w:rPr>
        <w:t xml:space="preserve">he authors observed that HSV-1 periocular and eyelid disease </w:t>
      </w:r>
      <w:r>
        <w:rPr>
          <w:rFonts w:asciiTheme="minorHAnsi" w:hAnsiTheme="minorHAnsi" w:cstheme="minorHAnsi"/>
          <w:sz w:val="22"/>
          <w:szCs w:val="22"/>
          <w:shd w:val="clear" w:color="auto" w:fill="FFFFFF"/>
        </w:rPr>
        <w:t>was</w:t>
      </w:r>
      <w:r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more severe in male</w:t>
      </w:r>
      <w:r w:rsidR="00F40CFE" w:rsidRPr="004B0BC2">
        <w:rPr>
          <w:rFonts w:asciiTheme="minorHAnsi" w:hAnsiTheme="minorHAnsi" w:cstheme="minorHAnsi"/>
          <w:sz w:val="22"/>
          <w:szCs w:val="22"/>
          <w:shd w:val="clear" w:color="auto" w:fill="FFFFFF"/>
        </w:rPr>
        <w:t xml:space="preserve"> mice</w:t>
      </w:r>
      <w:r w:rsidR="00334841" w:rsidRPr="004B0BC2">
        <w:rPr>
          <w:rFonts w:asciiTheme="minorHAnsi" w:hAnsiTheme="minorHAnsi" w:cstheme="minorHAnsi"/>
          <w:sz w:val="22"/>
          <w:szCs w:val="22"/>
          <w:shd w:val="clear" w:color="auto" w:fill="FFFFFF"/>
        </w:rPr>
        <w:t xml:space="preserve"> and dihydrotestosterone (DHT)-treated female mice </w:t>
      </w:r>
      <w:r>
        <w:rPr>
          <w:rFonts w:asciiTheme="minorHAnsi" w:hAnsiTheme="minorHAnsi" w:cstheme="minorHAnsi"/>
          <w:sz w:val="22"/>
          <w:szCs w:val="22"/>
          <w:shd w:val="clear" w:color="auto" w:fill="FFFFFF"/>
        </w:rPr>
        <w:t>than in</w:t>
      </w:r>
      <w:r w:rsidR="00334841" w:rsidRPr="004B0BC2">
        <w:rPr>
          <w:rFonts w:asciiTheme="minorHAnsi" w:hAnsiTheme="minorHAnsi" w:cstheme="minorHAnsi"/>
          <w:sz w:val="22"/>
          <w:szCs w:val="22"/>
          <w:shd w:val="clear" w:color="auto" w:fill="FFFFFF"/>
        </w:rPr>
        <w:t xml:space="preserve"> control female mice (</w:t>
      </w:r>
      <w:r w:rsidR="00FF407F"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=0.026). Th</w:t>
      </w:r>
      <w:r>
        <w:rPr>
          <w:rFonts w:asciiTheme="minorHAnsi" w:hAnsiTheme="minorHAnsi" w:cstheme="minorHAnsi"/>
          <w:sz w:val="22"/>
          <w:szCs w:val="22"/>
          <w:shd w:val="clear" w:color="auto" w:fill="FFFFFF"/>
        </w:rPr>
        <w:t>ese data</w:t>
      </w:r>
      <w:r w:rsidR="00334841" w:rsidRPr="004B0BC2">
        <w:rPr>
          <w:rFonts w:asciiTheme="minorHAnsi" w:hAnsiTheme="minorHAnsi" w:cstheme="minorHAnsi"/>
          <w:sz w:val="22"/>
          <w:szCs w:val="22"/>
          <w:shd w:val="clear" w:color="auto" w:fill="FFFFFF"/>
        </w:rPr>
        <w:t xml:space="preserve"> highlight that HSV-1</w:t>
      </w:r>
      <w:r>
        <w:rPr>
          <w:rFonts w:asciiTheme="minorHAnsi" w:hAnsiTheme="minorHAnsi" w:cstheme="minorHAnsi"/>
          <w:sz w:val="22"/>
          <w:szCs w:val="22"/>
          <w:shd w:val="clear" w:color="auto" w:fill="FFFFFF"/>
        </w:rPr>
        <w:t xml:space="preserve">-related </w:t>
      </w:r>
      <w:r w:rsidR="00334841" w:rsidRPr="004B0BC2">
        <w:rPr>
          <w:rFonts w:asciiTheme="minorHAnsi" w:hAnsiTheme="minorHAnsi" w:cstheme="minorHAnsi"/>
          <w:sz w:val="22"/>
          <w:szCs w:val="22"/>
          <w:shd w:val="clear" w:color="auto" w:fill="FFFFFF"/>
        </w:rPr>
        <w:t xml:space="preserve">complications are </w:t>
      </w:r>
      <w:r w:rsidR="00334841" w:rsidRPr="004B0BC2">
        <w:rPr>
          <w:rFonts w:asciiTheme="minorHAnsi" w:hAnsiTheme="minorHAnsi" w:cstheme="minorHAnsi"/>
          <w:sz w:val="22"/>
          <w:szCs w:val="22"/>
          <w:shd w:val="clear" w:color="auto" w:fill="FFFFFF"/>
        </w:rPr>
        <w:lastRenderedPageBreak/>
        <w:t>worse</w:t>
      </w:r>
      <w:r w:rsidR="00A94EA7">
        <w:rPr>
          <w:rFonts w:asciiTheme="minorHAnsi" w:hAnsiTheme="minorHAnsi" w:cstheme="minorHAnsi"/>
          <w:sz w:val="22"/>
          <w:szCs w:val="22"/>
          <w:shd w:val="clear" w:color="auto" w:fill="FFFFFF"/>
        </w:rPr>
        <w:t xml:space="preserve"> in</w:t>
      </w:r>
      <w:r w:rsidR="00334841" w:rsidRPr="004B0BC2">
        <w:rPr>
          <w:rFonts w:asciiTheme="minorHAnsi" w:hAnsiTheme="minorHAnsi" w:cstheme="minorHAnsi"/>
          <w:sz w:val="22"/>
          <w:szCs w:val="22"/>
          <w:shd w:val="clear" w:color="auto" w:fill="FFFFFF"/>
        </w:rPr>
        <w:t xml:space="preserve"> male</w:t>
      </w:r>
      <w:r>
        <w:rPr>
          <w:rFonts w:asciiTheme="minorHAnsi" w:hAnsiTheme="minorHAnsi" w:cstheme="minorHAnsi"/>
          <w:sz w:val="22"/>
          <w:szCs w:val="22"/>
          <w:shd w:val="clear" w:color="auto" w:fill="FFFFFF"/>
        </w:rPr>
        <w:t>s</w:t>
      </w:r>
      <w:r w:rsidR="00334841" w:rsidRPr="004B0BC2">
        <w:rPr>
          <w:rFonts w:asciiTheme="minorHAnsi" w:hAnsiTheme="minorHAnsi" w:cstheme="minorHAnsi"/>
          <w:sz w:val="22"/>
          <w:szCs w:val="22"/>
          <w:shd w:val="clear" w:color="auto" w:fill="FFFFFF"/>
        </w:rPr>
        <w:t xml:space="preserve"> </w:t>
      </w:r>
      <w:r w:rsidR="00042522" w:rsidRPr="004B0BC2">
        <w:rPr>
          <w:rFonts w:asciiTheme="minorHAnsi" w:hAnsiTheme="minorHAnsi" w:cstheme="minorHAnsi"/>
          <w:sz w:val="22"/>
          <w:szCs w:val="22"/>
          <w:shd w:val="clear" w:color="auto" w:fill="FFFFFF"/>
        </w:rPr>
        <w:t>than</w:t>
      </w:r>
      <w:r w:rsidR="00334841" w:rsidRPr="004B0BC2">
        <w:rPr>
          <w:rFonts w:asciiTheme="minorHAnsi" w:hAnsiTheme="minorHAnsi" w:cstheme="minorHAnsi"/>
          <w:sz w:val="22"/>
          <w:szCs w:val="22"/>
          <w:shd w:val="clear" w:color="auto" w:fill="FFFFFF"/>
        </w:rPr>
        <w:t xml:space="preserve"> females and </w:t>
      </w:r>
      <w:r>
        <w:rPr>
          <w:rFonts w:asciiTheme="minorHAnsi" w:hAnsiTheme="minorHAnsi" w:cstheme="minorHAnsi"/>
          <w:sz w:val="22"/>
          <w:szCs w:val="22"/>
          <w:shd w:val="clear" w:color="auto" w:fill="FFFFFF"/>
        </w:rPr>
        <w:t xml:space="preserve">that </w:t>
      </w:r>
      <w:r w:rsidR="00334841" w:rsidRPr="004B0BC2">
        <w:rPr>
          <w:rFonts w:asciiTheme="minorHAnsi" w:hAnsiTheme="minorHAnsi" w:cstheme="minorHAnsi"/>
          <w:sz w:val="22"/>
          <w:szCs w:val="22"/>
          <w:shd w:val="clear" w:color="auto" w:fill="FFFFFF"/>
        </w:rPr>
        <w:t>this</w:t>
      </w:r>
      <w:r>
        <w:rPr>
          <w:rFonts w:asciiTheme="minorHAnsi" w:hAnsiTheme="minorHAnsi" w:cstheme="minorHAnsi"/>
          <w:sz w:val="22"/>
          <w:szCs w:val="22"/>
          <w:shd w:val="clear" w:color="auto" w:fill="FFFFFF"/>
        </w:rPr>
        <w:t xml:space="preserve"> effect</w:t>
      </w:r>
      <w:r w:rsidR="00334841"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seem</w:t>
      </w:r>
      <w:r w:rsidR="00334841" w:rsidRPr="004B0BC2">
        <w:rPr>
          <w:rFonts w:asciiTheme="minorHAnsi" w:hAnsiTheme="minorHAnsi" w:cstheme="minorHAnsi"/>
          <w:sz w:val="22"/>
          <w:szCs w:val="22"/>
          <w:shd w:val="clear" w:color="auto" w:fill="FFFFFF"/>
        </w:rPr>
        <w:t>s to be related to testosterone</w:t>
      </w:r>
      <w:r>
        <w:rPr>
          <w:rFonts w:asciiTheme="minorHAnsi" w:hAnsiTheme="minorHAnsi" w:cstheme="minorHAnsi"/>
          <w:sz w:val="22"/>
          <w:szCs w:val="22"/>
          <w:shd w:val="clear" w:color="auto" w:fill="FFFFFF"/>
        </w:rPr>
        <w:t xml:space="preserve"> levels,</w:t>
      </w:r>
      <w:r w:rsidR="00334841" w:rsidRPr="004B0BC2">
        <w:rPr>
          <w:rFonts w:asciiTheme="minorHAnsi" w:hAnsiTheme="minorHAnsi" w:cstheme="minorHAnsi"/>
          <w:sz w:val="22"/>
          <w:szCs w:val="22"/>
          <w:shd w:val="clear" w:color="auto" w:fill="FFFFFF"/>
        </w:rPr>
        <w:t xml:space="preserve"> as females treated with </w:t>
      </w:r>
      <w:r w:rsidR="00A94EA7">
        <w:rPr>
          <w:rFonts w:asciiTheme="minorHAnsi" w:hAnsiTheme="minorHAnsi" w:cstheme="minorHAnsi"/>
          <w:sz w:val="22"/>
          <w:szCs w:val="22"/>
          <w:shd w:val="clear" w:color="auto" w:fill="FFFFFF"/>
        </w:rPr>
        <w:t>DHT</w:t>
      </w:r>
      <w:r w:rsidR="00A94EA7" w:rsidRPr="004B0BC2">
        <w:rPr>
          <w:rFonts w:asciiTheme="minorHAnsi" w:hAnsiTheme="minorHAnsi" w:cstheme="minorHAnsi"/>
          <w:sz w:val="22"/>
          <w:szCs w:val="22"/>
          <w:shd w:val="clear" w:color="auto" w:fill="FFFFFF"/>
        </w:rPr>
        <w:t xml:space="preserve"> </w:t>
      </w:r>
      <w:r w:rsidR="00334841" w:rsidRPr="004B0BC2">
        <w:rPr>
          <w:rFonts w:asciiTheme="minorHAnsi" w:hAnsiTheme="minorHAnsi" w:cstheme="minorHAnsi"/>
          <w:sz w:val="22"/>
          <w:szCs w:val="22"/>
          <w:shd w:val="clear" w:color="auto" w:fill="FFFFFF"/>
        </w:rPr>
        <w:t>had worse outcomes</w:t>
      </w:r>
      <w:r w:rsidR="00042522" w:rsidRPr="004B0BC2">
        <w:rPr>
          <w:rFonts w:asciiTheme="minorHAnsi" w:hAnsiTheme="minorHAnsi" w:cstheme="minorHAnsi"/>
          <w:sz w:val="22"/>
          <w:szCs w:val="22"/>
          <w:shd w:val="clear" w:color="auto" w:fill="FFFFFF"/>
        </w:rPr>
        <w:t xml:space="preserve"> </w:t>
      </w:r>
      <w:r w:rsidR="00A94EA7">
        <w:rPr>
          <w:rFonts w:asciiTheme="minorHAnsi" w:hAnsiTheme="minorHAnsi" w:cstheme="minorHAnsi"/>
          <w:sz w:val="22"/>
          <w:szCs w:val="22"/>
          <w:shd w:val="clear" w:color="auto" w:fill="FFFFFF"/>
        </w:rPr>
        <w:t>than</w:t>
      </w:r>
      <w:r w:rsidR="00334841" w:rsidRPr="004B0BC2">
        <w:rPr>
          <w:rFonts w:asciiTheme="minorHAnsi" w:hAnsiTheme="minorHAnsi" w:cstheme="minorHAnsi"/>
          <w:sz w:val="22"/>
          <w:szCs w:val="22"/>
          <w:shd w:val="clear" w:color="auto" w:fill="FFFFFF"/>
        </w:rPr>
        <w:t xml:space="preserve"> control female mice not given this treatment.</w:t>
      </w:r>
    </w:p>
    <w:p w14:paraId="3394A38F" w14:textId="30D4B86F" w:rsidR="00334841" w:rsidRPr="004B0BC2" w:rsidRDefault="00A94EA7" w:rsidP="00B66369">
      <w:pPr>
        <w:spacing w:line="480" w:lineRule="auto"/>
        <w:rPr>
          <w:rFonts w:asciiTheme="minorHAnsi" w:hAnsiTheme="minorHAnsi" w:cstheme="minorHAnsi"/>
          <w:sz w:val="22"/>
          <w:szCs w:val="22"/>
        </w:rPr>
      </w:pPr>
      <w:r>
        <w:rPr>
          <w:rFonts w:asciiTheme="minorHAnsi" w:hAnsiTheme="minorHAnsi" w:cstheme="minorHAnsi"/>
          <w:sz w:val="22"/>
          <w:szCs w:val="22"/>
        </w:rPr>
        <w:t xml:space="preserve">A separate study </w:t>
      </w:r>
      <w:r w:rsidR="00712A68" w:rsidRPr="004B0BC2">
        <w:rPr>
          <w:rFonts w:asciiTheme="minorHAnsi" w:hAnsiTheme="minorHAnsi" w:cstheme="minorHAnsi"/>
          <w:sz w:val="22"/>
          <w:szCs w:val="22"/>
        </w:rPr>
        <w:t xml:space="preserve">investigated </w:t>
      </w:r>
      <w:r w:rsidR="00334841" w:rsidRPr="004B0BC2">
        <w:rPr>
          <w:rFonts w:asciiTheme="minorHAnsi" w:hAnsiTheme="minorHAnsi" w:cstheme="minorHAnsi"/>
          <w:sz w:val="22"/>
          <w:szCs w:val="22"/>
        </w:rPr>
        <w:t>sex differences in mice exposed to the coxsackie B3 Virus</w:t>
      </w:r>
      <w:r w:rsidR="00975159" w:rsidRPr="004B0BC2">
        <w:rPr>
          <w:rFonts w:asciiTheme="minorHAnsi" w:hAnsiTheme="minorHAnsi" w:cstheme="minorHAnsi"/>
          <w:sz w:val="22"/>
          <w:szCs w:val="22"/>
        </w:rPr>
        <w:t xml:space="preserve"> (CVB3)</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{"citationItems":[{"id":"ITEM-1","itemData":{"DOI":"10.1186/2042-6410-2-8","ISSN":"20426410","abstract":"Background: Both coxsackievirus B3 (CVB3) and influenza A virus (IAV; H1N1) produce sexually dimorphic infections in C57BL/6 mice. Gonadal steroids can modulate sex differences in response to both viruses. Here, the effect of sex chromosomal complement in response to viral infection was evaluated using four core genotypes (FCG) mice, where the Sry gene is deleted from the Y chromosome, and in some mice is inserted into an autosomal chromosome. This results in four genotypes: XX or XY gonadal females (XXF and XYF), and XX or XY gonadal males (XXM and XYM). The FCG model permits evaluation of the impact of the sex chromosome complement independent of the gonadal phenotype. Methods: Wild-type (WT) male and female C57BL/6 mice were assigned to remain intact or be gonadectomized (Gdx) and all FCG mice on a C57BL/6 background were Gdx. Mice were infected with either CVB3 or mouseadapted IAV, A/Puerto Rico/8/1934 (PR8), and monitored for changes in immunity, virus titers, morbidity, or mortality. Results: In CVB3 infection, mortality was increased in WT males compared to females and males developed more severe cardiac inflammation. Gonadectomy suppressed male, but increased female, susceptibility to CVB3. Infection with IAV resulted in greater morbidity and mortality in WT females compared with males and this sex difference was significantly reduced by gonadectomy of male and female mice. In Gdx FCG mice infected with CVB3, XY mice were less susceptible than XX mice. Protection correlated with increased CD4+ forkhead box P3 (FoxP3)+ T regulatory (Treg) cell activation in these animals. Neither CD4+ interferon (IFN)γ (T helper 1 (Th1)) nor CD4+ interleukin (IL)-4+ (Th2) responses differed among the FCG mice during CVB3 infection. Infection of Gdx FCG mice revealed no effect of sex chromosome complement on morbidity or mortality following IAV infection. Conclusions: These studies indicate that sex chromosome complement can influence pathogenicity of some, but not all, viruses. © 2011 Robinson et al; licensee BioMed Central Ltd.","author":[{"dropping-particle":"","family":"Robinson","given":"Dionne P.","non-dropping-particle":"","parse-names":false,"suffix":""},{"dropping-particle":"","family":"Huber","given":"Sally A.","non-dropping-particle":"","parse-names":false,"suffix":""},{"dropping-particle":"","family":"Moussawi","given":"Mohamad","non-dropping-particle":"","parse-names":false,"suffix":""},{"dropping-particle":"","family":"Roberts","given":"Brian","non-dropping-particle":"","parse-names":false,"suffix":""},{"dropping-particle":"","family":"Teuscher","given":"Cory","non-dropping-particle":"","parse-names":false,"suffix":""},{"dropping-particle":"","family":"Watkins","given":"Rebecca","non-dropping-particle":"","parse-names":false,"suffix":""},{"dropping-particle":"","family":"Arnold","given":"Arthur P.","non-dropping-particle":"","parse-names":false,"suffix":""},{"dropping-particle":"","family":"Klein","given":"Sabra L.","non-dropping-particle":"","parse-names":false,"suffix":""}],"container-title":"Biology of Sex Differences","id":"ITEM-1","issue":"8","issued":{"date-parts":[["2011"]]},"page":"1-11","title":"Sex chromosome complement contributes to sex differences in coxsackievirus B3 but not influenza A virus pathogenesis","type":"article-journal","volume":"2"},"uris":["http://www.mendeley.com/documents/?uuid=72fbdcac-63e9-40db-bd9a-175eb2928b97"]}],"mendeley":{"formattedCitation":"(140)","plainTextFormattedCitation":"(140)","previouslyFormattedCitation":"(140)"},"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(140)</w:t>
      </w:r>
      <w:r w:rsidRPr="004B0BC2">
        <w:rPr>
          <w:rFonts w:asciiTheme="minorHAnsi" w:hAnsiTheme="minorHAnsi" w:cstheme="minorHAnsi"/>
          <w:sz w:val="22"/>
          <w:szCs w:val="22"/>
        </w:rPr>
        <w:fldChar w:fldCharType="end"/>
      </w:r>
      <w:r w:rsidR="00334841" w:rsidRPr="004B0BC2">
        <w:rPr>
          <w:rFonts w:asciiTheme="minorHAnsi" w:hAnsiTheme="minorHAnsi" w:cstheme="minorHAnsi"/>
          <w:sz w:val="22"/>
          <w:szCs w:val="22"/>
        </w:rPr>
        <w:t>.</w:t>
      </w:r>
      <w:r w:rsidR="00AA32B1" w:rsidRPr="004B0BC2">
        <w:rPr>
          <w:rFonts w:asciiTheme="minorHAnsi" w:hAnsiTheme="minorHAnsi" w:cstheme="minorHAnsi"/>
          <w:sz w:val="22"/>
          <w:szCs w:val="22"/>
        </w:rPr>
        <w:t xml:space="preserve"> Following CVB3 infection, </w:t>
      </w:r>
      <w:r w:rsidR="00975159" w:rsidRPr="004B0BC2">
        <w:rPr>
          <w:rFonts w:asciiTheme="minorHAnsi" w:hAnsiTheme="minorHAnsi" w:cstheme="minorHAnsi"/>
          <w:sz w:val="22"/>
          <w:szCs w:val="22"/>
          <w:shd w:val="clear" w:color="auto" w:fill="FFFFFF"/>
        </w:rPr>
        <w:t>mortality rate</w:t>
      </w:r>
      <w:r w:rsidR="00AA32B1" w:rsidRPr="004B0BC2">
        <w:rPr>
          <w:rFonts w:asciiTheme="minorHAnsi" w:hAnsiTheme="minorHAnsi" w:cstheme="minorHAnsi"/>
          <w:sz w:val="22"/>
          <w:szCs w:val="22"/>
          <w:shd w:val="clear" w:color="auto" w:fill="FFFFFF"/>
        </w:rPr>
        <w:t xml:space="preserve"> or </w:t>
      </w:r>
      <w:r w:rsidR="006F43AA" w:rsidRPr="004B0BC2">
        <w:rPr>
          <w:rFonts w:asciiTheme="minorHAnsi" w:hAnsiTheme="minorHAnsi" w:cstheme="minorHAnsi"/>
          <w:sz w:val="22"/>
          <w:szCs w:val="22"/>
          <w:shd w:val="clear" w:color="auto" w:fill="FFFFFF"/>
        </w:rPr>
        <w:t>moribund</w:t>
      </w:r>
      <w:r w:rsidR="00AA32B1" w:rsidRPr="004B0BC2">
        <w:rPr>
          <w:rFonts w:asciiTheme="minorHAnsi" w:hAnsiTheme="minorHAnsi" w:cstheme="minorHAnsi"/>
          <w:sz w:val="22"/>
          <w:szCs w:val="22"/>
          <w:shd w:val="clear" w:color="auto" w:fill="FFFFFF"/>
        </w:rPr>
        <w:t xml:space="preserve"> rate that necessitated </w:t>
      </w:r>
      <w:r>
        <w:rPr>
          <w:rFonts w:asciiTheme="minorHAnsi" w:hAnsiTheme="minorHAnsi" w:cstheme="minorHAnsi"/>
          <w:sz w:val="22"/>
          <w:szCs w:val="22"/>
          <w:shd w:val="clear" w:color="auto" w:fill="FFFFFF"/>
        </w:rPr>
        <w:t>euthanasia of the animals was significantly higher</w:t>
      </w:r>
      <w:r w:rsidRPr="004B0BC2">
        <w:rPr>
          <w:rFonts w:asciiTheme="minorHAnsi" w:hAnsiTheme="minorHAnsi" w:cstheme="minorHAnsi"/>
          <w:sz w:val="22"/>
          <w:szCs w:val="22"/>
          <w:shd w:val="clear" w:color="auto" w:fill="FFFFFF"/>
        </w:rPr>
        <w:t xml:space="preserve"> </w:t>
      </w:r>
      <w:r w:rsidR="00975159" w:rsidRPr="004B0BC2">
        <w:rPr>
          <w:rFonts w:asciiTheme="minorHAnsi" w:hAnsiTheme="minorHAnsi" w:cstheme="minorHAnsi"/>
          <w:sz w:val="22"/>
          <w:szCs w:val="22"/>
          <w:shd w:val="clear" w:color="auto" w:fill="FFFFFF"/>
        </w:rPr>
        <w:t xml:space="preserve">in male </w:t>
      </w:r>
      <w:r>
        <w:rPr>
          <w:rFonts w:asciiTheme="minorHAnsi" w:hAnsiTheme="minorHAnsi" w:cstheme="minorHAnsi"/>
          <w:sz w:val="22"/>
          <w:szCs w:val="22"/>
          <w:shd w:val="clear" w:color="auto" w:fill="FFFFFF"/>
        </w:rPr>
        <w:t>than</w:t>
      </w:r>
      <w:r w:rsidR="00975159" w:rsidRPr="004B0BC2">
        <w:rPr>
          <w:rFonts w:asciiTheme="minorHAnsi" w:hAnsiTheme="minorHAnsi" w:cstheme="minorHAnsi"/>
          <w:sz w:val="22"/>
          <w:szCs w:val="22"/>
          <w:shd w:val="clear" w:color="auto" w:fill="FFFFFF"/>
        </w:rPr>
        <w:t xml:space="preserve"> female mice (50% v</w:t>
      </w:r>
      <w:r>
        <w:rPr>
          <w:rFonts w:asciiTheme="minorHAnsi" w:hAnsiTheme="minorHAnsi" w:cstheme="minorHAnsi"/>
          <w:sz w:val="22"/>
          <w:szCs w:val="22"/>
          <w:shd w:val="clear" w:color="auto" w:fill="FFFFFF"/>
        </w:rPr>
        <w:t>ersu</w:t>
      </w:r>
      <w:r w:rsidR="00975159" w:rsidRPr="004B0BC2">
        <w:rPr>
          <w:rFonts w:asciiTheme="minorHAnsi" w:hAnsiTheme="minorHAnsi" w:cstheme="minorHAnsi"/>
          <w:sz w:val="22"/>
          <w:szCs w:val="22"/>
          <w:shd w:val="clear" w:color="auto" w:fill="FFFFFF"/>
        </w:rPr>
        <w:t xml:space="preserve">s 0%, </w:t>
      </w:r>
      <w:r w:rsidR="00FF407F"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&lt;0.01).</w:t>
      </w:r>
      <w:r w:rsidR="003C11E1">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Furthermore, m</w:t>
      </w:r>
      <w:r w:rsidR="00AA32B1" w:rsidRPr="004B0BC2">
        <w:rPr>
          <w:rFonts w:asciiTheme="minorHAnsi" w:hAnsiTheme="minorHAnsi" w:cstheme="minorHAnsi"/>
          <w:sz w:val="22"/>
          <w:szCs w:val="22"/>
          <w:shd w:val="clear" w:color="auto" w:fill="FFFFFF"/>
        </w:rPr>
        <w:t xml:space="preserve">ale mice were reported to have a higher rate of myocarditis than female mice following CVB3 infection </w:t>
      </w:r>
      <w:r w:rsidR="00334841" w:rsidRPr="004B0BC2">
        <w:rPr>
          <w:rFonts w:asciiTheme="minorHAnsi" w:hAnsiTheme="minorHAnsi" w:cstheme="minorHAnsi"/>
          <w:sz w:val="22"/>
          <w:szCs w:val="22"/>
          <w:shd w:val="clear" w:color="auto" w:fill="FFFFFF"/>
        </w:rPr>
        <w:t>(</w:t>
      </w:r>
      <w:r w:rsidR="00FF407F"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&lt;0.005</w:t>
      </w:r>
      <w:r w:rsidR="00AA32B1" w:rsidRPr="004B0BC2">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w:t>
      </w:r>
      <w:r w:rsidR="00AA32B1" w:rsidRPr="004B0BC2">
        <w:rPr>
          <w:rFonts w:asciiTheme="minorHAnsi" w:hAnsiTheme="minorHAnsi" w:cstheme="minorHAnsi"/>
          <w:sz w:val="22"/>
          <w:szCs w:val="22"/>
          <w:shd w:val="clear" w:color="auto" w:fill="FFFFFF"/>
        </w:rPr>
        <w:t xml:space="preserve"> but g</w:t>
      </w:r>
      <w:r w:rsidR="00334841" w:rsidRPr="004B0BC2">
        <w:rPr>
          <w:rFonts w:asciiTheme="minorHAnsi" w:hAnsiTheme="minorHAnsi" w:cstheme="minorHAnsi"/>
          <w:sz w:val="22"/>
          <w:szCs w:val="22"/>
          <w:shd w:val="clear" w:color="auto" w:fill="FFFFFF"/>
        </w:rPr>
        <w:t xml:space="preserve">onadectomy </w:t>
      </w:r>
      <w:r w:rsidR="00AA32B1" w:rsidRPr="004B0BC2">
        <w:rPr>
          <w:rFonts w:asciiTheme="minorHAnsi" w:hAnsiTheme="minorHAnsi" w:cstheme="minorHAnsi"/>
          <w:sz w:val="22"/>
          <w:szCs w:val="22"/>
          <w:shd w:val="clear" w:color="auto" w:fill="FFFFFF"/>
        </w:rPr>
        <w:t>caused female mice to have a higher rate of myocarditis than</w:t>
      </w:r>
      <w:r w:rsidR="00334841" w:rsidRPr="004B0BC2">
        <w:rPr>
          <w:rFonts w:asciiTheme="minorHAnsi" w:hAnsiTheme="minorHAnsi" w:cstheme="minorHAnsi"/>
          <w:sz w:val="22"/>
          <w:szCs w:val="22"/>
          <w:shd w:val="clear" w:color="auto" w:fill="FFFFFF"/>
        </w:rPr>
        <w:t xml:space="preserve"> male</w:t>
      </w:r>
      <w:r w:rsidR="00AA32B1" w:rsidRPr="004B0BC2">
        <w:rPr>
          <w:rFonts w:asciiTheme="minorHAnsi" w:hAnsiTheme="minorHAnsi" w:cstheme="minorHAnsi"/>
          <w:sz w:val="22"/>
          <w:szCs w:val="22"/>
          <w:shd w:val="clear" w:color="auto" w:fill="FFFFFF"/>
        </w:rPr>
        <w:t>s</w:t>
      </w:r>
      <w:r w:rsidR="00334841" w:rsidRPr="004B0BC2">
        <w:rPr>
          <w:rFonts w:asciiTheme="minorHAnsi" w:hAnsiTheme="minorHAnsi" w:cstheme="minorHAnsi"/>
          <w:sz w:val="22"/>
          <w:szCs w:val="22"/>
          <w:shd w:val="clear" w:color="auto" w:fill="FFFFFF"/>
        </w:rPr>
        <w:t xml:space="preserve"> </w:t>
      </w:r>
      <w:r w:rsidR="00AA32B1" w:rsidRPr="004B0BC2">
        <w:rPr>
          <w:rFonts w:asciiTheme="minorHAnsi" w:hAnsiTheme="minorHAnsi" w:cstheme="minorHAnsi"/>
          <w:sz w:val="22"/>
          <w:szCs w:val="22"/>
          <w:shd w:val="clear" w:color="auto" w:fill="FFFFFF"/>
        </w:rPr>
        <w:t>(</w:t>
      </w:r>
      <w:r w:rsidR="00FF407F" w:rsidRPr="004B0BC2">
        <w:rPr>
          <w:rFonts w:asciiTheme="minorHAnsi" w:hAnsiTheme="minorHAnsi" w:cstheme="minorHAnsi"/>
          <w:sz w:val="22"/>
          <w:szCs w:val="22"/>
          <w:shd w:val="clear" w:color="auto" w:fill="FFFFFF"/>
        </w:rPr>
        <w:t>p</w:t>
      </w:r>
      <w:r w:rsidR="00334841" w:rsidRPr="004B0BC2">
        <w:rPr>
          <w:rFonts w:asciiTheme="minorHAnsi" w:hAnsiTheme="minorHAnsi" w:cstheme="minorHAnsi"/>
          <w:sz w:val="22"/>
          <w:szCs w:val="22"/>
          <w:shd w:val="clear" w:color="auto" w:fill="FFFFFF"/>
        </w:rPr>
        <w:t xml:space="preserve">&lt;0.00005). </w:t>
      </w:r>
      <w:r w:rsidRPr="004B0BC2">
        <w:rPr>
          <w:rFonts w:asciiTheme="minorHAnsi" w:hAnsiTheme="minorHAnsi" w:cstheme="minorHAnsi"/>
          <w:sz w:val="22"/>
          <w:szCs w:val="22"/>
          <w:shd w:val="clear" w:color="auto" w:fill="FFFFFF"/>
        </w:rPr>
        <w:t>Th</w:t>
      </w:r>
      <w:r>
        <w:rPr>
          <w:rFonts w:asciiTheme="minorHAnsi" w:hAnsiTheme="minorHAnsi" w:cstheme="minorHAnsi"/>
          <w:sz w:val="22"/>
          <w:szCs w:val="22"/>
          <w:shd w:val="clear" w:color="auto" w:fill="FFFFFF"/>
        </w:rPr>
        <w:t>us</w:t>
      </w:r>
      <w:r w:rsidR="00AA32B1" w:rsidRPr="004B0BC2">
        <w:rPr>
          <w:rFonts w:asciiTheme="minorHAnsi" w:hAnsiTheme="minorHAnsi" w:cstheme="minorHAnsi"/>
          <w:sz w:val="22"/>
          <w:szCs w:val="22"/>
          <w:shd w:val="clear" w:color="auto" w:fill="FFFFFF"/>
        </w:rPr>
        <w:t>, sex hormones m</w:t>
      </w:r>
      <w:r>
        <w:rPr>
          <w:rFonts w:asciiTheme="minorHAnsi" w:hAnsiTheme="minorHAnsi" w:cstheme="minorHAnsi"/>
          <w:sz w:val="22"/>
          <w:szCs w:val="22"/>
          <w:shd w:val="clear" w:color="auto" w:fill="FFFFFF"/>
        </w:rPr>
        <w:t>ight have</w:t>
      </w:r>
      <w:r w:rsidR="00AA32B1" w:rsidRPr="004B0BC2">
        <w:rPr>
          <w:rFonts w:asciiTheme="minorHAnsi" w:hAnsiTheme="minorHAnsi" w:cstheme="minorHAnsi"/>
          <w:sz w:val="22"/>
          <w:szCs w:val="22"/>
          <w:shd w:val="clear" w:color="auto" w:fill="FFFFFF"/>
        </w:rPr>
        <w:t xml:space="preserve"> a role in the development of myocarditis in CVB3 infection.</w:t>
      </w:r>
    </w:p>
    <w:p w14:paraId="382E2EDB" w14:textId="4BF7970D" w:rsidR="00E72F9B" w:rsidRPr="004B0BC2" w:rsidRDefault="00334841" w:rsidP="00271A3B">
      <w:pPr>
        <w:spacing w:line="480" w:lineRule="auto"/>
        <w:rPr>
          <w:rFonts w:asciiTheme="minorHAnsi" w:hAnsiTheme="minorHAnsi" w:cstheme="minorHAnsi"/>
          <w:sz w:val="22"/>
          <w:szCs w:val="22"/>
        </w:rPr>
      </w:pPr>
      <w:r w:rsidRPr="004B0BC2">
        <w:rPr>
          <w:rFonts w:asciiTheme="minorHAnsi" w:hAnsiTheme="minorHAnsi" w:cstheme="minorHAnsi"/>
          <w:sz w:val="22"/>
          <w:szCs w:val="22"/>
        </w:rPr>
        <w:t xml:space="preserve">Collectively, these data highlight that sex differences in hormones </w:t>
      </w:r>
      <w:r w:rsidR="00A94EA7">
        <w:rPr>
          <w:rFonts w:asciiTheme="minorHAnsi" w:hAnsiTheme="minorHAnsi" w:cstheme="minorHAnsi"/>
          <w:sz w:val="22"/>
          <w:szCs w:val="22"/>
        </w:rPr>
        <w:t xml:space="preserve">can </w:t>
      </w:r>
      <w:r w:rsidRPr="004B0BC2">
        <w:rPr>
          <w:rFonts w:asciiTheme="minorHAnsi" w:hAnsiTheme="minorHAnsi" w:cstheme="minorHAnsi"/>
          <w:sz w:val="22"/>
          <w:szCs w:val="22"/>
        </w:rPr>
        <w:t>result in altered immunological responses</w:t>
      </w:r>
      <w:r w:rsidR="00A94EA7">
        <w:rPr>
          <w:rFonts w:asciiTheme="minorHAnsi" w:hAnsiTheme="minorHAnsi" w:cstheme="minorHAnsi"/>
          <w:sz w:val="22"/>
          <w:szCs w:val="22"/>
        </w:rPr>
        <w:t>,</w:t>
      </w:r>
      <w:r w:rsidRPr="004B0BC2">
        <w:rPr>
          <w:rFonts w:asciiTheme="minorHAnsi" w:hAnsiTheme="minorHAnsi" w:cstheme="minorHAnsi"/>
          <w:sz w:val="22"/>
          <w:szCs w:val="22"/>
        </w:rPr>
        <w:t xml:space="preserve"> which </w:t>
      </w:r>
      <w:r w:rsidR="00A94EA7" w:rsidRPr="004B0BC2">
        <w:rPr>
          <w:rFonts w:asciiTheme="minorHAnsi" w:hAnsiTheme="minorHAnsi" w:cstheme="minorHAnsi"/>
          <w:sz w:val="22"/>
          <w:szCs w:val="22"/>
        </w:rPr>
        <w:t>m</w:t>
      </w:r>
      <w:r w:rsidR="00A94EA7">
        <w:rPr>
          <w:rFonts w:asciiTheme="minorHAnsi" w:hAnsiTheme="minorHAnsi" w:cstheme="minorHAnsi"/>
          <w:sz w:val="22"/>
          <w:szCs w:val="22"/>
        </w:rPr>
        <w:t>ight</w:t>
      </w:r>
      <w:r w:rsidR="00A94EA7" w:rsidRPr="004B0BC2">
        <w:rPr>
          <w:rFonts w:asciiTheme="minorHAnsi" w:hAnsiTheme="minorHAnsi" w:cstheme="minorHAnsi"/>
          <w:sz w:val="22"/>
          <w:szCs w:val="22"/>
        </w:rPr>
        <w:t xml:space="preserve"> </w:t>
      </w:r>
      <w:r w:rsidRPr="004B0BC2">
        <w:rPr>
          <w:rFonts w:asciiTheme="minorHAnsi" w:hAnsiTheme="minorHAnsi" w:cstheme="minorHAnsi"/>
          <w:sz w:val="22"/>
          <w:szCs w:val="22"/>
        </w:rPr>
        <w:t>also account for</w:t>
      </w:r>
      <w:r w:rsidR="006F43AA" w:rsidRPr="004B0BC2">
        <w:rPr>
          <w:rFonts w:asciiTheme="minorHAnsi" w:hAnsiTheme="minorHAnsi" w:cstheme="minorHAnsi"/>
          <w:sz w:val="22"/>
          <w:szCs w:val="22"/>
        </w:rPr>
        <w:t xml:space="preserve"> sex</w:t>
      </w:r>
      <w:r w:rsidRPr="004B0BC2">
        <w:rPr>
          <w:rFonts w:asciiTheme="minorHAnsi" w:hAnsiTheme="minorHAnsi" w:cstheme="minorHAnsi"/>
          <w:sz w:val="22"/>
          <w:szCs w:val="22"/>
        </w:rPr>
        <w:t xml:space="preserve"> differences in COVID-19 outcomes.</w:t>
      </w:r>
    </w:p>
    <w:p w14:paraId="7E51DCB1" w14:textId="77777777" w:rsidR="002B3484" w:rsidRPr="004B0BC2" w:rsidRDefault="002B3484" w:rsidP="00B66369">
      <w:pPr>
        <w:pStyle w:val="NoSpacing"/>
        <w:spacing w:line="480" w:lineRule="auto"/>
        <w:rPr>
          <w:rFonts w:cstheme="minorHAnsi"/>
          <w:spacing w:val="-3"/>
          <w:sz w:val="22"/>
          <w:szCs w:val="22"/>
        </w:rPr>
      </w:pPr>
    </w:p>
    <w:p w14:paraId="206F5A05" w14:textId="3DB8EDCF" w:rsidR="0093338C" w:rsidRPr="004B0BC2" w:rsidRDefault="00A94EA7" w:rsidP="00B66369">
      <w:pPr>
        <w:pStyle w:val="NoSpacing"/>
        <w:spacing w:line="480" w:lineRule="auto"/>
        <w:rPr>
          <w:rFonts w:cstheme="minorHAnsi"/>
          <w:b/>
          <w:bCs/>
          <w:spacing w:val="-3"/>
          <w:sz w:val="22"/>
          <w:szCs w:val="22"/>
          <w:u w:val="single"/>
        </w:rPr>
      </w:pPr>
      <w:r>
        <w:rPr>
          <w:rFonts w:cstheme="minorHAnsi"/>
          <w:b/>
          <w:bCs/>
          <w:spacing w:val="-3"/>
          <w:sz w:val="22"/>
          <w:szCs w:val="22"/>
          <w:u w:val="single"/>
        </w:rPr>
        <w:t>[H1]Effect of COVID-19</w:t>
      </w:r>
      <w:r w:rsidR="00DA7D13" w:rsidRPr="004B0BC2">
        <w:rPr>
          <w:rFonts w:cstheme="minorHAnsi"/>
          <w:b/>
          <w:bCs/>
          <w:spacing w:val="-3"/>
          <w:sz w:val="22"/>
          <w:szCs w:val="22"/>
          <w:u w:val="single"/>
        </w:rPr>
        <w:t xml:space="preserve"> on </w:t>
      </w:r>
      <w:r w:rsidR="00B47AF7" w:rsidRPr="004B0BC2">
        <w:rPr>
          <w:rFonts w:cstheme="minorHAnsi"/>
          <w:b/>
          <w:bCs/>
          <w:spacing w:val="-3"/>
          <w:sz w:val="22"/>
          <w:szCs w:val="22"/>
          <w:u w:val="single"/>
        </w:rPr>
        <w:t>testicular function</w:t>
      </w:r>
    </w:p>
    <w:p w14:paraId="51708439" w14:textId="46795E4D" w:rsidR="00AA20BB" w:rsidRDefault="00DA7D13" w:rsidP="00B66369">
      <w:pPr>
        <w:pStyle w:val="NoSpacing"/>
        <w:spacing w:line="480" w:lineRule="auto"/>
        <w:rPr>
          <w:rFonts w:cstheme="minorHAnsi"/>
          <w:sz w:val="22"/>
          <w:szCs w:val="22"/>
        </w:rPr>
      </w:pPr>
      <w:r w:rsidRPr="004B0BC2">
        <w:rPr>
          <w:rFonts w:cstheme="minorHAnsi"/>
          <w:sz w:val="22"/>
          <w:szCs w:val="22"/>
        </w:rPr>
        <w:t xml:space="preserve">ACE2 </w:t>
      </w:r>
      <w:r w:rsidR="00A94EA7">
        <w:rPr>
          <w:rFonts w:cstheme="minorHAnsi"/>
          <w:sz w:val="22"/>
          <w:szCs w:val="22"/>
        </w:rPr>
        <w:t>has</w:t>
      </w:r>
      <w:r w:rsidRPr="004B0BC2">
        <w:rPr>
          <w:rFonts w:cstheme="minorHAnsi"/>
          <w:sz w:val="22"/>
          <w:szCs w:val="22"/>
        </w:rPr>
        <w:t xml:space="preserve"> been observed </w:t>
      </w:r>
      <w:r w:rsidR="006E76F9" w:rsidRPr="004B0BC2">
        <w:rPr>
          <w:rFonts w:cstheme="minorHAnsi"/>
          <w:sz w:val="22"/>
          <w:szCs w:val="22"/>
        </w:rPr>
        <w:t>to</w:t>
      </w:r>
      <w:r w:rsidR="00D91E21" w:rsidRPr="004B0BC2">
        <w:rPr>
          <w:rFonts w:cstheme="minorHAnsi"/>
          <w:sz w:val="22"/>
          <w:szCs w:val="22"/>
        </w:rPr>
        <w:t xml:space="preserve"> </w:t>
      </w:r>
      <w:r w:rsidR="006E76F9" w:rsidRPr="004B0BC2">
        <w:rPr>
          <w:rFonts w:cstheme="minorHAnsi"/>
          <w:sz w:val="22"/>
          <w:szCs w:val="22"/>
        </w:rPr>
        <w:t>regulate</w:t>
      </w:r>
      <w:r w:rsidRPr="004B0BC2">
        <w:rPr>
          <w:rFonts w:cstheme="minorHAnsi"/>
          <w:sz w:val="22"/>
          <w:szCs w:val="22"/>
        </w:rPr>
        <w:t xml:space="preserve"> COVID-19 entering human cells</w:t>
      </w:r>
      <w:r w:rsidR="00A46C87" w:rsidRPr="004B0BC2">
        <w:rPr>
          <w:rFonts w:cstheme="minorHAnsi"/>
          <w:sz w:val="22"/>
          <w:szCs w:val="22"/>
        </w:rPr>
        <w:fldChar w:fldCharType="begin" w:fldLock="1"/>
      </w:r>
      <w:r w:rsidR="00693DD5">
        <w:rPr>
          <w:rFonts w:cstheme="minorHAnsi"/>
          <w:sz w:val="22"/>
          <w:szCs w:val="22"/>
        </w:rPr>
        <w:instrText>ADDIN CSL_CITATION {"citationItems":[{"id":"ITEM-1","itemData":{"DOI":"10.1016/j.cell.2020.02.052","ISSN":"10974172","PMID":"32142651","abstract":"The emerging SARS-coronavirus 2 (SARS-CoV-2) threatens public health. Hoffmann and coworkers show that SARS-CoV-2 infection depends on the host cell factors ACE2 and TMPRSS2 and can be blocked by a clinically proven protease inhibitor. These findings might help to establish options for prevention and treatment.","author":[{"dropping-particle":"","family":"Hoffmann","given":"Markus","non-dropping-particle":"","parse-names":false,"suffix":""},{"dropping-particle":"","family":"Kleine-Weber","given":"Hannah","non-dropping-particle":"","parse-names":false,"suffix":""},{"dropping-particle":"","family":"Schroeder","given":"Simon","non-dropping-particle":"","parse-names":false,"suffix":""},{"dropping-particle":"","family":"Krüger","given":"Nadine","non-dropping-particle":"","parse-names":false,"suffix":""},{"dropping-particle":"","family":"Herrler","given":"Tanja","non-dropping-particle":"","parse-names":false,"suffix":""},{"dropping-particle":"","family":"Erichsen","given":"Sandra","non-dropping-particle":"","parse-names":false,"suffix":""},{"dropping-particle":"","family":"Schiergens","given":"Tobias S.","non-dropping-particle":"","parse-names":false,"suffix":""},{"dropping-particle":"","family":"Herrler","given":"Georg","non-dropping-particle":"","parse-names":false,"suffix":""},{"dropping-particle":"","family":"Wu","given":"Nai Huei","non-dropping-particle":"","parse-names":false,"suffix":""},{"dropping-particle":"","family":"Nitsche","given":"Andreas","non-dropping-particle":"","parse-names":false,"suffix":""},{"dropping-particle":"","family":"Müller","given":"Marcel A.","non-dropping-particle":"","parse-names":false,"suffix":""},{"dropping-particle":"","family":"Drosten","given":"Christian","non-dropping-particle":"","parse-names":false,"suffix":""},{"dropping-particle":"","family":"Pöhlmann","given":"Stefan","non-dropping-particle":"","parse-names":false,"suffix":""}],"container-title":"Cell","id":"ITEM-1","issue":"2","issued":{"date-parts":[["2020"]]},"page":"271-280","title":"SARS-CoV-2 Cell Entry Depends on ACE2 and TMPRSS2 and Is Blocked by a Clinically Proven Protease Inhibitor","type":"article-journal","volume":"181"},"uris":["http://www.mendeley.com/documents/?uuid=3e4c7321-8d6f-46a3-9c8b-5acf1e2d197b"]}],"mendeley":{"formattedCitation":"(122)","plainTextFormattedCitation":"(122)","previouslyFormattedCitation":"(122)"},"properties":{"noteIndex":0},"schema":"https://github.com/citation-style-language/schema/raw/master/csl-citation.json"}</w:instrText>
      </w:r>
      <w:r w:rsidR="00A46C87" w:rsidRPr="004B0BC2">
        <w:rPr>
          <w:rFonts w:cstheme="minorHAnsi"/>
          <w:sz w:val="22"/>
          <w:szCs w:val="22"/>
        </w:rPr>
        <w:fldChar w:fldCharType="separate"/>
      </w:r>
      <w:r w:rsidR="00693DD5" w:rsidRPr="00693DD5">
        <w:rPr>
          <w:rFonts w:cstheme="minorHAnsi"/>
          <w:noProof/>
          <w:sz w:val="22"/>
          <w:szCs w:val="22"/>
        </w:rPr>
        <w:t>(122)</w:t>
      </w:r>
      <w:r w:rsidR="00A46C87" w:rsidRPr="004B0BC2">
        <w:rPr>
          <w:rFonts w:cstheme="minorHAnsi"/>
          <w:sz w:val="22"/>
          <w:szCs w:val="22"/>
        </w:rPr>
        <w:fldChar w:fldCharType="end"/>
      </w:r>
      <w:r w:rsidR="00A46C87" w:rsidRPr="004B0BC2">
        <w:rPr>
          <w:rFonts w:cstheme="minorHAnsi"/>
          <w:sz w:val="22"/>
          <w:szCs w:val="22"/>
        </w:rPr>
        <w:fldChar w:fldCharType="begin" w:fldLock="1"/>
      </w:r>
      <w:r w:rsidR="00693DD5">
        <w:rPr>
          <w:rFonts w:cstheme="minorHAnsi"/>
          <w:sz w:val="22"/>
          <w:szCs w:val="22"/>
        </w:rPr>
        <w:instrText>ADDIN CSL_CITATION {"citationItems":[{"id":"ITEM-1","itemData":{"DOI":"10.1038/s41586-020-2012-7","ISSN":"14764687","PMID":"32015507","abstract":"Since the outbreak of severe acute respiratory syndrome (SARS) 18 years ago, a large number of SARS-related coronaviruses (SARSr-CoVs) have been discovered in their natural reservoir host, bats1–4. Previous studies have shown that some bat SARSr-CoVs have the potential to infect humans5–7. Here we report the identification and characterization of a new coronavirus (2019-nCoV), which caused an epidemic of acute respiratory syndrome in humans in Wuhan, China. The epidemic, which started on 12 December 2019, had caused 2,794 laboratory-confirmed infections including 80 deaths by 26 January 2020. Full-length genome sequences were obtained from five patients at an early stage of the outbreak. The sequences are almost identical and share 79.6% sequence identity to SARS-CoV. Furthermore, we show that 2019-nCoV is 96% identical at the whole-genome level to a bat coronavirus. Pairwise protein sequence analysis of seven conserved non-structural proteins domains show that this virus belongs to the species of SARSr-CoV. In addition, 2019-nCoV virus isolated from the bronchoalveolar lavage fluid of a critically ill patient could be neutralized by sera from several patients. Notably, we confirmed that 2019-nCoV uses the same cell entry receptor—angiotensin converting enzyme II (ACE2)—as SARS-CoV.","author":[{"dropping-particle":"","family":"Zhou","given":"Peng","non-dropping-particle":"","parse-names":false,"suffix":""},{"dropping-particle":"Lou","family":"Yang","given":"Xing","non-dropping-particle":"","parse-names":false,"suffix":""},{"dropping-particle":"","family":"Wang","given":"Xian Guang","non-dropping-particle":"","parse-names":false,"suffix":""},{"dropping-particle":"","family":"Hu","given":"Ben","non-dropping-particle":"","parse-names":false,"suffix":""},{"dropping-particle":"","family":"Zhang","given":"Lei","non-dropping-particle":"","parse-names":false,"suffix":""},{"dropping-particle":"","family":"Zhang","given":"Wei","non-dropping-particle":"","parse-names":false,"suffix":""},{"dropping-particle":"","family":"Si","given":"Hao Rui","non-dropping-particle":"","parse-names":false,"suffix":""},{"dropping-particle":"","family":"Zhu","given":"Yan","non-dropping-particle":"","parse-names":false,"suffix":""},{"dropping-particle":"","family":"Li","given":"Bei","non-dropping-particle":"","parse-names":false,"suffix":""},{"dropping-particle":"","family":"Huang","given":"Chao Lin","non-dropping-particle":"","parse-names":false,"suffix":""},{"dropping-particle":"","family":"Chen","given":"Hui Dong","non-dropping-particle":"","parse-names":false,"suffix":""},{"dropping-particle":"","family":"Chen","given":"Jing","non-dropping-particle":"","parse-names":false,"suffix":""},{"dropping-particle":"","family":"Luo","given":"Yun","non-dropping-particle":"","parse-names":false,"suffix":""},{"dropping-particle":"","family":"Guo","given":"Hua","non-dropping-particle":"","parse-names":false,"suffix":""},{"dropping-particle":"Di","family":"Jiang","given":"Ren","non-dropping-particle":"","parse-names":false,"suffix":""},{"dropping-particle":"","family":"Liu","given":"Mei Qin","non-dropping-particle":"","parse-names":false,"suffix":""},{"dropping-particle":"","family":"Chen","given":"Ying","non-dropping-particle":"","parse-names":false,"suffix":""},{"dropping-particle":"","family":"Shen","given":"Xu Rui","non-dropping-particle":"","parse-names":false,"suffix":""},{"dropping-particle":"","family":"Wang","given":"Xi","non-dropping-particle":"","parse-names":false,"suffix":""},{"dropping-particle":"","family":"Zheng","given":"Xiao Shuang","non-dropping-particle":"","parse-names":false,"suffix":""},{"dropping-particle":"","family":"Zhao","given":"Kai","non-dropping-particle":"","parse-names":false,"suffix":""},{"dropping-particle":"","family":"Chen","given":"Quan Jiao","non-dropping-particle":"","parse-names":false,"suffix":""},{"dropping-particle":"","family":"Deng","given":"Fei","non-dropping-particle":"","parse-names":false,"suffix":""},{"dropping-particle":"","family":"Liu","given":"Lin Lin","non-dropping-particle":"","parse-names":false,"suffix":""},{"dropping-particle":"","family":"Yan","given":"Bing","non-dropping-particle":"","parse-names":false,"suffix":""},{"dropping-particle":"","family":"Zhan","given":"Fa Xian","non-dropping-particle":"","parse-names":false,"suffix":""},{"dropping-particle":"","family":"Wang","given":"Yan Yi","non-dropping-particle":"","parse-names":false,"suffix":""},{"dropping-particle":"","family":"Xiao","given":"Geng Fu","non-dropping-particle":"","parse-names":false,"suffix":""},{"dropping-particle":"","family":"Shi","given":"Zheng Li","non-dropping-particle":"","parse-names":false,"suffix":""}],"container-title":"Nature","id":"ITEM-1","issued":{"date-parts":[["2020"]]},"page":"270-273","title":"A pneumonia outbreak associated with a new coronavirus of probable bat origin","type":"article-journal","volume":"579"},"uris":["http://www.mendeley.com/documents/?uuid=f6a00367-4c3e-4ab2-b596-bdc0bb72e80c"]}],"mendeley":{"formattedCitation":"(120)","plainTextFormattedCitation":"(120)","previouslyFormattedCitation":"(120)"},"properties":{"noteIndex":0},"schema":"https://github.com/citation-style-language/schema/raw/master/csl-citation.json"}</w:instrText>
      </w:r>
      <w:r w:rsidR="00A46C87" w:rsidRPr="004B0BC2">
        <w:rPr>
          <w:rFonts w:cstheme="minorHAnsi"/>
          <w:sz w:val="22"/>
          <w:szCs w:val="22"/>
        </w:rPr>
        <w:fldChar w:fldCharType="separate"/>
      </w:r>
      <w:r w:rsidR="00693DD5" w:rsidRPr="00693DD5">
        <w:rPr>
          <w:rFonts w:cstheme="minorHAnsi"/>
          <w:noProof/>
          <w:sz w:val="22"/>
          <w:szCs w:val="22"/>
        </w:rPr>
        <w:t>(120)</w:t>
      </w:r>
      <w:r w:rsidR="00A46C87" w:rsidRPr="004B0BC2">
        <w:rPr>
          <w:rFonts w:cstheme="minorHAnsi"/>
          <w:sz w:val="22"/>
          <w:szCs w:val="22"/>
        </w:rPr>
        <w:fldChar w:fldCharType="end"/>
      </w:r>
      <w:r w:rsidR="00A94EA7">
        <w:rPr>
          <w:rFonts w:cstheme="minorHAnsi"/>
          <w:sz w:val="22"/>
          <w:szCs w:val="22"/>
        </w:rPr>
        <w:t xml:space="preserve"> and</w:t>
      </w:r>
      <w:r w:rsidRPr="004B0BC2">
        <w:rPr>
          <w:rFonts w:cstheme="minorHAnsi"/>
          <w:sz w:val="22"/>
          <w:szCs w:val="22"/>
        </w:rPr>
        <w:t xml:space="preserve"> </w:t>
      </w:r>
      <w:r w:rsidR="00A94EA7">
        <w:rPr>
          <w:rFonts w:cstheme="minorHAnsi"/>
          <w:sz w:val="22"/>
          <w:szCs w:val="22"/>
        </w:rPr>
        <w:t>is</w:t>
      </w:r>
      <w:r w:rsidRPr="004B0BC2">
        <w:rPr>
          <w:rFonts w:cstheme="minorHAnsi"/>
          <w:sz w:val="22"/>
          <w:szCs w:val="22"/>
        </w:rPr>
        <w:t xml:space="preserve"> highly expressed in the testis</w:t>
      </w:r>
      <w:r w:rsidR="00A94EA7">
        <w:rPr>
          <w:rFonts w:cstheme="minorHAnsi"/>
          <w:sz w:val="22"/>
          <w:szCs w:val="22"/>
        </w:rPr>
        <w:t>.</w:t>
      </w:r>
      <w:r w:rsidRPr="004B0BC2">
        <w:rPr>
          <w:rFonts w:cstheme="minorHAnsi"/>
          <w:sz w:val="22"/>
          <w:szCs w:val="22"/>
        </w:rPr>
        <w:t xml:space="preserve"> </w:t>
      </w:r>
      <w:r w:rsidR="00A94EA7">
        <w:rPr>
          <w:rFonts w:cstheme="minorHAnsi"/>
          <w:sz w:val="22"/>
          <w:szCs w:val="22"/>
        </w:rPr>
        <w:t>S</w:t>
      </w:r>
      <w:r w:rsidRPr="004B0BC2">
        <w:rPr>
          <w:rFonts w:cstheme="minorHAnsi"/>
          <w:sz w:val="22"/>
          <w:szCs w:val="22"/>
        </w:rPr>
        <w:t>ingle cell RNA sequencing studies have demonstrated that ACE2 is predominantly enriched in spermatogonia, Leydig cells and Sertoli cells</w:t>
      </w:r>
      <w:r w:rsidR="000540C7" w:rsidRPr="004B0BC2">
        <w:rPr>
          <w:rFonts w:cstheme="minorHAnsi"/>
          <w:sz w:val="22"/>
          <w:szCs w:val="22"/>
        </w:rPr>
        <w:fldChar w:fldCharType="begin" w:fldLock="1"/>
      </w:r>
      <w:r w:rsidR="00693DD5">
        <w:rPr>
          <w:rFonts w:cstheme="minorHAnsi"/>
          <w:sz w:val="22"/>
          <w:szCs w:val="22"/>
        </w:rPr>
        <w:instrText>ADDIN CSL_CITATION {"citationItems":[{"id":"ITEM-1","itemData":{"DOI":"10.20944/PREPRINTS202002.0299.V1","author":[{"dropping-particle":"","family":"Wang","given":"Zhengpin","non-dropping-particle":"","parse-names":false,"suffix":""},{"dropping-particle":"","family":"Xu","given":"Xiaojiang","non-dropping-particle":"","parse-names":false,"suffix":""}],"container-title":"Cells","id":"ITEM-1","issue":"4","issued":{"date-parts":[["2020","2","21"]]},"page":"1-9","publisher":"Preprints","title":"scRNA-seq Profiling of Human Testes Reveals the Presence of ACE2 Receptor, a Target for SARS-CoV-2 Infection, in Spermatogonia, Leydig and Sertoli Cells","type":"article-journal","volume":"9"},"uris":["http://www.mendeley.com/documents/?uuid=585d6e5b-093f-3680-bbed-0e0af18d244a"]}],"mendeley":{"formattedCitation":"(141)","plainTextFormattedCitation":"(141)","previouslyFormattedCitation":"(141)"},"properties":{"noteIndex":0},"schema":"https://github.com/citation-style-language/schema/raw/master/csl-citation.json"}</w:instrText>
      </w:r>
      <w:r w:rsidR="000540C7" w:rsidRPr="004B0BC2">
        <w:rPr>
          <w:rFonts w:cstheme="minorHAnsi"/>
          <w:sz w:val="22"/>
          <w:szCs w:val="22"/>
        </w:rPr>
        <w:fldChar w:fldCharType="separate"/>
      </w:r>
      <w:r w:rsidR="00693DD5" w:rsidRPr="00693DD5">
        <w:rPr>
          <w:rFonts w:cstheme="minorHAnsi"/>
          <w:noProof/>
          <w:sz w:val="22"/>
          <w:szCs w:val="22"/>
        </w:rPr>
        <w:t>(141)</w:t>
      </w:r>
      <w:r w:rsidR="000540C7" w:rsidRPr="004B0BC2">
        <w:rPr>
          <w:rFonts w:cstheme="minorHAnsi"/>
          <w:sz w:val="22"/>
          <w:szCs w:val="22"/>
        </w:rPr>
        <w:fldChar w:fldCharType="end"/>
      </w:r>
      <w:r w:rsidR="00A94EA7">
        <w:rPr>
          <w:rFonts w:cstheme="minorHAnsi"/>
          <w:sz w:val="22"/>
          <w:szCs w:val="22"/>
        </w:rPr>
        <w:t>, which</w:t>
      </w:r>
      <w:r w:rsidRPr="004B0BC2">
        <w:rPr>
          <w:rFonts w:cstheme="minorHAnsi"/>
          <w:sz w:val="22"/>
          <w:szCs w:val="22"/>
        </w:rPr>
        <w:t xml:space="preserve"> suggests that the testis is a potential target for COVID-19 infection</w:t>
      </w:r>
      <w:r w:rsidR="00A94EA7">
        <w:rPr>
          <w:rFonts w:cstheme="minorHAnsi"/>
          <w:sz w:val="22"/>
          <w:szCs w:val="22"/>
        </w:rPr>
        <w:t>; however,</w:t>
      </w:r>
      <w:r w:rsidRPr="004B0BC2">
        <w:rPr>
          <w:rFonts w:cstheme="minorHAnsi"/>
          <w:sz w:val="22"/>
          <w:szCs w:val="22"/>
        </w:rPr>
        <w:t xml:space="preserve"> no human or animal studies have </w:t>
      </w:r>
      <w:r w:rsidR="00F80BA7" w:rsidRPr="004B0BC2">
        <w:rPr>
          <w:rFonts w:cstheme="minorHAnsi"/>
          <w:sz w:val="22"/>
          <w:szCs w:val="22"/>
        </w:rPr>
        <w:t xml:space="preserve">yet </w:t>
      </w:r>
      <w:r w:rsidRPr="004B0BC2">
        <w:rPr>
          <w:rFonts w:cstheme="minorHAnsi"/>
          <w:sz w:val="22"/>
          <w:szCs w:val="22"/>
        </w:rPr>
        <w:t xml:space="preserve">been performed. An initial paper </w:t>
      </w:r>
      <w:r w:rsidR="00A94EA7">
        <w:rPr>
          <w:rFonts w:cstheme="minorHAnsi"/>
          <w:sz w:val="22"/>
          <w:szCs w:val="22"/>
        </w:rPr>
        <w:t xml:space="preserve">that was </w:t>
      </w:r>
      <w:r w:rsidRPr="004B0BC2">
        <w:rPr>
          <w:rFonts w:cstheme="minorHAnsi"/>
          <w:sz w:val="22"/>
          <w:szCs w:val="22"/>
        </w:rPr>
        <w:t>posted on the Hubei government</w:t>
      </w:r>
      <w:r w:rsidR="00A94EA7">
        <w:rPr>
          <w:rFonts w:cstheme="minorHAnsi"/>
          <w:sz w:val="22"/>
          <w:szCs w:val="22"/>
        </w:rPr>
        <w:t>’</w:t>
      </w:r>
      <w:r w:rsidRPr="004B0BC2">
        <w:rPr>
          <w:rFonts w:cstheme="minorHAnsi"/>
          <w:sz w:val="22"/>
          <w:szCs w:val="22"/>
        </w:rPr>
        <w:t>s website</w:t>
      </w:r>
      <w:r w:rsidR="00A94EA7">
        <w:rPr>
          <w:rFonts w:cstheme="minorHAnsi"/>
          <w:sz w:val="22"/>
          <w:szCs w:val="22"/>
        </w:rPr>
        <w:t xml:space="preserve"> and that </w:t>
      </w:r>
      <w:r w:rsidRPr="004B0BC2">
        <w:rPr>
          <w:rFonts w:cstheme="minorHAnsi"/>
          <w:sz w:val="22"/>
          <w:szCs w:val="22"/>
        </w:rPr>
        <w:t>suggest</w:t>
      </w:r>
      <w:r w:rsidR="00A94EA7">
        <w:rPr>
          <w:rFonts w:cstheme="minorHAnsi"/>
          <w:sz w:val="22"/>
          <w:szCs w:val="22"/>
        </w:rPr>
        <w:t>ed</w:t>
      </w:r>
      <w:r w:rsidRPr="004B0BC2">
        <w:rPr>
          <w:rFonts w:cstheme="minorHAnsi"/>
          <w:sz w:val="22"/>
          <w:szCs w:val="22"/>
        </w:rPr>
        <w:t xml:space="preserve"> a link between male infertility and COVID-19 infection</w:t>
      </w:r>
      <w:r w:rsidR="00A94EA7" w:rsidRPr="004B0BC2">
        <w:rPr>
          <w:rFonts w:cstheme="minorHAnsi"/>
          <w:sz w:val="22"/>
          <w:szCs w:val="22"/>
        </w:rPr>
        <w:fldChar w:fldCharType="begin" w:fldLock="1"/>
      </w:r>
      <w:r w:rsidR="00693DD5">
        <w:rPr>
          <w:rFonts w:cstheme="minorHAnsi"/>
          <w:sz w:val="22"/>
          <w:szCs w:val="22"/>
        </w:rPr>
        <w:instrText>ADDIN CSL_CITATION {"citationItems":[{"id":"ITEM-1","itemData":{"DOI":"10.1101/2020.02.12.20022418","URL":"https://doi.org/10.1101/2020.02.12.20022418","accessed":{"date-parts":[["2020","9","19"]]},"author":[{"dropping-particle":"","family":"Fan","given":"Caibin","non-dropping-particle":"","parse-names":false,"suffix":""},{"dropping-particle":"","family":"Li","given":"Kai","non-dropping-particle":"","parse-names":false,"suffix":""},{"dropping-particle":"","family":"Ding","given":"Yanhong","non-dropping-particle":"","parse-names":false,"suffix":""},{"dropping-particle":"","family":"Lu","given":"Wei Lu","non-dropping-particle":"","parse-names":false,"suffix":""},{"dropping-particle":"","family":"Wang","given":"Jianqing","non-dropping-particle":"","parse-names":false,"suffix":""}],"container-title":"medRxiv","id":"ITEM-1","issued":{"date-parts":[["2020"]]},"title":"ACE2 Expression in Kidney and Testis May Cause Kidney and Testis Damage After 2019-nCoV Infection","type":"webpage"},"uris":["http://www.mendeley.com/documents/?uuid=b51baf38-15e4-495d-8eb1-c3224e3f00e9"]}],"mendeley":{"formattedCitation":"(142)","plainTextFormattedCitation":"(142)","previouslyFormattedCitation":"(142)"},"properties":{"noteIndex":0},"schema":"https://github.com/citation-style-language/schema/raw/master/csl-citation.json"}</w:instrText>
      </w:r>
      <w:r w:rsidR="00A94EA7" w:rsidRPr="004B0BC2">
        <w:rPr>
          <w:rFonts w:cstheme="minorHAnsi"/>
          <w:sz w:val="22"/>
          <w:szCs w:val="22"/>
        </w:rPr>
        <w:fldChar w:fldCharType="separate"/>
      </w:r>
      <w:r w:rsidR="00693DD5" w:rsidRPr="00693DD5">
        <w:rPr>
          <w:rFonts w:cstheme="minorHAnsi"/>
          <w:noProof/>
          <w:sz w:val="22"/>
          <w:szCs w:val="22"/>
        </w:rPr>
        <w:t>(142)</w:t>
      </w:r>
      <w:r w:rsidR="00A94EA7" w:rsidRPr="004B0BC2">
        <w:rPr>
          <w:rFonts w:cstheme="minorHAnsi"/>
          <w:sz w:val="22"/>
          <w:szCs w:val="22"/>
        </w:rPr>
        <w:fldChar w:fldCharType="end"/>
      </w:r>
      <w:r w:rsidRPr="004B0BC2">
        <w:rPr>
          <w:rFonts w:cstheme="minorHAnsi"/>
          <w:sz w:val="22"/>
          <w:szCs w:val="22"/>
        </w:rPr>
        <w:t xml:space="preserve"> has since been </w:t>
      </w:r>
      <w:r w:rsidR="00FF407F" w:rsidRPr="004B0BC2">
        <w:rPr>
          <w:rFonts w:cstheme="minorHAnsi"/>
          <w:sz w:val="22"/>
          <w:szCs w:val="22"/>
        </w:rPr>
        <w:t xml:space="preserve">criticised </w:t>
      </w:r>
      <w:r w:rsidRPr="004B0BC2">
        <w:rPr>
          <w:rFonts w:cstheme="minorHAnsi"/>
          <w:sz w:val="22"/>
          <w:szCs w:val="22"/>
        </w:rPr>
        <w:t xml:space="preserve">as it did not include any clinical </w:t>
      </w:r>
      <w:r w:rsidR="00A94EA7">
        <w:rPr>
          <w:rFonts w:cstheme="minorHAnsi"/>
          <w:sz w:val="22"/>
          <w:szCs w:val="22"/>
        </w:rPr>
        <w:t>data</w:t>
      </w:r>
      <w:r w:rsidR="00A94EA7" w:rsidRPr="004B0BC2">
        <w:rPr>
          <w:rFonts w:cstheme="minorHAnsi"/>
          <w:sz w:val="22"/>
          <w:szCs w:val="22"/>
        </w:rPr>
        <w:t xml:space="preserve"> </w:t>
      </w:r>
      <w:r w:rsidRPr="004B0BC2">
        <w:rPr>
          <w:rFonts w:cstheme="minorHAnsi"/>
          <w:sz w:val="22"/>
          <w:szCs w:val="22"/>
        </w:rPr>
        <w:t xml:space="preserve">and was purely theoretical. </w:t>
      </w:r>
      <w:r w:rsidR="00A94EA7">
        <w:rPr>
          <w:rFonts w:cstheme="minorHAnsi"/>
          <w:sz w:val="22"/>
          <w:szCs w:val="22"/>
        </w:rPr>
        <w:t>Although</w:t>
      </w:r>
      <w:r w:rsidRPr="004B0BC2">
        <w:rPr>
          <w:rFonts w:cstheme="minorHAnsi"/>
          <w:sz w:val="22"/>
          <w:szCs w:val="22"/>
        </w:rPr>
        <w:t xml:space="preserve"> speculat</w:t>
      </w:r>
      <w:r w:rsidR="00A94EA7">
        <w:rPr>
          <w:rFonts w:cstheme="minorHAnsi"/>
          <w:sz w:val="22"/>
          <w:szCs w:val="22"/>
        </w:rPr>
        <w:t>ion around</w:t>
      </w:r>
      <w:r w:rsidRPr="004B0BC2">
        <w:rPr>
          <w:rFonts w:cstheme="minorHAnsi"/>
          <w:sz w:val="22"/>
          <w:szCs w:val="22"/>
        </w:rPr>
        <w:t xml:space="preserve"> the </w:t>
      </w:r>
      <w:r w:rsidR="00A94EA7">
        <w:rPr>
          <w:rFonts w:cstheme="minorHAnsi"/>
          <w:sz w:val="22"/>
          <w:szCs w:val="22"/>
        </w:rPr>
        <w:t>effe</w:t>
      </w:r>
      <w:r w:rsidR="00A94EA7" w:rsidRPr="004B0BC2">
        <w:rPr>
          <w:rFonts w:cstheme="minorHAnsi"/>
          <w:sz w:val="22"/>
          <w:szCs w:val="22"/>
        </w:rPr>
        <w:t xml:space="preserve">ct </w:t>
      </w:r>
      <w:r w:rsidRPr="004B0BC2">
        <w:rPr>
          <w:rFonts w:cstheme="minorHAnsi"/>
          <w:sz w:val="22"/>
          <w:szCs w:val="22"/>
        </w:rPr>
        <w:t>of COVID-19 on male fertility</w:t>
      </w:r>
      <w:r w:rsidR="00A94EA7">
        <w:rPr>
          <w:rFonts w:cstheme="minorHAnsi"/>
          <w:sz w:val="22"/>
          <w:szCs w:val="22"/>
        </w:rPr>
        <w:t xml:space="preserve"> is premature</w:t>
      </w:r>
      <w:r w:rsidRPr="004B0BC2">
        <w:rPr>
          <w:rFonts w:cstheme="minorHAnsi"/>
          <w:sz w:val="22"/>
          <w:szCs w:val="22"/>
        </w:rPr>
        <w:t xml:space="preserve">, some (albeit limited) data </w:t>
      </w:r>
      <w:r w:rsidR="00807771" w:rsidRPr="004B0BC2">
        <w:rPr>
          <w:rFonts w:cstheme="minorHAnsi"/>
          <w:sz w:val="22"/>
          <w:szCs w:val="22"/>
        </w:rPr>
        <w:t xml:space="preserve">show that </w:t>
      </w:r>
      <w:r w:rsidR="00A94EA7">
        <w:rPr>
          <w:rFonts w:cstheme="minorHAnsi"/>
          <w:sz w:val="22"/>
          <w:szCs w:val="22"/>
        </w:rPr>
        <w:t xml:space="preserve">COVID-19 </w:t>
      </w:r>
      <w:r w:rsidR="00807771" w:rsidRPr="004B0BC2">
        <w:rPr>
          <w:rFonts w:cstheme="minorHAnsi"/>
          <w:sz w:val="22"/>
          <w:szCs w:val="22"/>
        </w:rPr>
        <w:t>infection</w:t>
      </w:r>
      <w:r w:rsidR="007A1BE9">
        <w:rPr>
          <w:rFonts w:cstheme="minorHAnsi"/>
          <w:sz w:val="22"/>
          <w:szCs w:val="22"/>
        </w:rPr>
        <w:t xml:space="preserve"> in humans might affect the hypothalamic</w:t>
      </w:r>
      <w:r w:rsidR="00215887">
        <w:rPr>
          <w:rFonts w:cstheme="minorHAnsi"/>
          <w:sz w:val="22"/>
          <w:szCs w:val="22"/>
        </w:rPr>
        <w:t>–</w:t>
      </w:r>
      <w:r w:rsidR="007A1BE9">
        <w:rPr>
          <w:rFonts w:cstheme="minorHAnsi"/>
          <w:sz w:val="22"/>
          <w:szCs w:val="22"/>
        </w:rPr>
        <w:t>pituitary</w:t>
      </w:r>
      <w:r w:rsidR="00215887">
        <w:rPr>
          <w:rFonts w:cstheme="minorHAnsi"/>
          <w:sz w:val="22"/>
          <w:szCs w:val="22"/>
        </w:rPr>
        <w:t>–</w:t>
      </w:r>
      <w:r w:rsidR="007A1BE9">
        <w:rPr>
          <w:rFonts w:cstheme="minorHAnsi"/>
          <w:sz w:val="22"/>
          <w:szCs w:val="22"/>
        </w:rPr>
        <w:t xml:space="preserve">gonadal axis. </w:t>
      </w:r>
      <w:r w:rsidR="00215887">
        <w:rPr>
          <w:rFonts w:cstheme="minorHAnsi"/>
          <w:sz w:val="22"/>
          <w:szCs w:val="22"/>
        </w:rPr>
        <w:t>C</w:t>
      </w:r>
      <w:r w:rsidR="007A1BE9">
        <w:rPr>
          <w:rFonts w:cstheme="minorHAnsi"/>
          <w:sz w:val="22"/>
          <w:szCs w:val="22"/>
        </w:rPr>
        <w:t>ompar</w:t>
      </w:r>
      <w:r w:rsidR="00215887">
        <w:rPr>
          <w:rFonts w:cstheme="minorHAnsi"/>
          <w:sz w:val="22"/>
          <w:szCs w:val="22"/>
        </w:rPr>
        <w:t>ison of</w:t>
      </w:r>
      <w:r w:rsidR="007A1BE9">
        <w:rPr>
          <w:rFonts w:cstheme="minorHAnsi"/>
          <w:sz w:val="22"/>
          <w:szCs w:val="22"/>
        </w:rPr>
        <w:t xml:space="preserve"> sex hormone profiles in 81 men diagnosed with COVI9-19 at Wuhun Leishenshan hopital with 100 age-matched healthy men</w:t>
      </w:r>
      <w:r w:rsidR="00215887">
        <w:rPr>
          <w:rFonts w:cstheme="minorHAnsi"/>
          <w:sz w:val="22"/>
          <w:szCs w:val="22"/>
        </w:rPr>
        <w:t xml:space="preserve">(143) showed </w:t>
      </w:r>
      <w:r w:rsidR="007A1BE9">
        <w:rPr>
          <w:rFonts w:cstheme="minorHAnsi"/>
          <w:sz w:val="22"/>
          <w:szCs w:val="22"/>
        </w:rPr>
        <w:t xml:space="preserve">that COVID-19 infection </w:t>
      </w:r>
      <w:r w:rsidR="00A94EA7">
        <w:rPr>
          <w:rFonts w:cstheme="minorHAnsi"/>
          <w:sz w:val="22"/>
          <w:szCs w:val="22"/>
        </w:rPr>
        <w:t xml:space="preserve">was associated with </w:t>
      </w:r>
      <w:r w:rsidR="00807771" w:rsidRPr="004B0BC2">
        <w:rPr>
          <w:rFonts w:cstheme="minorHAnsi"/>
          <w:sz w:val="22"/>
          <w:szCs w:val="22"/>
        </w:rPr>
        <w:t>a</w:t>
      </w:r>
      <w:r w:rsidR="00A94EA7">
        <w:rPr>
          <w:rFonts w:cstheme="minorHAnsi"/>
          <w:sz w:val="22"/>
          <w:szCs w:val="22"/>
        </w:rPr>
        <w:t>n</w:t>
      </w:r>
      <w:r w:rsidR="00807771" w:rsidRPr="004B0BC2">
        <w:rPr>
          <w:rFonts w:cstheme="minorHAnsi"/>
          <w:sz w:val="22"/>
          <w:szCs w:val="22"/>
        </w:rPr>
        <w:t xml:space="preserve"> </w:t>
      </w:r>
      <w:r w:rsidR="00A94EA7">
        <w:rPr>
          <w:rFonts w:cstheme="minorHAnsi"/>
          <w:sz w:val="22"/>
          <w:szCs w:val="22"/>
        </w:rPr>
        <w:t xml:space="preserve">increased level of serum LH than was seen </w:t>
      </w:r>
      <w:r w:rsidR="007A1BE9">
        <w:rPr>
          <w:rFonts w:cstheme="minorHAnsi"/>
          <w:sz w:val="22"/>
          <w:szCs w:val="22"/>
        </w:rPr>
        <w:t>in the</w:t>
      </w:r>
      <w:r w:rsidR="00807771" w:rsidRPr="004B0BC2">
        <w:rPr>
          <w:rFonts w:cstheme="minorHAnsi"/>
          <w:sz w:val="22"/>
          <w:szCs w:val="22"/>
        </w:rPr>
        <w:t xml:space="preserve"> control</w:t>
      </w:r>
      <w:r w:rsidR="007A1BE9">
        <w:rPr>
          <w:rFonts w:cstheme="minorHAnsi"/>
          <w:sz w:val="22"/>
          <w:szCs w:val="22"/>
        </w:rPr>
        <w:t xml:space="preserve"> cohort</w:t>
      </w:r>
      <w:r w:rsidR="00136252" w:rsidRPr="004B0BC2">
        <w:rPr>
          <w:rFonts w:cstheme="minorHAnsi"/>
          <w:sz w:val="22"/>
          <w:szCs w:val="22"/>
        </w:rPr>
        <w:t xml:space="preserve"> (LH (mIU/ml) median value 5.93 v</w:t>
      </w:r>
      <w:r w:rsidR="00215887">
        <w:rPr>
          <w:rFonts w:cstheme="minorHAnsi"/>
          <w:sz w:val="22"/>
          <w:szCs w:val="22"/>
        </w:rPr>
        <w:t>ersu</w:t>
      </w:r>
      <w:r w:rsidR="00136252" w:rsidRPr="004B0BC2">
        <w:rPr>
          <w:rFonts w:cstheme="minorHAnsi"/>
          <w:sz w:val="22"/>
          <w:szCs w:val="22"/>
        </w:rPr>
        <w:t xml:space="preserve">s 3.28, p&lt;0.0001) </w:t>
      </w:r>
      <w:r w:rsidR="00807771" w:rsidRPr="004B0BC2">
        <w:rPr>
          <w:rFonts w:cstheme="minorHAnsi"/>
          <w:sz w:val="22"/>
          <w:szCs w:val="22"/>
        </w:rPr>
        <w:fldChar w:fldCharType="begin" w:fldLock="1"/>
      </w:r>
      <w:r w:rsidR="00693DD5">
        <w:rPr>
          <w:rFonts w:cstheme="minorHAnsi"/>
          <w:sz w:val="22"/>
          <w:szCs w:val="22"/>
        </w:rPr>
        <w:instrText>ADDIN CSL_CITATION {"citationItems":[{"id":"ITEM-1","itemData":{"DOI":"10.1101/2020.03.21.20037267","URL":"https://doi.org/10.1101/2020.03.21.20037267","accessed":{"date-parts":[["2020","5","3"]]},"author":[{"dropping-particle":"","family":"Ma","given":"Ling","non-dropping-particle":"","parse-names":false,"suffix":""},{"dropping-particle":"","family":"Xie","given":"Wen","non-dropping-particle":"","parse-names":false,"suffix":""},{"dropping-particle":"","family":"Li","given":"Danyang","non-dropping-particle":"","parse-names":false,"suffix":""},{"dropping-particle":"","family":"Shi","given":"Lei","non-dropping-particle":"","parse-names":false,"suffix":""},{"dropping-particle":"","family":"Mao","given":"Yanhong","non-dropping-particle":"","parse-names":false,"suffix":""},{"dropping-particle":"","family":"Xiong","given":"Yao","non-dropping-particle":"","parse-names":false,"suffix":""},{"dropping-particle":"","family":"Zhang","given":"Yuanzhen","non-dropping-particle":"","parse-names":false,"suffix":""},{"dropping-particle":"","family":"Zhang","given":"Ming","non-dropping-particle":"","parse-names":false,"suffix":""}],"container-title":"medRxiv","id":"ITEM-1","issued":{"date-parts":[["2020"]]},"title":"Effect of SARS-CoV-2 infection upon male gonadal function: A single center-based study","type":"webpage"},"uris":["http://www.mendeley.com/documents/?uuid=0d1cb2ea-fe6c-33a3-a4a1-d66f4021c3a5"]}],"mendeley":{"formattedCitation":"(143)","plainTextFormattedCitation":"(143)","previouslyFormattedCitation":"(143)"},"properties":{"noteIndex":0},"schema":"https://github.com/citation-style-language/schema/raw/master/csl-citation.json"}</w:instrText>
      </w:r>
      <w:r w:rsidR="00807771" w:rsidRPr="004B0BC2">
        <w:rPr>
          <w:rFonts w:cstheme="minorHAnsi"/>
          <w:sz w:val="22"/>
          <w:szCs w:val="22"/>
        </w:rPr>
        <w:fldChar w:fldCharType="separate"/>
      </w:r>
      <w:r w:rsidR="00693DD5" w:rsidRPr="00693DD5">
        <w:rPr>
          <w:rFonts w:cstheme="minorHAnsi"/>
          <w:noProof/>
          <w:sz w:val="22"/>
          <w:szCs w:val="22"/>
        </w:rPr>
        <w:t>(143)</w:t>
      </w:r>
      <w:r w:rsidR="00807771" w:rsidRPr="004B0BC2">
        <w:rPr>
          <w:rFonts w:cstheme="minorHAnsi"/>
          <w:sz w:val="22"/>
          <w:szCs w:val="22"/>
        </w:rPr>
        <w:fldChar w:fldCharType="end"/>
      </w:r>
      <w:r w:rsidR="00AA20BB">
        <w:rPr>
          <w:rFonts w:cstheme="minorHAnsi"/>
          <w:sz w:val="22"/>
          <w:szCs w:val="22"/>
        </w:rPr>
        <w:t xml:space="preserve">.  </w:t>
      </w:r>
      <w:r w:rsidR="00523CB7">
        <w:rPr>
          <w:rFonts w:cstheme="minorHAnsi"/>
          <w:sz w:val="22"/>
          <w:szCs w:val="22"/>
        </w:rPr>
        <w:t xml:space="preserve">Although </w:t>
      </w:r>
      <w:r w:rsidR="00AA20BB">
        <w:rPr>
          <w:rFonts w:cstheme="minorHAnsi"/>
          <w:sz w:val="22"/>
          <w:szCs w:val="22"/>
        </w:rPr>
        <w:t>no significant difference</w:t>
      </w:r>
      <w:r w:rsidR="00215887">
        <w:rPr>
          <w:rFonts w:cstheme="minorHAnsi"/>
          <w:sz w:val="22"/>
          <w:szCs w:val="22"/>
        </w:rPr>
        <w:t xml:space="preserve"> was seen</w:t>
      </w:r>
      <w:r w:rsidR="00AA20BB">
        <w:rPr>
          <w:rFonts w:cstheme="minorHAnsi"/>
          <w:sz w:val="22"/>
          <w:szCs w:val="22"/>
        </w:rPr>
        <w:t xml:space="preserve"> in testosterone levels between the two cohorts</w:t>
      </w:r>
      <w:r w:rsidR="00523CB7">
        <w:rPr>
          <w:rFonts w:cstheme="minorHAnsi"/>
          <w:sz w:val="22"/>
          <w:szCs w:val="22"/>
        </w:rPr>
        <w:t xml:space="preserve">, </w:t>
      </w:r>
      <w:r w:rsidR="00AA20BB">
        <w:rPr>
          <w:rFonts w:cstheme="minorHAnsi"/>
          <w:sz w:val="22"/>
          <w:szCs w:val="22"/>
        </w:rPr>
        <w:t xml:space="preserve">the </w:t>
      </w:r>
      <w:r w:rsidR="00AA20BB">
        <w:rPr>
          <w:rFonts w:cstheme="minorHAnsi"/>
          <w:sz w:val="22"/>
          <w:szCs w:val="22"/>
        </w:rPr>
        <w:lastRenderedPageBreak/>
        <w:t xml:space="preserve">authors speculated that the increased LH was due to a positive feedback effect of COVID-19 causing reduced testicular function. </w:t>
      </w:r>
    </w:p>
    <w:p w14:paraId="21E9F286" w14:textId="247866B7" w:rsidR="00AA20BB" w:rsidRPr="006A2298" w:rsidRDefault="00AA20BB" w:rsidP="000242C7">
      <w:pPr>
        <w:spacing w:line="480" w:lineRule="auto"/>
        <w:rPr>
          <w:rFonts w:cstheme="minorHAnsi"/>
          <w:sz w:val="22"/>
          <w:szCs w:val="22"/>
        </w:rPr>
      </w:pPr>
      <w:r w:rsidRPr="000242C7">
        <w:rPr>
          <w:rFonts w:asciiTheme="minorHAnsi" w:hAnsiTheme="minorHAnsi" w:cstheme="minorHAnsi"/>
          <w:sz w:val="22"/>
          <w:szCs w:val="22"/>
        </w:rPr>
        <w:t>Ruan et al.</w:t>
      </w:r>
      <w:r w:rsidR="00693DD5">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{"citationItems":[{"id":"ITEM-1","itemData":{"DOI":"10.1111/ANDR.12939","ISSN":"2047-2927","abstract":"Background: The coronavirus disease 2019 (COVID-19) has been spreading all over the world since December 2019. However, medical information regarding the urogenital involvement in recovered COVID-19 patients is limited or unknown. Objectives: To comprehensively evaluate urogenital involvement in recovered COVID-19 patients. Materials and methods: Men aged between 20 years and 50 years who were diagnosed with SARS-CoV-2 infection and recovered when the study was conducted were enrolled in our study. Demographic and clinical characteristics, and history of hospitalization were collected and analyzed. Urine, expressed prostatic secretions (EPSs), and semen samples were collected for SARS-CoV-2 RNA detection. Semen quality and hormonal profiles were analyzed. Results: Among 74 male recovered COVID-19 patients, 11 (14.9%) were asymptomatic, classified into mild type, and 31 (41.9%) were classified into moderate type. The remaining patients (32/74, 43.2%) had severe pneumonia. No critically ill recovered COVID-19 patient was recruited in our cohort. The median interval between last positive pharyngeal swab RT-PCR test and semen samples collection was 80 days (IQR, 64-93). The median age was 31 years (IQR, 27-36; range, 21-49), and the median body mass index (BMI) was 24.40 (IQR, 22.55-27.30). Forty-five (61.6%) men were married, and 28 (38.4%) were unmarried. Fifty-three (72.6%) patients denied cigarette smoking, 18 (24.7%) were active smokers, and 2 of them were past smokers. The majority of our participants (53/74, 72.6%) did not consume alcohol. Fever occurred in most of the patients (75.3%), and 63 of them had abnormal chest CT images. Only one patient complained of scrotal discomfort during the course of COVID-19, which was ruled out orchitis by MRI (data not shown). A total of 205 samples were collected for SARS-CoV-2 detection (74 urine samples, 70 semen samples, and 61 EPS samples). However, viral nucleic acid was not detected in body fluids from the urogenital system. In terms of hormonal profiles, the levels of FSH, LH, testosterone, and estradiol were 5.20 [4.23] mIU/mL, 3.95 [1.63] mIU/mL, 3.65 [1.19] ng/mL, and 39.48 [12.51] pg/mL, respectively. And these values were within the normal limits. The overall semen quality of recovered COVID-19 patients was above the lower reference limit released by the WHO. While compared with healthy control, sperm concentration, total sperm count, and total motility were significantly declined. In addition, differ…","author":[{"dropping-particle":"","family":"Ruan","given":"Yajun","non-dropping-particle":"","parse-names":false,"suffix":""},{"dropping-particle":"","family":"Hu","given":"Bintao","non-dropping-particle":"","parse-names":false,"suffix":""},{"dropping-particle":"","family":"Liu","given":"Zhuo","non-dropping-particle":"","parse-names":false,"suffix":""},{"dropping-particle":"","family":"Liu","given":"Kang","non-dropping-particle":"","parse-names":false,"suffix":""},{"dropping-particle":"","family":"Jiang","given":"Hongyang","non-dropping-particle":"","parse-names":false,"suffix":""},{"dropping-particle":"","family":"Li","given":"Hao","non-dropping-particle":"","parse-names":false,"suffix":""},{"dropping-particle":"","family":"Li","given":"Rui","non-dropping-particle":"","parse-names":false,"suffix":""},{"dropping-particle":"","family":"Luan","given":"Yang","non-dropping-particle":"","parse-names":false,"suffix":""},{"dropping-particle":"","family":"Liu","given":"Xiaming","non-dropping-particle":"","parse-names":false,"suffix":""},{"dropping-particle":"","family":"Yu","given":"Gan","non-dropping-particle":"","parse-names":false,"suffix":""},{"dropping-particle":"","family":"Xu","given":"Shengfei","non-dropping-particle":"","parse-names":false,"suffix":""},{"dropping-particle":"","family":"Yuan","given":"Xiaoyi","non-dropping-particle":"","parse-names":false,"suffix":""},{"dropping-particle":"","family":"Wang","given":"Shaogang","non-dropping-particle":"","parse-names":false,"suffix":""},{"dropping-particle":"","family":"Yang","given":"Weimin","non-dropping-particle":"","parse-names":false,"suffix":""},{"dropping-particle":"","family":"Ye","given":"Zhangqun","non-dropping-particle":"","parse-names":false,"suffix":""},{"dropping-particle":"","family":"Liu","given":"Jihong","non-dropping-particle":"","parse-names":false,"suffix":""},{"dropping-particle":"","family":"Wang","given":"Tao","non-dropping-particle":"","parse-names":false,"suffix":""}],"container-title":"Andrology","id":"ITEM-1","issue":"1","issued":{"date-parts":[["2021","1","1"]]},"page":"99-106","publisher":"John Wiley &amp; Sons, Ltd","title":"No detection of SARS-CoV-2 from urine, expressed prostatic secretions, and semen in 74 recovered COVID-19 male patients: A perspective and urogenital evaluation","type":"article-journal","volume":"9"},"uris":["http://www.mendeley.com/documents/?uuid=457828d8-83e3-3773-b46e-40268b9ffcda"]}],"mendeley":{"formattedCitation":"(144)","plainTextFormattedCitation":"(144)","previouslyFormattedCitation":"(144)"},"properties":{"noteIndex":0},"schema":"https://github.com/citation-style-language/schema/raw/master/csl-citation.json"}</w:instrText>
      </w:r>
      <w:r w:rsidR="00693DD5">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(144)</w:t>
      </w:r>
      <w:r w:rsidR="00693DD5">
        <w:rPr>
          <w:rFonts w:asciiTheme="minorHAnsi" w:hAnsiTheme="minorHAnsi" w:cstheme="minorHAnsi"/>
          <w:sz w:val="22"/>
          <w:szCs w:val="22"/>
        </w:rPr>
        <w:fldChar w:fldCharType="end"/>
      </w:r>
      <w:r w:rsidRPr="000242C7">
        <w:rPr>
          <w:rFonts w:asciiTheme="minorHAnsi" w:hAnsiTheme="minorHAnsi" w:cstheme="minorHAnsi"/>
          <w:sz w:val="22"/>
          <w:szCs w:val="22"/>
        </w:rPr>
        <w:t xml:space="preserve"> </w:t>
      </w:r>
      <w:r w:rsidR="00523CB7" w:rsidRPr="000242C7">
        <w:rPr>
          <w:rFonts w:asciiTheme="minorHAnsi" w:hAnsiTheme="minorHAnsi" w:cstheme="minorHAnsi"/>
          <w:sz w:val="22"/>
          <w:szCs w:val="22"/>
        </w:rPr>
        <w:t>compared</w:t>
      </w:r>
      <w:r w:rsidR="004E3CAB" w:rsidRPr="000242C7">
        <w:rPr>
          <w:rFonts w:asciiTheme="minorHAnsi" w:hAnsiTheme="minorHAnsi" w:cstheme="minorHAnsi"/>
          <w:sz w:val="22"/>
          <w:szCs w:val="22"/>
        </w:rPr>
        <w:t xml:space="preserve"> the semen analyses of 55 men who had recovered from COVID-19 infection </w:t>
      </w:r>
      <w:r w:rsidR="00693DD5">
        <w:rPr>
          <w:rFonts w:asciiTheme="minorHAnsi" w:hAnsiTheme="minorHAnsi" w:cstheme="minorHAnsi"/>
          <w:sz w:val="22"/>
          <w:szCs w:val="22"/>
        </w:rPr>
        <w:t>(</w:t>
      </w:r>
      <w:r w:rsidR="00215887">
        <w:rPr>
          <w:rFonts w:asciiTheme="minorHAnsi" w:hAnsiTheme="minorHAnsi" w:cstheme="minorHAnsi"/>
          <w:color w:val="1C1D1E"/>
          <w:sz w:val="22"/>
          <w:szCs w:val="22"/>
          <w:shd w:val="clear" w:color="auto" w:fill="FFFFFF"/>
        </w:rPr>
        <w:t>t</w:t>
      </w:r>
      <w:r w:rsidR="004E3CAB" w:rsidRPr="000242C7">
        <w:rPr>
          <w:rFonts w:asciiTheme="minorHAnsi" w:hAnsiTheme="minorHAnsi" w:cstheme="minorHAnsi"/>
          <w:color w:val="1C1D1E"/>
          <w:sz w:val="22"/>
          <w:szCs w:val="22"/>
          <w:shd w:val="clear" w:color="auto" w:fill="FFFFFF"/>
        </w:rPr>
        <w:t>he median interval between last positive pharyngeal swab RT-PCR test and semen samples collection was 80 days</w:t>
      </w:r>
      <w:r w:rsidR="0053080F">
        <w:rPr>
          <w:rFonts w:asciiTheme="minorHAnsi" w:hAnsiTheme="minorHAnsi" w:cstheme="minorHAnsi"/>
          <w:color w:val="1C1D1E"/>
          <w:sz w:val="22"/>
          <w:szCs w:val="22"/>
          <w:shd w:val="clear" w:color="auto" w:fill="FFFFFF"/>
        </w:rPr>
        <w:t xml:space="preserve"> (interquart</w:t>
      </w:r>
      <w:r w:rsidR="00215887">
        <w:rPr>
          <w:rFonts w:asciiTheme="minorHAnsi" w:hAnsiTheme="minorHAnsi" w:cstheme="minorHAnsi"/>
          <w:color w:val="1C1D1E"/>
          <w:sz w:val="22"/>
          <w:szCs w:val="22"/>
          <w:shd w:val="clear" w:color="auto" w:fill="FFFFFF"/>
        </w:rPr>
        <w:t>i</w:t>
      </w:r>
      <w:r w:rsidR="0053080F">
        <w:rPr>
          <w:rFonts w:asciiTheme="minorHAnsi" w:hAnsiTheme="minorHAnsi" w:cstheme="minorHAnsi"/>
          <w:color w:val="1C1D1E"/>
          <w:sz w:val="22"/>
          <w:szCs w:val="22"/>
          <w:shd w:val="clear" w:color="auto" w:fill="FFFFFF"/>
        </w:rPr>
        <w:t>le range 64</w:t>
      </w:r>
      <w:r w:rsidR="00215887">
        <w:rPr>
          <w:rFonts w:asciiTheme="minorHAnsi" w:hAnsiTheme="minorHAnsi" w:cstheme="minorHAnsi"/>
          <w:color w:val="1C1D1E"/>
          <w:sz w:val="22"/>
          <w:szCs w:val="22"/>
          <w:shd w:val="clear" w:color="auto" w:fill="FFFFFF"/>
        </w:rPr>
        <w:t>–</w:t>
      </w:r>
      <w:r w:rsidR="0053080F">
        <w:rPr>
          <w:rFonts w:asciiTheme="minorHAnsi" w:hAnsiTheme="minorHAnsi" w:cstheme="minorHAnsi"/>
          <w:color w:val="1C1D1E"/>
          <w:sz w:val="22"/>
          <w:szCs w:val="22"/>
          <w:shd w:val="clear" w:color="auto" w:fill="FFFFFF"/>
        </w:rPr>
        <w:t>93</w:t>
      </w:r>
      <w:r w:rsidR="00215887">
        <w:rPr>
          <w:rFonts w:asciiTheme="minorHAnsi" w:hAnsiTheme="minorHAnsi" w:cstheme="minorHAnsi"/>
          <w:color w:val="1C1D1E"/>
          <w:sz w:val="22"/>
          <w:szCs w:val="22"/>
          <w:shd w:val="clear" w:color="auto" w:fill="FFFFFF"/>
        </w:rPr>
        <w:t xml:space="preserve"> days</w:t>
      </w:r>
      <w:r w:rsidR="004E3CAB" w:rsidRPr="000242C7">
        <w:rPr>
          <w:rFonts w:asciiTheme="minorHAnsi" w:hAnsiTheme="minorHAnsi" w:cstheme="minorHAnsi"/>
          <w:color w:val="1C1D1E"/>
          <w:sz w:val="22"/>
          <w:szCs w:val="22"/>
          <w:shd w:val="clear" w:color="auto" w:fill="FFFFFF"/>
        </w:rPr>
        <w:t>)</w:t>
      </w:r>
      <w:r w:rsidR="00693DD5">
        <w:rPr>
          <w:rFonts w:asciiTheme="minorHAnsi" w:hAnsiTheme="minorHAnsi" w:cstheme="minorHAnsi"/>
          <w:color w:val="1C1D1E"/>
          <w:sz w:val="22"/>
          <w:szCs w:val="22"/>
          <w:shd w:val="clear" w:color="auto" w:fill="FFFFFF"/>
        </w:rPr>
        <w:t>)</w:t>
      </w:r>
      <w:r w:rsidR="004E3CAB" w:rsidRPr="000242C7">
        <w:rPr>
          <w:rFonts w:asciiTheme="minorHAnsi" w:hAnsiTheme="minorHAnsi" w:cstheme="minorHAnsi"/>
          <w:color w:val="1C1D1E"/>
          <w:sz w:val="22"/>
          <w:szCs w:val="22"/>
          <w:shd w:val="clear" w:color="auto" w:fill="FFFFFF"/>
        </w:rPr>
        <w:t xml:space="preserve"> </w:t>
      </w:r>
      <w:r w:rsidR="004E3CAB" w:rsidRPr="000242C7">
        <w:rPr>
          <w:rFonts w:asciiTheme="minorHAnsi" w:hAnsiTheme="minorHAnsi" w:cstheme="minorHAnsi"/>
          <w:sz w:val="22"/>
          <w:szCs w:val="22"/>
        </w:rPr>
        <w:t>with 145 age</w:t>
      </w:r>
      <w:r w:rsidR="00215887">
        <w:rPr>
          <w:rFonts w:asciiTheme="minorHAnsi" w:hAnsiTheme="minorHAnsi" w:cstheme="minorHAnsi"/>
          <w:sz w:val="22"/>
          <w:szCs w:val="22"/>
        </w:rPr>
        <w:t>-</w:t>
      </w:r>
      <w:r w:rsidR="004E3CAB" w:rsidRPr="000242C7">
        <w:rPr>
          <w:rFonts w:asciiTheme="minorHAnsi" w:hAnsiTheme="minorHAnsi" w:cstheme="minorHAnsi"/>
          <w:sz w:val="22"/>
          <w:szCs w:val="22"/>
        </w:rPr>
        <w:t>matched healthy control</w:t>
      </w:r>
      <w:r w:rsidR="00215887">
        <w:rPr>
          <w:rFonts w:asciiTheme="minorHAnsi" w:hAnsiTheme="minorHAnsi" w:cstheme="minorHAnsi"/>
          <w:sz w:val="22"/>
          <w:szCs w:val="22"/>
        </w:rPr>
        <w:t xml:space="preserve"> patient</w:t>
      </w:r>
      <w:r w:rsidR="004E3CAB" w:rsidRPr="000242C7">
        <w:rPr>
          <w:rFonts w:asciiTheme="minorHAnsi" w:hAnsiTheme="minorHAnsi" w:cstheme="minorHAnsi"/>
          <w:sz w:val="22"/>
          <w:szCs w:val="22"/>
        </w:rPr>
        <w:t>s</w:t>
      </w:r>
      <w:r w:rsidR="00523CB7" w:rsidRPr="000242C7">
        <w:rPr>
          <w:rFonts w:asciiTheme="minorHAnsi" w:hAnsiTheme="minorHAnsi" w:cstheme="minorHAnsi"/>
          <w:sz w:val="22"/>
          <w:szCs w:val="22"/>
        </w:rPr>
        <w:t>. The authors reported</w:t>
      </w:r>
      <w:r w:rsidR="004E3CAB" w:rsidRPr="000242C7">
        <w:rPr>
          <w:rFonts w:asciiTheme="minorHAnsi" w:hAnsiTheme="minorHAnsi" w:cstheme="minorHAnsi"/>
          <w:sz w:val="22"/>
          <w:szCs w:val="22"/>
        </w:rPr>
        <w:t xml:space="preserve"> a significantly </w:t>
      </w:r>
      <w:r w:rsidR="00523CB7" w:rsidRPr="000242C7">
        <w:rPr>
          <w:rFonts w:asciiTheme="minorHAnsi" w:hAnsiTheme="minorHAnsi" w:cstheme="minorHAnsi"/>
          <w:sz w:val="22"/>
          <w:szCs w:val="22"/>
        </w:rPr>
        <w:t>lower</w:t>
      </w:r>
      <w:r w:rsidR="004E3CAB" w:rsidRPr="000242C7">
        <w:rPr>
          <w:rFonts w:asciiTheme="minorHAnsi" w:hAnsiTheme="minorHAnsi" w:cstheme="minorHAnsi"/>
          <w:sz w:val="22"/>
          <w:szCs w:val="22"/>
        </w:rPr>
        <w:t xml:space="preserve"> sperm concentration</w:t>
      </w:r>
      <w:r w:rsidR="00523CB7" w:rsidRPr="000242C7">
        <w:rPr>
          <w:rFonts w:asciiTheme="minorHAnsi" w:hAnsiTheme="minorHAnsi" w:cstheme="minorHAnsi"/>
          <w:sz w:val="22"/>
          <w:szCs w:val="22"/>
        </w:rPr>
        <w:t xml:space="preserve"> (66.41 v</w:t>
      </w:r>
      <w:r w:rsidR="00215887">
        <w:rPr>
          <w:rFonts w:asciiTheme="minorHAnsi" w:hAnsiTheme="minorHAnsi" w:cstheme="minorHAnsi"/>
          <w:sz w:val="22"/>
          <w:szCs w:val="22"/>
        </w:rPr>
        <w:t>ersu</w:t>
      </w:r>
      <w:r w:rsidR="00523CB7" w:rsidRPr="000242C7">
        <w:rPr>
          <w:rFonts w:asciiTheme="minorHAnsi" w:hAnsiTheme="minorHAnsi" w:cstheme="minorHAnsi"/>
          <w:sz w:val="22"/>
          <w:szCs w:val="22"/>
        </w:rPr>
        <w:t>s 81.34, p=0.0428)</w:t>
      </w:r>
      <w:r w:rsidR="004E3CAB" w:rsidRPr="000242C7">
        <w:rPr>
          <w:rFonts w:asciiTheme="minorHAnsi" w:hAnsiTheme="minorHAnsi" w:cstheme="minorHAnsi"/>
          <w:sz w:val="22"/>
          <w:szCs w:val="22"/>
        </w:rPr>
        <w:t xml:space="preserve"> and total motility</w:t>
      </w:r>
      <w:r w:rsidR="00523CB7" w:rsidRPr="000242C7">
        <w:rPr>
          <w:rFonts w:asciiTheme="minorHAnsi" w:hAnsiTheme="minorHAnsi" w:cstheme="minorHAnsi"/>
          <w:sz w:val="22"/>
          <w:szCs w:val="22"/>
        </w:rPr>
        <w:t xml:space="preserve"> (48.89 v</w:t>
      </w:r>
      <w:r w:rsidR="00215887">
        <w:rPr>
          <w:rFonts w:asciiTheme="minorHAnsi" w:hAnsiTheme="minorHAnsi" w:cstheme="minorHAnsi"/>
          <w:sz w:val="22"/>
          <w:szCs w:val="22"/>
        </w:rPr>
        <w:t>ersus</w:t>
      </w:r>
      <w:r w:rsidR="00523CB7" w:rsidRPr="000242C7">
        <w:rPr>
          <w:rFonts w:asciiTheme="minorHAnsi" w:hAnsiTheme="minorHAnsi" w:cstheme="minorHAnsi"/>
          <w:sz w:val="22"/>
          <w:szCs w:val="22"/>
        </w:rPr>
        <w:t>s 56.38, p&lt;0.001)</w:t>
      </w:r>
      <w:r w:rsidR="004E3CAB" w:rsidRPr="000242C7">
        <w:rPr>
          <w:rFonts w:asciiTheme="minorHAnsi" w:hAnsiTheme="minorHAnsi" w:cstheme="minorHAnsi"/>
          <w:sz w:val="22"/>
          <w:szCs w:val="22"/>
        </w:rPr>
        <w:t xml:space="preserve"> in th</w:t>
      </w:r>
      <w:r w:rsidR="00523CB7" w:rsidRPr="000242C7">
        <w:rPr>
          <w:rFonts w:asciiTheme="minorHAnsi" w:hAnsiTheme="minorHAnsi" w:cstheme="minorHAnsi"/>
          <w:sz w:val="22"/>
          <w:szCs w:val="22"/>
        </w:rPr>
        <w:t xml:space="preserve">ose with a history of COVID-19 compared </w:t>
      </w:r>
      <w:r w:rsidR="00215887">
        <w:rPr>
          <w:rFonts w:asciiTheme="minorHAnsi" w:hAnsiTheme="minorHAnsi" w:cstheme="minorHAnsi"/>
          <w:sz w:val="22"/>
          <w:szCs w:val="22"/>
        </w:rPr>
        <w:t>with</w:t>
      </w:r>
      <w:r w:rsidR="00523CB7" w:rsidRPr="000242C7">
        <w:rPr>
          <w:rFonts w:asciiTheme="minorHAnsi" w:hAnsiTheme="minorHAnsi" w:cstheme="minorHAnsi"/>
          <w:sz w:val="22"/>
          <w:szCs w:val="22"/>
        </w:rPr>
        <w:t xml:space="preserve"> the control cohort. However, both sperm concentration and total motility</w:t>
      </w:r>
      <w:r w:rsidR="008E6290">
        <w:rPr>
          <w:rFonts w:asciiTheme="minorHAnsi" w:hAnsiTheme="minorHAnsi" w:cstheme="minorHAnsi"/>
          <w:sz w:val="22"/>
          <w:szCs w:val="22"/>
        </w:rPr>
        <w:t xml:space="preserve"> for both cohorts</w:t>
      </w:r>
      <w:r w:rsidR="00523CB7" w:rsidRPr="000242C7">
        <w:rPr>
          <w:rFonts w:asciiTheme="minorHAnsi" w:hAnsiTheme="minorHAnsi" w:cstheme="minorHAnsi"/>
          <w:sz w:val="22"/>
          <w:szCs w:val="22"/>
        </w:rPr>
        <w:t xml:space="preserve"> were above the WHO recommended </w:t>
      </w:r>
      <w:r w:rsidR="008E6290">
        <w:rPr>
          <w:rFonts w:asciiTheme="minorHAnsi" w:hAnsiTheme="minorHAnsi" w:cstheme="minorHAnsi"/>
          <w:sz w:val="22"/>
          <w:szCs w:val="22"/>
        </w:rPr>
        <w:t>reference ranges</w:t>
      </w:r>
      <w:r w:rsidR="0053080F">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{"citationItems":[{"id":"ITEM-1","itemData":{"ISBN":"9789241547789","author":[{"dropping-particle":"","family":"World Health Organization Department of Reproductive Health and Research","given":"","non-dropping-particle":"","parse-names":false,"suffix":""}],"id":"ITEM-1","issued":{"date-parts":[["2010"]]},"title":"WHO laboratory manual for the Examination and processing of human semen, fifth edition","type":"book"},"uris":["http://www.mendeley.com/documents/?uuid=7d49f002-613f-3963-9bdc-b357a7f18de4"]}],"mendeley":{"formattedCitation":"(145)","plainTextFormattedCitation":"(145)","previouslyFormattedCitation":"(145)"},"properties":{"noteIndex":0},"schema":"https://github.com/citation-style-language/schema/raw/master/csl-citation.json"}</w:instrText>
      </w:r>
      <w:r w:rsidR="0053080F">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(145)</w:t>
      </w:r>
      <w:r w:rsidR="0053080F">
        <w:rPr>
          <w:rFonts w:asciiTheme="minorHAnsi" w:hAnsiTheme="minorHAnsi" w:cstheme="minorHAnsi"/>
          <w:sz w:val="22"/>
          <w:szCs w:val="22"/>
        </w:rPr>
        <w:fldChar w:fldCharType="end"/>
      </w:r>
      <w:r w:rsidR="0053080F">
        <w:rPr>
          <w:rFonts w:cstheme="minorHAnsi"/>
        </w:rPr>
        <w:t xml:space="preserve"> </w:t>
      </w:r>
      <w:r w:rsidR="00523CB7" w:rsidRPr="000242C7">
        <w:rPr>
          <w:rFonts w:asciiTheme="minorHAnsi" w:hAnsiTheme="minorHAnsi" w:cstheme="minorHAnsi"/>
          <w:sz w:val="22"/>
          <w:szCs w:val="22"/>
        </w:rPr>
        <w:t>for these parameters and it is</w:t>
      </w:r>
      <w:r w:rsidR="00215887">
        <w:rPr>
          <w:rFonts w:asciiTheme="minorHAnsi" w:hAnsiTheme="minorHAnsi" w:cstheme="minorHAnsi"/>
          <w:sz w:val="22"/>
          <w:szCs w:val="22"/>
        </w:rPr>
        <w:t>, therefore,</w:t>
      </w:r>
      <w:r w:rsidR="00523CB7" w:rsidRPr="000242C7">
        <w:rPr>
          <w:rFonts w:asciiTheme="minorHAnsi" w:hAnsiTheme="minorHAnsi" w:cstheme="minorHAnsi"/>
          <w:sz w:val="22"/>
          <w:szCs w:val="22"/>
        </w:rPr>
        <w:t>unclear whether COVID-19 a</w:t>
      </w:r>
      <w:r w:rsidR="00215887">
        <w:rPr>
          <w:rFonts w:asciiTheme="minorHAnsi" w:hAnsiTheme="minorHAnsi" w:cstheme="minorHAnsi"/>
          <w:sz w:val="22"/>
          <w:szCs w:val="22"/>
        </w:rPr>
        <w:t>ffe</w:t>
      </w:r>
      <w:r w:rsidR="00523CB7" w:rsidRPr="000242C7">
        <w:rPr>
          <w:rFonts w:asciiTheme="minorHAnsi" w:hAnsiTheme="minorHAnsi" w:cstheme="minorHAnsi"/>
          <w:sz w:val="22"/>
          <w:szCs w:val="22"/>
        </w:rPr>
        <w:t xml:space="preserve">cts male fertility. </w:t>
      </w:r>
    </w:p>
    <w:p w14:paraId="4AD468F1" w14:textId="31E5D62E" w:rsidR="00702EA6" w:rsidRPr="004B0BC2" w:rsidRDefault="00807771" w:rsidP="00B66369">
      <w:pPr>
        <w:pStyle w:val="NoSpacing"/>
        <w:spacing w:line="480" w:lineRule="auto"/>
        <w:rPr>
          <w:rFonts w:cstheme="minorHAnsi"/>
          <w:sz w:val="22"/>
          <w:szCs w:val="22"/>
        </w:rPr>
      </w:pPr>
      <w:r w:rsidRPr="004B0BC2">
        <w:rPr>
          <w:rFonts w:cstheme="minorHAnsi"/>
          <w:sz w:val="22"/>
          <w:szCs w:val="22"/>
        </w:rPr>
        <w:t>Th</w:t>
      </w:r>
      <w:r w:rsidR="00215887">
        <w:rPr>
          <w:rFonts w:cstheme="minorHAnsi"/>
          <w:sz w:val="22"/>
          <w:szCs w:val="22"/>
        </w:rPr>
        <w:t>us</w:t>
      </w:r>
      <w:r w:rsidR="0053080F">
        <w:rPr>
          <w:rFonts w:cstheme="minorHAnsi"/>
          <w:sz w:val="22"/>
          <w:szCs w:val="22"/>
        </w:rPr>
        <w:t xml:space="preserve">, </w:t>
      </w:r>
      <w:r w:rsidR="00DA7D13" w:rsidRPr="004B0BC2">
        <w:rPr>
          <w:rFonts w:cstheme="minorHAnsi"/>
          <w:sz w:val="22"/>
          <w:szCs w:val="22"/>
        </w:rPr>
        <w:t xml:space="preserve"> COVID-19 infection </w:t>
      </w:r>
      <w:r w:rsidR="00F5730F">
        <w:rPr>
          <w:rFonts w:cstheme="minorHAnsi"/>
          <w:sz w:val="22"/>
          <w:szCs w:val="22"/>
        </w:rPr>
        <w:t xml:space="preserve">could </w:t>
      </w:r>
      <w:r w:rsidR="00DA7D13" w:rsidRPr="004B0BC2">
        <w:rPr>
          <w:rFonts w:cstheme="minorHAnsi"/>
          <w:sz w:val="22"/>
          <w:szCs w:val="22"/>
        </w:rPr>
        <w:t xml:space="preserve">have longstanding implications for young men </w:t>
      </w:r>
      <w:r w:rsidR="00AC08F6" w:rsidRPr="004B0BC2">
        <w:rPr>
          <w:rFonts w:cstheme="minorHAnsi"/>
          <w:sz w:val="22"/>
          <w:szCs w:val="22"/>
        </w:rPr>
        <w:t xml:space="preserve">of </w:t>
      </w:r>
      <w:r w:rsidR="00DA7D13" w:rsidRPr="004B0BC2">
        <w:rPr>
          <w:rFonts w:cstheme="minorHAnsi"/>
          <w:sz w:val="22"/>
          <w:szCs w:val="22"/>
        </w:rPr>
        <w:t>reproductive age.</w:t>
      </w:r>
      <w:r w:rsidR="00F5730F">
        <w:rPr>
          <w:rFonts w:cstheme="minorHAnsi"/>
          <w:sz w:val="22"/>
          <w:szCs w:val="22"/>
        </w:rPr>
        <w:t xml:space="preserve"> </w:t>
      </w:r>
    </w:p>
    <w:p w14:paraId="1E16B1D4" w14:textId="77777777" w:rsidR="007D3ABD" w:rsidRPr="004B0BC2" w:rsidRDefault="007D3ABD" w:rsidP="00B66369">
      <w:pPr>
        <w:pStyle w:val="NoSpacing"/>
        <w:spacing w:line="480" w:lineRule="auto"/>
        <w:rPr>
          <w:rFonts w:cstheme="minorHAnsi"/>
          <w:b/>
          <w:bCs/>
          <w:spacing w:val="-3"/>
          <w:sz w:val="22"/>
          <w:szCs w:val="22"/>
          <w:u w:val="single"/>
        </w:rPr>
      </w:pPr>
    </w:p>
    <w:p w14:paraId="33D74625" w14:textId="4E1AB6AC" w:rsidR="007523AA" w:rsidRPr="004B0BC2" w:rsidRDefault="00F5730F" w:rsidP="00B66369">
      <w:pPr>
        <w:pStyle w:val="NoSpacing"/>
        <w:spacing w:line="480" w:lineRule="auto"/>
        <w:rPr>
          <w:rFonts w:cstheme="minorHAnsi"/>
          <w:spacing w:val="-3"/>
          <w:sz w:val="22"/>
          <w:szCs w:val="22"/>
        </w:rPr>
      </w:pPr>
      <w:r>
        <w:rPr>
          <w:rFonts w:cstheme="minorHAnsi"/>
          <w:b/>
          <w:bCs/>
          <w:spacing w:val="-3"/>
          <w:sz w:val="22"/>
          <w:szCs w:val="22"/>
          <w:u w:val="single"/>
        </w:rPr>
        <w:t>[H1]</w:t>
      </w:r>
      <w:r w:rsidR="00497D4B" w:rsidRPr="004B0BC2">
        <w:rPr>
          <w:rFonts w:cstheme="minorHAnsi"/>
          <w:b/>
          <w:bCs/>
          <w:spacing w:val="-3"/>
          <w:sz w:val="22"/>
          <w:szCs w:val="22"/>
          <w:u w:val="single"/>
        </w:rPr>
        <w:t>An i</w:t>
      </w:r>
      <w:r w:rsidR="002B3484" w:rsidRPr="004B0BC2">
        <w:rPr>
          <w:rFonts w:cstheme="minorHAnsi"/>
          <w:b/>
          <w:bCs/>
          <w:spacing w:val="-3"/>
          <w:sz w:val="22"/>
          <w:szCs w:val="22"/>
          <w:u w:val="single"/>
        </w:rPr>
        <w:t>mpetus</w:t>
      </w:r>
      <w:r w:rsidR="007523AA" w:rsidRPr="004B0BC2">
        <w:rPr>
          <w:rFonts w:cstheme="minorHAnsi"/>
          <w:b/>
          <w:bCs/>
          <w:spacing w:val="-3"/>
          <w:sz w:val="22"/>
          <w:szCs w:val="22"/>
          <w:u w:val="single"/>
        </w:rPr>
        <w:t xml:space="preserve"> for </w:t>
      </w:r>
      <w:r w:rsidR="00AC08F6" w:rsidRPr="004B0BC2">
        <w:rPr>
          <w:rFonts w:cstheme="minorHAnsi"/>
          <w:b/>
          <w:bCs/>
          <w:spacing w:val="-3"/>
          <w:sz w:val="22"/>
          <w:szCs w:val="22"/>
          <w:u w:val="single"/>
        </w:rPr>
        <w:t xml:space="preserve">social </w:t>
      </w:r>
      <w:r w:rsidR="007523AA" w:rsidRPr="004B0BC2">
        <w:rPr>
          <w:rFonts w:cstheme="minorHAnsi"/>
          <w:b/>
          <w:bCs/>
          <w:spacing w:val="-3"/>
          <w:sz w:val="22"/>
          <w:szCs w:val="22"/>
          <w:u w:val="single"/>
        </w:rPr>
        <w:t>change</w:t>
      </w:r>
      <w:r w:rsidR="00B47AF7" w:rsidRPr="004B0BC2">
        <w:rPr>
          <w:rFonts w:cstheme="minorHAnsi"/>
          <w:b/>
          <w:bCs/>
          <w:spacing w:val="-3"/>
          <w:sz w:val="22"/>
          <w:szCs w:val="22"/>
          <w:u w:val="single"/>
        </w:rPr>
        <w:t xml:space="preserve"> </w:t>
      </w:r>
    </w:p>
    <w:p w14:paraId="4F76EA96" w14:textId="7274E1DD" w:rsidR="00C15BD5" w:rsidRPr="004B0BC2" w:rsidRDefault="0053080F" w:rsidP="00B66369">
      <w:pPr>
        <w:pStyle w:val="NoSpacing"/>
        <w:spacing w:line="480" w:lineRule="auto"/>
        <w:rPr>
          <w:rFonts w:cstheme="minorHAnsi"/>
          <w:spacing w:val="-3"/>
          <w:sz w:val="22"/>
          <w:szCs w:val="22"/>
        </w:rPr>
      </w:pPr>
      <w:r>
        <w:rPr>
          <w:rFonts w:cstheme="minorHAnsi"/>
          <w:spacing w:val="-3"/>
          <w:sz w:val="22"/>
          <w:szCs w:val="22"/>
        </w:rPr>
        <w:t>O</w:t>
      </w:r>
      <w:r w:rsidR="00C15BD5" w:rsidRPr="004B0BC2">
        <w:rPr>
          <w:rFonts w:cstheme="minorHAnsi"/>
          <w:spacing w:val="-3"/>
          <w:sz w:val="22"/>
          <w:szCs w:val="22"/>
        </w:rPr>
        <w:t>ne of the enduring les</w:t>
      </w:r>
      <w:r w:rsidR="00176BAF" w:rsidRPr="004B0BC2">
        <w:rPr>
          <w:rFonts w:cstheme="minorHAnsi"/>
          <w:spacing w:val="-3"/>
          <w:sz w:val="22"/>
          <w:szCs w:val="22"/>
        </w:rPr>
        <w:t>s</w:t>
      </w:r>
      <w:r w:rsidR="00C15BD5" w:rsidRPr="004B0BC2">
        <w:rPr>
          <w:rFonts w:cstheme="minorHAnsi"/>
          <w:spacing w:val="-3"/>
          <w:sz w:val="22"/>
          <w:szCs w:val="22"/>
        </w:rPr>
        <w:t>on</w:t>
      </w:r>
      <w:r w:rsidR="00176BAF" w:rsidRPr="004B0BC2">
        <w:rPr>
          <w:rFonts w:cstheme="minorHAnsi"/>
          <w:spacing w:val="-3"/>
          <w:sz w:val="22"/>
          <w:szCs w:val="22"/>
        </w:rPr>
        <w:t>s</w:t>
      </w:r>
      <w:r w:rsidR="00C15BD5" w:rsidRPr="004B0BC2">
        <w:rPr>
          <w:rFonts w:cstheme="minorHAnsi"/>
          <w:spacing w:val="-3"/>
          <w:sz w:val="22"/>
          <w:szCs w:val="22"/>
        </w:rPr>
        <w:t xml:space="preserve"> </w:t>
      </w:r>
      <w:r w:rsidR="00F5730F">
        <w:rPr>
          <w:rFonts w:cstheme="minorHAnsi"/>
          <w:spacing w:val="-3"/>
          <w:sz w:val="22"/>
          <w:szCs w:val="22"/>
        </w:rPr>
        <w:t>of the pandemic is the way in which</w:t>
      </w:r>
      <w:r w:rsidR="00176BAF" w:rsidRPr="004B0BC2">
        <w:rPr>
          <w:rFonts w:cstheme="minorHAnsi"/>
          <w:spacing w:val="-3"/>
          <w:sz w:val="22"/>
          <w:szCs w:val="22"/>
        </w:rPr>
        <w:t xml:space="preserve"> it</w:t>
      </w:r>
      <w:r w:rsidR="00C15BD5" w:rsidRPr="004B0BC2">
        <w:rPr>
          <w:rFonts w:cstheme="minorHAnsi"/>
          <w:spacing w:val="-3"/>
          <w:sz w:val="22"/>
          <w:szCs w:val="22"/>
        </w:rPr>
        <w:t xml:space="preserve"> has magnified current health</w:t>
      </w:r>
      <w:r w:rsidR="00F5730F">
        <w:rPr>
          <w:rFonts w:cstheme="minorHAnsi"/>
          <w:spacing w:val="-3"/>
          <w:sz w:val="22"/>
          <w:szCs w:val="22"/>
        </w:rPr>
        <w:t>-</w:t>
      </w:r>
      <w:r w:rsidR="00C15BD5" w:rsidRPr="004B0BC2">
        <w:rPr>
          <w:rFonts w:cstheme="minorHAnsi"/>
          <w:spacing w:val="-3"/>
          <w:sz w:val="22"/>
          <w:szCs w:val="22"/>
        </w:rPr>
        <w:t xml:space="preserve">care </w:t>
      </w:r>
      <w:r w:rsidR="00497D4B" w:rsidRPr="004B0BC2">
        <w:rPr>
          <w:rFonts w:cstheme="minorHAnsi"/>
          <w:spacing w:val="-3"/>
          <w:sz w:val="22"/>
          <w:szCs w:val="22"/>
        </w:rPr>
        <w:t>inequalities and</w:t>
      </w:r>
      <w:r w:rsidR="00FF407F" w:rsidRPr="004B0BC2">
        <w:rPr>
          <w:rFonts w:cstheme="minorHAnsi"/>
          <w:spacing w:val="-3"/>
          <w:sz w:val="22"/>
          <w:szCs w:val="22"/>
        </w:rPr>
        <w:t xml:space="preserve"> highlighted</w:t>
      </w:r>
      <w:r w:rsidR="00497D4B" w:rsidRPr="004B0BC2">
        <w:rPr>
          <w:rFonts w:cstheme="minorHAnsi"/>
          <w:spacing w:val="-3"/>
          <w:sz w:val="22"/>
          <w:szCs w:val="22"/>
        </w:rPr>
        <w:t xml:space="preserve"> the</w:t>
      </w:r>
      <w:r w:rsidR="00D45E45" w:rsidRPr="004B0BC2">
        <w:rPr>
          <w:rFonts w:cstheme="minorHAnsi"/>
          <w:spacing w:val="-3"/>
          <w:sz w:val="22"/>
          <w:szCs w:val="22"/>
        </w:rPr>
        <w:t xml:space="preserve"> urgent</w:t>
      </w:r>
      <w:r w:rsidR="00497D4B" w:rsidRPr="004B0BC2">
        <w:rPr>
          <w:rFonts w:cstheme="minorHAnsi"/>
          <w:spacing w:val="-3"/>
          <w:sz w:val="22"/>
          <w:szCs w:val="22"/>
        </w:rPr>
        <w:t xml:space="preserve"> need for reform</w:t>
      </w:r>
      <w:r w:rsidR="00C15BD5" w:rsidRPr="004B0BC2">
        <w:rPr>
          <w:rFonts w:cstheme="minorHAnsi"/>
          <w:spacing w:val="-3"/>
          <w:sz w:val="22"/>
          <w:szCs w:val="22"/>
        </w:rPr>
        <w:t>.</w:t>
      </w:r>
      <w:r w:rsidR="00176BAF" w:rsidRPr="004B0BC2">
        <w:rPr>
          <w:rFonts w:cstheme="minorHAnsi"/>
          <w:spacing w:val="-3"/>
          <w:sz w:val="22"/>
          <w:szCs w:val="22"/>
        </w:rPr>
        <w:t xml:space="preserve"> </w:t>
      </w:r>
      <w:r w:rsidR="00F5730F">
        <w:rPr>
          <w:rFonts w:cstheme="minorHAnsi"/>
          <w:spacing w:val="-3"/>
          <w:sz w:val="22"/>
          <w:szCs w:val="22"/>
        </w:rPr>
        <w:t>He</w:t>
      </w:r>
      <w:r w:rsidR="00C15BD5" w:rsidRPr="004B0BC2">
        <w:rPr>
          <w:rFonts w:cstheme="minorHAnsi"/>
          <w:spacing w:val="-3"/>
          <w:sz w:val="22"/>
          <w:szCs w:val="22"/>
        </w:rPr>
        <w:t>alth</w:t>
      </w:r>
      <w:r w:rsidR="00F5730F">
        <w:rPr>
          <w:rFonts w:cstheme="minorHAnsi"/>
          <w:spacing w:val="-3"/>
          <w:sz w:val="22"/>
          <w:szCs w:val="22"/>
        </w:rPr>
        <w:t>-</w:t>
      </w:r>
      <w:r w:rsidR="00C15BD5" w:rsidRPr="004B0BC2">
        <w:rPr>
          <w:rFonts w:cstheme="minorHAnsi"/>
          <w:spacing w:val="-3"/>
          <w:sz w:val="22"/>
          <w:szCs w:val="22"/>
        </w:rPr>
        <w:t>care system</w:t>
      </w:r>
      <w:r w:rsidR="003B6353" w:rsidRPr="004B0BC2">
        <w:rPr>
          <w:rFonts w:cstheme="minorHAnsi"/>
          <w:spacing w:val="-3"/>
          <w:sz w:val="22"/>
          <w:szCs w:val="22"/>
        </w:rPr>
        <w:t>s</w:t>
      </w:r>
      <w:r w:rsidR="00C15BD5" w:rsidRPr="004B0BC2">
        <w:rPr>
          <w:rFonts w:cstheme="minorHAnsi"/>
          <w:spacing w:val="-3"/>
          <w:sz w:val="22"/>
          <w:szCs w:val="22"/>
        </w:rPr>
        <w:t xml:space="preserve"> </w:t>
      </w:r>
      <w:r w:rsidR="00F5730F">
        <w:rPr>
          <w:rFonts w:ascii="Calibri" w:hAnsi="Calibri" w:cs="Calibri"/>
          <w:spacing w:val="-3"/>
          <w:sz w:val="22"/>
          <w:szCs w:val="22"/>
        </w:rPr>
        <w:t>—</w:t>
      </w:r>
      <w:r w:rsidR="00F5730F">
        <w:rPr>
          <w:rFonts w:cstheme="minorHAnsi"/>
          <w:spacing w:val="-3"/>
          <w:sz w:val="22"/>
          <w:szCs w:val="22"/>
        </w:rPr>
        <w:t xml:space="preserve"> </w:t>
      </w:r>
      <w:r w:rsidR="00FF407F" w:rsidRPr="004B0BC2">
        <w:rPr>
          <w:rFonts w:cstheme="minorHAnsi"/>
          <w:spacing w:val="-3"/>
          <w:sz w:val="22"/>
          <w:szCs w:val="22"/>
        </w:rPr>
        <w:t xml:space="preserve">both </w:t>
      </w:r>
      <w:r w:rsidR="003B6353" w:rsidRPr="004B0BC2">
        <w:rPr>
          <w:rFonts w:cstheme="minorHAnsi"/>
          <w:spacing w:val="-3"/>
          <w:sz w:val="22"/>
          <w:szCs w:val="22"/>
        </w:rPr>
        <w:t>historical</w:t>
      </w:r>
      <w:r w:rsidR="00FF407F" w:rsidRPr="004B0BC2">
        <w:rPr>
          <w:rFonts w:cstheme="minorHAnsi"/>
          <w:spacing w:val="-3"/>
          <w:sz w:val="22"/>
          <w:szCs w:val="22"/>
        </w:rPr>
        <w:t>ly and currently</w:t>
      </w:r>
      <w:r w:rsidR="00F5730F">
        <w:rPr>
          <w:rFonts w:cstheme="minorHAnsi"/>
          <w:spacing w:val="-3"/>
          <w:sz w:val="22"/>
          <w:szCs w:val="22"/>
        </w:rPr>
        <w:t xml:space="preserve"> </w:t>
      </w:r>
      <w:r w:rsidR="00F5730F">
        <w:rPr>
          <w:rFonts w:ascii="Calibri" w:hAnsi="Calibri" w:cs="Calibri"/>
          <w:spacing w:val="-3"/>
          <w:sz w:val="22"/>
          <w:szCs w:val="22"/>
        </w:rPr>
        <w:t>—</w:t>
      </w:r>
      <w:r w:rsidR="003B6353" w:rsidRPr="004B0BC2">
        <w:rPr>
          <w:rFonts w:cstheme="minorHAnsi"/>
          <w:spacing w:val="-3"/>
          <w:sz w:val="22"/>
          <w:szCs w:val="22"/>
        </w:rPr>
        <w:t xml:space="preserve"> </w:t>
      </w:r>
      <w:r w:rsidR="00F5730F">
        <w:rPr>
          <w:rFonts w:cstheme="minorHAnsi"/>
          <w:spacing w:val="-3"/>
          <w:sz w:val="22"/>
          <w:szCs w:val="22"/>
        </w:rPr>
        <w:t>hav</w:t>
      </w:r>
      <w:r w:rsidR="00F5730F" w:rsidRPr="004B0BC2">
        <w:rPr>
          <w:rFonts w:cstheme="minorHAnsi"/>
          <w:spacing w:val="-3"/>
          <w:sz w:val="22"/>
          <w:szCs w:val="22"/>
        </w:rPr>
        <w:t xml:space="preserve">e </w:t>
      </w:r>
      <w:r w:rsidR="00C15BD5" w:rsidRPr="004B0BC2">
        <w:rPr>
          <w:rFonts w:cstheme="minorHAnsi"/>
          <w:spacing w:val="-3"/>
          <w:sz w:val="22"/>
          <w:szCs w:val="22"/>
        </w:rPr>
        <w:t>fail</w:t>
      </w:r>
      <w:r w:rsidR="00F5730F">
        <w:rPr>
          <w:rFonts w:cstheme="minorHAnsi"/>
          <w:spacing w:val="-3"/>
          <w:sz w:val="22"/>
          <w:szCs w:val="22"/>
        </w:rPr>
        <w:t>ed</w:t>
      </w:r>
      <w:r w:rsidR="003B6353" w:rsidRPr="004B0BC2">
        <w:rPr>
          <w:rFonts w:cstheme="minorHAnsi"/>
          <w:spacing w:val="-3"/>
          <w:sz w:val="22"/>
          <w:szCs w:val="22"/>
        </w:rPr>
        <w:t xml:space="preserve"> the</w:t>
      </w:r>
      <w:r w:rsidR="00C15BD5" w:rsidRPr="004B0BC2">
        <w:rPr>
          <w:rFonts w:cstheme="minorHAnsi"/>
          <w:spacing w:val="-3"/>
          <w:sz w:val="22"/>
          <w:szCs w:val="22"/>
        </w:rPr>
        <w:t xml:space="preserve"> </w:t>
      </w:r>
      <w:r w:rsidR="003B6353" w:rsidRPr="004B0BC2">
        <w:rPr>
          <w:rFonts w:cstheme="minorHAnsi"/>
          <w:spacing w:val="-3"/>
          <w:sz w:val="22"/>
          <w:szCs w:val="22"/>
        </w:rPr>
        <w:t xml:space="preserve">male </w:t>
      </w:r>
      <w:r w:rsidR="00943811" w:rsidRPr="004B0BC2">
        <w:rPr>
          <w:rFonts w:cstheme="minorHAnsi"/>
          <w:spacing w:val="-3"/>
          <w:sz w:val="22"/>
          <w:szCs w:val="22"/>
        </w:rPr>
        <w:t>sex</w:t>
      </w:r>
      <w:r w:rsidR="00C15BD5" w:rsidRPr="004B0BC2">
        <w:rPr>
          <w:rFonts w:cstheme="minorHAnsi"/>
          <w:spacing w:val="-3"/>
          <w:sz w:val="22"/>
          <w:szCs w:val="22"/>
        </w:rPr>
        <w:t xml:space="preserve">. Further investment needs to be </w:t>
      </w:r>
      <w:r w:rsidR="00497D4B" w:rsidRPr="004B0BC2">
        <w:rPr>
          <w:rFonts w:cstheme="minorHAnsi"/>
          <w:spacing w:val="-3"/>
          <w:sz w:val="22"/>
          <w:szCs w:val="22"/>
        </w:rPr>
        <w:t>made</w:t>
      </w:r>
      <w:r w:rsidR="00C15BD5" w:rsidRPr="004B0BC2">
        <w:rPr>
          <w:rFonts w:cstheme="minorHAnsi"/>
          <w:spacing w:val="-3"/>
          <w:sz w:val="22"/>
          <w:szCs w:val="22"/>
        </w:rPr>
        <w:t xml:space="preserve"> to improve </w:t>
      </w:r>
      <w:r w:rsidR="003B6353" w:rsidRPr="004B0BC2">
        <w:rPr>
          <w:rFonts w:cstheme="minorHAnsi"/>
          <w:spacing w:val="-3"/>
          <w:sz w:val="22"/>
          <w:szCs w:val="22"/>
        </w:rPr>
        <w:t>health</w:t>
      </w:r>
      <w:r w:rsidR="00F5730F">
        <w:rPr>
          <w:rFonts w:cstheme="minorHAnsi"/>
          <w:spacing w:val="-3"/>
          <w:sz w:val="22"/>
          <w:szCs w:val="22"/>
        </w:rPr>
        <w:t>-</w:t>
      </w:r>
      <w:r w:rsidR="003B6353" w:rsidRPr="004B0BC2">
        <w:rPr>
          <w:rFonts w:cstheme="minorHAnsi"/>
          <w:spacing w:val="-3"/>
          <w:sz w:val="22"/>
          <w:szCs w:val="22"/>
        </w:rPr>
        <w:t xml:space="preserve">care </w:t>
      </w:r>
      <w:r w:rsidR="00C15BD5" w:rsidRPr="004B0BC2">
        <w:rPr>
          <w:rFonts w:cstheme="minorHAnsi"/>
          <w:spacing w:val="-3"/>
          <w:sz w:val="22"/>
          <w:szCs w:val="22"/>
        </w:rPr>
        <w:t xml:space="preserve">engagement and </w:t>
      </w:r>
      <w:r w:rsidR="00F5730F">
        <w:rPr>
          <w:rFonts w:cstheme="minorHAnsi"/>
          <w:spacing w:val="-3"/>
          <w:sz w:val="22"/>
          <w:szCs w:val="22"/>
        </w:rPr>
        <w:t>to</w:t>
      </w:r>
      <w:r w:rsidR="00F5730F" w:rsidRPr="004B0BC2">
        <w:rPr>
          <w:rFonts w:cstheme="minorHAnsi"/>
          <w:spacing w:val="-3"/>
          <w:sz w:val="22"/>
          <w:szCs w:val="22"/>
        </w:rPr>
        <w:t xml:space="preserve"> </w:t>
      </w:r>
      <w:r w:rsidR="00C15BD5" w:rsidRPr="004B0BC2">
        <w:rPr>
          <w:rFonts w:cstheme="minorHAnsi"/>
          <w:spacing w:val="-3"/>
          <w:sz w:val="22"/>
          <w:szCs w:val="22"/>
        </w:rPr>
        <w:t>target potentially vulnerable population</w:t>
      </w:r>
      <w:r w:rsidR="00D45E45" w:rsidRPr="004B0BC2">
        <w:rPr>
          <w:rFonts w:cstheme="minorHAnsi"/>
          <w:spacing w:val="-3"/>
          <w:sz w:val="22"/>
          <w:szCs w:val="22"/>
        </w:rPr>
        <w:t>s</w:t>
      </w:r>
      <w:r w:rsidR="00C15BD5" w:rsidRPr="004B0BC2">
        <w:rPr>
          <w:rFonts w:cstheme="minorHAnsi"/>
          <w:spacing w:val="-3"/>
          <w:sz w:val="22"/>
          <w:szCs w:val="22"/>
        </w:rPr>
        <w:t>.</w:t>
      </w:r>
      <w:r w:rsidR="008873DB" w:rsidRPr="004B0BC2">
        <w:rPr>
          <w:rFonts w:cstheme="minorHAnsi"/>
          <w:spacing w:val="-3"/>
          <w:sz w:val="22"/>
          <w:szCs w:val="22"/>
        </w:rPr>
        <w:t xml:space="preserve"> </w:t>
      </w:r>
      <w:r w:rsidR="00F5730F">
        <w:rPr>
          <w:rFonts w:cstheme="minorHAnsi"/>
          <w:spacing w:val="-3"/>
          <w:sz w:val="22"/>
          <w:szCs w:val="22"/>
        </w:rPr>
        <w:t>D</w:t>
      </w:r>
      <w:r w:rsidR="00C15BD5" w:rsidRPr="004B0BC2">
        <w:rPr>
          <w:rFonts w:cstheme="minorHAnsi"/>
          <w:spacing w:val="-3"/>
          <w:sz w:val="22"/>
          <w:szCs w:val="22"/>
        </w:rPr>
        <w:t>ata</w:t>
      </w:r>
      <w:r w:rsidR="00F5730F">
        <w:rPr>
          <w:rFonts w:cstheme="minorHAnsi"/>
          <w:spacing w:val="-3"/>
          <w:sz w:val="22"/>
          <w:szCs w:val="22"/>
        </w:rPr>
        <w:t xml:space="preserve"> are available to</w:t>
      </w:r>
      <w:r w:rsidR="00176BAF" w:rsidRPr="004B0BC2">
        <w:rPr>
          <w:rFonts w:cstheme="minorHAnsi"/>
          <w:spacing w:val="-3"/>
          <w:sz w:val="22"/>
          <w:szCs w:val="22"/>
        </w:rPr>
        <w:t xml:space="preserve"> highlight that men</w:t>
      </w:r>
      <w:r w:rsidR="00C15BD5" w:rsidRPr="004B0BC2">
        <w:rPr>
          <w:rFonts w:cstheme="minorHAnsi"/>
          <w:spacing w:val="-3"/>
          <w:sz w:val="22"/>
          <w:szCs w:val="22"/>
        </w:rPr>
        <w:t xml:space="preserve"> not only </w:t>
      </w:r>
      <w:r w:rsidR="00F5730F">
        <w:rPr>
          <w:rFonts w:cstheme="minorHAnsi"/>
          <w:spacing w:val="-3"/>
          <w:sz w:val="22"/>
          <w:szCs w:val="22"/>
        </w:rPr>
        <w:t>have a</w:t>
      </w:r>
      <w:r w:rsidR="00C15BD5" w:rsidRPr="004B0BC2">
        <w:rPr>
          <w:rFonts w:cstheme="minorHAnsi"/>
          <w:spacing w:val="-3"/>
          <w:sz w:val="22"/>
          <w:szCs w:val="22"/>
        </w:rPr>
        <w:t xml:space="preserve"> lower life expectancy but also have a poorer quality</w:t>
      </w:r>
      <w:r w:rsidR="00176BAF" w:rsidRPr="004B0BC2">
        <w:rPr>
          <w:rFonts w:cstheme="minorHAnsi"/>
          <w:spacing w:val="-3"/>
          <w:sz w:val="22"/>
          <w:szCs w:val="22"/>
        </w:rPr>
        <w:t xml:space="preserve"> of life</w:t>
      </w:r>
      <w:r w:rsidR="00F5730F">
        <w:rPr>
          <w:rFonts w:cstheme="minorHAnsi"/>
          <w:spacing w:val="-3"/>
          <w:sz w:val="22"/>
          <w:szCs w:val="22"/>
        </w:rPr>
        <w:t xml:space="preserve"> than women</w:t>
      </w:r>
      <w:r w:rsidR="00F5730F" w:rsidRPr="004B0BC2">
        <w:rPr>
          <w:rFonts w:cstheme="minorHAnsi"/>
          <w:spacing w:val="-3"/>
          <w:sz w:val="22"/>
          <w:szCs w:val="22"/>
        </w:rPr>
        <w:fldChar w:fldCharType="begin" w:fldLock="1"/>
      </w:r>
      <w:r w:rsidR="002410DF">
        <w:rPr>
          <w:rFonts w:cstheme="minorHAnsi"/>
          <w:spacing w:val="-3"/>
          <w:sz w:val="22"/>
          <w:szCs w:val="22"/>
        </w:rPr>
        <w:instrText>ADDIN CSL_CITATION {"citationItems":[{"id":"ITEM-1","itemData":{"DOI":"10.1038/s41443-020-0260-6","ISSN":"0955-9930","abstract":"Globally, the life expectancy for men is 5.1 years less than for women. This gender gap in mortality is intrinsically linked to a higher proportion of premature male mortality and is a significant economic, social and healthcare issue. We explore the main causes for premature male death and also discuss the need for a dedicated men's health clinic, especially in the context of potential commercial exploitation.","author":[{"dropping-particle":"","family":"Tharakan","given":"Tharu","non-dropping-particle":"","parse-names":false,"suffix":""},{"dropping-particle":"","family":"Jayasena","given":"Channa","non-dropping-particle":"","parse-names":false,"suffix":""},{"dropping-particle":"","family":"Minhas","given":"Suks","non-dropping-particle":"","parse-names":false,"suffix":""}],"container-title":"International Journal of Impotence Research","id":"ITEM-1","issued":{"date-parts":[["2020"]]},"page":"1-4","title":"Men’s health clinics: a real need or a marketing strategy","type":"article-journal"},"uris":["http://www.mendeley.com/documents/?uuid=01e7dc52-d5dc-3412-9d63-2fbade209ff9"]}],"mendeley":{"formattedCitation":"(4)","plainTextFormattedCitation":"(4)","previouslyFormattedCitation":"(4)"},"properties":{"noteIndex":0},"schema":"https://github.com/citation-style-language/schema/raw/master/csl-citation.json"}</w:instrText>
      </w:r>
      <w:r w:rsidR="00F5730F" w:rsidRPr="004B0BC2">
        <w:rPr>
          <w:rFonts w:cstheme="minorHAnsi"/>
          <w:spacing w:val="-3"/>
          <w:sz w:val="22"/>
          <w:szCs w:val="22"/>
        </w:rPr>
        <w:fldChar w:fldCharType="separate"/>
      </w:r>
      <w:r w:rsidR="00F5730F" w:rsidRPr="004B0BC2">
        <w:rPr>
          <w:rFonts w:cstheme="minorHAnsi"/>
          <w:noProof/>
          <w:spacing w:val="-3"/>
          <w:sz w:val="22"/>
          <w:szCs w:val="22"/>
        </w:rPr>
        <w:t>(4)</w:t>
      </w:r>
      <w:r w:rsidR="00F5730F" w:rsidRPr="004B0BC2">
        <w:rPr>
          <w:rFonts w:cstheme="minorHAnsi"/>
          <w:spacing w:val="-3"/>
          <w:sz w:val="22"/>
          <w:szCs w:val="22"/>
        </w:rPr>
        <w:fldChar w:fldCharType="end"/>
      </w:r>
      <w:r w:rsidR="00F5730F">
        <w:rPr>
          <w:rFonts w:cstheme="minorHAnsi"/>
          <w:spacing w:val="-3"/>
          <w:sz w:val="22"/>
          <w:szCs w:val="22"/>
        </w:rPr>
        <w:t>;</w:t>
      </w:r>
      <w:r w:rsidR="00D45E45" w:rsidRPr="004B0BC2">
        <w:rPr>
          <w:rFonts w:cstheme="minorHAnsi"/>
          <w:spacing w:val="-3"/>
          <w:sz w:val="22"/>
          <w:szCs w:val="22"/>
        </w:rPr>
        <w:t xml:space="preserve"> collectively</w:t>
      </w:r>
      <w:r w:rsidR="00F5730F">
        <w:rPr>
          <w:rFonts w:cstheme="minorHAnsi"/>
          <w:spacing w:val="-3"/>
          <w:sz w:val="22"/>
          <w:szCs w:val="22"/>
        </w:rPr>
        <w:t>, these factors are</w:t>
      </w:r>
      <w:r w:rsidR="00D45E45" w:rsidRPr="004B0BC2">
        <w:rPr>
          <w:rFonts w:cstheme="minorHAnsi"/>
          <w:spacing w:val="-3"/>
          <w:sz w:val="22"/>
          <w:szCs w:val="22"/>
        </w:rPr>
        <w:t xml:space="preserve"> likely to be </w:t>
      </w:r>
      <w:r w:rsidR="00F5730F">
        <w:rPr>
          <w:rFonts w:cstheme="minorHAnsi"/>
          <w:spacing w:val="-3"/>
          <w:sz w:val="22"/>
          <w:szCs w:val="22"/>
        </w:rPr>
        <w:t>contributing</w:t>
      </w:r>
      <w:r w:rsidR="00F5730F" w:rsidRPr="004B0BC2">
        <w:rPr>
          <w:rFonts w:cstheme="minorHAnsi"/>
          <w:spacing w:val="-3"/>
          <w:sz w:val="22"/>
          <w:szCs w:val="22"/>
        </w:rPr>
        <w:t xml:space="preserve"> </w:t>
      </w:r>
      <w:r w:rsidR="00D45E45" w:rsidRPr="004B0BC2">
        <w:rPr>
          <w:rFonts w:cstheme="minorHAnsi"/>
          <w:spacing w:val="-3"/>
          <w:sz w:val="22"/>
          <w:szCs w:val="22"/>
        </w:rPr>
        <w:t xml:space="preserve">to </w:t>
      </w:r>
      <w:r w:rsidR="00FF407F" w:rsidRPr="004B0BC2">
        <w:rPr>
          <w:rFonts w:cstheme="minorHAnsi"/>
          <w:spacing w:val="-3"/>
          <w:sz w:val="22"/>
          <w:szCs w:val="22"/>
        </w:rPr>
        <w:t xml:space="preserve">worse </w:t>
      </w:r>
      <w:r w:rsidR="00497D4B" w:rsidRPr="004B0BC2">
        <w:rPr>
          <w:rFonts w:cstheme="minorHAnsi"/>
          <w:spacing w:val="-3"/>
          <w:sz w:val="22"/>
          <w:szCs w:val="22"/>
        </w:rPr>
        <w:t>COVID-19</w:t>
      </w:r>
      <w:r w:rsidR="00FF407F" w:rsidRPr="004B0BC2">
        <w:rPr>
          <w:rFonts w:cstheme="minorHAnsi"/>
          <w:spacing w:val="-3"/>
          <w:sz w:val="22"/>
          <w:szCs w:val="22"/>
        </w:rPr>
        <w:t xml:space="preserve"> outcomes</w:t>
      </w:r>
      <w:r w:rsidR="00497D4B" w:rsidRPr="004B0BC2">
        <w:rPr>
          <w:rFonts w:cstheme="minorHAnsi"/>
          <w:spacing w:val="-3"/>
          <w:sz w:val="22"/>
          <w:szCs w:val="22"/>
        </w:rPr>
        <w:t xml:space="preserve">. </w:t>
      </w:r>
    </w:p>
    <w:p w14:paraId="59132B2A" w14:textId="1E3F0999" w:rsidR="007468DD" w:rsidRPr="004B0BC2" w:rsidRDefault="00F5730F" w:rsidP="00B66369">
      <w:pPr>
        <w:spacing w:line="480" w:lineRule="auto"/>
        <w:rPr>
          <w:rFonts w:asciiTheme="minorHAnsi" w:hAnsiTheme="minorHAnsi" w:cstheme="minorHAnsi"/>
          <w:sz w:val="22"/>
          <w:szCs w:val="22"/>
        </w:rPr>
      </w:pPr>
      <w:r>
        <w:rPr>
          <w:rFonts w:asciiTheme="minorHAnsi" w:hAnsiTheme="minorHAnsi" w:cstheme="minorHAnsi"/>
          <w:spacing w:val="-3"/>
          <w:sz w:val="22"/>
          <w:szCs w:val="22"/>
        </w:rPr>
        <w:t>C</w:t>
      </w:r>
      <w:r w:rsidR="00497D4B" w:rsidRPr="004B0BC2">
        <w:rPr>
          <w:rFonts w:asciiTheme="minorHAnsi" w:hAnsiTheme="minorHAnsi" w:cstheme="minorHAnsi"/>
          <w:spacing w:val="-3"/>
          <w:sz w:val="22"/>
          <w:szCs w:val="22"/>
        </w:rPr>
        <w:t>onfront</w:t>
      </w:r>
      <w:r>
        <w:rPr>
          <w:rFonts w:asciiTheme="minorHAnsi" w:hAnsiTheme="minorHAnsi" w:cstheme="minorHAnsi"/>
          <w:spacing w:val="-3"/>
          <w:sz w:val="22"/>
          <w:szCs w:val="22"/>
        </w:rPr>
        <w:t>ing</w:t>
      </w:r>
      <w:r w:rsidR="00C15BD5" w:rsidRPr="004B0BC2">
        <w:rPr>
          <w:rFonts w:asciiTheme="minorHAnsi" w:hAnsiTheme="minorHAnsi" w:cstheme="minorHAnsi"/>
          <w:spacing w:val="-3"/>
          <w:sz w:val="22"/>
          <w:szCs w:val="22"/>
        </w:rPr>
        <w:t xml:space="preserve"> </w:t>
      </w:r>
      <w:r w:rsidR="00FF407F" w:rsidRPr="004B0BC2">
        <w:rPr>
          <w:rFonts w:asciiTheme="minorHAnsi" w:hAnsiTheme="minorHAnsi" w:cstheme="minorHAnsi"/>
          <w:spacing w:val="-3"/>
          <w:sz w:val="22"/>
          <w:szCs w:val="22"/>
        </w:rPr>
        <w:t xml:space="preserve">these </w:t>
      </w:r>
      <w:r w:rsidR="00D45E45" w:rsidRPr="004B0BC2">
        <w:rPr>
          <w:rFonts w:asciiTheme="minorHAnsi" w:hAnsiTheme="minorHAnsi" w:cstheme="minorHAnsi"/>
          <w:spacing w:val="-3"/>
          <w:sz w:val="22"/>
          <w:szCs w:val="22"/>
        </w:rPr>
        <w:t xml:space="preserve">political and </w:t>
      </w:r>
      <w:r w:rsidR="00176BAF" w:rsidRPr="004B0BC2">
        <w:rPr>
          <w:rFonts w:asciiTheme="minorHAnsi" w:hAnsiTheme="minorHAnsi" w:cstheme="minorHAnsi"/>
          <w:spacing w:val="-3"/>
          <w:sz w:val="22"/>
          <w:szCs w:val="22"/>
        </w:rPr>
        <w:t>health</w:t>
      </w:r>
      <w:r>
        <w:rPr>
          <w:rFonts w:asciiTheme="minorHAnsi" w:hAnsiTheme="minorHAnsi" w:cstheme="minorHAnsi"/>
          <w:spacing w:val="-3"/>
          <w:sz w:val="22"/>
          <w:szCs w:val="22"/>
        </w:rPr>
        <w:t>-</w:t>
      </w:r>
      <w:r w:rsidR="00176BAF" w:rsidRPr="004B0BC2">
        <w:rPr>
          <w:rFonts w:asciiTheme="minorHAnsi" w:hAnsiTheme="minorHAnsi" w:cstheme="minorHAnsi"/>
          <w:spacing w:val="-3"/>
          <w:sz w:val="22"/>
          <w:szCs w:val="22"/>
        </w:rPr>
        <w:t>care issue</w:t>
      </w:r>
      <w:r w:rsidR="00FF407F" w:rsidRPr="004B0BC2">
        <w:rPr>
          <w:rFonts w:asciiTheme="minorHAnsi" w:hAnsiTheme="minorHAnsi" w:cstheme="minorHAnsi"/>
          <w:spacing w:val="-3"/>
          <w:sz w:val="22"/>
          <w:szCs w:val="22"/>
        </w:rPr>
        <w:t>s</w:t>
      </w:r>
      <w:r w:rsidRPr="004B0BC2">
        <w:rPr>
          <w:rFonts w:asciiTheme="minorHAnsi" w:hAnsiTheme="minorHAnsi" w:cstheme="minorHAnsi"/>
          <w:spacing w:val="-3"/>
          <w:sz w:val="22"/>
          <w:szCs w:val="22"/>
        </w:rPr>
        <w:t xml:space="preserve"> is our professional and</w:t>
      </w:r>
      <w:r>
        <w:rPr>
          <w:rFonts w:asciiTheme="minorHAnsi" w:hAnsiTheme="minorHAnsi" w:cstheme="minorHAnsi"/>
          <w:spacing w:val="-3"/>
          <w:sz w:val="22"/>
          <w:szCs w:val="22"/>
        </w:rPr>
        <w:t xml:space="preserve"> ethical duty</w:t>
      </w:r>
      <w:r w:rsidR="00176BAF" w:rsidRPr="004B0BC2">
        <w:rPr>
          <w:rFonts w:asciiTheme="minorHAnsi" w:hAnsiTheme="minorHAnsi" w:cstheme="minorHAnsi"/>
          <w:spacing w:val="-3"/>
          <w:sz w:val="22"/>
          <w:szCs w:val="22"/>
        </w:rPr>
        <w:t xml:space="preserve">. </w:t>
      </w:r>
      <w:r>
        <w:rPr>
          <w:rFonts w:asciiTheme="minorHAnsi" w:hAnsiTheme="minorHAnsi" w:cstheme="minorHAnsi"/>
          <w:spacing w:val="-3"/>
          <w:sz w:val="22"/>
          <w:szCs w:val="22"/>
        </w:rPr>
        <w:t>M</w:t>
      </w:r>
      <w:r w:rsidR="00E03A97" w:rsidRPr="004B0BC2">
        <w:rPr>
          <w:rFonts w:asciiTheme="minorHAnsi" w:hAnsiTheme="minorHAnsi" w:cstheme="minorHAnsi"/>
          <w:spacing w:val="-3"/>
          <w:sz w:val="22"/>
          <w:szCs w:val="22"/>
        </w:rPr>
        <w:t>en</w:t>
      </w:r>
      <w:r w:rsidR="00F80BA7" w:rsidRPr="004B0BC2">
        <w:rPr>
          <w:rFonts w:asciiTheme="minorHAnsi" w:hAnsiTheme="minorHAnsi" w:cstheme="minorHAnsi"/>
          <w:spacing w:val="-3"/>
          <w:sz w:val="22"/>
          <w:szCs w:val="22"/>
        </w:rPr>
        <w:t>’s health</w:t>
      </w:r>
      <w:r w:rsidR="00E03A97" w:rsidRPr="004B0BC2">
        <w:rPr>
          <w:rFonts w:asciiTheme="minorHAnsi" w:hAnsiTheme="minorHAnsi" w:cstheme="minorHAnsi"/>
          <w:spacing w:val="-3"/>
          <w:sz w:val="22"/>
          <w:szCs w:val="22"/>
        </w:rPr>
        <w:t xml:space="preserve"> </w:t>
      </w:r>
      <w:r w:rsidR="00F80BA7" w:rsidRPr="004B0BC2">
        <w:rPr>
          <w:rFonts w:asciiTheme="minorHAnsi" w:hAnsiTheme="minorHAnsi" w:cstheme="minorHAnsi"/>
          <w:spacing w:val="-3"/>
          <w:sz w:val="22"/>
          <w:szCs w:val="22"/>
        </w:rPr>
        <w:t xml:space="preserve">has </w:t>
      </w:r>
      <w:r w:rsidR="00E03A97" w:rsidRPr="004B0BC2">
        <w:rPr>
          <w:rFonts w:asciiTheme="minorHAnsi" w:hAnsiTheme="minorHAnsi" w:cstheme="minorHAnsi"/>
          <w:spacing w:val="-3"/>
          <w:sz w:val="22"/>
          <w:szCs w:val="22"/>
        </w:rPr>
        <w:t>been</w:t>
      </w:r>
      <w:r w:rsidR="00F80BA7" w:rsidRPr="004B0BC2">
        <w:rPr>
          <w:rFonts w:asciiTheme="minorHAnsi" w:hAnsiTheme="minorHAnsi" w:cstheme="minorHAnsi"/>
          <w:spacing w:val="-3"/>
          <w:sz w:val="22"/>
          <w:szCs w:val="22"/>
        </w:rPr>
        <w:t xml:space="preserve"> somewhat</w:t>
      </w:r>
      <w:r w:rsidR="00E03A97" w:rsidRPr="004B0BC2">
        <w:rPr>
          <w:rFonts w:asciiTheme="minorHAnsi" w:hAnsiTheme="minorHAnsi" w:cstheme="minorHAnsi"/>
          <w:sz w:val="22"/>
          <w:szCs w:val="22"/>
        </w:rPr>
        <w:t xml:space="preserve"> overshadowed by </w:t>
      </w:r>
      <w:r w:rsidR="00F80BA7" w:rsidRPr="004B0BC2">
        <w:rPr>
          <w:rFonts w:asciiTheme="minorHAnsi" w:hAnsiTheme="minorHAnsi" w:cstheme="minorHAnsi"/>
          <w:sz w:val="22"/>
          <w:szCs w:val="22"/>
        </w:rPr>
        <w:t>efforts</w:t>
      </w:r>
      <w:r w:rsidR="00E03A97" w:rsidRPr="004B0BC2">
        <w:rPr>
          <w:rFonts w:asciiTheme="minorHAnsi" w:hAnsiTheme="minorHAnsi" w:cstheme="minorHAnsi"/>
          <w:sz w:val="22"/>
          <w:szCs w:val="22"/>
        </w:rPr>
        <w:t xml:space="preserve"> to improve women’s health</w:t>
      </w:r>
      <w:r>
        <w:rPr>
          <w:rFonts w:asciiTheme="minorHAnsi" w:hAnsiTheme="minorHAnsi" w:cstheme="minorHAnsi"/>
          <w:sz w:val="22"/>
          <w:szCs w:val="22"/>
        </w:rPr>
        <w:t>,</w:t>
      </w:r>
      <w:r w:rsidR="00E03A97" w:rsidRPr="004B0BC2">
        <w:rPr>
          <w:rFonts w:asciiTheme="minorHAnsi" w:hAnsiTheme="minorHAnsi" w:cstheme="minorHAnsi"/>
          <w:sz w:val="22"/>
          <w:szCs w:val="22"/>
        </w:rPr>
        <w:t xml:space="preserve"> both in health</w:t>
      </w:r>
      <w:r>
        <w:rPr>
          <w:rFonts w:asciiTheme="minorHAnsi" w:hAnsiTheme="minorHAnsi" w:cstheme="minorHAnsi"/>
          <w:sz w:val="22"/>
          <w:szCs w:val="22"/>
        </w:rPr>
        <w:t>-</w:t>
      </w:r>
      <w:r w:rsidR="00E03A97" w:rsidRPr="004B0BC2">
        <w:rPr>
          <w:rFonts w:asciiTheme="minorHAnsi" w:hAnsiTheme="minorHAnsi" w:cstheme="minorHAnsi"/>
          <w:sz w:val="22"/>
          <w:szCs w:val="22"/>
        </w:rPr>
        <w:t>care polic</w:t>
      </w:r>
      <w:r>
        <w:rPr>
          <w:rFonts w:asciiTheme="minorHAnsi" w:hAnsiTheme="minorHAnsi" w:cstheme="minorHAnsi"/>
          <w:sz w:val="22"/>
          <w:szCs w:val="22"/>
        </w:rPr>
        <w:t>i</w:t>
      </w:r>
      <w:r w:rsidR="00E03A97" w:rsidRPr="004B0BC2">
        <w:rPr>
          <w:rFonts w:asciiTheme="minorHAnsi" w:hAnsiTheme="minorHAnsi" w:cstheme="minorHAnsi"/>
          <w:sz w:val="22"/>
          <w:szCs w:val="22"/>
        </w:rPr>
        <w:t xml:space="preserve">es and </w:t>
      </w:r>
      <w:r>
        <w:rPr>
          <w:rFonts w:asciiTheme="minorHAnsi" w:hAnsiTheme="minorHAnsi" w:cstheme="minorHAnsi"/>
          <w:sz w:val="22"/>
          <w:szCs w:val="22"/>
        </w:rPr>
        <w:t xml:space="preserve">in </w:t>
      </w:r>
      <w:r w:rsidR="00E03A97" w:rsidRPr="004B0BC2">
        <w:rPr>
          <w:rFonts w:asciiTheme="minorHAnsi" w:hAnsiTheme="minorHAnsi" w:cstheme="minorHAnsi"/>
          <w:sz w:val="22"/>
          <w:szCs w:val="22"/>
        </w:rPr>
        <w:t>sponsored programmes</w:t>
      </w:r>
      <w:r w:rsidR="001B3DB7" w:rsidRPr="004B0BC2">
        <w:rPr>
          <w:rFonts w:asciiTheme="minorHAnsi" w:hAnsiTheme="minorHAnsi" w:cstheme="minorHAnsi"/>
          <w:sz w:val="22"/>
          <w:szCs w:val="22"/>
        </w:rPr>
        <w:t xml:space="preserve">. </w:t>
      </w:r>
      <w:r w:rsidR="0027458E" w:rsidRPr="004B0BC2">
        <w:rPr>
          <w:rFonts w:asciiTheme="minorHAnsi" w:hAnsiTheme="minorHAnsi" w:cstheme="minorHAnsi"/>
          <w:sz w:val="22"/>
          <w:szCs w:val="22"/>
        </w:rPr>
        <w:t>For example, T</w:t>
      </w:r>
      <w:r w:rsidR="001B3DB7" w:rsidRPr="004B0BC2">
        <w:rPr>
          <w:rFonts w:asciiTheme="minorHAnsi" w:hAnsiTheme="minorHAnsi" w:cstheme="minorHAnsi"/>
          <w:sz w:val="22"/>
          <w:szCs w:val="22"/>
        </w:rPr>
        <w:t>he Gates Foundation</w:t>
      </w:r>
      <w:r w:rsidR="00F80BA7" w:rsidRPr="004B0BC2">
        <w:rPr>
          <w:rFonts w:asciiTheme="minorHAnsi" w:hAnsiTheme="minorHAnsi" w:cstheme="minorHAnsi"/>
          <w:sz w:val="22"/>
          <w:szCs w:val="22"/>
        </w:rPr>
        <w:t xml:space="preserve"> </w:t>
      </w:r>
      <w:r w:rsidR="001B3DB7" w:rsidRPr="004B0BC2">
        <w:rPr>
          <w:rFonts w:asciiTheme="minorHAnsi" w:hAnsiTheme="minorHAnsi" w:cstheme="minorHAnsi"/>
          <w:sz w:val="22"/>
          <w:szCs w:val="22"/>
        </w:rPr>
        <w:t>has a maternal, newborn and child health strategy</w:t>
      </w:r>
      <w:r w:rsidR="0027458E" w:rsidRPr="004B0BC2">
        <w:rPr>
          <w:rFonts w:asciiTheme="minorHAnsi" w:hAnsiTheme="minorHAnsi" w:cstheme="minorHAnsi"/>
          <w:sz w:val="22"/>
          <w:szCs w:val="22"/>
        </w:rPr>
        <w:t xml:space="preserve"> but no specific strategies related to men’s health</w:t>
      </w:r>
      <w:r w:rsidR="00AD4F4D"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{"citationItems":[{"id":"ITEM-1","itemData":{"URL":"https://www.gatesfoundation.org/What-We-Do","accessed":{"date-parts":[["2020","9","19"]]},"author":[{"dropping-particle":"","family":"Foundation","given":"The Gates","non-dropping-particle":"","parse-names":false,"suffix":""}],"id":"ITEM-1","issued":{"date-parts":[["0"]]},"title":"What We Do - Bill &amp; Melinda Gates Foundation","type":"webpage"},"uris":["http://www.mendeley.com/documents/?uuid=5f19e759-aded-4431-90e3-76e502b5a689"]}],"mendeley":{"formattedCitation":"(146)","plainTextFormattedCitation":"(146)","previouslyFormattedCitation":"(146)"},"properties":{"noteIndex":0},"schema":"https://github.com/citation-style-language/schema/raw/master/csl-citation.json"}</w:instrText>
      </w:r>
      <w:r w:rsidR="00AD4F4D"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(146)</w:t>
      </w:r>
      <w:r w:rsidR="00AD4F4D" w:rsidRPr="004B0BC2">
        <w:rPr>
          <w:rFonts w:asciiTheme="minorHAnsi" w:hAnsiTheme="minorHAnsi" w:cstheme="minorHAnsi"/>
          <w:sz w:val="22"/>
          <w:szCs w:val="22"/>
        </w:rPr>
        <w:fldChar w:fldCharType="end"/>
      </w:r>
      <w:r w:rsidR="00AD4F4D" w:rsidRPr="004B0BC2">
        <w:rPr>
          <w:rFonts w:asciiTheme="minorHAnsi" w:hAnsiTheme="minorHAnsi" w:cstheme="minorHAnsi"/>
          <w:sz w:val="22"/>
          <w:szCs w:val="22"/>
        </w:rPr>
        <w:t>.</w:t>
      </w:r>
      <w:r>
        <w:rPr>
          <w:rFonts w:asciiTheme="minorHAnsi" w:hAnsiTheme="minorHAnsi" w:cstheme="minorHAnsi"/>
          <w:sz w:val="22"/>
          <w:szCs w:val="22"/>
        </w:rPr>
        <w:t xml:space="preserve"> And t</w:t>
      </w:r>
      <w:r w:rsidR="0027458E" w:rsidRPr="004B0BC2">
        <w:rPr>
          <w:rFonts w:asciiTheme="minorHAnsi" w:hAnsiTheme="minorHAnsi" w:cstheme="minorHAnsi"/>
          <w:sz w:val="22"/>
          <w:szCs w:val="22"/>
        </w:rPr>
        <w:t>he Gates Foundation</w:t>
      </w:r>
      <w:r w:rsidR="001B3DB7" w:rsidRPr="004B0BC2">
        <w:rPr>
          <w:rFonts w:asciiTheme="minorHAnsi" w:hAnsiTheme="minorHAnsi" w:cstheme="minorHAnsi"/>
          <w:sz w:val="22"/>
          <w:szCs w:val="22"/>
        </w:rPr>
        <w:t xml:space="preserve"> gender equality strategy</w:t>
      </w:r>
      <w:r w:rsidR="0027458E" w:rsidRPr="004B0BC2">
        <w:rPr>
          <w:rFonts w:asciiTheme="minorHAnsi" w:hAnsiTheme="minorHAnsi" w:cstheme="minorHAnsi"/>
          <w:sz w:val="22"/>
          <w:szCs w:val="22"/>
        </w:rPr>
        <w:t xml:space="preserve"> is</w:t>
      </w:r>
      <w:r w:rsidR="001B3DB7" w:rsidRPr="004B0BC2">
        <w:rPr>
          <w:rFonts w:asciiTheme="minorHAnsi" w:hAnsiTheme="minorHAnsi" w:cstheme="minorHAnsi"/>
          <w:sz w:val="22"/>
          <w:szCs w:val="22"/>
        </w:rPr>
        <w:t xml:space="preserve"> entirely focused on removing </w:t>
      </w:r>
      <w:r>
        <w:rPr>
          <w:rFonts w:asciiTheme="minorHAnsi" w:hAnsiTheme="minorHAnsi" w:cstheme="minorHAnsi"/>
          <w:sz w:val="22"/>
          <w:szCs w:val="22"/>
        </w:rPr>
        <w:t xml:space="preserve">barriers in </w:t>
      </w:r>
      <w:r w:rsidR="001B3DB7" w:rsidRPr="004B0BC2">
        <w:rPr>
          <w:rFonts w:asciiTheme="minorHAnsi" w:hAnsiTheme="minorHAnsi" w:cstheme="minorHAnsi"/>
          <w:sz w:val="22"/>
          <w:szCs w:val="22"/>
        </w:rPr>
        <w:t>women and girls</w:t>
      </w:r>
      <w:r>
        <w:rPr>
          <w:rFonts w:asciiTheme="minorHAnsi" w:hAnsiTheme="minorHAnsi" w:cstheme="minorHAnsi"/>
          <w:sz w:val="22"/>
          <w:szCs w:val="22"/>
        </w:rPr>
        <w:t>’</w:t>
      </w:r>
      <w:r w:rsidR="001B3DB7" w:rsidRPr="004B0BC2">
        <w:rPr>
          <w:rFonts w:asciiTheme="minorHAnsi" w:hAnsiTheme="minorHAnsi" w:cstheme="minorHAnsi"/>
          <w:sz w:val="22"/>
          <w:szCs w:val="22"/>
        </w:rPr>
        <w:t xml:space="preserve"> health, income and education</w:t>
      </w:r>
      <w:r w:rsidR="0043025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{"citationItems":[{"id":"ITEM-1","itemData":{"URL":"https://www.gatesfoundation.org/What-We-Do/Global-Growth-and-Opportunity/Gender-Equality","accessed":{"date-parts":[["2020","9","19"]]},"author":[{"dropping-particle":"","family":"Foundation","given":"The Gates","non-dropping-particle":"","parse-names":false,"suffix":""}],"id":"ITEM-1","issued":{"date-parts":[["0"]]},"title":"Gender Equality - Bill &amp; Melinda Gates Foundation","type":"webpage"},"uris":["http://www.mendeley.com/documents/?uuid=77f60ef5-5b9b-49f3-b064-387ec0b33371"]}],"mendeley":{"formattedCitation":"(147)","plainTextFormattedCitation":"(147)","previouslyFormattedCitation":"(147)"},"properties":{"noteIndex":0},"schema":"https://github.com/citation-style-language/schema/raw/master/csl-citation.json"}</w:instrText>
      </w:r>
      <w:r w:rsidR="0043025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(147)</w:t>
      </w:r>
      <w:r w:rsidR="0043025C" w:rsidRPr="004B0BC2">
        <w:rPr>
          <w:rFonts w:asciiTheme="minorHAnsi" w:hAnsiTheme="minorHAnsi" w:cstheme="minorHAnsi"/>
          <w:sz w:val="22"/>
          <w:szCs w:val="22"/>
        </w:rPr>
        <w:fldChar w:fldCharType="end"/>
      </w:r>
      <w:r w:rsidR="009758A4"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{"citationItems":[{"id":"ITEM-1","itemData":{"DOI":"10.1177/1557988317723424","ISSN":"15579891","abstract":"The WHO’s “Global Strategy for Women’s, Children’s, and Adolescents’ Health 2016-2030” (GS-WCAH 2016-2030) is a comprehensive plan developed to improve the lives of women, children, and adolescents. Due to the success in the creation, ratification, and advocacy of the GS-WCAH 2016-2030, the clear health outcome disparities between males and females, and the general absence of male health from existing policies and sponsored programs, it is time now to develop a global strategy specifically drafted to improve the lives of men and boys. The following commentary provides three points for why a male-oriented program, like the GS-WCAH 2016-2030, should be created: (a) health outcomes disparities, (b) economic impact of poor male health, and (c) fathers’ role in promoting the health of women, children, and adolescents. Implications for how male health can be incorporated into future projects and priorities are provided, as well as advocacy for overall gender-inclusivity in regard to global public health efforts.","author":[{"dropping-particle":"","family":"Rovito","given":"Michael J.","non-dropping-particle":"","parse-names":false,"suffix":""},{"dropping-particle":"","family":"Leonard","given":"Brandon","non-dropping-particle":"","parse-names":false,"suffix":""},{"dropping-particle":"","family":"Llamas","given":"Ramon","non-dropping-particle":"","parse-names":false,"suffix":""},{"dropping-particle":"","family":"Leone","given":"James E.","non-dropping-particle":"","parse-names":false,"suffix":""},{"dropping-particle":"","family":"Talton","given":"Walker","non-dropping-particle":"","parse-names":false,"suffix":""},{"dropping-particle":"","family":"Fadich","given":"Ana","non-dropping-particle":"","parse-names":false,"suffix":""},{"dropping-particle":"","family":"Baker","given":"Peter","non-dropping-particle":"","parse-names":false,"suffix":""}],"container-title":"American Journal of Men's Health","id":"ITEM-1","issue":"6","issued":{"date-parts":[["2017"]]},"page":"1804-1808","title":"A Call for Gender-Inclusive Global Health Strategies","type":"article-journal","volume":"11"},"uris":["http://www.mendeley.com/documents/?uuid=13d4a205-0bb2-3cce-a0ed-d528bb89aeb3"]}],"mendeley":{"formattedCitation":"(148)","plainTextFormattedCitation":"(148)","previouslyFormattedCitation":"(148)"},"properties":{"noteIndex":0},"schema":"https://github.com/citation-style-language/schema/raw/master/csl-citation.json"}</w:instrText>
      </w:r>
      <w:r w:rsidR="009758A4"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(148)</w:t>
      </w:r>
      <w:r w:rsidR="009758A4" w:rsidRPr="004B0BC2">
        <w:rPr>
          <w:rFonts w:asciiTheme="minorHAnsi" w:hAnsiTheme="minorHAnsi" w:cstheme="minorHAnsi"/>
          <w:sz w:val="22"/>
          <w:szCs w:val="22"/>
        </w:rPr>
        <w:fldChar w:fldCharType="end"/>
      </w:r>
      <w:r w:rsidR="00E03A97" w:rsidRPr="004B0BC2">
        <w:rPr>
          <w:rFonts w:asciiTheme="minorHAnsi" w:hAnsiTheme="minorHAnsi" w:cstheme="minorHAnsi"/>
          <w:sz w:val="22"/>
          <w:szCs w:val="22"/>
        </w:rPr>
        <w:t xml:space="preserve">. </w:t>
      </w:r>
      <w:r w:rsidR="001B3DB7" w:rsidRPr="004B0BC2">
        <w:rPr>
          <w:rFonts w:asciiTheme="minorHAnsi" w:hAnsiTheme="minorHAnsi" w:cstheme="minorHAnsi"/>
          <w:sz w:val="22"/>
          <w:szCs w:val="22"/>
        </w:rPr>
        <w:t>The WHO have developed two global strategies to promote women</w:t>
      </w:r>
      <w:r w:rsidR="0024049D" w:rsidRPr="004B0BC2">
        <w:rPr>
          <w:rFonts w:asciiTheme="minorHAnsi" w:hAnsiTheme="minorHAnsi" w:cstheme="minorHAnsi"/>
          <w:sz w:val="22"/>
          <w:szCs w:val="22"/>
        </w:rPr>
        <w:t>’</w:t>
      </w:r>
      <w:r w:rsidR="001B3DB7" w:rsidRPr="004B0BC2">
        <w:rPr>
          <w:rFonts w:asciiTheme="minorHAnsi" w:hAnsiTheme="minorHAnsi" w:cstheme="minorHAnsi"/>
          <w:sz w:val="22"/>
          <w:szCs w:val="22"/>
        </w:rPr>
        <w:t>s health (“Every Women Every Child “(2010)</w:t>
      </w:r>
      <w:r w:rsidR="007468DD" w:rsidRPr="004B0BC2">
        <w:rPr>
          <w:rFonts w:asciiTheme="minorHAnsi" w:hAnsiTheme="minorHAnsi" w:cstheme="minorHAnsi"/>
          <w:sz w:val="22"/>
          <w:szCs w:val="22"/>
        </w:rPr>
        <w:t xml:space="preserve"> and “The Global strategy for women’s, </w:t>
      </w:r>
      <w:r w:rsidR="007468DD" w:rsidRPr="004B0BC2">
        <w:rPr>
          <w:rFonts w:asciiTheme="minorHAnsi" w:hAnsiTheme="minorHAnsi" w:cstheme="minorHAnsi"/>
          <w:sz w:val="22"/>
          <w:szCs w:val="22"/>
        </w:rPr>
        <w:lastRenderedPageBreak/>
        <w:t>children</w:t>
      </w:r>
      <w:r w:rsidR="0024049D" w:rsidRPr="004B0BC2">
        <w:rPr>
          <w:rFonts w:asciiTheme="minorHAnsi" w:hAnsiTheme="minorHAnsi" w:cstheme="minorHAnsi"/>
          <w:sz w:val="22"/>
          <w:szCs w:val="22"/>
        </w:rPr>
        <w:t>’</w:t>
      </w:r>
      <w:r w:rsidR="007468DD" w:rsidRPr="004B0BC2">
        <w:rPr>
          <w:rFonts w:asciiTheme="minorHAnsi" w:hAnsiTheme="minorHAnsi" w:cstheme="minorHAnsi"/>
          <w:sz w:val="22"/>
          <w:szCs w:val="22"/>
        </w:rPr>
        <w:t>s and adolescents’ health (2016</w:t>
      </w:r>
      <w:r>
        <w:rPr>
          <w:rFonts w:asciiTheme="minorHAnsi" w:hAnsiTheme="minorHAnsi" w:cstheme="minorHAnsi"/>
          <w:sz w:val="22"/>
          <w:szCs w:val="22"/>
        </w:rPr>
        <w:t>–</w:t>
      </w:r>
      <w:r w:rsidR="007468DD" w:rsidRPr="004B0BC2">
        <w:rPr>
          <w:rFonts w:asciiTheme="minorHAnsi" w:hAnsiTheme="minorHAnsi" w:cstheme="minorHAnsi"/>
          <w:sz w:val="22"/>
          <w:szCs w:val="22"/>
        </w:rPr>
        <w:t>2030)</w:t>
      </w:r>
      <w:r w:rsidR="0043025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www.who.int/life-course/partners/global-strategy/global-strategy-2016-2030/en/","accessed":{"date-parts":[["2020","9","19"]]},"author":[{"dropping-particle":"","family":"WHO","given":"","non-dropping-particle":"","parse-names":false,"suffix":""}],"id":"ITEM-1","issued":{"date-parts":[["2020"]]},"title":"WHO | What is the Global Strategy?","type":"webpage"},"uris":["http://www.mendeley.com/documents/?uuid=65a0decc-cfe5-4021-8c81-1720222002eb"]}],"mendeley":{"formattedCitation":"(149)","plainTextFormattedCitation":"(149)","previouslyFormattedCitation":"(149)"},"properties":{"noteIndex":0},"schema":"https://github.com/citation-style-language/schema/raw/master/csl-citation.json"}</w:instrText>
      </w:r>
      <w:r w:rsidR="0043025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(149)</w:t>
      </w:r>
      <w:r w:rsidR="0043025C" w:rsidRPr="004B0BC2">
        <w:rPr>
          <w:rFonts w:asciiTheme="minorHAnsi" w:hAnsiTheme="minorHAnsi" w:cstheme="minorHAnsi"/>
          <w:sz w:val="22"/>
          <w:szCs w:val="22"/>
        </w:rPr>
        <w:fldChar w:fldCharType="end"/>
      </w:r>
      <w:r w:rsidR="007468DD" w:rsidRPr="004B0BC2">
        <w:rPr>
          <w:rFonts w:asciiTheme="minorHAnsi" w:hAnsiTheme="minorHAnsi" w:cstheme="minorHAnsi"/>
          <w:sz w:val="22"/>
          <w:szCs w:val="22"/>
        </w:rPr>
        <w:t>)</w:t>
      </w:r>
      <w:r w:rsidR="0024049D" w:rsidRPr="004B0BC2">
        <w:rPr>
          <w:rFonts w:asciiTheme="minorHAnsi" w:hAnsiTheme="minorHAnsi" w:cstheme="minorHAnsi"/>
          <w:sz w:val="22"/>
          <w:szCs w:val="22"/>
        </w:rPr>
        <w:t xml:space="preserve"> but none </w:t>
      </w:r>
      <w:r w:rsidR="000B4B93" w:rsidRPr="004B0BC2">
        <w:rPr>
          <w:rFonts w:asciiTheme="minorHAnsi" w:hAnsiTheme="minorHAnsi" w:cstheme="minorHAnsi"/>
          <w:sz w:val="22"/>
          <w:szCs w:val="22"/>
        </w:rPr>
        <w:t>specifically targeting</w:t>
      </w:r>
      <w:r w:rsidR="0024049D" w:rsidRPr="004B0BC2">
        <w:rPr>
          <w:rFonts w:asciiTheme="minorHAnsi" w:hAnsiTheme="minorHAnsi" w:cstheme="minorHAnsi"/>
          <w:sz w:val="22"/>
          <w:szCs w:val="22"/>
        </w:rPr>
        <w:t xml:space="preserve"> men</w:t>
      </w:r>
      <w:r w:rsidR="000B4B93" w:rsidRPr="004B0BC2">
        <w:rPr>
          <w:rFonts w:asciiTheme="minorHAnsi" w:hAnsiTheme="minorHAnsi" w:cstheme="minorHAnsi"/>
          <w:sz w:val="22"/>
          <w:szCs w:val="22"/>
        </w:rPr>
        <w:t>’s health</w:t>
      </w:r>
      <w:r w:rsidR="0024049D" w:rsidRPr="004B0BC2">
        <w:rPr>
          <w:rFonts w:asciiTheme="minorHAnsi" w:hAnsiTheme="minorHAnsi" w:cstheme="minorHAnsi"/>
          <w:sz w:val="22"/>
          <w:szCs w:val="22"/>
        </w:rPr>
        <w:t xml:space="preserve">. </w:t>
      </w:r>
      <w:r w:rsidR="000B4B93" w:rsidRPr="004B0BC2">
        <w:rPr>
          <w:rFonts w:asciiTheme="minorHAnsi" w:hAnsiTheme="minorHAnsi" w:cstheme="minorHAnsi"/>
          <w:sz w:val="22"/>
          <w:szCs w:val="22"/>
        </w:rPr>
        <w:t>Moreover</w:t>
      </w:r>
      <w:r w:rsidR="0024049D" w:rsidRPr="004B0BC2">
        <w:rPr>
          <w:rFonts w:asciiTheme="minorHAnsi" w:hAnsiTheme="minorHAnsi" w:cstheme="minorHAnsi"/>
          <w:sz w:val="22"/>
          <w:szCs w:val="22"/>
        </w:rPr>
        <w:t xml:space="preserve">, </w:t>
      </w:r>
      <w:r w:rsidR="007468DD" w:rsidRPr="004B0BC2">
        <w:rPr>
          <w:rFonts w:asciiTheme="minorHAnsi" w:hAnsiTheme="minorHAnsi" w:cstheme="minorHAnsi"/>
          <w:sz w:val="22"/>
          <w:szCs w:val="22"/>
        </w:rPr>
        <w:t xml:space="preserve">the WHO ‘Gender, health and the 2030 agenda for sustainable development’ </w:t>
      </w:r>
      <w:r>
        <w:rPr>
          <w:rFonts w:asciiTheme="minorHAnsi" w:hAnsiTheme="minorHAnsi" w:cstheme="minorHAnsi"/>
          <w:sz w:val="22"/>
          <w:szCs w:val="22"/>
        </w:rPr>
        <w:t>seem</w:t>
      </w:r>
      <w:r w:rsidRPr="004B0BC2">
        <w:rPr>
          <w:rFonts w:asciiTheme="minorHAnsi" w:hAnsiTheme="minorHAnsi" w:cstheme="minorHAnsi"/>
          <w:sz w:val="22"/>
          <w:szCs w:val="22"/>
        </w:rPr>
        <w:t xml:space="preserve">s </w:t>
      </w:r>
      <w:r w:rsidR="000B4B93" w:rsidRPr="004B0BC2">
        <w:rPr>
          <w:rFonts w:asciiTheme="minorHAnsi" w:hAnsiTheme="minorHAnsi" w:cstheme="minorHAnsi"/>
          <w:sz w:val="22"/>
          <w:szCs w:val="22"/>
        </w:rPr>
        <w:t>to be female orientated</w:t>
      </w:r>
      <w:r>
        <w:rPr>
          <w:rFonts w:asciiTheme="minorHAnsi" w:hAnsiTheme="minorHAnsi" w:cstheme="minorHAnsi"/>
          <w:sz w:val="22"/>
          <w:szCs w:val="22"/>
        </w:rPr>
        <w:t>,</w:t>
      </w:r>
      <w:r w:rsidR="000B4B93" w:rsidRPr="004B0BC2">
        <w:rPr>
          <w:rFonts w:asciiTheme="minorHAnsi" w:hAnsiTheme="minorHAnsi" w:cstheme="minorHAnsi"/>
          <w:sz w:val="22"/>
          <w:szCs w:val="22"/>
        </w:rPr>
        <w:t xml:space="preserve"> as </w:t>
      </w:r>
      <w:r w:rsidR="0024049D" w:rsidRPr="004B0BC2">
        <w:rPr>
          <w:rFonts w:asciiTheme="minorHAnsi" w:hAnsiTheme="minorHAnsi" w:cstheme="minorHAnsi"/>
          <w:sz w:val="22"/>
          <w:szCs w:val="22"/>
        </w:rPr>
        <w:t>the major health indicators specified include maternal mortality and coverage of essential health services including reproductive and maternal health</w:t>
      </w:r>
      <w:r>
        <w:rPr>
          <w:rFonts w:asciiTheme="minorHAnsi" w:hAnsiTheme="minorHAnsi" w:cstheme="minorHAnsi"/>
          <w:sz w:val="22"/>
          <w:szCs w:val="22"/>
        </w:rPr>
        <w:t xml:space="preserve">, but </w:t>
      </w:r>
      <w:r w:rsidR="000B4B93" w:rsidRPr="004B0BC2">
        <w:rPr>
          <w:rFonts w:asciiTheme="minorHAnsi" w:hAnsiTheme="minorHAnsi" w:cstheme="minorHAnsi"/>
          <w:sz w:val="22"/>
          <w:szCs w:val="22"/>
        </w:rPr>
        <w:t>no reference</w:t>
      </w:r>
      <w:r w:rsidR="0043025C" w:rsidRPr="004B0BC2">
        <w:rPr>
          <w:rFonts w:asciiTheme="minorHAnsi" w:hAnsiTheme="minorHAnsi" w:cstheme="minorHAnsi"/>
          <w:sz w:val="22"/>
          <w:szCs w:val="22"/>
        </w:rPr>
        <w:t xml:space="preserve"> </w:t>
      </w:r>
      <w:r>
        <w:rPr>
          <w:rFonts w:asciiTheme="minorHAnsi" w:hAnsiTheme="minorHAnsi" w:cstheme="minorHAnsi"/>
          <w:sz w:val="22"/>
          <w:szCs w:val="22"/>
        </w:rPr>
        <w:t xml:space="preserve">is </w:t>
      </w:r>
      <w:r w:rsidR="0043025C" w:rsidRPr="004B0BC2">
        <w:rPr>
          <w:rFonts w:asciiTheme="minorHAnsi" w:hAnsiTheme="minorHAnsi" w:cstheme="minorHAnsi"/>
          <w:sz w:val="22"/>
          <w:szCs w:val="22"/>
        </w:rPr>
        <w:t>specifically</w:t>
      </w:r>
      <w:r w:rsidR="000B4B93" w:rsidRPr="004B0BC2">
        <w:rPr>
          <w:rFonts w:asciiTheme="minorHAnsi" w:hAnsiTheme="minorHAnsi" w:cstheme="minorHAnsi"/>
          <w:sz w:val="22"/>
          <w:szCs w:val="22"/>
        </w:rPr>
        <w:t xml:space="preserve"> </w:t>
      </w:r>
      <w:r>
        <w:rPr>
          <w:rFonts w:asciiTheme="minorHAnsi" w:hAnsiTheme="minorHAnsi" w:cstheme="minorHAnsi"/>
          <w:sz w:val="22"/>
          <w:szCs w:val="22"/>
        </w:rPr>
        <w:t xml:space="preserve">made </w:t>
      </w:r>
      <w:r w:rsidR="000B4B93" w:rsidRPr="004B0BC2">
        <w:rPr>
          <w:rFonts w:asciiTheme="minorHAnsi" w:hAnsiTheme="minorHAnsi" w:cstheme="minorHAnsi"/>
          <w:sz w:val="22"/>
          <w:szCs w:val="22"/>
        </w:rPr>
        <w:t>to men’s health</w:t>
      </w:r>
      <w:r w:rsidR="0043025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URL":"https://www.who.int/life-course/partners/global-strategy/global-strategy-2016-2030/en/","accessed":{"date-parts":[["2020","9","19"]]},"author":[{"dropping-particle":"","family":"WHO","given":"","non-dropping-particle":"","parse-names":false,"suffix":""}],"id":"ITEM-1","issued":{"date-parts":[["2020"]]},"title":"WHO | What is the Global Strategy?","type":"webpage"},"uris":["http://www.mendeley.com/documents/?uuid=65a0decc-cfe5-4021-8c81-1720222002eb"]}],"mendeley":{"formattedCitation":"(149)","plainTextFormattedCitation":"(149)","previouslyFormattedCitation":"(149)"},"properties":{"noteIndex":0},"schema":"https://github.com/citation-style-language/schema/raw/master/csl-citation.json"}</w:instrText>
      </w:r>
      <w:r w:rsidR="0043025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(149)</w:t>
      </w:r>
      <w:r w:rsidR="0043025C" w:rsidRPr="004B0BC2">
        <w:rPr>
          <w:rFonts w:asciiTheme="minorHAnsi" w:hAnsiTheme="minorHAnsi" w:cstheme="minorHAnsi"/>
          <w:sz w:val="22"/>
          <w:szCs w:val="22"/>
        </w:rPr>
        <w:fldChar w:fldCharType="end"/>
      </w:r>
      <w:r w:rsidR="000B4B93" w:rsidRPr="004B0BC2">
        <w:rPr>
          <w:rFonts w:asciiTheme="minorHAnsi" w:hAnsiTheme="minorHAnsi" w:cstheme="minorHAnsi"/>
          <w:sz w:val="22"/>
          <w:szCs w:val="22"/>
        </w:rPr>
        <w:t xml:space="preserve">. </w:t>
      </w:r>
    </w:p>
    <w:p w14:paraId="48D31A2C" w14:textId="0247D1B5" w:rsidR="00B41E11" w:rsidRPr="004B0BC2" w:rsidRDefault="00E03A97" w:rsidP="001C26F0">
      <w:pPr>
        <w:spacing w:line="480" w:lineRule="auto"/>
        <w:rPr>
          <w:rFonts w:asciiTheme="minorHAnsi" w:hAnsiTheme="minorHAnsi" w:cstheme="minorHAnsi"/>
          <w:b/>
          <w:bCs/>
          <w:sz w:val="22"/>
          <w:szCs w:val="22"/>
        </w:rPr>
      </w:pPr>
      <w:r w:rsidRPr="004B0BC2">
        <w:rPr>
          <w:rFonts w:asciiTheme="minorHAnsi" w:hAnsiTheme="minorHAnsi" w:cstheme="minorHAnsi"/>
          <w:sz w:val="22"/>
          <w:szCs w:val="22"/>
        </w:rPr>
        <w:t xml:space="preserve">This </w:t>
      </w:r>
      <w:r w:rsidR="00491500">
        <w:rPr>
          <w:rFonts w:asciiTheme="minorHAnsi" w:hAnsiTheme="minorHAnsi" w:cstheme="minorHAnsi"/>
          <w:sz w:val="22"/>
          <w:szCs w:val="22"/>
        </w:rPr>
        <w:t>focus primarily on women’s health</w:t>
      </w:r>
      <w:r w:rsidRPr="004B0BC2">
        <w:rPr>
          <w:rFonts w:asciiTheme="minorHAnsi" w:hAnsiTheme="minorHAnsi" w:cstheme="minorHAnsi"/>
          <w:sz w:val="22"/>
          <w:szCs w:val="22"/>
        </w:rPr>
        <w:t xml:space="preserve"> </w:t>
      </w:r>
      <w:r w:rsidR="00AC08F6" w:rsidRPr="004B0BC2">
        <w:rPr>
          <w:rFonts w:asciiTheme="minorHAnsi" w:hAnsiTheme="minorHAnsi" w:cstheme="minorHAnsi"/>
          <w:sz w:val="22"/>
          <w:szCs w:val="22"/>
        </w:rPr>
        <w:t>could</w:t>
      </w:r>
      <w:r w:rsidR="00491500">
        <w:rPr>
          <w:rFonts w:asciiTheme="minorHAnsi" w:hAnsiTheme="minorHAnsi" w:cstheme="minorHAnsi"/>
          <w:sz w:val="22"/>
          <w:szCs w:val="22"/>
        </w:rPr>
        <w:t>, paradoxically, have negative implications for women</w:t>
      </w:r>
      <w:r w:rsidR="00883AC7">
        <w:rPr>
          <w:rFonts w:asciiTheme="minorHAnsi" w:hAnsiTheme="minorHAnsi" w:cstheme="minorHAnsi"/>
          <w:sz w:val="22"/>
          <w:szCs w:val="22"/>
        </w:rPr>
        <w:t xml:space="preserve">, </w:t>
      </w:r>
      <w:r w:rsidRPr="004B0BC2">
        <w:rPr>
          <w:rFonts w:asciiTheme="minorHAnsi" w:hAnsiTheme="minorHAnsi" w:cstheme="minorHAnsi"/>
          <w:sz w:val="22"/>
          <w:szCs w:val="22"/>
        </w:rPr>
        <w:t xml:space="preserve">as studies have shown that the loss of a husband </w:t>
      </w:r>
      <w:r w:rsidR="007D3ABD" w:rsidRPr="004B0BC2">
        <w:rPr>
          <w:rFonts w:asciiTheme="minorHAnsi" w:hAnsiTheme="minorHAnsi" w:cstheme="minorHAnsi"/>
          <w:sz w:val="22"/>
          <w:szCs w:val="22"/>
        </w:rPr>
        <w:t xml:space="preserve">is linked </w:t>
      </w:r>
      <w:r w:rsidRPr="004B0BC2">
        <w:rPr>
          <w:rFonts w:asciiTheme="minorHAnsi" w:hAnsiTheme="minorHAnsi" w:cstheme="minorHAnsi"/>
          <w:sz w:val="22"/>
          <w:szCs w:val="22"/>
        </w:rPr>
        <w:t xml:space="preserve">with </w:t>
      </w:r>
      <w:r w:rsidR="007D3ABD" w:rsidRPr="004B0BC2">
        <w:rPr>
          <w:rFonts w:asciiTheme="minorHAnsi" w:hAnsiTheme="minorHAnsi" w:cstheme="minorHAnsi"/>
          <w:sz w:val="22"/>
          <w:szCs w:val="22"/>
        </w:rPr>
        <w:t xml:space="preserve">both </w:t>
      </w:r>
      <w:r w:rsidRPr="004B0BC2">
        <w:rPr>
          <w:rFonts w:asciiTheme="minorHAnsi" w:hAnsiTheme="minorHAnsi" w:cstheme="minorHAnsi"/>
          <w:sz w:val="22"/>
          <w:szCs w:val="22"/>
        </w:rPr>
        <w:t>psychological and emotional distress</w:t>
      </w:r>
      <w:r w:rsidR="00F80BA7" w:rsidRPr="004B0BC2">
        <w:rPr>
          <w:rFonts w:asciiTheme="minorHAnsi" w:hAnsiTheme="minorHAnsi" w:cstheme="minorHAnsi"/>
          <w:sz w:val="22"/>
          <w:szCs w:val="22"/>
        </w:rPr>
        <w:t xml:space="preserve"> in widows and has </w:t>
      </w:r>
      <w:r w:rsidR="007D3ABD" w:rsidRPr="004B0BC2">
        <w:rPr>
          <w:rFonts w:asciiTheme="minorHAnsi" w:hAnsiTheme="minorHAnsi" w:cstheme="minorHAnsi"/>
          <w:sz w:val="22"/>
          <w:szCs w:val="22"/>
        </w:rPr>
        <w:t>adverse</w:t>
      </w:r>
      <w:r w:rsidRPr="004B0BC2">
        <w:rPr>
          <w:rFonts w:asciiTheme="minorHAnsi" w:hAnsiTheme="minorHAnsi" w:cstheme="minorHAnsi"/>
          <w:sz w:val="22"/>
          <w:szCs w:val="22"/>
        </w:rPr>
        <w:t xml:space="preserve"> effects </w:t>
      </w:r>
      <w:r w:rsidR="00F80BA7" w:rsidRPr="004B0BC2">
        <w:rPr>
          <w:rFonts w:asciiTheme="minorHAnsi" w:hAnsiTheme="minorHAnsi" w:cstheme="minorHAnsi"/>
          <w:sz w:val="22"/>
          <w:szCs w:val="22"/>
        </w:rPr>
        <w:t xml:space="preserve">on </w:t>
      </w:r>
      <w:r w:rsidRPr="004B0BC2">
        <w:rPr>
          <w:rFonts w:asciiTheme="minorHAnsi" w:hAnsiTheme="minorHAnsi" w:cstheme="minorHAnsi"/>
          <w:sz w:val="22"/>
          <w:szCs w:val="22"/>
        </w:rPr>
        <w:t>physical health</w:t>
      </w:r>
      <w:r w:rsidR="00883AC7">
        <w:rPr>
          <w:rFonts w:asciiTheme="minorHAnsi" w:hAnsiTheme="minorHAnsi" w:cstheme="minorHAnsi"/>
          <w:sz w:val="22"/>
          <w:szCs w:val="22"/>
        </w:rPr>
        <w:t>,</w:t>
      </w:r>
      <w:r w:rsidRPr="004B0BC2">
        <w:rPr>
          <w:rFonts w:asciiTheme="minorHAnsi" w:hAnsiTheme="minorHAnsi" w:cstheme="minorHAnsi"/>
          <w:sz w:val="22"/>
          <w:szCs w:val="22"/>
        </w:rPr>
        <w:t xml:space="preserve"> including an increased mortality risk</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{"citationItems":[{"id":"ITEM-1","itemData":{"DOI":"10.1056/NEJMsa050196","ISSN":"0028-4793","author":[{"dropping-particle":"","family":"Christakis","given":"Nicholas A.","non-dropping-particle":"","parse-names":false,"suffix":""},{"dropping-particle":"","family":"Allison","given":"Paul D.","non-dropping-particle":"","parse-names":false,"suffix":""}],"container-title":"New England Journal of Medicine","id":"ITEM-1","issue":"7","issued":{"date-parts":[["2006","2","16"]]},"page":"719-730","title":"Mortality after the Hospitalization of a Spouse","type":"article-journal","volume":"354"},"uris":["http://www.mendeley.com/documents/?uuid=91862174-fdbe-33e4-a303-cd821974fa5e"]}],"mendeley":{"formattedCitation":"(150)","plainTextFormattedCitation":"(150)","previouslyFormattedCitation":"(150)"},"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(150)</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 Furthermore,</w:t>
      </w:r>
      <w:r w:rsidR="00AC08F6" w:rsidRPr="004B0BC2">
        <w:rPr>
          <w:rFonts w:asciiTheme="minorHAnsi" w:hAnsiTheme="minorHAnsi" w:cstheme="minorHAnsi"/>
          <w:sz w:val="22"/>
          <w:szCs w:val="22"/>
        </w:rPr>
        <w:t xml:space="preserve"> </w:t>
      </w:r>
      <w:r w:rsidRPr="004B0BC2">
        <w:rPr>
          <w:rFonts w:asciiTheme="minorHAnsi" w:hAnsiTheme="minorHAnsi" w:cstheme="minorHAnsi"/>
          <w:sz w:val="22"/>
          <w:szCs w:val="22"/>
        </w:rPr>
        <w:t xml:space="preserve">in </w:t>
      </w:r>
      <w:r w:rsidR="00AC08F6" w:rsidRPr="004B0BC2">
        <w:rPr>
          <w:rFonts w:asciiTheme="minorHAnsi" w:hAnsiTheme="minorHAnsi" w:cstheme="minorHAnsi"/>
          <w:sz w:val="22"/>
          <w:szCs w:val="22"/>
        </w:rPr>
        <w:t>the US</w:t>
      </w:r>
      <w:r w:rsidR="00883AC7">
        <w:rPr>
          <w:rFonts w:asciiTheme="minorHAnsi" w:hAnsiTheme="minorHAnsi" w:cstheme="minorHAnsi"/>
          <w:sz w:val="22"/>
          <w:szCs w:val="22"/>
        </w:rPr>
        <w:t xml:space="preserve">A </w:t>
      </w:r>
      <w:r w:rsidRPr="004B0BC2">
        <w:rPr>
          <w:rFonts w:asciiTheme="minorHAnsi" w:hAnsiTheme="minorHAnsi" w:cstheme="minorHAnsi"/>
          <w:sz w:val="22"/>
          <w:szCs w:val="22"/>
        </w:rPr>
        <w:t xml:space="preserve">more than half of all elderly females living in poverty </w:t>
      </w:r>
      <w:r w:rsidR="0076746B" w:rsidRPr="004B0BC2">
        <w:rPr>
          <w:rFonts w:asciiTheme="minorHAnsi" w:hAnsiTheme="minorHAnsi" w:cstheme="minorHAnsi"/>
          <w:sz w:val="22"/>
          <w:szCs w:val="22"/>
        </w:rPr>
        <w:t xml:space="preserve">became </w:t>
      </w:r>
      <w:r w:rsidRPr="004B0BC2">
        <w:rPr>
          <w:rFonts w:asciiTheme="minorHAnsi" w:hAnsiTheme="minorHAnsi" w:cstheme="minorHAnsi"/>
          <w:sz w:val="22"/>
          <w:szCs w:val="22"/>
        </w:rPr>
        <w:t>so following the</w:t>
      </w:r>
      <w:r w:rsidR="007D3ABD" w:rsidRPr="004B0BC2">
        <w:rPr>
          <w:rFonts w:asciiTheme="minorHAnsi" w:hAnsiTheme="minorHAnsi" w:cstheme="minorHAnsi"/>
          <w:sz w:val="22"/>
          <w:szCs w:val="22"/>
        </w:rPr>
        <w:t xml:space="preserve"> bereavement of their spouse</w:t>
      </w:r>
      <w:r w:rsidR="0027458E" w:rsidRPr="004B0BC2">
        <w:rPr>
          <w:rFonts w:asciiTheme="minorHAnsi" w:hAnsiTheme="minorHAnsi" w:cstheme="minorHAnsi"/>
          <w:sz w:val="22"/>
          <w:szCs w:val="22"/>
        </w:rPr>
        <w:t>, illustrating the economic ramifications of premature male death</w:t>
      </w:r>
      <w:r w:rsidR="006F43AA" w:rsidRPr="004B0BC2">
        <w:rPr>
          <w:rFonts w:asciiTheme="minorHAnsi" w:hAnsiTheme="minorHAnsi" w:cstheme="minorHAnsi"/>
          <w:sz w:val="22"/>
          <w:szCs w:val="22"/>
        </w:rPr>
        <w:t xml:space="preserve"> on their </w:t>
      </w:r>
      <w:r w:rsidR="00883AC7">
        <w:rPr>
          <w:rFonts w:asciiTheme="minorHAnsi" w:hAnsiTheme="minorHAnsi" w:cstheme="minorHAnsi"/>
          <w:sz w:val="22"/>
          <w:szCs w:val="22"/>
        </w:rPr>
        <w:t xml:space="preserve">female </w:t>
      </w:r>
      <w:r w:rsidR="006F43AA" w:rsidRPr="004B0BC2">
        <w:rPr>
          <w:rFonts w:asciiTheme="minorHAnsi" w:hAnsiTheme="minorHAnsi" w:cstheme="minorHAnsi"/>
          <w:sz w:val="22"/>
          <w:szCs w:val="22"/>
        </w:rPr>
        <w:t>partners</w:t>
      </w:r>
      <w:r w:rsidR="0027458E" w:rsidRPr="004B0BC2">
        <w:rPr>
          <w:rFonts w:asciiTheme="minorHAnsi" w:hAnsiTheme="minorHAnsi" w:cstheme="minorHAnsi"/>
          <w:sz w:val="22"/>
          <w:szCs w:val="22"/>
        </w:rPr>
        <w:t xml:space="preserve"> </w:t>
      </w:r>
      <w:r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{"citationItems":[{"id":"ITEM-1","itemData":{"DOI":"10.1177/1557988317723424","ISSN":"15579891","abstract":"The WHO’s “Global Strategy for Women’s, Children’s, and Adolescents’ Health 2016-2030” (GS-WCAH 2016-2030) is a comprehensive plan developed to improve the lives of women, children, and adolescents. Due to the success in the creation, ratification, and advocacy of the GS-WCAH 2016-2030, the clear health outcome disparities between males and females, and the general absence of male health from existing policies and sponsored programs, it is time now to develop a global strategy specifically drafted to improve the lives of men and boys. The following commentary provides three points for why a male-oriented program, like the GS-WCAH 2016-2030, should be created: (a) health outcomes disparities, (b) economic impact of poor male health, and (c) fathers’ role in promoting the health of women, children, and adolescents. Implications for how male health can be incorporated into future projects and priorities are provided, as well as advocacy for overall gender-inclusivity in regard to global public health efforts.","author":[{"dropping-particle":"","family":"Rovito","given":"Michael J.","non-dropping-particle":"","parse-names":false,"suffix":""},{"dropping-particle":"","family":"Leonard","given":"Brandon","non-dropping-particle":"","parse-names":false,"suffix":""},{"dropping-particle":"","family":"Llamas","given":"Ramon","non-dropping-particle":"","parse-names":false,"suffix":""},{"dropping-particle":"","family":"Leone","given":"James E.","non-dropping-particle":"","parse-names":false,"suffix":""},{"dropping-particle":"","family":"Talton","given":"Walker","non-dropping-particle":"","parse-names":false,"suffix":""},{"dropping-particle":"","family":"Fadich","given":"Ana","non-dropping-particle":"","parse-names":false,"suffix":""},{"dropping-particle":"","family":"Baker","given":"Peter","non-dropping-particle":"","parse-names":false,"suffix":""}],"container-title":"American Journal of Men's Health","id":"ITEM-1","issue":"6","issued":{"date-parts":[["2017"]]},"page":"1804-1808","title":"A Call for Gender-Inclusive Global Health Strategies","type":"article-journal","volume":"11"},"uris":["http://www.mendeley.com/documents/?uuid=13d4a205-0bb2-3cce-a0ed-d528bb89aeb3"]}],"mendeley":{"formattedCitation":"(148)","plainTextFormattedCitation":"(148)","previouslyFormattedCitation":"(148)"},"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(148)</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w:t>
      </w:r>
      <w:r w:rsidR="00B41E11" w:rsidRPr="004B0BC2">
        <w:rPr>
          <w:rFonts w:asciiTheme="minorHAnsi" w:hAnsiTheme="minorHAnsi" w:cstheme="minorHAnsi"/>
          <w:sz w:val="22"/>
          <w:szCs w:val="22"/>
        </w:rPr>
        <w:t xml:space="preserve"> </w:t>
      </w:r>
      <w:r w:rsidR="00B41E11" w:rsidRPr="00883AC7">
        <w:rPr>
          <w:rFonts w:asciiTheme="minorHAnsi" w:hAnsiTheme="minorHAnsi" w:cstheme="minorHAnsi"/>
          <w:sz w:val="22"/>
          <w:szCs w:val="22"/>
        </w:rPr>
        <w:t>Similarly, studies in Australia have reported that widowhood is associated with an increased risk of poverty for women and the UK retirement survey reported that the loss of a partner had negligible effects on income for men but resulted in a decline to 61% of previous earnings</w:t>
      </w:r>
      <w:r w:rsidR="00883AC7" w:rsidRPr="00883AC7">
        <w:rPr>
          <w:rFonts w:asciiTheme="minorHAnsi" w:hAnsiTheme="minorHAnsi" w:cstheme="minorHAnsi"/>
          <w:sz w:val="22"/>
          <w:szCs w:val="22"/>
        </w:rPr>
        <w:t xml:space="preserve"> </w:t>
      </w:r>
      <w:r w:rsidR="00883AC7">
        <w:rPr>
          <w:rFonts w:asciiTheme="minorHAnsi" w:hAnsiTheme="minorHAnsi" w:cstheme="minorHAnsi"/>
          <w:sz w:val="22"/>
          <w:szCs w:val="22"/>
        </w:rPr>
        <w:t xml:space="preserve">for women </w:t>
      </w:r>
      <w:r w:rsidR="00B41E11" w:rsidRPr="00883AC7">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{"citationItems":[{"id":"ITEM-1","itemData":{"abstract":"This research report investigates the economic and financial consequences of bereavement for a surviving spouse or partner and their household, using a mixed methods, prospective design. The study involves a quantitative element based on longitudinal analysis of the British Household Panel Survey, and a qualitative element comprising personal interviews with people at different life stages whose partner has died. The research will contribute to debate about personal responsibility for financial affairs, and institutional arrangements that shape the financial impact of bereavement. Findings will: * have implications for social security, tax, pensions, housing and legal matters * inform the development of bereavement support and financial advice services * be directly relevant to the role of primary health and social care The main report is accompanied by: * Appendices A-F: Design, research methods and instruments * Annexes to chapters 3-6: Statistical data and analysis","author":[{"dropping-particle":"","family":"Corden","given":"Patricia","non-dropping-particle":"","parse-names":false,"suffix":""}],"container-title":"Full Research Report ESRC End of Award Report","id":"ITEM-1","issued":{"date-parts":[["2008"]]},"title":"Financial Implications of Death of a Partner","type":"report"},"uris":["http://www.mendeley.com/documents/?uuid=f7f81b24-8b5a-4458-bf7a-54a258f72384"]}],"mendeley":{"formattedCitation":"(151)","plainTextFormattedCitation":"(151)","previouslyFormattedCitation":"(151)"},"properties":{"noteIndex":0},"schema":"https://github.com/citation-style-language/schema/raw/master/csl-citation.json"}</w:instrText>
      </w:r>
      <w:r w:rsidR="00B41E11" w:rsidRPr="00883AC7">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(151)</w:t>
      </w:r>
      <w:r w:rsidR="00B41E11" w:rsidRPr="00883AC7">
        <w:rPr>
          <w:rFonts w:asciiTheme="minorHAnsi" w:hAnsiTheme="minorHAnsi" w:cstheme="minorHAnsi"/>
          <w:sz w:val="22"/>
          <w:szCs w:val="22"/>
        </w:rPr>
        <w:fldChar w:fldCharType="end"/>
      </w:r>
      <w:r w:rsidR="00B41E11" w:rsidRPr="00883AC7">
        <w:rPr>
          <w:rFonts w:asciiTheme="minorHAnsi" w:hAnsiTheme="minorHAnsi" w:cstheme="minorHAnsi"/>
          <w:sz w:val="22"/>
          <w:szCs w:val="22"/>
        </w:rPr>
        <w:t>.</w:t>
      </w:r>
      <w:r w:rsidR="003C11E1" w:rsidRPr="00883AC7">
        <w:rPr>
          <w:rFonts w:asciiTheme="minorHAnsi" w:hAnsiTheme="minorHAnsi" w:cstheme="minorHAnsi"/>
          <w:sz w:val="22"/>
          <w:szCs w:val="22"/>
        </w:rPr>
        <w:t xml:space="preserve"> </w:t>
      </w:r>
      <w:r w:rsidR="00B41E11" w:rsidRPr="00883AC7">
        <w:rPr>
          <w:rFonts w:asciiTheme="minorHAnsi" w:hAnsiTheme="minorHAnsi" w:cstheme="minorHAnsi"/>
          <w:sz w:val="22"/>
          <w:szCs w:val="22"/>
        </w:rPr>
        <w:t>Indeed, the bereavement of a husband can have implications beyond financial status and in India</w:t>
      </w:r>
      <w:r w:rsidR="00883AC7">
        <w:rPr>
          <w:rFonts w:asciiTheme="minorHAnsi" w:hAnsiTheme="minorHAnsi" w:cstheme="minorHAnsi"/>
          <w:sz w:val="22"/>
          <w:szCs w:val="22"/>
        </w:rPr>
        <w:t>,</w:t>
      </w:r>
      <w:r w:rsidR="00B41E11" w:rsidRPr="00883AC7">
        <w:rPr>
          <w:rFonts w:asciiTheme="minorHAnsi" w:hAnsiTheme="minorHAnsi" w:cstheme="minorHAnsi"/>
          <w:sz w:val="22"/>
          <w:szCs w:val="22"/>
        </w:rPr>
        <w:t xml:space="preserve"> widows</w:t>
      </w:r>
      <w:r w:rsidR="00883AC7">
        <w:rPr>
          <w:rFonts w:asciiTheme="minorHAnsi" w:hAnsiTheme="minorHAnsi" w:cstheme="minorHAnsi"/>
          <w:sz w:val="22"/>
          <w:szCs w:val="22"/>
        </w:rPr>
        <w:t xml:space="preserve"> have been reported to</w:t>
      </w:r>
      <w:r w:rsidR="00B41E11" w:rsidRPr="00883AC7">
        <w:rPr>
          <w:rFonts w:asciiTheme="minorHAnsi" w:hAnsiTheme="minorHAnsi" w:cstheme="minorHAnsi"/>
          <w:sz w:val="22"/>
          <w:szCs w:val="22"/>
        </w:rPr>
        <w:t xml:space="preserve"> face “social stigmatisation and exclusion”</w:t>
      </w:r>
      <w:r w:rsidR="00B41E11" w:rsidRPr="00883AC7">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{"citationItems":[{"id":"ITEM-1","itemData":{"DOI":"10.1186/1472-698X-12-28","ISSN":"1472698X","abstract":"Background: The health and well-being of widows in India is an important but neglected issue of public health and women's rights. We investigate the lives of Indian women as they become widows, focussing on the causes of their husband's mortality and the ensuing consequences of these causes on their own lives and identify the opportunities and challenges that widows face in living healthy and fulfilling lives. Methods. Data were collected in a Gram Panchayat (lowest level territorial decentralised unit) in the south Indian state of Kerala. Interviews were undertaken with key informants in order to gain an understanding of local constructions of 'widowhood' and the welfare and social opportunities for widows. Then we conducted semi-structured interviews with widows in the community on issues related to health and vulnerability, enabling us to hear perspectives from widows. Data were analysed for thematic content and emerging patterns. We synthesized our findings with theoretical understandings of vulnerability and Amartya Sen's entitlements theory to develop a conceptual framework. Results: Two salient findings of the study are: first, becoming a widow can be viewed as a type of 'shock that' operates similarly to other 'economic shocks' or 'health shocks' in poor countries except that the burden falls disproportionately on women. Second, widowhood is not a static phenomenon, but rather can be viewed as a multi-phased process with different public health implications at each stage. Conclusion: More research on widows in India and other countries will help to both elucidate the challenges faced by widows and encourage potential solutions. The framework developed in this paper could be used to guide future research on widows. © 2012 Mohindra et al.; licensee BioMed Central Ltd.","author":[{"dropping-particle":"","family":"Mohindra","given":"Katia Sarla","non-dropping-particle":"","parse-names":false,"suffix":""},{"dropping-particle":"","family":"Haddad","given":"Slim","non-dropping-particle":"","parse-names":false,"suffix":""},{"dropping-particle":"","family":"Narayana","given":"Delampady","non-dropping-particle":"","parse-names":false,"suffix":""}],"container-title":"BMC International Health and Human Rights","id":"ITEM-1","issue":"28","issued":{"date-parts":[["2012"]]},"page":"1-13","title":"Debt, shame, and survival: Becoming and living as widows in rural Kerala, India","type":"article-journal","volume":"12"},"uris":["http://www.mendeley.com/documents/?uuid=d9f9ed41-9668-4db0-bd37-00c6754aa8cf"]}],"mendeley":{"formattedCitation":"(152)","plainTextFormattedCitation":"(152)","previouslyFormattedCitation":"(152)"},"properties":{"noteIndex":0},"schema":"https://github.com/citation-style-language/schema/raw/master/csl-citation.json"}</w:instrText>
      </w:r>
      <w:r w:rsidR="00B41E11" w:rsidRPr="00883AC7">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(152)</w:t>
      </w:r>
      <w:r w:rsidR="00B41E11" w:rsidRPr="00883AC7">
        <w:rPr>
          <w:rFonts w:asciiTheme="minorHAnsi" w:hAnsiTheme="minorHAnsi" w:cstheme="minorHAnsi"/>
          <w:sz w:val="22"/>
          <w:szCs w:val="22"/>
        </w:rPr>
        <w:fldChar w:fldCharType="end"/>
      </w:r>
      <w:r w:rsidR="00B41E11" w:rsidRPr="00883AC7">
        <w:rPr>
          <w:rFonts w:asciiTheme="minorHAnsi" w:hAnsiTheme="minorHAnsi" w:cstheme="minorHAnsi"/>
          <w:sz w:val="22"/>
          <w:szCs w:val="22"/>
        </w:rPr>
        <w:t xml:space="preserve"> including restrictions to employment owing to caste restraints</w:t>
      </w:r>
      <w:r w:rsidR="00B41E11" w:rsidRPr="00883AC7">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{"citationItems":[{"id":"ITEM-1","itemData":{"DOI":"10.1186/1472-698X-12-28","ISSN":"1472698X","abstract":"Background: The health and well-being of widows in India is an important but neglected issue of public health and women's rights. We investigate the lives of Indian women as they become widows, focussing on the causes of their husband's mortality and the ensuing consequences of these causes on their own lives and identify the opportunities and challenges that widows face in living healthy and fulfilling lives. Methods. Data were collected in a Gram Panchayat (lowest level territorial decentralised unit) in the south Indian state of Kerala. Interviews were undertaken with key informants in order to gain an understanding of local constructions of 'widowhood' and the welfare and social opportunities for widows. Then we conducted semi-structured interviews with widows in the community on issues related to health and vulnerability, enabling us to hear perspectives from widows. Data were analysed for thematic content and emerging patterns. We synthesized our findings with theoretical understandings of vulnerability and Amartya Sen's entitlements theory to develop a conceptual framework. Results: Two salient findings of the study are: first, becoming a widow can be viewed as a type of 'shock that' operates similarly to other 'economic shocks' or 'health shocks' in poor countries except that the burden falls disproportionately on women. Second, widowhood is not a static phenomenon, but rather can be viewed as a multi-phased process with different public health implications at each stage. Conclusion: More research on widows in India and other countries will help to both elucidate the challenges faced by widows and encourage potential solutions. The framework developed in this paper could be used to guide future research on widows. © 2012 Mohindra et al.; licensee BioMed Central Ltd.","author":[{"dropping-particle":"","family":"Mohindra","given":"Katia Sarla","non-dropping-particle":"","parse-names":false,"suffix":""},{"dropping-particle":"","family":"Haddad","given":"Slim","non-dropping-particle":"","parse-names":false,"suffix":""},{"dropping-particle":"","family":"Narayana","given":"Delampady","non-dropping-particle":"","parse-names":false,"suffix":""}],"container-title":"BMC International Health and Human Rights","id":"ITEM-1","issue":"28","issued":{"date-parts":[["2012"]]},"page":"1-13","title":"Debt, shame, and survival: Becoming and living as widows in rural Kerala, India","type":"article-journal","volume":"12"},"uris":["http://www.mendeley.com/documents/?uuid=d9f9ed41-9668-4db0-bd37-00c6754aa8cf"]}],"mendeley":{"formattedCitation":"(152)","plainTextFormattedCitation":"(152)","previouslyFormattedCitation":"(152)"},"properties":{"noteIndex":0},"schema":"https://github.com/citation-style-language/schema/raw/master/csl-citation.json"}</w:instrText>
      </w:r>
      <w:r w:rsidR="00B41E11" w:rsidRPr="00883AC7">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(152)</w:t>
      </w:r>
      <w:r w:rsidR="00B41E11" w:rsidRPr="00883AC7">
        <w:rPr>
          <w:rFonts w:asciiTheme="minorHAnsi" w:hAnsiTheme="minorHAnsi" w:cstheme="minorHAnsi"/>
          <w:sz w:val="22"/>
          <w:szCs w:val="22"/>
        </w:rPr>
        <w:fldChar w:fldCharType="end"/>
      </w:r>
      <w:r w:rsidR="00976C8C">
        <w:rPr>
          <w:rFonts w:asciiTheme="minorHAnsi" w:hAnsiTheme="minorHAnsi" w:cstheme="minorHAnsi"/>
          <w:sz w:val="22"/>
          <w:szCs w:val="22"/>
        </w:rPr>
        <w:t xml:space="preserve"> </w:t>
      </w:r>
      <w:r w:rsidR="00B41E11" w:rsidRPr="00883AC7">
        <w:rPr>
          <w:rFonts w:asciiTheme="minorHAnsi" w:hAnsiTheme="minorHAnsi" w:cstheme="minorHAnsi"/>
          <w:sz w:val="22"/>
          <w:szCs w:val="22"/>
        </w:rPr>
        <w:t>. Thus, the loss of a husband can result in the loss of the breadwinner in some families and financial and social decline.</w:t>
      </w:r>
      <w:r w:rsidR="00B41E11" w:rsidRPr="004B0BC2">
        <w:rPr>
          <w:rFonts w:asciiTheme="minorHAnsi" w:hAnsiTheme="minorHAnsi" w:cstheme="minorHAnsi"/>
          <w:sz w:val="22"/>
          <w:szCs w:val="22"/>
        </w:rPr>
        <w:t xml:space="preserve"> </w:t>
      </w:r>
      <w:r w:rsidR="008F0583">
        <w:rPr>
          <w:rFonts w:asciiTheme="minorHAnsi" w:hAnsiTheme="minorHAnsi" w:cstheme="minorHAnsi"/>
          <w:sz w:val="22"/>
          <w:szCs w:val="22"/>
        </w:rPr>
        <w:t>However,</w:t>
      </w:r>
      <w:r w:rsidR="00693DD5">
        <w:rPr>
          <w:rFonts w:asciiTheme="minorHAnsi" w:hAnsiTheme="minorHAnsi" w:cstheme="minorHAnsi"/>
          <w:sz w:val="22"/>
          <w:szCs w:val="22"/>
        </w:rPr>
        <w:t xml:space="preserve"> a </w:t>
      </w:r>
      <w:r w:rsidR="008F0583">
        <w:rPr>
          <w:rFonts w:asciiTheme="minorHAnsi" w:hAnsiTheme="minorHAnsi" w:cstheme="minorHAnsi"/>
          <w:sz w:val="22"/>
          <w:szCs w:val="22"/>
        </w:rPr>
        <w:t>women’s reliance on a husband for financial and social support</w:t>
      </w:r>
      <w:r w:rsidR="00906747">
        <w:rPr>
          <w:rFonts w:asciiTheme="minorHAnsi" w:hAnsiTheme="minorHAnsi" w:cstheme="minorHAnsi"/>
          <w:sz w:val="22"/>
          <w:szCs w:val="22"/>
        </w:rPr>
        <w:t xml:space="preserve"> </w:t>
      </w:r>
      <w:r w:rsidR="008F0583">
        <w:rPr>
          <w:rFonts w:asciiTheme="minorHAnsi" w:hAnsiTheme="minorHAnsi" w:cstheme="minorHAnsi"/>
          <w:sz w:val="22"/>
          <w:szCs w:val="22"/>
        </w:rPr>
        <w:t>suggests sexual inequality and</w:t>
      </w:r>
      <w:r w:rsidR="00343CD7">
        <w:rPr>
          <w:rFonts w:asciiTheme="minorHAnsi" w:hAnsiTheme="minorHAnsi" w:cstheme="minorHAnsi"/>
          <w:sz w:val="22"/>
          <w:szCs w:val="22"/>
        </w:rPr>
        <w:t>,</w:t>
      </w:r>
      <w:r w:rsidR="008F0583">
        <w:rPr>
          <w:rFonts w:asciiTheme="minorHAnsi" w:hAnsiTheme="minorHAnsi" w:cstheme="minorHAnsi"/>
          <w:sz w:val="22"/>
          <w:szCs w:val="22"/>
        </w:rPr>
        <w:t xml:space="preserve"> therefore</w:t>
      </w:r>
      <w:r w:rsidR="00343CD7">
        <w:rPr>
          <w:rFonts w:asciiTheme="minorHAnsi" w:hAnsiTheme="minorHAnsi" w:cstheme="minorHAnsi"/>
          <w:sz w:val="22"/>
          <w:szCs w:val="22"/>
        </w:rPr>
        <w:t>,</w:t>
      </w:r>
      <w:r w:rsidR="008F0583">
        <w:rPr>
          <w:rFonts w:asciiTheme="minorHAnsi" w:hAnsiTheme="minorHAnsi" w:cstheme="minorHAnsi"/>
          <w:sz w:val="22"/>
          <w:szCs w:val="22"/>
        </w:rPr>
        <w:t xml:space="preserve"> </w:t>
      </w:r>
      <w:r w:rsidR="00906747">
        <w:rPr>
          <w:rFonts w:asciiTheme="minorHAnsi" w:hAnsiTheme="minorHAnsi" w:cstheme="minorHAnsi"/>
          <w:sz w:val="22"/>
          <w:szCs w:val="22"/>
        </w:rPr>
        <w:t>this discrimination against women should also be addressed within society.</w:t>
      </w:r>
    </w:p>
    <w:p w14:paraId="5C5C8BBE" w14:textId="659FF714" w:rsidR="00E03A97" w:rsidRPr="004B0BC2" w:rsidRDefault="00E03A97" w:rsidP="00B66369">
      <w:pPr>
        <w:spacing w:line="480" w:lineRule="auto"/>
        <w:rPr>
          <w:rFonts w:asciiTheme="minorHAnsi" w:hAnsiTheme="minorHAnsi" w:cstheme="minorHAnsi"/>
          <w:sz w:val="22"/>
          <w:szCs w:val="22"/>
        </w:rPr>
      </w:pPr>
    </w:p>
    <w:p w14:paraId="7EC9653D" w14:textId="17A8405E" w:rsidR="00B511E9" w:rsidRDefault="00176BAF" w:rsidP="00B66369">
      <w:pPr>
        <w:spacing w:line="480" w:lineRule="auto"/>
        <w:rPr>
          <w:rFonts w:asciiTheme="minorHAnsi" w:hAnsiTheme="minorHAnsi" w:cstheme="minorHAnsi"/>
          <w:sz w:val="22"/>
          <w:szCs w:val="22"/>
        </w:rPr>
      </w:pPr>
      <w:r w:rsidRPr="004B0BC2">
        <w:rPr>
          <w:rFonts w:asciiTheme="minorHAnsi" w:hAnsiTheme="minorHAnsi" w:cstheme="minorHAnsi"/>
          <w:spacing w:val="-3"/>
          <w:sz w:val="22"/>
          <w:szCs w:val="22"/>
        </w:rPr>
        <w:t xml:space="preserve">The </w:t>
      </w:r>
      <w:r w:rsidR="00497D4B" w:rsidRPr="004B0BC2">
        <w:rPr>
          <w:rFonts w:asciiTheme="minorHAnsi" w:hAnsiTheme="minorHAnsi" w:cstheme="minorHAnsi"/>
          <w:spacing w:val="-3"/>
          <w:sz w:val="22"/>
          <w:szCs w:val="22"/>
        </w:rPr>
        <w:t>process of</w:t>
      </w:r>
      <w:r w:rsidRPr="004B0BC2">
        <w:rPr>
          <w:rFonts w:asciiTheme="minorHAnsi" w:hAnsiTheme="minorHAnsi" w:cstheme="minorHAnsi"/>
          <w:spacing w:val="-3"/>
          <w:sz w:val="22"/>
          <w:szCs w:val="22"/>
        </w:rPr>
        <w:t xml:space="preserve"> </w:t>
      </w:r>
      <w:r w:rsidR="007D3ABD" w:rsidRPr="004B0BC2">
        <w:rPr>
          <w:rFonts w:asciiTheme="minorHAnsi" w:hAnsiTheme="minorHAnsi" w:cstheme="minorHAnsi"/>
          <w:spacing w:val="-3"/>
          <w:sz w:val="22"/>
          <w:szCs w:val="22"/>
        </w:rPr>
        <w:t>improving male engagement</w:t>
      </w:r>
      <w:r w:rsidR="00497D4B" w:rsidRPr="004B0BC2">
        <w:rPr>
          <w:rFonts w:asciiTheme="minorHAnsi" w:hAnsiTheme="minorHAnsi" w:cstheme="minorHAnsi"/>
          <w:spacing w:val="-3"/>
          <w:sz w:val="22"/>
          <w:szCs w:val="22"/>
        </w:rPr>
        <w:t xml:space="preserve"> should be achieved through a structured </w:t>
      </w:r>
      <w:r w:rsidR="00F80BA7" w:rsidRPr="004B0BC2">
        <w:rPr>
          <w:rFonts w:asciiTheme="minorHAnsi" w:hAnsiTheme="minorHAnsi" w:cstheme="minorHAnsi"/>
          <w:spacing w:val="-3"/>
          <w:sz w:val="22"/>
          <w:szCs w:val="22"/>
        </w:rPr>
        <w:t xml:space="preserve">men’s </w:t>
      </w:r>
      <w:r w:rsidRPr="004B0BC2">
        <w:rPr>
          <w:rFonts w:asciiTheme="minorHAnsi" w:hAnsiTheme="minorHAnsi" w:cstheme="minorHAnsi"/>
          <w:spacing w:val="-3"/>
          <w:sz w:val="22"/>
          <w:szCs w:val="22"/>
        </w:rPr>
        <w:t>health</w:t>
      </w:r>
      <w:r w:rsidR="00883AC7">
        <w:rPr>
          <w:rFonts w:asciiTheme="minorHAnsi" w:hAnsiTheme="minorHAnsi" w:cstheme="minorHAnsi"/>
          <w:spacing w:val="-3"/>
          <w:sz w:val="22"/>
          <w:szCs w:val="22"/>
        </w:rPr>
        <w:t>-</w:t>
      </w:r>
      <w:r w:rsidR="00943811" w:rsidRPr="004B0BC2">
        <w:rPr>
          <w:rFonts w:asciiTheme="minorHAnsi" w:hAnsiTheme="minorHAnsi" w:cstheme="minorHAnsi"/>
          <w:spacing w:val="-3"/>
          <w:sz w:val="22"/>
          <w:szCs w:val="22"/>
        </w:rPr>
        <w:t>care</w:t>
      </w:r>
      <w:r w:rsidRPr="004B0BC2">
        <w:rPr>
          <w:rFonts w:asciiTheme="minorHAnsi" w:hAnsiTheme="minorHAnsi" w:cstheme="minorHAnsi"/>
          <w:spacing w:val="-3"/>
          <w:sz w:val="22"/>
          <w:szCs w:val="22"/>
        </w:rPr>
        <w:t xml:space="preserve"> programme.</w:t>
      </w:r>
      <w:r w:rsidR="00310BEC" w:rsidRPr="004B0BC2">
        <w:rPr>
          <w:rFonts w:asciiTheme="minorHAnsi" w:hAnsiTheme="minorHAnsi" w:cstheme="minorHAnsi"/>
          <w:sz w:val="22"/>
          <w:szCs w:val="22"/>
        </w:rPr>
        <w:t xml:space="preserve"> For example, the Football Fans in </w:t>
      </w:r>
      <w:r w:rsidR="00A50E38" w:rsidRPr="004B0BC2">
        <w:rPr>
          <w:rFonts w:asciiTheme="minorHAnsi" w:hAnsiTheme="minorHAnsi" w:cstheme="minorHAnsi"/>
          <w:sz w:val="22"/>
          <w:szCs w:val="22"/>
        </w:rPr>
        <w:t>T</w:t>
      </w:r>
      <w:r w:rsidR="00310BEC" w:rsidRPr="004B0BC2">
        <w:rPr>
          <w:rFonts w:asciiTheme="minorHAnsi" w:hAnsiTheme="minorHAnsi" w:cstheme="minorHAnsi"/>
          <w:sz w:val="22"/>
          <w:szCs w:val="22"/>
        </w:rPr>
        <w:t>raining (FFIT) programme was a randomi</w:t>
      </w:r>
      <w:r w:rsidR="0009412C">
        <w:rPr>
          <w:rFonts w:asciiTheme="minorHAnsi" w:hAnsiTheme="minorHAnsi" w:cstheme="minorHAnsi"/>
          <w:sz w:val="22"/>
          <w:szCs w:val="22"/>
        </w:rPr>
        <w:t>z</w:t>
      </w:r>
      <w:r w:rsidR="00310BEC" w:rsidRPr="004B0BC2">
        <w:rPr>
          <w:rFonts w:asciiTheme="minorHAnsi" w:hAnsiTheme="minorHAnsi" w:cstheme="minorHAnsi"/>
          <w:sz w:val="22"/>
          <w:szCs w:val="22"/>
        </w:rPr>
        <w:t>ed controlled trial that</w:t>
      </w:r>
      <w:r w:rsidR="00310BEC" w:rsidRPr="004B0BC2">
        <w:rPr>
          <w:rFonts w:asciiTheme="minorHAnsi" w:hAnsiTheme="minorHAnsi" w:cstheme="minorHAnsi"/>
          <w:sz w:val="22"/>
          <w:szCs w:val="22"/>
          <w:vertAlign w:val="superscript"/>
        </w:rPr>
        <w:t xml:space="preserve"> </w:t>
      </w:r>
      <w:r w:rsidR="00310BEC" w:rsidRPr="004B0BC2">
        <w:rPr>
          <w:rFonts w:asciiTheme="minorHAnsi" w:hAnsiTheme="minorHAnsi" w:cstheme="minorHAnsi"/>
          <w:sz w:val="22"/>
          <w:szCs w:val="22"/>
        </w:rPr>
        <w:t>assessed the efficacy of a male</w:t>
      </w:r>
      <w:r w:rsidR="0009412C">
        <w:rPr>
          <w:rFonts w:asciiTheme="minorHAnsi" w:hAnsiTheme="minorHAnsi" w:cstheme="minorHAnsi"/>
          <w:sz w:val="22"/>
          <w:szCs w:val="22"/>
        </w:rPr>
        <w:t>-</w:t>
      </w:r>
      <w:r w:rsidR="00310BEC" w:rsidRPr="004B0BC2">
        <w:rPr>
          <w:rFonts w:asciiTheme="minorHAnsi" w:hAnsiTheme="minorHAnsi" w:cstheme="minorHAnsi"/>
          <w:sz w:val="22"/>
          <w:szCs w:val="22"/>
        </w:rPr>
        <w:t>specific weight loss programme in the setting of professional football clubs.</w:t>
      </w:r>
      <w:r w:rsidR="006363C3" w:rsidRPr="006363C3">
        <w:rPr>
          <w:rFonts w:asciiTheme="minorHAnsi" w:hAnsiTheme="minorHAnsi" w:cstheme="minorHAnsi"/>
          <w:sz w:val="22"/>
          <w:szCs w:val="22"/>
        </w:rPr>
        <w:t xml:space="preserve"> </w:t>
      </w:r>
      <w:r w:rsidR="006363C3">
        <w:rPr>
          <w:rFonts w:asciiTheme="minorHAnsi" w:hAnsiTheme="minorHAnsi" w:cstheme="minorHAnsi"/>
          <w:sz w:val="22"/>
          <w:szCs w:val="22"/>
        </w:rPr>
        <w:t xml:space="preserve">The authors reported a </w:t>
      </w:r>
      <w:r w:rsidR="00B511E9">
        <w:rPr>
          <w:rFonts w:asciiTheme="minorHAnsi" w:hAnsiTheme="minorHAnsi" w:cstheme="minorHAnsi"/>
          <w:sz w:val="22"/>
          <w:szCs w:val="22"/>
        </w:rPr>
        <w:t>significant</w:t>
      </w:r>
      <w:r w:rsidR="006363C3">
        <w:rPr>
          <w:rFonts w:asciiTheme="minorHAnsi" w:hAnsiTheme="minorHAnsi" w:cstheme="minorHAnsi"/>
          <w:sz w:val="22"/>
          <w:szCs w:val="22"/>
        </w:rPr>
        <w:t xml:space="preserve"> </w:t>
      </w:r>
      <w:r w:rsidR="00B511E9">
        <w:rPr>
          <w:rFonts w:asciiTheme="minorHAnsi" w:hAnsiTheme="minorHAnsi" w:cstheme="minorHAnsi"/>
          <w:sz w:val="22"/>
          <w:szCs w:val="22"/>
        </w:rPr>
        <w:t xml:space="preserve">improvement in the intervention group compared </w:t>
      </w:r>
      <w:r w:rsidR="00343CD7">
        <w:rPr>
          <w:rFonts w:asciiTheme="minorHAnsi" w:hAnsiTheme="minorHAnsi" w:cstheme="minorHAnsi"/>
          <w:sz w:val="22"/>
          <w:szCs w:val="22"/>
        </w:rPr>
        <w:t xml:space="preserve">with </w:t>
      </w:r>
      <w:r w:rsidR="00B511E9">
        <w:rPr>
          <w:rFonts w:asciiTheme="minorHAnsi" w:hAnsiTheme="minorHAnsi" w:cstheme="minorHAnsi"/>
          <w:sz w:val="22"/>
          <w:szCs w:val="22"/>
        </w:rPr>
        <w:t>the control group with regards to blood pressure (</w:t>
      </w:r>
      <w:r w:rsidR="00B511E9">
        <w:rPr>
          <w:rFonts w:asciiTheme="minorHAnsi" w:hAnsiTheme="minorHAnsi" w:cstheme="minorHAnsi"/>
          <w:sz w:val="22"/>
          <w:szCs w:val="22"/>
          <w:shd w:val="clear" w:color="auto" w:fill="FFFFFF"/>
        </w:rPr>
        <w:t xml:space="preserve">mean difference from </w:t>
      </w:r>
      <w:r w:rsidR="00B511E9">
        <w:rPr>
          <w:rFonts w:asciiTheme="minorHAnsi" w:hAnsiTheme="minorHAnsi" w:cstheme="minorHAnsi"/>
          <w:sz w:val="22"/>
          <w:szCs w:val="22"/>
          <w:shd w:val="clear" w:color="auto" w:fill="FFFFFF"/>
        </w:rPr>
        <w:lastRenderedPageBreak/>
        <w:t xml:space="preserve">baseline: </w:t>
      </w:r>
      <w:r w:rsidR="00343CD7">
        <w:rPr>
          <w:rFonts w:ascii="Minion Pro" w:hAnsi="Minion Pro" w:cstheme="minorHAnsi"/>
          <w:sz w:val="22"/>
          <w:szCs w:val="22"/>
          <w:shd w:val="clear" w:color="auto" w:fill="FFFFFF"/>
        </w:rPr>
        <w:t>−</w:t>
      </w:r>
      <w:r w:rsidR="00B511E9">
        <w:rPr>
          <w:rFonts w:asciiTheme="minorHAnsi" w:hAnsiTheme="minorHAnsi" w:cstheme="minorHAnsi"/>
          <w:sz w:val="22"/>
          <w:szCs w:val="22"/>
          <w:shd w:val="clear" w:color="auto" w:fill="FFFFFF"/>
        </w:rPr>
        <w:t>7.50mmHg  v</w:t>
      </w:r>
      <w:r w:rsidR="00343CD7">
        <w:rPr>
          <w:rFonts w:asciiTheme="minorHAnsi" w:hAnsiTheme="minorHAnsi" w:cstheme="minorHAnsi"/>
          <w:sz w:val="22"/>
          <w:szCs w:val="22"/>
          <w:shd w:val="clear" w:color="auto" w:fill="FFFFFF"/>
        </w:rPr>
        <w:t>ersu</w:t>
      </w:r>
      <w:r w:rsidR="00B511E9">
        <w:rPr>
          <w:rFonts w:asciiTheme="minorHAnsi" w:hAnsiTheme="minorHAnsi" w:cstheme="minorHAnsi"/>
          <w:sz w:val="22"/>
          <w:szCs w:val="22"/>
          <w:shd w:val="clear" w:color="auto" w:fill="FFFFFF"/>
        </w:rPr>
        <w:t xml:space="preserve">s </w:t>
      </w:r>
      <w:r w:rsidR="00343CD7">
        <w:rPr>
          <w:rFonts w:ascii="Minion Pro" w:hAnsi="Minion Pro" w:cstheme="minorHAnsi"/>
          <w:sz w:val="22"/>
          <w:szCs w:val="22"/>
          <w:shd w:val="clear" w:color="auto" w:fill="FFFFFF"/>
        </w:rPr>
        <w:t>−</w:t>
      </w:r>
      <w:r w:rsidR="00B511E9">
        <w:rPr>
          <w:rFonts w:asciiTheme="minorHAnsi" w:hAnsiTheme="minorHAnsi" w:cstheme="minorHAnsi"/>
          <w:sz w:val="22"/>
          <w:szCs w:val="22"/>
          <w:shd w:val="clear" w:color="auto" w:fill="FFFFFF"/>
        </w:rPr>
        <w:t xml:space="preserve">3.50mmHg, p&lt;0.0001 in systolic pressure and </w:t>
      </w:r>
      <w:r w:rsidR="00343CD7">
        <w:rPr>
          <w:rFonts w:ascii="Minion Pro" w:hAnsi="Minion Pro" w:cstheme="minorHAnsi"/>
          <w:sz w:val="22"/>
          <w:szCs w:val="22"/>
          <w:shd w:val="clear" w:color="auto" w:fill="FFFFFF"/>
        </w:rPr>
        <w:t>−</w:t>
      </w:r>
      <w:r w:rsidR="00B511E9">
        <w:rPr>
          <w:rFonts w:asciiTheme="minorHAnsi" w:hAnsiTheme="minorHAnsi" w:cstheme="minorHAnsi"/>
          <w:sz w:val="22"/>
          <w:szCs w:val="22"/>
          <w:shd w:val="clear" w:color="auto" w:fill="FFFFFF"/>
        </w:rPr>
        <w:t>3.710mmHg v</w:t>
      </w:r>
      <w:r w:rsidR="00343CD7">
        <w:rPr>
          <w:rFonts w:asciiTheme="minorHAnsi" w:hAnsiTheme="minorHAnsi" w:cstheme="minorHAnsi"/>
          <w:sz w:val="22"/>
          <w:szCs w:val="22"/>
          <w:shd w:val="clear" w:color="auto" w:fill="FFFFFF"/>
        </w:rPr>
        <w:t>ersu</w:t>
      </w:r>
      <w:r w:rsidR="00B511E9">
        <w:rPr>
          <w:rFonts w:asciiTheme="minorHAnsi" w:hAnsiTheme="minorHAnsi" w:cstheme="minorHAnsi"/>
          <w:sz w:val="22"/>
          <w:szCs w:val="22"/>
          <w:shd w:val="clear" w:color="auto" w:fill="FFFFFF"/>
        </w:rPr>
        <w:t xml:space="preserve">s </w:t>
      </w:r>
      <w:r w:rsidR="00343CD7">
        <w:rPr>
          <w:rFonts w:ascii="Minion Pro" w:hAnsi="Minion Pro" w:cstheme="minorHAnsi"/>
          <w:sz w:val="22"/>
          <w:szCs w:val="22"/>
          <w:shd w:val="clear" w:color="auto" w:fill="FFFFFF"/>
        </w:rPr>
        <w:t>−</w:t>
      </w:r>
      <w:r w:rsidR="00B511E9">
        <w:rPr>
          <w:rFonts w:asciiTheme="minorHAnsi" w:hAnsiTheme="minorHAnsi" w:cstheme="minorHAnsi"/>
          <w:sz w:val="22"/>
          <w:szCs w:val="22"/>
          <w:shd w:val="clear" w:color="auto" w:fill="FFFFFF"/>
        </w:rPr>
        <w:t xml:space="preserve">3.10mmHg, p&lt;0.0001 in diastolic pressure) and BMI (mean difference from baseline: </w:t>
      </w:r>
      <w:r w:rsidR="00343CD7">
        <w:rPr>
          <w:rFonts w:ascii="Minion Pro" w:hAnsi="Minion Pro" w:cstheme="minorHAnsi"/>
          <w:sz w:val="22"/>
          <w:szCs w:val="22"/>
          <w:shd w:val="clear" w:color="auto" w:fill="FFFFFF"/>
        </w:rPr>
        <w:t>−</w:t>
      </w:r>
      <w:r w:rsidR="00B511E9">
        <w:rPr>
          <w:rFonts w:asciiTheme="minorHAnsi" w:hAnsiTheme="minorHAnsi" w:cstheme="minorHAnsi"/>
          <w:sz w:val="22"/>
          <w:szCs w:val="22"/>
          <w:shd w:val="clear" w:color="auto" w:fill="FFFFFF"/>
        </w:rPr>
        <w:t>1.87kg/m</w:t>
      </w:r>
      <w:r w:rsidR="00B511E9">
        <w:rPr>
          <w:rFonts w:asciiTheme="minorHAnsi" w:hAnsiTheme="minorHAnsi" w:cstheme="minorHAnsi"/>
          <w:sz w:val="22"/>
          <w:szCs w:val="22"/>
          <w:shd w:val="clear" w:color="auto" w:fill="FFFFFF"/>
          <w:vertAlign w:val="superscript"/>
        </w:rPr>
        <w:t>2</w:t>
      </w:r>
      <w:r w:rsidR="00B511E9">
        <w:rPr>
          <w:rFonts w:asciiTheme="minorHAnsi" w:hAnsiTheme="minorHAnsi" w:cstheme="minorHAnsi"/>
          <w:sz w:val="22"/>
          <w:szCs w:val="22"/>
          <w:shd w:val="clear" w:color="auto" w:fill="FFFFFF"/>
        </w:rPr>
        <w:t xml:space="preserve"> v</w:t>
      </w:r>
      <w:r w:rsidR="00343CD7">
        <w:rPr>
          <w:rFonts w:asciiTheme="minorHAnsi" w:hAnsiTheme="minorHAnsi" w:cstheme="minorHAnsi"/>
          <w:sz w:val="22"/>
          <w:szCs w:val="22"/>
          <w:shd w:val="clear" w:color="auto" w:fill="FFFFFF"/>
        </w:rPr>
        <w:t>ersu</w:t>
      </w:r>
      <w:r w:rsidR="00B511E9">
        <w:rPr>
          <w:rFonts w:asciiTheme="minorHAnsi" w:hAnsiTheme="minorHAnsi" w:cstheme="minorHAnsi"/>
          <w:sz w:val="22"/>
          <w:szCs w:val="22"/>
          <w:shd w:val="clear" w:color="auto" w:fill="FFFFFF"/>
        </w:rPr>
        <w:t xml:space="preserve">s </w:t>
      </w:r>
      <w:r w:rsidR="00343CD7">
        <w:rPr>
          <w:rFonts w:ascii="Minion Pro" w:hAnsi="Minion Pro" w:cstheme="minorHAnsi"/>
          <w:sz w:val="22"/>
          <w:szCs w:val="22"/>
          <w:shd w:val="clear" w:color="auto" w:fill="FFFFFF"/>
        </w:rPr>
        <w:t>−</w:t>
      </w:r>
      <w:r w:rsidR="00B511E9">
        <w:rPr>
          <w:rFonts w:asciiTheme="minorHAnsi" w:hAnsiTheme="minorHAnsi" w:cstheme="minorHAnsi"/>
          <w:sz w:val="22"/>
          <w:szCs w:val="22"/>
          <w:shd w:val="clear" w:color="auto" w:fill="FFFFFF"/>
        </w:rPr>
        <w:t>0.14</w:t>
      </w:r>
      <w:r w:rsidR="00B511E9" w:rsidRPr="00B511E9">
        <w:rPr>
          <w:rFonts w:asciiTheme="minorHAnsi" w:hAnsiTheme="minorHAnsi" w:cstheme="minorHAnsi"/>
          <w:sz w:val="22"/>
          <w:szCs w:val="22"/>
          <w:shd w:val="clear" w:color="auto" w:fill="FFFFFF"/>
        </w:rPr>
        <w:t xml:space="preserve"> </w:t>
      </w:r>
      <w:r w:rsidR="00B511E9">
        <w:rPr>
          <w:rFonts w:asciiTheme="minorHAnsi" w:hAnsiTheme="minorHAnsi" w:cstheme="minorHAnsi"/>
          <w:sz w:val="22"/>
          <w:szCs w:val="22"/>
          <w:shd w:val="clear" w:color="auto" w:fill="FFFFFF"/>
        </w:rPr>
        <w:t>kg/m</w:t>
      </w:r>
      <w:r w:rsidR="00B511E9">
        <w:rPr>
          <w:rFonts w:asciiTheme="minorHAnsi" w:hAnsiTheme="minorHAnsi" w:cstheme="minorHAnsi"/>
          <w:sz w:val="22"/>
          <w:szCs w:val="22"/>
          <w:shd w:val="clear" w:color="auto" w:fill="FFFFFF"/>
          <w:vertAlign w:val="superscript"/>
        </w:rPr>
        <w:t>2</w:t>
      </w:r>
      <w:r w:rsidR="00B511E9">
        <w:rPr>
          <w:rFonts w:asciiTheme="minorHAnsi" w:hAnsiTheme="minorHAnsi" w:cstheme="minorHAnsi"/>
          <w:sz w:val="22"/>
          <w:szCs w:val="22"/>
          <w:shd w:val="clear" w:color="auto" w:fill="FFFFFF"/>
        </w:rPr>
        <w:t>, p=0.0003)</w:t>
      </w:r>
      <w:r w:rsidR="00B511E9">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{"citationItems":[{"id":"ITEM-1","itemData":{"DOI":"10.3310/PHR03020","ISSN":"ISSN: 2050-439X","abstract":"Background The prevalence of male obesity is increasing alongside low uptake of existing weight management programmes by men. Football Fans in Training (FFIT) is a group-based, weight management and healthy living programme delivered by community coaches. Objectives To assess (1) the effectiveness and cost-effectiveness of FFIT, (2) fidelity of delivery and (3) coach and participant experiences of FFIT. Design A two-arm, pragmatic, randomised controlled trial; associated cost-effectiveness [in terms of incremental cost per quality-adjusted life-year (QALY) within trial and over individuals’ lifetimes]; and process evaluation. Participants were block randomised in a 1 : 1 ratio, stratified by club; the intervention group started FFIT within 3 weeks and the comparison group were put on a 12-month waiting list. Setting Thirteen professional football clubs in Scotland, UK. Participants A total of 747 men aged 35–65 years with an objectively measured body mass index (BMI) of ≥ 28 kg/m2. Interventions FFIT was gender sensitised in context, content and style of delivery. A total of 12 weekly sessions delivered at club stadia combined effective behaviour change techniques with dietary information and physical activity sessions. Men carried out a pedometer-based walking programme. A light-touch maintenance programme included six e-mails and a reunion session at 9 months. At baseline, both groups received a weight management booklet, feedback on their BMI and advice to consult their general practitioner if blood pressure was high. Primary outcome Mean difference in weight loss between groups at 12 months expressed as absolute weight and a percentage. Intention-to-treat analyses used all available data. Data sources Objective measurements, questionnaires, observations, focus groups and coach interviews. Results A total of 374 men were allocated to the intervention and 333 (89%) completed 12-month assessments; a total of 374 were allocated to the comparator and 355 (95%) completed 12-month assessments. At 12 months, the mean difference in weight loss between groups, adjusted for baseline weight and club, was 4.94 kg [95% confidence interval (CI) 3.95 kg to 5.94 kg]; percentage weight loss, similarly adjusted, was 4.36% (95% CI 3.64% to 5.08%), in favour of the intervention (p &lt; 0.0001). Sensitivity analyses gave similar results. Pre-specified subgroup analyses found no significant predictors of primary outcome. Highly significant differences in favour of the interv…","author":[{"dropping-particle":"","family":"Wyke","given":"Sally","non-dropping-particle":"","parse-names":false,"suffix":""},{"dropping-particle":"","family":"Hunt","given":"Kate","non-dropping-particle":"","parse-names":false,"suffix":""},{"dropping-particle":"","family":"Gray","given":"Cindy M","non-dropping-particle":"","parse-names":false,"suffix":""},{"dropping-particle":"","family":"Fenwick","given":"Elisabeth","non-dropping-particle":"","parse-names":false,"suffix":""},{"dropping-particle":"","family":"Bunn","given":"Christopher","non-dropping-particle":"","parse-names":false,"suffix":""},{"dropping-particle":"","family":"Donnan","given":"Peter T","non-dropping-particle":"","parse-names":false,"suffix":""},{"dropping-particle":"","family":"Rauchhaus","given":"Petra","non-dropping-particle":"","parse-names":false,"suffix":""},{"dropping-particle":"","family":"Mutrie","given":"Nanette","non-dropping-particle":"","parse-names":false,"suffix":""},{"dropping-particle":"","family":"Anderson","given":"Annie S","non-dropping-particle":"","parse-names":false,"suffix":""},{"dropping-particle":"","family":"Boyer","given":"Nicole","non-dropping-particle":"","parse-names":false,"suffix":""},{"dropping-particle":"","family":"Brady","given":"Adrian","non-dropping-particle":"","parse-names":false,"suffix":""},{"dropping-particle":"","family":"Grieve","given":"Eleanor","non-dropping-particle":"","parse-names":false,"suffix":""},{"dropping-particle":"","family":"White","given":"Alan","non-dropping-particle":"","parse-names":false,"suffix":""},{"dropping-particle":"","family":"Ferrell","given":"Catherine","non-dropping-particle":"","parse-names":false,"suffix":""},{"dropping-particle":"","family":"Hindle","given":"Elaine","non-dropping-particle":"","parse-names":false,"suffix":""},{"dropping-particle":"","family":"Treweek","given":"Shaun","non-dropping-particle":"","parse-names":false,"suffix":""}],"container-title":"Public Health Research","id":"ITEM-1","issue":"2","issued":{"date-parts":[["2015","2","11"]]},"page":"1-130","publisher":"National Institute for Health Research","title":"Football Fans in Training (FFIT): a randomized controlled trial of a gender sensitised weight loss and healthy living programme delivered to men aged 35-65 by Scottish Premier League (SPL) football clubs","type":"article-journal","volume":"3"},"uris":["http://www.mendeley.com/documents/?uuid=9340e71d-3827-3913-a3ac-95c57b89fe4a"]}],"mendeley":{"formattedCitation":"(153)","plainTextFormattedCitation":"(153)","previouslyFormattedCitation":"(153)"},"properties":{"noteIndex":0},"schema":"https://github.com/citation-style-language/schema/raw/master/csl-citation.json"}</w:instrText>
      </w:r>
      <w:r w:rsidR="00B511E9">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(153)</w:t>
      </w:r>
      <w:r w:rsidR="00B511E9">
        <w:rPr>
          <w:rFonts w:asciiTheme="minorHAnsi" w:hAnsiTheme="minorHAnsi" w:cstheme="minorHAnsi"/>
          <w:sz w:val="22"/>
          <w:szCs w:val="22"/>
          <w:shd w:val="clear" w:color="auto" w:fill="FFFFFF"/>
        </w:rPr>
        <w:fldChar w:fldCharType="end"/>
      </w:r>
      <w:r w:rsidR="00B511E9">
        <w:rPr>
          <w:rFonts w:asciiTheme="minorHAnsi" w:hAnsiTheme="minorHAnsi" w:cstheme="minorHAnsi"/>
          <w:sz w:val="22"/>
          <w:szCs w:val="22"/>
          <w:shd w:val="clear" w:color="auto" w:fill="FFFFFF"/>
        </w:rPr>
        <w:t>.</w:t>
      </w:r>
    </w:p>
    <w:p w14:paraId="147D4270" w14:textId="57522BBE" w:rsidR="00B511E9" w:rsidRDefault="006363C3" w:rsidP="00B66369">
      <w:pPr>
        <w:spacing w:line="480" w:lineRule="auto"/>
        <w:rPr>
          <w:rFonts w:asciiTheme="minorHAnsi" w:hAnsiTheme="minorHAnsi" w:cstheme="minorHAnsi"/>
          <w:sz w:val="22"/>
          <w:szCs w:val="22"/>
        </w:rPr>
      </w:pPr>
      <w:r>
        <w:rPr>
          <w:rFonts w:asciiTheme="minorHAnsi" w:hAnsiTheme="minorHAnsi" w:cstheme="minorHAnsi"/>
          <w:sz w:val="22"/>
          <w:szCs w:val="22"/>
        </w:rPr>
        <w:t>T</w:t>
      </w:r>
      <w:r w:rsidRPr="004B0BC2">
        <w:rPr>
          <w:rFonts w:asciiTheme="minorHAnsi" w:hAnsiTheme="minorHAnsi" w:cstheme="minorHAnsi"/>
          <w:sz w:val="22"/>
          <w:szCs w:val="22"/>
        </w:rPr>
        <w:t xml:space="preserve">he FFIT programme was </w:t>
      </w:r>
      <w:r>
        <w:rPr>
          <w:rFonts w:asciiTheme="minorHAnsi" w:hAnsiTheme="minorHAnsi" w:cstheme="minorHAnsi"/>
          <w:sz w:val="22"/>
          <w:szCs w:val="22"/>
        </w:rPr>
        <w:t>foun</w:t>
      </w:r>
      <w:r w:rsidRPr="004B0BC2">
        <w:rPr>
          <w:rFonts w:asciiTheme="minorHAnsi" w:hAnsiTheme="minorHAnsi" w:cstheme="minorHAnsi"/>
          <w:sz w:val="22"/>
          <w:szCs w:val="22"/>
        </w:rPr>
        <w:t>d to offer sustained beneficial effects</w:t>
      </w:r>
      <w:r w:rsidR="00310BEC" w:rsidRPr="004B0BC2">
        <w:rPr>
          <w:rFonts w:asciiTheme="minorHAnsi" w:hAnsiTheme="minorHAnsi" w:cstheme="minorHAnsi"/>
          <w:sz w:val="22"/>
          <w:szCs w:val="22"/>
        </w:rPr>
        <w:t xml:space="preserve"> </w:t>
      </w:r>
      <w:r>
        <w:rPr>
          <w:rFonts w:asciiTheme="minorHAnsi" w:hAnsiTheme="minorHAnsi" w:cstheme="minorHAnsi"/>
          <w:sz w:val="22"/>
          <w:szCs w:val="22"/>
        </w:rPr>
        <w:t>and a follow</w:t>
      </w:r>
      <w:r w:rsidR="00343CD7">
        <w:rPr>
          <w:rFonts w:asciiTheme="minorHAnsi" w:hAnsiTheme="minorHAnsi" w:cstheme="minorHAnsi"/>
          <w:sz w:val="22"/>
          <w:szCs w:val="22"/>
        </w:rPr>
        <w:t>-</w:t>
      </w:r>
      <w:r>
        <w:rPr>
          <w:rFonts w:asciiTheme="minorHAnsi" w:hAnsiTheme="minorHAnsi" w:cstheme="minorHAnsi"/>
          <w:sz w:val="22"/>
          <w:szCs w:val="22"/>
        </w:rPr>
        <w:t xml:space="preserve">up study </w:t>
      </w:r>
      <w:r w:rsidR="00310BEC" w:rsidRPr="004B0BC2">
        <w:rPr>
          <w:rFonts w:asciiTheme="minorHAnsi" w:hAnsiTheme="minorHAnsi" w:cstheme="minorHAnsi"/>
          <w:sz w:val="22"/>
          <w:szCs w:val="22"/>
        </w:rPr>
        <w:t>reported</w:t>
      </w:r>
      <w:r>
        <w:rPr>
          <w:rFonts w:asciiTheme="minorHAnsi" w:hAnsiTheme="minorHAnsi" w:cstheme="minorHAnsi"/>
          <w:sz w:val="22"/>
          <w:szCs w:val="22"/>
        </w:rPr>
        <w:t xml:space="preserve"> that at 3.5 years </w:t>
      </w:r>
      <w:r w:rsidR="00310BEC" w:rsidRPr="004B0BC2">
        <w:rPr>
          <w:rFonts w:asciiTheme="minorHAnsi" w:hAnsiTheme="minorHAnsi" w:cstheme="minorHAnsi"/>
          <w:sz w:val="22"/>
          <w:szCs w:val="22"/>
          <w:shd w:val="clear" w:color="auto" w:fill="FFFFFF"/>
        </w:rPr>
        <w:t xml:space="preserve">significant improvements </w:t>
      </w:r>
      <w:r w:rsidR="00343CD7">
        <w:rPr>
          <w:rFonts w:asciiTheme="minorHAnsi" w:hAnsiTheme="minorHAnsi" w:cstheme="minorHAnsi"/>
          <w:sz w:val="22"/>
          <w:szCs w:val="22"/>
          <w:shd w:val="clear" w:color="auto" w:fill="FFFFFF"/>
        </w:rPr>
        <w:t xml:space="preserve">were seen </w:t>
      </w:r>
      <w:r w:rsidR="00310BEC" w:rsidRPr="004B0BC2">
        <w:rPr>
          <w:rFonts w:asciiTheme="minorHAnsi" w:hAnsiTheme="minorHAnsi" w:cstheme="minorHAnsi"/>
          <w:sz w:val="22"/>
          <w:szCs w:val="22"/>
          <w:shd w:val="clear" w:color="auto" w:fill="FFFFFF"/>
        </w:rPr>
        <w:t>in</w:t>
      </w:r>
      <w:r>
        <w:rPr>
          <w:rFonts w:asciiTheme="minorHAnsi" w:hAnsiTheme="minorHAnsi" w:cstheme="minorHAnsi"/>
          <w:sz w:val="22"/>
          <w:szCs w:val="22"/>
          <w:shd w:val="clear" w:color="auto" w:fill="FFFFFF"/>
        </w:rPr>
        <w:t xml:space="preserve"> the intervention group </w:t>
      </w:r>
      <w:r w:rsidR="00B511E9">
        <w:rPr>
          <w:rFonts w:asciiTheme="minorHAnsi" w:hAnsiTheme="minorHAnsi" w:cstheme="minorHAnsi"/>
          <w:sz w:val="22"/>
          <w:szCs w:val="22"/>
          <w:shd w:val="clear" w:color="auto" w:fill="FFFFFF"/>
        </w:rPr>
        <w:t>in terms of</w:t>
      </w:r>
      <w:r w:rsidR="00310BEC" w:rsidRPr="004B0BC2">
        <w:rPr>
          <w:rFonts w:asciiTheme="minorHAnsi" w:hAnsiTheme="minorHAnsi" w:cstheme="minorHAnsi"/>
          <w:sz w:val="22"/>
          <w:szCs w:val="22"/>
          <w:shd w:val="clear" w:color="auto" w:fill="FFFFFF"/>
        </w:rPr>
        <w:t xml:space="preserve"> blood pressure</w:t>
      </w:r>
      <w:r w:rsidR="001D72DD">
        <w:rPr>
          <w:rFonts w:asciiTheme="minorHAnsi" w:hAnsiTheme="minorHAnsi" w:cstheme="minorHAnsi"/>
          <w:sz w:val="22"/>
          <w:szCs w:val="22"/>
          <w:shd w:val="clear" w:color="auto" w:fill="FFFFFF"/>
        </w:rPr>
        <w:t xml:space="preserve"> (mean difference from baseline: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 xml:space="preserve">3.13 mmHg (95% CI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 xml:space="preserve">5.15 to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 xml:space="preserve">1.11), p=0.0080 in systolic pressure and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 xml:space="preserve">1.56mmHg (95% CI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 xml:space="preserve">2.80 to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0.32), p=.0.308 in diastolic pressure)</w:t>
      </w:r>
      <w:r w:rsidR="00310BEC" w:rsidRPr="004B0BC2">
        <w:rPr>
          <w:rFonts w:asciiTheme="minorHAnsi" w:hAnsiTheme="minorHAnsi" w:cstheme="minorHAnsi"/>
          <w:sz w:val="22"/>
          <w:szCs w:val="22"/>
          <w:shd w:val="clear" w:color="auto" w:fill="FFFFFF"/>
        </w:rPr>
        <w:t xml:space="preserve"> and </w:t>
      </w:r>
      <w:r w:rsidR="001D72DD">
        <w:rPr>
          <w:rFonts w:asciiTheme="minorHAnsi" w:hAnsiTheme="minorHAnsi" w:cstheme="minorHAnsi"/>
          <w:sz w:val="22"/>
          <w:szCs w:val="22"/>
          <w:shd w:val="clear" w:color="auto" w:fill="FFFFFF"/>
        </w:rPr>
        <w:t xml:space="preserve">BMI (mean difference from baseline: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0.96kg/m</w:t>
      </w:r>
      <w:r w:rsidR="001D72DD">
        <w:rPr>
          <w:rFonts w:asciiTheme="minorHAnsi" w:hAnsiTheme="minorHAnsi" w:cstheme="minorHAnsi"/>
          <w:sz w:val="22"/>
          <w:szCs w:val="22"/>
          <w:shd w:val="clear" w:color="auto" w:fill="FFFFFF"/>
          <w:vertAlign w:val="superscript"/>
        </w:rPr>
        <w:t>2</w:t>
      </w:r>
      <w:r w:rsidR="001D72DD">
        <w:rPr>
          <w:rFonts w:asciiTheme="minorHAnsi" w:hAnsiTheme="minorHAnsi" w:cstheme="minorHAnsi"/>
          <w:sz w:val="22"/>
          <w:szCs w:val="22"/>
          <w:shd w:val="clear" w:color="auto" w:fill="FFFFFF"/>
        </w:rPr>
        <w:t xml:space="preserve"> (95% CI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 xml:space="preserve">1.31 to </w:t>
      </w:r>
      <w:r w:rsidR="00343CD7">
        <w:rPr>
          <w:rFonts w:ascii="Minion Pro" w:hAnsi="Minion Pro" w:cstheme="minorHAnsi"/>
          <w:sz w:val="22"/>
          <w:szCs w:val="22"/>
          <w:shd w:val="clear" w:color="auto" w:fill="FFFFFF"/>
        </w:rPr>
        <w:t>−</w:t>
      </w:r>
      <w:r w:rsidR="001D72DD">
        <w:rPr>
          <w:rFonts w:asciiTheme="minorHAnsi" w:hAnsiTheme="minorHAnsi" w:cstheme="minorHAnsi"/>
          <w:sz w:val="22"/>
          <w:szCs w:val="22"/>
          <w:shd w:val="clear" w:color="auto" w:fill="FFFFFF"/>
        </w:rPr>
        <w:t>0.60), p&lt;0.001)</w:t>
      </w:r>
      <w:r>
        <w:rPr>
          <w:rFonts w:asciiTheme="minorHAnsi" w:hAnsiTheme="minorHAnsi" w:cstheme="minorHAnsi"/>
          <w:sz w:val="22"/>
          <w:szCs w:val="22"/>
          <w:shd w:val="clear" w:color="auto" w:fill="FFFFFF"/>
        </w:rPr>
        <w:t>.</w:t>
      </w:r>
      <w:r w:rsidR="00310BEC" w:rsidRPr="004B0BC2">
        <w:rPr>
          <w:rFonts w:asciiTheme="minorHAnsi" w:hAnsiTheme="minorHAnsi" w:cstheme="minorHAnsi"/>
          <w:sz w:val="22"/>
          <w:szCs w:val="22"/>
          <w:shd w:val="clear" w:color="auto" w:fill="FFFFFF"/>
        </w:rPr>
        <w:t xml:space="preserve"> </w:t>
      </w:r>
      <w:r w:rsidR="00310BE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{"citationItems":[{"id":"ITEM-1","itemData":{"DOI":"10.3310/phr06090","ISSN":"2050-4381","abstract":"Background: Rising levels of obesity require interventions that support people in long-term weight loss. The Football Fans in Training (FFIT) programme uses loyalty to football teams to engage men in weight loss. In 2011/12, a randomised controlled trial (RCT) found that the FFIT programme was effective in helping men lose weight up to 12 months.; Objectives: To investigate the long-term weight, and other physical, behavioural and psychological outcomes up to 3.5 years after the start of the RCT; the predictors, mediators and men’s qualitative experiences of long-term weight loss; cost-effectiveness; and the potential for long-term follow-up via men’s medical records.; Design: A mixed-methods, longitudinal cohort study.; Setting: Thirteen professional Scottish football clubs from the RCT and 16 additional Scottish football clubs that delivered the FFIT programme in 2015/16.; Participants: A total of 665 men who were aged 35–65 years at the RCT baseline measures and who consented to follow-up after the RCT (intervention group, n = 316; comparison group, n = 349), and 511 men who took part in the 2015/16 deliveries of the FFIT programme.; Interventions: None as part of this study.; Main Outcome Measures: Objectively measured weight change from the RCT baseline to 3.5 years.; Results: In total, 488 out of 665 men (73.4%) attended 3.5-year measurements. Participants in the FFIT follow-up intervention group sustained a mean weight loss from baseline of 2.90 kg [95% confidence interval (CI) 1.78 to 4.02 kg; p &lt; 0.001], and 32.2% (75/233) weighed ≥ 5% less than at baseline. Participants in the FFIT follow-up comparison group (who participated in routine deliveries of the FFIT programme after the RCT) lost a mean of 2.71 kg (95% CI 1.65 to 3.77 kg; p &lt; 0.001), and 31.8% (81/255) achieved ≥ 5% weight loss. Both groups showed long-term improvements in body mass index, waist circumference, percentage body fat, blood pressure, self-reported physical activity (PA) (including walking), the consumption of fatty and sugary foods, fruit and vegetables and alcohol, portion sizes, self-esteem, positive and negative affect, and physical and mental health-related quality of life (HRQoL). Mediators included self-reported PA (including walking) and sitting time, the consumption of fatty and sugary foods and fruit and vegetables, portion sizes, self-esteem, positive affect, physical HRQoL, self-monitoring of weight, autonomous regulation, internal locus of control, perceived c…","author":[{"dropping-particle":"","family":"Gray","given":"Cindy M","non-dropping-particle":"","parse-names":false,"suffix":""},{"dropping-particle":"","family":"Wyke","given":"Sally","non-dropping-particle":"","parse-names":false,"suffix":""},{"dropping-particle":"","family":"Zhang","given":"Rachel","non-dropping-particle":"","parse-names":false,"suffix":""},{"dropping-particle":"","family":"Anderson","given":"Annie S","non-dropping-particle":"","parse-names":false,"suffix":""},{"dropping-particle":"","family":"Barry","given":"Sarah","non-dropping-particle":"","parse-names":false,"suffix":""},{"dropping-particle":"","family":"Brennan","given":"Graham","non-dropping-particle":"","parse-names":false,"suffix":""},{"dropping-particle":"","family":"Briggs","given":"Andrew","non-dropping-particle":"","parse-names":false,"suffix":""},{"dropping-particle":"","family":"Boyer","given":"Nicki","non-dropping-particle":"","parse-names":false,"suffix":""},{"dropping-particle":"","family":"Bunn","given":"Christopher","non-dropping-particle":"","parse-names":false,"suffix":""},{"dropping-particle":"","family":"Donnachie","given":"Craig","non-dropping-particle":"","parse-names":false,"suffix":""},{"dropping-particle":"","family":"Grieve","given":"Eleanor","non-dropping-particle":"","parse-names":false,"suffix":""},{"dropping-particle":"","family":"Kohli-Lynch","given":"Ciaran","non-dropping-particle":"","parse-names":false,"suffix":""},{"dropping-particle":"","family":"Lloyd","given":"Suzanne","non-dropping-particle":"","parse-names":false,"suffix":""},{"dropping-particle":"","family":"McConnachie","given":"Alex","non-dropping-particle":"","parse-names":false,"suffix":""},{"dropping-particle":"","family":"McCowan","given":"Colin","non-dropping-particle":"","parse-names":false,"suffix":""},{"dropping-particle":"","family":"McLean","given":"Alice","non-dropping-particle":"","parse-names":false,"suffix":""},{"dropping-particle":"","family":"Mutrie","given":"Nanette","non-dropping-particle":"","parse-names":false,"suffix":""},{"dropping-particle":"","family":"Hunt","given":"Kate","non-dropping-particle":"","parse-names":false,"suffix":""}],"container-title":"Public Health Research","id":"ITEM-1","issue":"9","issued":{"date-parts":[["2018","7"]]},"page":"1-114","publisher":"National Institute for Health Research","title":"Long-term weight loss following a randomised controlled trial of a weight management programme for men delivered through professional football clubs: the Football Fans in Training follow-up study","type":"article-journal","volume":"6"},"uris":["http://www.mendeley.com/documents/?uuid=b68731de-7007-3122-9679-16be4cbf05e3"]}],"mendeley":{"formattedCitation":"(154)","plainTextFormattedCitation":"(154)","previouslyFormattedCitation":"(154)"},"properties":{"noteIndex":0},"schema":"https://github.com/citation-style-language/schema/raw/master/csl-citation.json"}</w:instrText>
      </w:r>
      <w:r w:rsidR="00310BE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(154)</w:t>
      </w:r>
      <w:r w:rsidR="00310BEC" w:rsidRPr="004B0BC2">
        <w:rPr>
          <w:rFonts w:asciiTheme="minorHAnsi" w:hAnsiTheme="minorHAnsi" w:cstheme="minorHAnsi"/>
          <w:sz w:val="22"/>
          <w:szCs w:val="22"/>
        </w:rPr>
        <w:fldChar w:fldCharType="end"/>
      </w:r>
      <w:r w:rsidR="00310BEC" w:rsidRPr="004B0BC2">
        <w:rPr>
          <w:rFonts w:asciiTheme="minorHAnsi" w:hAnsiTheme="minorHAnsi" w:cstheme="minorHAnsi"/>
          <w:sz w:val="22"/>
          <w:szCs w:val="22"/>
        </w:rPr>
        <w:t xml:space="preserve">. </w:t>
      </w:r>
    </w:p>
    <w:p w14:paraId="5AEF901C" w14:textId="6DC70D1B" w:rsidR="00E94866" w:rsidRDefault="0009412C" w:rsidP="00B66369">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rPr>
        <w:t>In a separate study,</w:t>
      </w:r>
      <w:r w:rsidR="00D272AD" w:rsidRPr="004B0BC2">
        <w:rPr>
          <w:rFonts w:asciiTheme="minorHAnsi" w:hAnsiTheme="minorHAnsi" w:cstheme="minorHAnsi"/>
          <w:sz w:val="22"/>
          <w:szCs w:val="22"/>
        </w:rPr>
        <w:t xml:space="preserve"> a men’s health promotion strategy </w:t>
      </w:r>
      <w:r w:rsidRPr="004B0BC2">
        <w:rPr>
          <w:rFonts w:asciiTheme="minorHAnsi" w:hAnsiTheme="minorHAnsi" w:cstheme="minorHAnsi"/>
          <w:sz w:val="22"/>
          <w:szCs w:val="22"/>
          <w:shd w:val="clear" w:color="auto" w:fill="FFFFFF"/>
        </w:rPr>
        <w:t>shaped like a mechanic</w:t>
      </w:r>
      <w:r w:rsidR="00343CD7">
        <w:rPr>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xml:space="preserve"> workshop </w:t>
      </w:r>
      <w:r>
        <w:rPr>
          <w:rFonts w:asciiTheme="minorHAnsi" w:hAnsiTheme="minorHAnsi" w:cstheme="minorHAnsi"/>
          <w:sz w:val="22"/>
          <w:szCs w:val="22"/>
        </w:rPr>
        <w:t xml:space="preserve">called </w:t>
      </w:r>
      <w:r w:rsidR="00D272AD" w:rsidRPr="004B0BC2">
        <w:rPr>
          <w:rFonts w:asciiTheme="minorHAnsi" w:hAnsiTheme="minorHAnsi" w:cstheme="minorHAnsi"/>
          <w:sz w:val="22"/>
          <w:szCs w:val="22"/>
        </w:rPr>
        <w:t>‘</w:t>
      </w:r>
      <w:r w:rsidR="00D272AD" w:rsidRPr="004B0BC2">
        <w:rPr>
          <w:rFonts w:asciiTheme="minorHAnsi" w:hAnsiTheme="minorHAnsi" w:cstheme="minorHAnsi"/>
          <w:sz w:val="22"/>
          <w:szCs w:val="22"/>
          <w:shd w:val="clear" w:color="auto" w:fill="FFFFFF"/>
        </w:rPr>
        <w:t xml:space="preserve">The Men’s Health Pitstop’ </w:t>
      </w:r>
      <w:r>
        <w:rPr>
          <w:rFonts w:asciiTheme="minorHAnsi" w:hAnsiTheme="minorHAnsi" w:cstheme="minorHAnsi"/>
          <w:sz w:val="22"/>
          <w:szCs w:val="22"/>
          <w:shd w:val="clear" w:color="auto" w:fill="FFFFFF"/>
        </w:rPr>
        <w:t>was shown to potentially</w:t>
      </w:r>
      <w:r w:rsidR="00D272AD" w:rsidRPr="004B0BC2">
        <w:rPr>
          <w:rFonts w:asciiTheme="minorHAnsi" w:hAnsiTheme="minorHAnsi" w:cstheme="minorHAnsi"/>
          <w:sz w:val="22"/>
          <w:szCs w:val="22"/>
          <w:shd w:val="clear" w:color="auto" w:fill="FFFFFF"/>
        </w:rPr>
        <w:t xml:space="preserve"> increase men’s </w:t>
      </w:r>
      <w:r>
        <w:rPr>
          <w:rFonts w:asciiTheme="minorHAnsi" w:hAnsiTheme="minorHAnsi" w:cstheme="minorHAnsi"/>
          <w:sz w:val="22"/>
          <w:szCs w:val="22"/>
          <w:shd w:val="clear" w:color="auto" w:fill="FFFFFF"/>
        </w:rPr>
        <w:t xml:space="preserve">engagement with </w:t>
      </w:r>
      <w:r w:rsidR="00D272AD" w:rsidRPr="004B0BC2">
        <w:rPr>
          <w:rFonts w:asciiTheme="minorHAnsi" w:hAnsiTheme="minorHAnsi" w:cstheme="minorHAnsi"/>
          <w:sz w:val="22"/>
          <w:szCs w:val="22"/>
          <w:shd w:val="clear" w:color="auto" w:fill="FFFFFF"/>
        </w:rPr>
        <w:t xml:space="preserve">health </w:t>
      </w:r>
      <w:r>
        <w:rPr>
          <w:rFonts w:asciiTheme="minorHAnsi" w:hAnsiTheme="minorHAnsi" w:cstheme="minorHAnsi"/>
          <w:sz w:val="22"/>
          <w:szCs w:val="22"/>
          <w:shd w:val="clear" w:color="auto" w:fill="FFFFFF"/>
        </w:rPr>
        <w:t>care</w:t>
      </w:r>
      <w:r w:rsidR="0035636E" w:rsidRPr="0035636E">
        <w:rPr>
          <w:rFonts w:asciiTheme="minorHAnsi" w:hAnsiTheme="minorHAnsi" w:cstheme="minorHAnsi"/>
          <w:sz w:val="22"/>
          <w:szCs w:val="22"/>
          <w:shd w:val="clear" w:color="auto" w:fill="FFFFFF"/>
        </w:rPr>
        <w:t>.</w:t>
      </w:r>
      <w:r w:rsidR="00D272AD"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In this study, </w:t>
      </w:r>
      <w:r w:rsidR="00846AA3" w:rsidRPr="004B0BC2">
        <w:rPr>
          <w:rFonts w:asciiTheme="minorHAnsi" w:hAnsiTheme="minorHAnsi" w:cstheme="minorHAnsi"/>
          <w:sz w:val="22"/>
          <w:szCs w:val="22"/>
        </w:rPr>
        <w:t>a nine</w:t>
      </w:r>
      <w:r w:rsidR="006F43AA" w:rsidRPr="004B0BC2">
        <w:rPr>
          <w:rFonts w:asciiTheme="minorHAnsi" w:hAnsiTheme="minorHAnsi" w:cstheme="minorHAnsi"/>
          <w:sz w:val="22"/>
          <w:szCs w:val="22"/>
        </w:rPr>
        <w:t>-</w:t>
      </w:r>
      <w:r w:rsidR="00846AA3" w:rsidRPr="004B0BC2">
        <w:rPr>
          <w:rFonts w:asciiTheme="minorHAnsi" w:hAnsiTheme="minorHAnsi" w:cstheme="minorHAnsi"/>
          <w:sz w:val="22"/>
          <w:szCs w:val="22"/>
        </w:rPr>
        <w:t xml:space="preserve">station health assessment programme </w:t>
      </w:r>
      <w:r>
        <w:rPr>
          <w:rFonts w:asciiTheme="minorHAnsi" w:hAnsiTheme="minorHAnsi" w:cstheme="minorHAnsi"/>
          <w:sz w:val="22"/>
          <w:szCs w:val="22"/>
        </w:rPr>
        <w:t xml:space="preserve">was developed that was </w:t>
      </w:r>
      <w:r w:rsidR="00846AA3" w:rsidRPr="004B0BC2">
        <w:rPr>
          <w:rFonts w:asciiTheme="minorHAnsi" w:hAnsiTheme="minorHAnsi" w:cstheme="minorHAnsi"/>
          <w:sz w:val="22"/>
          <w:szCs w:val="22"/>
        </w:rPr>
        <w:t xml:space="preserve">centred around automobiles, for example the mental health station was staffed by a </w:t>
      </w:r>
      <w:r w:rsidR="00625DD4" w:rsidRPr="004B0BC2">
        <w:rPr>
          <w:rFonts w:asciiTheme="minorHAnsi" w:hAnsiTheme="minorHAnsi" w:cstheme="minorHAnsi"/>
          <w:sz w:val="22"/>
          <w:szCs w:val="22"/>
        </w:rPr>
        <w:t>psychologist</w:t>
      </w:r>
      <w:r w:rsidR="00846AA3" w:rsidRPr="004B0BC2">
        <w:rPr>
          <w:rFonts w:asciiTheme="minorHAnsi" w:hAnsiTheme="minorHAnsi" w:cstheme="minorHAnsi"/>
          <w:sz w:val="22"/>
          <w:szCs w:val="22"/>
        </w:rPr>
        <w:t xml:space="preserve"> and the theme was </w:t>
      </w:r>
      <w:r w:rsidR="00E94866">
        <w:rPr>
          <w:rFonts w:asciiTheme="minorHAnsi" w:hAnsiTheme="minorHAnsi" w:cstheme="minorHAnsi"/>
          <w:sz w:val="22"/>
          <w:szCs w:val="22"/>
        </w:rPr>
        <w:t>‘</w:t>
      </w:r>
      <w:r w:rsidR="00846AA3" w:rsidRPr="004B0BC2">
        <w:rPr>
          <w:rFonts w:asciiTheme="minorHAnsi" w:hAnsiTheme="minorHAnsi" w:cstheme="minorHAnsi"/>
          <w:sz w:val="22"/>
          <w:szCs w:val="22"/>
        </w:rPr>
        <w:t>shock absorbers</w:t>
      </w:r>
      <w:r w:rsidR="00E94866">
        <w:rPr>
          <w:rFonts w:asciiTheme="minorHAnsi" w:hAnsiTheme="minorHAnsi" w:cstheme="minorHAnsi"/>
          <w:sz w:val="22"/>
          <w:szCs w:val="22"/>
        </w:rPr>
        <w:t>’</w:t>
      </w:r>
      <w:r w:rsidR="00846AA3" w:rsidRPr="004B0BC2">
        <w:rPr>
          <w:rFonts w:asciiTheme="minorHAnsi" w:hAnsiTheme="minorHAnsi" w:cstheme="minorHAnsi"/>
          <w:sz w:val="22"/>
          <w:szCs w:val="22"/>
        </w:rPr>
        <w:t>.</w:t>
      </w:r>
      <w:r w:rsidR="00625DD4" w:rsidRPr="004B0BC2">
        <w:rPr>
          <w:rFonts w:asciiTheme="minorHAnsi" w:hAnsiTheme="minorHAnsi" w:cstheme="minorHAnsi"/>
          <w:sz w:val="22"/>
          <w:szCs w:val="22"/>
        </w:rPr>
        <w:t xml:space="preserve"> The authors observed that </w:t>
      </w:r>
      <w:r w:rsidR="00625DD4" w:rsidRPr="004B0BC2">
        <w:rPr>
          <w:rFonts w:asciiTheme="minorHAnsi" w:hAnsiTheme="minorHAnsi" w:cstheme="minorHAnsi"/>
          <w:sz w:val="22"/>
          <w:szCs w:val="22"/>
          <w:shd w:val="clear" w:color="auto" w:fill="FFFFFF"/>
        </w:rPr>
        <w:t>40%</w:t>
      </w:r>
      <w:r w:rsidR="0076746B" w:rsidRPr="004B0BC2">
        <w:rPr>
          <w:rFonts w:asciiTheme="minorHAnsi" w:hAnsiTheme="minorHAnsi" w:cstheme="minorHAnsi"/>
          <w:sz w:val="22"/>
          <w:szCs w:val="22"/>
          <w:shd w:val="clear" w:color="auto" w:fill="FFFFFF"/>
        </w:rPr>
        <w:t xml:space="preserve"> of</w:t>
      </w:r>
      <w:r w:rsidR="00625DD4" w:rsidRPr="004B0BC2">
        <w:rPr>
          <w:rFonts w:asciiTheme="minorHAnsi" w:hAnsiTheme="minorHAnsi" w:cstheme="minorHAnsi"/>
          <w:sz w:val="22"/>
          <w:szCs w:val="22"/>
          <w:shd w:val="clear" w:color="auto" w:fill="FFFFFF"/>
        </w:rPr>
        <w:t xml:space="preserve"> participants had initiated contact with their GP following the Pitstop</w:t>
      </w:r>
      <w:r w:rsidR="00385825" w:rsidRPr="004B0BC2">
        <w:rPr>
          <w:rFonts w:asciiTheme="minorHAnsi" w:hAnsiTheme="minorHAnsi" w:cstheme="minorHAnsi"/>
          <w:sz w:val="22"/>
          <w:szCs w:val="22"/>
          <w:shd w:val="clear" w:color="auto" w:fill="FFFFFF"/>
        </w:rPr>
        <w:t xml:space="preserve"> </w:t>
      </w:r>
      <w:r w:rsidR="00E94866">
        <w:rPr>
          <w:rFonts w:asciiTheme="minorHAnsi" w:hAnsiTheme="minorHAnsi" w:cstheme="minorHAnsi"/>
          <w:sz w:val="22"/>
          <w:szCs w:val="22"/>
          <w:shd w:val="clear" w:color="auto" w:fill="FFFFFF"/>
        </w:rPr>
        <w:t>programme, and</w:t>
      </w:r>
      <w:r w:rsidR="00385825" w:rsidRPr="004B0BC2">
        <w:rPr>
          <w:rFonts w:asciiTheme="minorHAnsi" w:hAnsiTheme="minorHAnsi" w:cstheme="minorHAnsi"/>
          <w:sz w:val="22"/>
          <w:szCs w:val="22"/>
          <w:shd w:val="clear" w:color="auto" w:fill="FFFFFF"/>
        </w:rPr>
        <w:t xml:space="preserve"> </w:t>
      </w:r>
      <w:r w:rsidR="00625DD4" w:rsidRPr="004B0BC2">
        <w:rPr>
          <w:rFonts w:asciiTheme="minorHAnsi" w:hAnsiTheme="minorHAnsi" w:cstheme="minorHAnsi"/>
          <w:sz w:val="22"/>
          <w:szCs w:val="22"/>
          <w:shd w:val="clear" w:color="auto" w:fill="FFFFFF"/>
        </w:rPr>
        <w:t>89%</w:t>
      </w:r>
      <w:r w:rsidR="00385825" w:rsidRPr="004B0BC2">
        <w:rPr>
          <w:rFonts w:asciiTheme="minorHAnsi" w:hAnsiTheme="minorHAnsi" w:cstheme="minorHAnsi"/>
          <w:sz w:val="22"/>
          <w:szCs w:val="22"/>
          <w:shd w:val="clear" w:color="auto" w:fill="FFFFFF"/>
        </w:rPr>
        <w:t xml:space="preserve"> had</w:t>
      </w:r>
      <w:r w:rsidR="00625DD4" w:rsidRPr="004B0BC2">
        <w:rPr>
          <w:rFonts w:asciiTheme="minorHAnsi" w:hAnsiTheme="minorHAnsi" w:cstheme="minorHAnsi"/>
          <w:sz w:val="22"/>
          <w:szCs w:val="22"/>
          <w:shd w:val="clear" w:color="auto" w:fill="FFFFFF"/>
        </w:rPr>
        <w:t xml:space="preserve"> </w:t>
      </w:r>
      <w:r w:rsidR="00385825" w:rsidRPr="004B0BC2">
        <w:rPr>
          <w:rFonts w:asciiTheme="minorHAnsi" w:hAnsiTheme="minorHAnsi" w:cstheme="minorHAnsi"/>
          <w:sz w:val="22"/>
          <w:szCs w:val="22"/>
          <w:shd w:val="clear" w:color="auto" w:fill="FFFFFF"/>
        </w:rPr>
        <w:t>intentions</w:t>
      </w:r>
      <w:r w:rsidR="00625DD4" w:rsidRPr="004B0BC2">
        <w:rPr>
          <w:rFonts w:asciiTheme="minorHAnsi" w:hAnsiTheme="minorHAnsi" w:cstheme="minorHAnsi"/>
          <w:sz w:val="22"/>
          <w:szCs w:val="22"/>
          <w:shd w:val="clear" w:color="auto" w:fill="FFFFFF"/>
        </w:rPr>
        <w:t xml:space="preserve"> to contact their GP</w:t>
      </w:r>
      <w:r w:rsidR="00385825" w:rsidRPr="004B0BC2">
        <w:rPr>
          <w:rFonts w:asciiTheme="minorHAnsi" w:hAnsiTheme="minorHAnsi" w:cstheme="minorHAnsi"/>
          <w:sz w:val="22"/>
          <w:szCs w:val="22"/>
          <w:shd w:val="clear" w:color="auto" w:fill="FFFFFF"/>
        </w:rPr>
        <w:t>. Furthermore</w:t>
      </w:r>
      <w:r w:rsidR="00625DD4" w:rsidRPr="004B0BC2">
        <w:rPr>
          <w:rFonts w:asciiTheme="minorHAnsi" w:hAnsiTheme="minorHAnsi" w:cstheme="minorHAnsi"/>
          <w:sz w:val="22"/>
          <w:szCs w:val="22"/>
          <w:shd w:val="clear" w:color="auto" w:fill="FFFFFF"/>
        </w:rPr>
        <w:t>,</w:t>
      </w:r>
      <w:r w:rsidR="00385825" w:rsidRPr="004B0BC2">
        <w:rPr>
          <w:rFonts w:asciiTheme="minorHAnsi" w:hAnsiTheme="minorHAnsi" w:cstheme="minorHAnsi"/>
          <w:sz w:val="22"/>
          <w:szCs w:val="22"/>
          <w:shd w:val="clear" w:color="auto" w:fill="FFFFFF"/>
        </w:rPr>
        <w:t xml:space="preserve"> </w:t>
      </w:r>
      <w:r w:rsidR="00625DD4" w:rsidRPr="004B0BC2">
        <w:rPr>
          <w:rFonts w:asciiTheme="minorHAnsi" w:hAnsiTheme="minorHAnsi" w:cstheme="minorHAnsi"/>
          <w:sz w:val="22"/>
          <w:szCs w:val="22"/>
          <w:shd w:val="clear" w:color="auto" w:fill="FFFFFF"/>
        </w:rPr>
        <w:t>57%</w:t>
      </w:r>
      <w:r w:rsidR="00385825" w:rsidRPr="004B0BC2">
        <w:rPr>
          <w:rFonts w:asciiTheme="minorHAnsi" w:hAnsiTheme="minorHAnsi" w:cstheme="minorHAnsi"/>
          <w:sz w:val="22"/>
          <w:szCs w:val="22"/>
          <w:shd w:val="clear" w:color="auto" w:fill="FFFFFF"/>
        </w:rPr>
        <w:t xml:space="preserve"> of the cohort</w:t>
      </w:r>
      <w:r w:rsidR="00625DD4" w:rsidRPr="004B0BC2">
        <w:rPr>
          <w:rFonts w:asciiTheme="minorHAnsi" w:hAnsiTheme="minorHAnsi" w:cstheme="minorHAnsi"/>
          <w:sz w:val="22"/>
          <w:szCs w:val="22"/>
          <w:shd w:val="clear" w:color="auto" w:fill="FFFFFF"/>
        </w:rPr>
        <w:t xml:space="preserve"> </w:t>
      </w:r>
      <w:r w:rsidR="00385825" w:rsidRPr="004B0BC2">
        <w:rPr>
          <w:rFonts w:asciiTheme="minorHAnsi" w:hAnsiTheme="minorHAnsi" w:cstheme="minorHAnsi"/>
          <w:sz w:val="22"/>
          <w:szCs w:val="22"/>
          <w:shd w:val="clear" w:color="auto" w:fill="FFFFFF"/>
        </w:rPr>
        <w:t>reported making</w:t>
      </w:r>
      <w:r w:rsidR="00625DD4" w:rsidRPr="004B0BC2">
        <w:rPr>
          <w:rFonts w:asciiTheme="minorHAnsi" w:hAnsiTheme="minorHAnsi" w:cstheme="minorHAnsi"/>
          <w:sz w:val="22"/>
          <w:szCs w:val="22"/>
          <w:shd w:val="clear" w:color="auto" w:fill="FFFFFF"/>
        </w:rPr>
        <w:t xml:space="preserve"> health changes as a result of the</w:t>
      </w:r>
      <w:r w:rsidR="00385825" w:rsidRPr="004B0BC2">
        <w:rPr>
          <w:rFonts w:asciiTheme="minorHAnsi" w:hAnsiTheme="minorHAnsi" w:cstheme="minorHAnsi"/>
          <w:sz w:val="22"/>
          <w:szCs w:val="22"/>
          <w:shd w:val="clear" w:color="auto" w:fill="FFFFFF"/>
        </w:rPr>
        <w:t xml:space="preserve"> programme</w:t>
      </w:r>
      <w:r w:rsidR="0043025C"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10.1111/j.1440-1584.2006.00783.x","ISSN":"10385282","PMID":"16706883","author":[{"dropping-particle":"","family":"Russell","given":"Nicole","non-dropping-particle":"","parse-names":false,"suffix":""},{"dropping-particle":"","family":"Harding","given":"Catherine","non-dropping-particle":"","parse-names":false,"suffix":""},{"dropping-particle":"","family":"Chamberlain","given":"Christie","non-dropping-particle":"","parse-names":false,"suffix":""},{"dropping-particle":"","family":"Johnston","given":"Luke","non-dropping-particle":"","parse-names":false,"suffix":""}],"container-title":"Australian Journal of Rural Health","id":"ITEM-1","issue":"3","issued":{"date-parts":[["2006"]]},"page":"129-31","title":"Implementing a 'Men's Health Pitstop' in the Riverina, South-west New South Wales","type":"article-journal","volume":"14"},"uris":["http://www.mendeley.com/documents/?uuid=7478f9a5-6810-4450-9662-264f3aeb6e6b"]}],"mendeley":{"formattedCitation":"(155)","plainTextFormattedCitation":"(155)","previouslyFormattedCitation":"(155)"},"properties":{"noteIndex":0},"schema":"https://github.com/citation-style-language/schema/raw/master/csl-citation.json"}</w:instrText>
      </w:r>
      <w:r w:rsidR="0043025C"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(155)</w:t>
      </w:r>
      <w:r w:rsidR="0043025C" w:rsidRPr="004B0BC2">
        <w:rPr>
          <w:rFonts w:asciiTheme="minorHAnsi" w:hAnsiTheme="minorHAnsi" w:cstheme="minorHAnsi"/>
          <w:sz w:val="22"/>
          <w:szCs w:val="22"/>
          <w:shd w:val="clear" w:color="auto" w:fill="FFFFFF"/>
        </w:rPr>
        <w:fldChar w:fldCharType="end"/>
      </w:r>
      <w:r w:rsidR="00385825" w:rsidRPr="004B0BC2">
        <w:rPr>
          <w:rFonts w:asciiTheme="minorHAnsi" w:hAnsiTheme="minorHAnsi" w:cstheme="minorHAnsi"/>
          <w:sz w:val="22"/>
          <w:szCs w:val="22"/>
          <w:shd w:val="clear" w:color="auto" w:fill="FFFFFF"/>
        </w:rPr>
        <w:t>.</w:t>
      </w:r>
      <w:r w:rsidR="0036406E" w:rsidRPr="004B0BC2">
        <w:rPr>
          <w:rFonts w:asciiTheme="minorHAnsi" w:hAnsiTheme="minorHAnsi" w:cstheme="minorHAnsi"/>
          <w:sz w:val="22"/>
          <w:szCs w:val="22"/>
          <w:shd w:val="clear" w:color="auto" w:fill="FFFFFF"/>
        </w:rPr>
        <w:t xml:space="preserve"> However, this study included </w:t>
      </w:r>
      <w:r w:rsidR="00E94866">
        <w:rPr>
          <w:rFonts w:asciiTheme="minorHAnsi" w:hAnsiTheme="minorHAnsi" w:cstheme="minorHAnsi"/>
          <w:sz w:val="22"/>
          <w:szCs w:val="22"/>
          <w:shd w:val="clear" w:color="auto" w:fill="FFFFFF"/>
        </w:rPr>
        <w:t xml:space="preserve">only </w:t>
      </w:r>
      <w:r w:rsidR="0036406E" w:rsidRPr="004B0BC2">
        <w:rPr>
          <w:rFonts w:asciiTheme="minorHAnsi" w:hAnsiTheme="minorHAnsi" w:cstheme="minorHAnsi"/>
          <w:sz w:val="22"/>
          <w:szCs w:val="22"/>
          <w:shd w:val="clear" w:color="auto" w:fill="FFFFFF"/>
        </w:rPr>
        <w:t xml:space="preserve">315 </w:t>
      </w:r>
      <w:r w:rsidR="006F43AA" w:rsidRPr="004B0BC2">
        <w:rPr>
          <w:rFonts w:asciiTheme="minorHAnsi" w:hAnsiTheme="minorHAnsi" w:cstheme="minorHAnsi"/>
          <w:sz w:val="22"/>
          <w:szCs w:val="22"/>
          <w:shd w:val="clear" w:color="auto" w:fill="FFFFFF"/>
        </w:rPr>
        <w:t>men</w:t>
      </w:r>
      <w:r w:rsidR="00E94866">
        <w:rPr>
          <w:rFonts w:asciiTheme="minorHAnsi" w:hAnsiTheme="minorHAnsi" w:cstheme="minorHAnsi"/>
          <w:sz w:val="22"/>
          <w:szCs w:val="22"/>
          <w:shd w:val="clear" w:color="auto" w:fill="FFFFFF"/>
        </w:rPr>
        <w:t xml:space="preserve"> who</w:t>
      </w:r>
      <w:r w:rsidR="0036406E" w:rsidRPr="004B0BC2">
        <w:rPr>
          <w:rFonts w:asciiTheme="minorHAnsi" w:hAnsiTheme="minorHAnsi" w:cstheme="minorHAnsi"/>
          <w:sz w:val="22"/>
          <w:szCs w:val="22"/>
          <w:shd w:val="clear" w:color="auto" w:fill="FFFFFF"/>
        </w:rPr>
        <w:t xml:space="preserve"> were recruited from an Australian Farming event</w:t>
      </w:r>
      <w:r w:rsidR="00E94866">
        <w:rPr>
          <w:rFonts w:asciiTheme="minorHAnsi" w:hAnsiTheme="minorHAnsi" w:cstheme="minorHAnsi"/>
          <w:sz w:val="22"/>
          <w:szCs w:val="22"/>
          <w:shd w:val="clear" w:color="auto" w:fill="FFFFFF"/>
        </w:rPr>
        <w:t>;</w:t>
      </w:r>
      <w:r w:rsidR="0036406E" w:rsidRPr="004B0BC2">
        <w:rPr>
          <w:rFonts w:asciiTheme="minorHAnsi" w:hAnsiTheme="minorHAnsi" w:cstheme="minorHAnsi"/>
          <w:sz w:val="22"/>
          <w:szCs w:val="22"/>
          <w:shd w:val="clear" w:color="auto" w:fill="FFFFFF"/>
        </w:rPr>
        <w:t xml:space="preserve"> th</w:t>
      </w:r>
      <w:r w:rsidR="00E94866">
        <w:rPr>
          <w:rFonts w:asciiTheme="minorHAnsi" w:hAnsiTheme="minorHAnsi" w:cstheme="minorHAnsi"/>
          <w:sz w:val="22"/>
          <w:szCs w:val="22"/>
          <w:shd w:val="clear" w:color="auto" w:fill="FFFFFF"/>
        </w:rPr>
        <w:t>us,</w:t>
      </w:r>
      <w:r w:rsidR="0036406E" w:rsidRPr="004B0BC2">
        <w:rPr>
          <w:rFonts w:asciiTheme="minorHAnsi" w:hAnsiTheme="minorHAnsi" w:cstheme="minorHAnsi"/>
          <w:sz w:val="22"/>
          <w:szCs w:val="22"/>
          <w:shd w:val="clear" w:color="auto" w:fill="FFFFFF"/>
        </w:rPr>
        <w:t xml:space="preserve"> the cohort size and demographic </w:t>
      </w:r>
      <w:r w:rsidR="00E94866">
        <w:rPr>
          <w:rFonts w:asciiTheme="minorHAnsi" w:hAnsiTheme="minorHAnsi" w:cstheme="minorHAnsi"/>
          <w:sz w:val="22"/>
          <w:szCs w:val="22"/>
          <w:shd w:val="clear" w:color="auto" w:fill="FFFFFF"/>
        </w:rPr>
        <w:t xml:space="preserve">mean that </w:t>
      </w:r>
      <w:r w:rsidR="00976C8C">
        <w:rPr>
          <w:rFonts w:asciiTheme="minorHAnsi" w:hAnsiTheme="minorHAnsi" w:cstheme="minorHAnsi"/>
          <w:sz w:val="22"/>
          <w:szCs w:val="22"/>
          <w:shd w:val="clear" w:color="auto" w:fill="FFFFFF"/>
        </w:rPr>
        <w:t>extrapolat</w:t>
      </w:r>
      <w:r w:rsidR="00E94866">
        <w:rPr>
          <w:rFonts w:asciiTheme="minorHAnsi" w:hAnsiTheme="minorHAnsi" w:cstheme="minorHAnsi"/>
          <w:sz w:val="22"/>
          <w:szCs w:val="22"/>
          <w:shd w:val="clear" w:color="auto" w:fill="FFFFFF"/>
        </w:rPr>
        <w:t>ing</w:t>
      </w:r>
      <w:r w:rsidR="0036406E" w:rsidRPr="004B0BC2">
        <w:rPr>
          <w:rFonts w:asciiTheme="minorHAnsi" w:hAnsiTheme="minorHAnsi" w:cstheme="minorHAnsi"/>
          <w:sz w:val="22"/>
          <w:szCs w:val="22"/>
          <w:shd w:val="clear" w:color="auto" w:fill="FFFFFF"/>
        </w:rPr>
        <w:t xml:space="preserve"> these findings to the </w:t>
      </w:r>
      <w:r w:rsidR="00E94866">
        <w:rPr>
          <w:rFonts w:asciiTheme="minorHAnsi" w:hAnsiTheme="minorHAnsi" w:cstheme="minorHAnsi"/>
          <w:sz w:val="22"/>
          <w:szCs w:val="22"/>
          <w:shd w:val="clear" w:color="auto" w:fill="FFFFFF"/>
        </w:rPr>
        <w:t xml:space="preserve">general </w:t>
      </w:r>
      <w:r w:rsidR="0036406E" w:rsidRPr="004B0BC2">
        <w:rPr>
          <w:rFonts w:asciiTheme="minorHAnsi" w:hAnsiTheme="minorHAnsi" w:cstheme="minorHAnsi"/>
          <w:sz w:val="22"/>
          <w:szCs w:val="22"/>
          <w:shd w:val="clear" w:color="auto" w:fill="FFFFFF"/>
        </w:rPr>
        <w:t>male population</w:t>
      </w:r>
      <w:r w:rsidR="00E94866">
        <w:rPr>
          <w:rFonts w:asciiTheme="minorHAnsi" w:hAnsiTheme="minorHAnsi" w:cstheme="minorHAnsi"/>
          <w:sz w:val="22"/>
          <w:szCs w:val="22"/>
          <w:shd w:val="clear" w:color="auto" w:fill="FFFFFF"/>
        </w:rPr>
        <w:t xml:space="preserve"> is difficult</w:t>
      </w:r>
      <w:r w:rsidR="0036406E" w:rsidRPr="004B0BC2">
        <w:rPr>
          <w:rFonts w:asciiTheme="minorHAnsi" w:hAnsiTheme="minorHAnsi" w:cstheme="minorHAnsi"/>
          <w:sz w:val="22"/>
          <w:szCs w:val="22"/>
          <w:shd w:val="clear" w:color="auto" w:fill="FFFFFF"/>
        </w:rPr>
        <w:t xml:space="preserve">. </w:t>
      </w:r>
    </w:p>
    <w:p w14:paraId="42B43B05" w14:textId="77777777" w:rsidR="0040669F" w:rsidRDefault="0040669F" w:rsidP="00B66369">
      <w:pPr>
        <w:spacing w:line="480" w:lineRule="auto"/>
        <w:rPr>
          <w:rFonts w:asciiTheme="minorHAnsi" w:hAnsiTheme="minorHAnsi" w:cstheme="minorHAnsi"/>
          <w:sz w:val="22"/>
          <w:szCs w:val="22"/>
          <w:shd w:val="clear" w:color="auto" w:fill="FFFFFF"/>
        </w:rPr>
      </w:pPr>
    </w:p>
    <w:p w14:paraId="57D09706" w14:textId="4456A7CE" w:rsidR="00091F49" w:rsidRDefault="00E94866" w:rsidP="00B66369">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E</w:t>
      </w:r>
      <w:r w:rsidR="0036406E" w:rsidRPr="004B0BC2">
        <w:rPr>
          <w:rFonts w:asciiTheme="minorHAnsi" w:hAnsiTheme="minorHAnsi" w:cstheme="minorHAnsi"/>
          <w:sz w:val="22"/>
          <w:szCs w:val="22"/>
          <w:shd w:val="clear" w:color="auto" w:fill="FFFFFF"/>
        </w:rPr>
        <w:t xml:space="preserve">valuative evidence </w:t>
      </w:r>
      <w:r w:rsidR="00AF3FBF" w:rsidRPr="004B0BC2">
        <w:rPr>
          <w:rFonts w:asciiTheme="minorHAnsi" w:hAnsiTheme="minorHAnsi" w:cstheme="minorHAnsi"/>
          <w:sz w:val="22"/>
          <w:szCs w:val="22"/>
          <w:shd w:val="clear" w:color="auto" w:fill="FFFFFF"/>
        </w:rPr>
        <w:t>regarding men</w:t>
      </w:r>
      <w:r w:rsidR="00976C8C">
        <w:rPr>
          <w:rFonts w:asciiTheme="minorHAnsi" w:hAnsiTheme="minorHAnsi" w:cstheme="minorHAnsi"/>
          <w:sz w:val="22"/>
          <w:szCs w:val="22"/>
          <w:shd w:val="clear" w:color="auto" w:fill="FFFFFF"/>
        </w:rPr>
        <w:t>’s</w:t>
      </w:r>
      <w:r w:rsidR="00AF3FBF" w:rsidRPr="004B0BC2">
        <w:rPr>
          <w:rFonts w:asciiTheme="minorHAnsi" w:hAnsiTheme="minorHAnsi" w:cstheme="minorHAnsi"/>
          <w:sz w:val="22"/>
          <w:szCs w:val="22"/>
          <w:shd w:val="clear" w:color="auto" w:fill="FFFFFF"/>
        </w:rPr>
        <w:t xml:space="preserve"> health programmes </w:t>
      </w:r>
      <w:r>
        <w:rPr>
          <w:rFonts w:asciiTheme="minorHAnsi" w:hAnsiTheme="minorHAnsi" w:cstheme="minorHAnsi"/>
          <w:sz w:val="22"/>
          <w:szCs w:val="22"/>
          <w:shd w:val="clear" w:color="auto" w:fill="FFFFFF"/>
        </w:rPr>
        <w:t xml:space="preserve">that </w:t>
      </w:r>
      <w:r w:rsidR="00AF3FBF" w:rsidRPr="004B0BC2">
        <w:rPr>
          <w:rFonts w:asciiTheme="minorHAnsi" w:hAnsiTheme="minorHAnsi" w:cstheme="minorHAnsi"/>
          <w:sz w:val="22"/>
          <w:szCs w:val="22"/>
          <w:shd w:val="clear" w:color="auto" w:fill="FFFFFF"/>
        </w:rPr>
        <w:t xml:space="preserve">employ hegemonic </w:t>
      </w:r>
      <w:r w:rsidR="0040669F">
        <w:rPr>
          <w:rFonts w:asciiTheme="minorHAnsi" w:hAnsiTheme="minorHAnsi" w:cstheme="minorHAnsi"/>
          <w:sz w:val="22"/>
          <w:szCs w:val="22"/>
          <w:shd w:val="clear" w:color="auto" w:fill="FFFFFF"/>
        </w:rPr>
        <w:t xml:space="preserve">masculine </w:t>
      </w:r>
      <w:r w:rsidR="00AF3FBF" w:rsidRPr="004B0BC2">
        <w:rPr>
          <w:rFonts w:asciiTheme="minorHAnsi" w:hAnsiTheme="minorHAnsi" w:cstheme="minorHAnsi"/>
          <w:sz w:val="22"/>
          <w:szCs w:val="22"/>
          <w:shd w:val="clear" w:color="auto" w:fill="FFFFFF"/>
        </w:rPr>
        <w:t>stereotypes</w:t>
      </w:r>
      <w:r w:rsidR="0043025C"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10.1111/j.1440-1584.2006.00783.x","ISSN":"10385282","PMID":"16706883","author":[{"dropping-particle":"","family":"Russell","given":"Nicole","non-dropping-particle":"","parse-names":false,"suffix":""},{"dropping-particle":"","family":"Harding","given":"Catherine","non-dropping-particle":"","parse-names":false,"suffix":""},{"dropping-particle":"","family":"Chamberlain","given":"Christie","non-dropping-particle":"","parse-names":false,"suffix":""},{"dropping-particle":"","family":"Johnston","given":"Luke","non-dropping-particle":"","parse-names":false,"suffix":""}],"container-title":"Australian Journal of Rural Health","id":"ITEM-1","issue":"3","issued":{"date-parts":[["2006"]]},"page":"129-31","title":"Implementing a 'Men's Health Pitstop' in the Riverina, South-west New South Wales","type":"article-journal","volume":"14"},"uris":["http://www.mendeley.com/documents/?uuid=7478f9a5-6810-4450-9662-264f3aeb6e6b"]}],"mendeley":{"formattedCitation":"(155)","plainTextFormattedCitation":"(155)","previouslyFormattedCitation":"(155)"},"properties":{"noteIndex":0},"schema":"https://github.com/citation-style-language/schema/raw/master/csl-citation.json"}</w:instrText>
      </w:r>
      <w:r w:rsidR="0043025C"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(155)</w:t>
      </w:r>
      <w:r w:rsidR="0043025C" w:rsidRPr="004B0BC2">
        <w:rPr>
          <w:rFonts w:asciiTheme="minorHAnsi" w:hAnsiTheme="minorHAnsi" w:cstheme="minorHAnsi"/>
          <w:sz w:val="22"/>
          <w:szCs w:val="22"/>
          <w:shd w:val="clear" w:color="auto" w:fill="FFFFFF"/>
        </w:rPr>
        <w:fldChar w:fldCharType="end"/>
      </w:r>
      <w:r w:rsidR="00AF3FBF"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is lacking, </w:t>
      </w:r>
      <w:r w:rsidR="00AF3FBF" w:rsidRPr="004B0BC2">
        <w:rPr>
          <w:rFonts w:asciiTheme="minorHAnsi" w:hAnsiTheme="minorHAnsi" w:cstheme="minorHAnsi"/>
          <w:sz w:val="22"/>
          <w:szCs w:val="22"/>
          <w:shd w:val="clear" w:color="auto" w:fill="FFFFFF"/>
        </w:rPr>
        <w:t xml:space="preserve">but </w:t>
      </w:r>
      <w:r w:rsidR="0043025C" w:rsidRPr="004B0BC2">
        <w:rPr>
          <w:rFonts w:asciiTheme="minorHAnsi" w:hAnsiTheme="minorHAnsi" w:cstheme="minorHAnsi"/>
          <w:sz w:val="22"/>
          <w:szCs w:val="22"/>
          <w:shd w:val="clear" w:color="auto" w:fill="FFFFFF"/>
        </w:rPr>
        <w:t>clearly</w:t>
      </w:r>
      <w:r w:rsidR="00AF3FBF" w:rsidRPr="004B0BC2">
        <w:rPr>
          <w:rFonts w:asciiTheme="minorHAnsi" w:hAnsiTheme="minorHAnsi" w:cstheme="minorHAnsi"/>
          <w:sz w:val="22"/>
          <w:szCs w:val="22"/>
          <w:shd w:val="clear" w:color="auto" w:fill="FFFFFF"/>
        </w:rPr>
        <w:t xml:space="preserve"> </w:t>
      </w:r>
      <w:r w:rsidR="00807F5E" w:rsidRPr="004B0BC2">
        <w:rPr>
          <w:rFonts w:asciiTheme="minorHAnsi" w:hAnsiTheme="minorHAnsi" w:cstheme="minorHAnsi"/>
          <w:sz w:val="22"/>
          <w:szCs w:val="22"/>
        </w:rPr>
        <w:t>assum</w:t>
      </w:r>
      <w:r>
        <w:rPr>
          <w:rFonts w:asciiTheme="minorHAnsi" w:hAnsiTheme="minorHAnsi" w:cstheme="minorHAnsi"/>
          <w:sz w:val="22"/>
          <w:szCs w:val="22"/>
        </w:rPr>
        <w:t>ing</w:t>
      </w:r>
      <w:r w:rsidR="00807F5E" w:rsidRPr="004B0BC2">
        <w:rPr>
          <w:rFonts w:asciiTheme="minorHAnsi" w:hAnsiTheme="minorHAnsi" w:cstheme="minorHAnsi"/>
          <w:sz w:val="22"/>
          <w:szCs w:val="22"/>
        </w:rPr>
        <w:t xml:space="preserve"> that all men enjoy sports or cars</w:t>
      </w:r>
      <w:r>
        <w:rPr>
          <w:rFonts w:asciiTheme="minorHAnsi" w:hAnsiTheme="minorHAnsi" w:cstheme="minorHAnsi"/>
          <w:sz w:val="22"/>
          <w:szCs w:val="22"/>
        </w:rPr>
        <w:t xml:space="preserve"> is naive</w:t>
      </w:r>
      <w:r w:rsidR="00AF3FBF" w:rsidRPr="004B0BC2">
        <w:rPr>
          <w:rFonts w:asciiTheme="minorHAnsi" w:hAnsiTheme="minorHAnsi" w:cstheme="minorHAnsi"/>
          <w:sz w:val="22"/>
          <w:szCs w:val="22"/>
        </w:rPr>
        <w:t xml:space="preserve"> </w:t>
      </w:r>
      <w:r w:rsidR="0043025C" w:rsidRPr="004B0BC2">
        <w:rPr>
          <w:rFonts w:asciiTheme="minorHAnsi" w:hAnsiTheme="minorHAnsi" w:cstheme="minorHAnsi"/>
          <w:sz w:val="22"/>
          <w:szCs w:val="22"/>
        </w:rPr>
        <w:t>and a</w:t>
      </w:r>
      <w:r w:rsidR="00547480" w:rsidRPr="004B0BC2">
        <w:rPr>
          <w:rFonts w:asciiTheme="minorHAnsi" w:hAnsiTheme="minorHAnsi" w:cstheme="minorHAnsi"/>
          <w:sz w:val="22"/>
          <w:szCs w:val="22"/>
        </w:rPr>
        <w:t xml:space="preserve"> policy centred on masculinity values m</w:t>
      </w:r>
      <w:r>
        <w:rPr>
          <w:rFonts w:asciiTheme="minorHAnsi" w:hAnsiTheme="minorHAnsi" w:cstheme="minorHAnsi"/>
          <w:sz w:val="22"/>
          <w:szCs w:val="22"/>
        </w:rPr>
        <w:t>ight, therefore,</w:t>
      </w:r>
      <w:r w:rsidR="00547480" w:rsidRPr="004B0BC2">
        <w:rPr>
          <w:rFonts w:asciiTheme="minorHAnsi" w:hAnsiTheme="minorHAnsi" w:cstheme="minorHAnsi"/>
          <w:sz w:val="22"/>
          <w:szCs w:val="22"/>
        </w:rPr>
        <w:t xml:space="preserve"> alienate many men.</w:t>
      </w:r>
      <w:r w:rsidR="00AF3FBF" w:rsidRPr="004B0BC2">
        <w:rPr>
          <w:rFonts w:asciiTheme="minorHAnsi" w:hAnsiTheme="minorHAnsi" w:cstheme="minorHAnsi"/>
          <w:sz w:val="22"/>
          <w:szCs w:val="22"/>
        </w:rPr>
        <w:t xml:space="preserve"> </w:t>
      </w:r>
      <w:r w:rsidR="0040669F">
        <w:rPr>
          <w:rFonts w:asciiTheme="minorHAnsi" w:hAnsiTheme="minorHAnsi" w:cstheme="minorHAnsi"/>
          <w:sz w:val="22"/>
          <w:szCs w:val="22"/>
        </w:rPr>
        <w:t>F</w:t>
      </w:r>
      <w:r w:rsidR="00AF3FBF" w:rsidRPr="004B0BC2">
        <w:rPr>
          <w:rFonts w:asciiTheme="minorHAnsi" w:hAnsiTheme="minorHAnsi" w:cstheme="minorHAnsi"/>
          <w:sz w:val="22"/>
          <w:szCs w:val="22"/>
        </w:rPr>
        <w:t>urther research is needed to identify the</w:t>
      </w:r>
      <w:r w:rsidR="00807F5E" w:rsidRPr="004B0BC2">
        <w:rPr>
          <w:rFonts w:asciiTheme="minorHAnsi" w:hAnsiTheme="minorHAnsi" w:cstheme="minorHAnsi"/>
          <w:sz w:val="22"/>
          <w:szCs w:val="22"/>
        </w:rPr>
        <w:t xml:space="preserve"> most suitable means to engage men and their health</w:t>
      </w:r>
      <w:r w:rsidR="0040669F">
        <w:rPr>
          <w:rFonts w:asciiTheme="minorHAnsi" w:hAnsiTheme="minorHAnsi" w:cstheme="minorHAnsi"/>
          <w:sz w:val="22"/>
          <w:szCs w:val="22"/>
        </w:rPr>
        <w:t>;</w:t>
      </w:r>
      <w:r w:rsidR="00807F5E" w:rsidRPr="004B0BC2">
        <w:rPr>
          <w:rFonts w:asciiTheme="minorHAnsi" w:hAnsiTheme="minorHAnsi" w:cstheme="minorHAnsi"/>
          <w:sz w:val="22"/>
          <w:szCs w:val="22"/>
        </w:rPr>
        <w:t xml:space="preserve"> </w:t>
      </w:r>
      <w:r w:rsidR="0040669F">
        <w:rPr>
          <w:rFonts w:asciiTheme="minorHAnsi" w:hAnsiTheme="minorHAnsi" w:cstheme="minorHAnsi"/>
          <w:sz w:val="22"/>
          <w:szCs w:val="22"/>
        </w:rPr>
        <w:t>h</w:t>
      </w:r>
      <w:r w:rsidR="00AF3FBF" w:rsidRPr="004B0BC2">
        <w:rPr>
          <w:rFonts w:asciiTheme="minorHAnsi" w:hAnsiTheme="minorHAnsi" w:cstheme="minorHAnsi"/>
          <w:sz w:val="22"/>
          <w:szCs w:val="22"/>
        </w:rPr>
        <w:t xml:space="preserve">owever, </w:t>
      </w:r>
      <w:r w:rsidR="0015629A" w:rsidRPr="004B0BC2">
        <w:rPr>
          <w:rFonts w:asciiTheme="minorHAnsi" w:hAnsiTheme="minorHAnsi" w:cstheme="minorHAnsi"/>
          <w:sz w:val="22"/>
          <w:szCs w:val="22"/>
        </w:rPr>
        <w:t>specifically targeting</w:t>
      </w:r>
      <w:r w:rsidR="00547480" w:rsidRPr="004B0BC2">
        <w:rPr>
          <w:rFonts w:asciiTheme="minorHAnsi" w:hAnsiTheme="minorHAnsi" w:cstheme="minorHAnsi"/>
          <w:sz w:val="22"/>
          <w:szCs w:val="22"/>
        </w:rPr>
        <w:t xml:space="preserve"> and engaging </w:t>
      </w:r>
      <w:r w:rsidR="0040669F">
        <w:rPr>
          <w:rFonts w:asciiTheme="minorHAnsi" w:hAnsiTheme="minorHAnsi" w:cstheme="minorHAnsi"/>
          <w:sz w:val="22"/>
          <w:szCs w:val="22"/>
        </w:rPr>
        <w:t>men</w:t>
      </w:r>
      <w:r w:rsidR="0015629A" w:rsidRPr="004B0BC2">
        <w:rPr>
          <w:rFonts w:asciiTheme="minorHAnsi" w:hAnsiTheme="minorHAnsi" w:cstheme="minorHAnsi"/>
          <w:sz w:val="22"/>
          <w:szCs w:val="22"/>
        </w:rPr>
        <w:t xml:space="preserve"> </w:t>
      </w:r>
      <w:r w:rsidR="0040669F">
        <w:rPr>
          <w:rFonts w:asciiTheme="minorHAnsi" w:hAnsiTheme="minorHAnsi" w:cstheme="minorHAnsi"/>
          <w:sz w:val="22"/>
          <w:szCs w:val="22"/>
        </w:rPr>
        <w:t>seem</w:t>
      </w:r>
      <w:r w:rsidR="0040669F" w:rsidRPr="004B0BC2">
        <w:rPr>
          <w:rFonts w:asciiTheme="minorHAnsi" w:hAnsiTheme="minorHAnsi" w:cstheme="minorHAnsi"/>
          <w:sz w:val="22"/>
          <w:szCs w:val="22"/>
        </w:rPr>
        <w:t xml:space="preserve">s </w:t>
      </w:r>
      <w:r w:rsidR="0015629A" w:rsidRPr="004B0BC2">
        <w:rPr>
          <w:rFonts w:asciiTheme="minorHAnsi" w:hAnsiTheme="minorHAnsi" w:cstheme="minorHAnsi"/>
          <w:sz w:val="22"/>
          <w:szCs w:val="22"/>
        </w:rPr>
        <w:t>to be good starting platform.</w:t>
      </w:r>
      <w:r w:rsidR="0012795B" w:rsidRPr="004B0BC2">
        <w:rPr>
          <w:rFonts w:asciiTheme="minorHAnsi" w:hAnsiTheme="minorHAnsi" w:cstheme="minorHAnsi"/>
          <w:sz w:val="22"/>
          <w:szCs w:val="22"/>
        </w:rPr>
        <w:t xml:space="preserve"> The Movember campaign</w:t>
      </w:r>
      <w:r w:rsidR="00F8197E" w:rsidRPr="004B0BC2">
        <w:rPr>
          <w:rFonts w:asciiTheme="minorHAnsi" w:hAnsiTheme="minorHAnsi" w:cstheme="minorHAnsi"/>
          <w:sz w:val="22"/>
          <w:szCs w:val="22"/>
        </w:rPr>
        <w:t xml:space="preserve"> has generated over £346 million to fund over 800 men’s</w:t>
      </w:r>
      <w:r w:rsidR="00976C8C">
        <w:rPr>
          <w:rFonts w:asciiTheme="minorHAnsi" w:hAnsiTheme="minorHAnsi" w:cstheme="minorHAnsi"/>
          <w:sz w:val="22"/>
          <w:szCs w:val="22"/>
        </w:rPr>
        <w:t>-</w:t>
      </w:r>
      <w:r w:rsidR="00F8197E" w:rsidRPr="004B0BC2">
        <w:rPr>
          <w:rFonts w:asciiTheme="minorHAnsi" w:hAnsiTheme="minorHAnsi" w:cstheme="minorHAnsi"/>
          <w:sz w:val="22"/>
          <w:szCs w:val="22"/>
        </w:rPr>
        <w:t>health</w:t>
      </w:r>
      <w:r w:rsidR="00976C8C">
        <w:rPr>
          <w:rFonts w:asciiTheme="minorHAnsi" w:hAnsiTheme="minorHAnsi" w:cstheme="minorHAnsi"/>
          <w:sz w:val="22"/>
          <w:szCs w:val="22"/>
        </w:rPr>
        <w:t>-</w:t>
      </w:r>
      <w:r w:rsidR="00F8197E" w:rsidRPr="004B0BC2">
        <w:rPr>
          <w:rFonts w:asciiTheme="minorHAnsi" w:hAnsiTheme="minorHAnsi" w:cstheme="minorHAnsi"/>
          <w:sz w:val="22"/>
          <w:szCs w:val="22"/>
        </w:rPr>
        <w:t>related projects in 21 different countries</w:t>
      </w:r>
      <w:r w:rsidR="00C84914"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10.1038/nrurol.2015.256","ISSN":"17594820","PMID":"26502990","author":[{"dropping-particle":"","family":"Wood","given":"Dan","non-dropping-particle":"","parse-names":false,"suffix":""},{"dropping-particle":"","family":"Minhas","given":"Suks","non-dropping-particle":"","parse-names":false,"suffix":""}],"container-title":"Nature Reviews Urology","id":"ITEM-1","issued":{"date-parts":[["2015"]]},"page":"599–600","title":"Science and society: The influence of charities in the field of men's health","type":"article-journal","volume":"12"},"uris":["http://www.mendeley.com/documents/?uuid=2a22a2e1-4f15-40f9-b172-6192c2d8610e"]}],"mendeley":{"formattedCitation":"(156)","plainTextFormattedCitation":"(156)","previouslyFormattedCitation":"(156)"},"properties":{"noteIndex":0},"schema":"https://github.com/citation-style-language/schema/raw/master/csl-citation.json"}</w:instrText>
      </w:r>
      <w:r w:rsidR="00C84914"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(156)</w:t>
      </w:r>
      <w:r w:rsidR="00C84914" w:rsidRPr="004B0BC2">
        <w:rPr>
          <w:rFonts w:asciiTheme="minorHAnsi" w:hAnsiTheme="minorHAnsi" w:cstheme="minorHAnsi"/>
          <w:sz w:val="22"/>
          <w:szCs w:val="22"/>
        </w:rPr>
        <w:fldChar w:fldCharType="end"/>
      </w:r>
      <w:r w:rsidR="00F8197E" w:rsidRPr="004B0BC2">
        <w:rPr>
          <w:rFonts w:asciiTheme="minorHAnsi" w:hAnsiTheme="minorHAnsi" w:cstheme="minorHAnsi"/>
          <w:sz w:val="22"/>
          <w:szCs w:val="22"/>
        </w:rPr>
        <w:t xml:space="preserve">. </w:t>
      </w:r>
    </w:p>
    <w:p w14:paraId="108FA749" w14:textId="6598FC0A" w:rsidR="009C28D5" w:rsidRPr="004B0BC2" w:rsidRDefault="00091F49" w:rsidP="00B66369">
      <w:pPr>
        <w:spacing w:line="480" w:lineRule="auto"/>
        <w:rPr>
          <w:rFonts w:asciiTheme="minorHAnsi" w:hAnsiTheme="minorHAnsi" w:cstheme="minorHAnsi"/>
          <w:sz w:val="22"/>
          <w:szCs w:val="22"/>
        </w:rPr>
      </w:pPr>
      <w:r>
        <w:rPr>
          <w:rFonts w:asciiTheme="minorHAnsi" w:hAnsiTheme="minorHAnsi" w:cstheme="minorHAnsi"/>
          <w:sz w:val="22"/>
          <w:szCs w:val="22"/>
        </w:rPr>
        <w:lastRenderedPageBreak/>
        <w:t xml:space="preserve">National programmes focussed on men’s health have proven successful. </w:t>
      </w:r>
      <w:r w:rsidR="00D654A5" w:rsidRPr="004B0BC2">
        <w:rPr>
          <w:rFonts w:asciiTheme="minorHAnsi" w:hAnsiTheme="minorHAnsi" w:cstheme="minorHAnsi"/>
          <w:sz w:val="22"/>
          <w:szCs w:val="22"/>
        </w:rPr>
        <w:t>Ireland</w:t>
      </w:r>
      <w:r w:rsidR="00B519F8" w:rsidRPr="004B0BC2">
        <w:rPr>
          <w:rFonts w:asciiTheme="minorHAnsi" w:hAnsiTheme="minorHAnsi" w:cstheme="minorHAnsi"/>
          <w:sz w:val="22"/>
          <w:szCs w:val="22"/>
        </w:rPr>
        <w:t xml:space="preserve"> </w:t>
      </w:r>
      <w:r w:rsidR="00D654A5" w:rsidRPr="004B0BC2">
        <w:rPr>
          <w:rFonts w:asciiTheme="minorHAnsi" w:hAnsiTheme="minorHAnsi" w:cstheme="minorHAnsi"/>
          <w:sz w:val="22"/>
          <w:szCs w:val="22"/>
        </w:rPr>
        <w:t>adopt</w:t>
      </w:r>
      <w:r w:rsidR="00013348" w:rsidRPr="004B0BC2">
        <w:rPr>
          <w:rFonts w:asciiTheme="minorHAnsi" w:hAnsiTheme="minorHAnsi" w:cstheme="minorHAnsi"/>
          <w:sz w:val="22"/>
          <w:szCs w:val="22"/>
        </w:rPr>
        <w:t>ed</w:t>
      </w:r>
      <w:r w:rsidR="00D654A5" w:rsidRPr="004B0BC2">
        <w:rPr>
          <w:rFonts w:asciiTheme="minorHAnsi" w:hAnsiTheme="minorHAnsi" w:cstheme="minorHAnsi"/>
          <w:sz w:val="22"/>
          <w:szCs w:val="22"/>
        </w:rPr>
        <w:t xml:space="preserve"> a</w:t>
      </w:r>
      <w:r w:rsidR="00B519F8" w:rsidRPr="004B0BC2">
        <w:rPr>
          <w:rFonts w:asciiTheme="minorHAnsi" w:hAnsiTheme="minorHAnsi" w:cstheme="minorHAnsi"/>
          <w:sz w:val="22"/>
          <w:szCs w:val="22"/>
        </w:rPr>
        <w:t xml:space="preserve"> National</w:t>
      </w:r>
      <w:r w:rsidR="00D654A5" w:rsidRPr="004B0BC2">
        <w:rPr>
          <w:rFonts w:asciiTheme="minorHAnsi" w:hAnsiTheme="minorHAnsi" w:cstheme="minorHAnsi"/>
          <w:sz w:val="22"/>
          <w:szCs w:val="22"/>
        </w:rPr>
        <w:t xml:space="preserve"> Men’s health programme into their health budget</w:t>
      </w:r>
      <w:r>
        <w:rPr>
          <w:rFonts w:asciiTheme="minorHAnsi" w:hAnsiTheme="minorHAnsi" w:cstheme="minorHAnsi"/>
          <w:sz w:val="22"/>
          <w:szCs w:val="22"/>
        </w:rPr>
        <w:t>, which</w:t>
      </w:r>
      <w:r w:rsidR="00B519F8" w:rsidRPr="004B0BC2">
        <w:rPr>
          <w:rFonts w:asciiTheme="minorHAnsi" w:hAnsiTheme="minorHAnsi" w:cstheme="minorHAnsi"/>
          <w:sz w:val="22"/>
          <w:szCs w:val="22"/>
        </w:rPr>
        <w:t xml:space="preserve"> focused on</w:t>
      </w:r>
      <w:r w:rsidR="002276F7" w:rsidRPr="004B0BC2">
        <w:rPr>
          <w:rFonts w:asciiTheme="minorHAnsi" w:hAnsiTheme="minorHAnsi" w:cstheme="minorHAnsi"/>
          <w:sz w:val="22"/>
          <w:szCs w:val="22"/>
        </w:rPr>
        <w:t xml:space="preserve"> developing health promotion initiatives to support men to adopt </w:t>
      </w:r>
      <w:r w:rsidR="00C84914" w:rsidRPr="004B0BC2">
        <w:rPr>
          <w:rFonts w:asciiTheme="minorHAnsi" w:hAnsiTheme="minorHAnsi" w:cstheme="minorHAnsi"/>
          <w:sz w:val="22"/>
          <w:szCs w:val="22"/>
        </w:rPr>
        <w:t>healthier</w:t>
      </w:r>
      <w:r w:rsidR="002276F7" w:rsidRPr="004B0BC2">
        <w:rPr>
          <w:rFonts w:asciiTheme="minorHAnsi" w:hAnsiTheme="minorHAnsi" w:cstheme="minorHAnsi"/>
          <w:sz w:val="22"/>
          <w:szCs w:val="22"/>
        </w:rPr>
        <w:t xml:space="preserve"> lifestyles</w:t>
      </w:r>
      <w:r w:rsidR="00D654A5"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{"citationItems":[{"id":"ITEM-1","itemData":{"author":[{"dropping-particle":"","family":"Baker","given":"Peter","non-dropping-particle":"","parse-names":false,"suffix":""}],"id":"ITEM-1","issued":{"date-parts":[["2015"]]},"number-of-pages":"1-71","title":"Review of the national men's health policy and action plan 2008-2013 final report for the health service executive","type":"report"},"uris":["http://www.mendeley.com/documents/?uuid=1da8076b-3eee-3976-9f0e-16e9ec74c1f7"]}],"mendeley":{"formattedCitation":"(157)","plainTextFormattedCitation":"(157)","previouslyFormattedCitation":"(157)"},"properties":{"noteIndex":0},"schema":"https://github.com/citation-style-language/schema/raw/master/csl-citation.json"}</w:instrText>
      </w:r>
      <w:r w:rsidR="00D654A5"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(157)</w:t>
      </w:r>
      <w:r w:rsidR="00D654A5" w:rsidRPr="004B0BC2">
        <w:rPr>
          <w:rFonts w:asciiTheme="minorHAnsi" w:hAnsiTheme="minorHAnsi" w:cstheme="minorHAnsi"/>
          <w:sz w:val="22"/>
          <w:szCs w:val="22"/>
        </w:rPr>
        <w:fldChar w:fldCharType="end"/>
      </w:r>
      <w:r w:rsidR="00B519F8" w:rsidRPr="004B0BC2">
        <w:rPr>
          <w:rFonts w:asciiTheme="minorHAnsi" w:hAnsiTheme="minorHAnsi" w:cstheme="minorHAnsi"/>
          <w:sz w:val="22"/>
          <w:szCs w:val="22"/>
        </w:rPr>
        <w:t xml:space="preserve">. The National Men’s health policy and action plan in Ireland developed health promotion initiatives that were </w:t>
      </w:r>
      <w:r w:rsidR="00B64DBD" w:rsidRPr="004B0BC2">
        <w:rPr>
          <w:rFonts w:asciiTheme="minorHAnsi" w:hAnsiTheme="minorHAnsi" w:cstheme="minorHAnsi"/>
          <w:sz w:val="22"/>
          <w:szCs w:val="22"/>
        </w:rPr>
        <w:t xml:space="preserve">sex </w:t>
      </w:r>
      <w:r w:rsidR="00B519F8" w:rsidRPr="004B0BC2">
        <w:rPr>
          <w:rFonts w:asciiTheme="minorHAnsi" w:hAnsiTheme="minorHAnsi" w:cstheme="minorHAnsi"/>
          <w:sz w:val="22"/>
          <w:szCs w:val="22"/>
        </w:rPr>
        <w:t xml:space="preserve">specific and </w:t>
      </w:r>
      <w:r w:rsidR="003141A8" w:rsidRPr="004B0BC2">
        <w:rPr>
          <w:rFonts w:asciiTheme="minorHAnsi" w:hAnsiTheme="minorHAnsi" w:cstheme="minorHAnsi"/>
          <w:sz w:val="22"/>
          <w:szCs w:val="22"/>
        </w:rPr>
        <w:t>aimed</w:t>
      </w:r>
      <w:r w:rsidR="009C28D5" w:rsidRPr="004B0BC2">
        <w:rPr>
          <w:rFonts w:asciiTheme="minorHAnsi" w:hAnsiTheme="minorHAnsi" w:cstheme="minorHAnsi"/>
          <w:sz w:val="22"/>
          <w:szCs w:val="22"/>
        </w:rPr>
        <w:t xml:space="preserve"> </w:t>
      </w:r>
      <w:r w:rsidR="00976C8C">
        <w:rPr>
          <w:rFonts w:asciiTheme="minorHAnsi" w:hAnsiTheme="minorHAnsi" w:cstheme="minorHAnsi"/>
          <w:sz w:val="22"/>
          <w:szCs w:val="22"/>
        </w:rPr>
        <w:t>at</w:t>
      </w:r>
      <w:r w:rsidR="00976C8C" w:rsidRPr="004B0BC2">
        <w:rPr>
          <w:rFonts w:asciiTheme="minorHAnsi" w:hAnsiTheme="minorHAnsi" w:cstheme="minorHAnsi"/>
          <w:sz w:val="22"/>
          <w:szCs w:val="22"/>
        </w:rPr>
        <w:t xml:space="preserve"> </w:t>
      </w:r>
      <w:r w:rsidR="003141A8" w:rsidRPr="004B0BC2">
        <w:rPr>
          <w:rFonts w:asciiTheme="minorHAnsi" w:hAnsiTheme="minorHAnsi" w:cstheme="minorHAnsi"/>
          <w:sz w:val="22"/>
          <w:szCs w:val="22"/>
        </w:rPr>
        <w:t>optimi</w:t>
      </w:r>
      <w:r>
        <w:rPr>
          <w:rFonts w:asciiTheme="minorHAnsi" w:hAnsiTheme="minorHAnsi" w:cstheme="minorHAnsi"/>
          <w:sz w:val="22"/>
          <w:szCs w:val="22"/>
        </w:rPr>
        <w:t>z</w:t>
      </w:r>
      <w:r w:rsidR="00976C8C">
        <w:rPr>
          <w:rFonts w:asciiTheme="minorHAnsi" w:hAnsiTheme="minorHAnsi" w:cstheme="minorHAnsi"/>
          <w:sz w:val="22"/>
          <w:szCs w:val="22"/>
        </w:rPr>
        <w:t>ing</w:t>
      </w:r>
      <w:r w:rsidR="003141A8" w:rsidRPr="004B0BC2">
        <w:rPr>
          <w:rFonts w:asciiTheme="minorHAnsi" w:hAnsiTheme="minorHAnsi" w:cstheme="minorHAnsi"/>
          <w:sz w:val="22"/>
          <w:szCs w:val="22"/>
        </w:rPr>
        <w:t xml:space="preserve"> the delivery of health care services with a focus</w:t>
      </w:r>
      <w:r w:rsidR="009C28D5" w:rsidRPr="004B0BC2">
        <w:rPr>
          <w:rFonts w:asciiTheme="minorHAnsi" w:hAnsiTheme="minorHAnsi" w:cstheme="minorHAnsi"/>
          <w:sz w:val="22"/>
          <w:szCs w:val="22"/>
        </w:rPr>
        <w:t xml:space="preserve"> on increasing male </w:t>
      </w:r>
      <w:r>
        <w:rPr>
          <w:rFonts w:asciiTheme="minorHAnsi" w:hAnsiTheme="minorHAnsi" w:cstheme="minorHAnsi"/>
          <w:sz w:val="22"/>
          <w:szCs w:val="22"/>
        </w:rPr>
        <w:t>engagement</w:t>
      </w:r>
      <w:r w:rsidR="009C28D5" w:rsidRPr="004B0BC2">
        <w:rPr>
          <w:rFonts w:asciiTheme="minorHAnsi" w:hAnsiTheme="minorHAnsi" w:cstheme="minorHAnsi"/>
          <w:sz w:val="22"/>
          <w:szCs w:val="22"/>
        </w:rPr>
        <w:t>.</w:t>
      </w:r>
      <w:r w:rsidR="00C61FB9" w:rsidRPr="004B0BC2">
        <w:rPr>
          <w:rFonts w:asciiTheme="minorHAnsi" w:hAnsiTheme="minorHAnsi" w:cstheme="minorHAnsi"/>
          <w:sz w:val="22"/>
          <w:szCs w:val="22"/>
        </w:rPr>
        <w:t xml:space="preserve"> For example</w:t>
      </w:r>
      <w:r w:rsidR="000A732C" w:rsidRPr="004B0BC2">
        <w:rPr>
          <w:rFonts w:asciiTheme="minorHAnsi" w:hAnsiTheme="minorHAnsi" w:cstheme="minorHAnsi"/>
          <w:sz w:val="22"/>
          <w:szCs w:val="22"/>
        </w:rPr>
        <w:t>,</w:t>
      </w:r>
      <w:r w:rsidR="00C61FB9" w:rsidRPr="004B0BC2">
        <w:rPr>
          <w:rFonts w:asciiTheme="minorHAnsi" w:hAnsiTheme="minorHAnsi" w:cstheme="minorHAnsi"/>
          <w:sz w:val="22"/>
          <w:szCs w:val="22"/>
        </w:rPr>
        <w:t xml:space="preserve"> the ‘Farmers Have Hearts’ initiative offered free cardiovascular disease screening and risk factor counselling for men within </w:t>
      </w:r>
      <w:r w:rsidR="00D15635">
        <w:rPr>
          <w:rFonts w:asciiTheme="minorHAnsi" w:hAnsiTheme="minorHAnsi" w:cstheme="minorHAnsi"/>
          <w:sz w:val="22"/>
          <w:szCs w:val="22"/>
        </w:rPr>
        <w:t>the</w:t>
      </w:r>
      <w:r w:rsidR="00D15635" w:rsidRPr="004B0BC2">
        <w:rPr>
          <w:rFonts w:asciiTheme="minorHAnsi" w:hAnsiTheme="minorHAnsi" w:cstheme="minorHAnsi"/>
          <w:sz w:val="22"/>
          <w:szCs w:val="22"/>
        </w:rPr>
        <w:t xml:space="preserve"> </w:t>
      </w:r>
      <w:r w:rsidR="00E200BF" w:rsidRPr="004B0BC2">
        <w:rPr>
          <w:rFonts w:asciiTheme="minorHAnsi" w:hAnsiTheme="minorHAnsi" w:cstheme="minorHAnsi"/>
          <w:sz w:val="22"/>
          <w:szCs w:val="22"/>
        </w:rPr>
        <w:t>rural county</w:t>
      </w:r>
      <w:r w:rsidR="00D15635">
        <w:rPr>
          <w:rFonts w:asciiTheme="minorHAnsi" w:hAnsiTheme="minorHAnsi" w:cstheme="minorHAnsi"/>
          <w:sz w:val="22"/>
          <w:szCs w:val="22"/>
        </w:rPr>
        <w:t xml:space="preserve"> of Roscommon</w:t>
      </w:r>
      <w:r w:rsidR="00E200BF" w:rsidRPr="004B0BC2">
        <w:rPr>
          <w:rFonts w:asciiTheme="minorHAnsi" w:hAnsiTheme="minorHAnsi" w:cstheme="minorHAnsi"/>
          <w:sz w:val="22"/>
          <w:szCs w:val="22"/>
        </w:rPr>
        <w:t xml:space="preserve"> in Ireland</w:t>
      </w:r>
      <w:r w:rsidR="00D15635">
        <w:rPr>
          <w:rFonts w:asciiTheme="minorHAnsi" w:hAnsiTheme="minorHAnsi" w:cstheme="minorHAnsi"/>
          <w:sz w:val="22"/>
          <w:szCs w:val="22"/>
        </w:rPr>
        <w:t xml:space="preserve"> </w:t>
      </w:r>
      <w:r>
        <w:rPr>
          <w:rFonts w:asciiTheme="minorHAnsi" w:hAnsiTheme="minorHAnsi" w:cstheme="minorHAnsi"/>
          <w:sz w:val="22"/>
          <w:szCs w:val="22"/>
        </w:rPr>
        <w:t>and</w:t>
      </w:r>
      <w:r w:rsidR="00E200BF" w:rsidRPr="004B0BC2">
        <w:rPr>
          <w:rFonts w:asciiTheme="minorHAnsi" w:hAnsiTheme="minorHAnsi" w:cstheme="minorHAnsi"/>
          <w:sz w:val="22"/>
          <w:szCs w:val="22"/>
        </w:rPr>
        <w:t xml:space="preserve"> resulted in a reduction in the prevalence of </w:t>
      </w:r>
      <w:r w:rsidR="006E541D" w:rsidRPr="004B0BC2">
        <w:rPr>
          <w:rFonts w:asciiTheme="minorHAnsi" w:hAnsiTheme="minorHAnsi" w:cstheme="minorHAnsi"/>
          <w:sz w:val="22"/>
          <w:szCs w:val="22"/>
        </w:rPr>
        <w:t>h</w:t>
      </w:r>
      <w:r w:rsidR="00E200BF" w:rsidRPr="004B0BC2">
        <w:rPr>
          <w:rFonts w:asciiTheme="minorHAnsi" w:hAnsiTheme="minorHAnsi" w:cstheme="minorHAnsi"/>
          <w:sz w:val="22"/>
          <w:szCs w:val="22"/>
        </w:rPr>
        <w:t xml:space="preserve">ypertension (56% to 40%) and </w:t>
      </w:r>
      <w:r w:rsidR="00D965D9" w:rsidRPr="004B0BC2">
        <w:rPr>
          <w:rFonts w:asciiTheme="minorHAnsi" w:hAnsiTheme="minorHAnsi" w:cstheme="minorHAnsi"/>
          <w:sz w:val="22"/>
          <w:szCs w:val="22"/>
        </w:rPr>
        <w:t>high cholesterol (61% to 39%)</w:t>
      </w:r>
      <w:r w:rsidR="00C84914"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{"citationItems":[{"id":"ITEM-1","itemData":{"author":[{"dropping-particle":"","family":"Evans","given":"David S","non-dropping-particle":"","parse-names":false,"suffix":""},{"dropping-particle":"","family":"Walshe","given":"Kate","non-dropping-particle":"","parse-names":false,"suffix":""},{"dropping-particle":"","family":"Gillen","given":"Paul","non-dropping-particle":"","parse-names":false,"suffix":""}],"id":"ITEM-1","issued":{"date-parts":[["2009"]]},"number-of-pages":"1-38","title":"Farmers have heart project evaluation","type":"report"},"uris":["http://www.mendeley.com/documents/?uuid=8af4b5a6-5cec-47f9-bd81-3f7df1422091"]}],"mendeley":{"formattedCitation":"(158)","plainTextFormattedCitation":"(158)","previouslyFormattedCitation":"(158)"},"properties":{"noteIndex":0},"schema":"https://github.com/citation-style-language/schema/raw/master/csl-citation.json"}</w:instrText>
      </w:r>
      <w:r w:rsidR="00C84914"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(158)</w:t>
      </w:r>
      <w:r w:rsidR="00C84914" w:rsidRPr="004B0BC2">
        <w:rPr>
          <w:rFonts w:asciiTheme="minorHAnsi" w:hAnsiTheme="minorHAnsi" w:cstheme="minorHAnsi"/>
          <w:sz w:val="22"/>
          <w:szCs w:val="22"/>
        </w:rPr>
        <w:fldChar w:fldCharType="end"/>
      </w:r>
      <w:r w:rsidR="00976C8C">
        <w:rPr>
          <w:rFonts w:asciiTheme="minorHAnsi" w:hAnsiTheme="minorHAnsi" w:cstheme="minorHAnsi"/>
          <w:sz w:val="22"/>
          <w:szCs w:val="22"/>
        </w:rPr>
        <w:t xml:space="preserve"> </w:t>
      </w:r>
      <w:r w:rsidR="00D15635" w:rsidRPr="000242C7">
        <w:rPr>
          <w:rFonts w:asciiTheme="minorHAnsi" w:hAnsiTheme="minorHAnsi" w:cstheme="minorHAnsi"/>
          <w:color w:val="0000FF"/>
          <w:sz w:val="22"/>
          <w:szCs w:val="22"/>
        </w:rPr>
        <w:t xml:space="preserve">in the time period </w:t>
      </w:r>
      <w:r w:rsidR="00343CD7">
        <w:rPr>
          <w:rFonts w:asciiTheme="minorHAnsi" w:hAnsiTheme="minorHAnsi" w:cstheme="minorHAnsi"/>
          <w:color w:val="0000FF"/>
          <w:sz w:val="22"/>
          <w:szCs w:val="22"/>
        </w:rPr>
        <w:t>1</w:t>
      </w:r>
      <w:r w:rsidR="00343CD7" w:rsidRPr="000242C7">
        <w:rPr>
          <w:rFonts w:asciiTheme="minorHAnsi" w:hAnsiTheme="minorHAnsi" w:cstheme="minorHAnsi"/>
          <w:color w:val="0000FF"/>
          <w:sz w:val="22"/>
          <w:szCs w:val="22"/>
          <w:vertAlign w:val="superscript"/>
        </w:rPr>
        <w:t>st</w:t>
      </w:r>
      <w:r w:rsidR="00343CD7">
        <w:rPr>
          <w:rFonts w:asciiTheme="minorHAnsi" w:hAnsiTheme="minorHAnsi" w:cstheme="minorHAnsi"/>
          <w:color w:val="0000FF"/>
          <w:sz w:val="22"/>
          <w:szCs w:val="22"/>
        </w:rPr>
        <w:t xml:space="preserve"> January 2007 to 31</w:t>
      </w:r>
      <w:r w:rsidR="00343CD7" w:rsidRPr="000242C7">
        <w:rPr>
          <w:rFonts w:asciiTheme="minorHAnsi" w:hAnsiTheme="minorHAnsi" w:cstheme="minorHAnsi"/>
          <w:color w:val="0000FF"/>
          <w:sz w:val="22"/>
          <w:szCs w:val="22"/>
          <w:vertAlign w:val="superscript"/>
        </w:rPr>
        <w:t>st</w:t>
      </w:r>
      <w:r w:rsidR="00343CD7">
        <w:rPr>
          <w:rFonts w:asciiTheme="minorHAnsi" w:hAnsiTheme="minorHAnsi" w:cstheme="minorHAnsi"/>
          <w:color w:val="0000FF"/>
          <w:sz w:val="22"/>
          <w:szCs w:val="22"/>
        </w:rPr>
        <w:t xml:space="preserve"> December 2007</w:t>
      </w:r>
      <w:r w:rsidR="00976C8C">
        <w:rPr>
          <w:rFonts w:asciiTheme="minorHAnsi" w:hAnsiTheme="minorHAnsi" w:cstheme="minorHAnsi"/>
          <w:sz w:val="22"/>
          <w:szCs w:val="22"/>
        </w:rPr>
        <w:t xml:space="preserve"> </w:t>
      </w:r>
      <w:r w:rsidR="000E495A"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{"citationItems":[{"id":"ITEM-1","itemData":{"author":[{"dropping-particle":"","family":"Baker","given":"Peter","non-dropping-particle":"","parse-names":false,"suffix":""}],"id":"ITEM-1","issued":{"date-parts":[["2015"]]},"number-of-pages":"1-71","title":"Review of the national men's health policy and action plan 2008-2013 final report for the health service executive","type":"report"},"uris":["http://www.mendeley.com/documents/?uuid=1da8076b-3eee-3976-9f0e-16e9ec74c1f7"]}],"mendeley":{"formattedCitation":"(157)","plainTextFormattedCitation":"(157)","previouslyFormattedCitation":"(157)"},"properties":{"noteIndex":0},"schema":"https://github.com/citation-style-language/schema/raw/master/csl-citation.json"}</w:instrText>
      </w:r>
      <w:r w:rsidR="000E495A"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(157)</w:t>
      </w:r>
      <w:r w:rsidR="000E495A" w:rsidRPr="004B0BC2">
        <w:rPr>
          <w:rFonts w:asciiTheme="minorHAnsi" w:hAnsiTheme="minorHAnsi" w:cstheme="minorHAnsi"/>
          <w:sz w:val="22"/>
          <w:szCs w:val="22"/>
        </w:rPr>
        <w:fldChar w:fldCharType="end"/>
      </w:r>
      <w:r w:rsidR="00D965D9" w:rsidRPr="004B0BC2">
        <w:rPr>
          <w:rFonts w:asciiTheme="minorHAnsi" w:hAnsiTheme="minorHAnsi" w:cstheme="minorHAnsi"/>
          <w:sz w:val="22"/>
          <w:szCs w:val="22"/>
        </w:rPr>
        <w:t>.</w:t>
      </w:r>
      <w:r w:rsidR="00B9433C" w:rsidRPr="004B0BC2">
        <w:rPr>
          <w:rFonts w:asciiTheme="minorHAnsi" w:hAnsiTheme="minorHAnsi" w:cstheme="minorHAnsi"/>
          <w:sz w:val="22"/>
          <w:szCs w:val="22"/>
        </w:rPr>
        <w:t xml:space="preserve"> Moreover, </w:t>
      </w:r>
      <w:r>
        <w:rPr>
          <w:rFonts w:asciiTheme="minorHAnsi" w:hAnsiTheme="minorHAnsi" w:cstheme="minorHAnsi"/>
          <w:sz w:val="22"/>
          <w:szCs w:val="22"/>
        </w:rPr>
        <w:t>this programme also</w:t>
      </w:r>
      <w:r w:rsidR="00B9433C" w:rsidRPr="004B0BC2">
        <w:rPr>
          <w:rFonts w:asciiTheme="minorHAnsi" w:hAnsiTheme="minorHAnsi" w:cstheme="minorHAnsi"/>
          <w:sz w:val="22"/>
          <w:szCs w:val="22"/>
        </w:rPr>
        <w:t xml:space="preserve"> </w:t>
      </w:r>
      <w:r>
        <w:rPr>
          <w:rFonts w:asciiTheme="minorHAnsi" w:hAnsiTheme="minorHAnsi" w:cstheme="minorHAnsi"/>
          <w:sz w:val="22"/>
          <w:szCs w:val="22"/>
        </w:rPr>
        <w:t xml:space="preserve">included  an </w:t>
      </w:r>
      <w:r w:rsidR="00B9433C" w:rsidRPr="004B0BC2">
        <w:rPr>
          <w:rFonts w:asciiTheme="minorHAnsi" w:hAnsiTheme="minorHAnsi" w:cstheme="minorHAnsi"/>
          <w:sz w:val="22"/>
          <w:szCs w:val="22"/>
        </w:rPr>
        <w:t>impetus to produce male</w:t>
      </w:r>
      <w:r>
        <w:rPr>
          <w:rFonts w:asciiTheme="minorHAnsi" w:hAnsiTheme="minorHAnsi" w:cstheme="minorHAnsi"/>
          <w:sz w:val="22"/>
          <w:szCs w:val="22"/>
        </w:rPr>
        <w:t>-</w:t>
      </w:r>
      <w:r w:rsidR="00B9433C" w:rsidRPr="004B0BC2">
        <w:rPr>
          <w:rFonts w:asciiTheme="minorHAnsi" w:hAnsiTheme="minorHAnsi" w:cstheme="minorHAnsi"/>
          <w:sz w:val="22"/>
          <w:szCs w:val="22"/>
        </w:rPr>
        <w:t>specific health literature and paraphernalia (</w:t>
      </w:r>
      <w:r>
        <w:rPr>
          <w:rFonts w:asciiTheme="minorHAnsi" w:hAnsiTheme="minorHAnsi" w:cstheme="minorHAnsi"/>
          <w:sz w:val="22"/>
          <w:szCs w:val="22"/>
        </w:rPr>
        <w:t>for example,</w:t>
      </w:r>
      <w:r w:rsidR="00B9433C" w:rsidRPr="004B0BC2">
        <w:rPr>
          <w:rFonts w:asciiTheme="minorHAnsi" w:hAnsiTheme="minorHAnsi" w:cstheme="minorHAnsi"/>
          <w:sz w:val="22"/>
          <w:szCs w:val="22"/>
        </w:rPr>
        <w:t xml:space="preserve"> </w:t>
      </w:r>
      <w:r w:rsidR="00C84914" w:rsidRPr="004B0BC2">
        <w:rPr>
          <w:rFonts w:asciiTheme="minorHAnsi" w:hAnsiTheme="minorHAnsi" w:cstheme="minorHAnsi"/>
          <w:sz w:val="22"/>
          <w:szCs w:val="22"/>
        </w:rPr>
        <w:t>‘</w:t>
      </w:r>
      <w:r w:rsidR="00B9433C" w:rsidRPr="004B0BC2">
        <w:rPr>
          <w:rFonts w:asciiTheme="minorHAnsi" w:hAnsiTheme="minorHAnsi" w:cstheme="minorHAnsi"/>
          <w:sz w:val="22"/>
          <w:szCs w:val="22"/>
        </w:rPr>
        <w:t>Men’s Health Matters: A Practical Guide to Healthcare for Men [2011]</w:t>
      </w:r>
      <w:r w:rsidR="0076746B" w:rsidRPr="004B0BC2">
        <w:rPr>
          <w:rFonts w:asciiTheme="minorHAnsi" w:hAnsiTheme="minorHAnsi" w:cstheme="minorHAnsi"/>
          <w:sz w:val="22"/>
          <w:szCs w:val="22"/>
        </w:rPr>
        <w:t>’</w:t>
      </w:r>
      <w:r w:rsidR="00B9433C" w:rsidRPr="004B0BC2">
        <w:rPr>
          <w:rFonts w:asciiTheme="minorHAnsi" w:hAnsiTheme="minorHAnsi" w:cstheme="minorHAnsi"/>
          <w:sz w:val="22"/>
          <w:szCs w:val="22"/>
        </w:rPr>
        <w:t>) that aimed to educate and address male health issues</w:t>
      </w:r>
      <w:r w:rsidR="00C84914"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{"citationItems":[{"id":"ITEM-1","itemData":{"author":[{"dropping-particle":"","family":"Baker","given":"Peter","non-dropping-particle":"","parse-names":false,"suffix":""}],"id":"ITEM-1","issued":{"date-parts":[["2015"]]},"number-of-pages":"1-71","title":"Review of the national men's health policy and action plan 2008-2013 final report for the health service executive","type":"report"},"uris":["http://www.mendeley.com/documents/?uuid=1da8076b-3eee-3976-9f0e-16e9ec74c1f7"]}],"mendeley":{"formattedCitation":"(157)","plainTextFormattedCitation":"(157)","previouslyFormattedCitation":"(157)"},"properties":{"noteIndex":0},"schema":"https://github.com/citation-style-language/schema/raw/master/csl-citation.json"}</w:instrText>
      </w:r>
      <w:r w:rsidR="00C84914"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(157)</w:t>
      </w:r>
      <w:r w:rsidR="00C84914" w:rsidRPr="004B0BC2">
        <w:rPr>
          <w:rFonts w:asciiTheme="minorHAnsi" w:hAnsiTheme="minorHAnsi" w:cstheme="minorHAnsi"/>
          <w:sz w:val="22"/>
          <w:szCs w:val="22"/>
        </w:rPr>
        <w:fldChar w:fldCharType="end"/>
      </w:r>
      <w:r w:rsidR="00B9433C" w:rsidRPr="004B0BC2">
        <w:rPr>
          <w:rFonts w:asciiTheme="minorHAnsi" w:hAnsiTheme="minorHAnsi" w:cstheme="minorHAnsi"/>
          <w:sz w:val="22"/>
          <w:szCs w:val="22"/>
        </w:rPr>
        <w:t>.</w:t>
      </w:r>
      <w:r w:rsidR="008F45A5" w:rsidRPr="004B0BC2">
        <w:rPr>
          <w:rFonts w:asciiTheme="minorHAnsi" w:hAnsiTheme="minorHAnsi" w:cstheme="minorHAnsi"/>
          <w:sz w:val="22"/>
          <w:szCs w:val="22"/>
        </w:rPr>
        <w:t xml:space="preserve"> The National Centre for Men’s </w:t>
      </w:r>
      <w:r>
        <w:rPr>
          <w:rFonts w:asciiTheme="minorHAnsi" w:hAnsiTheme="minorHAnsi" w:cstheme="minorHAnsi"/>
          <w:sz w:val="22"/>
          <w:szCs w:val="22"/>
        </w:rPr>
        <w:t>H</w:t>
      </w:r>
      <w:r w:rsidR="008F45A5" w:rsidRPr="004B0BC2">
        <w:rPr>
          <w:rFonts w:asciiTheme="minorHAnsi" w:hAnsiTheme="minorHAnsi" w:cstheme="minorHAnsi"/>
          <w:sz w:val="22"/>
          <w:szCs w:val="22"/>
        </w:rPr>
        <w:t xml:space="preserve">ealth was created in 2008 to develop and coordinate </w:t>
      </w:r>
      <w:r>
        <w:rPr>
          <w:rFonts w:asciiTheme="minorHAnsi" w:hAnsiTheme="minorHAnsi" w:cstheme="minorHAnsi"/>
          <w:sz w:val="22"/>
          <w:szCs w:val="22"/>
        </w:rPr>
        <w:t>m</w:t>
      </w:r>
      <w:r w:rsidR="008F45A5" w:rsidRPr="004B0BC2">
        <w:rPr>
          <w:rFonts w:asciiTheme="minorHAnsi" w:hAnsiTheme="minorHAnsi" w:cstheme="minorHAnsi"/>
          <w:sz w:val="22"/>
          <w:szCs w:val="22"/>
        </w:rPr>
        <w:t>en’s health research in Ireland</w:t>
      </w:r>
      <w:r w:rsidR="00671FB1" w:rsidRPr="00671FB1">
        <w:rPr>
          <w:rFonts w:asciiTheme="minorHAnsi" w:hAnsiTheme="minorHAnsi" w:cstheme="minorHAnsi"/>
          <w:sz w:val="22"/>
          <w:szCs w:val="22"/>
        </w:rPr>
        <w:t xml:space="preserve"> </w:t>
      </w:r>
      <w:r w:rsidR="00671FB1">
        <w:rPr>
          <w:rFonts w:asciiTheme="minorHAnsi" w:hAnsiTheme="minorHAnsi" w:cstheme="minorHAnsi"/>
          <w:sz w:val="22"/>
          <w:szCs w:val="22"/>
        </w:rPr>
        <w:t>and</w:t>
      </w:r>
      <w:r w:rsidR="00671FB1" w:rsidRPr="004B0BC2">
        <w:rPr>
          <w:rFonts w:asciiTheme="minorHAnsi" w:hAnsiTheme="minorHAnsi" w:cstheme="minorHAnsi"/>
          <w:sz w:val="22"/>
          <w:szCs w:val="22"/>
        </w:rPr>
        <w:t xml:space="preserve"> a men’s health training programme was established to optimise engagement of men in both health</w:t>
      </w:r>
      <w:r w:rsidR="00671FB1">
        <w:rPr>
          <w:rFonts w:asciiTheme="minorHAnsi" w:hAnsiTheme="minorHAnsi" w:cstheme="minorHAnsi"/>
          <w:sz w:val="22"/>
          <w:szCs w:val="22"/>
        </w:rPr>
        <w:t>-</w:t>
      </w:r>
      <w:r w:rsidR="00671FB1" w:rsidRPr="004B0BC2">
        <w:rPr>
          <w:rFonts w:asciiTheme="minorHAnsi" w:hAnsiTheme="minorHAnsi" w:cstheme="minorHAnsi"/>
          <w:sz w:val="22"/>
          <w:szCs w:val="22"/>
        </w:rPr>
        <w:t>care and social services</w:t>
      </w:r>
      <w:r w:rsidR="00C84914"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{"citationItems":[{"id":"ITEM-1","itemData":{"abstract":"Approaching the end of the 5-year timeframe of Ireland’s national men’s health policy (NMHP) repre-sents a timely opportunity to reflect on the key successes and challenges associated with transitioningfrom policy development to implementation. The success of the NMHP can be attributed to stronggovernance and accountability measures, the exponential rise in men’s heallth research and evaluationreports, the implementation of a comprehensive national men’s health training programme, the de-velopment of a range of men’s health information resources, the emergence of some promising work-place-based men’s health promotion initiatives, the expansion of community-based men’s healthinitiatives and the copperfastening of the Men’s Health Forum in Ireland’s position as the leading men’shealth advocacy organisation and co-ordinating body for Men’s Health Week. The key challenges in-clude translating cross-departmental and inter-sectoral recommendations into sustainable actions,limited funding opportunities, the ambitious scope and breadth of policy recommendations and ac-tions; and ongoing issues with regard to managing expectation and maintaining momentum. Cru-cially, Ireland’s NMHP has provided a vision and a framework for action that has enabled men’s healthto gain traction and to develop momentum that would otherwise not have been possible.","author":[{"dropping-particle":"","family":"Richardson","given":"Noel","non-dropping-particle":"","parse-names":false,"suffix":""}],"container-title":"NEW MALE STUDIES: AN INTERNATIONAL JOURNAL","id":"ITEM-1","issue":"3","issued":{"date-parts":[["2013"]]},"page":"93-103","title":"Building Momentum, Gaining Traction: Ireland’s National Men's Health Policy- 5 years on","type":"article-journal","volume":"2"},"uris":["http://www.mendeley.com/documents/?uuid=6c68d028-2e24-484d-be51-453d96c5a192"]}],"mendeley":{"formattedCitation":"(159)","plainTextFormattedCitation":"(159)","previouslyFormattedCitation":"(159)"},"properties":{"noteIndex":0},"schema":"https://github.com/citation-style-language/schema/raw/master/csl-citation.json"}</w:instrText>
      </w:r>
      <w:r w:rsidR="00C84914"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(159)</w:t>
      </w:r>
      <w:r w:rsidR="00C84914" w:rsidRPr="004B0BC2">
        <w:rPr>
          <w:rFonts w:asciiTheme="minorHAnsi" w:hAnsiTheme="minorHAnsi" w:cstheme="minorHAnsi"/>
          <w:sz w:val="22"/>
          <w:szCs w:val="22"/>
        </w:rPr>
        <w:fldChar w:fldCharType="end"/>
      </w:r>
      <w:r w:rsidR="00671FB1">
        <w:rPr>
          <w:rFonts w:asciiTheme="minorHAnsi" w:hAnsiTheme="minorHAnsi" w:cstheme="minorHAnsi"/>
          <w:sz w:val="22"/>
          <w:szCs w:val="22"/>
        </w:rPr>
        <w:t>. This programme</w:t>
      </w:r>
      <w:r w:rsidR="008F45A5" w:rsidRPr="004B0BC2">
        <w:rPr>
          <w:rFonts w:asciiTheme="minorHAnsi" w:hAnsiTheme="minorHAnsi" w:cstheme="minorHAnsi"/>
          <w:sz w:val="22"/>
          <w:szCs w:val="22"/>
        </w:rPr>
        <w:t xml:space="preserve"> has </w:t>
      </w:r>
      <w:r>
        <w:rPr>
          <w:rFonts w:asciiTheme="minorHAnsi" w:hAnsiTheme="minorHAnsi" w:cstheme="minorHAnsi"/>
          <w:sz w:val="22"/>
          <w:szCs w:val="22"/>
        </w:rPr>
        <w:t xml:space="preserve">prompted </w:t>
      </w:r>
      <w:r w:rsidR="008F45A5" w:rsidRPr="004B0BC2">
        <w:rPr>
          <w:rFonts w:asciiTheme="minorHAnsi" w:hAnsiTheme="minorHAnsi" w:cstheme="minorHAnsi"/>
          <w:sz w:val="22"/>
          <w:szCs w:val="22"/>
        </w:rPr>
        <w:t xml:space="preserve">research </w:t>
      </w:r>
      <w:r w:rsidR="004466DA" w:rsidRPr="004B0BC2">
        <w:rPr>
          <w:rFonts w:asciiTheme="minorHAnsi" w:hAnsiTheme="minorHAnsi" w:cstheme="minorHAnsi"/>
          <w:sz w:val="22"/>
          <w:szCs w:val="22"/>
        </w:rPr>
        <w:t>in</w:t>
      </w:r>
      <w:r>
        <w:rPr>
          <w:rFonts w:asciiTheme="minorHAnsi" w:hAnsiTheme="minorHAnsi" w:cstheme="minorHAnsi"/>
          <w:sz w:val="22"/>
          <w:szCs w:val="22"/>
        </w:rPr>
        <w:t>to</w:t>
      </w:r>
      <w:r w:rsidR="004466DA" w:rsidRPr="004B0BC2">
        <w:rPr>
          <w:rFonts w:asciiTheme="minorHAnsi" w:hAnsiTheme="minorHAnsi" w:cstheme="minorHAnsi"/>
          <w:sz w:val="22"/>
          <w:szCs w:val="22"/>
        </w:rPr>
        <w:t xml:space="preserve"> several aspects</w:t>
      </w:r>
      <w:r w:rsidR="008F45A5" w:rsidRPr="004B0BC2">
        <w:rPr>
          <w:rFonts w:asciiTheme="minorHAnsi" w:hAnsiTheme="minorHAnsi" w:cstheme="minorHAnsi"/>
          <w:sz w:val="22"/>
          <w:szCs w:val="22"/>
        </w:rPr>
        <w:t xml:space="preserve"> </w:t>
      </w:r>
      <w:r w:rsidR="004466DA" w:rsidRPr="004B0BC2">
        <w:rPr>
          <w:rFonts w:asciiTheme="minorHAnsi" w:hAnsiTheme="minorHAnsi" w:cstheme="minorHAnsi"/>
          <w:sz w:val="22"/>
          <w:szCs w:val="22"/>
        </w:rPr>
        <w:t>of</w:t>
      </w:r>
      <w:r w:rsidR="008F45A5" w:rsidRPr="004B0BC2">
        <w:rPr>
          <w:rFonts w:asciiTheme="minorHAnsi" w:hAnsiTheme="minorHAnsi" w:cstheme="minorHAnsi"/>
          <w:sz w:val="22"/>
          <w:szCs w:val="22"/>
        </w:rPr>
        <w:t xml:space="preserve"> men’s health</w:t>
      </w:r>
      <w:r>
        <w:rPr>
          <w:rFonts w:asciiTheme="minorHAnsi" w:hAnsiTheme="minorHAnsi" w:cstheme="minorHAnsi"/>
          <w:sz w:val="22"/>
          <w:szCs w:val="22"/>
        </w:rPr>
        <w:t>,</w:t>
      </w:r>
      <w:r w:rsidR="008F45A5" w:rsidRPr="004B0BC2">
        <w:rPr>
          <w:rFonts w:asciiTheme="minorHAnsi" w:hAnsiTheme="minorHAnsi" w:cstheme="minorHAnsi"/>
          <w:sz w:val="22"/>
          <w:szCs w:val="22"/>
        </w:rPr>
        <w:t xml:space="preserve"> including </w:t>
      </w:r>
      <w:r>
        <w:rPr>
          <w:rFonts w:asciiTheme="minorHAnsi" w:hAnsiTheme="minorHAnsi" w:cstheme="minorHAnsi"/>
          <w:sz w:val="22"/>
          <w:szCs w:val="22"/>
        </w:rPr>
        <w:t xml:space="preserve">male </w:t>
      </w:r>
      <w:r w:rsidR="008F45A5" w:rsidRPr="004B0BC2">
        <w:rPr>
          <w:rFonts w:asciiTheme="minorHAnsi" w:hAnsiTheme="minorHAnsi" w:cstheme="minorHAnsi"/>
          <w:sz w:val="22"/>
          <w:szCs w:val="22"/>
        </w:rPr>
        <w:t>cancer</w:t>
      </w:r>
      <w:r>
        <w:rPr>
          <w:rFonts w:asciiTheme="minorHAnsi" w:hAnsiTheme="minorHAnsi" w:cstheme="minorHAnsi"/>
          <w:sz w:val="22"/>
          <w:szCs w:val="22"/>
        </w:rPr>
        <w:t>s</w:t>
      </w:r>
      <w:r w:rsidR="00C24401"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Clarke","given":"Nicholas","non-dropping-particle":"","parse-names":false,"suffix":""},{"dropping-particle":"","family":"Sharp","given":"Linda","non-dropping-particle":"","parse-names":false,"suffix":""},{"dropping-particle":"","family":"O'Leary","given":"Eamonn","non-dropping-particle":"","parse-names":false,"suffix":""},{"dropping-particle":"","family":"Richardson","given":"Noel","non-dropping-particle":"","parse-names":false,"suffix":""}],"id":"ITEM-1","issued":{"date-parts":[["2013"]]},"number-of-pages":"1-86","title":"A report on the excess burden of cancer among men in the republic of Ireland","type":"report"},"uris":["http://www.mendeley.com/documents/?uuid=46c92216-d162-496c-b58f-3fd69aeb922c"]}],"mendeley":{"formattedCitation":"(160)","plainTextFormattedCitation":"(160)","previouslyFormattedCitation":"(160)"},"properties":{"noteIndex":0},"schema":"https://github.com/citation-style-language/schema/raw/master/csl-citation.json"}</w:instrText>
      </w:r>
      <w:r w:rsidR="00C24401"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(160)</w:t>
      </w:r>
      <w:r w:rsidR="00C24401" w:rsidRPr="004B0BC2">
        <w:rPr>
          <w:rFonts w:asciiTheme="minorHAnsi" w:hAnsiTheme="minorHAnsi" w:cstheme="minorHAnsi"/>
          <w:sz w:val="22"/>
          <w:szCs w:val="22"/>
        </w:rPr>
        <w:fldChar w:fldCharType="end"/>
      </w:r>
      <w:r w:rsidR="008F45A5" w:rsidRPr="004B0BC2">
        <w:rPr>
          <w:rFonts w:asciiTheme="minorHAnsi" w:hAnsiTheme="minorHAnsi" w:cstheme="minorHAnsi"/>
          <w:sz w:val="22"/>
          <w:szCs w:val="22"/>
        </w:rPr>
        <w:t xml:space="preserve"> and </w:t>
      </w:r>
      <w:r w:rsidR="004466DA" w:rsidRPr="004B0BC2">
        <w:rPr>
          <w:rFonts w:asciiTheme="minorHAnsi" w:hAnsiTheme="minorHAnsi" w:cstheme="minorHAnsi"/>
          <w:sz w:val="22"/>
          <w:szCs w:val="22"/>
        </w:rPr>
        <w:t>male depression and suicide</w:t>
      </w:r>
      <w:r w:rsidR="00C24401"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author":[{"dropping-particle":"","family":"Richardson","given":"Noel","non-dropping-particle":"","parse-names":false,"suffix":""},{"dropping-particle":"","family":"Clarke","given":"Nicholas","non-dropping-particle":"","parse-names":false,"suffix":""},{"dropping-particle":"","family":"Fowler","given":"Colin","non-dropping-particle":"","parse-names":false,"suffix":""}],"id":"ITEM-1","issued":{"date-parts":[["2013"]]},"title":"Men's health in Ireland An Executive Summary Report on the All-Ireland Young Men and Suicide Project","type":"article-journal"},"uris":["http://www.mendeley.com/documents/?uuid=d3e7d47f-519f-4826-8eaa-fad9668e78c7"]}],"mendeley":{"formattedCitation":"(161)","plainTextFormattedCitation":"(161)","previouslyFormattedCitation":"(161)"},"properties":{"noteIndex":0},"schema":"https://github.com/citation-style-language/schema/raw/master/csl-citation.json"}</w:instrText>
      </w:r>
      <w:r w:rsidR="00C24401"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(161)</w:t>
      </w:r>
      <w:r w:rsidR="00C24401" w:rsidRPr="004B0BC2">
        <w:rPr>
          <w:rFonts w:asciiTheme="minorHAnsi" w:hAnsiTheme="minorHAnsi" w:cstheme="minorHAnsi"/>
          <w:sz w:val="22"/>
          <w:szCs w:val="22"/>
        </w:rPr>
        <w:fldChar w:fldCharType="end"/>
      </w:r>
      <w:r w:rsidR="004466DA" w:rsidRPr="004B0BC2">
        <w:rPr>
          <w:rFonts w:asciiTheme="minorHAnsi" w:hAnsiTheme="minorHAnsi" w:cstheme="minorHAnsi"/>
          <w:sz w:val="22"/>
          <w:szCs w:val="22"/>
        </w:rPr>
        <w:t>.</w:t>
      </w:r>
      <w:r w:rsidR="003C11E1">
        <w:rPr>
          <w:rFonts w:asciiTheme="minorHAnsi" w:hAnsiTheme="minorHAnsi" w:cstheme="minorHAnsi"/>
          <w:sz w:val="22"/>
          <w:szCs w:val="22"/>
        </w:rPr>
        <w:t xml:space="preserve"> </w:t>
      </w:r>
      <w:r w:rsidR="00671FB1">
        <w:rPr>
          <w:rFonts w:asciiTheme="minorHAnsi" w:hAnsiTheme="minorHAnsi" w:cstheme="minorHAnsi"/>
          <w:sz w:val="22"/>
          <w:szCs w:val="22"/>
        </w:rPr>
        <w:t>Notably,</w:t>
      </w:r>
      <w:r w:rsidR="00B9433C" w:rsidRPr="004B0BC2">
        <w:rPr>
          <w:rFonts w:asciiTheme="minorHAnsi" w:hAnsiTheme="minorHAnsi" w:cstheme="minorHAnsi"/>
          <w:sz w:val="22"/>
          <w:szCs w:val="22"/>
        </w:rPr>
        <w:t xml:space="preserve"> male life expectancy in Ireland has risen </w:t>
      </w:r>
      <w:r w:rsidR="00671FB1">
        <w:rPr>
          <w:rFonts w:asciiTheme="minorHAnsi" w:hAnsiTheme="minorHAnsi" w:cstheme="minorHAnsi"/>
          <w:sz w:val="22"/>
          <w:szCs w:val="22"/>
        </w:rPr>
        <w:t xml:space="preserve">a remarkable </w:t>
      </w:r>
      <w:r w:rsidR="00B9433C" w:rsidRPr="004B0BC2">
        <w:rPr>
          <w:rFonts w:asciiTheme="minorHAnsi" w:hAnsiTheme="minorHAnsi" w:cstheme="minorHAnsi"/>
          <w:sz w:val="22"/>
          <w:szCs w:val="22"/>
        </w:rPr>
        <w:t xml:space="preserve">6.4 years </w:t>
      </w:r>
      <w:r w:rsidR="00671FB1">
        <w:rPr>
          <w:rFonts w:asciiTheme="minorHAnsi" w:hAnsiTheme="minorHAnsi" w:cstheme="minorHAnsi"/>
          <w:sz w:val="22"/>
          <w:szCs w:val="22"/>
        </w:rPr>
        <w:t>over the past</w:t>
      </w:r>
      <w:r w:rsidR="00671FB1" w:rsidRPr="004B0BC2">
        <w:rPr>
          <w:rFonts w:asciiTheme="minorHAnsi" w:hAnsiTheme="minorHAnsi" w:cstheme="minorHAnsi"/>
          <w:sz w:val="22"/>
          <w:szCs w:val="22"/>
        </w:rPr>
        <w:t xml:space="preserve"> </w:t>
      </w:r>
      <w:r w:rsidR="00B9433C" w:rsidRPr="004B0BC2">
        <w:rPr>
          <w:rFonts w:asciiTheme="minorHAnsi" w:hAnsiTheme="minorHAnsi" w:cstheme="minorHAnsi"/>
          <w:sz w:val="22"/>
          <w:szCs w:val="22"/>
        </w:rPr>
        <w:t>21 years</w:t>
      </w:r>
      <w:r w:rsidR="00310BEC"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{"citationItems":[{"id":"ITEM-1","itemData":{"author":[{"dropping-particle":"","family":"Baker","given":"Peter","non-dropping-particle":"","parse-names":false,"suffix":""}],"id":"ITEM-1","issued":{"date-parts":[["2015"]]},"number-of-pages":"1-71","title":"Review of the national men's health policy and action plan 2008-2013 final report for the health service executive","type":"report"},"uris":["http://www.mendeley.com/documents/?uuid=1da8076b-3eee-3976-9f0e-16e9ec74c1f7"]}],"mendeley":{"formattedCitation":"(157)","plainTextFormattedCitation":"(157)","previouslyFormattedCitation":"(157)"},"properties":{"noteIndex":0},"schema":"https://github.com/citation-style-language/schema/raw/master/csl-citation.json"}</w:instrText>
      </w:r>
      <w:r w:rsidR="00310BEC"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(157)</w:t>
      </w:r>
      <w:r w:rsidR="00310BEC" w:rsidRPr="004B0BC2">
        <w:rPr>
          <w:rFonts w:asciiTheme="minorHAnsi" w:hAnsiTheme="minorHAnsi" w:cstheme="minorHAnsi"/>
          <w:sz w:val="22"/>
          <w:szCs w:val="22"/>
        </w:rPr>
        <w:fldChar w:fldCharType="end"/>
      </w:r>
      <w:r w:rsidR="00671FB1">
        <w:rPr>
          <w:rFonts w:asciiTheme="minorHAnsi" w:hAnsiTheme="minorHAnsi" w:cstheme="minorHAnsi"/>
          <w:sz w:val="22"/>
          <w:szCs w:val="22"/>
        </w:rPr>
        <w:t>, illustrating how</w:t>
      </w:r>
      <w:r w:rsidR="004466DA" w:rsidRPr="004B0BC2">
        <w:rPr>
          <w:rFonts w:asciiTheme="minorHAnsi" w:hAnsiTheme="minorHAnsi" w:cstheme="minorHAnsi"/>
          <w:sz w:val="22"/>
          <w:szCs w:val="22"/>
        </w:rPr>
        <w:t xml:space="preserve"> a </w:t>
      </w:r>
      <w:r w:rsidR="007118AF" w:rsidRPr="004B0BC2">
        <w:rPr>
          <w:rFonts w:asciiTheme="minorHAnsi" w:hAnsiTheme="minorHAnsi" w:cstheme="minorHAnsi"/>
          <w:sz w:val="22"/>
          <w:szCs w:val="22"/>
        </w:rPr>
        <w:t>men’s health</w:t>
      </w:r>
      <w:r w:rsidR="00671FB1">
        <w:rPr>
          <w:rFonts w:asciiTheme="minorHAnsi" w:hAnsiTheme="minorHAnsi" w:cstheme="minorHAnsi"/>
          <w:sz w:val="22"/>
          <w:szCs w:val="22"/>
        </w:rPr>
        <w:t>-</w:t>
      </w:r>
      <w:r w:rsidR="007118AF" w:rsidRPr="004B0BC2">
        <w:rPr>
          <w:rFonts w:asciiTheme="minorHAnsi" w:hAnsiTheme="minorHAnsi" w:cstheme="minorHAnsi"/>
          <w:sz w:val="22"/>
          <w:szCs w:val="22"/>
        </w:rPr>
        <w:t>care programme</w:t>
      </w:r>
      <w:r w:rsidR="004466DA" w:rsidRPr="004B0BC2">
        <w:rPr>
          <w:rFonts w:asciiTheme="minorHAnsi" w:hAnsiTheme="minorHAnsi" w:cstheme="minorHAnsi"/>
          <w:sz w:val="22"/>
          <w:szCs w:val="22"/>
        </w:rPr>
        <w:t xml:space="preserve"> </w:t>
      </w:r>
      <w:r w:rsidR="00671FB1">
        <w:rPr>
          <w:rFonts w:asciiTheme="minorHAnsi" w:hAnsiTheme="minorHAnsi" w:cstheme="minorHAnsi"/>
          <w:sz w:val="22"/>
          <w:szCs w:val="22"/>
        </w:rPr>
        <w:t>can be</w:t>
      </w:r>
      <w:r w:rsidR="004466DA" w:rsidRPr="004B0BC2">
        <w:rPr>
          <w:rFonts w:asciiTheme="minorHAnsi" w:hAnsiTheme="minorHAnsi" w:cstheme="minorHAnsi"/>
          <w:sz w:val="22"/>
          <w:szCs w:val="22"/>
        </w:rPr>
        <w:t xml:space="preserve"> a tangible method to improve the longstanding issue of premature death</w:t>
      </w:r>
      <w:r w:rsidR="00671FB1">
        <w:rPr>
          <w:rFonts w:asciiTheme="minorHAnsi" w:hAnsiTheme="minorHAnsi" w:cstheme="minorHAnsi"/>
          <w:sz w:val="22"/>
          <w:szCs w:val="22"/>
        </w:rPr>
        <w:t xml:space="preserve"> in men</w:t>
      </w:r>
      <w:r w:rsidR="007118AF" w:rsidRPr="004B0BC2">
        <w:rPr>
          <w:rFonts w:asciiTheme="minorHAnsi" w:hAnsiTheme="minorHAnsi" w:cstheme="minorHAnsi"/>
          <w:sz w:val="22"/>
          <w:szCs w:val="22"/>
        </w:rPr>
        <w:t>.</w:t>
      </w:r>
    </w:p>
    <w:p w14:paraId="43D9DAB7" w14:textId="146711CA" w:rsidR="00BA2925" w:rsidRPr="004B0BC2" w:rsidRDefault="00BA2925" w:rsidP="00B66369">
      <w:pPr>
        <w:spacing w:line="480" w:lineRule="auto"/>
        <w:rPr>
          <w:rFonts w:asciiTheme="minorHAnsi" w:hAnsiTheme="minorHAnsi" w:cstheme="minorHAnsi"/>
          <w:sz w:val="22"/>
          <w:szCs w:val="22"/>
        </w:rPr>
      </w:pPr>
      <w:r w:rsidRPr="00671FB1">
        <w:rPr>
          <w:rFonts w:asciiTheme="minorHAnsi" w:hAnsiTheme="minorHAnsi" w:cstheme="minorHAnsi"/>
          <w:color w:val="000000"/>
          <w:sz w:val="22"/>
          <w:szCs w:val="22"/>
        </w:rPr>
        <w:t>Project Brotherhood is a community</w:t>
      </w:r>
      <w:r w:rsidR="00671FB1">
        <w:rPr>
          <w:rFonts w:asciiTheme="minorHAnsi" w:hAnsiTheme="minorHAnsi" w:cstheme="minorHAnsi"/>
          <w:color w:val="000000"/>
          <w:sz w:val="22"/>
          <w:szCs w:val="22"/>
        </w:rPr>
        <w:t>–</w:t>
      </w:r>
      <w:r w:rsidRPr="00671FB1">
        <w:rPr>
          <w:rFonts w:asciiTheme="minorHAnsi" w:hAnsiTheme="minorHAnsi" w:cstheme="minorHAnsi"/>
          <w:color w:val="000000"/>
          <w:sz w:val="22"/>
          <w:szCs w:val="22"/>
        </w:rPr>
        <w:t>academic partnership in Chicago that was developed to address the health and psychosocial needs of African</w:t>
      </w:r>
      <w:r w:rsidR="00671FB1">
        <w:rPr>
          <w:rFonts w:asciiTheme="minorHAnsi" w:hAnsiTheme="minorHAnsi" w:cstheme="minorHAnsi"/>
          <w:color w:val="000000"/>
          <w:sz w:val="22"/>
          <w:szCs w:val="22"/>
        </w:rPr>
        <w:t xml:space="preserve"> </w:t>
      </w:r>
      <w:r w:rsidRPr="00671FB1">
        <w:rPr>
          <w:rFonts w:asciiTheme="minorHAnsi" w:hAnsiTheme="minorHAnsi" w:cstheme="minorHAnsi"/>
          <w:color w:val="000000"/>
          <w:sz w:val="22"/>
          <w:szCs w:val="22"/>
        </w:rPr>
        <w:t>American men</w:t>
      </w:r>
      <w:r w:rsidRPr="00671FB1">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{"citationItems":[{"id":"ITEM-1","itemData":{"DOI":"10.1353/cpr.2019.0047","ISSN":"1557055X","PMID":"31378744","abstract":"Background: Community–academic partnerships play a vital role in ensuring the engagement of African American (AA) men in research. Project Brotherhood (PB) is a community organization that has played an integral role in advancing prostate cancer (PCa) research within two pilot projects supported by the Chicago Cancer Health Equity Collaborative (ChicagoCHEC). Community Perspective: It is rare to see community organizations led by AA men acknowledged for their role in advancing health equity research. We provide a community perspective of PB as a model in engaging AA men in research. PB has been recognized nationally by the Centers for Disease Control and Prevention (CDC) and others demonstrating their national footprint in advancing the inclusion of AA men in all aspects of research. We hope to demonstrate that engagement of AA men in research is important and feasible and to highlight PB as a national model in engaging AA men in research.","author":[{"dropping-particle":"","family":"Murray","given":"Marcus","non-dropping-particle":"","parse-names":false,"suffix":""},{"dropping-particle":"","family":"Campbell","given":"Christian","non-dropping-particle":"","parse-names":false,"suffix":""},{"dropping-particle":"","family":"Kendall","given":"Lechaun","non-dropping-particle":"","parse-names":false,"suffix":""},{"dropping-particle":"","family":"Whitt-Glover","given":"Melicia C.","non-dropping-particle":"","parse-names":false,"suffix":""},{"dropping-particle":"","family":"Watson","given":"Karriem S.","non-dropping-particle":"","parse-names":false,"suffix":""}],"container-title":"Progress in Community Health Partnerships: Research, Education, and Action","id":"ITEM-1","issue":"5","issued":{"date-parts":[["2019"]]},"page":"137-142","title":"Perspectives from Project Brotherhood: Facilitating Engagement of African American Men in Research","type":"article-journal","volume":"13"},"uris":["http://www.mendeley.com/documents/?uuid=7bd0c26a-c7fc-4dad-a7fb-b5a81eb083c4"]}],"mendeley":{"formattedCitation":"(162)","plainTextFormattedCitation":"(162)","previouslyFormattedCitation":"(162)"},"properties":{"noteIndex":0},"schema":"https://github.com/citation-style-language/schema/raw/master/csl-citation.json"}</w:instrText>
      </w:r>
      <w:r w:rsidRPr="00671FB1">
        <w:rPr>
          <w:rFonts w:asciiTheme="minorHAnsi" w:hAnsiTheme="minorHAnsi" w:cstheme="minorHAnsi"/>
          <w:color w:val="000000"/>
          <w:sz w:val="22"/>
          <w:szCs w:val="22"/>
        </w:rPr>
        <w:fldChar w:fldCharType="separate"/>
      </w:r>
      <w:r w:rsidR="00693DD5" w:rsidRPr="00693DD5">
        <w:rPr>
          <w:rFonts w:asciiTheme="minorHAnsi" w:hAnsiTheme="minorHAnsi" w:cstheme="minorHAnsi"/>
          <w:noProof/>
          <w:color w:val="000000"/>
          <w:sz w:val="22"/>
          <w:szCs w:val="22"/>
        </w:rPr>
        <w:t>(162)</w:t>
      </w:r>
      <w:r w:rsidRPr="00671FB1">
        <w:rPr>
          <w:rFonts w:asciiTheme="minorHAnsi" w:hAnsiTheme="minorHAnsi" w:cstheme="minorHAnsi"/>
          <w:color w:val="000000"/>
          <w:sz w:val="22"/>
          <w:szCs w:val="22"/>
        </w:rPr>
        <w:fldChar w:fldCharType="end"/>
      </w:r>
      <w:r w:rsidRPr="00671FB1">
        <w:rPr>
          <w:rFonts w:asciiTheme="minorHAnsi" w:hAnsiTheme="minorHAnsi" w:cstheme="minorHAnsi"/>
          <w:color w:val="000000"/>
          <w:sz w:val="22"/>
          <w:szCs w:val="22"/>
        </w:rPr>
        <w:t xml:space="preserve">. The group aimed to provide health services including doctor consultations </w:t>
      </w:r>
      <w:r w:rsidR="00671FB1">
        <w:rPr>
          <w:rFonts w:asciiTheme="minorHAnsi" w:hAnsiTheme="minorHAnsi" w:cstheme="minorHAnsi"/>
          <w:color w:val="000000"/>
          <w:sz w:val="22"/>
          <w:szCs w:val="22"/>
        </w:rPr>
        <w:t>and</w:t>
      </w:r>
      <w:r w:rsidRPr="00671FB1">
        <w:rPr>
          <w:rFonts w:asciiTheme="minorHAnsi" w:hAnsiTheme="minorHAnsi" w:cstheme="minorHAnsi"/>
          <w:color w:val="000000"/>
          <w:sz w:val="22"/>
          <w:szCs w:val="22"/>
        </w:rPr>
        <w:t xml:space="preserve"> public health and development support</w:t>
      </w:r>
      <w:r w:rsidR="00671FB1">
        <w:rPr>
          <w:rFonts w:asciiTheme="minorHAnsi" w:hAnsiTheme="minorHAnsi" w:cstheme="minorHAnsi"/>
          <w:color w:val="000000"/>
          <w:sz w:val="22"/>
          <w:szCs w:val="22"/>
        </w:rPr>
        <w:t>,</w:t>
      </w:r>
      <w:r w:rsidRPr="00671FB1">
        <w:rPr>
          <w:rFonts w:asciiTheme="minorHAnsi" w:hAnsiTheme="minorHAnsi" w:cstheme="minorHAnsi"/>
          <w:color w:val="000000"/>
          <w:sz w:val="22"/>
          <w:szCs w:val="22"/>
        </w:rPr>
        <w:t xml:space="preserve"> such as fatherhood and manhood classes and access to free condoms</w:t>
      </w:r>
      <w:r w:rsidR="00671FB1">
        <w:rPr>
          <w:rFonts w:asciiTheme="minorHAnsi" w:hAnsiTheme="minorHAnsi" w:cstheme="minorHAnsi"/>
          <w:color w:val="000000"/>
          <w:sz w:val="22"/>
          <w:szCs w:val="22"/>
        </w:rPr>
        <w:t>,</w:t>
      </w:r>
      <w:r w:rsidRPr="00671FB1">
        <w:rPr>
          <w:rFonts w:asciiTheme="minorHAnsi" w:hAnsiTheme="minorHAnsi" w:cstheme="minorHAnsi"/>
          <w:color w:val="000000"/>
          <w:sz w:val="22"/>
          <w:szCs w:val="22"/>
        </w:rPr>
        <w:t xml:space="preserve"> in </w:t>
      </w:r>
      <w:r w:rsidR="00671FB1">
        <w:rPr>
          <w:rFonts w:asciiTheme="minorHAnsi" w:hAnsiTheme="minorHAnsi" w:cstheme="minorHAnsi"/>
          <w:color w:val="000000"/>
          <w:sz w:val="22"/>
          <w:szCs w:val="22"/>
        </w:rPr>
        <w:t>non-medical location</w:t>
      </w:r>
      <w:r w:rsidR="00671FB1" w:rsidRPr="00671FB1">
        <w:rPr>
          <w:rFonts w:asciiTheme="minorHAnsi" w:hAnsiTheme="minorHAnsi" w:cstheme="minorHAnsi"/>
          <w:color w:val="000000"/>
          <w:sz w:val="22"/>
          <w:szCs w:val="22"/>
        </w:rPr>
        <w:t xml:space="preserve">s </w:t>
      </w:r>
      <w:r w:rsidRPr="00671FB1">
        <w:rPr>
          <w:rFonts w:asciiTheme="minorHAnsi" w:hAnsiTheme="minorHAnsi" w:cstheme="minorHAnsi"/>
          <w:color w:val="000000"/>
          <w:sz w:val="22"/>
          <w:szCs w:val="22"/>
        </w:rPr>
        <w:t>such as gyms and barber shops. The underlying ethos of this community project is to empower African American</w:t>
      </w:r>
      <w:r w:rsidR="00671FB1">
        <w:rPr>
          <w:rFonts w:asciiTheme="minorHAnsi" w:hAnsiTheme="minorHAnsi" w:cstheme="minorHAnsi"/>
          <w:color w:val="000000"/>
          <w:sz w:val="22"/>
          <w:szCs w:val="22"/>
        </w:rPr>
        <w:t xml:space="preserve"> men</w:t>
      </w:r>
      <w:r w:rsidRPr="00671FB1">
        <w:rPr>
          <w:rFonts w:asciiTheme="minorHAnsi" w:hAnsiTheme="minorHAnsi" w:cstheme="minorHAnsi"/>
          <w:color w:val="000000"/>
          <w:sz w:val="22"/>
          <w:szCs w:val="22"/>
        </w:rPr>
        <w:t xml:space="preserve"> through “evidence-based practice, Afrocentric culture integration and a holistic approach to health”</w:t>
      </w:r>
      <w:r w:rsidRPr="00671FB1">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{"citationItems":[{"id":"ITEM-1","itemData":{"DOI":"10.1353/cpr.2019.0047","ISSN":"1557055X","PMID":"31378744","abstract":"Background: Community–academic partnerships play a vital role in ensuring the engagement of African American (AA) men in research. Project Brotherhood (PB) is a community organization that has played an integral role in advancing prostate cancer (PCa) research within two pilot projects supported by the Chicago Cancer Health Equity Collaborative (ChicagoCHEC). Community Perspective: It is rare to see community organizations led by AA men acknowledged for their role in advancing health equity research. We provide a community perspective of PB as a model in engaging AA men in research. PB has been recognized nationally by the Centers for Disease Control and Prevention (CDC) and others demonstrating their national footprint in advancing the inclusion of AA men in all aspects of research. We hope to demonstrate that engagement of AA men in research is important and feasible and to highlight PB as a national model in engaging AA men in research.","author":[{"dropping-particle":"","family":"Murray","given":"Marcus","non-dropping-particle":"","parse-names":false,"suffix":""},{"dropping-particle":"","family":"Campbell","given":"Christian","non-dropping-particle":"","parse-names":false,"suffix":""},{"dropping-particle":"","family":"Kendall","given":"Lechaun","non-dropping-particle":"","parse-names":false,"suffix":""},{"dropping-particle":"","family":"Whitt-Glover","given":"Melicia C.","non-dropping-particle":"","parse-names":false,"suffix":""},{"dropping-particle":"","family":"Watson","given":"Karriem S.","non-dropping-particle":"","parse-names":false,"suffix":""}],"container-title":"Progress in Community Health Partnerships: Research, Education, and Action","id":"ITEM-1","issue":"5","issued":{"date-parts":[["2019"]]},"page":"137-142","title":"Perspectives from Project Brotherhood: Facilitating Engagement of African American Men in Research","type":"article-journal","volume":"13"},"uris":["http://www.mendeley.com/documents/?uuid=7bd0c26a-c7fc-4dad-a7fb-b5a81eb083c4"]}],"mendeley":{"formattedCitation":"(162)","plainTextFormattedCitation":"(162)","previouslyFormattedCitation":"(162)"},"properties":{"noteIndex":0},"schema":"https://github.com/citation-style-language/schema/raw/master/csl-citation.json"}</w:instrText>
      </w:r>
      <w:r w:rsidRPr="00671FB1">
        <w:rPr>
          <w:rFonts w:asciiTheme="minorHAnsi" w:hAnsiTheme="minorHAnsi" w:cstheme="minorHAnsi"/>
          <w:color w:val="000000"/>
          <w:sz w:val="22"/>
          <w:szCs w:val="22"/>
        </w:rPr>
        <w:fldChar w:fldCharType="separate"/>
      </w:r>
      <w:r w:rsidR="00693DD5" w:rsidRPr="00693DD5">
        <w:rPr>
          <w:rFonts w:asciiTheme="minorHAnsi" w:hAnsiTheme="minorHAnsi" w:cstheme="minorHAnsi"/>
          <w:noProof/>
          <w:color w:val="000000"/>
          <w:sz w:val="22"/>
          <w:szCs w:val="22"/>
        </w:rPr>
        <w:t>(162)</w:t>
      </w:r>
      <w:r w:rsidRPr="00671FB1">
        <w:rPr>
          <w:rFonts w:asciiTheme="minorHAnsi" w:hAnsiTheme="minorHAnsi" w:cstheme="minorHAnsi"/>
          <w:color w:val="000000"/>
          <w:sz w:val="22"/>
          <w:szCs w:val="22"/>
        </w:rPr>
        <w:fldChar w:fldCharType="end"/>
      </w:r>
      <w:r w:rsidRPr="00671FB1">
        <w:rPr>
          <w:rFonts w:asciiTheme="minorHAnsi" w:hAnsiTheme="minorHAnsi" w:cstheme="minorHAnsi"/>
          <w:color w:val="000000"/>
          <w:sz w:val="22"/>
          <w:szCs w:val="22"/>
        </w:rPr>
        <w:t xml:space="preserve">. Although no scientific data </w:t>
      </w:r>
      <w:r w:rsidR="00671FB1">
        <w:rPr>
          <w:rFonts w:asciiTheme="minorHAnsi" w:hAnsiTheme="minorHAnsi" w:cstheme="minorHAnsi"/>
          <w:color w:val="000000"/>
          <w:sz w:val="22"/>
          <w:szCs w:val="22"/>
        </w:rPr>
        <w:t xml:space="preserve">are available regarding </w:t>
      </w:r>
      <w:r w:rsidRPr="00671FB1">
        <w:rPr>
          <w:rFonts w:asciiTheme="minorHAnsi" w:hAnsiTheme="minorHAnsi" w:cstheme="minorHAnsi"/>
          <w:color w:val="000000"/>
          <w:sz w:val="22"/>
          <w:szCs w:val="22"/>
        </w:rPr>
        <w:t xml:space="preserve">the effectiveness of </w:t>
      </w:r>
      <w:r w:rsidRPr="00671FB1">
        <w:rPr>
          <w:rFonts w:asciiTheme="minorHAnsi" w:hAnsiTheme="minorHAnsi" w:cstheme="minorHAnsi"/>
          <w:color w:val="000000"/>
          <w:sz w:val="22"/>
          <w:szCs w:val="22"/>
        </w:rPr>
        <w:lastRenderedPageBreak/>
        <w:t>this organisation at improving male health utilisation and outcomes, it highlight</w:t>
      </w:r>
      <w:r w:rsidR="00671FB1">
        <w:rPr>
          <w:rFonts w:asciiTheme="minorHAnsi" w:hAnsiTheme="minorHAnsi" w:cstheme="minorHAnsi"/>
          <w:color w:val="000000"/>
          <w:sz w:val="22"/>
          <w:szCs w:val="22"/>
        </w:rPr>
        <w:t>s</w:t>
      </w:r>
      <w:r w:rsidRPr="00671FB1">
        <w:rPr>
          <w:rFonts w:asciiTheme="minorHAnsi" w:hAnsiTheme="minorHAnsi" w:cstheme="minorHAnsi"/>
          <w:color w:val="000000"/>
          <w:sz w:val="22"/>
          <w:szCs w:val="22"/>
        </w:rPr>
        <w:t xml:space="preserve"> a potential holistic model that targets male culture in order to optimi</w:t>
      </w:r>
      <w:r w:rsidR="00671FB1">
        <w:rPr>
          <w:rFonts w:asciiTheme="minorHAnsi" w:hAnsiTheme="minorHAnsi" w:cstheme="minorHAnsi"/>
          <w:color w:val="000000"/>
          <w:sz w:val="22"/>
          <w:szCs w:val="22"/>
        </w:rPr>
        <w:t>z</w:t>
      </w:r>
      <w:r w:rsidRPr="00671FB1">
        <w:rPr>
          <w:rFonts w:asciiTheme="minorHAnsi" w:hAnsiTheme="minorHAnsi" w:cstheme="minorHAnsi"/>
          <w:color w:val="000000"/>
          <w:sz w:val="22"/>
          <w:szCs w:val="22"/>
        </w:rPr>
        <w:t>e health.</w:t>
      </w:r>
    </w:p>
    <w:p w14:paraId="4FF805DA" w14:textId="77777777" w:rsidR="00702EA6" w:rsidRPr="004B0BC2" w:rsidRDefault="00702EA6" w:rsidP="00B66369">
      <w:pPr>
        <w:pStyle w:val="NoSpacing"/>
        <w:spacing w:line="480" w:lineRule="auto"/>
        <w:rPr>
          <w:rFonts w:cstheme="minorHAnsi"/>
          <w:b/>
          <w:sz w:val="22"/>
          <w:szCs w:val="22"/>
          <w:u w:val="single"/>
        </w:rPr>
      </w:pPr>
    </w:p>
    <w:p w14:paraId="7A479A00" w14:textId="48951E56" w:rsidR="003B6353" w:rsidRPr="004B0BC2" w:rsidRDefault="00671FB1" w:rsidP="00B66369">
      <w:pPr>
        <w:pStyle w:val="NoSpacing"/>
        <w:spacing w:line="480" w:lineRule="auto"/>
        <w:rPr>
          <w:rFonts w:cstheme="minorHAnsi"/>
          <w:b/>
          <w:sz w:val="22"/>
          <w:szCs w:val="22"/>
        </w:rPr>
      </w:pPr>
      <w:r>
        <w:rPr>
          <w:rFonts w:cstheme="minorHAnsi"/>
          <w:b/>
          <w:sz w:val="22"/>
          <w:szCs w:val="22"/>
          <w:u w:val="single"/>
        </w:rPr>
        <w:t>[H1]</w:t>
      </w:r>
      <w:r w:rsidR="00974D85" w:rsidRPr="004B0BC2">
        <w:rPr>
          <w:rFonts w:cstheme="minorHAnsi"/>
          <w:b/>
          <w:sz w:val="22"/>
          <w:szCs w:val="22"/>
          <w:u w:val="single"/>
        </w:rPr>
        <w:t xml:space="preserve">The </w:t>
      </w:r>
      <w:r>
        <w:rPr>
          <w:rFonts w:cstheme="minorHAnsi"/>
          <w:b/>
          <w:sz w:val="22"/>
          <w:szCs w:val="22"/>
          <w:u w:val="single"/>
        </w:rPr>
        <w:t>u</w:t>
      </w:r>
      <w:r w:rsidR="00974D85" w:rsidRPr="004B0BC2">
        <w:rPr>
          <w:rFonts w:cstheme="minorHAnsi"/>
          <w:b/>
          <w:sz w:val="22"/>
          <w:szCs w:val="22"/>
          <w:u w:val="single"/>
        </w:rPr>
        <w:t xml:space="preserve">rologist and </w:t>
      </w:r>
      <w:r w:rsidR="00F80BA7" w:rsidRPr="004B0BC2">
        <w:rPr>
          <w:rFonts w:cstheme="minorHAnsi"/>
          <w:b/>
          <w:sz w:val="22"/>
          <w:szCs w:val="22"/>
          <w:u w:val="single"/>
        </w:rPr>
        <w:t>m</w:t>
      </w:r>
      <w:r w:rsidR="00974D85" w:rsidRPr="004B0BC2">
        <w:rPr>
          <w:rFonts w:cstheme="minorHAnsi"/>
          <w:b/>
          <w:sz w:val="22"/>
          <w:szCs w:val="22"/>
          <w:u w:val="single"/>
        </w:rPr>
        <w:t>en</w:t>
      </w:r>
      <w:r w:rsidR="003B6353" w:rsidRPr="004B0BC2">
        <w:rPr>
          <w:rFonts w:cstheme="minorHAnsi"/>
          <w:b/>
          <w:sz w:val="22"/>
          <w:szCs w:val="22"/>
          <w:u w:val="single"/>
        </w:rPr>
        <w:t>’</w:t>
      </w:r>
      <w:r w:rsidR="00974D85" w:rsidRPr="004B0BC2">
        <w:rPr>
          <w:rFonts w:cstheme="minorHAnsi"/>
          <w:b/>
          <w:sz w:val="22"/>
          <w:szCs w:val="22"/>
          <w:u w:val="single"/>
        </w:rPr>
        <w:t xml:space="preserve">s </w:t>
      </w:r>
      <w:r w:rsidR="00F80BA7" w:rsidRPr="004B0BC2">
        <w:rPr>
          <w:rFonts w:cstheme="minorHAnsi"/>
          <w:b/>
          <w:sz w:val="22"/>
          <w:szCs w:val="22"/>
          <w:u w:val="single"/>
        </w:rPr>
        <w:t>h</w:t>
      </w:r>
      <w:r w:rsidR="00974D85" w:rsidRPr="004B0BC2">
        <w:rPr>
          <w:rFonts w:cstheme="minorHAnsi"/>
          <w:b/>
          <w:sz w:val="22"/>
          <w:szCs w:val="22"/>
          <w:u w:val="single"/>
        </w:rPr>
        <w:t>ealth</w:t>
      </w:r>
    </w:p>
    <w:p w14:paraId="45355FB3" w14:textId="778055DD" w:rsidR="001325EE" w:rsidRPr="004B0BC2" w:rsidRDefault="00BA6EE1"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The WHO defines health as “complete physical, mental and social wellbeing and not merely the absence of disease or infirmity”</w:t>
      </w:r>
      <w:r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{"citationItems":[{"id":"ITEM-1","itemData":{"author":[{"dropping-particle":"","family":"WHO","given":"","non-dropping-particle":"","parse-names":false,"suffix":""}],"id":"ITEM-1","issued":{"date-parts":[["1946"]]},"publisher-place":"New York","title":"Preamble to the Constitution of the World Health Organization as adopted by the International Health Conference","type":"report"},"uris":["http://www.mendeley.com/documents/?uuid=4e66fcdb-51d7-3fa7-a47f-fdd8424fe9d5"]}],"mendeley":{"formattedCitation":"(163)","plainTextFormattedCitation":"(163)","previouslyFormattedCitation":"(163)"},"properties":{"noteIndex":0},"schema":"https://github.com/citation-style-language/schema/raw/master/csl-citation.json"}</w:instrText>
      </w:r>
      <w:r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(163)</w:t>
      </w:r>
      <w:r w:rsidRPr="004B0BC2">
        <w:rPr>
          <w:rFonts w:asciiTheme="minorHAnsi" w:hAnsiTheme="minorHAnsi" w:cstheme="minorHAnsi"/>
          <w:sz w:val="22"/>
          <w:szCs w:val="22"/>
        </w:rPr>
        <w:fldChar w:fldCharType="end"/>
      </w:r>
      <w:r w:rsidRPr="004B0BC2">
        <w:rPr>
          <w:rFonts w:asciiTheme="minorHAnsi" w:hAnsiTheme="minorHAnsi" w:cstheme="minorHAnsi"/>
          <w:sz w:val="22"/>
          <w:szCs w:val="22"/>
        </w:rPr>
        <w:t>.</w:t>
      </w:r>
      <w:r w:rsidR="00BE772D" w:rsidRPr="004B0BC2">
        <w:rPr>
          <w:rFonts w:asciiTheme="minorHAnsi" w:hAnsiTheme="minorHAnsi" w:cstheme="minorHAnsi"/>
          <w:sz w:val="22"/>
          <w:szCs w:val="22"/>
        </w:rPr>
        <w:t xml:space="preserve"> </w:t>
      </w:r>
      <w:r w:rsidR="009B4587">
        <w:rPr>
          <w:rFonts w:asciiTheme="minorHAnsi" w:hAnsiTheme="minorHAnsi" w:cstheme="minorHAnsi"/>
          <w:sz w:val="22"/>
          <w:szCs w:val="22"/>
        </w:rPr>
        <w:t>Thus,</w:t>
      </w:r>
      <w:r w:rsidR="00152F70" w:rsidRPr="004B0BC2">
        <w:rPr>
          <w:rFonts w:asciiTheme="minorHAnsi" w:hAnsiTheme="minorHAnsi" w:cstheme="minorHAnsi"/>
          <w:sz w:val="22"/>
          <w:szCs w:val="22"/>
        </w:rPr>
        <w:t xml:space="preserve"> </w:t>
      </w:r>
      <w:r w:rsidR="00EB6B7D" w:rsidRPr="004B0BC2">
        <w:rPr>
          <w:rFonts w:asciiTheme="minorHAnsi" w:hAnsiTheme="minorHAnsi" w:cstheme="minorHAnsi"/>
          <w:sz w:val="22"/>
          <w:szCs w:val="22"/>
        </w:rPr>
        <w:t>premature male death</w:t>
      </w:r>
      <w:r w:rsidR="00152F70" w:rsidRPr="004B0BC2">
        <w:rPr>
          <w:rFonts w:asciiTheme="minorHAnsi" w:hAnsiTheme="minorHAnsi" w:cstheme="minorHAnsi"/>
          <w:sz w:val="22"/>
          <w:szCs w:val="22"/>
        </w:rPr>
        <w:t xml:space="preserve"> </w:t>
      </w:r>
      <w:r w:rsidR="009B4587">
        <w:rPr>
          <w:rFonts w:asciiTheme="minorHAnsi" w:hAnsiTheme="minorHAnsi" w:cstheme="minorHAnsi"/>
          <w:sz w:val="22"/>
          <w:szCs w:val="22"/>
        </w:rPr>
        <w:t xml:space="preserve">must be approached </w:t>
      </w:r>
      <w:r w:rsidR="00F727CC" w:rsidRPr="004B0BC2">
        <w:rPr>
          <w:rFonts w:asciiTheme="minorHAnsi" w:hAnsiTheme="minorHAnsi" w:cstheme="minorHAnsi"/>
          <w:sz w:val="22"/>
          <w:szCs w:val="22"/>
        </w:rPr>
        <w:t>with</w:t>
      </w:r>
      <w:r w:rsidR="00152F70" w:rsidRPr="004B0BC2">
        <w:rPr>
          <w:rFonts w:asciiTheme="minorHAnsi" w:hAnsiTheme="minorHAnsi" w:cstheme="minorHAnsi"/>
          <w:sz w:val="22"/>
          <w:szCs w:val="22"/>
        </w:rPr>
        <w:t xml:space="preserve"> a holistic </w:t>
      </w:r>
      <w:r w:rsidR="00AD4356" w:rsidRPr="004B0BC2">
        <w:rPr>
          <w:rFonts w:asciiTheme="minorHAnsi" w:hAnsiTheme="minorHAnsi" w:cstheme="minorHAnsi"/>
          <w:sz w:val="22"/>
          <w:szCs w:val="22"/>
        </w:rPr>
        <w:t>view</w:t>
      </w:r>
      <w:r w:rsidR="00152F70" w:rsidRPr="004B0BC2">
        <w:rPr>
          <w:rFonts w:asciiTheme="minorHAnsi" w:hAnsiTheme="minorHAnsi" w:cstheme="minorHAnsi"/>
          <w:sz w:val="22"/>
          <w:szCs w:val="22"/>
        </w:rPr>
        <w:t>.</w:t>
      </w:r>
      <w:r w:rsidR="00AD4356" w:rsidRPr="004B0BC2">
        <w:rPr>
          <w:rFonts w:asciiTheme="minorHAnsi" w:hAnsiTheme="minorHAnsi" w:cstheme="minorHAnsi"/>
          <w:sz w:val="22"/>
          <w:szCs w:val="22"/>
        </w:rPr>
        <w:t xml:space="preserve"> </w:t>
      </w:r>
      <w:r w:rsidR="009B4587">
        <w:rPr>
          <w:rFonts w:asciiTheme="minorHAnsi" w:hAnsiTheme="minorHAnsi" w:cstheme="minorHAnsi"/>
          <w:sz w:val="22"/>
          <w:szCs w:val="22"/>
        </w:rPr>
        <w:t>Notably,</w:t>
      </w:r>
      <w:r w:rsidR="002D6266" w:rsidRPr="004B0BC2">
        <w:rPr>
          <w:rFonts w:asciiTheme="minorHAnsi" w:hAnsiTheme="minorHAnsi" w:cstheme="minorHAnsi"/>
          <w:sz w:val="22"/>
          <w:szCs w:val="22"/>
        </w:rPr>
        <w:t xml:space="preserve"> several urological disorders</w:t>
      </w:r>
      <w:r w:rsidR="009B4587">
        <w:rPr>
          <w:rFonts w:asciiTheme="minorHAnsi" w:hAnsiTheme="minorHAnsi" w:cstheme="minorHAnsi"/>
          <w:sz w:val="22"/>
          <w:szCs w:val="22"/>
        </w:rPr>
        <w:t xml:space="preserve"> </w:t>
      </w:r>
      <w:r w:rsidR="009B4587">
        <w:rPr>
          <w:rFonts w:ascii="Calibri" w:hAnsi="Calibri" w:cs="Calibri"/>
          <w:sz w:val="22"/>
          <w:szCs w:val="22"/>
        </w:rPr>
        <w:t>—</w:t>
      </w:r>
      <w:r w:rsidR="009B4587">
        <w:rPr>
          <w:rFonts w:asciiTheme="minorHAnsi" w:hAnsiTheme="minorHAnsi" w:cstheme="minorHAnsi"/>
          <w:sz w:val="22"/>
          <w:szCs w:val="22"/>
        </w:rPr>
        <w:t xml:space="preserve"> including</w:t>
      </w:r>
      <w:r w:rsidR="006304AF">
        <w:rPr>
          <w:rFonts w:asciiTheme="minorHAnsi" w:hAnsiTheme="minorHAnsi" w:cstheme="minorHAnsi"/>
          <w:sz w:val="22"/>
          <w:szCs w:val="22"/>
        </w:rPr>
        <w:t xml:space="preserve"> erectile dysfunction (ED)</w:t>
      </w:r>
      <w:r w:rsidR="009B4587">
        <w:rPr>
          <w:rFonts w:ascii="Calibri" w:hAnsi="Calibri" w:cs="Calibri"/>
          <w:sz w:val="22"/>
          <w:szCs w:val="22"/>
        </w:rPr>
        <w:t>—</w:t>
      </w:r>
      <w:r w:rsidR="009B4587">
        <w:rPr>
          <w:rFonts w:asciiTheme="minorHAnsi" w:hAnsiTheme="minorHAnsi" w:cstheme="minorHAnsi"/>
          <w:sz w:val="22"/>
          <w:szCs w:val="22"/>
        </w:rPr>
        <w:t xml:space="preserve"> </w:t>
      </w:r>
      <w:r w:rsidR="002D6266" w:rsidRPr="004B0BC2">
        <w:rPr>
          <w:rFonts w:asciiTheme="minorHAnsi" w:hAnsiTheme="minorHAnsi" w:cstheme="minorHAnsi"/>
          <w:sz w:val="22"/>
          <w:szCs w:val="22"/>
        </w:rPr>
        <w:t xml:space="preserve">have been associated with a </w:t>
      </w:r>
      <w:r w:rsidR="00C7076B" w:rsidRPr="004B0BC2">
        <w:rPr>
          <w:rFonts w:asciiTheme="minorHAnsi" w:hAnsiTheme="minorHAnsi" w:cstheme="minorHAnsi"/>
          <w:sz w:val="22"/>
          <w:szCs w:val="22"/>
        </w:rPr>
        <w:t xml:space="preserve">risk </w:t>
      </w:r>
      <w:r w:rsidR="007C6B2C" w:rsidRPr="004B0BC2">
        <w:rPr>
          <w:rFonts w:asciiTheme="minorHAnsi" w:hAnsiTheme="minorHAnsi" w:cstheme="minorHAnsi"/>
          <w:sz w:val="22"/>
          <w:szCs w:val="22"/>
        </w:rPr>
        <w:t>of CVD and cancers in men</w:t>
      </w:r>
      <w:r w:rsidR="00AE601E" w:rsidRPr="004B0BC2">
        <w:rPr>
          <w:rFonts w:asciiTheme="minorHAnsi" w:hAnsiTheme="minorHAnsi" w:cstheme="minorHAnsi"/>
          <w:sz w:val="22"/>
          <w:szCs w:val="22"/>
        </w:rPr>
        <w:fldChar w:fldCharType="begin" w:fldLock="1"/>
      </w:r>
      <w:r w:rsidR="002C021B" w:rsidRPr="004B0BC2">
        <w:rPr>
          <w:rFonts w:asciiTheme="minorHAnsi" w:hAnsiTheme="minorHAnsi" w:cstheme="minorHAnsi"/>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AE601E" w:rsidRPr="004B0BC2">
        <w:rPr>
          <w:rFonts w:asciiTheme="minorHAnsi" w:hAnsiTheme="minorHAnsi" w:cstheme="minorHAnsi"/>
          <w:sz w:val="22"/>
          <w:szCs w:val="22"/>
        </w:rPr>
        <w:fldChar w:fldCharType="separate"/>
      </w:r>
      <w:r w:rsidR="006B35BC" w:rsidRPr="004B0BC2">
        <w:rPr>
          <w:rFonts w:asciiTheme="minorHAnsi" w:hAnsiTheme="minorHAnsi" w:cstheme="minorHAnsi"/>
          <w:noProof/>
          <w:sz w:val="22"/>
          <w:szCs w:val="22"/>
        </w:rPr>
        <w:t>(3)</w:t>
      </w:r>
      <w:r w:rsidR="00AE601E" w:rsidRPr="004B0BC2">
        <w:rPr>
          <w:rFonts w:asciiTheme="minorHAnsi" w:hAnsiTheme="minorHAnsi" w:cstheme="minorHAnsi"/>
          <w:sz w:val="22"/>
          <w:szCs w:val="22"/>
        </w:rPr>
        <w:fldChar w:fldCharType="end"/>
      </w:r>
      <w:r w:rsidR="006304AF">
        <w:rPr>
          <w:rFonts w:asciiTheme="minorHAnsi" w:hAnsiTheme="minorHAnsi" w:cstheme="minorHAnsi"/>
          <w:sz w:val="22"/>
          <w:szCs w:val="22"/>
        </w:rPr>
        <w:t>, which</w:t>
      </w:r>
      <w:r w:rsidR="002D6266" w:rsidRPr="004B0BC2">
        <w:rPr>
          <w:rFonts w:asciiTheme="minorHAnsi" w:hAnsiTheme="minorHAnsi" w:cstheme="minorHAnsi"/>
          <w:sz w:val="22"/>
          <w:szCs w:val="22"/>
        </w:rPr>
        <w:t xml:space="preserve"> positions the urologist as a potential gatekeeper of men’s health</w:t>
      </w:r>
      <w:r w:rsidR="007C6B2C" w:rsidRPr="004B0BC2">
        <w:rPr>
          <w:rFonts w:asciiTheme="minorHAnsi" w:hAnsiTheme="minorHAnsi" w:cstheme="minorHAnsi"/>
          <w:sz w:val="22"/>
          <w:szCs w:val="22"/>
        </w:rPr>
        <w:t>.</w:t>
      </w:r>
      <w:r w:rsidR="00F80BA7" w:rsidRPr="004B0BC2">
        <w:rPr>
          <w:rFonts w:asciiTheme="minorHAnsi" w:hAnsiTheme="minorHAnsi" w:cstheme="minorHAnsi"/>
          <w:sz w:val="22"/>
          <w:szCs w:val="22"/>
        </w:rPr>
        <w:t xml:space="preserve"> </w:t>
      </w:r>
    </w:p>
    <w:p w14:paraId="2989F62B" w14:textId="77777777" w:rsidR="00612A15" w:rsidRPr="004B0BC2" w:rsidRDefault="00612A15" w:rsidP="00B66369">
      <w:pPr>
        <w:spacing w:line="480" w:lineRule="auto"/>
        <w:rPr>
          <w:rFonts w:asciiTheme="minorHAnsi" w:hAnsiTheme="minorHAnsi" w:cstheme="minorHAnsi"/>
          <w:sz w:val="22"/>
          <w:szCs w:val="22"/>
        </w:rPr>
      </w:pPr>
    </w:p>
    <w:p w14:paraId="355BDF1B" w14:textId="07583A5C" w:rsidR="00612A15" w:rsidRPr="004B0BC2" w:rsidRDefault="006304AF" w:rsidP="00B66369">
      <w:pPr>
        <w:spacing w:line="480" w:lineRule="auto"/>
        <w:rPr>
          <w:rFonts w:asciiTheme="minorHAnsi" w:hAnsiTheme="minorHAnsi" w:cstheme="minorHAnsi"/>
          <w:i/>
          <w:iCs/>
          <w:sz w:val="22"/>
          <w:szCs w:val="22"/>
        </w:rPr>
      </w:pPr>
      <w:r>
        <w:rPr>
          <w:rFonts w:asciiTheme="minorHAnsi" w:hAnsiTheme="minorHAnsi" w:cstheme="minorHAnsi"/>
          <w:i/>
          <w:iCs/>
          <w:sz w:val="22"/>
          <w:szCs w:val="22"/>
        </w:rPr>
        <w:t>[H2]</w:t>
      </w:r>
      <w:r w:rsidR="00612A15" w:rsidRPr="004B0BC2">
        <w:rPr>
          <w:rFonts w:asciiTheme="minorHAnsi" w:hAnsiTheme="minorHAnsi" w:cstheme="minorHAnsi"/>
          <w:i/>
          <w:iCs/>
          <w:sz w:val="22"/>
          <w:szCs w:val="22"/>
        </w:rPr>
        <w:t>Urological disorders as early signs of systemic disease</w:t>
      </w:r>
      <w:r w:rsidR="003C11E1">
        <w:rPr>
          <w:rFonts w:asciiTheme="minorHAnsi" w:hAnsiTheme="minorHAnsi" w:cstheme="minorHAnsi"/>
          <w:i/>
          <w:iCs/>
          <w:sz w:val="22"/>
          <w:szCs w:val="22"/>
        </w:rPr>
        <w:t xml:space="preserve"> </w:t>
      </w:r>
    </w:p>
    <w:p w14:paraId="290FA2F3" w14:textId="27151341" w:rsidR="001304C8" w:rsidRDefault="002D69B7" w:rsidP="00500FBD">
      <w:pPr>
        <w:spacing w:line="480" w:lineRule="auto"/>
        <w:rPr>
          <w:rFonts w:asciiTheme="minorHAnsi" w:hAnsiTheme="minorHAnsi" w:cstheme="minorHAnsi"/>
          <w:sz w:val="22"/>
          <w:szCs w:val="22"/>
        </w:rPr>
      </w:pPr>
      <w:r w:rsidRPr="004B0BC2">
        <w:rPr>
          <w:rFonts w:asciiTheme="minorHAnsi" w:hAnsiTheme="minorHAnsi" w:cstheme="minorHAnsi"/>
          <w:sz w:val="22"/>
          <w:szCs w:val="22"/>
        </w:rPr>
        <w:t xml:space="preserve">Engaging and targeting men with </w:t>
      </w:r>
      <w:r w:rsidR="00D90E03" w:rsidRPr="004B0BC2">
        <w:rPr>
          <w:rFonts w:asciiTheme="minorHAnsi" w:hAnsiTheme="minorHAnsi" w:cstheme="minorHAnsi"/>
          <w:sz w:val="22"/>
          <w:szCs w:val="22"/>
        </w:rPr>
        <w:t>sexual and</w:t>
      </w:r>
      <w:r w:rsidRPr="004B0BC2">
        <w:rPr>
          <w:rFonts w:asciiTheme="minorHAnsi" w:hAnsiTheme="minorHAnsi" w:cstheme="minorHAnsi"/>
          <w:sz w:val="22"/>
          <w:szCs w:val="22"/>
        </w:rPr>
        <w:t xml:space="preserve"> reproductive health problems m</w:t>
      </w:r>
      <w:r w:rsidR="006304AF">
        <w:rPr>
          <w:rFonts w:asciiTheme="minorHAnsi" w:hAnsiTheme="minorHAnsi" w:cstheme="minorHAnsi"/>
          <w:sz w:val="22"/>
          <w:szCs w:val="22"/>
        </w:rPr>
        <w:t>ight</w:t>
      </w:r>
      <w:r w:rsidRPr="004B0BC2">
        <w:rPr>
          <w:rFonts w:asciiTheme="minorHAnsi" w:hAnsiTheme="minorHAnsi" w:cstheme="minorHAnsi"/>
          <w:sz w:val="22"/>
          <w:szCs w:val="22"/>
        </w:rPr>
        <w:t xml:space="preserve"> facilitate early diagnosis and treatment of occult disease.</w:t>
      </w:r>
      <w:r w:rsidR="001325EE" w:rsidRPr="004B0BC2">
        <w:rPr>
          <w:rFonts w:asciiTheme="minorHAnsi" w:hAnsiTheme="minorHAnsi" w:cstheme="minorHAnsi"/>
          <w:sz w:val="22"/>
          <w:szCs w:val="22"/>
        </w:rPr>
        <w:t xml:space="preserve"> </w:t>
      </w:r>
      <w:r w:rsidR="007C6B2C" w:rsidRPr="004B0BC2">
        <w:rPr>
          <w:rFonts w:asciiTheme="minorHAnsi" w:hAnsiTheme="minorHAnsi" w:cstheme="minorHAnsi"/>
          <w:sz w:val="22"/>
          <w:szCs w:val="22"/>
        </w:rPr>
        <w:t>For example, e</w:t>
      </w:r>
      <w:r w:rsidR="00176BAF" w:rsidRPr="004B0BC2">
        <w:rPr>
          <w:rFonts w:asciiTheme="minorHAnsi" w:hAnsiTheme="minorHAnsi" w:cstheme="minorHAnsi"/>
          <w:sz w:val="22"/>
          <w:szCs w:val="22"/>
        </w:rPr>
        <w:t>rectile dysfunction</w:t>
      </w:r>
      <w:r w:rsidR="00943811" w:rsidRPr="004B0BC2">
        <w:rPr>
          <w:rFonts w:asciiTheme="minorHAnsi" w:hAnsiTheme="minorHAnsi" w:cstheme="minorHAnsi"/>
          <w:sz w:val="22"/>
          <w:szCs w:val="22"/>
        </w:rPr>
        <w:t xml:space="preserve"> (ED)</w:t>
      </w:r>
      <w:r w:rsidR="00176BAF" w:rsidRPr="004B0BC2">
        <w:rPr>
          <w:rFonts w:asciiTheme="minorHAnsi" w:hAnsiTheme="minorHAnsi" w:cstheme="minorHAnsi"/>
          <w:sz w:val="22"/>
          <w:szCs w:val="22"/>
        </w:rPr>
        <w:t xml:space="preserve"> </w:t>
      </w:r>
      <w:r w:rsidR="007D5C13" w:rsidRPr="004B0BC2">
        <w:rPr>
          <w:rFonts w:asciiTheme="minorHAnsi" w:hAnsiTheme="minorHAnsi" w:cstheme="minorHAnsi"/>
          <w:sz w:val="22"/>
          <w:szCs w:val="22"/>
        </w:rPr>
        <w:t>is recognised</w:t>
      </w:r>
      <w:r w:rsidR="00176BAF" w:rsidRPr="004B0BC2">
        <w:rPr>
          <w:rFonts w:asciiTheme="minorHAnsi" w:hAnsiTheme="minorHAnsi" w:cstheme="minorHAnsi"/>
          <w:sz w:val="22"/>
          <w:szCs w:val="22"/>
        </w:rPr>
        <w:t xml:space="preserve"> as one of the first signs of occult atherosclerotic disease</w:t>
      </w:r>
      <w:r w:rsidR="00976C8C">
        <w:rPr>
          <w:rFonts w:asciiTheme="minorHAnsi" w:hAnsiTheme="minorHAnsi" w:cstheme="minorHAnsi"/>
          <w:sz w:val="22"/>
          <w:szCs w:val="22"/>
        </w:rPr>
        <w:t xml:space="preserve"> </w:t>
      </w:r>
      <w:r w:rsidR="00D15635">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{"citationItems":[{"id":"ITEM-1","itemData":{"DOI":"10.1161/CIRCULATIONAHA.110.017681","author":[{"dropping-particle":"","family":"Schwartz","given":"Bryan G.","non-dropping-particle":"","parse-names":false,"suffix":""},{"dropping-particle":"","family":"Kloner","given":"Robert A.","non-dropping-particle":"","parse-names":false,"suffix":""}],"container-title":"Circulation","id":"ITEM-1","issue":"21","issued":{"date-parts":[["2011"]]},"page":"609-611","title":"Cardiovascular Implications of Erectile Dysfunction","type":"article-journal","volume":"123"},"uris":["http://www.mendeley.com/documents/?uuid=f65350fe-30dc-3b0b-8c68-4af5a1f0e9bf"]}],"mendeley":{"formattedCitation":"(164)","plainTextFormattedCitation":"(164)","previouslyFormattedCitation":"(164)"},"properties":{"noteIndex":0},"schema":"https://github.com/citation-style-language/schema/raw/master/csl-citation.json"}</w:instrText>
      </w:r>
      <w:r w:rsidR="00D15635">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(164)</w:t>
      </w:r>
      <w:r w:rsidR="00D15635">
        <w:rPr>
          <w:rFonts w:asciiTheme="minorHAnsi" w:hAnsiTheme="minorHAnsi" w:cstheme="minorHAnsi"/>
          <w:sz w:val="22"/>
          <w:szCs w:val="22"/>
        </w:rPr>
        <w:fldChar w:fldCharType="end"/>
      </w:r>
      <w:r w:rsidR="00176BAF" w:rsidRPr="004B0BC2">
        <w:rPr>
          <w:rFonts w:asciiTheme="minorHAnsi" w:hAnsiTheme="minorHAnsi" w:cstheme="minorHAnsi"/>
          <w:sz w:val="22"/>
          <w:szCs w:val="22"/>
        </w:rPr>
        <w:t>.</w:t>
      </w:r>
      <w:r w:rsidR="003C11E1">
        <w:rPr>
          <w:rFonts w:asciiTheme="minorHAnsi" w:hAnsiTheme="minorHAnsi" w:cstheme="minorHAnsi"/>
          <w:sz w:val="22"/>
          <w:szCs w:val="22"/>
        </w:rPr>
        <w:t xml:space="preserve"> </w:t>
      </w:r>
      <w:r w:rsidR="000568AB" w:rsidRPr="004B0BC2">
        <w:rPr>
          <w:rFonts w:asciiTheme="minorHAnsi" w:hAnsiTheme="minorHAnsi" w:cstheme="minorHAnsi"/>
          <w:sz w:val="22"/>
          <w:szCs w:val="22"/>
        </w:rPr>
        <w:t xml:space="preserve">A meta-analysis of </w:t>
      </w:r>
      <w:r w:rsidR="00BF6F06" w:rsidRPr="004B0BC2">
        <w:rPr>
          <w:rFonts w:asciiTheme="minorHAnsi" w:hAnsiTheme="minorHAnsi" w:cstheme="minorHAnsi"/>
          <w:sz w:val="22"/>
          <w:szCs w:val="22"/>
        </w:rPr>
        <w:t>13 studies comprising 91, 831 participants reported that the relative risk of CV</w:t>
      </w:r>
      <w:r w:rsidR="007D5C13" w:rsidRPr="004B0BC2">
        <w:rPr>
          <w:rFonts w:asciiTheme="minorHAnsi" w:hAnsiTheme="minorHAnsi" w:cstheme="minorHAnsi"/>
          <w:sz w:val="22"/>
          <w:szCs w:val="22"/>
        </w:rPr>
        <w:t>D</w:t>
      </w:r>
      <w:r w:rsidR="00BF6F06" w:rsidRPr="004B0BC2">
        <w:rPr>
          <w:rFonts w:asciiTheme="minorHAnsi" w:hAnsiTheme="minorHAnsi" w:cstheme="minorHAnsi"/>
          <w:sz w:val="22"/>
          <w:szCs w:val="22"/>
        </w:rPr>
        <w:t xml:space="preserve"> event</w:t>
      </w:r>
      <w:r w:rsidR="007D5C13" w:rsidRPr="004B0BC2">
        <w:rPr>
          <w:rFonts w:asciiTheme="minorHAnsi" w:hAnsiTheme="minorHAnsi" w:cstheme="minorHAnsi"/>
          <w:sz w:val="22"/>
          <w:szCs w:val="22"/>
        </w:rPr>
        <w:t>s</w:t>
      </w:r>
      <w:r w:rsidR="00BF6F06" w:rsidRPr="004B0BC2">
        <w:rPr>
          <w:rFonts w:asciiTheme="minorHAnsi" w:hAnsiTheme="minorHAnsi" w:cstheme="minorHAnsi"/>
          <w:sz w:val="22"/>
          <w:szCs w:val="22"/>
        </w:rPr>
        <w:t xml:space="preserve"> in men with ED was </w:t>
      </w:r>
      <w:r w:rsidR="00BF6F06" w:rsidRPr="004B0BC2">
        <w:rPr>
          <w:rFonts w:asciiTheme="minorHAnsi" w:hAnsiTheme="minorHAnsi" w:cstheme="minorHAnsi"/>
          <w:sz w:val="22"/>
          <w:szCs w:val="22"/>
          <w:shd w:val="clear" w:color="auto" w:fill="FFFFFF"/>
        </w:rPr>
        <w:t xml:space="preserve">1.44 (95% CI, 1.27-1.63) compared </w:t>
      </w:r>
      <w:r w:rsidR="006304AF">
        <w:rPr>
          <w:rFonts w:asciiTheme="minorHAnsi" w:hAnsiTheme="minorHAnsi" w:cstheme="minorHAnsi"/>
          <w:sz w:val="22"/>
          <w:szCs w:val="22"/>
          <w:shd w:val="clear" w:color="auto" w:fill="FFFFFF"/>
        </w:rPr>
        <w:t>with</w:t>
      </w:r>
      <w:r w:rsidR="006304AF" w:rsidRPr="004B0BC2">
        <w:rPr>
          <w:rFonts w:asciiTheme="minorHAnsi" w:hAnsiTheme="minorHAnsi" w:cstheme="minorHAnsi"/>
          <w:sz w:val="22"/>
          <w:szCs w:val="22"/>
          <w:shd w:val="clear" w:color="auto" w:fill="FFFFFF"/>
        </w:rPr>
        <w:t xml:space="preserve"> </w:t>
      </w:r>
      <w:r w:rsidR="00BF6F06" w:rsidRPr="004B0BC2">
        <w:rPr>
          <w:rFonts w:asciiTheme="minorHAnsi" w:hAnsiTheme="minorHAnsi" w:cstheme="minorHAnsi"/>
          <w:sz w:val="22"/>
          <w:szCs w:val="22"/>
          <w:shd w:val="clear" w:color="auto" w:fill="FFFFFF"/>
        </w:rPr>
        <w:t>men without ED</w:t>
      </w:r>
      <w:r w:rsidR="007D5C13"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{"citationItems":[{"id":"ITEM-1","itemData":{"DOI":"10.1161/CIRCOUTCOMES.112.966903","ISSN":"1941-7713","abstract":"Background—Erectile dysfunction (ED) carries an independent risk for cardiovascular (CV) events. We conducted a meta-analysis of all longitudinal studies for determining the ability of ED to predic...","author":[{"dropping-particle":"V.","family":"Vlachopoulos","given":"Charalambos","non-dropping-particle":"","parse-names":false,"suffix":""},{"dropping-particle":"","family":"Terentes-Printzios","given":"Dimitrios G.","non-dropping-particle":"","parse-names":false,"suffix":""},{"dropping-particle":"","family":"Ioakeimidis","given":"Nikolaos K.","non-dropping-particle":"","parse-names":false,"suffix":""},{"dropping-particle":"","family":"Aznaouridis","given":"Konstantinos A.","non-dropping-particle":"","parse-names":false,"suffix":""},{"dropping-particle":"","family":"Stefanadis","given":"Christodoulos I.","non-dropping-particle":"","parse-names":false,"suffix":""}],"container-title":"Circulation: Cardiovascular Quality and Outcomes","id":"ITEM-1","issue":"1","issued":{"date-parts":[["2013"]]},"page":"99-109","title":"Prediction of Cardiovascular Events and All-Cause Mortality With Erectile Dysfunction","type":"article-journal","volume":"6"},"uris":["http://www.mendeley.com/documents/?uuid=96755eb1-38ea-380d-a0f1-c9b4be94518a"]}],"mendeley":{"formattedCitation":"(165)","plainTextFormattedCitation":"(165)","previouslyFormattedCitation":"(165)"},"properties":{"noteIndex":0},"schema":"https://github.com/citation-style-language/schema/raw/master/csl-citation.json"}</w:instrText>
      </w:r>
      <w:r w:rsidR="007D5C13"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(165)</w:t>
      </w:r>
      <w:r w:rsidR="007D5C13" w:rsidRPr="004B0BC2">
        <w:rPr>
          <w:rFonts w:asciiTheme="minorHAnsi" w:hAnsiTheme="minorHAnsi" w:cstheme="minorHAnsi"/>
          <w:sz w:val="22"/>
          <w:szCs w:val="22"/>
          <w:shd w:val="clear" w:color="auto" w:fill="FFFFFF"/>
        </w:rPr>
        <w:fldChar w:fldCharType="end"/>
      </w:r>
      <w:r w:rsidR="00BF6F06" w:rsidRPr="004B0BC2">
        <w:rPr>
          <w:rFonts w:asciiTheme="minorHAnsi" w:hAnsiTheme="minorHAnsi" w:cstheme="minorHAnsi"/>
          <w:sz w:val="22"/>
          <w:szCs w:val="22"/>
          <w:shd w:val="clear" w:color="auto" w:fill="FFFFFF"/>
        </w:rPr>
        <w:t>.</w:t>
      </w:r>
      <w:r w:rsidR="00BF6F06" w:rsidRPr="004B0BC2">
        <w:rPr>
          <w:rFonts w:asciiTheme="minorHAnsi" w:hAnsiTheme="minorHAnsi" w:cstheme="minorHAnsi"/>
          <w:sz w:val="22"/>
          <w:szCs w:val="22"/>
        </w:rPr>
        <w:t xml:space="preserve"> </w:t>
      </w:r>
      <w:r w:rsidR="009A2753" w:rsidRPr="004B0BC2">
        <w:rPr>
          <w:rFonts w:asciiTheme="minorHAnsi" w:hAnsiTheme="minorHAnsi" w:cstheme="minorHAnsi"/>
          <w:sz w:val="22"/>
          <w:szCs w:val="22"/>
        </w:rPr>
        <w:t>The Massachusetts male aging study</w:t>
      </w:r>
      <w:r w:rsidR="009A2753"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{"citationItems":[{"id":"ITEM-1","itemData":{"DOI":"10.1016/S0022-5347(05)67900-1","ISSN":"0022-5347","abstract":"Purpose: We estimated the incidence of erectile dysfunction in men 40 to 69 years old at study entry during an average 8.8-year followup, and determined how risk varied with age, socioeconomic status and medical conditions. Materials and Methods: Data from a randomly sampled population based longitudinal study of Massachusetts men were analyzed. A total of 1,709 men completed the baseline interview during 1987 to 1989 and 1,156 survivors completed followup from 1995 to 1997. The analysis sample consisted of 847 men without erectile dysfunction at baseline and with complete followup information. Erectile dysfunction was assessed by discriminant analysis of 13 questions from a self-administered sexual function questionnaire and a single global self-rating question. Results: The crude incidence rate for erectile dysfunction was 25.9 cases per 1,000 man-years (95% confidence interval [CI] 22.5 to 29.9). The annual incidence rate increased with each decade of age and was 12.4 cases per 1,000 man-years (95% CI 9.0 to 16.9), 29.8 (24.0 to 37.0) and 46.4 (36.9 to 58.4) for men 40 to 49, 50 to 59 and 60 to 69 years old, respectively. The age adjusted risk of erectile dysfunction was higher for men with lower education, diabetes, heart disease and hypertension. Population projections for men 40 to 69 years old suggest that 17,781 new cases of erectile dysfunction in Massachusetts and 617,715 in the United States (white males only) are expected annually. Conclusions: Although prevalence estimates and cross-sectional correlates of erectile dysfunction have recently been established, incidence estimates were lacking. Incidence is necessary to assess risk, and plan treatment and prevention strategies. The risk of erectile dysfunction 'was about 26 cases per 1,000 men annually, and increased with age, lower education, diabetes, heart disease and hypertension.","author":[{"dropping-particle":"","family":"Johannes","given":"Catherine B.","non-dropping-particle":"","parse-names":false,"suffix":""},{"dropping-particle":"","family":"Araujo","given":"Andre B.","non-dropping-particle":"","parse-names":false,"suffix":""},{"dropping-particle":"","family":"Feldman","given":"Henry A.","non-dropping-particle":"","parse-names":false,"suffix":""},{"dropping-particle":"","family":"Derby","given":"Carol A.","non-dropping-particle":"","parse-names":false,"suffix":""},{"dropping-particle":"","family":"Kleinman","given":"Ken P.","non-dropping-particle":"","parse-names":false,"suffix":""},{"dropping-particle":"","family":"Mckinlay","given":"John B.","non-dropping-particle":"","parse-names":false,"suffix":""}],"container-title":"Journal of Urology","id":"ITEM-1","issue":"2","issued":{"date-parts":[["2000"]]},"page":"460-463","title":"Incidence of erectile dysfunction in men 40 to 69 years old: longitudinal results from the Massachusetts male aging study","type":"article-journal","volume":"163"},"uris":["http://www.mendeley.com/documents/?uuid=08ad4fbc-f9fd-3925-8a5a-78d612cfe0c5"]}],"mendeley":{"formattedCitation":"(166)","plainTextFormattedCitation":"(166)","previouslyFormattedCitation":"(166)"},"properties":{"noteIndex":0},"schema":"https://github.com/citation-style-language/schema/raw/master/csl-citation.json"}</w:instrText>
      </w:r>
      <w:r w:rsidR="009A2753"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(166)</w:t>
      </w:r>
      <w:r w:rsidR="009A2753" w:rsidRPr="004B0BC2">
        <w:rPr>
          <w:rFonts w:asciiTheme="minorHAnsi" w:hAnsiTheme="minorHAnsi" w:cstheme="minorHAnsi"/>
          <w:sz w:val="22"/>
          <w:szCs w:val="22"/>
        </w:rPr>
        <w:fldChar w:fldCharType="end"/>
      </w:r>
      <w:r w:rsidR="009A2753" w:rsidRPr="004B0BC2">
        <w:rPr>
          <w:rFonts w:asciiTheme="minorHAnsi" w:hAnsiTheme="minorHAnsi" w:cstheme="minorHAnsi"/>
          <w:sz w:val="22"/>
          <w:szCs w:val="22"/>
        </w:rPr>
        <w:t xml:space="preserve"> observed that the incidence rate of </w:t>
      </w:r>
      <w:r w:rsidR="00943811" w:rsidRPr="004B0BC2">
        <w:rPr>
          <w:rFonts w:asciiTheme="minorHAnsi" w:hAnsiTheme="minorHAnsi" w:cstheme="minorHAnsi"/>
          <w:sz w:val="22"/>
          <w:szCs w:val="22"/>
        </w:rPr>
        <w:t>ED</w:t>
      </w:r>
      <w:r w:rsidR="009A2753" w:rsidRPr="004B0BC2">
        <w:rPr>
          <w:rFonts w:asciiTheme="minorHAnsi" w:hAnsiTheme="minorHAnsi" w:cstheme="minorHAnsi"/>
          <w:sz w:val="22"/>
          <w:szCs w:val="22"/>
        </w:rPr>
        <w:t xml:space="preserve"> was</w:t>
      </w:r>
      <w:r w:rsidR="003B6353" w:rsidRPr="004B0BC2">
        <w:rPr>
          <w:rFonts w:asciiTheme="minorHAnsi" w:hAnsiTheme="minorHAnsi" w:cstheme="minorHAnsi"/>
          <w:sz w:val="22"/>
          <w:szCs w:val="22"/>
        </w:rPr>
        <w:t xml:space="preserve"> 12.4</w:t>
      </w:r>
      <w:r w:rsidR="009A2753" w:rsidRPr="004B0BC2">
        <w:rPr>
          <w:rFonts w:asciiTheme="minorHAnsi" w:hAnsiTheme="minorHAnsi" w:cstheme="minorHAnsi"/>
          <w:sz w:val="22"/>
          <w:szCs w:val="22"/>
        </w:rPr>
        <w:t xml:space="preserve"> </w:t>
      </w:r>
      <w:r w:rsidR="003B6353" w:rsidRPr="004B0BC2">
        <w:rPr>
          <w:rFonts w:asciiTheme="minorHAnsi" w:hAnsiTheme="minorHAnsi" w:cstheme="minorHAnsi"/>
          <w:sz w:val="22"/>
          <w:szCs w:val="22"/>
        </w:rPr>
        <w:t>and 29.8</w:t>
      </w:r>
      <w:r w:rsidR="006304AF" w:rsidRPr="006304AF">
        <w:rPr>
          <w:rFonts w:asciiTheme="minorHAnsi" w:hAnsiTheme="minorHAnsi" w:cstheme="minorHAnsi"/>
          <w:sz w:val="22"/>
          <w:szCs w:val="22"/>
        </w:rPr>
        <w:t xml:space="preserve"> </w:t>
      </w:r>
      <w:r w:rsidR="006304AF" w:rsidRPr="004B0BC2">
        <w:rPr>
          <w:rFonts w:asciiTheme="minorHAnsi" w:hAnsiTheme="minorHAnsi" w:cstheme="minorHAnsi"/>
          <w:sz w:val="22"/>
          <w:szCs w:val="22"/>
        </w:rPr>
        <w:t>per 1</w:t>
      </w:r>
      <w:r w:rsidR="006304AF">
        <w:rPr>
          <w:rFonts w:asciiTheme="minorHAnsi" w:hAnsiTheme="minorHAnsi" w:cstheme="minorHAnsi"/>
          <w:sz w:val="22"/>
          <w:szCs w:val="22"/>
        </w:rPr>
        <w:t>,</w:t>
      </w:r>
      <w:r w:rsidR="006304AF" w:rsidRPr="004B0BC2">
        <w:rPr>
          <w:rFonts w:asciiTheme="minorHAnsi" w:hAnsiTheme="minorHAnsi" w:cstheme="minorHAnsi"/>
          <w:sz w:val="22"/>
          <w:szCs w:val="22"/>
        </w:rPr>
        <w:t>000 man-years</w:t>
      </w:r>
      <w:r w:rsidR="009A2753" w:rsidRPr="004B0BC2">
        <w:rPr>
          <w:rFonts w:asciiTheme="minorHAnsi" w:hAnsiTheme="minorHAnsi" w:cstheme="minorHAnsi"/>
          <w:sz w:val="22"/>
          <w:szCs w:val="22"/>
        </w:rPr>
        <w:t xml:space="preserve"> in men aged </w:t>
      </w:r>
      <w:r w:rsidR="003B6353" w:rsidRPr="004B0BC2">
        <w:rPr>
          <w:rFonts w:asciiTheme="minorHAnsi" w:hAnsiTheme="minorHAnsi" w:cstheme="minorHAnsi"/>
          <w:sz w:val="22"/>
          <w:szCs w:val="22"/>
        </w:rPr>
        <w:t>40</w:t>
      </w:r>
      <w:r w:rsidR="006304AF">
        <w:rPr>
          <w:rFonts w:asciiTheme="minorHAnsi" w:hAnsiTheme="minorHAnsi" w:cstheme="minorHAnsi"/>
          <w:sz w:val="22"/>
          <w:szCs w:val="22"/>
        </w:rPr>
        <w:t>–</w:t>
      </w:r>
      <w:r w:rsidR="003B6353" w:rsidRPr="004B0BC2">
        <w:rPr>
          <w:rFonts w:asciiTheme="minorHAnsi" w:hAnsiTheme="minorHAnsi" w:cstheme="minorHAnsi"/>
          <w:sz w:val="22"/>
          <w:szCs w:val="22"/>
        </w:rPr>
        <w:t xml:space="preserve">49 </w:t>
      </w:r>
      <w:r w:rsidR="006304AF">
        <w:rPr>
          <w:rFonts w:asciiTheme="minorHAnsi" w:hAnsiTheme="minorHAnsi" w:cstheme="minorHAnsi"/>
          <w:sz w:val="22"/>
          <w:szCs w:val="22"/>
        </w:rPr>
        <w:t xml:space="preserve">years </w:t>
      </w:r>
      <w:r w:rsidR="003B6353" w:rsidRPr="004B0BC2">
        <w:rPr>
          <w:rFonts w:asciiTheme="minorHAnsi" w:hAnsiTheme="minorHAnsi" w:cstheme="minorHAnsi"/>
          <w:sz w:val="22"/>
          <w:szCs w:val="22"/>
        </w:rPr>
        <w:t>and</w:t>
      </w:r>
      <w:r w:rsidR="009A2753" w:rsidRPr="004B0BC2">
        <w:rPr>
          <w:rFonts w:asciiTheme="minorHAnsi" w:hAnsiTheme="minorHAnsi" w:cstheme="minorHAnsi"/>
          <w:sz w:val="22"/>
          <w:szCs w:val="22"/>
        </w:rPr>
        <w:t xml:space="preserve"> 50</w:t>
      </w:r>
      <w:r w:rsidR="006304AF">
        <w:rPr>
          <w:rFonts w:asciiTheme="minorHAnsi" w:hAnsiTheme="minorHAnsi" w:cstheme="minorHAnsi"/>
          <w:sz w:val="22"/>
          <w:szCs w:val="22"/>
        </w:rPr>
        <w:t>–</w:t>
      </w:r>
      <w:r w:rsidR="009A2753" w:rsidRPr="004B0BC2">
        <w:rPr>
          <w:rFonts w:asciiTheme="minorHAnsi" w:hAnsiTheme="minorHAnsi" w:cstheme="minorHAnsi"/>
          <w:sz w:val="22"/>
          <w:szCs w:val="22"/>
        </w:rPr>
        <w:t>59 years</w:t>
      </w:r>
      <w:r w:rsidR="006304AF">
        <w:rPr>
          <w:rFonts w:asciiTheme="minorHAnsi" w:hAnsiTheme="minorHAnsi" w:cstheme="minorHAnsi"/>
          <w:sz w:val="22"/>
          <w:szCs w:val="22"/>
        </w:rPr>
        <w:t>,</w:t>
      </w:r>
      <w:r w:rsidR="003B6353" w:rsidRPr="004B0BC2">
        <w:rPr>
          <w:rFonts w:asciiTheme="minorHAnsi" w:hAnsiTheme="minorHAnsi" w:cstheme="minorHAnsi"/>
          <w:sz w:val="22"/>
          <w:szCs w:val="22"/>
        </w:rPr>
        <w:t xml:space="preserve"> respectively</w:t>
      </w:r>
      <w:r w:rsidR="009A2753" w:rsidRPr="004B0BC2">
        <w:rPr>
          <w:rFonts w:asciiTheme="minorHAnsi" w:hAnsiTheme="minorHAnsi" w:cstheme="minorHAnsi"/>
          <w:sz w:val="22"/>
          <w:szCs w:val="22"/>
        </w:rPr>
        <w:t xml:space="preserve">. </w:t>
      </w:r>
      <w:r w:rsidR="00F305A3" w:rsidRPr="004B0BC2">
        <w:rPr>
          <w:rFonts w:asciiTheme="minorHAnsi" w:hAnsiTheme="minorHAnsi" w:cstheme="minorHAnsi"/>
          <w:sz w:val="22"/>
          <w:szCs w:val="22"/>
        </w:rPr>
        <w:t>Moreover,</w:t>
      </w:r>
      <w:r w:rsidR="00F727CC" w:rsidRPr="004B0BC2">
        <w:rPr>
          <w:rFonts w:asciiTheme="minorHAnsi" w:hAnsiTheme="minorHAnsi" w:cstheme="minorHAnsi"/>
          <w:sz w:val="22"/>
          <w:szCs w:val="22"/>
        </w:rPr>
        <w:t xml:space="preserve"> male infertility </w:t>
      </w:r>
      <w:r w:rsidR="006304AF" w:rsidRPr="004B0BC2">
        <w:rPr>
          <w:rFonts w:asciiTheme="minorHAnsi" w:hAnsiTheme="minorHAnsi" w:cstheme="minorHAnsi"/>
          <w:sz w:val="22"/>
          <w:szCs w:val="22"/>
        </w:rPr>
        <w:t>m</w:t>
      </w:r>
      <w:r w:rsidR="006304AF">
        <w:rPr>
          <w:rFonts w:asciiTheme="minorHAnsi" w:hAnsiTheme="minorHAnsi" w:cstheme="minorHAnsi"/>
          <w:sz w:val="22"/>
          <w:szCs w:val="22"/>
        </w:rPr>
        <w:t>ight</w:t>
      </w:r>
      <w:r w:rsidR="006304AF" w:rsidRPr="004B0BC2">
        <w:rPr>
          <w:rFonts w:asciiTheme="minorHAnsi" w:hAnsiTheme="minorHAnsi" w:cstheme="minorHAnsi"/>
          <w:sz w:val="22"/>
          <w:szCs w:val="22"/>
        </w:rPr>
        <w:t xml:space="preserve"> </w:t>
      </w:r>
      <w:r w:rsidR="004268A3" w:rsidRPr="004B0BC2">
        <w:rPr>
          <w:rFonts w:asciiTheme="minorHAnsi" w:hAnsiTheme="minorHAnsi" w:cstheme="minorHAnsi"/>
          <w:sz w:val="22"/>
          <w:szCs w:val="22"/>
        </w:rPr>
        <w:t xml:space="preserve">be a proxy </w:t>
      </w:r>
      <w:r w:rsidR="00F727CC" w:rsidRPr="004B0BC2">
        <w:rPr>
          <w:rFonts w:asciiTheme="minorHAnsi" w:hAnsiTheme="minorHAnsi" w:cstheme="minorHAnsi"/>
          <w:sz w:val="22"/>
          <w:szCs w:val="22"/>
        </w:rPr>
        <w:t xml:space="preserve">for </w:t>
      </w:r>
      <w:r w:rsidR="006304AF">
        <w:rPr>
          <w:rFonts w:asciiTheme="minorHAnsi" w:hAnsiTheme="minorHAnsi" w:cstheme="minorHAnsi"/>
          <w:sz w:val="22"/>
          <w:szCs w:val="22"/>
        </w:rPr>
        <w:t>m</w:t>
      </w:r>
      <w:r w:rsidR="00F727CC" w:rsidRPr="004B0BC2">
        <w:rPr>
          <w:rFonts w:asciiTheme="minorHAnsi" w:hAnsiTheme="minorHAnsi" w:cstheme="minorHAnsi"/>
          <w:sz w:val="22"/>
          <w:szCs w:val="22"/>
        </w:rPr>
        <w:t>en</w:t>
      </w:r>
      <w:r w:rsidR="0047220A" w:rsidRPr="004B0BC2">
        <w:rPr>
          <w:rFonts w:asciiTheme="minorHAnsi" w:hAnsiTheme="minorHAnsi" w:cstheme="minorHAnsi"/>
          <w:sz w:val="22"/>
          <w:szCs w:val="22"/>
        </w:rPr>
        <w:t>’</w:t>
      </w:r>
      <w:r w:rsidR="00F727CC" w:rsidRPr="004B0BC2">
        <w:rPr>
          <w:rFonts w:asciiTheme="minorHAnsi" w:hAnsiTheme="minorHAnsi" w:cstheme="minorHAnsi"/>
          <w:sz w:val="22"/>
          <w:szCs w:val="22"/>
        </w:rPr>
        <w:t xml:space="preserve">s </w:t>
      </w:r>
      <w:r w:rsidR="006304AF">
        <w:rPr>
          <w:rFonts w:asciiTheme="minorHAnsi" w:hAnsiTheme="minorHAnsi" w:cstheme="minorHAnsi"/>
          <w:sz w:val="22"/>
          <w:szCs w:val="22"/>
        </w:rPr>
        <w:t xml:space="preserve">general </w:t>
      </w:r>
      <w:r w:rsidR="00F727CC" w:rsidRPr="004B0BC2">
        <w:rPr>
          <w:rFonts w:asciiTheme="minorHAnsi" w:hAnsiTheme="minorHAnsi" w:cstheme="minorHAnsi"/>
          <w:sz w:val="22"/>
          <w:szCs w:val="22"/>
        </w:rPr>
        <w:t>health</w:t>
      </w:r>
      <w:r w:rsidR="001325EE" w:rsidRPr="004B0BC2">
        <w:rPr>
          <w:rFonts w:asciiTheme="minorHAnsi" w:hAnsiTheme="minorHAnsi" w:cstheme="minorHAnsi"/>
          <w:sz w:val="22"/>
          <w:szCs w:val="22"/>
        </w:rPr>
        <w:t xml:space="preserve"> </w:t>
      </w:r>
      <w:r w:rsidR="00943811"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{"citationItems":[{"id":"ITEM-1","itemData":{"DOI":"10.1016/j.eururo.2009.03.001","ISSN":"03022838","PMID":"19297076","abstract":"Background: An association between either subfertility or infertility and an elevated risk of certain male cancers has been previously reported. Nothing is known about abnormalities in infertility and general health conditions. Objective: To assess whether men with male factor infertility (MFI) are overall less healthy than fertile men, regardless of the reasons for infertility. Design, setting, and participants: From September 2006 to September 2007, 344 consecutive European Caucasian men with MFI were enrolled in this prospective case-controlled study. Patients were compared with a control group of 293 consecutive age-comparable fertile men. Infertile men were consecutively attending the outpatient male reproductive clinic at a tertiary academic center. Fertile controls were consecutively recruited by use of advertisements posted within our hospital. Measurements: Comorbidities of patients and fertile men were objectively scored with the Charlson Comorbidity Index (CCI) according to the International Classification of Diseases modified ninth version (ICD-9-CM) codes. Multivariate linear regression models tested the association between predictors and CCI score, as a proxy of general health status. Results: According to the CCI scores, infertile men had a significantly higher rate of comorbidities compared with the fertile controls (CCI: 0.33 [0.8] vs 0.14 [0.5]; p &lt; 0.001; 95% CI: 0.08-0.29). Linear regression analyses showed that although educational status did not have an impact on CCI (β: 0.035; p = 0.365), while CCI linearly increased with age (β: 0.196; p &lt; 0.001) and body mass index (BMI; β: 0.161; p &lt; 0.001). After adjusting for age, BMI, and educational status, a significantly lower CCI was calculated for fertile men and compared with MFI patients (β: -0.199; p &lt; 0.001). Conclusions: These results show that MFI accounts for a higher CCI, which may be considered a reliable proxy of a lower general health status. © 2009 European Association of Urology.","author":[{"dropping-particle":"","family":"Salonia","given":"Andrea","non-dropping-particle":"","parse-names":false,"suffix":""},{"dropping-particle":"","family":"Matloob","given":"Rayan","non-dropping-particle":"","parse-names":false,"suffix":""},{"dropping-particle":"","family":"Gallina","given":"Andrea","non-dropping-particle":"","parse-names":false,"suffix":""},{"dropping-particle":"","family":"Abdollah","given":"Firas","non-dropping-particle":"","parse-names":false,"suffix":""},{"dropping-particle":"","family":"Saccà","given":"Antonino","non-dropping-particle":"","parse-names":false,"suffix":""},{"dropping-particle":"","family":"Briganti","given":"Alberto","non-dropping-particle":"","parse-names":false,"suffix":""},{"dropping-particle":"","family":"Suardi","given":"Nazareno","non-dropping-particle":"","parse-names":false,"suffix":""},{"dropping-particle":"","family":"Colombo","given":"Renzo","non-dropping-particle":"","parse-names":false,"suffix":""},{"dropping-particle":"","family":"Rocchini","given":"Lorenzo","non-dropping-particle":"","parse-names":false,"suffix":""},{"dropping-particle":"","family":"Guazzoni","given":"Giorgio","non-dropping-particle":"","parse-names":false,"suffix":""},{"dropping-particle":"","family":"Rigatti","given":"Patrizio","non-dropping-particle":"","parse-names":false,"suffix":""},{"dropping-particle":"","family":"Montorsi","given":"Francesco","non-dropping-particle":"","parse-names":false,"suffix":""}],"container-title":"European Urology","id":"ITEM-1","issue":"6","issued":{"date-parts":[["2009"]]},"page":"1025-1032","title":"Are Infertile Men Less Healthy than Fertile Men? Results of a Prospective Case-Control Survey","type":"article-journal","volume":"56"},"uris":["http://www.mendeley.com/documents/?uuid=ae55f82a-baf1-4fa7-a3d8-5f1d9c69b6d0"]}],"mendeley":{"formattedCitation":"(167)","plainTextFormattedCitation":"(167)","previouslyFormattedCitation":"(167)"},"properties":{"noteIndex":0},"schema":"https://github.com/citation-style-language/schema/raw/master/csl-citation.json"}</w:instrText>
      </w:r>
      <w:r w:rsidR="00943811"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(167)</w:t>
      </w:r>
      <w:r w:rsidR="00943811" w:rsidRPr="004B0BC2">
        <w:rPr>
          <w:rFonts w:asciiTheme="minorHAnsi" w:hAnsiTheme="minorHAnsi" w:cstheme="minorHAnsi"/>
          <w:sz w:val="22"/>
          <w:szCs w:val="22"/>
        </w:rPr>
        <w:fldChar w:fldCharType="end"/>
      </w:r>
      <w:r w:rsidR="00F0685E" w:rsidRPr="004B0BC2">
        <w:rPr>
          <w:rFonts w:asciiTheme="minorHAnsi" w:hAnsiTheme="minorHAnsi" w:cstheme="minorHAnsi"/>
          <w:sz w:val="22"/>
          <w:szCs w:val="22"/>
        </w:rPr>
        <w:t xml:space="preserve"> </w:t>
      </w:r>
      <w:r w:rsidR="006304AF">
        <w:rPr>
          <w:rFonts w:ascii="Calibri" w:hAnsi="Calibri" w:cs="Calibri"/>
          <w:sz w:val="22"/>
          <w:szCs w:val="22"/>
        </w:rPr>
        <w:t>—</w:t>
      </w:r>
      <w:r w:rsidR="006304AF">
        <w:rPr>
          <w:rFonts w:asciiTheme="minorHAnsi" w:hAnsiTheme="minorHAnsi" w:cstheme="minorHAnsi"/>
          <w:sz w:val="22"/>
          <w:szCs w:val="22"/>
        </w:rPr>
        <w:t xml:space="preserve"> </w:t>
      </w:r>
      <w:r w:rsidR="00B50CF1" w:rsidRPr="004B0BC2">
        <w:rPr>
          <w:rFonts w:asciiTheme="minorHAnsi" w:hAnsiTheme="minorHAnsi" w:cstheme="minorHAnsi"/>
          <w:sz w:val="22"/>
          <w:szCs w:val="22"/>
        </w:rPr>
        <w:t>the</w:t>
      </w:r>
      <w:r w:rsidR="00F0685E" w:rsidRPr="004B0BC2">
        <w:rPr>
          <w:rFonts w:asciiTheme="minorHAnsi" w:hAnsiTheme="minorHAnsi" w:cstheme="minorHAnsi"/>
          <w:sz w:val="22"/>
          <w:szCs w:val="22"/>
        </w:rPr>
        <w:t xml:space="preserve"> metabolic syndrome</w:t>
      </w:r>
      <w:r w:rsidR="007D5C13" w:rsidRPr="004B0BC2">
        <w:rPr>
          <w:rFonts w:asciiTheme="minorHAnsi" w:hAnsiTheme="minorHAnsi" w:cstheme="minorHAnsi"/>
          <w:sz w:val="22"/>
          <w:szCs w:val="22"/>
        </w:rPr>
        <w:t xml:space="preserve"> (MetS)</w:t>
      </w:r>
      <w:r w:rsidR="00F0685E" w:rsidRPr="004B0BC2">
        <w:rPr>
          <w:rFonts w:asciiTheme="minorHAnsi" w:hAnsiTheme="minorHAnsi" w:cstheme="minorHAnsi"/>
          <w:sz w:val="22"/>
          <w:szCs w:val="22"/>
        </w:rPr>
        <w:t xml:space="preserve"> </w:t>
      </w:r>
      <w:r w:rsidR="006304AF">
        <w:rPr>
          <w:rFonts w:asciiTheme="minorHAnsi" w:hAnsiTheme="minorHAnsi" w:cstheme="minorHAnsi"/>
          <w:sz w:val="22"/>
          <w:szCs w:val="22"/>
        </w:rPr>
        <w:t>i</w:t>
      </w:r>
      <w:r w:rsidR="006304AF" w:rsidRPr="004B0BC2">
        <w:rPr>
          <w:rFonts w:asciiTheme="minorHAnsi" w:hAnsiTheme="minorHAnsi" w:cstheme="minorHAnsi"/>
          <w:sz w:val="22"/>
          <w:szCs w:val="22"/>
        </w:rPr>
        <w:t xml:space="preserve">s </w:t>
      </w:r>
      <w:r w:rsidR="00F0685E" w:rsidRPr="004B0BC2">
        <w:rPr>
          <w:rFonts w:asciiTheme="minorHAnsi" w:hAnsiTheme="minorHAnsi" w:cstheme="minorHAnsi"/>
          <w:sz w:val="22"/>
          <w:szCs w:val="22"/>
          <w:shd w:val="clear" w:color="auto" w:fill="FFFFFF"/>
        </w:rPr>
        <w:t>associated with a decreased sperm concentration (</w:t>
      </w:r>
      <w:r w:rsidR="00A50E38" w:rsidRPr="004B0BC2">
        <w:rPr>
          <w:rFonts w:asciiTheme="minorHAnsi" w:hAnsiTheme="minorHAnsi" w:cstheme="minorHAnsi"/>
          <w:sz w:val="22"/>
          <w:szCs w:val="22"/>
          <w:shd w:val="clear" w:color="auto" w:fill="FFFFFF"/>
        </w:rPr>
        <w:t>p</w:t>
      </w:r>
      <w:r w:rsidR="00F0685E" w:rsidRPr="004B0BC2">
        <w:rPr>
          <w:rFonts w:asciiTheme="minorHAnsi" w:hAnsiTheme="minorHAnsi" w:cstheme="minorHAnsi"/>
          <w:sz w:val="22"/>
          <w:szCs w:val="22"/>
          <w:shd w:val="clear" w:color="auto" w:fill="FFFFFF"/>
        </w:rPr>
        <w:t xml:space="preserve"> = 0.0026), total sperm count (</w:t>
      </w:r>
      <w:r w:rsidR="00A50E38" w:rsidRPr="004B0BC2">
        <w:rPr>
          <w:rFonts w:asciiTheme="minorHAnsi" w:hAnsiTheme="minorHAnsi" w:cstheme="minorHAnsi"/>
          <w:sz w:val="22"/>
          <w:szCs w:val="22"/>
          <w:shd w:val="clear" w:color="auto" w:fill="FFFFFF"/>
        </w:rPr>
        <w:t>p</w:t>
      </w:r>
      <w:r w:rsidR="00F0685E" w:rsidRPr="004B0BC2">
        <w:rPr>
          <w:rFonts w:asciiTheme="minorHAnsi" w:hAnsiTheme="minorHAnsi" w:cstheme="minorHAnsi"/>
          <w:sz w:val="22"/>
          <w:szCs w:val="22"/>
          <w:shd w:val="clear" w:color="auto" w:fill="FFFFFF"/>
        </w:rPr>
        <w:t xml:space="preserve"> = 0.0034), total motility (</w:t>
      </w:r>
      <w:r w:rsidR="00A50E38" w:rsidRPr="004B0BC2">
        <w:rPr>
          <w:rFonts w:asciiTheme="minorHAnsi" w:hAnsiTheme="minorHAnsi" w:cstheme="minorHAnsi"/>
          <w:sz w:val="22"/>
          <w:szCs w:val="22"/>
          <w:shd w:val="clear" w:color="auto" w:fill="FFFFFF"/>
        </w:rPr>
        <w:t>p</w:t>
      </w:r>
      <w:r w:rsidR="00F0685E" w:rsidRPr="004B0BC2">
        <w:rPr>
          <w:rFonts w:asciiTheme="minorHAnsi" w:hAnsiTheme="minorHAnsi" w:cstheme="minorHAnsi"/>
          <w:sz w:val="22"/>
          <w:szCs w:val="22"/>
          <w:shd w:val="clear" w:color="auto" w:fill="FFFFFF"/>
        </w:rPr>
        <w:t xml:space="preserve"> = 0.0291), sperm vitality (</w:t>
      </w:r>
      <w:r w:rsidR="00A50E38" w:rsidRPr="004B0BC2">
        <w:rPr>
          <w:rFonts w:asciiTheme="minorHAnsi" w:hAnsiTheme="minorHAnsi" w:cstheme="minorHAnsi"/>
          <w:sz w:val="22"/>
          <w:szCs w:val="22"/>
          <w:shd w:val="clear" w:color="auto" w:fill="FFFFFF"/>
        </w:rPr>
        <w:t>p</w:t>
      </w:r>
      <w:r w:rsidR="00F0685E" w:rsidRPr="004B0BC2">
        <w:rPr>
          <w:rFonts w:asciiTheme="minorHAnsi" w:hAnsiTheme="minorHAnsi" w:cstheme="minorHAnsi"/>
          <w:sz w:val="22"/>
          <w:szCs w:val="22"/>
          <w:shd w:val="clear" w:color="auto" w:fill="FFFFFF"/>
        </w:rPr>
        <w:t xml:space="preserve"> = 0.002</w:t>
      </w:r>
      <w:r w:rsidR="007D5C13" w:rsidRPr="004B0BC2">
        <w:rPr>
          <w:rFonts w:asciiTheme="minorHAnsi" w:hAnsiTheme="minorHAnsi" w:cstheme="minorHAnsi"/>
          <w:sz w:val="22"/>
          <w:szCs w:val="22"/>
          <w:shd w:val="clear" w:color="auto" w:fill="FFFFFF"/>
        </w:rPr>
        <w:t xml:space="preserve">) </w:t>
      </w:r>
      <w:r w:rsidR="00F0685E" w:rsidRPr="004B0BC2">
        <w:rPr>
          <w:rFonts w:asciiTheme="minorHAnsi" w:hAnsiTheme="minorHAnsi" w:cstheme="minorHAnsi"/>
          <w:sz w:val="22"/>
          <w:szCs w:val="22"/>
          <w:shd w:val="clear" w:color="auto" w:fill="FFFFFF"/>
        </w:rPr>
        <w:t>and abnormal sperm DNA fragmentation (</w:t>
      </w:r>
      <w:r w:rsidR="00A50E38" w:rsidRPr="004B0BC2">
        <w:rPr>
          <w:rFonts w:asciiTheme="minorHAnsi" w:hAnsiTheme="minorHAnsi" w:cstheme="minorHAnsi"/>
          <w:sz w:val="22"/>
          <w:szCs w:val="22"/>
          <w:shd w:val="clear" w:color="auto" w:fill="FFFFFF"/>
        </w:rPr>
        <w:t>p</w:t>
      </w:r>
      <w:r w:rsidR="00F0685E" w:rsidRPr="004B0BC2">
        <w:rPr>
          <w:rFonts w:asciiTheme="minorHAnsi" w:hAnsiTheme="minorHAnsi" w:cstheme="minorHAnsi"/>
          <w:sz w:val="22"/>
          <w:szCs w:val="22"/>
          <w:shd w:val="clear" w:color="auto" w:fill="FFFFFF"/>
        </w:rPr>
        <w:t xml:space="preserve"> = 0.0287)</w:t>
      </w:r>
      <w:r w:rsidR="007D5C13" w:rsidRPr="004B0BC2">
        <w:rPr>
          <w:rFonts w:asciiTheme="minorHAnsi" w:hAnsiTheme="minorHAnsi" w:cstheme="minorHAnsi"/>
          <w:sz w:val="22"/>
          <w:szCs w:val="22"/>
          <w:shd w:val="clear" w:color="auto" w:fill="FFFFFF"/>
        </w:rPr>
        <w:fldChar w:fldCharType="begin" w:fldLock="1"/>
      </w:r>
      <w:r w:rsidR="00693DD5">
        <w:rPr>
          <w:rFonts w:asciiTheme="minorHAnsi" w:hAnsiTheme="minorHAnsi" w:cstheme="minorHAnsi"/>
          <w:sz w:val="22"/>
          <w:szCs w:val="22"/>
          <w:shd w:val="clear" w:color="auto" w:fill="FFFFFF"/>
        </w:rPr>
        <w:instrText>ADDIN CSL_CITATION {"citationItems":[{"id":"ITEM-1","itemData":{"DOI":"10.1111/and.12060","ISSN":"03034569","PMID":"23278477","abstract":"The metabolic syndrome (MetS) is a constellation of various risk factors. This study aimed to investigate the effect of MetS on testosterone and progesterone, and semen parameters, in a case-controlled pilot study. Male patients (n = 54) had body mass index, waist-to-hip ratio (WHR) and blood pressure recorded. Blood was analysed for HDL cholesterol, triglycerides and glucose. Saliva was assayed for free testosterone and free progesterone. Ejaculates were analysed for volume, sperm concentration, total sperm count, motility, vitality, mitochondrial membrane potential (MMP), DNA fragmentation and leucocyte concentration. Participants were divided into the control group (n = 28) and the MetS group (n = 26). Differences were found between the groups for body mass index, WHR, blood pressure, high-density lipoprotein (HDL), triglycerides and glucose. The MetS group showed significant reductions in sperm concentration (P = 0.0026), total sperm count (P = 0.0034), total motility (P = 0.0291), sperm vitality (P = 0.002), MMP (P = 0.0039), free testosterone (P = 0.0093) and free progesterone (P = 0.0130), while values for DNA fragmentation increased (P = 0.0287). Results indicate that patients with MetS have compromised sperm parameters in the absence of leucocytospermia. A reduction in free progesterone suggests that steroidogenesis cascades may be compromised. It is hypothesised that a systemic pro-inflammatory state with oxidative stress associated with MetS may provide a novel explanation. © 2012 Blackwell Verlag GmbH.","author":[{"dropping-particle":"","family":"Leisegang","given":"K.","non-dropping-particle":"","parse-names":false,"suffix":""},{"dropping-particle":"","family":"Udodong","given":"A.","non-dropping-particle":"","parse-names":false,"suffix":""},{"dropping-particle":"","family":"Bouic","given":"P. J.D.","non-dropping-particle":"","parse-names":false,"suffix":""},{"dropping-particle":"","family":"Henkel","given":"R. R.","non-dropping-particle":"","parse-names":false,"suffix":""}],"container-title":"Andrologia","id":"ITEM-1","issue":"2","issued":{"date-parts":[["2014"]]},"page":"167-176","title":"Effect of the metabolic syndrome on male reproductive function: A case-controlled pilot study","type":"article-journal","volume":"46"},"uris":["http://www.mendeley.com/documents/?uuid=5f1dcec3-d600-4c43-8d2c-d1e5c237260b"]}],"mendeley":{"formattedCitation":"(168)","plainTextFormattedCitation":"(168)","previouslyFormattedCitation":"(168)"},"properties":{"noteIndex":0},"schema":"https://github.com/citation-style-language/schema/raw/master/csl-citation.json"}</w:instrText>
      </w:r>
      <w:r w:rsidR="007D5C13" w:rsidRPr="004B0BC2">
        <w:rPr>
          <w:rFonts w:asciiTheme="minorHAnsi" w:hAnsiTheme="minorHAnsi" w:cstheme="minorHAnsi"/>
          <w:sz w:val="22"/>
          <w:szCs w:val="22"/>
          <w:shd w:val="clear" w:color="auto" w:fill="FFFFFF"/>
        </w:rPr>
        <w:fldChar w:fldCharType="separate"/>
      </w:r>
      <w:r w:rsidR="00693DD5" w:rsidRPr="00693DD5">
        <w:rPr>
          <w:rFonts w:asciiTheme="minorHAnsi" w:hAnsiTheme="minorHAnsi" w:cstheme="minorHAnsi"/>
          <w:noProof/>
          <w:sz w:val="22"/>
          <w:szCs w:val="22"/>
          <w:shd w:val="clear" w:color="auto" w:fill="FFFFFF"/>
        </w:rPr>
        <w:t>(168)</w:t>
      </w:r>
      <w:r w:rsidR="007D5C13" w:rsidRPr="004B0BC2">
        <w:rPr>
          <w:rFonts w:asciiTheme="minorHAnsi" w:hAnsiTheme="minorHAnsi" w:cstheme="minorHAnsi"/>
          <w:sz w:val="22"/>
          <w:szCs w:val="22"/>
          <w:shd w:val="clear" w:color="auto" w:fill="FFFFFF"/>
        </w:rPr>
        <w:fldChar w:fldCharType="end"/>
      </w:r>
      <w:r w:rsidR="00F0685E" w:rsidRPr="004B0BC2">
        <w:rPr>
          <w:rFonts w:asciiTheme="minorHAnsi" w:hAnsiTheme="minorHAnsi" w:cstheme="minorHAnsi"/>
          <w:sz w:val="22"/>
          <w:szCs w:val="22"/>
          <w:shd w:val="clear" w:color="auto" w:fill="FFFFFF"/>
        </w:rPr>
        <w:t>.</w:t>
      </w:r>
      <w:r w:rsidR="00A301B3" w:rsidRPr="004B0BC2">
        <w:rPr>
          <w:rFonts w:asciiTheme="minorHAnsi" w:hAnsiTheme="minorHAnsi" w:cstheme="minorHAnsi"/>
          <w:sz w:val="22"/>
          <w:szCs w:val="22"/>
          <w:shd w:val="clear" w:color="auto" w:fill="FFFFFF"/>
        </w:rPr>
        <w:t xml:space="preserve"> </w:t>
      </w:r>
      <w:r w:rsidR="006304AF">
        <w:rPr>
          <w:rFonts w:asciiTheme="minorHAnsi" w:hAnsiTheme="minorHAnsi" w:cstheme="minorHAnsi"/>
          <w:sz w:val="22"/>
          <w:szCs w:val="22"/>
          <w:shd w:val="clear" w:color="auto" w:fill="FFFFFF"/>
        </w:rPr>
        <w:t>Analysis of</w:t>
      </w:r>
      <w:r w:rsidR="00A301B3" w:rsidRPr="004B0BC2">
        <w:rPr>
          <w:rFonts w:asciiTheme="minorHAnsi" w:hAnsiTheme="minorHAnsi" w:cstheme="minorHAnsi"/>
          <w:sz w:val="22"/>
          <w:szCs w:val="22"/>
          <w:shd w:val="clear" w:color="auto" w:fill="FFFFFF"/>
        </w:rPr>
        <w:t xml:space="preserve"> the records of </w:t>
      </w:r>
      <w:r w:rsidR="00A479C4">
        <w:rPr>
          <w:rFonts w:asciiTheme="minorHAnsi" w:hAnsiTheme="minorHAnsi" w:cstheme="minorHAnsi"/>
          <w:sz w:val="22"/>
          <w:szCs w:val="22"/>
          <w:shd w:val="clear" w:color="auto" w:fill="FFFFFF"/>
        </w:rPr>
        <w:t>11</w:t>
      </w:r>
      <w:r w:rsidR="00343CD7">
        <w:rPr>
          <w:rFonts w:asciiTheme="minorHAnsi" w:hAnsiTheme="minorHAnsi" w:cstheme="minorHAnsi"/>
          <w:sz w:val="22"/>
          <w:szCs w:val="22"/>
          <w:shd w:val="clear" w:color="auto" w:fill="FFFFFF"/>
        </w:rPr>
        <w:t>,</w:t>
      </w:r>
      <w:r w:rsidR="00A479C4">
        <w:rPr>
          <w:rFonts w:asciiTheme="minorHAnsi" w:hAnsiTheme="minorHAnsi" w:cstheme="minorHAnsi"/>
          <w:sz w:val="22"/>
          <w:szCs w:val="22"/>
          <w:shd w:val="clear" w:color="auto" w:fill="FFFFFF"/>
        </w:rPr>
        <w:t>935 infertile</w:t>
      </w:r>
      <w:r w:rsidR="00C343A6" w:rsidRPr="004B0BC2">
        <w:rPr>
          <w:rFonts w:asciiTheme="minorHAnsi" w:hAnsiTheme="minorHAnsi" w:cstheme="minorHAnsi"/>
          <w:sz w:val="22"/>
          <w:szCs w:val="22"/>
          <w:shd w:val="clear" w:color="auto" w:fill="FFFFFF"/>
        </w:rPr>
        <w:t xml:space="preserve"> men </w:t>
      </w:r>
      <w:r w:rsidR="006304AF">
        <w:rPr>
          <w:rFonts w:asciiTheme="minorHAnsi" w:hAnsiTheme="minorHAnsi" w:cstheme="minorHAnsi"/>
          <w:sz w:val="22"/>
          <w:szCs w:val="22"/>
          <w:shd w:val="clear" w:color="auto" w:fill="FFFFFF"/>
        </w:rPr>
        <w:t>demonstrat</w:t>
      </w:r>
      <w:r w:rsidR="00C343A6" w:rsidRPr="004B0BC2">
        <w:rPr>
          <w:rFonts w:asciiTheme="minorHAnsi" w:hAnsiTheme="minorHAnsi" w:cstheme="minorHAnsi"/>
          <w:sz w:val="22"/>
          <w:szCs w:val="22"/>
          <w:shd w:val="clear" w:color="auto" w:fill="FFFFFF"/>
        </w:rPr>
        <w:t xml:space="preserve">ed </w:t>
      </w:r>
      <w:r w:rsidR="008824FE" w:rsidRPr="004B0BC2">
        <w:rPr>
          <w:rFonts w:asciiTheme="minorHAnsi" w:hAnsiTheme="minorHAnsi" w:cstheme="minorHAnsi"/>
          <w:sz w:val="22"/>
          <w:szCs w:val="22"/>
          <w:shd w:val="clear" w:color="auto" w:fill="FFFFFF"/>
        </w:rPr>
        <w:t xml:space="preserve">that </w:t>
      </w:r>
      <w:r w:rsidR="008824FE" w:rsidRPr="004B0BC2">
        <w:rPr>
          <w:rFonts w:asciiTheme="minorHAnsi" w:hAnsiTheme="minorHAnsi" w:cstheme="minorHAnsi"/>
          <w:sz w:val="22"/>
          <w:szCs w:val="22"/>
        </w:rPr>
        <w:t>men with an abnormal semen analysis had a 2</w:t>
      </w:r>
      <w:r w:rsidR="00A479C4">
        <w:rPr>
          <w:rFonts w:asciiTheme="minorHAnsi" w:hAnsiTheme="minorHAnsi" w:cstheme="minorHAnsi"/>
          <w:sz w:val="22"/>
          <w:szCs w:val="22"/>
        </w:rPr>
        <w:t>.3</w:t>
      </w:r>
      <w:r w:rsidR="008824FE" w:rsidRPr="004B0BC2">
        <w:rPr>
          <w:rFonts w:asciiTheme="minorHAnsi" w:hAnsiTheme="minorHAnsi" w:cstheme="minorHAnsi"/>
          <w:sz w:val="22"/>
          <w:szCs w:val="22"/>
        </w:rPr>
        <w:t xml:space="preserve"> times increased</w:t>
      </w:r>
      <w:r w:rsidR="00A479C4">
        <w:rPr>
          <w:rFonts w:asciiTheme="minorHAnsi" w:hAnsiTheme="minorHAnsi" w:cstheme="minorHAnsi"/>
          <w:sz w:val="22"/>
          <w:szCs w:val="22"/>
        </w:rPr>
        <w:t xml:space="preserve"> overall</w:t>
      </w:r>
      <w:r w:rsidR="008824FE" w:rsidRPr="004B0BC2">
        <w:rPr>
          <w:rFonts w:asciiTheme="minorHAnsi" w:hAnsiTheme="minorHAnsi" w:cstheme="minorHAnsi"/>
          <w:sz w:val="22"/>
          <w:szCs w:val="22"/>
        </w:rPr>
        <w:t xml:space="preserve"> mortalit</w:t>
      </w:r>
      <w:r w:rsidR="00A479C4">
        <w:rPr>
          <w:rFonts w:asciiTheme="minorHAnsi" w:hAnsiTheme="minorHAnsi" w:cstheme="minorHAnsi"/>
          <w:sz w:val="22"/>
          <w:szCs w:val="22"/>
        </w:rPr>
        <w:t>y</w:t>
      </w:r>
      <w:r w:rsidR="008824FE" w:rsidRPr="004B0BC2">
        <w:rPr>
          <w:rFonts w:asciiTheme="minorHAnsi" w:hAnsiTheme="minorHAnsi" w:cstheme="minorHAnsi"/>
          <w:sz w:val="22"/>
          <w:szCs w:val="22"/>
        </w:rPr>
        <w:t xml:space="preserve"> risk</w:t>
      </w:r>
      <w:r w:rsidR="006304AF">
        <w:rPr>
          <w:rFonts w:asciiTheme="minorHAnsi" w:hAnsiTheme="minorHAnsi" w:cstheme="minorHAnsi"/>
          <w:sz w:val="22"/>
          <w:szCs w:val="22"/>
        </w:rPr>
        <w:t xml:space="preserve"> </w:t>
      </w:r>
      <w:r w:rsidR="008824FE" w:rsidRPr="004B0BC2">
        <w:rPr>
          <w:rFonts w:asciiTheme="minorHAnsi" w:hAnsiTheme="minorHAnsi" w:cstheme="minorHAnsi"/>
          <w:sz w:val="22"/>
          <w:szCs w:val="22"/>
        </w:rPr>
        <w:t xml:space="preserve">compared </w:t>
      </w:r>
      <w:r w:rsidR="006304AF">
        <w:rPr>
          <w:rFonts w:asciiTheme="minorHAnsi" w:hAnsiTheme="minorHAnsi" w:cstheme="minorHAnsi"/>
          <w:sz w:val="22"/>
          <w:szCs w:val="22"/>
        </w:rPr>
        <w:t>with</w:t>
      </w:r>
      <w:r w:rsidR="008824FE" w:rsidRPr="004B0BC2">
        <w:rPr>
          <w:rFonts w:asciiTheme="minorHAnsi" w:hAnsiTheme="minorHAnsi" w:cstheme="minorHAnsi"/>
          <w:sz w:val="22"/>
          <w:szCs w:val="22"/>
        </w:rPr>
        <w:t xml:space="preserve"> </w:t>
      </w:r>
      <w:r w:rsidR="006304AF">
        <w:rPr>
          <w:rFonts w:asciiTheme="minorHAnsi" w:hAnsiTheme="minorHAnsi" w:cstheme="minorHAnsi"/>
          <w:sz w:val="22"/>
          <w:szCs w:val="22"/>
        </w:rPr>
        <w:t>men</w:t>
      </w:r>
      <w:r w:rsidR="006304AF" w:rsidRPr="004B0BC2">
        <w:rPr>
          <w:rFonts w:asciiTheme="minorHAnsi" w:hAnsiTheme="minorHAnsi" w:cstheme="minorHAnsi"/>
          <w:sz w:val="22"/>
          <w:szCs w:val="22"/>
        </w:rPr>
        <w:t xml:space="preserve"> </w:t>
      </w:r>
      <w:r w:rsidR="008824FE" w:rsidRPr="004B0BC2">
        <w:rPr>
          <w:rFonts w:asciiTheme="minorHAnsi" w:hAnsiTheme="minorHAnsi" w:cstheme="minorHAnsi"/>
          <w:sz w:val="22"/>
          <w:szCs w:val="22"/>
        </w:rPr>
        <w:t xml:space="preserve">with normal </w:t>
      </w:r>
      <w:r w:rsidR="006304AF">
        <w:rPr>
          <w:rFonts w:asciiTheme="minorHAnsi" w:hAnsiTheme="minorHAnsi" w:cstheme="minorHAnsi"/>
          <w:sz w:val="22"/>
          <w:szCs w:val="22"/>
        </w:rPr>
        <w:t xml:space="preserve">semen </w:t>
      </w:r>
      <w:r w:rsidR="008824FE" w:rsidRPr="004B0BC2">
        <w:rPr>
          <w:rFonts w:asciiTheme="minorHAnsi" w:hAnsiTheme="minorHAnsi" w:cstheme="minorHAnsi"/>
          <w:sz w:val="22"/>
          <w:szCs w:val="22"/>
        </w:rPr>
        <w:t>parameters</w:t>
      </w:r>
      <w:r w:rsidR="00FA10A5" w:rsidRPr="004B0BC2">
        <w:rPr>
          <w:rFonts w:asciiTheme="minorHAnsi" w:hAnsiTheme="minorHAnsi" w:cstheme="minorHAnsi"/>
          <w:sz w:val="22"/>
          <w:szCs w:val="22"/>
        </w:rPr>
        <w:t xml:space="preserve"> (</w:t>
      </w:r>
      <w:r w:rsidR="005E33E4" w:rsidRPr="004B0BC2">
        <w:rPr>
          <w:rFonts w:asciiTheme="minorHAnsi" w:hAnsiTheme="minorHAnsi" w:cstheme="minorHAnsi"/>
          <w:sz w:val="22"/>
          <w:szCs w:val="22"/>
        </w:rPr>
        <w:t xml:space="preserve">HR: </w:t>
      </w:r>
      <w:r w:rsidR="004E59BD" w:rsidRPr="004B0BC2">
        <w:rPr>
          <w:rFonts w:asciiTheme="minorHAnsi" w:hAnsiTheme="minorHAnsi" w:cstheme="minorHAnsi"/>
          <w:sz w:val="22"/>
          <w:szCs w:val="22"/>
        </w:rPr>
        <w:t>2.9, 95% CI</w:t>
      </w:r>
      <w:r w:rsidR="005E33E4" w:rsidRPr="004B0BC2">
        <w:rPr>
          <w:rFonts w:asciiTheme="minorHAnsi" w:hAnsiTheme="minorHAnsi" w:cstheme="minorHAnsi"/>
          <w:sz w:val="22"/>
          <w:szCs w:val="22"/>
        </w:rPr>
        <w:t>:</w:t>
      </w:r>
      <w:r w:rsidR="00CB07E1" w:rsidRPr="004B0BC2">
        <w:rPr>
          <w:rFonts w:asciiTheme="minorHAnsi" w:hAnsiTheme="minorHAnsi" w:cstheme="minorHAnsi"/>
          <w:sz w:val="22"/>
          <w:szCs w:val="22"/>
        </w:rPr>
        <w:t xml:space="preserve">1.12-4.65, </w:t>
      </w:r>
      <w:r w:rsidR="00A50E38" w:rsidRPr="004B0BC2">
        <w:rPr>
          <w:rFonts w:asciiTheme="minorHAnsi" w:hAnsiTheme="minorHAnsi" w:cstheme="minorHAnsi"/>
          <w:sz w:val="22"/>
          <w:szCs w:val="22"/>
        </w:rPr>
        <w:t>p</w:t>
      </w:r>
      <w:r w:rsidR="00CB07E1" w:rsidRPr="004B0BC2">
        <w:rPr>
          <w:rFonts w:asciiTheme="minorHAnsi" w:hAnsiTheme="minorHAnsi" w:cstheme="minorHAnsi"/>
          <w:sz w:val="22"/>
          <w:szCs w:val="22"/>
        </w:rPr>
        <w:t xml:space="preserve">=0.02) </w:t>
      </w:r>
      <w:r w:rsidR="00CB07E1"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{"citationItems":[{"id":"ITEM-1","itemData":{"DOI":"10.1093/humrep/deu106","ISSN":"0268-1161","author":[{"dropping-particle":"","family":"Eisenberg","given":"M. L.","non-dropping-particle":"","parse-names":false,"suffix":""},{"dropping-particle":"","family":"Li","given":"S.","non-dropping-particle":"","parse-names":false,"suffix":""},{"dropping-particle":"","family":"Behr","given":"B.","non-dropping-particle":"","parse-names":false,"suffix":""},{"dropping-particle":"","family":"Cullen","given":"M. R.","non-dropping-particle":"","parse-names":false,"suffix":""},{"dropping-particle":"","family":"Galusha","given":"D.","non-dropping-particle":"","parse-names":false,"suffix":""},{"dropping-particle":"","family":"Lamb","given":"D. J.","non-dropping-particle":"","parse-names":false,"suffix":""},{"dropping-particle":"","family":"Lipshultz","given":"L. I.","non-dropping-particle":"","parse-names":false,"suffix":""}],"container-title":"Human Reproduction","id":"ITEM-1","issue":"7","issued":{"date-parts":[["2014"]]},"page":"1567-1574","title":"Semen quality, infertility and mortality in the USA","type":"article-journal","volume":"29"},"uris":["http://www.mendeley.com/documents/?uuid=22300863-acd1-3f95-b594-911fda0edf98"]}],"mendeley":{"formattedCitation":"(169)","plainTextFormattedCitation":"(169)","previouslyFormattedCitation":"(169)"},"properties":{"noteIndex":0},"schema":"https://github.com/citation-style-language/schema/raw/master/csl-citation.json"}</w:instrText>
      </w:r>
      <w:r w:rsidR="00CB07E1"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(169)</w:t>
      </w:r>
      <w:r w:rsidR="00CB07E1" w:rsidRPr="004B0BC2">
        <w:rPr>
          <w:rFonts w:asciiTheme="minorHAnsi" w:hAnsiTheme="minorHAnsi" w:cstheme="minorHAnsi"/>
          <w:sz w:val="22"/>
          <w:szCs w:val="22"/>
        </w:rPr>
        <w:fldChar w:fldCharType="end"/>
      </w:r>
      <w:r w:rsidR="00921464" w:rsidRPr="004B0BC2">
        <w:rPr>
          <w:rFonts w:asciiTheme="minorHAnsi" w:hAnsiTheme="minorHAnsi" w:cstheme="minorHAnsi"/>
          <w:sz w:val="22"/>
          <w:szCs w:val="22"/>
        </w:rPr>
        <w:t>.</w:t>
      </w:r>
      <w:r w:rsidR="00E84AE0" w:rsidRPr="004B0BC2">
        <w:rPr>
          <w:rFonts w:asciiTheme="minorHAnsi" w:hAnsiTheme="minorHAnsi" w:cstheme="minorHAnsi"/>
          <w:sz w:val="22"/>
          <w:szCs w:val="22"/>
        </w:rPr>
        <w:t xml:space="preserve"> </w:t>
      </w:r>
      <w:r w:rsidR="001304C8">
        <w:rPr>
          <w:rFonts w:asciiTheme="minorHAnsi" w:hAnsiTheme="minorHAnsi" w:cstheme="minorHAnsi"/>
          <w:sz w:val="22"/>
          <w:szCs w:val="22"/>
        </w:rPr>
        <w:t xml:space="preserve">A study </w:t>
      </w:r>
      <w:r w:rsidR="00E84AE0" w:rsidRPr="004B0BC2">
        <w:rPr>
          <w:rFonts w:asciiTheme="minorHAnsi" w:hAnsiTheme="minorHAnsi" w:cstheme="minorHAnsi"/>
          <w:sz w:val="22"/>
          <w:szCs w:val="22"/>
        </w:rPr>
        <w:t>compar</w:t>
      </w:r>
      <w:r w:rsidR="001304C8">
        <w:rPr>
          <w:rFonts w:asciiTheme="minorHAnsi" w:hAnsiTheme="minorHAnsi" w:cstheme="minorHAnsi"/>
          <w:sz w:val="22"/>
          <w:szCs w:val="22"/>
        </w:rPr>
        <w:t>ing</w:t>
      </w:r>
      <w:r w:rsidR="00E84AE0" w:rsidRPr="004B0BC2">
        <w:rPr>
          <w:rFonts w:asciiTheme="minorHAnsi" w:hAnsiTheme="minorHAnsi" w:cstheme="minorHAnsi"/>
          <w:sz w:val="22"/>
          <w:szCs w:val="22"/>
        </w:rPr>
        <w:t xml:space="preserve"> the Charlson Comorbidity score</w:t>
      </w:r>
      <w:r w:rsidR="00624028" w:rsidRPr="004B0BC2">
        <w:rPr>
          <w:rFonts w:asciiTheme="minorHAnsi" w:hAnsiTheme="minorHAnsi" w:cstheme="minorHAnsi"/>
          <w:sz w:val="22"/>
          <w:szCs w:val="22"/>
        </w:rPr>
        <w:t xml:space="preserve"> (CCI)</w:t>
      </w:r>
      <w:r w:rsidR="001304C8">
        <w:rPr>
          <w:rFonts w:asciiTheme="minorHAnsi" w:hAnsiTheme="minorHAnsi" w:cstheme="minorHAnsi"/>
          <w:sz w:val="22"/>
          <w:szCs w:val="22"/>
        </w:rPr>
        <w:t xml:space="preserve"> </w:t>
      </w:r>
      <w:r w:rsidR="001304C8">
        <w:rPr>
          <w:rFonts w:ascii="Calibri" w:hAnsi="Calibri" w:cs="Calibri"/>
          <w:sz w:val="22"/>
          <w:szCs w:val="22"/>
        </w:rPr>
        <w:t>—</w:t>
      </w:r>
      <w:r w:rsidR="00E84AE0" w:rsidRPr="004B0BC2">
        <w:rPr>
          <w:rFonts w:asciiTheme="minorHAnsi" w:hAnsiTheme="minorHAnsi" w:cstheme="minorHAnsi"/>
          <w:sz w:val="22"/>
          <w:szCs w:val="22"/>
        </w:rPr>
        <w:t xml:space="preserve"> a validated predictor of one-year mortality</w:t>
      </w:r>
      <w:r w:rsidR="001304C8">
        <w:rPr>
          <w:rFonts w:asciiTheme="minorHAnsi" w:hAnsiTheme="minorHAnsi" w:cstheme="minorHAnsi"/>
          <w:sz w:val="22"/>
          <w:szCs w:val="22"/>
        </w:rPr>
        <w:t xml:space="preserve"> </w:t>
      </w:r>
      <w:r w:rsidR="001304C8">
        <w:rPr>
          <w:rFonts w:ascii="Calibri" w:hAnsi="Calibri" w:cs="Calibri"/>
          <w:sz w:val="22"/>
          <w:szCs w:val="22"/>
        </w:rPr>
        <w:t>—</w:t>
      </w:r>
      <w:r w:rsidR="00E84AE0" w:rsidRPr="004B0BC2">
        <w:rPr>
          <w:rFonts w:asciiTheme="minorHAnsi" w:hAnsiTheme="minorHAnsi" w:cstheme="minorHAnsi"/>
          <w:sz w:val="22"/>
          <w:szCs w:val="22"/>
        </w:rPr>
        <w:t xml:space="preserve"> between 344 men with male factor infertility and 293 age</w:t>
      </w:r>
      <w:r w:rsidR="001304C8">
        <w:rPr>
          <w:rFonts w:asciiTheme="minorHAnsi" w:hAnsiTheme="minorHAnsi" w:cstheme="minorHAnsi"/>
          <w:sz w:val="22"/>
          <w:szCs w:val="22"/>
        </w:rPr>
        <w:t>-</w:t>
      </w:r>
      <w:r w:rsidR="00E84AE0" w:rsidRPr="004B0BC2">
        <w:rPr>
          <w:rFonts w:asciiTheme="minorHAnsi" w:hAnsiTheme="minorHAnsi" w:cstheme="minorHAnsi"/>
          <w:sz w:val="22"/>
          <w:szCs w:val="22"/>
        </w:rPr>
        <w:t>matched fertile controls</w:t>
      </w:r>
      <w:r w:rsidR="001304C8">
        <w:rPr>
          <w:rFonts w:asciiTheme="minorHAnsi" w:hAnsiTheme="minorHAnsi" w:cstheme="minorHAnsi"/>
          <w:sz w:val="22"/>
          <w:szCs w:val="22"/>
        </w:rPr>
        <w:t xml:space="preserve"> report</w:t>
      </w:r>
      <w:r w:rsidR="00E84AE0" w:rsidRPr="004B0BC2">
        <w:rPr>
          <w:rFonts w:asciiTheme="minorHAnsi" w:hAnsiTheme="minorHAnsi" w:cstheme="minorHAnsi"/>
          <w:sz w:val="22"/>
          <w:szCs w:val="22"/>
        </w:rPr>
        <w:t xml:space="preserve">ed that </w:t>
      </w:r>
      <w:r w:rsidR="00E84AE0" w:rsidRPr="004B0BC2">
        <w:rPr>
          <w:rFonts w:asciiTheme="minorHAnsi" w:hAnsiTheme="minorHAnsi" w:cstheme="minorHAnsi"/>
          <w:sz w:val="22"/>
          <w:szCs w:val="22"/>
        </w:rPr>
        <w:lastRenderedPageBreak/>
        <w:t xml:space="preserve">the infertile cohort had a significantly higher </w:t>
      </w:r>
      <w:r w:rsidR="00624028" w:rsidRPr="004B0BC2">
        <w:rPr>
          <w:rFonts w:asciiTheme="minorHAnsi" w:hAnsiTheme="minorHAnsi" w:cstheme="minorHAnsi"/>
          <w:sz w:val="22"/>
          <w:szCs w:val="22"/>
        </w:rPr>
        <w:t xml:space="preserve">CCI score than fertile </w:t>
      </w:r>
      <w:r w:rsidR="00976C8C">
        <w:rPr>
          <w:rFonts w:asciiTheme="minorHAnsi" w:hAnsiTheme="minorHAnsi" w:cstheme="minorHAnsi"/>
          <w:sz w:val="22"/>
          <w:szCs w:val="22"/>
        </w:rPr>
        <w:t>men</w:t>
      </w:r>
      <w:r w:rsidR="00976C8C" w:rsidRPr="004B0BC2">
        <w:rPr>
          <w:rFonts w:asciiTheme="minorHAnsi" w:hAnsiTheme="minorHAnsi" w:cstheme="minorHAnsi"/>
          <w:sz w:val="22"/>
          <w:szCs w:val="22"/>
        </w:rPr>
        <w:t xml:space="preserve"> </w:t>
      </w:r>
      <w:r w:rsidR="00624028" w:rsidRPr="004B0BC2">
        <w:rPr>
          <w:rFonts w:asciiTheme="minorHAnsi" w:hAnsiTheme="minorHAnsi" w:cstheme="minorHAnsi"/>
          <w:sz w:val="22"/>
          <w:szCs w:val="22"/>
        </w:rPr>
        <w:t>(</w:t>
      </w:r>
      <w:r w:rsidR="00624028" w:rsidRPr="004B0BC2">
        <w:rPr>
          <w:rFonts w:asciiTheme="minorHAnsi" w:hAnsiTheme="minorHAnsi" w:cstheme="minorHAnsi"/>
          <w:sz w:val="22"/>
          <w:szCs w:val="22"/>
          <w:shd w:val="clear" w:color="auto" w:fill="FFFFFF"/>
        </w:rPr>
        <w:t>0.33</w:t>
      </w:r>
      <w:r w:rsidR="005E33E4" w:rsidRPr="004B0BC2">
        <w:rPr>
          <w:rFonts w:asciiTheme="minorHAnsi" w:hAnsiTheme="minorHAnsi" w:cstheme="minorHAnsi"/>
          <w:sz w:val="22"/>
          <w:szCs w:val="22"/>
          <w:shd w:val="clear" w:color="auto" w:fill="FFFFFF"/>
        </w:rPr>
        <w:t xml:space="preserve"> </w:t>
      </w:r>
      <w:r w:rsidR="00624028" w:rsidRPr="004B0BC2">
        <w:rPr>
          <w:rFonts w:asciiTheme="minorHAnsi" w:hAnsiTheme="minorHAnsi" w:cstheme="minorHAnsi"/>
          <w:sz w:val="22"/>
          <w:szCs w:val="22"/>
          <w:shd w:val="clear" w:color="auto" w:fill="FFFFFF"/>
        </w:rPr>
        <w:t>v</w:t>
      </w:r>
      <w:r w:rsidR="001304C8">
        <w:rPr>
          <w:rFonts w:asciiTheme="minorHAnsi" w:hAnsiTheme="minorHAnsi" w:cstheme="minorHAnsi"/>
          <w:sz w:val="22"/>
          <w:szCs w:val="22"/>
          <w:shd w:val="clear" w:color="auto" w:fill="FFFFFF"/>
        </w:rPr>
        <w:t>ersu</w:t>
      </w:r>
      <w:r w:rsidR="00624028" w:rsidRPr="004B0BC2">
        <w:rPr>
          <w:rFonts w:asciiTheme="minorHAnsi" w:hAnsiTheme="minorHAnsi" w:cstheme="minorHAnsi"/>
          <w:sz w:val="22"/>
          <w:szCs w:val="22"/>
          <w:shd w:val="clear" w:color="auto" w:fill="FFFFFF"/>
        </w:rPr>
        <w:t>s 0.14</w:t>
      </w:r>
      <w:r w:rsidR="005E33E4" w:rsidRPr="004B0BC2">
        <w:rPr>
          <w:rFonts w:asciiTheme="minorHAnsi" w:hAnsiTheme="minorHAnsi" w:cstheme="minorHAnsi"/>
          <w:sz w:val="22"/>
          <w:szCs w:val="22"/>
          <w:shd w:val="clear" w:color="auto" w:fill="FFFFFF"/>
        </w:rPr>
        <w:t xml:space="preserve">, </w:t>
      </w:r>
      <w:r w:rsidR="00624028" w:rsidRPr="004B0BC2">
        <w:rPr>
          <w:rFonts w:asciiTheme="minorHAnsi" w:hAnsiTheme="minorHAnsi" w:cstheme="minorHAnsi"/>
          <w:sz w:val="22"/>
          <w:szCs w:val="22"/>
          <w:shd w:val="clear" w:color="auto" w:fill="FFFFFF"/>
        </w:rPr>
        <w:t>p&lt;0.001)</w:t>
      </w:r>
      <w:r w:rsidR="005E33E4"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{"citationItems":[{"id":"ITEM-1","itemData":{"DOI":"10.1016/j.eururo.2009.03.001","ISSN":"03022838","PMID":"19297076","abstract":"Background: An association between either subfertility or infertility and an elevated risk of certain male cancers has been previously reported. Nothing is known about abnormalities in infertility and general health conditions. Objective: To assess whether men with male factor infertility (MFI) are overall less healthy than fertile men, regardless of the reasons for infertility. Design, setting, and participants: From September 2006 to September 2007, 344 consecutive European Caucasian men with MFI were enrolled in this prospective case-controlled study. Patients were compared with a control group of 293 consecutive age-comparable fertile men. Infertile men were consecutively attending the outpatient male reproductive clinic at a tertiary academic center. Fertile controls were consecutively recruited by use of advertisements posted within our hospital. Measurements: Comorbidities of patients and fertile men were objectively scored with the Charlson Comorbidity Index (CCI) according to the International Classification of Diseases modified ninth version (ICD-9-CM) codes. Multivariate linear regression models tested the association between predictors and CCI score, as a proxy of general health status. Results: According to the CCI scores, infertile men had a significantly higher rate of comorbidities compared with the fertile controls (CCI: 0.33 [0.8] vs 0.14 [0.5]; p &lt; 0.001; 95% CI: 0.08-0.29). Linear regression analyses showed that although educational status did not have an impact on CCI (β: 0.035; p = 0.365), while CCI linearly increased with age (β: 0.196; p &lt; 0.001) and body mass index (BMI; β: 0.161; p &lt; 0.001). After adjusting for age, BMI, and educational status, a significantly lower CCI was calculated for fertile men and compared with MFI patients (β: -0.199; p &lt; 0.001). Conclusions: These results show that MFI accounts for a higher CCI, which may be considered a reliable proxy of a lower general health status. © 2009 European Association of Urology.","author":[{"dropping-particle":"","family":"Salonia","given":"Andrea","non-dropping-particle":"","parse-names":false,"suffix":""},{"dropping-particle":"","family":"Matloob","given":"Rayan","non-dropping-particle":"","parse-names":false,"suffix":""},{"dropping-particle":"","family":"Gallina","given":"Andrea","non-dropping-particle":"","parse-names":false,"suffix":""},{"dropping-particle":"","family":"Abdollah","given":"Firas","non-dropping-particle":"","parse-names":false,"suffix":""},{"dropping-particle":"","family":"Saccà","given":"Antonino","non-dropping-particle":"","parse-names":false,"suffix":""},{"dropping-particle":"","family":"Briganti","given":"Alberto","non-dropping-particle":"","parse-names":false,"suffix":""},{"dropping-particle":"","family":"Suardi","given":"Nazareno","non-dropping-particle":"","parse-names":false,"suffix":""},{"dropping-particle":"","family":"Colombo","given":"Renzo","non-dropping-particle":"","parse-names":false,"suffix":""},{"dropping-particle":"","family":"Rocchini","given":"Lorenzo","non-dropping-particle":"","parse-names":false,"suffix":""},{"dropping-particle":"","family":"Guazzoni","given":"Giorgio","non-dropping-particle":"","parse-names":false,"suffix":""},{"dropping-particle":"","family":"Rigatti","given":"Patrizio","non-dropping-particle":"","parse-names":false,"suffix":""},{"dropping-particle":"","family":"Montorsi","given":"Francesco","non-dropping-particle":"","parse-names":false,"suffix":""}],"container-title":"European Urology","id":"ITEM-1","issue":"6","issued":{"date-parts":[["2009"]]},"page":"1025-1032","title":"Are Infertile Men Less Healthy than Fertile Men? Results of a Prospective Case-Control Survey","type":"article-journal","volume":"56"},"uris":["http://www.mendeley.com/documents/?uuid=6e7b9ddd-94ce-4558-b461-defbf51001d3"]}],"mendeley":{"formattedCitation":"(167)","plainTextFormattedCitation":"(167)","previouslyFormattedCitation":"(167)"},"properties":{"noteIndex":0},"schema":"https://github.com/citation-style-language/schema/raw/master/csl-citation.json"}</w:instrText>
      </w:r>
      <w:r w:rsidR="005E33E4"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(167)</w:t>
      </w:r>
      <w:r w:rsidR="005E33E4" w:rsidRPr="004B0BC2">
        <w:rPr>
          <w:rFonts w:asciiTheme="minorHAnsi" w:hAnsiTheme="minorHAnsi" w:cstheme="minorHAnsi"/>
          <w:sz w:val="22"/>
          <w:szCs w:val="22"/>
          <w:shd w:val="clear" w:color="auto" w:fill="FFFFFF"/>
        </w:rPr>
        <w:fldChar w:fldCharType="end"/>
      </w:r>
      <w:r w:rsidR="00624028" w:rsidRPr="004B0BC2">
        <w:rPr>
          <w:rFonts w:asciiTheme="minorHAnsi" w:hAnsiTheme="minorHAnsi" w:cstheme="minorHAnsi"/>
          <w:sz w:val="22"/>
          <w:szCs w:val="22"/>
          <w:shd w:val="clear" w:color="auto" w:fill="FFFFFF"/>
        </w:rPr>
        <w:t>.</w:t>
      </w:r>
      <w:r w:rsidR="001304C8">
        <w:rPr>
          <w:rFonts w:asciiTheme="minorHAnsi" w:hAnsiTheme="minorHAnsi" w:cstheme="minorHAnsi"/>
          <w:sz w:val="22"/>
          <w:szCs w:val="22"/>
        </w:rPr>
        <w:t xml:space="preserve"> </w:t>
      </w:r>
    </w:p>
    <w:p w14:paraId="1018E1D5" w14:textId="13508205" w:rsidR="00715C81" w:rsidRDefault="001304C8" w:rsidP="00500FBD">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rPr>
        <w:t>H</w:t>
      </w:r>
      <w:r w:rsidR="00624028" w:rsidRPr="004B0BC2">
        <w:rPr>
          <w:rFonts w:asciiTheme="minorHAnsi" w:hAnsiTheme="minorHAnsi" w:cstheme="minorHAnsi"/>
          <w:sz w:val="22"/>
          <w:szCs w:val="22"/>
        </w:rPr>
        <w:t xml:space="preserve">ypogonadism is associated with </w:t>
      </w:r>
      <w:r>
        <w:rPr>
          <w:rFonts w:asciiTheme="minorHAnsi" w:hAnsiTheme="minorHAnsi" w:cstheme="minorHAnsi"/>
          <w:sz w:val="22"/>
          <w:szCs w:val="22"/>
        </w:rPr>
        <w:t>ED</w:t>
      </w:r>
      <w:r w:rsidR="00624028" w:rsidRPr="004B0BC2">
        <w:rPr>
          <w:rFonts w:asciiTheme="minorHAnsi" w:hAnsiTheme="minorHAnsi" w:cstheme="minorHAnsi"/>
          <w:sz w:val="22"/>
          <w:szCs w:val="22"/>
        </w:rPr>
        <w:t xml:space="preserve">, infertility, diabetes and the </w:t>
      </w:r>
      <w:r>
        <w:rPr>
          <w:rFonts w:asciiTheme="minorHAnsi" w:hAnsiTheme="minorHAnsi" w:cstheme="minorHAnsi"/>
          <w:sz w:val="22"/>
          <w:szCs w:val="22"/>
        </w:rPr>
        <w:t>metabolic syndrome</w:t>
      </w:r>
      <w:r w:rsidR="00624028" w:rsidRPr="004B0BC2">
        <w:rPr>
          <w:rFonts w:asciiTheme="minorHAnsi" w:hAnsiTheme="minorHAnsi" w:cstheme="minorHAnsi"/>
          <w:sz w:val="22"/>
          <w:szCs w:val="22"/>
        </w:rPr>
        <w:fldChar w:fldCharType="begin" w:fldLock="1"/>
      </w:r>
      <w:r w:rsidR="002C021B" w:rsidRPr="004B0BC2">
        <w:rPr>
          <w:rFonts w:asciiTheme="minorHAnsi" w:hAnsiTheme="minorHAnsi" w:cstheme="minorHAnsi"/>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624028" w:rsidRPr="004B0BC2">
        <w:rPr>
          <w:rFonts w:asciiTheme="minorHAnsi" w:hAnsiTheme="minorHAnsi" w:cstheme="minorHAnsi"/>
          <w:sz w:val="22"/>
          <w:szCs w:val="22"/>
        </w:rPr>
        <w:fldChar w:fldCharType="separate"/>
      </w:r>
      <w:r w:rsidR="00624028" w:rsidRPr="004B0BC2">
        <w:rPr>
          <w:rFonts w:asciiTheme="minorHAnsi" w:hAnsiTheme="minorHAnsi" w:cstheme="minorHAnsi"/>
          <w:noProof/>
          <w:sz w:val="22"/>
          <w:szCs w:val="22"/>
        </w:rPr>
        <w:t>(3)</w:t>
      </w:r>
      <w:r w:rsidR="00624028" w:rsidRPr="004B0BC2">
        <w:rPr>
          <w:rFonts w:asciiTheme="minorHAnsi" w:hAnsiTheme="minorHAnsi" w:cstheme="minorHAnsi"/>
          <w:sz w:val="22"/>
          <w:szCs w:val="22"/>
        </w:rPr>
        <w:fldChar w:fldCharType="end"/>
      </w:r>
      <w:r w:rsidR="00624028" w:rsidRPr="004B0BC2">
        <w:rPr>
          <w:rFonts w:asciiTheme="minorHAnsi" w:hAnsiTheme="minorHAnsi" w:cstheme="minorHAnsi"/>
          <w:sz w:val="22"/>
          <w:szCs w:val="22"/>
        </w:rPr>
        <w:t xml:space="preserve">. </w:t>
      </w:r>
      <w:r>
        <w:rPr>
          <w:rFonts w:asciiTheme="minorHAnsi" w:hAnsiTheme="minorHAnsi" w:cstheme="minorHAnsi"/>
          <w:sz w:val="22"/>
          <w:szCs w:val="22"/>
        </w:rPr>
        <w:t>I</w:t>
      </w:r>
      <w:r w:rsidR="00C825E0" w:rsidRPr="004B0BC2">
        <w:rPr>
          <w:rFonts w:asciiTheme="minorHAnsi" w:hAnsiTheme="minorHAnsi" w:cstheme="minorHAnsi"/>
          <w:sz w:val="22"/>
          <w:szCs w:val="22"/>
        </w:rPr>
        <w:t xml:space="preserve">n a cohort of 294 men </w:t>
      </w:r>
      <w:r>
        <w:rPr>
          <w:rFonts w:asciiTheme="minorHAnsi" w:hAnsiTheme="minorHAnsi" w:cstheme="minorHAnsi"/>
          <w:sz w:val="22"/>
          <w:szCs w:val="22"/>
        </w:rPr>
        <w:t xml:space="preserve">who were monitored </w:t>
      </w:r>
      <w:r w:rsidR="00C825E0" w:rsidRPr="004B0BC2">
        <w:rPr>
          <w:rFonts w:asciiTheme="minorHAnsi" w:hAnsiTheme="minorHAnsi" w:cstheme="minorHAnsi"/>
          <w:sz w:val="22"/>
          <w:szCs w:val="22"/>
        </w:rPr>
        <w:t xml:space="preserve">over a period of 8 years, </w:t>
      </w:r>
      <w:r w:rsidR="00C825E0" w:rsidRPr="004B0BC2">
        <w:rPr>
          <w:rFonts w:asciiTheme="minorHAnsi" w:hAnsiTheme="minorHAnsi" w:cstheme="minorHAnsi"/>
          <w:sz w:val="22"/>
          <w:szCs w:val="22"/>
          <w:shd w:val="clear" w:color="auto" w:fill="FFFFFF"/>
        </w:rPr>
        <w:t>low levels of total testosterone predicted incident diabetes (</w:t>
      </w:r>
      <w:r w:rsidR="005E33E4" w:rsidRPr="004B0BC2">
        <w:rPr>
          <w:rFonts w:asciiTheme="minorHAnsi" w:hAnsiTheme="minorHAnsi" w:cstheme="minorHAnsi"/>
          <w:sz w:val="22"/>
          <w:szCs w:val="22"/>
          <w:shd w:val="clear" w:color="auto" w:fill="FFFFFF"/>
        </w:rPr>
        <w:t>OR:</w:t>
      </w:r>
      <w:r w:rsidR="00C825E0" w:rsidRPr="004B0BC2">
        <w:rPr>
          <w:rFonts w:asciiTheme="minorHAnsi" w:hAnsiTheme="minorHAnsi" w:cstheme="minorHAnsi"/>
          <w:sz w:val="22"/>
          <w:szCs w:val="22"/>
          <w:shd w:val="clear" w:color="auto" w:fill="FFFFFF"/>
        </w:rPr>
        <w:t xml:space="preserve"> 2.7, 95% CI</w:t>
      </w:r>
      <w:r w:rsidR="005E33E4"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1.16.6,</w:t>
      </w:r>
      <w:r w:rsidR="00B50CF1" w:rsidRPr="004B0BC2">
        <w:rPr>
          <w:rFonts w:asciiTheme="minorHAnsi" w:hAnsiTheme="minorHAnsi" w:cstheme="minorHAnsi"/>
          <w:sz w:val="22"/>
          <w:szCs w:val="22"/>
          <w:shd w:val="clear" w:color="auto" w:fill="FFFFFF"/>
        </w:rPr>
        <w:t xml:space="preserve"> </w:t>
      </w:r>
      <w:r w:rsidR="00A50E38" w:rsidRPr="004B0BC2">
        <w:rPr>
          <w:rFonts w:asciiTheme="minorHAnsi" w:hAnsiTheme="minorHAnsi" w:cstheme="minorHAnsi"/>
          <w:sz w:val="22"/>
          <w:szCs w:val="22"/>
          <w:bdr w:val="none" w:sz="0" w:space="0" w:color="auto" w:frame="1"/>
          <w:shd w:val="clear" w:color="auto" w:fill="FFFFFF"/>
        </w:rPr>
        <w:t>p</w:t>
      </w:r>
      <w:r w:rsidR="00C825E0" w:rsidRPr="004B0BC2">
        <w:rPr>
          <w:rFonts w:asciiTheme="minorHAnsi" w:hAnsiTheme="minorHAnsi" w:cstheme="minorHAnsi"/>
          <w:sz w:val="22"/>
          <w:szCs w:val="22"/>
          <w:shd w:val="clear" w:color="auto" w:fill="FFFFFF"/>
        </w:rPr>
        <w:t>=0.03)</w:t>
      </w:r>
      <w:r w:rsidR="005E33E4"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{"citationItems":[{"id":"ITEM-1","itemData":{"DOI":"10.2337/diacare.25.1.55","ISSN":"01495992","PMID":"11772901","abstract":"OBJECTIVE - To determine the prospective association between endogenous sex hormones and the development of type 2 diabetes in older men and women. RESEARCH DESIGN AND METHODS - A standardized medical history was obtained, an oral glucose tolerance test was performed, and plasma samples for sex hormones and covariates were collected from ambulatory, community-dwelling men and women at baseline from 1984 to 1987. Approximately 8 years later (1992-1996), another medical history was obtained, an oral glucose tolerance test was performed, fasting and 2-h insulin levels were measured, and the homeostasis model assessment for insulin resistance (HOMA-IR) was evaluated. This report is based on the 294 men and 233 women, aged 55-89 years, who completed both visits and who did not have diabetes as determined by history or glucose tolerance test at baseline, as well as women who were postmenopausal and not taking replacement estrogen. RESULTS - In age-adjusted correlation analyses, total testosterone was inversely and significantly related to subsequent levels of fasting and postchallenge glucose and insulin in men, whereas bioavailable testosterone and bioavailable estradiol were positively and significantly related to fasting and postchallenge glucose and insulin in women (all P &lt;0.05). There was similar significant association with insulin resistance (HOMA-IR) in unadjusted and multiply adjusted analyses (P &lt;0.05). There were 26 men and 17 women with new (incident) diabetes. The odds for new diabetes were 2.7 (95% CI 1.1-6.6) for men in the lowest quartile of total testosterone and 2.9 (1.1-8.4) for women in the highest quartile of bioavailable testosterone. CONCLUSIONS - Low testosterone levels in men and high testosterone levels in women predict insulin resistance and incident type 2 diabetes in older adults.","author":[{"dropping-particle":"","family":"Oh","given":"Jee Young","non-dropping-particle":"","parse-names":false,"suffix":""},{"dropping-particle":"","family":"Barrett-Connor","given":"Elizabeth","non-dropping-particle":"","parse-names":false,"suffix":""},{"dropping-particle":"","family":"Wedick","given":"Nicole M.","non-dropping-particle":"","parse-names":false,"suffix":""},{"dropping-particle":"","family":"Wingard","given":"Deborah L.","non-dropping-particle":"","parse-names":false,"suffix":""}],"container-title":"Diabetes Care","id":"ITEM-1","issue":"1","issued":{"date-parts":[["2002"]]},"page":"55-60","title":"Endogenous sex hormones and the development of type 2 diabetes in older men and women: The Rancho Bernardo Study","type":"article-journal","volume":"25"},"uris":["http://www.mendeley.com/documents/?uuid=0af0a578-d298-445a-bd01-3bb9b939afc1"]}],"mendeley":{"formattedCitation":"(170)","plainTextFormattedCitation":"(170)","previouslyFormattedCitation":"(170)"},"properties":{"noteIndex":0},"schema":"https://github.com/citation-style-language/schema/raw/master/csl-citation.json"}</w:instrText>
      </w:r>
      <w:r w:rsidR="005E33E4"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(170)</w:t>
      </w:r>
      <w:r w:rsidR="005E33E4"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rPr>
        <w:t xml:space="preserve">. Moreover, </w:t>
      </w:r>
      <w:r w:rsidR="003C38B1">
        <w:rPr>
          <w:rFonts w:asciiTheme="minorHAnsi" w:hAnsiTheme="minorHAnsi" w:cstheme="minorHAnsi"/>
          <w:sz w:val="22"/>
          <w:szCs w:val="22"/>
        </w:rPr>
        <w:t xml:space="preserve">in </w:t>
      </w:r>
      <w:r w:rsidR="00C825E0" w:rsidRPr="004B0BC2">
        <w:rPr>
          <w:rFonts w:asciiTheme="minorHAnsi" w:hAnsiTheme="minorHAnsi" w:cstheme="minorHAnsi"/>
          <w:sz w:val="22"/>
          <w:szCs w:val="22"/>
        </w:rPr>
        <w:t>t</w:t>
      </w:r>
      <w:r w:rsidR="000F7825" w:rsidRPr="004B0BC2">
        <w:rPr>
          <w:rFonts w:asciiTheme="minorHAnsi" w:hAnsiTheme="minorHAnsi" w:cstheme="minorHAnsi"/>
          <w:sz w:val="22"/>
          <w:szCs w:val="22"/>
        </w:rPr>
        <w:t xml:space="preserve">he TIMES2 study </w:t>
      </w:r>
      <w:r w:rsidR="003C38B1">
        <w:rPr>
          <w:rFonts w:ascii="Calibri" w:hAnsi="Calibri" w:cs="Calibri"/>
          <w:sz w:val="22"/>
          <w:szCs w:val="22"/>
        </w:rPr>
        <w:t>—</w:t>
      </w:r>
      <w:r w:rsidR="000F7825" w:rsidRPr="004B0BC2">
        <w:rPr>
          <w:rFonts w:asciiTheme="minorHAnsi" w:hAnsiTheme="minorHAnsi" w:cstheme="minorHAnsi"/>
          <w:sz w:val="22"/>
          <w:szCs w:val="22"/>
        </w:rPr>
        <w:t xml:space="preserve"> a randomised, multicentre, international placebo-controlled trial assessing the effects of testosterone replacement therapy in hypogonadal men with diabetes or the </w:t>
      </w:r>
      <w:r w:rsidR="00515FCB" w:rsidRPr="004B0BC2">
        <w:rPr>
          <w:rFonts w:asciiTheme="minorHAnsi" w:hAnsiTheme="minorHAnsi" w:cstheme="minorHAnsi"/>
          <w:sz w:val="22"/>
          <w:szCs w:val="22"/>
        </w:rPr>
        <w:t>MetS</w:t>
      </w:r>
      <w:r w:rsidR="005E33E4"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{"citationItems":[{"id":"ITEM-1","itemData":{"DOI":"10.2337/dc10-1233","ISSN":"01495992","PMID":"21386088","abstract":"OBJECTIVE - This study evaluated the effects of testosterone replacement therapy (TRT) on insulin resistance, cardiovascular risk factors, and symptoms in hypogonadal men with type 2 diabetes and/or metabolic syndrome (MetS). RESEARCH DESIGN AND METHODS - The efficacy, safety, and tolerability of a novel transdermal 2% testosterone gel was evaluated over 12 months in 220 hypogonadal men with type 2 diabetes and/or MetS in a multicenter, prospective, randomized, double-blind, placebo-controlled study. The primary outcome was mean change from baseline in homeostasis model assessment of insulin resistance (HOMA-IR). Secondary outcomes were measures of body composition, glycemic control, lipids, and sexual function. Efficacy results focused primarily on months 0-6 (phase 1; no changes in medication allowed). Medication changes were allowed in phase 2 (months 6-12). RESULTS - TRT reduced HOMA-IR in the overall population by 15.2% at 6 months (P = 0.018) and 16.4% at 12 months (P = 0.006). In type 2 diabetic patients, glycemic control was significantly better in the TRT group than the placebo group at month 9 (HbA1c: treatment difference, -0.446%; P = 0.035). Improvements in total and LDL cholesterol, lipoprotein a (Lpa), body composition, libido, and sexual function occurred in selected patient groups. There were no significant differences between groups in the frequencies of adverse events (AEs) or serious AEs. The majority of AEs (&gt;95%) were mild or moderate. CONCLUSIONS - Over a 6-month period, transdermal TRT was associated with beneficial effects on insulin resistance, total and LDL-cholesterol, Lpa, and sexual health in hypogonadal men with type 2 diabetes and/or MetS. © 2011 by the American Diabetes Association.","author":[{"dropping-particle":"","family":"Jones","given":"T. Hugh","non-dropping-particle":"","parse-names":false,"suffix":""},{"dropping-particle":"","family":"Arver","given":"Stefan","non-dropping-particle":"","parse-names":false,"suffix":""},{"dropping-particle":"","family":"Behre","given":"Hermann M.","non-dropping-particle":"","parse-names":false,"suffix":""},{"dropping-particle":"","family":"Buvat","given":"Jacques","non-dropping-particle":"","parse-names":false,"suffix":""},{"dropping-particle":"","family":"Meuleman","given":"Eric","non-dropping-particle":"","parse-names":false,"suffix":""},{"dropping-particle":"","family":"Moncada","given":"Ignacio","non-dropping-particle":"","parse-names":false,"suffix":""},{"dropping-particle":"","family":"Morales","given":"Antonio Martin","non-dropping-particle":"","parse-names":false,"suffix":""},{"dropping-particle":"","family":"Volterrani","given":"Maurizio","non-dropping-particle":"","parse-names":false,"suffix":""},{"dropping-particle":"","family":"Yellowlees","given":"Ann","non-dropping-particle":"","parse-names":false,"suffix":""},{"dropping-particle":"","family":"Howell","given":"Julian D.","non-dropping-particle":"","parse-names":false,"suffix":""},{"dropping-particle":"","family":"Channer","given":"Kevin S.","non-dropping-particle":"","parse-names":false,"suffix":""}],"container-title":"Diabetes Care","id":"ITEM-1","issue":"4","issued":{"date-parts":[["2011"]]},"page":"828-837","title":"Testosterone replacement in hypogonadal men with Type 2 diabetes and/or metabolic syndrome (the TIMES2 study)","type":"article-journal","volume":"34"},"uris":["http://www.mendeley.com/documents/?uuid=f29da821-7fa1-4703-94f0-9463862963e2"]}],"mendeley":{"formattedCitation":"(171)","plainTextFormattedCitation":"(171)","previouslyFormattedCitation":"(171)"},"properties":{"noteIndex":0},"schema":"https://github.com/citation-style-language/schema/raw/master/csl-citation.json"}</w:instrText>
      </w:r>
      <w:r w:rsidR="005E33E4" w:rsidRPr="004B0BC2">
        <w:rPr>
          <w:rFonts w:asciiTheme="minorHAnsi" w:hAnsiTheme="minorHAnsi" w:cstheme="minorHAnsi"/>
          <w:sz w:val="22"/>
          <w:szCs w:val="22"/>
        </w:rPr>
        <w:fldChar w:fldCharType="separate"/>
      </w:r>
      <w:r w:rsidR="002410DF" w:rsidRPr="002410DF">
        <w:rPr>
          <w:rFonts w:asciiTheme="minorHAnsi" w:hAnsiTheme="minorHAnsi" w:cstheme="minorHAnsi"/>
          <w:noProof/>
          <w:sz w:val="22"/>
          <w:szCs w:val="22"/>
        </w:rPr>
        <w:t>(171)</w:t>
      </w:r>
      <w:r w:rsidR="005E33E4" w:rsidRPr="004B0BC2">
        <w:rPr>
          <w:rFonts w:asciiTheme="minorHAnsi" w:hAnsiTheme="minorHAnsi" w:cstheme="minorHAnsi"/>
          <w:sz w:val="22"/>
          <w:szCs w:val="22"/>
        </w:rPr>
        <w:fldChar w:fldCharType="end"/>
      </w:r>
      <w:r w:rsidR="003C38B1">
        <w:rPr>
          <w:rFonts w:asciiTheme="minorHAnsi" w:hAnsiTheme="minorHAnsi" w:cstheme="minorHAnsi"/>
          <w:sz w:val="22"/>
          <w:szCs w:val="22"/>
        </w:rPr>
        <w:t xml:space="preserve"> </w:t>
      </w:r>
      <w:r w:rsidR="003C38B1">
        <w:rPr>
          <w:rFonts w:ascii="Calibri" w:hAnsi="Calibri" w:cs="Calibri"/>
          <w:sz w:val="22"/>
          <w:szCs w:val="22"/>
        </w:rPr>
        <w:t>—</w:t>
      </w:r>
      <w:r w:rsidR="000F7825" w:rsidRPr="004B0BC2">
        <w:rPr>
          <w:rFonts w:asciiTheme="minorHAnsi" w:hAnsiTheme="minorHAnsi" w:cstheme="minorHAnsi"/>
          <w:sz w:val="22"/>
          <w:szCs w:val="22"/>
        </w:rPr>
        <w:t xml:space="preserve"> </w:t>
      </w:r>
      <w:r w:rsidR="003C38B1">
        <w:rPr>
          <w:rFonts w:asciiTheme="minorHAnsi" w:hAnsiTheme="minorHAnsi" w:cstheme="minorHAnsi"/>
          <w:sz w:val="22"/>
          <w:szCs w:val="22"/>
        </w:rPr>
        <w:t>showe</w:t>
      </w:r>
      <w:r w:rsidR="00C825E0" w:rsidRPr="004B0BC2">
        <w:rPr>
          <w:rFonts w:asciiTheme="minorHAnsi" w:hAnsiTheme="minorHAnsi" w:cstheme="minorHAnsi"/>
          <w:sz w:val="22"/>
          <w:szCs w:val="22"/>
        </w:rPr>
        <w:t>d</w:t>
      </w:r>
      <w:r w:rsidR="000F7825" w:rsidRPr="004B0BC2">
        <w:rPr>
          <w:rFonts w:asciiTheme="minorHAnsi" w:hAnsiTheme="minorHAnsi" w:cstheme="minorHAnsi"/>
          <w:sz w:val="22"/>
          <w:szCs w:val="22"/>
        </w:rPr>
        <w:t xml:space="preserve"> </w:t>
      </w:r>
      <w:r w:rsidR="00C825E0" w:rsidRPr="004B0BC2">
        <w:rPr>
          <w:rFonts w:asciiTheme="minorHAnsi" w:hAnsiTheme="minorHAnsi" w:cstheme="minorHAnsi"/>
          <w:sz w:val="22"/>
          <w:szCs w:val="22"/>
        </w:rPr>
        <w:t xml:space="preserve">that </w:t>
      </w:r>
      <w:r w:rsidR="003C38B1">
        <w:rPr>
          <w:rFonts w:asciiTheme="minorHAnsi" w:hAnsiTheme="minorHAnsi" w:cstheme="minorHAnsi"/>
          <w:sz w:val="22"/>
          <w:szCs w:val="22"/>
        </w:rPr>
        <w:t>TRT</w:t>
      </w:r>
      <w:r w:rsidR="00C825E0" w:rsidRPr="004B0BC2">
        <w:rPr>
          <w:rFonts w:asciiTheme="minorHAnsi" w:hAnsiTheme="minorHAnsi" w:cstheme="minorHAnsi"/>
          <w:sz w:val="22"/>
          <w:szCs w:val="22"/>
        </w:rPr>
        <w:t xml:space="preserve"> improved glycaemic control compared </w:t>
      </w:r>
      <w:r w:rsidR="003C38B1">
        <w:rPr>
          <w:rFonts w:asciiTheme="minorHAnsi" w:hAnsiTheme="minorHAnsi" w:cstheme="minorHAnsi"/>
          <w:sz w:val="22"/>
          <w:szCs w:val="22"/>
        </w:rPr>
        <w:t>with</w:t>
      </w:r>
      <w:r w:rsidR="003C38B1" w:rsidRPr="004B0BC2">
        <w:rPr>
          <w:rFonts w:asciiTheme="minorHAnsi" w:hAnsiTheme="minorHAnsi" w:cstheme="minorHAnsi"/>
          <w:sz w:val="22"/>
          <w:szCs w:val="22"/>
        </w:rPr>
        <w:t xml:space="preserve"> </w:t>
      </w:r>
      <w:r w:rsidR="00C825E0" w:rsidRPr="004B0BC2">
        <w:rPr>
          <w:rFonts w:asciiTheme="minorHAnsi" w:hAnsiTheme="minorHAnsi" w:cstheme="minorHAnsi"/>
          <w:sz w:val="22"/>
          <w:szCs w:val="22"/>
        </w:rPr>
        <w:t>placebo (</w:t>
      </w:r>
      <w:r w:rsidR="00B50CF1" w:rsidRPr="004B0BC2">
        <w:rPr>
          <w:rFonts w:asciiTheme="minorHAnsi" w:hAnsiTheme="minorHAnsi" w:cstheme="minorHAnsi"/>
          <w:sz w:val="22"/>
          <w:szCs w:val="22"/>
        </w:rPr>
        <w:t>t</w:t>
      </w:r>
      <w:r w:rsidR="00D041DB" w:rsidRPr="004B0BC2">
        <w:rPr>
          <w:rFonts w:asciiTheme="minorHAnsi" w:hAnsiTheme="minorHAnsi" w:cstheme="minorHAnsi"/>
          <w:sz w:val="22"/>
          <w:szCs w:val="22"/>
        </w:rPr>
        <w:t xml:space="preserve">he </w:t>
      </w:r>
      <w:r w:rsidR="00C825E0" w:rsidRPr="004B0BC2">
        <w:rPr>
          <w:rFonts w:asciiTheme="minorHAnsi" w:hAnsiTheme="minorHAnsi" w:cstheme="minorHAnsi"/>
          <w:sz w:val="22"/>
          <w:szCs w:val="22"/>
          <w:shd w:val="clear" w:color="auto" w:fill="FFFFFF"/>
        </w:rPr>
        <w:t>HbA</w:t>
      </w:r>
      <w:r w:rsidR="00C825E0" w:rsidRPr="004B0BC2">
        <w:rPr>
          <w:rFonts w:asciiTheme="minorHAnsi" w:hAnsiTheme="minorHAnsi" w:cstheme="minorHAnsi"/>
          <w:sz w:val="22"/>
          <w:szCs w:val="22"/>
          <w:shd w:val="clear" w:color="auto" w:fill="FFFFFF"/>
          <w:vertAlign w:val="subscript"/>
        </w:rPr>
        <w:t>1c</w:t>
      </w:r>
      <w:r w:rsidR="00C825E0" w:rsidRPr="004B0BC2">
        <w:rPr>
          <w:rFonts w:asciiTheme="minorHAnsi" w:hAnsiTheme="minorHAnsi" w:cstheme="minorHAnsi"/>
          <w:sz w:val="22"/>
          <w:szCs w:val="22"/>
          <w:shd w:val="clear" w:color="auto" w:fill="FFFFFF"/>
        </w:rPr>
        <w:t xml:space="preserve"> treatment difference</w:t>
      </w:r>
      <w:r w:rsidR="00A42AA2" w:rsidRPr="004B0BC2">
        <w:rPr>
          <w:rFonts w:asciiTheme="minorHAnsi" w:hAnsiTheme="minorHAnsi" w:cstheme="minorHAnsi"/>
          <w:sz w:val="22"/>
          <w:szCs w:val="22"/>
          <w:shd w:val="clear" w:color="auto" w:fill="FFFFFF"/>
        </w:rPr>
        <w:t xml:space="preserve"> </w:t>
      </w:r>
      <w:r w:rsidR="00D041DB" w:rsidRPr="004B0BC2">
        <w:rPr>
          <w:rFonts w:asciiTheme="minorHAnsi" w:hAnsiTheme="minorHAnsi" w:cstheme="minorHAnsi"/>
          <w:sz w:val="22"/>
          <w:szCs w:val="22"/>
          <w:shd w:val="clear" w:color="auto" w:fill="FFFFFF"/>
        </w:rPr>
        <w:t>(TD</w:t>
      </w:r>
      <w:r w:rsidR="00B50CF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−0.446%</w:t>
      </w:r>
      <w:r w:rsidR="00D041DB"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w:t>
      </w:r>
      <w:r w:rsidR="00A50E38" w:rsidRPr="004B0BC2">
        <w:rPr>
          <w:rFonts w:asciiTheme="minorHAnsi" w:hAnsiTheme="minorHAnsi" w:cstheme="minorHAnsi"/>
          <w:sz w:val="22"/>
          <w:szCs w:val="22"/>
          <w:shd w:val="clear" w:color="auto" w:fill="FFFFFF"/>
        </w:rPr>
        <w:t>p</w:t>
      </w:r>
      <w:r w:rsidR="00C825E0" w:rsidRPr="004B0BC2">
        <w:rPr>
          <w:rFonts w:asciiTheme="minorHAnsi" w:hAnsiTheme="minorHAnsi" w:cstheme="minorHAnsi"/>
          <w:sz w:val="22"/>
          <w:szCs w:val="22"/>
          <w:shd w:val="clear" w:color="auto" w:fill="FFFFFF"/>
        </w:rPr>
        <w:t>=0.035).</w:t>
      </w:r>
      <w:r w:rsidR="003C11E1">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Furthermore, TRT was associated with a significant decrease in lipoprotein A (</w:t>
      </w:r>
      <w:r w:rsidR="00D041DB" w:rsidRPr="004B0BC2">
        <w:rPr>
          <w:rFonts w:asciiTheme="minorHAnsi" w:hAnsiTheme="minorHAnsi" w:cstheme="minorHAnsi"/>
          <w:sz w:val="22"/>
          <w:szCs w:val="22"/>
          <w:shd w:val="clear" w:color="auto" w:fill="FFFFFF"/>
        </w:rPr>
        <w:t>TD:</w:t>
      </w:r>
      <w:r w:rsidR="00C825E0" w:rsidRPr="004B0BC2">
        <w:rPr>
          <w:rFonts w:asciiTheme="minorHAnsi" w:hAnsiTheme="minorHAnsi" w:cstheme="minorHAnsi"/>
          <w:sz w:val="22"/>
          <w:szCs w:val="22"/>
          <w:shd w:val="clear" w:color="auto" w:fill="FFFFFF"/>
        </w:rPr>
        <w:t xml:space="preserve"> −0.31 µmol/L</w:t>
      </w:r>
      <w:r w:rsidR="00D041DB"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xml:space="preserve"> 95% CI</w:t>
      </w:r>
      <w:r w:rsidR="00D041DB"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−0.543 to −0.082</w:t>
      </w:r>
      <w:r w:rsidR="00D041DB"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w:t>
      </w:r>
      <w:r w:rsidR="00A50E38" w:rsidRPr="004B0BC2">
        <w:rPr>
          <w:rFonts w:asciiTheme="minorHAnsi" w:hAnsiTheme="minorHAnsi" w:cstheme="minorHAnsi"/>
          <w:sz w:val="22"/>
          <w:szCs w:val="22"/>
          <w:shd w:val="clear" w:color="auto" w:fill="FFFFFF"/>
        </w:rPr>
        <w:t>p</w:t>
      </w:r>
      <w:r w:rsidR="00C825E0" w:rsidRPr="004B0BC2">
        <w:rPr>
          <w:rFonts w:asciiTheme="minorHAnsi" w:hAnsiTheme="minorHAnsi" w:cstheme="minorHAnsi"/>
          <w:sz w:val="22"/>
          <w:szCs w:val="22"/>
          <w:shd w:val="clear" w:color="auto" w:fill="FFFFFF"/>
        </w:rPr>
        <w:t>=0.008), total cholesterol (TD</w:t>
      </w:r>
      <w:r w:rsidR="00D041DB"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xml:space="preserve"> −0.336 mmol/L</w:t>
      </w:r>
      <w:r w:rsidR="00D041DB" w:rsidRPr="004B0BC2">
        <w:rPr>
          <w:rFonts w:asciiTheme="minorHAnsi" w:hAnsiTheme="minorHAnsi" w:cstheme="minorHAnsi"/>
          <w:sz w:val="22"/>
          <w:szCs w:val="22"/>
          <w:shd w:val="clear" w:color="auto" w:fill="FFFFFF"/>
        </w:rPr>
        <w:t>, 95% CI:</w:t>
      </w:r>
      <w:r w:rsidR="00C825E0" w:rsidRPr="004B0BC2">
        <w:rPr>
          <w:rFonts w:asciiTheme="minorHAnsi" w:hAnsiTheme="minorHAnsi" w:cstheme="minorHAnsi"/>
          <w:sz w:val="22"/>
          <w:szCs w:val="22"/>
          <w:shd w:val="clear" w:color="auto" w:fill="FFFFFF"/>
        </w:rPr>
        <w:t>−0.558 to −0.114</w:t>
      </w:r>
      <w:r w:rsidR="00D041DB"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w:t>
      </w:r>
      <w:r w:rsidR="00A50E38" w:rsidRPr="004B0BC2">
        <w:rPr>
          <w:rFonts w:asciiTheme="minorHAnsi" w:hAnsiTheme="minorHAnsi" w:cstheme="minorHAnsi"/>
          <w:sz w:val="22"/>
          <w:szCs w:val="22"/>
          <w:shd w:val="clear" w:color="auto" w:fill="FFFFFF"/>
        </w:rPr>
        <w:t>p</w:t>
      </w:r>
      <w:r w:rsidR="00C825E0" w:rsidRPr="004B0BC2">
        <w:rPr>
          <w:rFonts w:asciiTheme="minorHAnsi" w:hAnsiTheme="minorHAnsi" w:cstheme="minorHAnsi"/>
          <w:sz w:val="22"/>
          <w:szCs w:val="22"/>
          <w:shd w:val="clear" w:color="auto" w:fill="FFFFFF"/>
        </w:rPr>
        <w:t>=0.003) and LDL cholesterol (TD</w:t>
      </w:r>
      <w:r w:rsidR="00D041DB"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−0.210 mmol/L</w:t>
      </w:r>
      <w:r w:rsidR="00D041DB" w:rsidRPr="004B0BC2">
        <w:rPr>
          <w:rFonts w:asciiTheme="minorHAnsi" w:hAnsiTheme="minorHAnsi" w:cstheme="minorHAnsi"/>
          <w:sz w:val="22"/>
          <w:szCs w:val="22"/>
          <w:shd w:val="clear" w:color="auto" w:fill="FFFFFF"/>
        </w:rPr>
        <w:t>, 95% CI:</w:t>
      </w:r>
      <w:r w:rsidR="00C825E0" w:rsidRPr="004B0BC2">
        <w:rPr>
          <w:rFonts w:asciiTheme="minorHAnsi" w:hAnsiTheme="minorHAnsi" w:cstheme="minorHAnsi"/>
          <w:sz w:val="22"/>
          <w:szCs w:val="22"/>
          <w:shd w:val="clear" w:color="auto" w:fill="FFFFFF"/>
        </w:rPr>
        <w:t>0.374 to −0.047</w:t>
      </w:r>
      <w:r w:rsidR="00D041DB" w:rsidRPr="004B0BC2">
        <w:rPr>
          <w:rFonts w:asciiTheme="minorHAnsi" w:hAnsiTheme="minorHAnsi" w:cstheme="minorHAnsi"/>
          <w:sz w:val="22"/>
          <w:szCs w:val="22"/>
          <w:shd w:val="clear" w:color="auto" w:fill="FFFFFF"/>
        </w:rPr>
        <w:t>,</w:t>
      </w:r>
      <w:r w:rsidR="00A50E38" w:rsidRPr="004B0BC2">
        <w:rPr>
          <w:rFonts w:asciiTheme="minorHAnsi" w:hAnsiTheme="minorHAnsi" w:cstheme="minorHAnsi"/>
          <w:sz w:val="22"/>
          <w:szCs w:val="22"/>
          <w:shd w:val="clear" w:color="auto" w:fill="FFFFFF"/>
        </w:rPr>
        <w:t xml:space="preserve"> p</w:t>
      </w:r>
      <w:r w:rsidR="00C825E0" w:rsidRPr="004B0BC2">
        <w:rPr>
          <w:rFonts w:asciiTheme="minorHAnsi" w:hAnsiTheme="minorHAnsi" w:cstheme="minorHAnsi"/>
          <w:sz w:val="22"/>
          <w:szCs w:val="22"/>
          <w:shd w:val="clear" w:color="auto" w:fill="FFFFFF"/>
        </w:rPr>
        <w:t>=0.012)</w:t>
      </w:r>
      <w:r w:rsidR="00D041DB" w:rsidRPr="004B0BC2">
        <w:rPr>
          <w:rFonts w:asciiTheme="minorHAnsi" w:hAnsiTheme="minorHAnsi" w:cstheme="minorHAnsi"/>
          <w:sz w:val="22"/>
          <w:szCs w:val="22"/>
          <w:shd w:val="clear" w:color="auto" w:fill="FFFFFF"/>
        </w:rPr>
        <w:t xml:space="preserve"> compared </w:t>
      </w:r>
      <w:r w:rsidR="003C38B1">
        <w:rPr>
          <w:rFonts w:asciiTheme="minorHAnsi" w:hAnsiTheme="minorHAnsi" w:cstheme="minorHAnsi"/>
          <w:sz w:val="22"/>
          <w:szCs w:val="22"/>
          <w:shd w:val="clear" w:color="auto" w:fill="FFFFFF"/>
        </w:rPr>
        <w:t>with</w:t>
      </w:r>
      <w:r w:rsidR="003C38B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placebo.</w:t>
      </w:r>
      <w:r w:rsidR="00C574BB">
        <w:rPr>
          <w:rFonts w:asciiTheme="minorHAnsi" w:hAnsiTheme="minorHAnsi" w:cstheme="minorHAnsi"/>
          <w:sz w:val="22"/>
          <w:szCs w:val="22"/>
          <w:shd w:val="clear" w:color="auto" w:fill="FFFFFF"/>
        </w:rPr>
        <w:t xml:space="preserve"> </w:t>
      </w:r>
      <w:r w:rsidR="00715C81">
        <w:rPr>
          <w:rFonts w:asciiTheme="minorHAnsi" w:hAnsiTheme="minorHAnsi" w:cstheme="minorHAnsi"/>
          <w:sz w:val="22"/>
          <w:szCs w:val="22"/>
          <w:shd w:val="clear" w:color="auto" w:fill="FFFFFF"/>
        </w:rPr>
        <w:t xml:space="preserve"> Thus, androgens can both optimise health outcomes (improvements in lipid profiles and glycaemic control) but </w:t>
      </w:r>
      <w:r w:rsidR="00343CD7">
        <w:rPr>
          <w:rFonts w:asciiTheme="minorHAnsi" w:hAnsiTheme="minorHAnsi" w:cstheme="minorHAnsi"/>
          <w:sz w:val="22"/>
          <w:szCs w:val="22"/>
          <w:shd w:val="clear" w:color="auto" w:fill="FFFFFF"/>
        </w:rPr>
        <w:t xml:space="preserve">are </w:t>
      </w:r>
      <w:r w:rsidR="00715C81">
        <w:rPr>
          <w:rFonts w:asciiTheme="minorHAnsi" w:hAnsiTheme="minorHAnsi" w:cstheme="minorHAnsi"/>
          <w:sz w:val="22"/>
          <w:szCs w:val="22"/>
          <w:shd w:val="clear" w:color="auto" w:fill="FFFFFF"/>
        </w:rPr>
        <w:t>also associated with worse outcomes in infection.</w:t>
      </w:r>
    </w:p>
    <w:p w14:paraId="42FFDCBD" w14:textId="48FCD58B" w:rsidR="003C38B1" w:rsidRDefault="003C38B1" w:rsidP="00500FBD">
      <w:pPr>
        <w:spacing w:line="480" w:lineRule="auto"/>
        <w:rPr>
          <w:rFonts w:asciiTheme="minorHAnsi" w:hAnsiTheme="minorHAnsi" w:cstheme="minorHAnsi"/>
          <w:sz w:val="22"/>
          <w:szCs w:val="22"/>
        </w:rPr>
      </w:pPr>
      <w:r>
        <w:rPr>
          <w:rFonts w:asciiTheme="minorHAnsi" w:hAnsiTheme="minorHAnsi" w:cstheme="minorHAnsi"/>
          <w:sz w:val="22"/>
          <w:szCs w:val="22"/>
          <w:shd w:val="clear" w:color="auto" w:fill="FFFFFF"/>
        </w:rPr>
        <w:t>A study</w:t>
      </w:r>
      <w:r w:rsidR="00C825E0" w:rsidRPr="004B0BC2">
        <w:rPr>
          <w:rFonts w:asciiTheme="minorHAnsi" w:hAnsiTheme="minorHAnsi" w:cstheme="minorHAnsi"/>
          <w:sz w:val="22"/>
          <w:szCs w:val="22"/>
          <w:shd w:val="clear" w:color="auto" w:fill="FFFFFF"/>
        </w:rPr>
        <w:t xml:space="preserve"> </w:t>
      </w:r>
      <w:r w:rsidR="00B209C1" w:rsidRPr="004B0BC2">
        <w:rPr>
          <w:rFonts w:asciiTheme="minorHAnsi" w:hAnsiTheme="minorHAnsi" w:cstheme="minorHAnsi"/>
          <w:sz w:val="22"/>
          <w:szCs w:val="22"/>
          <w:shd w:val="clear" w:color="auto" w:fill="FFFFFF"/>
        </w:rPr>
        <w:t>investigat</w:t>
      </w:r>
      <w:r>
        <w:rPr>
          <w:rFonts w:asciiTheme="minorHAnsi" w:hAnsiTheme="minorHAnsi" w:cstheme="minorHAnsi"/>
          <w:sz w:val="22"/>
          <w:szCs w:val="22"/>
          <w:shd w:val="clear" w:color="auto" w:fill="FFFFFF"/>
        </w:rPr>
        <w:t>ing</w:t>
      </w:r>
      <w:r w:rsidR="00B209C1" w:rsidRPr="004B0BC2">
        <w:rPr>
          <w:rFonts w:asciiTheme="minorHAnsi" w:hAnsiTheme="minorHAnsi" w:cstheme="minorHAnsi"/>
          <w:sz w:val="22"/>
          <w:szCs w:val="22"/>
          <w:shd w:val="clear" w:color="auto" w:fill="FFFFFF"/>
        </w:rPr>
        <w:t xml:space="preserve"> </w:t>
      </w:r>
      <w:r w:rsidR="00A42AA2" w:rsidRPr="004B0BC2">
        <w:rPr>
          <w:rFonts w:asciiTheme="minorHAnsi" w:hAnsiTheme="minorHAnsi" w:cstheme="minorHAnsi"/>
          <w:sz w:val="22"/>
          <w:szCs w:val="22"/>
          <w:shd w:val="clear" w:color="auto" w:fill="FFFFFF"/>
        </w:rPr>
        <w:t xml:space="preserve">the </w:t>
      </w:r>
      <w:r w:rsidR="00B209C1" w:rsidRPr="004B0BC2">
        <w:rPr>
          <w:rFonts w:asciiTheme="minorHAnsi" w:hAnsiTheme="minorHAnsi" w:cstheme="minorHAnsi"/>
          <w:sz w:val="22"/>
          <w:szCs w:val="22"/>
          <w:shd w:val="clear" w:color="auto" w:fill="FFFFFF"/>
        </w:rPr>
        <w:t>relationship between the metabolic syndrome and lower urinary tract symptoms (LUTS)</w:t>
      </w:r>
      <w:r w:rsidR="00C825E0" w:rsidRPr="004B0BC2">
        <w:rPr>
          <w:rFonts w:asciiTheme="minorHAnsi" w:hAnsiTheme="minorHAnsi" w:cstheme="minorHAnsi"/>
          <w:sz w:val="22"/>
          <w:szCs w:val="22"/>
          <w:shd w:val="clear" w:color="auto" w:fill="FFFFFF"/>
        </w:rPr>
        <w:t xml:space="preserve"> in a cohort of 1,899 American men</w:t>
      </w:r>
      <w:r w:rsidR="00B209C1"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{"citationItems":[{"id":"ITEM-1","itemData":{"DOI":"10.1016/j.juro.2009.04.025","ISSN":"00225347","PMID":"19539955","abstract":"Purpose: In this study we investigated the relationship between lower urinary tract symptoms as defined by the American Urological Association symptom index and the metabolic syndrome, and determined the relationship between individual symptoms comprising the American Urological Association symptom index and the metabolic syndrome. Materials and Methods: The Boston Area Community Health Survey used a 2-stage cluster design to recruit a random sample of 2,301 men 30 to 79 years old. Analyses were conducted on 1,899 men who provided blood samples. Urological symptoms comprising the American Urological Association symptom index were included in the analysis. The metabolic syndrome was defined using a modification of the Adult Treatment Panel III guidelines. The association between lower urinary tract symptoms and the metabolic syndrome was assessed using odds ratios and 95% confidence intervals estimated using logistic regression models. Results: Increased odds of the metabolic syndrome were observed in men with mild to severe symptoms (American Urological Association symptom index 2 to 35) compared to those with an American Urological Association symptom index score of 0 or 1 (multivariate OR 1.68, 95% CI 1.21-2.35). A statistically significant association was observed between the metabolic syndrome and a voiding symptom score of 5 or greater (multivariate adjusted OR 1.73, 95% CI 1.06-2.80) but not for a storage symptom score of 4 or greater (multivariate adjusted OR 0.94, 95% CI 0.66-1.33). Increased odds of the metabolic syndrome were observed even with mild symptoms, primarily for incomplete emptying, intermittency and nocturia. These associations were observed primarily in younger men (younger than 60 years) and were null in older men (60 years old or older). Conclusions: The observed association between urological symptoms and the metabolic syndrome provides further evidence of common underlying factors between lower urinary tract symptoms and chronic conditions outside the urinary tract. © 2009 American Urological Association.","author":[{"dropping-particle":"","family":"Kupelian","given":"Varant","non-dropping-particle":"","parse-names":false,"suffix":""},{"dropping-particle":"","family":"McVary","given":"Kevin T.","non-dropping-particle":"","parse-names":false,"suffix":""},{"dropping-particle":"","family":"Kaplan","given":"Steven A.","non-dropping-particle":"","parse-names":false,"suffix":""},{"dropping-particle":"","family":"Hall","given":"Susan A.","non-dropping-particle":"","parse-names":false,"suffix":""},{"dropping-particle":"","family":"Link","given":"Carol L.","non-dropping-particle":"","parse-names":false,"suffix":""},{"dropping-particle":"","family":"Aiyer","given":"Lalitha Padmanabhan","non-dropping-particle":"","parse-names":false,"suffix":""},{"dropping-particle":"","family":"Mollon","given":"Patrick","non-dropping-particle":"","parse-names":false,"suffix":""},{"dropping-particle":"","family":"Tamimi","given":"Nihad","non-dropping-particle":"","parse-names":false,"suffix":""},{"dropping-particle":"","family":"Rosen","given":"Raymond C.","non-dropping-particle":"","parse-names":false,"suffix":""},{"dropping-particle":"","family":"McKinlay","given":"John B.","non-dropping-particle":"","parse-names":false,"suffix":""}],"container-title":"Journal of Urology","id":"ITEM-1","issue":"1","issued":{"date-parts":[["2009"]]},"page":"107-14","title":"Association of Lower Urinary Tract Symptoms and the Metabolic Syndrome: Results From the Boston Area Community Health Survey","type":"article-journal","volume":"189"},"uris":["http://www.mendeley.com/documents/?uuid=9ea7e1a3-1d08-405f-a3fd-2acc9ace4ef5"]}],"mendeley":{"formattedCitation":"(172)","plainTextFormattedCitation":"(172)","previouslyFormattedCitation":"(172)"},"properties":{"noteIndex":0},"schema":"https://github.com/citation-style-language/schema/raw/master/csl-citation.json"}</w:instrText>
      </w:r>
      <w:r w:rsidR="00B209C1"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(172)</w:t>
      </w:r>
      <w:r w:rsidR="00B209C1"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showe</w:t>
      </w:r>
      <w:r w:rsidR="00B209C1" w:rsidRPr="004B0BC2">
        <w:rPr>
          <w:rFonts w:asciiTheme="minorHAnsi" w:hAnsiTheme="minorHAnsi" w:cstheme="minorHAnsi"/>
          <w:sz w:val="22"/>
          <w:szCs w:val="22"/>
          <w:shd w:val="clear" w:color="auto" w:fill="FFFFFF"/>
        </w:rPr>
        <w:t>d a</w:t>
      </w:r>
      <w:r w:rsidR="00C825E0" w:rsidRPr="004B0BC2">
        <w:rPr>
          <w:rFonts w:asciiTheme="minorHAnsi" w:hAnsiTheme="minorHAnsi" w:cstheme="minorHAnsi"/>
          <w:sz w:val="22"/>
          <w:szCs w:val="22"/>
          <w:shd w:val="clear" w:color="auto" w:fill="FFFFFF"/>
        </w:rPr>
        <w:t xml:space="preserve"> positive association (OR</w:t>
      </w:r>
      <w:r w:rsidR="00B209C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1.68, 95% CI</w:t>
      </w:r>
      <w:r w:rsidR="00B209C1"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1.21–2.35)</w:t>
      </w:r>
      <w:r w:rsidR="00C825E0" w:rsidRPr="004B0BC2">
        <w:rPr>
          <w:rFonts w:asciiTheme="minorHAnsi" w:hAnsiTheme="minorHAnsi" w:cstheme="minorHAnsi"/>
          <w:sz w:val="22"/>
          <w:szCs w:val="22"/>
        </w:rPr>
        <w:t xml:space="preserve"> </w:t>
      </w:r>
      <w:r w:rsidR="00C825E0" w:rsidRPr="004B0BC2">
        <w:rPr>
          <w:rFonts w:asciiTheme="minorHAnsi" w:hAnsiTheme="minorHAnsi" w:cstheme="minorHAnsi"/>
          <w:sz w:val="22"/>
          <w:szCs w:val="22"/>
          <w:shd w:val="clear" w:color="auto" w:fill="FFFFFF"/>
        </w:rPr>
        <w:t xml:space="preserve">between the </w:t>
      </w:r>
      <w:r w:rsidR="00515FCB" w:rsidRPr="004B0BC2">
        <w:rPr>
          <w:rFonts w:asciiTheme="minorHAnsi" w:hAnsiTheme="minorHAnsi" w:cstheme="minorHAnsi"/>
          <w:sz w:val="22"/>
          <w:szCs w:val="22"/>
          <w:shd w:val="clear" w:color="auto" w:fill="FFFFFF"/>
        </w:rPr>
        <w:t>MetS</w:t>
      </w:r>
      <w:r w:rsidR="00C825E0" w:rsidRPr="004B0BC2">
        <w:rPr>
          <w:rFonts w:asciiTheme="minorHAnsi" w:hAnsiTheme="minorHAnsi" w:cstheme="minorHAnsi"/>
          <w:sz w:val="22"/>
          <w:szCs w:val="22"/>
          <w:shd w:val="clear" w:color="auto" w:fill="FFFFFF"/>
        </w:rPr>
        <w:t xml:space="preserve"> in men with mild or severe </w:t>
      </w:r>
      <w:r w:rsidR="00B209C1" w:rsidRPr="004B0BC2">
        <w:rPr>
          <w:rFonts w:asciiTheme="minorHAnsi" w:hAnsiTheme="minorHAnsi" w:cstheme="minorHAnsi"/>
          <w:sz w:val="22"/>
          <w:szCs w:val="22"/>
          <w:shd w:val="clear" w:color="auto" w:fill="FFFFFF"/>
        </w:rPr>
        <w:t>LUTS</w:t>
      </w:r>
      <w:r w:rsidR="00C825E0" w:rsidRPr="004B0BC2">
        <w:rPr>
          <w:rFonts w:asciiTheme="minorHAnsi" w:hAnsiTheme="minorHAnsi" w:cstheme="minorHAnsi"/>
          <w:sz w:val="22"/>
          <w:szCs w:val="22"/>
          <w:shd w:val="clear" w:color="auto" w:fill="FFFFFF"/>
        </w:rPr>
        <w:t xml:space="preserve"> (AUA symptom index 2</w:t>
      </w:r>
      <w:r>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xml:space="preserve">35) compared </w:t>
      </w:r>
      <w:r w:rsidR="00C574BB">
        <w:rPr>
          <w:rFonts w:asciiTheme="minorHAnsi" w:hAnsiTheme="minorHAnsi" w:cstheme="minorHAnsi"/>
          <w:sz w:val="22"/>
          <w:szCs w:val="22"/>
          <w:shd w:val="clear" w:color="auto" w:fill="FFFFFF"/>
        </w:rPr>
        <w:t xml:space="preserve">with </w:t>
      </w:r>
      <w:r w:rsidR="00C825E0" w:rsidRPr="004B0BC2">
        <w:rPr>
          <w:rFonts w:asciiTheme="minorHAnsi" w:hAnsiTheme="minorHAnsi" w:cstheme="minorHAnsi"/>
          <w:sz w:val="22"/>
          <w:szCs w:val="22"/>
          <w:shd w:val="clear" w:color="auto" w:fill="FFFFFF"/>
        </w:rPr>
        <w:t>no</w:t>
      </w:r>
      <w:r>
        <w:rPr>
          <w:rFonts w:asciiTheme="minorHAnsi" w:hAnsiTheme="minorHAnsi" w:cstheme="minorHAnsi"/>
          <w:sz w:val="22"/>
          <w:szCs w:val="22"/>
          <w:shd w:val="clear" w:color="auto" w:fill="FFFFFF"/>
        </w:rPr>
        <w:t xml:space="preserve"> or </w:t>
      </w:r>
      <w:r w:rsidR="00C825E0" w:rsidRPr="004B0BC2">
        <w:rPr>
          <w:rFonts w:asciiTheme="minorHAnsi" w:hAnsiTheme="minorHAnsi" w:cstheme="minorHAnsi"/>
          <w:sz w:val="22"/>
          <w:szCs w:val="22"/>
          <w:shd w:val="clear" w:color="auto" w:fill="FFFFFF"/>
        </w:rPr>
        <w:t>low symptoms</w:t>
      </w:r>
      <w:r>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AUA</w:t>
      </w:r>
      <w:r w:rsidR="00C825E0" w:rsidRPr="004B0BC2">
        <w:rPr>
          <w:rFonts w:asciiTheme="minorHAnsi" w:hAnsiTheme="minorHAnsi" w:cstheme="minorHAnsi"/>
          <w:sz w:val="22"/>
          <w:szCs w:val="22"/>
          <w:shd w:val="clear" w:color="auto" w:fill="FFFFFF"/>
        </w:rPr>
        <w:t xml:space="preserve"> symptom index score of 0 or 1)</w:t>
      </w:r>
      <w:r w:rsidR="00B209C1"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{"citationItems":[{"id":"ITEM-1","itemData":{"DOI":"10.1016/j.juro.2009.04.025","ISSN":"00225347","PMID":"19539955","abstract":"Purpose: In this study we investigated the relationship between lower urinary tract symptoms as defined by the American Urological Association symptom index and the metabolic syndrome, and determined the relationship between individual symptoms comprising the American Urological Association symptom index and the metabolic syndrome. Materials and Methods: The Boston Area Community Health Survey used a 2-stage cluster design to recruit a random sample of 2,301 men 30 to 79 years old. Analyses were conducted on 1,899 men who provided blood samples. Urological symptoms comprising the American Urological Association symptom index were included in the analysis. The metabolic syndrome was defined using a modification of the Adult Treatment Panel III guidelines. The association between lower urinary tract symptoms and the metabolic syndrome was assessed using odds ratios and 95% confidence intervals estimated using logistic regression models. Results: Increased odds of the metabolic syndrome were observed in men with mild to severe symptoms (American Urological Association symptom index 2 to 35) compared to those with an American Urological Association symptom index score of 0 or 1 (multivariate OR 1.68, 95% CI 1.21-2.35). A statistically significant association was observed between the metabolic syndrome and a voiding symptom score of 5 or greater (multivariate adjusted OR 1.73, 95% CI 1.06-2.80) but not for a storage symptom score of 4 or greater (multivariate adjusted OR 0.94, 95% CI 0.66-1.33). Increased odds of the metabolic syndrome were observed even with mild symptoms, primarily for incomplete emptying, intermittency and nocturia. These associations were observed primarily in younger men (younger than 60 years) and were null in older men (60 years old or older). Conclusions: The observed association between urological symptoms and the metabolic syndrome provides further evidence of common underlying factors between lower urinary tract symptoms and chronic conditions outside the urinary tract. © 2009 American Urological Association.","author":[{"dropping-particle":"","family":"Kupelian","given":"Varant","non-dropping-particle":"","parse-names":false,"suffix":""},{"dropping-particle":"","family":"McVary","given":"Kevin T.","non-dropping-particle":"","parse-names":false,"suffix":""},{"dropping-particle":"","family":"Kaplan","given":"Steven A.","non-dropping-particle":"","parse-names":false,"suffix":""},{"dropping-particle":"","family":"Hall","given":"Susan A.","non-dropping-particle":"","parse-names":false,"suffix":""},{"dropping-particle":"","family":"Link","given":"Carol L.","non-dropping-particle":"","parse-names":false,"suffix":""},{"dropping-particle":"","family":"Aiyer","given":"Lalitha Padmanabhan","non-dropping-particle":"","parse-names":false,"suffix":""},{"dropping-particle":"","family":"Mollon","given":"Patrick","non-dropping-particle":"","parse-names":false,"suffix":""},{"dropping-particle":"","family":"Tamimi","given":"Nihad","non-dropping-particle":"","parse-names":false,"suffix":""},{"dropping-particle":"","family":"Rosen","given":"Raymond C.","non-dropping-particle":"","parse-names":false,"suffix":""},{"dropping-particle":"","family":"McKinlay","given":"John B.","non-dropping-particle":"","parse-names":false,"suffix":""}],"container-title":"Journal of Urology","id":"ITEM-1","issue":"1","issued":{"date-parts":[["2009"]]},"page":"107-14","title":"Association of Lower Urinary Tract Symptoms and the Metabolic Syndrome: Results From the Boston Area Community Health Survey","type":"article-journal","volume":"189"},"uris":["http://www.mendeley.com/documents/?uuid=9ea7e1a3-1d08-405f-a3fd-2acc9ace4ef5"]}],"mendeley":{"formattedCitation":"(172)","plainTextFormattedCitation":"(172)","previouslyFormattedCitation":"(172)"},"properties":{"noteIndex":0},"schema":"https://github.com/citation-style-language/schema/raw/master/csl-citation.json"}</w:instrText>
      </w:r>
      <w:r w:rsidR="00B209C1"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(172)</w:t>
      </w:r>
      <w:r w:rsidR="00B209C1"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I</w:t>
      </w:r>
      <w:r w:rsidR="00C825E0" w:rsidRPr="004B0BC2">
        <w:rPr>
          <w:rFonts w:asciiTheme="minorHAnsi" w:hAnsiTheme="minorHAnsi" w:cstheme="minorHAnsi"/>
          <w:sz w:val="22"/>
          <w:szCs w:val="22"/>
          <w:shd w:val="clear" w:color="auto" w:fill="FFFFFF"/>
        </w:rPr>
        <w:t>nvestigat</w:t>
      </w:r>
      <w:r>
        <w:rPr>
          <w:rFonts w:asciiTheme="minorHAnsi" w:hAnsiTheme="minorHAnsi" w:cstheme="minorHAnsi"/>
          <w:sz w:val="22"/>
          <w:szCs w:val="22"/>
          <w:shd w:val="clear" w:color="auto" w:fill="FFFFFF"/>
        </w:rPr>
        <w:t>ion of</w:t>
      </w:r>
      <w:r w:rsidR="00C825E0" w:rsidRPr="004B0BC2">
        <w:rPr>
          <w:rFonts w:asciiTheme="minorHAnsi" w:hAnsiTheme="minorHAnsi" w:cstheme="minorHAnsi"/>
          <w:sz w:val="22"/>
          <w:szCs w:val="22"/>
          <w:shd w:val="clear" w:color="auto" w:fill="FFFFFF"/>
        </w:rPr>
        <w:t xml:space="preserve"> the relationship between depression and anxiety and </w:t>
      </w:r>
      <w:r w:rsidR="00B209C1" w:rsidRPr="004B0BC2">
        <w:rPr>
          <w:rFonts w:asciiTheme="minorHAnsi" w:hAnsiTheme="minorHAnsi" w:cstheme="minorHAnsi"/>
          <w:sz w:val="22"/>
          <w:szCs w:val="22"/>
          <w:shd w:val="clear" w:color="auto" w:fill="FFFFFF"/>
        </w:rPr>
        <w:t>LUTS</w:t>
      </w:r>
      <w:r w:rsidR="00C825E0" w:rsidRPr="004B0BC2">
        <w:rPr>
          <w:rFonts w:asciiTheme="minorHAnsi" w:hAnsiTheme="minorHAnsi" w:cstheme="minorHAnsi"/>
          <w:sz w:val="22"/>
          <w:szCs w:val="22"/>
          <w:shd w:val="clear" w:color="auto" w:fill="FFFFFF"/>
        </w:rPr>
        <w:t xml:space="preserve"> in a cohort of 14,139 men</w:t>
      </w:r>
      <w:r>
        <w:rPr>
          <w:rFonts w:asciiTheme="minorHAnsi" w:hAnsiTheme="minorHAnsi" w:cstheme="minorHAnsi"/>
          <w:sz w:val="22"/>
          <w:szCs w:val="22"/>
          <w:shd w:val="clear" w:color="auto" w:fill="FFFFFF"/>
        </w:rPr>
        <w:t xml:space="preserve"> indicated</w:t>
      </w:r>
      <w:r w:rsidR="00C825E0" w:rsidRPr="004B0BC2">
        <w:rPr>
          <w:rFonts w:asciiTheme="minorHAnsi" w:hAnsiTheme="minorHAnsi" w:cstheme="minorHAnsi"/>
          <w:sz w:val="22"/>
          <w:szCs w:val="22"/>
          <w:shd w:val="clear" w:color="auto" w:fill="FFFFFF"/>
        </w:rPr>
        <w:t xml:space="preserve"> that men without </w:t>
      </w:r>
      <w:r w:rsidR="00B209C1" w:rsidRPr="004B0BC2">
        <w:rPr>
          <w:rFonts w:asciiTheme="minorHAnsi" w:hAnsiTheme="minorHAnsi" w:cstheme="minorHAnsi"/>
          <w:sz w:val="22"/>
          <w:szCs w:val="22"/>
          <w:shd w:val="clear" w:color="auto" w:fill="FFFFFF"/>
        </w:rPr>
        <w:t>LUTS</w:t>
      </w:r>
      <w:r w:rsidR="00C825E0" w:rsidRPr="004B0BC2">
        <w:rPr>
          <w:rFonts w:asciiTheme="minorHAnsi" w:hAnsiTheme="minorHAnsi" w:cstheme="minorHAnsi"/>
          <w:sz w:val="22"/>
          <w:szCs w:val="22"/>
          <w:shd w:val="clear" w:color="auto" w:fill="FFFFFF"/>
        </w:rPr>
        <w:t xml:space="preserve"> had a significantly lower hospital anxiety and depression scale score </w:t>
      </w:r>
      <w:r>
        <w:rPr>
          <w:rFonts w:asciiTheme="minorHAnsi" w:hAnsiTheme="minorHAnsi" w:cstheme="minorHAnsi"/>
          <w:sz w:val="22"/>
          <w:szCs w:val="22"/>
          <w:shd w:val="clear" w:color="auto" w:fill="FFFFFF"/>
        </w:rPr>
        <w:t>than</w:t>
      </w:r>
      <w:r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those with voiding LUTS</w:t>
      </w:r>
      <w:r w:rsidR="00B209C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(3.3 v</w:t>
      </w:r>
      <w:r>
        <w:rPr>
          <w:rFonts w:asciiTheme="minorHAnsi" w:hAnsiTheme="minorHAnsi" w:cstheme="minorHAnsi"/>
          <w:sz w:val="22"/>
          <w:szCs w:val="22"/>
          <w:shd w:val="clear" w:color="auto" w:fill="FFFFFF"/>
        </w:rPr>
        <w:t>ersus</w:t>
      </w:r>
      <w:r w:rsidR="00C825E0" w:rsidRPr="004B0BC2">
        <w:rPr>
          <w:rFonts w:asciiTheme="minorHAnsi" w:hAnsiTheme="minorHAnsi" w:cstheme="minorHAnsi"/>
          <w:sz w:val="22"/>
          <w:szCs w:val="22"/>
          <w:shd w:val="clear" w:color="auto" w:fill="FFFFFF"/>
        </w:rPr>
        <w:t xml:space="preserve"> 4.2, p&lt;0.001) or storage LUTS</w:t>
      </w:r>
      <w:r w:rsidR="00B209C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(3.3 v</w:t>
      </w:r>
      <w:r>
        <w:rPr>
          <w:rFonts w:asciiTheme="minorHAnsi" w:hAnsiTheme="minorHAnsi" w:cstheme="minorHAnsi"/>
          <w:sz w:val="22"/>
          <w:szCs w:val="22"/>
          <w:shd w:val="clear" w:color="auto" w:fill="FFFFFF"/>
        </w:rPr>
        <w:t>ersu</w:t>
      </w:r>
      <w:r w:rsidR="00C825E0" w:rsidRPr="004B0BC2">
        <w:rPr>
          <w:rFonts w:asciiTheme="minorHAnsi" w:hAnsiTheme="minorHAnsi" w:cstheme="minorHAnsi"/>
          <w:sz w:val="22"/>
          <w:szCs w:val="22"/>
          <w:shd w:val="clear" w:color="auto" w:fill="FFFFFF"/>
        </w:rPr>
        <w:t xml:space="preserve">s 3.9, </w:t>
      </w:r>
      <w:r w:rsidR="00A50E38" w:rsidRPr="004B0BC2">
        <w:rPr>
          <w:rFonts w:asciiTheme="minorHAnsi" w:hAnsiTheme="minorHAnsi" w:cstheme="minorHAnsi"/>
          <w:sz w:val="22"/>
          <w:szCs w:val="22"/>
          <w:shd w:val="clear" w:color="auto" w:fill="FFFFFF"/>
        </w:rPr>
        <w:t>p</w:t>
      </w:r>
      <w:r w:rsidR="00C825E0" w:rsidRPr="004B0BC2">
        <w:rPr>
          <w:rFonts w:asciiTheme="minorHAnsi" w:hAnsiTheme="minorHAnsi" w:cstheme="minorHAnsi"/>
          <w:sz w:val="22"/>
          <w:szCs w:val="22"/>
          <w:shd w:val="clear" w:color="auto" w:fill="FFFFFF"/>
        </w:rPr>
        <w:t xml:space="preserve">&lt;0.001). </w:t>
      </w:r>
      <w:r w:rsidR="00C574BB">
        <w:rPr>
          <w:rFonts w:asciiTheme="minorHAnsi" w:hAnsiTheme="minorHAnsi" w:cstheme="minorHAnsi"/>
          <w:sz w:val="22"/>
          <w:szCs w:val="22"/>
          <w:shd w:val="clear" w:color="auto" w:fill="FFFFFF"/>
        </w:rPr>
        <w:t>Furthermore,</w:t>
      </w:r>
      <w:r w:rsidR="00C825E0" w:rsidRPr="004B0BC2">
        <w:rPr>
          <w:rFonts w:asciiTheme="minorHAnsi" w:hAnsiTheme="minorHAnsi" w:cstheme="minorHAnsi"/>
          <w:sz w:val="22"/>
          <w:szCs w:val="22"/>
          <w:shd w:val="clear" w:color="auto" w:fill="FFFFFF"/>
        </w:rPr>
        <w:t xml:space="preserve"> a meta-analysis comprising 11 studies reported that the presence of nocturia was associated with a 1.27</w:t>
      </w:r>
      <w:r>
        <w:rPr>
          <w:rFonts w:asciiTheme="minorHAnsi" w:hAnsiTheme="minorHAnsi" w:cstheme="minorHAnsi"/>
          <w:sz w:val="22"/>
          <w:szCs w:val="22"/>
          <w:shd w:val="clear" w:color="auto" w:fill="FFFFFF"/>
        </w:rPr>
        <w:t>-fold</w:t>
      </w:r>
      <w:r w:rsidR="00C825E0" w:rsidRPr="004B0BC2">
        <w:rPr>
          <w:rFonts w:asciiTheme="minorHAnsi" w:hAnsiTheme="minorHAnsi" w:cstheme="minorHAnsi"/>
          <w:sz w:val="22"/>
          <w:szCs w:val="22"/>
          <w:shd w:val="clear" w:color="auto" w:fill="FFFFFF"/>
        </w:rPr>
        <w:t xml:space="preserve"> increased risk of mortality (RR</w:t>
      </w:r>
      <w:r w:rsidR="00B209C1"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1.27</w:t>
      </w:r>
      <w:r w:rsidR="00B209C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95% CI</w:t>
      </w:r>
      <w:r w:rsidR="00B209C1"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1.16–1.40)</w:t>
      </w:r>
      <w:r w:rsidR="00B209C1"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{"citationItems":[{"id":"ITEM-1","itemData":{"DOI":"10.1097/JU.0000000000000463","ISSN":"15273792","PMID":"31364920","abstract":"PURPOSE: Nocturia (waking from sleep at night to void) is a common cause of sleep disruption associated with increased comorbidity and impaired quality of life. However, its impact on mortality remains unclear. We performed a systematic review and meta-analysis to evaluate the association of nocturia with mortality as a prognostic factor and a causal risk factor. MATERIALS AND METHODS: We searched PubMed®, Scopus®, CINAHL® (Cumulative Index of Nursing and Allied Health Literature) and major conference abstracts up to December 31, 2018. Random effects meta-analyses were done to address the adjusted RR of mortality in people with nocturia. Meta-regression was performed to explore potential determinants of heterogeneity, including the risk of bias. We applied the GRADE (Grades of Recommendation, Assessment, Development and Evaluation) framework to rate the quality of evidence for nocturia as a prognostic risk factor for mortality and separately as a cause of mortality. RESULTS: Of the 5,230 identified reports 11 observational studies proved eligible for inclusion. To assess nocturia 10 studies used symptom questionnaires and 1 used frequency-volume charts. Nocturia was defined as 2 or more episodes per night in 6 studies (55%) and as 3 or more episodes per night in 5 (45%). Pooled estimates demonstrated a RR of 1.27 (95% CI 1.16-1.40, I2=48%) with an absolute 1.6% and 4.0% 5-year mortality difference in individuals 60 and 75 years old, respectively. The pooled estimates of relative risk did not differ significantly across varying age, gender, followup, nocturia case definition, risk of bias or study region. We rated the quality of evidence for nocturia as a prognostic factor as moderate and as a cause of mortality as very low. CONCLUSIONS: Nocturia is probably associated with an approximately 1.3-fold increased risk of death.","author":[{"dropping-particle":"","family":"Pesonen","given":"Jori S.","non-dropping-particle":"","parse-names":false,"suffix":""},{"dropping-particle":"","family":"Cartwright","given":"Rufus","non-dropping-particle":"","parse-names":false,"suffix":""},{"dropping-particle":"","family":"Vernooij","given":"Robin W.M.","non-dropping-particle":"","parse-names":false,"suffix":""},{"dropping-particle":"","family":"Aoki","given":"Yoshitaka","non-dropping-particle":"","parse-names":false,"suffix":""},{"dropping-particle":"","family":"Agarwal","given":"Arnav","non-dropping-particle":"","parse-names":false,"suffix":""},{"dropping-particle":"","family":"Mangera","given":"Altaf","non-dropping-particle":"","parse-names":false,"suffix":""},{"dropping-particle":"","family":"Markland","given":"Alayne D.","non-dropping-particle":"","parse-names":false,"suffix":""},{"dropping-particle":"","family":"Tsui","given":"Johnson F.","non-dropping-particle":"","parse-names":false,"suffix":""},{"dropping-particle":"","family":"Santti","given":"Henrikki","non-dropping-particle":"","parse-names":false,"suffix":""},{"dropping-particle":"","family":"Griebling","given":"Tomas L.","non-dropping-particle":"","parse-names":false,"suffix":""},{"dropping-particle":"","family":"Pryalukhin","given":"Alexey E.","non-dropping-particle":"","parse-names":false,"suffix":""},{"dropping-particle":"","family":"Riikonen","given":"Jarno","non-dropping-particle":"","parse-names":false,"suffix":""},{"dropping-particle":"","family":"Tähtinen","given":"Riikka M.","non-dropping-particle":"","parse-names":false,"suffix":""},{"dropping-particle":"","family":"Vaughan","given":"Camille P.","non-dropping-particle":"","parse-names":false,"suffix":""},{"dropping-particle":"","family":"Johnson","given":"Theodor M.","non-dropping-particle":"","parse-names":false,"suffix":""},{"dropping-particle":"","family":"Auvinen","given":"Anssi","non-dropping-particle":"","parse-names":false,"suffix":""},{"dropping-particle":"","family":"Heels-Ansdell","given":"Diane","non-dropping-particle":"","parse-names":false,"suffix":""},{"dropping-particle":"","family":"Guyatt","given":"Gordon H.","non-dropping-particle":"","parse-names":false,"suffix":""},{"dropping-particle":"","family":"Tikkinen","given":"Kari A.O.","non-dropping-particle":"","parse-names":false,"suffix":""}],"container-title":"The Journal of urology","id":"ITEM-1","issue":"3","issued":{"date-parts":[["2020"]]},"page":"486-495","title":"The Impact of Nocturia on Mortality: A Systematic Review and Meta-Analysis","type":"article-journal","volume":"203"},"uris":["http://www.mendeley.com/documents/?uuid=464c400d-14f7-4e2c-b37d-19cdf27c932a"]}],"mendeley":{"formattedCitation":"(173)","plainTextFormattedCitation":"(173)","previouslyFormattedCitation":"(173)"},"properties":{"noteIndex":0},"schema":"https://github.com/citation-style-language/schema/raw/master/csl-citation.json"}</w:instrText>
      </w:r>
      <w:r w:rsidR="00B209C1"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(173)</w:t>
      </w:r>
      <w:r w:rsidR="00B209C1"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rPr>
        <w:t xml:space="preserve"> </w:t>
      </w:r>
    </w:p>
    <w:p w14:paraId="1B975D4D" w14:textId="58B97C9E" w:rsidR="00C825E0" w:rsidRPr="004B0BC2" w:rsidRDefault="003C38B1" w:rsidP="00500FBD">
      <w:pPr>
        <w:spacing w:line="480" w:lineRule="auto"/>
        <w:rPr>
          <w:rFonts w:asciiTheme="minorHAnsi" w:hAnsiTheme="minorHAnsi" w:cstheme="minorHAnsi"/>
          <w:sz w:val="22"/>
          <w:szCs w:val="22"/>
        </w:rPr>
      </w:pPr>
      <w:r w:rsidRPr="004B0BC2">
        <w:rPr>
          <w:rFonts w:asciiTheme="minorHAnsi" w:hAnsiTheme="minorHAnsi" w:cstheme="minorHAnsi"/>
          <w:sz w:val="22"/>
          <w:szCs w:val="22"/>
        </w:rPr>
        <w:t>Th</w:t>
      </w:r>
      <w:r>
        <w:rPr>
          <w:rFonts w:asciiTheme="minorHAnsi" w:hAnsiTheme="minorHAnsi" w:cstheme="minorHAnsi"/>
          <w:sz w:val="22"/>
          <w:szCs w:val="22"/>
        </w:rPr>
        <w:t>us</w:t>
      </w:r>
      <w:r w:rsidR="007D3ABD" w:rsidRPr="004B0BC2">
        <w:rPr>
          <w:rFonts w:asciiTheme="minorHAnsi" w:hAnsiTheme="minorHAnsi" w:cstheme="minorHAnsi"/>
          <w:sz w:val="22"/>
          <w:szCs w:val="22"/>
        </w:rPr>
        <w:t>,</w:t>
      </w:r>
      <w:r w:rsidR="00176BAF" w:rsidRPr="004B0BC2">
        <w:rPr>
          <w:rFonts w:asciiTheme="minorHAnsi" w:hAnsiTheme="minorHAnsi" w:cstheme="minorHAnsi"/>
          <w:sz w:val="22"/>
          <w:szCs w:val="22"/>
        </w:rPr>
        <w:t xml:space="preserve"> the urological speciality</w:t>
      </w:r>
      <w:r w:rsidR="00C574BB">
        <w:rPr>
          <w:rFonts w:asciiTheme="minorHAnsi" w:hAnsiTheme="minorHAnsi" w:cstheme="minorHAnsi"/>
          <w:sz w:val="22"/>
          <w:szCs w:val="22"/>
        </w:rPr>
        <w:t xml:space="preserve"> has a </w:t>
      </w:r>
      <w:r w:rsidR="00176BAF" w:rsidRPr="004B0BC2">
        <w:rPr>
          <w:rFonts w:asciiTheme="minorHAnsi" w:hAnsiTheme="minorHAnsi" w:cstheme="minorHAnsi"/>
          <w:sz w:val="22"/>
          <w:szCs w:val="22"/>
        </w:rPr>
        <w:t>unique</w:t>
      </w:r>
      <w:r w:rsidR="00BC057B" w:rsidRPr="004B0BC2">
        <w:rPr>
          <w:rFonts w:asciiTheme="minorHAnsi" w:hAnsiTheme="minorHAnsi" w:cstheme="minorHAnsi"/>
          <w:sz w:val="22"/>
          <w:szCs w:val="22"/>
        </w:rPr>
        <w:t xml:space="preserve"> opportunity </w:t>
      </w:r>
      <w:r w:rsidR="00176BAF" w:rsidRPr="004B0BC2">
        <w:rPr>
          <w:rFonts w:asciiTheme="minorHAnsi" w:hAnsiTheme="minorHAnsi" w:cstheme="minorHAnsi"/>
          <w:sz w:val="22"/>
          <w:szCs w:val="22"/>
        </w:rPr>
        <w:t>of being able to target major CVD risk factors</w:t>
      </w:r>
      <w:r w:rsidR="0047220A" w:rsidRPr="004B0BC2">
        <w:rPr>
          <w:rFonts w:asciiTheme="minorHAnsi" w:hAnsiTheme="minorHAnsi" w:cstheme="minorHAnsi"/>
          <w:sz w:val="22"/>
          <w:szCs w:val="22"/>
        </w:rPr>
        <w:t xml:space="preserve"> and other premature causes of male death</w:t>
      </w:r>
      <w:r w:rsidR="004268A3" w:rsidRPr="004B0BC2">
        <w:rPr>
          <w:rFonts w:asciiTheme="minorHAnsi" w:hAnsiTheme="minorHAnsi" w:cstheme="minorHAnsi"/>
          <w:sz w:val="22"/>
          <w:szCs w:val="22"/>
        </w:rPr>
        <w:t xml:space="preserve"> at </w:t>
      </w:r>
      <w:r w:rsidR="006269E8">
        <w:rPr>
          <w:rFonts w:asciiTheme="minorHAnsi" w:hAnsiTheme="minorHAnsi" w:cstheme="minorHAnsi"/>
          <w:sz w:val="22"/>
          <w:szCs w:val="22"/>
        </w:rPr>
        <w:t>an early</w:t>
      </w:r>
      <w:r w:rsidR="004268A3" w:rsidRPr="004B0BC2">
        <w:rPr>
          <w:rFonts w:asciiTheme="minorHAnsi" w:hAnsiTheme="minorHAnsi" w:cstheme="minorHAnsi"/>
          <w:sz w:val="22"/>
          <w:szCs w:val="22"/>
        </w:rPr>
        <w:t xml:space="preserve"> </w:t>
      </w:r>
      <w:r w:rsidR="00C7076B" w:rsidRPr="004B0BC2">
        <w:rPr>
          <w:rFonts w:asciiTheme="minorHAnsi" w:hAnsiTheme="minorHAnsi" w:cstheme="minorHAnsi"/>
          <w:sz w:val="22"/>
          <w:szCs w:val="22"/>
        </w:rPr>
        <w:t>st</w:t>
      </w:r>
      <w:r w:rsidR="004268A3" w:rsidRPr="004B0BC2">
        <w:rPr>
          <w:rFonts w:asciiTheme="minorHAnsi" w:hAnsiTheme="minorHAnsi" w:cstheme="minorHAnsi"/>
          <w:sz w:val="22"/>
          <w:szCs w:val="22"/>
        </w:rPr>
        <w:t>age</w:t>
      </w:r>
      <w:r w:rsidR="00AE081E" w:rsidRPr="004B0BC2">
        <w:rPr>
          <w:rFonts w:asciiTheme="minorHAnsi" w:hAnsiTheme="minorHAnsi" w:cstheme="minorHAnsi"/>
          <w:sz w:val="22"/>
          <w:szCs w:val="22"/>
        </w:rPr>
        <w:t xml:space="preserve"> </w:t>
      </w:r>
      <w:r w:rsidR="00176BAF" w:rsidRPr="004B0BC2">
        <w:rPr>
          <w:rFonts w:asciiTheme="minorHAnsi" w:hAnsiTheme="minorHAnsi" w:cstheme="minorHAnsi"/>
          <w:sz w:val="22"/>
          <w:szCs w:val="22"/>
        </w:rPr>
        <w:t>through lifestyle changes</w:t>
      </w:r>
      <w:r w:rsidR="00BC057B" w:rsidRPr="004B0BC2">
        <w:rPr>
          <w:rFonts w:asciiTheme="minorHAnsi" w:hAnsiTheme="minorHAnsi" w:cstheme="minorHAnsi"/>
          <w:sz w:val="22"/>
          <w:szCs w:val="22"/>
        </w:rPr>
        <w:t>, screening for occult disease, risk stratification and early medical intervention</w:t>
      </w:r>
      <w:r w:rsidR="00176BAF" w:rsidRPr="004B0BC2">
        <w:rPr>
          <w:rFonts w:asciiTheme="minorHAnsi" w:hAnsiTheme="minorHAnsi" w:cstheme="minorHAnsi"/>
          <w:sz w:val="22"/>
          <w:szCs w:val="22"/>
        </w:rPr>
        <w:t>.</w:t>
      </w:r>
      <w:r w:rsidR="008E5281" w:rsidRPr="004B0BC2">
        <w:rPr>
          <w:rFonts w:asciiTheme="minorHAnsi" w:hAnsiTheme="minorHAnsi" w:cstheme="minorHAnsi"/>
          <w:sz w:val="22"/>
          <w:szCs w:val="22"/>
        </w:rPr>
        <w:t xml:space="preserve"> </w:t>
      </w:r>
      <w:r w:rsidR="00BC057B" w:rsidRPr="004B0BC2">
        <w:rPr>
          <w:rFonts w:asciiTheme="minorHAnsi" w:hAnsiTheme="minorHAnsi" w:cstheme="minorHAnsi"/>
          <w:sz w:val="22"/>
          <w:szCs w:val="22"/>
        </w:rPr>
        <w:t>Indeed</w:t>
      </w:r>
      <w:r w:rsidR="008E5281" w:rsidRPr="004B0BC2">
        <w:rPr>
          <w:rFonts w:asciiTheme="minorHAnsi" w:hAnsiTheme="minorHAnsi" w:cstheme="minorHAnsi"/>
          <w:sz w:val="22"/>
          <w:szCs w:val="22"/>
        </w:rPr>
        <w:t xml:space="preserve">, screening for CVD in men </w:t>
      </w:r>
      <w:r w:rsidR="008E5281" w:rsidRPr="004B0BC2">
        <w:rPr>
          <w:rFonts w:asciiTheme="minorHAnsi" w:hAnsiTheme="minorHAnsi" w:cstheme="minorHAnsi"/>
          <w:sz w:val="22"/>
          <w:szCs w:val="22"/>
        </w:rPr>
        <w:lastRenderedPageBreak/>
        <w:t xml:space="preserve">who present with </w:t>
      </w:r>
      <w:r w:rsidR="00156AEF" w:rsidRPr="004B0BC2">
        <w:rPr>
          <w:rFonts w:asciiTheme="minorHAnsi" w:hAnsiTheme="minorHAnsi" w:cstheme="minorHAnsi"/>
          <w:sz w:val="22"/>
          <w:szCs w:val="22"/>
        </w:rPr>
        <w:t>ED</w:t>
      </w:r>
      <w:r w:rsidR="008E5281" w:rsidRPr="004B0BC2">
        <w:rPr>
          <w:rFonts w:asciiTheme="minorHAnsi" w:hAnsiTheme="minorHAnsi" w:cstheme="minorHAnsi"/>
          <w:sz w:val="22"/>
          <w:szCs w:val="22"/>
        </w:rPr>
        <w:t xml:space="preserve"> </w:t>
      </w:r>
      <w:r w:rsidR="006269E8">
        <w:rPr>
          <w:rFonts w:asciiTheme="minorHAnsi" w:hAnsiTheme="minorHAnsi" w:cstheme="minorHAnsi"/>
          <w:sz w:val="22"/>
          <w:szCs w:val="22"/>
        </w:rPr>
        <w:t>ha</w:t>
      </w:r>
      <w:r w:rsidR="008E5281" w:rsidRPr="004B0BC2">
        <w:rPr>
          <w:rFonts w:asciiTheme="minorHAnsi" w:hAnsiTheme="minorHAnsi" w:cstheme="minorHAnsi"/>
          <w:sz w:val="22"/>
          <w:szCs w:val="22"/>
        </w:rPr>
        <w:t>s</w:t>
      </w:r>
      <w:r w:rsidR="006269E8">
        <w:rPr>
          <w:rFonts w:asciiTheme="minorHAnsi" w:hAnsiTheme="minorHAnsi" w:cstheme="minorHAnsi"/>
          <w:sz w:val="22"/>
          <w:szCs w:val="22"/>
        </w:rPr>
        <w:t xml:space="preserve"> been shown to be</w:t>
      </w:r>
      <w:r w:rsidR="008E5281" w:rsidRPr="004B0BC2">
        <w:rPr>
          <w:rFonts w:asciiTheme="minorHAnsi" w:hAnsiTheme="minorHAnsi" w:cstheme="minorHAnsi"/>
          <w:sz w:val="22"/>
          <w:szCs w:val="22"/>
        </w:rPr>
        <w:t xml:space="preserve"> a cost</w:t>
      </w:r>
      <w:r w:rsidR="006269E8">
        <w:rPr>
          <w:rFonts w:asciiTheme="minorHAnsi" w:hAnsiTheme="minorHAnsi" w:cstheme="minorHAnsi"/>
          <w:sz w:val="22"/>
          <w:szCs w:val="22"/>
        </w:rPr>
        <w:t>-</w:t>
      </w:r>
      <w:r w:rsidR="008E5281" w:rsidRPr="004B0BC2">
        <w:rPr>
          <w:rFonts w:asciiTheme="minorHAnsi" w:hAnsiTheme="minorHAnsi" w:cstheme="minorHAnsi"/>
          <w:sz w:val="22"/>
          <w:szCs w:val="22"/>
        </w:rPr>
        <w:t xml:space="preserve">effective intervention for secondary prevention of both </w:t>
      </w:r>
      <w:r w:rsidR="006269E8">
        <w:rPr>
          <w:rFonts w:asciiTheme="minorHAnsi" w:hAnsiTheme="minorHAnsi" w:cstheme="minorHAnsi"/>
          <w:sz w:val="22"/>
          <w:szCs w:val="22"/>
        </w:rPr>
        <w:t>ED</w:t>
      </w:r>
      <w:r w:rsidR="008E5281" w:rsidRPr="004B0BC2">
        <w:rPr>
          <w:rFonts w:asciiTheme="minorHAnsi" w:hAnsiTheme="minorHAnsi" w:cstheme="minorHAnsi"/>
          <w:sz w:val="22"/>
          <w:szCs w:val="22"/>
        </w:rPr>
        <w:t xml:space="preserve"> and CVD</w:t>
      </w:r>
      <w:r w:rsidR="00AE601E"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{"citationItems":[{"id":"ITEM-1","itemData":{"URL":"https://uroweb.org/wp-content/uploads/EAU-Guidelines-on-Sexual-and-Reproductive-Health-2020.pdf","accessed":{"date-parts":[["2020","4","27"]]},"author":[{"dropping-particle":"","family":"EAU Guidelines Committee","given":"","non-dropping-particle":"","parse-names":false,"suffix":""}],"container-title":"2020","id":"ITEM-1","issued":{"date-parts":[["0"]]},"title":"EAU guidelines on Sexual and Reproductive Health","type":"webpage"},"uris":["http://www.mendeley.com/documents/?uuid=24513bd5-aaea-355e-8a22-5aaa3af0b93a"]}],"mendeley":{"formattedCitation":"(174)","plainTextFormattedCitation":"(174)","previouslyFormattedCitation":"(174)"},"properties":{"noteIndex":0},"schema":"https://github.com/citation-style-language/schema/raw/master/csl-citation.json"}</w:instrText>
      </w:r>
      <w:r w:rsidR="00AE601E" w:rsidRPr="004B0BC2">
        <w:rPr>
          <w:rFonts w:asciiTheme="minorHAnsi" w:hAnsiTheme="minorHAnsi" w:cstheme="minorHAnsi"/>
          <w:sz w:val="22"/>
          <w:szCs w:val="22"/>
        </w:rPr>
        <w:fldChar w:fldCharType="separate"/>
      </w:r>
      <w:r w:rsidR="002410DF" w:rsidRPr="002410DF">
        <w:rPr>
          <w:rFonts w:asciiTheme="minorHAnsi" w:hAnsiTheme="minorHAnsi" w:cstheme="minorHAnsi"/>
          <w:noProof/>
          <w:sz w:val="22"/>
          <w:szCs w:val="22"/>
        </w:rPr>
        <w:t>(174)</w:t>
      </w:r>
      <w:r w:rsidR="00AE601E" w:rsidRPr="004B0BC2">
        <w:rPr>
          <w:rFonts w:asciiTheme="minorHAnsi" w:hAnsiTheme="minorHAnsi" w:cstheme="minorHAnsi"/>
          <w:sz w:val="22"/>
          <w:szCs w:val="22"/>
        </w:rPr>
        <w:fldChar w:fldCharType="end"/>
      </w:r>
      <w:r w:rsidR="00AE601E"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{"citationItems":[{"id":"ITEM-1","itemData":{"DOI":"10.1111/jsm.12848","ISSN":"17436109","abstract":"Introduction: Erectile dysfunction (ED) is a risk factor for cardiovascular disease (CVD). We examine the costs of screening men with ED for CVD risk factors and the cost savings of treating these at risk men. Aim: This study aims to evaluate the effect of screening men presenting with ED for CVD risk factors and to determine the cost effectiveness of this screening protocol. Methods: The known incidence and prevalence of ED and CVD, the rate of undiagnosed CVD, and the effects of CVD treatment were used to model the change in prevalence of acute CVD events and ED as a function of the number of men with ED and CVD. The cost savings associated with reduction in acute cardiovascular (CV) events and ED prevalence was estimated over 20 years. Main Outcome Measures: Acute CVD event rate reduction and associated cost savings were modeled over 20 years. Results: The relative risk of ED in men with CVD is 1.47 and the coprevalence of both ED and CVD was estimated at 1,991,520 men. Approximately 44% of men with CVD risk factors are unaware of their risk. If all men presenting with ED were screened for CVD, 5.8 million men with previously unknown CVD risk factors would be identified over 20 years, costing $2.7 billion to screen. Assuming a 20% decrease in CV events as a result of screening and treatment, 1.1 million cardiovascular events would be avoided, saving $21.3 billion over 20 years. Similarly, 1.1 million cases of ED would be treated, saving $9.7 billion. Together, the reduction in acute CVD and ED treatment cost would save $28.5 billion over 20 years. Conclusions: Screening for CVD in men presenting with ED can be a cost-effective intervention for secondary prevention of both CVD and, over the longer term, ED. Pastuszak AW, Hyman DA, Yadav N, Godoy G, Lipshultz LI, Araujo AB, and Khera M. Erectile dysfunction as a marker for cardiovascular disease diagnosis and intervention: A cost analysis. J Sex Med 2015;12:975-984.","author":[{"dropping-particle":"","family":"Pastuszak","given":"Alexander W.","non-dropping-particle":"","parse-names":false,"suffix":""},{"dropping-particle":"","family":"Hyman","given":"Daniel A.","non-dropping-particle":"","parse-names":false,"suffix":""},{"dropping-particle":"","family":"Yadav","given":"Naveen","non-dropping-particle":"","parse-names":false,"suffix":""},{"dropping-particle":"","family":"Godoy","given":"Guilherme","non-dropping-particle":"","parse-names":false,"suffix":""},{"dropping-particle":"","family":"Lipshultz","given":"Larry I.","non-dropping-particle":"","parse-names":false,"suffix":""},{"dropping-particle":"","family":"Araujo","given":"Andre B.","non-dropping-particle":"","parse-names":false,"suffix":""},{"dropping-particle":"","family":"Khera","given":"Mohit","non-dropping-particle":"","parse-names":false,"suffix":""}],"container-title":"Journal of Sexual Medicine","id":"ITEM-1","issue":"4","issued":{"date-parts":[["2015","4","1"]]},"page":"975-984","publisher":"Blackwell Publishing Ltd","title":"Erectile dysfunction as a marker for cardiovascular disease diagnosis and intervention: A cost analysis","type":"article-journal","volume":"12"},"uris":["http://www.mendeley.com/documents/?uuid=7fc2c173-fdd7-3840-8903-d7ff691cbd89"]}],"mendeley":{"formattedCitation":"(175)","plainTextFormattedCitation":"(175)","previouslyFormattedCitation":"(175)"},"properties":{"noteIndex":0},"schema":"https://github.com/citation-style-language/schema/raw/master/csl-citation.json"}</w:instrText>
      </w:r>
      <w:r w:rsidR="00AE601E" w:rsidRPr="004B0BC2">
        <w:rPr>
          <w:rFonts w:asciiTheme="minorHAnsi" w:hAnsiTheme="minorHAnsi" w:cstheme="minorHAnsi"/>
          <w:sz w:val="22"/>
          <w:szCs w:val="22"/>
        </w:rPr>
        <w:fldChar w:fldCharType="separate"/>
      </w:r>
      <w:r w:rsidR="002410DF" w:rsidRPr="002410DF">
        <w:rPr>
          <w:rFonts w:asciiTheme="minorHAnsi" w:hAnsiTheme="minorHAnsi" w:cstheme="minorHAnsi"/>
          <w:noProof/>
          <w:sz w:val="22"/>
          <w:szCs w:val="22"/>
        </w:rPr>
        <w:t>(175)</w:t>
      </w:r>
      <w:r w:rsidR="00AE601E" w:rsidRPr="004B0BC2">
        <w:rPr>
          <w:rFonts w:asciiTheme="minorHAnsi" w:hAnsiTheme="minorHAnsi" w:cstheme="minorHAnsi"/>
          <w:sz w:val="22"/>
          <w:szCs w:val="22"/>
        </w:rPr>
        <w:fldChar w:fldCharType="end"/>
      </w:r>
      <w:r w:rsidR="00C825E0" w:rsidRPr="004B0BC2">
        <w:rPr>
          <w:rFonts w:asciiTheme="minorHAnsi" w:hAnsiTheme="minorHAnsi" w:cstheme="minorHAnsi"/>
          <w:sz w:val="22"/>
          <w:szCs w:val="22"/>
        </w:rPr>
        <w:t xml:space="preserve">. </w:t>
      </w:r>
      <w:r w:rsidR="006269E8">
        <w:rPr>
          <w:rFonts w:asciiTheme="minorHAnsi" w:hAnsiTheme="minorHAnsi" w:cstheme="minorHAnsi"/>
          <w:sz w:val="22"/>
          <w:szCs w:val="22"/>
        </w:rPr>
        <w:t xml:space="preserve">In accordance with these </w:t>
      </w:r>
      <w:r w:rsidR="00C574BB">
        <w:rPr>
          <w:rFonts w:asciiTheme="minorHAnsi" w:hAnsiTheme="minorHAnsi" w:cstheme="minorHAnsi"/>
          <w:sz w:val="22"/>
          <w:szCs w:val="22"/>
        </w:rPr>
        <w:t>observations,</w:t>
      </w:r>
      <w:r w:rsidR="006269E8">
        <w:rPr>
          <w:rFonts w:asciiTheme="minorHAnsi" w:hAnsiTheme="minorHAnsi" w:cstheme="minorHAnsi"/>
          <w:sz w:val="22"/>
          <w:szCs w:val="22"/>
        </w:rPr>
        <w:t xml:space="preserve"> a </w:t>
      </w:r>
      <w:r w:rsidR="00C825E0" w:rsidRPr="004B0BC2">
        <w:rPr>
          <w:rFonts w:asciiTheme="minorHAnsi" w:hAnsiTheme="minorHAnsi" w:cstheme="minorHAnsi"/>
          <w:sz w:val="22"/>
          <w:szCs w:val="22"/>
        </w:rPr>
        <w:t>stud</w:t>
      </w:r>
      <w:r w:rsidR="006269E8">
        <w:rPr>
          <w:rFonts w:asciiTheme="minorHAnsi" w:hAnsiTheme="minorHAnsi" w:cstheme="minorHAnsi"/>
          <w:sz w:val="22"/>
          <w:szCs w:val="22"/>
        </w:rPr>
        <w:t>y</w:t>
      </w:r>
      <w:r w:rsidR="00C825E0" w:rsidRPr="004B0BC2">
        <w:rPr>
          <w:rFonts w:asciiTheme="minorHAnsi" w:hAnsiTheme="minorHAnsi" w:cstheme="minorHAnsi"/>
          <w:sz w:val="22"/>
          <w:szCs w:val="22"/>
        </w:rPr>
        <w:t xml:space="preserve"> </w:t>
      </w:r>
      <w:r w:rsidR="006269E8">
        <w:rPr>
          <w:rFonts w:asciiTheme="minorHAnsi" w:hAnsiTheme="minorHAnsi" w:cstheme="minorHAnsi"/>
          <w:sz w:val="22"/>
          <w:szCs w:val="22"/>
        </w:rPr>
        <w:t xml:space="preserve">of </w:t>
      </w:r>
      <w:r w:rsidR="00C825E0" w:rsidRPr="004B0BC2">
        <w:rPr>
          <w:rFonts w:asciiTheme="minorHAnsi" w:hAnsiTheme="minorHAnsi" w:cstheme="minorHAnsi"/>
          <w:sz w:val="22"/>
          <w:szCs w:val="22"/>
        </w:rPr>
        <w:t xml:space="preserve">Medicare reimbursement for both CVD risk factors and </w:t>
      </w:r>
      <w:r w:rsidR="006269E8">
        <w:rPr>
          <w:rFonts w:asciiTheme="minorHAnsi" w:hAnsiTheme="minorHAnsi" w:cstheme="minorHAnsi"/>
          <w:sz w:val="22"/>
          <w:szCs w:val="22"/>
        </w:rPr>
        <w:t>ED</w:t>
      </w:r>
      <w:r w:rsidR="00C825E0" w:rsidRPr="004B0BC2">
        <w:rPr>
          <w:rFonts w:asciiTheme="minorHAnsi" w:hAnsiTheme="minorHAnsi" w:cstheme="minorHAnsi"/>
          <w:sz w:val="22"/>
          <w:szCs w:val="22"/>
        </w:rPr>
        <w:t xml:space="preserve"> diagnosis and management</w:t>
      </w:r>
      <w:r w:rsidR="006269E8">
        <w:rPr>
          <w:rFonts w:asciiTheme="minorHAnsi" w:hAnsiTheme="minorHAnsi" w:cstheme="minorHAnsi"/>
          <w:sz w:val="22"/>
          <w:szCs w:val="22"/>
        </w:rPr>
        <w:t xml:space="preserve"> </w:t>
      </w:r>
      <w:r w:rsidR="00C825E0" w:rsidRPr="004B0BC2">
        <w:rPr>
          <w:rFonts w:asciiTheme="minorHAnsi" w:hAnsiTheme="minorHAnsi" w:cstheme="minorHAnsi"/>
          <w:sz w:val="22"/>
          <w:szCs w:val="22"/>
        </w:rPr>
        <w:t>reported that the cost of CVD risk</w:t>
      </w:r>
      <w:r w:rsidR="006269E8">
        <w:rPr>
          <w:rFonts w:asciiTheme="minorHAnsi" w:hAnsiTheme="minorHAnsi" w:cstheme="minorHAnsi"/>
          <w:sz w:val="22"/>
          <w:szCs w:val="22"/>
        </w:rPr>
        <w:t>-</w:t>
      </w:r>
      <w:r w:rsidR="00C825E0" w:rsidRPr="004B0BC2">
        <w:rPr>
          <w:rFonts w:asciiTheme="minorHAnsi" w:hAnsiTheme="minorHAnsi" w:cstheme="minorHAnsi"/>
          <w:sz w:val="22"/>
          <w:szCs w:val="22"/>
        </w:rPr>
        <w:t>factor screening in men presenting with ED was $138.20 per individual and that screening the US population over the duration of 20 years would cost $2.6 billion</w:t>
      </w:r>
      <w:r w:rsidR="006269E8">
        <w:rPr>
          <w:rFonts w:asciiTheme="minorHAnsi" w:hAnsiTheme="minorHAnsi" w:cstheme="minorHAnsi"/>
          <w:sz w:val="22"/>
          <w:szCs w:val="22"/>
        </w:rPr>
        <w:t>,</w:t>
      </w:r>
      <w:r w:rsidR="00C825E0" w:rsidRPr="004B0BC2">
        <w:rPr>
          <w:rFonts w:asciiTheme="minorHAnsi" w:hAnsiTheme="minorHAnsi" w:cstheme="minorHAnsi"/>
          <w:sz w:val="22"/>
          <w:szCs w:val="22"/>
        </w:rPr>
        <w:t xml:space="preserve"> but would identify 5.8 million men at risk of CVD</w:t>
      </w:r>
      <w:r w:rsidR="006269E8">
        <w:rPr>
          <w:rFonts w:asciiTheme="minorHAnsi" w:hAnsiTheme="minorHAnsi" w:cstheme="minorHAnsi"/>
          <w:sz w:val="22"/>
          <w:szCs w:val="22"/>
        </w:rPr>
        <w:t>,</w:t>
      </w:r>
      <w:r w:rsidR="00C825E0" w:rsidRPr="004B0BC2">
        <w:rPr>
          <w:rFonts w:asciiTheme="minorHAnsi" w:hAnsiTheme="minorHAnsi" w:cstheme="minorHAnsi"/>
          <w:sz w:val="22"/>
          <w:szCs w:val="22"/>
        </w:rPr>
        <w:t xml:space="preserve"> prevent</w:t>
      </w:r>
      <w:r w:rsidR="006269E8">
        <w:rPr>
          <w:rFonts w:asciiTheme="minorHAnsi" w:hAnsiTheme="minorHAnsi" w:cstheme="minorHAnsi"/>
          <w:sz w:val="22"/>
          <w:szCs w:val="22"/>
        </w:rPr>
        <w:t>ing</w:t>
      </w:r>
      <w:r w:rsidR="00C825E0" w:rsidRPr="004B0BC2">
        <w:rPr>
          <w:rFonts w:asciiTheme="minorHAnsi" w:hAnsiTheme="minorHAnsi" w:cstheme="minorHAnsi"/>
          <w:sz w:val="22"/>
          <w:szCs w:val="22"/>
        </w:rPr>
        <w:t xml:space="preserve"> 1.1 million acute CV</w:t>
      </w:r>
      <w:r w:rsidR="000850B1" w:rsidRPr="004B0BC2">
        <w:rPr>
          <w:rFonts w:asciiTheme="minorHAnsi" w:hAnsiTheme="minorHAnsi" w:cstheme="minorHAnsi"/>
          <w:sz w:val="22"/>
          <w:szCs w:val="22"/>
        </w:rPr>
        <w:t>D</w:t>
      </w:r>
      <w:r w:rsidR="00C825E0" w:rsidRPr="004B0BC2">
        <w:rPr>
          <w:rFonts w:asciiTheme="minorHAnsi" w:hAnsiTheme="minorHAnsi" w:cstheme="minorHAnsi"/>
          <w:sz w:val="22"/>
          <w:szCs w:val="22"/>
        </w:rPr>
        <w:t xml:space="preserve"> events </w:t>
      </w:r>
      <w:r w:rsidR="006269E8">
        <w:rPr>
          <w:rFonts w:asciiTheme="minorHAnsi" w:hAnsiTheme="minorHAnsi" w:cstheme="minorHAnsi"/>
          <w:sz w:val="22"/>
          <w:szCs w:val="22"/>
        </w:rPr>
        <w:t xml:space="preserve">and </w:t>
      </w:r>
      <w:r w:rsidR="00C825E0" w:rsidRPr="004B0BC2">
        <w:rPr>
          <w:rFonts w:asciiTheme="minorHAnsi" w:hAnsiTheme="minorHAnsi" w:cstheme="minorHAnsi"/>
          <w:sz w:val="22"/>
          <w:szCs w:val="22"/>
        </w:rPr>
        <w:t xml:space="preserve">thereby </w:t>
      </w:r>
      <w:r w:rsidR="006269E8">
        <w:rPr>
          <w:rFonts w:asciiTheme="minorHAnsi" w:hAnsiTheme="minorHAnsi" w:cstheme="minorHAnsi"/>
          <w:sz w:val="22"/>
          <w:szCs w:val="22"/>
        </w:rPr>
        <w:t>result</w:t>
      </w:r>
      <w:r w:rsidR="006269E8" w:rsidRPr="004B0BC2">
        <w:rPr>
          <w:rFonts w:asciiTheme="minorHAnsi" w:hAnsiTheme="minorHAnsi" w:cstheme="minorHAnsi"/>
          <w:sz w:val="22"/>
          <w:szCs w:val="22"/>
        </w:rPr>
        <w:t>ing</w:t>
      </w:r>
      <w:r w:rsidR="006269E8">
        <w:rPr>
          <w:rFonts w:asciiTheme="minorHAnsi" w:hAnsiTheme="minorHAnsi" w:cstheme="minorHAnsi"/>
          <w:sz w:val="22"/>
          <w:szCs w:val="22"/>
        </w:rPr>
        <w:t xml:space="preserve"> in a</w:t>
      </w:r>
      <w:r w:rsidR="006269E8" w:rsidRPr="004B0BC2">
        <w:rPr>
          <w:rFonts w:asciiTheme="minorHAnsi" w:hAnsiTheme="minorHAnsi" w:cstheme="minorHAnsi"/>
          <w:sz w:val="22"/>
          <w:szCs w:val="22"/>
        </w:rPr>
        <w:t xml:space="preserve"> </w:t>
      </w:r>
      <w:r w:rsidR="00C825E0" w:rsidRPr="004B0BC2">
        <w:rPr>
          <w:rFonts w:asciiTheme="minorHAnsi" w:hAnsiTheme="minorHAnsi" w:cstheme="minorHAnsi"/>
          <w:sz w:val="22"/>
          <w:szCs w:val="22"/>
        </w:rPr>
        <w:t>$21.3 billion net saving</w:t>
      </w:r>
      <w:r w:rsidR="002410DF"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{"citationItems":[{"id":"ITEM-1","itemData":{"DOI":"10.1111/jsm.12848","ISSN":"17436109","abstract":"Introduction: Erectile dysfunction (ED) is a risk factor for cardiovascular disease (CVD). We examine the costs of screening men with ED for CVD risk factors and the cost savings of treating these at risk men. Aim: This study aims to evaluate the effect of screening men presenting with ED for CVD risk factors and to determine the cost effectiveness of this screening protocol. Methods: The known incidence and prevalence of ED and CVD, the rate of undiagnosed CVD, and the effects of CVD treatment were used to model the change in prevalence of acute CVD events and ED as a function of the number of men with ED and CVD. The cost savings associated with reduction in acute cardiovascular (CV) events and ED prevalence was estimated over 20 years. Main Outcome Measures: Acute CVD event rate reduction and associated cost savings were modeled over 20 years. Results: The relative risk of ED in men with CVD is 1.47 and the coprevalence of both ED and CVD was estimated at 1,991,520 men. Approximately 44% of men with CVD risk factors are unaware of their risk. If all men presenting with ED were screened for CVD, 5.8 million men with previously unknown CVD risk factors would be identified over 20 years, costing $2.7 billion to screen. Assuming a 20% decrease in CV events as a result of screening and treatment, 1.1 million cardiovascular events would be avoided, saving $21.3 billion over 20 years. Similarly, 1.1 million cases of ED would be treated, saving $9.7 billion. Together, the reduction in acute CVD and ED treatment cost would save $28.5 billion over 20 years. Conclusions: Screening for CVD in men presenting with ED can be a cost-effective intervention for secondary prevention of both CVD and, over the longer term, ED. Pastuszak AW, Hyman DA, Yadav N, Godoy G, Lipshultz LI, Araujo AB, and Khera M. Erectile dysfunction as a marker for cardiovascular disease diagnosis and intervention: A cost analysis. J Sex Med 2015;12:975-984.","author":[{"dropping-particle":"","family":"Pastuszak","given":"Alexander W.","non-dropping-particle":"","parse-names":false,"suffix":""},{"dropping-particle":"","family":"Hyman","given":"Daniel A.","non-dropping-particle":"","parse-names":false,"suffix":""},{"dropping-particle":"","family":"Yadav","given":"Naveen","non-dropping-particle":"","parse-names":false,"suffix":""},{"dropping-particle":"","family":"Godoy","given":"Guilherme","non-dropping-particle":"","parse-names":false,"suffix":""},{"dropping-particle":"","family":"Lipshultz","given":"Larry I.","non-dropping-particle":"","parse-names":false,"suffix":""},{"dropping-particle":"","family":"Araujo","given":"Andre B.","non-dropping-particle":"","parse-names":false,"suffix":""},{"dropping-particle":"","family":"Khera","given":"Mohit","non-dropping-particle":"","parse-names":false,"suffix":""}],"container-title":"Journal of Sexual Medicine","id":"ITEM-1","issue":"4","issued":{"date-parts":[["2015","4","1"]]},"page":"975-984","publisher":"Blackwell Publishing Ltd","title":"Erectile dysfunction as a marker for cardiovascular disease diagnosis and intervention: A cost analysis","type":"article-journal","volume":"12"},"uris":["http://www.mendeley.com/documents/?uuid=7fc2c173-fdd7-3840-8903-d7ff691cbd89"]}],"mendeley":{"formattedCitation":"(175)","plainTextFormattedCitation":"(175)","previouslyFormattedCitation":"(175)"},"properties":{"noteIndex":0},"schema":"https://github.com/citation-style-language/schema/raw/master/csl-citation.json"}</w:instrText>
      </w:r>
      <w:r w:rsidR="002410DF" w:rsidRPr="004B0BC2">
        <w:rPr>
          <w:rFonts w:asciiTheme="minorHAnsi" w:hAnsiTheme="minorHAnsi" w:cstheme="minorHAnsi"/>
          <w:sz w:val="22"/>
          <w:szCs w:val="22"/>
        </w:rPr>
        <w:fldChar w:fldCharType="separate"/>
      </w:r>
      <w:r w:rsidR="002410DF" w:rsidRPr="002410DF">
        <w:rPr>
          <w:rFonts w:asciiTheme="minorHAnsi" w:hAnsiTheme="minorHAnsi" w:cstheme="minorHAnsi"/>
          <w:noProof/>
          <w:sz w:val="22"/>
          <w:szCs w:val="22"/>
        </w:rPr>
        <w:t>(175)</w:t>
      </w:r>
      <w:r w:rsidR="002410DF" w:rsidRPr="004B0BC2">
        <w:rPr>
          <w:rFonts w:asciiTheme="minorHAnsi" w:hAnsiTheme="minorHAnsi" w:cstheme="minorHAnsi"/>
          <w:sz w:val="22"/>
          <w:szCs w:val="22"/>
        </w:rPr>
        <w:fldChar w:fldCharType="end"/>
      </w:r>
      <w:r w:rsidR="00C825E0" w:rsidRPr="004B0BC2">
        <w:rPr>
          <w:rFonts w:asciiTheme="minorHAnsi" w:hAnsiTheme="minorHAnsi" w:cstheme="minorHAnsi"/>
          <w:sz w:val="22"/>
          <w:szCs w:val="22"/>
        </w:rPr>
        <w:t>.</w:t>
      </w:r>
      <w:r w:rsidR="00C825E0" w:rsidRPr="004B0BC2">
        <w:rPr>
          <w:rFonts w:asciiTheme="minorHAnsi" w:hAnsiTheme="minorHAnsi" w:cstheme="minorHAnsi"/>
          <w:sz w:val="22"/>
          <w:szCs w:val="22"/>
        </w:rPr>
        <w:br/>
      </w:r>
    </w:p>
    <w:p w14:paraId="25618F0D" w14:textId="51761748" w:rsidR="00C825E0" w:rsidRPr="004B0BC2" w:rsidRDefault="001E6373"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rPr>
        <w:t xml:space="preserve">Globally, </w:t>
      </w:r>
      <w:r w:rsidRPr="004B0BC2">
        <w:rPr>
          <w:rFonts w:asciiTheme="minorHAnsi" w:hAnsiTheme="minorHAnsi" w:cstheme="minorHAnsi"/>
          <w:sz w:val="22"/>
          <w:szCs w:val="22"/>
          <w:shd w:val="clear" w:color="auto" w:fill="FFFFFF"/>
        </w:rPr>
        <w:t xml:space="preserve">the </w:t>
      </w:r>
      <w:r w:rsidR="00BC057B" w:rsidRPr="004B0BC2">
        <w:rPr>
          <w:rFonts w:asciiTheme="minorHAnsi" w:hAnsiTheme="minorHAnsi" w:cstheme="minorHAnsi"/>
          <w:sz w:val="22"/>
          <w:szCs w:val="22"/>
          <w:shd w:val="clear" w:color="auto" w:fill="FFFFFF"/>
        </w:rPr>
        <w:t>mortality</w:t>
      </w:r>
      <w:r w:rsidRPr="004B0BC2">
        <w:rPr>
          <w:rFonts w:asciiTheme="minorHAnsi" w:hAnsiTheme="minorHAnsi" w:cstheme="minorHAnsi"/>
          <w:sz w:val="22"/>
          <w:szCs w:val="22"/>
          <w:shd w:val="clear" w:color="auto" w:fill="FFFFFF"/>
        </w:rPr>
        <w:t xml:space="preserve"> rate fo</w:t>
      </w:r>
      <w:r w:rsidR="00BC057B" w:rsidRPr="004B0BC2">
        <w:rPr>
          <w:rFonts w:asciiTheme="minorHAnsi" w:hAnsiTheme="minorHAnsi" w:cstheme="minorHAnsi"/>
          <w:sz w:val="22"/>
          <w:szCs w:val="22"/>
          <w:shd w:val="clear" w:color="auto" w:fill="FFFFFF"/>
        </w:rPr>
        <w:t>r</w:t>
      </w:r>
      <w:r w:rsidRPr="004B0BC2">
        <w:rPr>
          <w:rFonts w:asciiTheme="minorHAnsi" w:hAnsiTheme="minorHAnsi" w:cstheme="minorHAnsi"/>
          <w:sz w:val="22"/>
          <w:szCs w:val="22"/>
          <w:shd w:val="clear" w:color="auto" w:fill="FFFFFF"/>
        </w:rPr>
        <w:t xml:space="preserve"> cancer </w:t>
      </w:r>
      <w:r w:rsidR="00BC057B" w:rsidRPr="004B0BC2">
        <w:rPr>
          <w:rFonts w:asciiTheme="minorHAnsi" w:hAnsiTheme="minorHAnsi" w:cstheme="minorHAnsi"/>
          <w:sz w:val="22"/>
          <w:szCs w:val="22"/>
          <w:shd w:val="clear" w:color="auto" w:fill="FFFFFF"/>
        </w:rPr>
        <w:t>is</w:t>
      </w:r>
      <w:r w:rsidRPr="004B0BC2">
        <w:rPr>
          <w:rFonts w:asciiTheme="minorHAnsi" w:hAnsiTheme="minorHAnsi" w:cstheme="minorHAnsi"/>
          <w:sz w:val="22"/>
          <w:szCs w:val="22"/>
          <w:shd w:val="clear" w:color="auto" w:fill="FFFFFF"/>
        </w:rPr>
        <w:t xml:space="preserve"> </w:t>
      </w:r>
      <w:r w:rsidR="007017CD" w:rsidRPr="004B0BC2">
        <w:rPr>
          <w:rFonts w:asciiTheme="minorHAnsi" w:hAnsiTheme="minorHAnsi" w:cstheme="minorHAnsi"/>
          <w:sz w:val="22"/>
          <w:szCs w:val="22"/>
          <w:shd w:val="clear" w:color="auto" w:fill="FFFFFF"/>
        </w:rPr>
        <w:t xml:space="preserve">almost </w:t>
      </w:r>
      <w:r w:rsidRPr="004B0BC2">
        <w:rPr>
          <w:rFonts w:asciiTheme="minorHAnsi" w:hAnsiTheme="minorHAnsi" w:cstheme="minorHAnsi"/>
          <w:sz w:val="22"/>
          <w:szCs w:val="22"/>
          <w:shd w:val="clear" w:color="auto" w:fill="FFFFFF"/>
        </w:rPr>
        <w:t xml:space="preserve">50% higher in </w:t>
      </w:r>
      <w:r w:rsidR="007017CD" w:rsidRPr="004B0BC2">
        <w:rPr>
          <w:rFonts w:asciiTheme="minorHAnsi" w:hAnsiTheme="minorHAnsi" w:cstheme="minorHAnsi"/>
          <w:sz w:val="22"/>
          <w:szCs w:val="22"/>
          <w:shd w:val="clear" w:color="auto" w:fill="FFFFFF"/>
        </w:rPr>
        <w:t>men than women</w:t>
      </w:r>
      <w:r w:rsidR="00C825E0" w:rsidRPr="004B0BC2">
        <w:rPr>
          <w:rFonts w:asciiTheme="minorHAnsi" w:hAnsiTheme="minorHAnsi" w:cstheme="minorHAnsi"/>
          <w:sz w:val="22"/>
          <w:szCs w:val="22"/>
          <w:shd w:val="clear" w:color="auto" w:fill="FFFFFF"/>
        </w:rPr>
        <w:t xml:space="preserve"> </w:t>
      </w:r>
      <w:r w:rsidR="001615EC">
        <w:rPr>
          <w:rFonts w:ascii="Calibri" w:hAnsi="Calibri" w:cs="Calibri"/>
          <w:sz w:val="22"/>
          <w:szCs w:val="22"/>
          <w:shd w:val="clear" w:color="auto" w:fill="FFFFFF"/>
        </w:rPr>
        <w:t>—</w:t>
      </w:r>
      <w:r w:rsidR="001615EC">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global age</w:t>
      </w:r>
      <w:r w:rsidR="001615EC">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standardi</w:t>
      </w:r>
      <w:r w:rsidR="001615EC">
        <w:rPr>
          <w:rFonts w:asciiTheme="minorHAnsi" w:hAnsiTheme="minorHAnsi" w:cstheme="minorHAnsi"/>
          <w:sz w:val="22"/>
          <w:szCs w:val="22"/>
          <w:shd w:val="clear" w:color="auto" w:fill="FFFFFF"/>
        </w:rPr>
        <w:t>z</w:t>
      </w:r>
      <w:r w:rsidR="00C825E0" w:rsidRPr="004B0BC2">
        <w:rPr>
          <w:rFonts w:asciiTheme="minorHAnsi" w:hAnsiTheme="minorHAnsi" w:cstheme="minorHAnsi"/>
          <w:sz w:val="22"/>
          <w:szCs w:val="22"/>
          <w:shd w:val="clear" w:color="auto" w:fill="FFFFFF"/>
        </w:rPr>
        <w:t xml:space="preserve">ed mortality rate </w:t>
      </w:r>
      <w:r w:rsidR="00C574BB">
        <w:rPr>
          <w:rFonts w:asciiTheme="minorHAnsi" w:hAnsiTheme="minorHAnsi" w:cstheme="minorHAnsi"/>
          <w:sz w:val="22"/>
          <w:szCs w:val="22"/>
          <w:shd w:val="clear" w:color="auto" w:fill="FFFFFF"/>
        </w:rPr>
        <w:t xml:space="preserve">is </w:t>
      </w:r>
      <w:r w:rsidR="00C825E0" w:rsidRPr="004B0BC2">
        <w:rPr>
          <w:rFonts w:asciiTheme="minorHAnsi" w:hAnsiTheme="minorHAnsi" w:cstheme="minorHAnsi"/>
          <w:sz w:val="22"/>
          <w:szCs w:val="22"/>
          <w:shd w:val="clear" w:color="auto" w:fill="FFFFFF"/>
        </w:rPr>
        <w:t xml:space="preserve">122.7 in men compared </w:t>
      </w:r>
      <w:r w:rsidR="001615EC">
        <w:rPr>
          <w:rFonts w:asciiTheme="minorHAnsi" w:hAnsiTheme="minorHAnsi" w:cstheme="minorHAnsi"/>
          <w:sz w:val="22"/>
          <w:szCs w:val="22"/>
          <w:shd w:val="clear" w:color="auto" w:fill="FFFFFF"/>
        </w:rPr>
        <w:t>with</w:t>
      </w:r>
      <w:r w:rsidR="00C825E0" w:rsidRPr="004B0BC2">
        <w:rPr>
          <w:rFonts w:asciiTheme="minorHAnsi" w:hAnsiTheme="minorHAnsi" w:cstheme="minorHAnsi"/>
          <w:sz w:val="22"/>
          <w:szCs w:val="22"/>
          <w:shd w:val="clear" w:color="auto" w:fill="FFFFFF"/>
        </w:rPr>
        <w:t xml:space="preserve"> 83.1 in women</w:t>
      </w:r>
      <w:r w:rsidR="00AE601E"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{"citationItems":[{"id":"ITEM-1","itemData":{"DOI":"10.3322/caac.21492","ISSN":"1542-4863","PMID":"30207593","abstract":"This article provides a status report on the global burden of cancer worldwide using the GLOBOCAN 2018 estimates of cancer incidence and mortality produced by the International Agency for Research on Cancer, with a focus on geographic variability across 20 world regions. There will be an estimated 18.1 million new cancer cases (17.0 million excluding nonmelanoma skin cancer) and 9.6 million cancer deaths (9.5 million excluding nonmelanoma skin cancer) in 2018. In both sexes combined, lung cancer is the most commonly diagnosed cancer (11.6% of the total cases) and the leading cause of cancer death (18.4% of the total cancer deaths), closely followed by female breast cancer (11.6%), prostate cancer (7.1%), and colorectal cancer (6.1%) for incidence and colorectal cancer (9.2%), stomach cancer (8.2%), and liver cancer (8.2%) for mortality. Lung cancer is the most frequent cancer and the leading cause of cancer death among males, followed by prostate and colorectal cancer (for incidence) and liver and stomach cancer (for mortality). Among females, breast cancer is the most commonly diagnosed cancer and the leading cause of cancer death, followed by colorectal and lung cancer (for incidence), and vice versa (for mortality); cervical cancer ranks fourth for both incidence and mortality. The most frequently diagnosed cancer and the leading cause of cancer death, however, substantially vary across countries and within each country depending on the degree of economic development and associated social and life style factors. It is noteworthy that high-quality cancer registry data, the basis for planning and implementing evidence-based cancer control programs, are not available in most low- and middle-income countries. The Global Initiative for Cancer Registry Development is an international partnership that supports better estimation, as well as the collection and use of local data, to prioritize and evaluate national cancer control efforts. CA: A Cancer Journal for Clinicians 2018;0:1-31. © 2018 American Cancer Society.","author":[{"dropping-particle":"","family":"Bray","given":"Freddie","non-dropping-particle":"","parse-names":false,"suffix":""},{"dropping-particle":"","family":"Ferlay","given":"Jacques","non-dropping-particle":"","parse-names":false,"suffix":""},{"dropping-particle":"","family":"Soerjomataram","given":"Isabelle","non-dropping-particle":"","parse-names":false,"suffix":""},{"dropping-particle":"","family":"Siegel","given":"Rebecca L.","non-dropping-particle":"","parse-names":false,"suffix":""},{"dropping-particle":"","family":"Torre","given":"Lindsey A.","non-dropping-particle":"","parse-names":false,"suffix":""},{"dropping-particle":"","family":"Jemal","given":"Ahmedin","non-dropping-particle":"","parse-names":false,"suffix":""}],"container-title":"CA: A Cancer Journal for Clinicians","id":"ITEM-1","issue":"6","issued":{"date-parts":[["2018"]]},"page":"394-424","title":"Global cancer statistics 2018: GLOBOCAN estimates of incidence and mortality worldwide for 36 cancers in 185 countries","type":"article-journal","volume":"68"},"uris":["http://www.mendeley.com/documents/?uuid=13b9df5d-9ccb-3340-b3df-d3601d04f324"]}],"mendeley":{"formattedCitation":"(176)","plainTextFormattedCitation":"(176)","previouslyFormattedCitation":"(177)"},"properties":{"noteIndex":0},"schema":"https://github.com/citation-style-language/schema/raw/master/csl-citation.json"}</w:instrText>
      </w:r>
      <w:r w:rsidR="00AE601E"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(176)</w:t>
      </w:r>
      <w:r w:rsidR="00AE601E"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w:t>
      </w:r>
      <w:r w:rsidR="008873DB" w:rsidRPr="004B0BC2">
        <w:rPr>
          <w:rFonts w:asciiTheme="minorHAnsi" w:hAnsiTheme="minorHAnsi" w:cstheme="minorHAnsi"/>
          <w:sz w:val="22"/>
          <w:szCs w:val="22"/>
          <w:shd w:val="clear" w:color="auto" w:fill="FFFFFF"/>
        </w:rPr>
        <w:t xml:space="preserve"> </w:t>
      </w:r>
      <w:r w:rsidR="00B31047" w:rsidRPr="004B0BC2">
        <w:rPr>
          <w:rFonts w:asciiTheme="minorHAnsi" w:hAnsiTheme="minorHAnsi" w:cstheme="minorHAnsi"/>
          <w:sz w:val="22"/>
          <w:szCs w:val="22"/>
        </w:rPr>
        <w:t>Men have a higher incidence of</w:t>
      </w:r>
      <w:r w:rsidRPr="004B0BC2">
        <w:rPr>
          <w:rFonts w:asciiTheme="minorHAnsi" w:hAnsiTheme="minorHAnsi" w:cstheme="minorHAnsi"/>
          <w:sz w:val="22"/>
          <w:szCs w:val="22"/>
        </w:rPr>
        <w:t xml:space="preserve"> all</w:t>
      </w:r>
      <w:r w:rsidR="00B31047" w:rsidRPr="004B0BC2">
        <w:rPr>
          <w:rFonts w:asciiTheme="minorHAnsi" w:hAnsiTheme="minorHAnsi" w:cstheme="minorHAnsi"/>
          <w:sz w:val="22"/>
          <w:szCs w:val="22"/>
        </w:rPr>
        <w:t xml:space="preserve"> the</w:t>
      </w:r>
      <w:r w:rsidRPr="004B0BC2">
        <w:rPr>
          <w:rFonts w:asciiTheme="minorHAnsi" w:hAnsiTheme="minorHAnsi" w:cstheme="minorHAnsi"/>
          <w:sz w:val="22"/>
          <w:szCs w:val="22"/>
        </w:rPr>
        <w:t xml:space="preserve"> top five gender</w:t>
      </w:r>
      <w:r w:rsidR="001615EC">
        <w:rPr>
          <w:rFonts w:asciiTheme="minorHAnsi" w:hAnsiTheme="minorHAnsi" w:cstheme="minorHAnsi"/>
          <w:sz w:val="22"/>
          <w:szCs w:val="22"/>
        </w:rPr>
        <w:t>-</w:t>
      </w:r>
      <w:r w:rsidRPr="004B0BC2">
        <w:rPr>
          <w:rFonts w:asciiTheme="minorHAnsi" w:hAnsiTheme="minorHAnsi" w:cstheme="minorHAnsi"/>
          <w:sz w:val="22"/>
          <w:szCs w:val="22"/>
        </w:rPr>
        <w:t>neutral cancers</w:t>
      </w:r>
      <w:r w:rsidR="00427AC4" w:rsidRPr="004B0BC2">
        <w:rPr>
          <w:rFonts w:asciiTheme="minorHAnsi" w:hAnsiTheme="minorHAnsi" w:cstheme="minorHAnsi"/>
          <w:sz w:val="22"/>
          <w:szCs w:val="22"/>
        </w:rPr>
        <w:t xml:space="preserve"> </w:t>
      </w:r>
      <w:r w:rsidRPr="004B0BC2">
        <w:rPr>
          <w:rFonts w:asciiTheme="minorHAnsi" w:hAnsiTheme="minorHAnsi" w:cstheme="minorHAnsi"/>
          <w:sz w:val="22"/>
          <w:szCs w:val="22"/>
        </w:rPr>
        <w:t>(</w:t>
      </w:r>
      <w:r w:rsidR="0047220A" w:rsidRPr="004B0BC2">
        <w:rPr>
          <w:rFonts w:asciiTheme="minorHAnsi" w:hAnsiTheme="minorHAnsi" w:cstheme="minorHAnsi"/>
          <w:sz w:val="22"/>
          <w:szCs w:val="22"/>
        </w:rPr>
        <w:t xml:space="preserve">lung, colon, </w:t>
      </w:r>
      <w:r w:rsidR="007A2D36" w:rsidRPr="004B0BC2">
        <w:rPr>
          <w:rFonts w:asciiTheme="minorHAnsi" w:hAnsiTheme="minorHAnsi" w:cstheme="minorHAnsi"/>
          <w:sz w:val="22"/>
          <w:szCs w:val="22"/>
        </w:rPr>
        <w:t>non-melanoma</w:t>
      </w:r>
      <w:r w:rsidR="0047220A" w:rsidRPr="004B0BC2">
        <w:rPr>
          <w:rFonts w:asciiTheme="minorHAnsi" w:hAnsiTheme="minorHAnsi" w:cstheme="minorHAnsi"/>
          <w:sz w:val="22"/>
          <w:szCs w:val="22"/>
        </w:rPr>
        <w:t xml:space="preserve"> of skin, stomach and liver) </w:t>
      </w:r>
      <w:r w:rsidR="00C574BB">
        <w:rPr>
          <w:rFonts w:asciiTheme="minorHAnsi" w:hAnsiTheme="minorHAnsi" w:cstheme="minorHAnsi"/>
          <w:sz w:val="22"/>
          <w:szCs w:val="22"/>
        </w:rPr>
        <w:t xml:space="preserve">than women, </w:t>
      </w:r>
      <w:r w:rsidR="0047220A" w:rsidRPr="004B0BC2">
        <w:rPr>
          <w:rFonts w:asciiTheme="minorHAnsi" w:hAnsiTheme="minorHAnsi" w:cstheme="minorHAnsi"/>
          <w:sz w:val="22"/>
          <w:szCs w:val="22"/>
        </w:rPr>
        <w:t>and prostate cancer is the third</w:t>
      </w:r>
      <w:r w:rsidR="001615EC">
        <w:rPr>
          <w:rFonts w:asciiTheme="minorHAnsi" w:hAnsiTheme="minorHAnsi" w:cstheme="minorHAnsi"/>
          <w:sz w:val="22"/>
          <w:szCs w:val="22"/>
        </w:rPr>
        <w:t>-</w:t>
      </w:r>
      <w:r w:rsidR="0047220A" w:rsidRPr="004B0BC2">
        <w:rPr>
          <w:rFonts w:asciiTheme="minorHAnsi" w:hAnsiTheme="minorHAnsi" w:cstheme="minorHAnsi"/>
          <w:sz w:val="22"/>
          <w:szCs w:val="22"/>
        </w:rPr>
        <w:t>most</w:t>
      </w:r>
      <w:r w:rsidR="001615EC">
        <w:rPr>
          <w:rFonts w:asciiTheme="minorHAnsi" w:hAnsiTheme="minorHAnsi" w:cstheme="minorHAnsi"/>
          <w:sz w:val="22"/>
          <w:szCs w:val="22"/>
        </w:rPr>
        <w:t>-</w:t>
      </w:r>
      <w:r w:rsidR="0047220A" w:rsidRPr="004B0BC2">
        <w:rPr>
          <w:rFonts w:asciiTheme="minorHAnsi" w:hAnsiTheme="minorHAnsi" w:cstheme="minorHAnsi"/>
          <w:sz w:val="22"/>
          <w:szCs w:val="22"/>
        </w:rPr>
        <w:t>common cancer worldwide</w:t>
      </w:r>
      <w:r w:rsidR="00464863">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{"citationItems":[{"id":"ITEM-1","itemData":{"DOI":"10.3322/CAAC.21660","ISSN":"1542-4863","abstract":"This article provides an update on the global cancer burden using the GLOBOCAN 2020 estimates of cancer incidence and mortality produced by the International Agency for Research on Cancer. Worldwide, an estimated 19.3 million new cancer cases (18.1 million excluding nonmelanoma skin cancer) and almost 10.0 million cancer deaths (9.9 million excluding nonmelanoma skin cancer) occurred in 2020. Female breast cancer has surpassed lung cancer as the most commonly diagnosed cancer, with an estimated 2.3 million new cases (11.7%), followed by lung (11.4%), colorectal (10.0 %), prostate (7.3%), and stomach (5.6%) cancers. Lung cancer remained the leading cause of cancer death, with an estimated 1.8 million deaths (18%), followed by colorectal (9.4%), liver (8.3%), stomach (7.7%), and female breast (6.9%) cancers. Overall incidence was from 2-fold to 3-fold higher in transitioned versus transitioning countries for both sexes, whereas mortality varied &lt;2-fold for men and little for women. Death rates for female breast and cervical cancers, however, were considerably higher in transitioning versus transitioned countries (15.0 vs 12.8 per 100,000 and 12.4 vs 5.2 per 100,000, respectively). The global cancer burden is expected to be 28.4 million cases in 2040, a 47% rise from 2020, with a larger increase in transitioning (64% to 95%) versus transitioned (32% to 56%) countries due to demographic changes, although this may be further exacerbated by increasing risk factors associated with globalization and a growing economy. Efforts to build a sustainable infrastructure for the dissemination of cancer prevention measures and provision of cancer care in transitioning countries is critical for global cancer control.","author":[{"dropping-particle":"","family":"Sung","given":"Hyuna","non-dropping-particle":"","parse-names":false,"suffix":""},{"dropping-particle":"","family":"Ferlay","given":"Jacques","non-dropping-particle":"","parse-names":false,"suffix":""},{"dropping-particle":"","family":"Siegel","given":"Rebecca L.","non-dropping-particle":"","parse-names":false,"suffix":""},{"dropping-particle":"","family":"Laversanne","given":"Mathieu","non-dropping-particle":"","parse-names":false,"suffix":""},{"dropping-particle":"","family":"Soerjomataram","given":"Isabelle","non-dropping-particle":"","parse-names":false,"suffix":""},{"dropping-particle":"","family":"Jemal","given":"Ahmedin","non-dropping-particle":"","parse-names":false,"suffix":""},{"dropping-particle":"","family":"Bray","given":"Freddie","non-dropping-particle":"","parse-names":false,"suffix":""}],"container-title":"CA: A Cancer Journal for Clinicians","id":"ITEM-1","issue":"3","issued":{"date-parts":[["2021"]]},"page":"209-249","title":"Global Cancer Statistics 2020: GLOBOCAN Estimates of Incidence and Mortality Worldwide for 36 Cancers in 185 Countries","type":"article-journal","volume":"71"},"uris":["http://www.mendeley.com/documents/?uuid=8793163c-7e9a-31c1-b004-eb7ea166bf9e"]}],"mendeley":{"formattedCitation":"(94)","plainTextFormattedCitation":"(94)","previouslyFormattedCitation":"(94)"},"properties":{"noteIndex":0},"schema":"https://github.com/citation-style-language/schema/raw/master/csl-citation.json"}</w:instrText>
      </w:r>
      <w:r w:rsidR="00464863">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(94)</w:t>
      </w:r>
      <w:r w:rsidR="00464863">
        <w:rPr>
          <w:rFonts w:asciiTheme="minorHAnsi" w:hAnsiTheme="minorHAnsi" w:cstheme="minorHAnsi"/>
          <w:sz w:val="22"/>
          <w:szCs w:val="22"/>
        </w:rPr>
        <w:fldChar w:fldCharType="end"/>
      </w:r>
      <w:r w:rsidR="00C574BB">
        <w:rPr>
          <w:rFonts w:asciiTheme="minorHAnsi" w:hAnsiTheme="minorHAnsi" w:cstheme="minorHAnsi"/>
          <w:sz w:val="22"/>
          <w:szCs w:val="22"/>
        </w:rPr>
        <w:t xml:space="preserve">  </w:t>
      </w:r>
      <w:r w:rsidR="0047220A" w:rsidRPr="004B0BC2">
        <w:rPr>
          <w:rFonts w:asciiTheme="minorHAnsi" w:hAnsiTheme="minorHAnsi" w:cstheme="minorHAnsi"/>
          <w:sz w:val="22"/>
          <w:szCs w:val="22"/>
        </w:rPr>
        <w:t xml:space="preserve">. </w:t>
      </w:r>
    </w:p>
    <w:p w14:paraId="58209208" w14:textId="748AF8AA" w:rsidR="00C825E0" w:rsidRPr="000242C7" w:rsidRDefault="00C825E0" w:rsidP="000242C7">
      <w:pPr>
        <w:pStyle w:val="CommentText"/>
        <w:spacing w:line="480" w:lineRule="auto"/>
      </w:pPr>
      <w:r w:rsidRPr="004B0BC2">
        <w:rPr>
          <w:rFonts w:asciiTheme="minorHAnsi" w:hAnsiTheme="minorHAnsi" w:cstheme="minorHAnsi"/>
          <w:sz w:val="22"/>
          <w:szCs w:val="22"/>
          <w:shd w:val="clear" w:color="auto" w:fill="FFFFFF" w:themeFill="background1"/>
        </w:rPr>
        <w:t>Within this context, a large</w:t>
      </w:r>
      <w:r w:rsidRPr="004B0BC2">
        <w:rPr>
          <w:rFonts w:asciiTheme="minorHAnsi" w:hAnsiTheme="minorHAnsi" w:cstheme="minorHAnsi"/>
          <w:sz w:val="22"/>
          <w:szCs w:val="22"/>
        </w:rPr>
        <w:t xml:space="preserve"> European study</w:t>
      </w:r>
      <w:r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{"citationItems":[{"id":"ITEM-1","itemData":{"DOI":"10.1093/jnci/djw127","ISSN":"0027-8874","author":[{"dropping-particle":"","family":"Tsilidis","given":"Konstantinos K.","non-dropping-particle":"","parse-names":false,"suffix":""},{"dropping-particle":"","family":"Papadimitriou","given":"Nikos","non-dropping-particle":"","parse-names":false,"suffix":""},{"dropping-particle":"","family":"Capothanassi","given":"Despoina","non-dropping-particle":"","parse-names":false,"suffix":""},{"dropping-particle":"","family":"Bamia","given":"Christina","non-dropping-particle":"","parse-names":false,"suffix":""},{"dropping-particle":"","family":"Benetou","given":"Vassiliki","non-dropping-particle":"","parse-names":false,"suffix":""},{"dropping-particle":"","family":"Jenab","given":"Mazda","non-dropping-particle":"","parse-names":false,"suffix":""},{"dropping-particle":"","family":"Freisling","given":"Heinz","non-dropping-particle":"","parse-names":false,"suffix":""},{"dropping-particle":"","family":"Kee","given":"Frank","non-dropping-particle":"","parse-names":false,"suffix":""},{"dropping-particle":"","family":"Nelen","given":"Annemarie","non-dropping-particle":"","parse-names":false,"suffix":""},{"dropping-particle":"","family":"O'Doherty","given":"Mark G.","non-dropping-particle":"","parse-names":false,"suffix":""},{"dropping-particle":"","family":"Scott","given":"Angela","non-dropping-particle":"","parse-names":false,"suffix":""},{"dropping-particle":"","family":"Soerjomataram","given":"Isabelle","non-dropping-particle":"","parse-names":false,"suffix":""},{"dropping-particle":"","family":"Tjønneland","given":"Anne","non-dropping-particle":"","parse-names":false,"suffix":""},{"dropping-particle":"","family":"May","given":"Anne M.","non-dropping-particle":"","parse-names":false,"suffix":""},{"dropping-particle":"","family":"Ramón Quirós","given":"J.","non-dropping-particle":"","parse-names":false,"suffix":""},{"dropping-particle":"","family":"Pettersson-Kymmer","given":"Ulrika","non-dropping-particle":"","parse-names":false,"suffix":""},{"dropping-particle":"","family":"Brenner","given":"Hermann","non-dropping-particle":"","parse-names":false,"suffix":""},{"dropping-particle":"","family":"Schöttker","given":"Ben","non-dropping-particle":"","parse-names":false,"suffix":""},{"dropping-particle":"","family":"Ordóñez-Mena","given":"José M.","non-dropping-particle":"","parse-names":false,"suffix":""},{"dropping-particle":"","family":"Karina Dieffenbach","given":"Aida","non-dropping-particle":"","parse-names":false,"suffix":""},{"dropping-particle":"","family":"Eriksson","given":"Sture","non-dropping-particle":"","parse-names":false,"suffix":""},{"dropping-particle":"","family":"Bøgeberg Mathiesen","given":"Ellisiv","non-dropping-particle":"","parse-names":false,"suffix":""},{"dropping-particle":"","family":"Njølstad","given":"Inger","non-dropping-particle":"","parse-names":false,"suffix":""},{"dropping-particle":"","family":"Siganos","given":"Galatios","non-dropping-particle":"","parse-names":false,"suffix":""},{"dropping-particle":"","family":"Wilsgaard","given":"Tom","non-dropping-particle":"","parse-names":false,"suffix":""},{"dropping-particle":"","family":"Boffetta","given":"Paolo","non-dropping-particle":"","parse-names":false,"suffix":""},{"dropping-particle":"","family":"Trichopoulos","given":"Dimitrios","non-dropping-particle":"","parse-names":false,"suffix":""},{"dropping-particle":"","family":"Trichopoulou","given":"Antonia","non-dropping-particle":"","parse-names":false,"suffix":""}],"container-title":"Journal of the National Cancer Institute","id":"ITEM-1","issue":"10","issued":{"date-parts":[["2016"]]},"page":"1-7","title":"Burden of Cancer in a Large Consortium of Prospective Cohorts in Europe","type":"article-journal","volume":"108"},"uris":["http://www.mendeley.com/documents/?uuid=82d3fc18-d01d-3d94-beb8-f0e0df49d23e"]}],"mendeley":{"formattedCitation":"(177)","plainTextFormattedCitation":"(177)","previouslyFormattedCitation":"(178)"},"properties":{"noteIndex":0},"schema":"https://github.com/citation-style-language/schema/raw/master/csl-citation.json"}</w:instrText>
      </w:r>
      <w:r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(177)</w:t>
      </w:r>
      <w:r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rPr>
        <w:t xml:space="preserve"> </w:t>
      </w:r>
      <w:r w:rsidRPr="004B0BC2">
        <w:rPr>
          <w:rFonts w:asciiTheme="minorHAnsi" w:hAnsiTheme="minorHAnsi" w:cstheme="minorHAnsi"/>
          <w:bCs/>
          <w:sz w:val="22"/>
          <w:szCs w:val="22"/>
        </w:rPr>
        <w:t>of 90</w:t>
      </w:r>
      <w:r w:rsidR="001615EC">
        <w:rPr>
          <w:rFonts w:asciiTheme="minorHAnsi" w:hAnsiTheme="minorHAnsi" w:cstheme="minorHAnsi"/>
          <w:bCs/>
          <w:sz w:val="22"/>
          <w:szCs w:val="22"/>
        </w:rPr>
        <w:t>,</w:t>
      </w:r>
      <w:r w:rsidRPr="004B0BC2">
        <w:rPr>
          <w:rFonts w:asciiTheme="minorHAnsi" w:hAnsiTheme="minorHAnsi" w:cstheme="minorHAnsi"/>
          <w:bCs/>
          <w:sz w:val="22"/>
          <w:szCs w:val="22"/>
        </w:rPr>
        <w:t>199 participants with 10</w:t>
      </w:r>
      <w:r w:rsidR="001615EC">
        <w:rPr>
          <w:rFonts w:asciiTheme="minorHAnsi" w:hAnsiTheme="minorHAnsi" w:cstheme="minorHAnsi"/>
          <w:bCs/>
          <w:sz w:val="22"/>
          <w:szCs w:val="22"/>
        </w:rPr>
        <w:t>,</w:t>
      </w:r>
      <w:r w:rsidRPr="004B0BC2">
        <w:rPr>
          <w:rFonts w:asciiTheme="minorHAnsi" w:hAnsiTheme="minorHAnsi" w:cstheme="minorHAnsi"/>
          <w:bCs/>
          <w:sz w:val="22"/>
          <w:szCs w:val="22"/>
        </w:rPr>
        <w:t>455 incident cancers</w:t>
      </w:r>
      <w:r w:rsidR="00DC1580" w:rsidRPr="004B0BC2">
        <w:rPr>
          <w:rFonts w:asciiTheme="minorHAnsi" w:hAnsiTheme="minorHAnsi" w:cstheme="minorHAnsi"/>
          <w:bCs/>
          <w:sz w:val="22"/>
          <w:szCs w:val="22"/>
        </w:rPr>
        <w:t xml:space="preserve"> </w:t>
      </w:r>
      <w:r w:rsidRPr="004B0BC2">
        <w:rPr>
          <w:rFonts w:asciiTheme="minorHAnsi" w:hAnsiTheme="minorHAnsi" w:cstheme="minorHAnsi"/>
          <w:sz w:val="22"/>
          <w:szCs w:val="22"/>
        </w:rPr>
        <w:t>reported</w:t>
      </w:r>
      <w:r w:rsidR="00693DD5">
        <w:rPr>
          <w:rFonts w:asciiTheme="minorHAnsi" w:hAnsiTheme="minorHAnsi" w:cstheme="minorHAnsi"/>
          <w:sz w:val="22"/>
          <w:szCs w:val="22"/>
          <w:shd w:val="clear" w:color="auto" w:fill="FFFFFF"/>
        </w:rPr>
        <w:t xml:space="preserve"> that</w:t>
      </w:r>
      <w:r w:rsidRPr="004B0BC2">
        <w:rPr>
          <w:rFonts w:asciiTheme="minorHAnsi" w:hAnsiTheme="minorHAnsi" w:cstheme="minorHAnsi"/>
          <w:sz w:val="22"/>
          <w:szCs w:val="22"/>
          <w:shd w:val="clear" w:color="auto" w:fill="FFFFFF"/>
        </w:rPr>
        <w:t xml:space="preserve"> cigarette use was associated with a higher proportion of total cancer</w:t>
      </w:r>
      <w:r w:rsidR="000850B1" w:rsidRPr="004B0BC2">
        <w:rPr>
          <w:rFonts w:asciiTheme="minorHAnsi" w:hAnsiTheme="minorHAnsi" w:cstheme="minorHAnsi"/>
          <w:sz w:val="22"/>
          <w:szCs w:val="22"/>
          <w:shd w:val="clear" w:color="auto" w:fill="FFFFFF"/>
        </w:rPr>
        <w:t xml:space="preserve"> burden</w:t>
      </w:r>
      <w:r w:rsidRPr="004B0BC2">
        <w:rPr>
          <w:rFonts w:asciiTheme="minorHAnsi" w:hAnsiTheme="minorHAnsi" w:cstheme="minorHAnsi"/>
          <w:sz w:val="22"/>
          <w:szCs w:val="22"/>
          <w:shd w:val="clear" w:color="auto" w:fill="FFFFFF"/>
        </w:rPr>
        <w:t xml:space="preserve"> in </w:t>
      </w:r>
      <w:r w:rsidR="001615EC">
        <w:rPr>
          <w:rFonts w:asciiTheme="minorHAnsi" w:hAnsiTheme="minorHAnsi" w:cstheme="minorHAnsi"/>
          <w:sz w:val="22"/>
          <w:szCs w:val="22"/>
          <w:shd w:val="clear" w:color="auto" w:fill="FFFFFF"/>
        </w:rPr>
        <w:t>men</w:t>
      </w:r>
      <w:r w:rsidRPr="004B0BC2">
        <w:rPr>
          <w:rFonts w:asciiTheme="minorHAnsi" w:hAnsiTheme="minorHAnsi" w:cstheme="minorHAnsi"/>
          <w:sz w:val="22"/>
          <w:szCs w:val="22"/>
          <w:shd w:val="clear" w:color="auto" w:fill="FFFFFF"/>
        </w:rPr>
        <w:t xml:space="preserve"> compared </w:t>
      </w:r>
      <w:r w:rsidR="001615EC">
        <w:rPr>
          <w:rFonts w:asciiTheme="minorHAnsi" w:hAnsiTheme="minorHAnsi" w:cstheme="minorHAnsi"/>
          <w:sz w:val="22"/>
          <w:szCs w:val="22"/>
          <w:shd w:val="clear" w:color="auto" w:fill="FFFFFF"/>
        </w:rPr>
        <w:t>with women</w:t>
      </w:r>
      <w:r w:rsidRPr="004B0BC2">
        <w:rPr>
          <w:rFonts w:asciiTheme="minorHAnsi" w:hAnsiTheme="minorHAnsi" w:cstheme="minorHAnsi"/>
          <w:sz w:val="22"/>
          <w:szCs w:val="22"/>
          <w:shd w:val="clear" w:color="auto" w:fill="FFFFFF"/>
        </w:rPr>
        <w:t xml:space="preserve"> (30.5%, 95% CI</w:t>
      </w:r>
      <w:r w:rsidR="000850B1"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27.5%</w:t>
      </w:r>
      <w:r w:rsidR="000850B1"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34.3%).</w:t>
      </w:r>
      <w:r w:rsidR="00693DD5">
        <w:rPr>
          <w:rFonts w:asciiTheme="minorHAnsi" w:hAnsiTheme="minorHAnsi" w:cstheme="minorHAnsi"/>
          <w:sz w:val="22"/>
          <w:szCs w:val="22"/>
          <w:shd w:val="clear" w:color="auto" w:fill="FFFFFF"/>
        </w:rPr>
        <w:t xml:space="preserve"> Worldwide, smoking</w:t>
      </w:r>
      <w:r w:rsidR="00343CD7">
        <w:rPr>
          <w:rFonts w:asciiTheme="minorHAnsi" w:hAnsiTheme="minorHAnsi" w:cstheme="minorHAnsi"/>
          <w:sz w:val="22"/>
          <w:szCs w:val="22"/>
          <w:shd w:val="clear" w:color="auto" w:fill="FFFFFF"/>
        </w:rPr>
        <w:t xml:space="preserve"> is more prevalent</w:t>
      </w:r>
      <w:r w:rsidR="00693DD5">
        <w:rPr>
          <w:rFonts w:asciiTheme="minorHAnsi" w:hAnsiTheme="minorHAnsi" w:cstheme="minorHAnsi"/>
          <w:sz w:val="22"/>
          <w:szCs w:val="22"/>
          <w:shd w:val="clear" w:color="auto" w:fill="FFFFFF"/>
        </w:rPr>
        <w:t xml:space="preserve"> in men than women</w:t>
      </w:r>
      <w:r w:rsidR="00693DD5" w:rsidRPr="004B0BC2">
        <w:rPr>
          <w:rFonts w:asciiTheme="minorHAnsi" w:hAnsiTheme="minorHAnsi" w:cstheme="minorHAnsi"/>
          <w:sz w:val="22"/>
          <w:szCs w:val="22"/>
        </w:rPr>
        <w:t xml:space="preserve"> </w:t>
      </w:r>
      <w:r w:rsidR="00693DD5" w:rsidRPr="004B0BC2">
        <w:rPr>
          <w:rFonts w:asciiTheme="minorHAnsi" w:hAnsiTheme="minorHAnsi" w:cstheme="minorHAnsi"/>
          <w:sz w:val="22"/>
          <w:szCs w:val="22"/>
        </w:rPr>
        <w:fldChar w:fldCharType="begin" w:fldLock="1"/>
      </w:r>
      <w:r w:rsidR="00693DD5">
        <w:rPr>
          <w:rFonts w:asciiTheme="minorHAnsi" w:hAnsiTheme="minorHAnsi" w:cstheme="minorHAnsi"/>
          <w:sz w:val="22"/>
          <w:szCs w:val="22"/>
        </w:rPr>
        <w:instrText>ADDIN CSL_CITATION {"citationItems":[{"id":"ITEM-1","itemData":{"abstract":"Gender equality is good for health This fact file focuses on the harm that tobacco marketing and smoke do to women. About 200 million of the world's one billion smokers are women. The tobacco industry aggressively targets women in order to increase its consumer base and to replace those consumers who quit or who die prematurely from cancer, heart attack, stroke, emphysema or other tobacco-related disease. Girls and boys start using tobacco for different reasons, and tobacco use harms women and men differently. Approximately 1.5 million women die every year from tobacco use. Understanding and controlling the tobacco epidemic among women is an important part of any tobacco control strategy.","author":[{"dropping-particle":"","family":"WHO","given":"","non-dropping-particle":"","parse-names":false,"suffix":""}],"id":"ITEM-1","issued":{"date-parts":[["2010"]]},"number-of-pages":"2","title":"Gender, Women And the Tobacco Epidemic","type":"report"},"uris":["http://www.mendeley.com/documents/?uuid=edc558e3-36ce-3762-8cb0-bf72befd967b"]}],"mendeley":{"formattedCitation":"(34)","plainTextFormattedCitation":"(34)","previouslyFormattedCitation":"(34)"},"properties":{"noteIndex":0},"schema":"https://github.com/citation-style-language/schema/raw/master/csl-citation.json"}</w:instrText>
      </w:r>
      <w:r w:rsidR="00693DD5" w:rsidRPr="004B0BC2">
        <w:rPr>
          <w:rFonts w:asciiTheme="minorHAnsi" w:hAnsiTheme="minorHAnsi" w:cstheme="minorHAnsi"/>
          <w:sz w:val="22"/>
          <w:szCs w:val="22"/>
        </w:rPr>
        <w:fldChar w:fldCharType="separate"/>
      </w:r>
      <w:r w:rsidR="00693DD5" w:rsidRPr="00693DD5">
        <w:rPr>
          <w:rFonts w:asciiTheme="minorHAnsi" w:hAnsiTheme="minorHAnsi" w:cstheme="minorHAnsi"/>
          <w:noProof/>
          <w:sz w:val="22"/>
          <w:szCs w:val="22"/>
        </w:rPr>
        <w:t>(34)</w:t>
      </w:r>
      <w:r w:rsidR="00693DD5" w:rsidRPr="004B0BC2">
        <w:rPr>
          <w:rFonts w:asciiTheme="minorHAnsi" w:hAnsiTheme="minorHAnsi" w:cstheme="minorHAnsi"/>
          <w:sz w:val="22"/>
          <w:szCs w:val="22"/>
        </w:rPr>
        <w:fldChar w:fldCharType="end"/>
      </w:r>
      <w:r w:rsidR="00693DD5" w:rsidRPr="004B0BC2">
        <w:rPr>
          <w:rFonts w:asciiTheme="minorHAnsi" w:hAnsiTheme="minorHAnsi" w:cstheme="minorHAnsi"/>
          <w:sz w:val="22"/>
          <w:szCs w:val="22"/>
        </w:rPr>
        <w:t xml:space="preserve"> </w:t>
      </w:r>
      <w:r w:rsidR="00693DD5">
        <w:rPr>
          <w:rFonts w:asciiTheme="minorHAnsi" w:hAnsiTheme="minorHAnsi" w:cstheme="minorHAnsi"/>
          <w:sz w:val="22"/>
          <w:szCs w:val="22"/>
        </w:rPr>
        <w:t xml:space="preserve"> and </w:t>
      </w:r>
      <w:r w:rsidR="00693DD5">
        <w:rPr>
          <w:rFonts w:asciiTheme="minorHAnsi" w:hAnsiTheme="minorHAnsi" w:cstheme="minorHAnsi"/>
          <w:sz w:val="22"/>
          <w:szCs w:val="22"/>
          <w:shd w:val="clear" w:color="auto" w:fill="FFFFFF"/>
        </w:rPr>
        <w:t>t</w:t>
      </w:r>
      <w:r w:rsidR="001615EC" w:rsidRPr="004B0BC2">
        <w:rPr>
          <w:rFonts w:asciiTheme="minorHAnsi" w:hAnsiTheme="minorHAnsi" w:cstheme="minorHAnsi"/>
          <w:sz w:val="22"/>
          <w:szCs w:val="22"/>
          <w:shd w:val="clear" w:color="auto" w:fill="FFFFFF"/>
        </w:rPr>
        <w:t>h</w:t>
      </w:r>
      <w:r w:rsidR="001615EC">
        <w:rPr>
          <w:rFonts w:asciiTheme="minorHAnsi" w:hAnsiTheme="minorHAnsi" w:cstheme="minorHAnsi"/>
          <w:sz w:val="22"/>
          <w:szCs w:val="22"/>
          <w:shd w:val="clear" w:color="auto" w:fill="FFFFFF"/>
        </w:rPr>
        <w:t>us</w:t>
      </w:r>
      <w:r w:rsidRPr="004B0BC2">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cigarette cessation is a</w:t>
      </w:r>
      <w:r w:rsidR="00693DD5"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modifiable risk factor</w:t>
      </w:r>
      <w:r w:rsidR="00693DD5">
        <w:rPr>
          <w:rFonts w:asciiTheme="minorHAnsi" w:hAnsiTheme="minorHAnsi" w:cstheme="minorHAnsi"/>
          <w:sz w:val="22"/>
          <w:szCs w:val="22"/>
          <w:shd w:val="clear" w:color="auto" w:fill="FFFFFF"/>
        </w:rPr>
        <w:t xml:space="preserve"> that</w:t>
      </w:r>
      <w:r w:rsidRPr="004B0BC2">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 xml:space="preserve">can be </w:t>
      </w:r>
      <w:r w:rsidRPr="004B0BC2">
        <w:rPr>
          <w:rFonts w:asciiTheme="minorHAnsi" w:hAnsiTheme="minorHAnsi" w:cstheme="minorHAnsi"/>
          <w:sz w:val="22"/>
          <w:szCs w:val="22"/>
          <w:shd w:val="clear" w:color="auto" w:fill="FFFFFF"/>
        </w:rPr>
        <w:t>target</w:t>
      </w:r>
      <w:r w:rsidR="00693DD5">
        <w:rPr>
          <w:rFonts w:asciiTheme="minorHAnsi" w:hAnsiTheme="minorHAnsi" w:cstheme="minorHAnsi"/>
          <w:sz w:val="22"/>
          <w:szCs w:val="22"/>
          <w:shd w:val="clear" w:color="auto" w:fill="FFFFFF"/>
        </w:rPr>
        <w:t>ed</w:t>
      </w:r>
      <w:r w:rsidRPr="004B0BC2">
        <w:rPr>
          <w:rFonts w:asciiTheme="minorHAnsi" w:hAnsiTheme="minorHAnsi" w:cstheme="minorHAnsi"/>
          <w:sz w:val="22"/>
          <w:szCs w:val="22"/>
          <w:shd w:val="clear" w:color="auto" w:fill="FFFFFF"/>
        </w:rPr>
        <w:t xml:space="preserve"> </w:t>
      </w:r>
      <w:r w:rsidR="00693DD5">
        <w:rPr>
          <w:rFonts w:asciiTheme="minorHAnsi" w:hAnsiTheme="minorHAnsi" w:cstheme="minorHAnsi"/>
          <w:sz w:val="22"/>
          <w:szCs w:val="22"/>
          <w:shd w:val="clear" w:color="auto" w:fill="FFFFFF"/>
        </w:rPr>
        <w:t>to</w:t>
      </w:r>
      <w:r w:rsidR="00693DD5"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reduc</w:t>
      </w:r>
      <w:r w:rsidR="00693DD5">
        <w:rPr>
          <w:rFonts w:asciiTheme="minorHAnsi" w:hAnsiTheme="minorHAnsi" w:cstheme="minorHAnsi"/>
          <w:sz w:val="22"/>
          <w:szCs w:val="22"/>
          <w:shd w:val="clear" w:color="auto" w:fill="FFFFFF"/>
        </w:rPr>
        <w:t>e</w:t>
      </w:r>
      <w:r w:rsidRPr="004B0BC2">
        <w:rPr>
          <w:rFonts w:asciiTheme="minorHAnsi" w:hAnsiTheme="minorHAnsi" w:cstheme="minorHAnsi"/>
          <w:sz w:val="22"/>
          <w:szCs w:val="22"/>
          <w:shd w:val="clear" w:color="auto" w:fill="FFFFFF"/>
        </w:rPr>
        <w:t xml:space="preserve"> the incidence of cancer mortality in men.</w:t>
      </w:r>
    </w:p>
    <w:p w14:paraId="42F4BAE2" w14:textId="24091F4D" w:rsidR="005F629C" w:rsidRDefault="001615EC" w:rsidP="00B66369">
      <w:pPr>
        <w:spacing w:line="480" w:lineRule="auto"/>
        <w:rPr>
          <w:rFonts w:asciiTheme="minorHAnsi" w:hAnsiTheme="minorHAnsi" w:cstheme="minorHAnsi"/>
          <w:sz w:val="22"/>
          <w:szCs w:val="22"/>
          <w:shd w:val="clear" w:color="auto" w:fill="FFFFFF"/>
        </w:rPr>
      </w:pPr>
      <w:r>
        <w:rPr>
          <w:rFonts w:asciiTheme="minorHAnsi" w:hAnsiTheme="minorHAnsi" w:cstheme="minorHAnsi"/>
          <w:sz w:val="22"/>
          <w:szCs w:val="22"/>
        </w:rPr>
        <w:t>Notably,</w:t>
      </w:r>
      <w:r w:rsidR="00C825E0" w:rsidRPr="004B0BC2">
        <w:rPr>
          <w:rFonts w:asciiTheme="minorHAnsi" w:hAnsiTheme="minorHAnsi" w:cstheme="minorHAnsi"/>
          <w:sz w:val="22"/>
          <w:szCs w:val="22"/>
        </w:rPr>
        <w:t xml:space="preserve"> infertile men have been observed to have a higher risk of malignancy than fertile men. </w:t>
      </w:r>
      <w:r>
        <w:rPr>
          <w:rFonts w:asciiTheme="minorHAnsi" w:hAnsiTheme="minorHAnsi" w:cstheme="minorHAnsi"/>
          <w:sz w:val="22"/>
          <w:szCs w:val="22"/>
        </w:rPr>
        <w:t>In a study of</w:t>
      </w:r>
      <w:r w:rsidR="00C825E0" w:rsidRPr="004B0BC2">
        <w:rPr>
          <w:rFonts w:asciiTheme="minorHAnsi" w:hAnsiTheme="minorHAnsi" w:cstheme="minorHAnsi"/>
          <w:sz w:val="22"/>
          <w:szCs w:val="22"/>
        </w:rPr>
        <w:t xml:space="preserve"> data from both a Texas fertility institution and</w:t>
      </w:r>
      <w:r w:rsidR="00C574BB">
        <w:rPr>
          <w:rFonts w:asciiTheme="minorHAnsi" w:hAnsiTheme="minorHAnsi" w:cstheme="minorHAnsi"/>
          <w:sz w:val="22"/>
          <w:szCs w:val="22"/>
        </w:rPr>
        <w:t xml:space="preserve"> a</w:t>
      </w:r>
      <w:r w:rsidR="00C825E0" w:rsidRPr="004B0BC2">
        <w:rPr>
          <w:rFonts w:asciiTheme="minorHAnsi" w:hAnsiTheme="minorHAnsi" w:cstheme="minorHAnsi"/>
          <w:sz w:val="22"/>
          <w:szCs w:val="22"/>
        </w:rPr>
        <w:t xml:space="preserve"> cancer registry</w:t>
      </w:r>
      <w:r>
        <w:rPr>
          <w:rFonts w:asciiTheme="minorHAnsi" w:hAnsiTheme="minorHAnsi" w:cstheme="minorHAnsi"/>
          <w:sz w:val="22"/>
          <w:szCs w:val="22"/>
        </w:rPr>
        <w:t>,</w:t>
      </w:r>
      <w:r w:rsidR="00C825E0" w:rsidRPr="004B0BC2">
        <w:rPr>
          <w:rFonts w:asciiTheme="minorHAnsi" w:hAnsiTheme="minorHAnsi" w:cstheme="minorHAnsi"/>
          <w:sz w:val="22"/>
          <w:szCs w:val="22"/>
        </w:rPr>
        <w:t xml:space="preserve"> infertile men had a significantly higher risk of developing cancer (overall rather than specific types) </w:t>
      </w:r>
      <w:r w:rsidR="005F629C">
        <w:rPr>
          <w:rFonts w:asciiTheme="minorHAnsi" w:hAnsiTheme="minorHAnsi" w:cstheme="minorHAnsi"/>
          <w:sz w:val="22"/>
          <w:szCs w:val="22"/>
        </w:rPr>
        <w:t xml:space="preserve">than </w:t>
      </w:r>
      <w:r w:rsidR="00C825E0" w:rsidRPr="004B0BC2">
        <w:rPr>
          <w:rFonts w:asciiTheme="minorHAnsi" w:hAnsiTheme="minorHAnsi" w:cstheme="minorHAnsi"/>
          <w:sz w:val="22"/>
          <w:szCs w:val="22"/>
        </w:rPr>
        <w:t>the general population (standardised incidence ratio</w:t>
      </w:r>
      <w:r w:rsidR="000850B1" w:rsidRPr="004B0BC2">
        <w:rPr>
          <w:rFonts w:asciiTheme="minorHAnsi" w:hAnsiTheme="minorHAnsi" w:cstheme="minorHAnsi"/>
          <w:sz w:val="22"/>
          <w:szCs w:val="22"/>
        </w:rPr>
        <w:t xml:space="preserve"> (SIR):</w:t>
      </w:r>
      <w:r w:rsidR="00C825E0" w:rsidRPr="004B0BC2">
        <w:rPr>
          <w:rFonts w:asciiTheme="minorHAnsi" w:hAnsiTheme="minorHAnsi" w:cstheme="minorHAnsi"/>
          <w:sz w:val="22"/>
          <w:szCs w:val="22"/>
        </w:rPr>
        <w:t>1.7,</w:t>
      </w:r>
      <w:r w:rsidR="000850B1" w:rsidRPr="004B0BC2">
        <w:rPr>
          <w:rFonts w:asciiTheme="minorHAnsi" w:hAnsiTheme="minorHAnsi" w:cstheme="minorHAnsi"/>
          <w:sz w:val="22"/>
          <w:szCs w:val="22"/>
        </w:rPr>
        <w:t xml:space="preserve"> </w:t>
      </w:r>
      <w:r w:rsidR="00C825E0" w:rsidRPr="004B0BC2">
        <w:rPr>
          <w:rFonts w:asciiTheme="minorHAnsi" w:hAnsiTheme="minorHAnsi" w:cstheme="minorHAnsi"/>
          <w:sz w:val="22"/>
          <w:szCs w:val="22"/>
        </w:rPr>
        <w:t>95% CI</w:t>
      </w:r>
      <w:r w:rsidR="000850B1" w:rsidRPr="004B0BC2">
        <w:rPr>
          <w:rFonts w:asciiTheme="minorHAnsi" w:hAnsiTheme="minorHAnsi" w:cstheme="minorHAnsi"/>
          <w:sz w:val="22"/>
          <w:szCs w:val="22"/>
        </w:rPr>
        <w:t>:</w:t>
      </w:r>
      <w:r w:rsidR="00C825E0" w:rsidRPr="004B0BC2">
        <w:rPr>
          <w:rFonts w:asciiTheme="minorHAnsi" w:hAnsiTheme="minorHAnsi" w:cstheme="minorHAnsi"/>
          <w:sz w:val="22"/>
          <w:szCs w:val="22"/>
        </w:rPr>
        <w:t xml:space="preserve">1.2-2.5, p&lt;0.05). Moreover, azoospermic men </w:t>
      </w:r>
      <w:r w:rsidR="00C825E0" w:rsidRPr="004B0BC2">
        <w:rPr>
          <w:rFonts w:asciiTheme="minorHAnsi" w:hAnsiTheme="minorHAnsi" w:cstheme="minorHAnsi"/>
          <w:sz w:val="22"/>
          <w:szCs w:val="22"/>
          <w:shd w:val="clear" w:color="auto" w:fill="FFFFFF"/>
        </w:rPr>
        <w:t>were at a</w:t>
      </w:r>
      <w:r w:rsidR="0047220A" w:rsidRPr="004B0BC2">
        <w:rPr>
          <w:rFonts w:asciiTheme="minorHAnsi" w:hAnsiTheme="minorHAnsi" w:cstheme="minorHAnsi"/>
          <w:sz w:val="22"/>
          <w:szCs w:val="22"/>
          <w:shd w:val="clear" w:color="auto" w:fill="FFFFFF"/>
        </w:rPr>
        <w:t xml:space="preserve"> </w:t>
      </w:r>
      <w:r w:rsidR="00CF33BB" w:rsidRPr="004B0BC2">
        <w:rPr>
          <w:rFonts w:asciiTheme="minorHAnsi" w:hAnsiTheme="minorHAnsi" w:cstheme="minorHAnsi"/>
          <w:sz w:val="22"/>
          <w:szCs w:val="22"/>
          <w:shd w:val="clear" w:color="auto" w:fill="FFFFFF"/>
        </w:rPr>
        <w:t>2.2</w:t>
      </w:r>
      <w:r w:rsidR="005F629C">
        <w:rPr>
          <w:rFonts w:asciiTheme="minorHAnsi" w:hAnsiTheme="minorHAnsi" w:cstheme="minorHAnsi"/>
          <w:sz w:val="22"/>
          <w:szCs w:val="22"/>
          <w:shd w:val="clear" w:color="auto" w:fill="FFFFFF"/>
        </w:rPr>
        <w:t>-</w:t>
      </w:r>
      <w:r w:rsidR="007017CD" w:rsidRPr="004B0BC2">
        <w:rPr>
          <w:rFonts w:asciiTheme="minorHAnsi" w:hAnsiTheme="minorHAnsi" w:cstheme="minorHAnsi"/>
          <w:sz w:val="22"/>
          <w:szCs w:val="22"/>
          <w:shd w:val="clear" w:color="auto" w:fill="FFFFFF"/>
        </w:rPr>
        <w:t xml:space="preserve">times greater </w:t>
      </w:r>
      <w:r w:rsidR="0047220A" w:rsidRPr="004B0BC2">
        <w:rPr>
          <w:rFonts w:asciiTheme="minorHAnsi" w:hAnsiTheme="minorHAnsi" w:cstheme="minorHAnsi"/>
          <w:sz w:val="22"/>
          <w:szCs w:val="22"/>
          <w:shd w:val="clear" w:color="auto" w:fill="FFFFFF"/>
        </w:rPr>
        <w:t>risk of developing cancer</w:t>
      </w:r>
      <w:r w:rsidR="00C825E0" w:rsidRPr="004B0BC2">
        <w:rPr>
          <w:rFonts w:asciiTheme="minorHAnsi" w:hAnsiTheme="minorHAnsi" w:cstheme="minorHAnsi"/>
          <w:sz w:val="22"/>
          <w:szCs w:val="22"/>
          <w:shd w:val="clear" w:color="auto" w:fill="FFFFFF"/>
        </w:rPr>
        <w:t xml:space="preserve"> (overall rather than specific types) </w:t>
      </w:r>
      <w:r w:rsidR="005F629C">
        <w:rPr>
          <w:rFonts w:asciiTheme="minorHAnsi" w:hAnsiTheme="minorHAnsi" w:cstheme="minorHAnsi"/>
          <w:sz w:val="22"/>
          <w:szCs w:val="22"/>
          <w:shd w:val="clear" w:color="auto" w:fill="FFFFFF"/>
        </w:rPr>
        <w:t>than</w:t>
      </w:r>
      <w:r w:rsidR="0047220A" w:rsidRPr="004B0BC2">
        <w:rPr>
          <w:rFonts w:asciiTheme="minorHAnsi" w:hAnsiTheme="minorHAnsi" w:cstheme="minorHAnsi"/>
          <w:sz w:val="22"/>
          <w:szCs w:val="22"/>
          <w:shd w:val="clear" w:color="auto" w:fill="FFFFFF"/>
        </w:rPr>
        <w:t xml:space="preserve"> </w:t>
      </w:r>
      <w:r w:rsidR="00CF33BB" w:rsidRPr="004B0BC2">
        <w:rPr>
          <w:rFonts w:asciiTheme="minorHAnsi" w:hAnsiTheme="minorHAnsi" w:cstheme="minorHAnsi"/>
          <w:sz w:val="22"/>
          <w:szCs w:val="22"/>
          <w:shd w:val="clear" w:color="auto" w:fill="FFFFFF"/>
        </w:rPr>
        <w:t>non azoospermic men</w:t>
      </w:r>
      <w:r w:rsidR="00C825E0" w:rsidRPr="004B0BC2">
        <w:rPr>
          <w:rFonts w:asciiTheme="minorHAnsi" w:hAnsiTheme="minorHAnsi" w:cstheme="minorHAnsi"/>
          <w:sz w:val="22"/>
          <w:szCs w:val="22"/>
          <w:shd w:val="clear" w:color="auto" w:fill="FFFFFF"/>
        </w:rPr>
        <w:t xml:space="preserve"> (</w:t>
      </w:r>
      <w:r w:rsidR="000850B1" w:rsidRPr="004B0BC2">
        <w:rPr>
          <w:rFonts w:asciiTheme="minorHAnsi" w:hAnsiTheme="minorHAnsi" w:cstheme="minorHAnsi"/>
          <w:sz w:val="22"/>
          <w:szCs w:val="22"/>
          <w:shd w:val="clear" w:color="auto" w:fill="FFFFFF"/>
        </w:rPr>
        <w:t>HR</w:t>
      </w:r>
      <w:r w:rsidR="00C825E0" w:rsidRPr="004B0BC2">
        <w:rPr>
          <w:rFonts w:asciiTheme="minorHAnsi" w:hAnsiTheme="minorHAnsi" w:cstheme="minorHAnsi"/>
          <w:sz w:val="22"/>
          <w:szCs w:val="22"/>
          <w:shd w:val="clear" w:color="auto" w:fill="FFFFFF"/>
        </w:rPr>
        <w:t>: 2.2</w:t>
      </w:r>
      <w:r w:rsidR="000850B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95% CI</w:t>
      </w:r>
      <w:r w:rsidR="000850B1"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1.0–4.8, p=0.02)</w:t>
      </w:r>
      <w:r w:rsidR="00AE601E"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{"citationItems":[{"id":"ITEM-1","itemData":{"DOI":"10.1016/j.fertnstert.2013.05.022","ISSN":"00150282","PMID":"23790640","abstract":"OBJECTIVE To determine whether men with azoospermia are at an elevated risk of developing cancer in the years following an infertility evaluation. DESIGN Cohort study. SETTING United States andrology clinic. PATIENT(S) A total of 2,238 men with complete records were evaluated for infertility at a single andrology clinic in Texas from 1989 to 2009. INTERVENTION(S) None. MAIN OUTCOME MEASURE(S) Cancer incidence was determined by linkage to the Texas Cancer Registry. RESULT(S) In all, 451 men had azoospermia, and 1,787 were not azoospermic, with a mean age at infertility evaluation of 35.7 years. Compared with the general population, infertile men had a higher risk of cancer, with 29 cases observed compared with 16.7 expected (standardized incidence rate [SIR] 1.7, 95% confidence interval [CI] 1.2-2.5). When stratifying by azoospermia status, azoospermic men had an elevated risk of cancer (SIR 2.9, 95% CI 1.4-5.4). Infertile men without azoospermia had a trend toward a higher rate of cancer (SIR 1.4, 95% CI 0.9-2.2). The Cox regression model revealed that azoospermic men had 2.2-fold higher cancer risk compared with nonazoospermic men (hazard ratio 2.2, 95% CI 1.0-4.8). CONCLUSION(S) Men with azoospermia have an increased risk of subsequently developing cancer, suggesting a possible common etiology between azoospermia and cancer development. Additional follow-up of azoospermic men after reproductive efforts end may be warranted.","author":[{"dropping-particle":"","family":"Eisenberg","given":"Michael L.","non-dropping-particle":"","parse-names":false,"suffix":""},{"dropping-particle":"","family":"Betts","given":"Paul","non-dropping-particle":"","parse-names":false,"suffix":""},{"dropping-particle":"","family":"Herder","given":"Danielle","non-dropping-particle":"","parse-names":false,"suffix":""},{"dropping-particle":"","family":"Lamb","given":"Dolores J.","non-dropping-particle":"","parse-names":false,"suffix":""},{"dropping-particle":"","family":"Lipshultz","given":"Larry I.","non-dropping-particle":"","parse-names":false,"suffix":""}],"container-title":"Fertility and Sterility","id":"ITEM-1","issue":"3","issued":{"date-parts":[["2013"]]},"page":"681-685.","title":"Increased risk of cancer among azoospermic men","type":"article-journal","volume":"100"},"uris":["http://www.mendeley.com/documents/?uuid=97b36aae-a564-3913-9729-0049477d8bbc"]}],"mendeley":{"formattedCitation":"(178)","plainTextFormattedCitation":"(178)","previouslyFormattedCitation":"(179)"},"properties":{"noteIndex":0},"schema":"https://github.com/citation-style-language/schema/raw/master/csl-citation.json"}</w:instrText>
      </w:r>
      <w:r w:rsidR="00AE601E"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(178)</w:t>
      </w:r>
      <w:r w:rsidR="00AE601E"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 xml:space="preserve">. </w:t>
      </w:r>
      <w:r w:rsidR="005F629C">
        <w:rPr>
          <w:rFonts w:asciiTheme="minorHAnsi" w:hAnsiTheme="minorHAnsi" w:cstheme="minorHAnsi"/>
          <w:sz w:val="22"/>
          <w:szCs w:val="22"/>
          <w:shd w:val="clear" w:color="auto" w:fill="FFFFFF"/>
        </w:rPr>
        <w:t>Regarding male cancers specifically, a Danish study</w:t>
      </w:r>
      <w:r w:rsidR="00C825E0" w:rsidRPr="004B0BC2">
        <w:rPr>
          <w:rFonts w:asciiTheme="minorHAnsi" w:hAnsiTheme="minorHAnsi" w:cstheme="minorHAnsi"/>
          <w:sz w:val="22"/>
          <w:szCs w:val="22"/>
          <w:shd w:val="clear" w:color="auto" w:fill="FFFFFF"/>
        </w:rPr>
        <w:t xml:space="preserve"> investigated the risk of testicular cancer in 32,442 infertile men presenting to a single fertility clinic in Denmark</w:t>
      </w:r>
      <w:r w:rsidR="005F629C"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{"citationItems":[{"id":"ITEM-1","itemData":{"DOI":"10.1136/bmj.321.7264.789","ISSN":"09598146","PMID":"11009515","abstract":"Objective: To explore the associations between semen characteristics and subsequent risk of testicular cancer. Design: Cohort study. Participants: 32 442 men who had a semen analysis done at the Sperm Analysis Laboratory in Copenhagen during 1963-95. Main outcome measure: Standardised incidence ratios of testicular cancer compared with total population of Danish men. Results: Men in couples with fertility problems were more likely to develop testicular cancer than other men (89 cases, standardised incidence ratio 1.6; 95% confidence interval 1.3 to 1.9). The risk was relatively constant with increasing time between semen analysis and cancer diagnosis. Analysis according to specific semen characteristics showed that low semen concentration (standardised incidence ratio 2.3), poor motility of the spermatozoa (2.5), and high proportion of morphologically abnormal spermatozoa (3.0) were all associated with an increased risk of testicular cancer. The only other cancer group that showed increased incidence was 'peritoneum and other digestive organs' (six cases; 3.7, 1.3 to 8.0). Of these, two cases were probably and two cases were possibly extragonadal germ cell tumours. Conclusions: The results point towards the existence of common aetiological factors for low semen quality and testicular cancer. Low semen quality may also be associated with increased incidence of extragonadal germ cell tumours.","author":[{"dropping-particle":"","family":"Jacobsen","given":"Rune","non-dropping-particle":"","parse-names":false,"suffix":""},{"dropping-particle":"","family":"Bostofte","given":"Erik","non-dropping-particle":"","parse-names":false,"suffix":""},{"dropping-particle":"","family":"Engholm","given":"Gerda","non-dropping-particle":"","parse-names":false,"suffix":""},{"dropping-particle":"","family":"Hansen","given":"Johnni","non-dropping-particle":"","parse-names":false,"suffix":""},{"dropping-particle":"","family":"Olsen","given":"Jørgen H.","non-dropping-particle":"","parse-names":false,"suffix":""},{"dropping-particle":"","family":"Skakkebæk","given":"Niels E.","non-dropping-particle":"","parse-names":false,"suffix":""},{"dropping-particle":"","family":"Møller","given":"Henrik","non-dropping-particle":"","parse-names":false,"suffix":""}],"container-title":"British Medical Journal","id":"ITEM-1","issue":"7264","issued":{"date-parts":[["2000"]]},"page":"789-92","title":"Risk of testicular cancer in men with abnormal semen characteristics: Cohort study","type":"article-journal","volume":"321"},"uris":["http://www.mendeley.com/documents/?uuid=ceb3a0cf-24f0-4e5b-8edf-8b76e4bf2eba"]}],"mendeley":{"formattedCitation":"(179)","plainTextFormattedCitation":"(179)","previouslyFormattedCitation":"(180)"},"properties":{"noteIndex":0},"schema":"https://github.com/citation-style-language/schema/raw/master/csl-citation.json"}</w:instrText>
      </w:r>
      <w:r w:rsidR="005F629C"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(179)</w:t>
      </w:r>
      <w:r w:rsidR="005F629C"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 The authors observed that infertile men were more likely to develop testicular cancer than the general population (</w:t>
      </w:r>
      <w:r w:rsidR="00C8484A" w:rsidRPr="004B0BC2">
        <w:rPr>
          <w:rFonts w:asciiTheme="minorHAnsi" w:hAnsiTheme="minorHAnsi" w:cstheme="minorHAnsi"/>
          <w:sz w:val="22"/>
          <w:szCs w:val="22"/>
          <w:shd w:val="clear" w:color="auto" w:fill="FFFFFF"/>
        </w:rPr>
        <w:t xml:space="preserve">SIR: </w:t>
      </w:r>
      <w:r w:rsidR="00C825E0" w:rsidRPr="004B0BC2">
        <w:rPr>
          <w:rFonts w:asciiTheme="minorHAnsi" w:hAnsiTheme="minorHAnsi" w:cstheme="minorHAnsi"/>
          <w:sz w:val="22"/>
          <w:szCs w:val="22"/>
          <w:shd w:val="clear" w:color="auto" w:fill="FFFFFF"/>
        </w:rPr>
        <w:t>1.6</w:t>
      </w:r>
      <w:r w:rsidR="00C8484A"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95% CI :1.3-1.9</w:t>
      </w:r>
      <w:r w:rsidR="00C8484A"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xml:space="preserve"> </w:t>
      </w:r>
      <w:r w:rsidR="00E05444" w:rsidRPr="004B0BC2">
        <w:rPr>
          <w:rFonts w:asciiTheme="minorHAnsi" w:hAnsiTheme="minorHAnsi" w:cstheme="minorHAnsi"/>
          <w:sz w:val="22"/>
          <w:szCs w:val="22"/>
          <w:shd w:val="clear" w:color="auto" w:fill="FFFFFF"/>
        </w:rPr>
        <w:t>p</w:t>
      </w:r>
      <w:r w:rsidR="00C825E0" w:rsidRPr="004B0BC2">
        <w:rPr>
          <w:rFonts w:asciiTheme="minorHAnsi" w:hAnsiTheme="minorHAnsi" w:cstheme="minorHAnsi"/>
          <w:sz w:val="22"/>
          <w:szCs w:val="22"/>
          <w:shd w:val="clear" w:color="auto" w:fill="FFFFFF"/>
        </w:rPr>
        <w:t xml:space="preserve">&lt;0.05). </w:t>
      </w:r>
    </w:p>
    <w:p w14:paraId="317C0BD1" w14:textId="5597DA05" w:rsidR="006D18D2" w:rsidRPr="004B0BC2" w:rsidRDefault="00C825E0" w:rsidP="00B66369">
      <w:pPr>
        <w:spacing w:line="480" w:lineRule="auto"/>
        <w:rPr>
          <w:rFonts w:asciiTheme="minorHAnsi" w:hAnsiTheme="minorHAnsi" w:cstheme="minorHAnsi"/>
          <w:sz w:val="22"/>
          <w:szCs w:val="22"/>
          <w:shd w:val="clear" w:color="auto" w:fill="FFFFFF"/>
        </w:rPr>
      </w:pPr>
      <w:r w:rsidRPr="004B0BC2">
        <w:rPr>
          <w:rFonts w:asciiTheme="minorHAnsi" w:hAnsiTheme="minorHAnsi" w:cstheme="minorHAnsi"/>
          <w:sz w:val="22"/>
          <w:szCs w:val="22"/>
          <w:shd w:val="clear" w:color="auto" w:fill="FFFFFF"/>
        </w:rPr>
        <w:lastRenderedPageBreak/>
        <w:t>The pathophysiological mechanisms that underpin this association between male infertility and later cancer diagnosis is unknown</w:t>
      </w:r>
      <w:r w:rsidR="005F629C">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but ha</w:t>
      </w:r>
      <w:r w:rsidR="005F629C">
        <w:rPr>
          <w:rFonts w:asciiTheme="minorHAnsi" w:hAnsiTheme="minorHAnsi" w:cstheme="minorHAnsi"/>
          <w:sz w:val="22"/>
          <w:szCs w:val="22"/>
          <w:shd w:val="clear" w:color="auto" w:fill="FFFFFF"/>
        </w:rPr>
        <w:t>ve</w:t>
      </w:r>
      <w:r w:rsidRPr="004B0BC2">
        <w:rPr>
          <w:rFonts w:asciiTheme="minorHAnsi" w:hAnsiTheme="minorHAnsi" w:cstheme="minorHAnsi"/>
          <w:sz w:val="22"/>
          <w:szCs w:val="22"/>
          <w:shd w:val="clear" w:color="auto" w:fill="FFFFFF"/>
        </w:rPr>
        <w:t xml:space="preserve"> been speculated to be related to in</w:t>
      </w:r>
      <w:r w:rsidR="00B66369" w:rsidRPr="004B0BC2">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utero exposure to endocrine</w:t>
      </w:r>
      <w:r w:rsidR="005F629C">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disrupting chemicals</w:t>
      </w:r>
      <w:r w:rsidR="005F629C">
        <w:rPr>
          <w:rFonts w:asciiTheme="minorHAnsi" w:hAnsiTheme="minorHAnsi" w:cstheme="minorHAnsi"/>
          <w:sz w:val="22"/>
          <w:szCs w:val="22"/>
          <w:shd w:val="clear" w:color="auto" w:fill="FFFFFF"/>
        </w:rPr>
        <w:t xml:space="preserve"> (EDCs)</w:t>
      </w:r>
      <w:r w:rsidR="00C8484A"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{"citationItems":[{"id":"ITEM-1","itemData":{"DOI":"10.1093/humrep/16.5.972","ISSN":"02681161","PMID":"11331648","abstract":"Numerous reports have recently focused on various aspects of adverse trends in male reproductive health, such as the rising incidence of testicular cancer; low and probably declining semen quality; high and possibly increasing frequencies of undescended testis and hypospadias; and an apparently growing demand for assisted reproduction. Due to specialization in medicine and different ages of presentation of symptoms, reproductive problems used to be analysed separately by various professional groups, e.g. paediatric endocrinologists, urologists, andrologists and oncologists. This article summarizes existing evidence supporting a new concept that poor semen quality, testis cancer, undescended testis and hypospadias are symptoms of one underlying entity, the testicular dysgenesis syndrome (TDS), which may be increasingly common due to adverse environmental influences. Experimental and epidemiological studies suggest that TDS is a result of disruption of embryonal programming and gonadal development during fetal life. Therefore, we recommend that future epidemiological studies on trends in male reproductive health should not focus on one symptom only, but be more comprehensive and take all aspects of TDS into account. Otherwise, important biological information may be lost.","author":[{"dropping-particle":"","family":"Skakkebæk","given":"N. E.","non-dropping-particle":"","parse-names":false,"suffix":""},{"dropping-particle":"","family":"Rajpert-De Meyts","given":"E.","non-dropping-particle":"","parse-names":false,"suffix":""},{"dropping-particle":"","family":"Main","given":"K. M.","non-dropping-particle":"","parse-names":false,"suffix":""}],"container-title":"Human Reproduction","id":"ITEM-1","issue":"5","issued":{"date-parts":[["2001"]]},"page":"972-978","title":"Testicular dysgenesis syndrome: An increasingly common developmental disorder with environmental aspects","type":"article-journal","volume":"16"},"uris":["http://www.mendeley.com/documents/?uuid=2e18fb62-974d-4d3f-9e0a-21c678e3e455"]}],"mendeley":{"formattedCitation":"(180)","plainTextFormattedCitation":"(180)","previouslyFormattedCitation":"(181)"},"properties":{"noteIndex":0},"schema":"https://github.com/citation-style-language/schema/raw/master/csl-citation.json"}</w:instrText>
      </w:r>
      <w:r w:rsidR="00C8484A"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(180)</w:t>
      </w:r>
      <w:r w:rsidR="00C8484A"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 xml:space="preserve">. This </w:t>
      </w:r>
      <w:r w:rsidR="005F629C">
        <w:rPr>
          <w:rFonts w:asciiTheme="minorHAnsi" w:hAnsiTheme="minorHAnsi" w:cstheme="minorHAnsi"/>
          <w:sz w:val="22"/>
          <w:szCs w:val="22"/>
          <w:shd w:val="clear" w:color="auto" w:fill="FFFFFF"/>
        </w:rPr>
        <w:t xml:space="preserve">theory of </w:t>
      </w:r>
      <w:r w:rsidRPr="004B0BC2">
        <w:rPr>
          <w:rFonts w:asciiTheme="minorHAnsi" w:hAnsiTheme="minorHAnsi" w:cstheme="minorHAnsi"/>
          <w:sz w:val="22"/>
          <w:szCs w:val="22"/>
          <w:shd w:val="clear" w:color="auto" w:fill="FFFFFF"/>
        </w:rPr>
        <w:t xml:space="preserve">testicular dysgenesis syndrome </w:t>
      </w:r>
      <w:r w:rsidR="005F629C">
        <w:rPr>
          <w:rFonts w:asciiTheme="minorHAnsi" w:hAnsiTheme="minorHAnsi" w:cstheme="minorHAnsi"/>
          <w:sz w:val="22"/>
          <w:szCs w:val="22"/>
          <w:shd w:val="clear" w:color="auto" w:fill="FFFFFF"/>
        </w:rPr>
        <w:t>postulate</w:t>
      </w:r>
      <w:r w:rsidR="005F629C" w:rsidRPr="004B0BC2">
        <w:rPr>
          <w:rFonts w:asciiTheme="minorHAnsi" w:hAnsiTheme="minorHAnsi" w:cstheme="minorHAnsi"/>
          <w:sz w:val="22"/>
          <w:szCs w:val="22"/>
          <w:shd w:val="clear" w:color="auto" w:fill="FFFFFF"/>
        </w:rPr>
        <w:t xml:space="preserve">s </w:t>
      </w:r>
      <w:r w:rsidRPr="004B0BC2">
        <w:rPr>
          <w:rFonts w:asciiTheme="minorHAnsi" w:hAnsiTheme="minorHAnsi" w:cstheme="minorHAnsi"/>
          <w:sz w:val="22"/>
          <w:szCs w:val="22"/>
          <w:shd w:val="clear" w:color="auto" w:fill="FFFFFF"/>
        </w:rPr>
        <w:t xml:space="preserve">that rising incidences of hypospadias, </w:t>
      </w:r>
      <w:r w:rsidR="00B66369" w:rsidRPr="004B0BC2">
        <w:rPr>
          <w:rFonts w:asciiTheme="minorHAnsi" w:hAnsiTheme="minorHAnsi" w:cstheme="minorHAnsi"/>
          <w:sz w:val="22"/>
          <w:szCs w:val="22"/>
          <w:shd w:val="clear" w:color="auto" w:fill="FFFFFF"/>
        </w:rPr>
        <w:t>cryptorchidism</w:t>
      </w:r>
      <w:r w:rsidRPr="004B0BC2">
        <w:rPr>
          <w:rFonts w:asciiTheme="minorHAnsi" w:hAnsiTheme="minorHAnsi" w:cstheme="minorHAnsi"/>
          <w:sz w:val="22"/>
          <w:szCs w:val="22"/>
          <w:shd w:val="clear" w:color="auto" w:fill="FFFFFF"/>
        </w:rPr>
        <w:t xml:space="preserve">, male infertility and testicular cancer are all related to prenatal exposure to </w:t>
      </w:r>
      <w:r w:rsidR="005F629C">
        <w:rPr>
          <w:rFonts w:asciiTheme="minorHAnsi" w:hAnsiTheme="minorHAnsi" w:cstheme="minorHAnsi"/>
          <w:sz w:val="22"/>
          <w:szCs w:val="22"/>
          <w:shd w:val="clear" w:color="auto" w:fill="FFFFFF"/>
        </w:rPr>
        <w:t>EDC</w:t>
      </w:r>
      <w:r w:rsidRPr="004B0BC2">
        <w:rPr>
          <w:rFonts w:asciiTheme="minorHAnsi" w:hAnsiTheme="minorHAnsi" w:cstheme="minorHAnsi"/>
          <w:sz w:val="22"/>
          <w:szCs w:val="22"/>
          <w:shd w:val="clear" w:color="auto" w:fill="FFFFFF"/>
        </w:rPr>
        <w:t>s</w:t>
      </w:r>
      <w:r w:rsidR="005F629C">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w:t>
      </w:r>
      <w:r w:rsidR="005F629C">
        <w:rPr>
          <w:rFonts w:asciiTheme="minorHAnsi" w:hAnsiTheme="minorHAnsi" w:cstheme="minorHAnsi"/>
          <w:sz w:val="22"/>
          <w:szCs w:val="22"/>
          <w:shd w:val="clear" w:color="auto" w:fill="FFFFFF"/>
        </w:rPr>
        <w:t xml:space="preserve">that </w:t>
      </w:r>
      <w:r w:rsidRPr="004B0BC2">
        <w:rPr>
          <w:rFonts w:asciiTheme="minorHAnsi" w:hAnsiTheme="minorHAnsi" w:cstheme="minorHAnsi"/>
          <w:sz w:val="22"/>
          <w:szCs w:val="22"/>
          <w:shd w:val="clear" w:color="auto" w:fill="FFFFFF"/>
        </w:rPr>
        <w:t xml:space="preserve">result in abnormalities in male sexual differentiation and </w:t>
      </w:r>
      <w:r w:rsidR="00B66369" w:rsidRPr="004B0BC2">
        <w:rPr>
          <w:rFonts w:asciiTheme="minorHAnsi" w:hAnsiTheme="minorHAnsi" w:cstheme="minorHAnsi"/>
          <w:sz w:val="22"/>
          <w:szCs w:val="22"/>
          <w:shd w:val="clear" w:color="auto" w:fill="FFFFFF"/>
        </w:rPr>
        <w:t>foetal</w:t>
      </w:r>
      <w:r w:rsidRPr="004B0BC2">
        <w:rPr>
          <w:rFonts w:asciiTheme="minorHAnsi" w:hAnsiTheme="minorHAnsi" w:cstheme="minorHAnsi"/>
          <w:sz w:val="22"/>
          <w:szCs w:val="22"/>
          <w:shd w:val="clear" w:color="auto" w:fill="FFFFFF"/>
        </w:rPr>
        <w:t xml:space="preserve"> development</w:t>
      </w:r>
      <w:r w:rsidR="00C8484A"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{"citationItems":[{"id":"ITEM-1","itemData":{"DOI":"10.1093/humrep/16.5.972","ISSN":"02681161","PMID":"11331648","abstract":"Numerous reports have recently focused on various aspects of adverse trends in male reproductive health, such as the rising incidence of testicular cancer; low and probably declining semen quality; high and possibly increasing frequencies of undescended testis and hypospadias; and an apparently growing demand for assisted reproduction. Due to specialization in medicine and different ages of presentation of symptoms, reproductive problems used to be analysed separately by various professional groups, e.g. paediatric endocrinologists, urologists, andrologists and oncologists. This article summarizes existing evidence supporting a new concept that poor semen quality, testis cancer, undescended testis and hypospadias are symptoms of one underlying entity, the testicular dysgenesis syndrome (TDS), which may be increasingly common due to adverse environmental influences. Experimental and epidemiological studies suggest that TDS is a result of disruption of embryonal programming and gonadal development during fetal life. Therefore, we recommend that future epidemiological studies on trends in male reproductive health should not focus on one symptom only, but be more comprehensive and take all aspects of TDS into account. Otherwise, important biological information may be lost.","author":[{"dropping-particle":"","family":"Skakkebæk","given":"N. E.","non-dropping-particle":"","parse-names":false,"suffix":""},{"dropping-particle":"","family":"Rajpert-De Meyts","given":"E.","non-dropping-particle":"","parse-names":false,"suffix":""},{"dropping-particle":"","family":"Main","given":"K. M.","non-dropping-particle":"","parse-names":false,"suffix":""}],"container-title":"Human Reproduction","id":"ITEM-1","issue":"5","issued":{"date-parts":[["2001"]]},"page":"972-978","title":"Testicular dysgenesis syndrome: An increasingly common developmental disorder with environmental aspects","type":"article-journal","volume":"16"},"uris":["http://www.mendeley.com/documents/?uuid=2e18fb62-974d-4d3f-9e0a-21c678e3e455"]}],"mendeley":{"formattedCitation":"(180)","plainTextFormattedCitation":"(180)","previouslyFormattedCitation":"(181)"},"properties":{"noteIndex":0},"schema":"https://github.com/citation-style-language/schema/raw/master/csl-citation.json"}</w:instrText>
      </w:r>
      <w:r w:rsidR="00C8484A"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(180)</w:t>
      </w:r>
      <w:r w:rsidR="00C8484A" w:rsidRPr="004B0BC2">
        <w:rPr>
          <w:rFonts w:asciiTheme="minorHAnsi" w:hAnsiTheme="minorHAnsi" w:cstheme="minorHAnsi"/>
          <w:sz w:val="22"/>
          <w:szCs w:val="22"/>
          <w:shd w:val="clear" w:color="auto" w:fill="FFFFFF"/>
        </w:rPr>
        <w:fldChar w:fldCharType="end"/>
      </w:r>
      <w:r w:rsidRPr="004B0BC2">
        <w:rPr>
          <w:rFonts w:asciiTheme="minorHAnsi" w:hAnsiTheme="minorHAnsi" w:cstheme="minorHAnsi"/>
          <w:sz w:val="22"/>
          <w:szCs w:val="22"/>
          <w:shd w:val="clear" w:color="auto" w:fill="FFFFFF"/>
        </w:rPr>
        <w:t>. However, this theory is limited by a lack of human studies and a paucity of data analysing</w:t>
      </w:r>
      <w:r w:rsidR="005F629C">
        <w:rPr>
          <w:rFonts w:asciiTheme="minorHAnsi" w:hAnsiTheme="minorHAnsi" w:cstheme="minorHAnsi"/>
          <w:sz w:val="22"/>
          <w:szCs w:val="22"/>
          <w:shd w:val="clear" w:color="auto" w:fill="FFFFFF"/>
        </w:rPr>
        <w:t xml:space="preserve"> specific effects of</w:t>
      </w:r>
      <w:r w:rsidRPr="004B0BC2">
        <w:rPr>
          <w:rFonts w:asciiTheme="minorHAnsi" w:hAnsiTheme="minorHAnsi" w:cstheme="minorHAnsi"/>
          <w:sz w:val="22"/>
          <w:szCs w:val="22"/>
          <w:shd w:val="clear" w:color="auto" w:fill="FFFFFF"/>
        </w:rPr>
        <w:t xml:space="preserve"> </w:t>
      </w:r>
      <w:r w:rsidR="00C8484A" w:rsidRPr="004B0BC2">
        <w:rPr>
          <w:rFonts w:asciiTheme="minorHAnsi" w:hAnsiTheme="minorHAnsi" w:cstheme="minorHAnsi"/>
          <w:sz w:val="22"/>
          <w:szCs w:val="22"/>
          <w:shd w:val="clear" w:color="auto" w:fill="FFFFFF"/>
        </w:rPr>
        <w:t xml:space="preserve">individual </w:t>
      </w:r>
      <w:r w:rsidR="005F629C">
        <w:rPr>
          <w:rFonts w:asciiTheme="minorHAnsi" w:hAnsiTheme="minorHAnsi" w:cstheme="minorHAnsi"/>
          <w:sz w:val="22"/>
          <w:szCs w:val="22"/>
          <w:shd w:val="clear" w:color="auto" w:fill="FFFFFF"/>
        </w:rPr>
        <w:t>EDCs</w:t>
      </w:r>
      <w:r w:rsidRPr="004B0BC2">
        <w:rPr>
          <w:rFonts w:asciiTheme="minorHAnsi" w:hAnsiTheme="minorHAnsi" w:cstheme="minorHAnsi"/>
          <w:sz w:val="22"/>
          <w:szCs w:val="22"/>
          <w:shd w:val="clear" w:color="auto" w:fill="FFFFFF"/>
        </w:rPr>
        <w:t xml:space="preserve">. </w:t>
      </w:r>
      <w:r w:rsidR="005F629C">
        <w:rPr>
          <w:rFonts w:asciiTheme="minorHAnsi" w:hAnsiTheme="minorHAnsi" w:cstheme="minorHAnsi"/>
          <w:sz w:val="22"/>
          <w:szCs w:val="22"/>
          <w:shd w:val="clear" w:color="auto" w:fill="FFFFFF"/>
        </w:rPr>
        <w:t>However</w:t>
      </w:r>
      <w:r w:rsidRPr="004B0BC2">
        <w:rPr>
          <w:rFonts w:asciiTheme="minorHAnsi" w:hAnsiTheme="minorHAnsi" w:cstheme="minorHAnsi"/>
          <w:sz w:val="22"/>
          <w:szCs w:val="22"/>
          <w:shd w:val="clear" w:color="auto" w:fill="FFFFFF"/>
        </w:rPr>
        <w:t xml:space="preserve">, irrespective of the cause, male infertility </w:t>
      </w:r>
      <w:r w:rsidR="005F629C">
        <w:rPr>
          <w:rFonts w:asciiTheme="minorHAnsi" w:hAnsiTheme="minorHAnsi" w:cstheme="minorHAnsi"/>
          <w:sz w:val="22"/>
          <w:szCs w:val="22"/>
          <w:shd w:val="clear" w:color="auto" w:fill="FFFFFF"/>
        </w:rPr>
        <w:t>seem</w:t>
      </w:r>
      <w:r w:rsidRPr="004B0BC2">
        <w:rPr>
          <w:rFonts w:asciiTheme="minorHAnsi" w:hAnsiTheme="minorHAnsi" w:cstheme="minorHAnsi"/>
          <w:sz w:val="22"/>
          <w:szCs w:val="22"/>
          <w:shd w:val="clear" w:color="auto" w:fill="FFFFFF"/>
        </w:rPr>
        <w:t>s to confer a</w:t>
      </w:r>
      <w:r w:rsidR="00C574BB">
        <w:rPr>
          <w:rFonts w:asciiTheme="minorHAnsi" w:hAnsiTheme="minorHAnsi" w:cstheme="minorHAnsi"/>
          <w:sz w:val="22"/>
          <w:szCs w:val="22"/>
          <w:shd w:val="clear" w:color="auto" w:fill="FFFFFF"/>
        </w:rPr>
        <w:t>n increased</w:t>
      </w:r>
      <w:r w:rsidRPr="004B0BC2">
        <w:rPr>
          <w:rFonts w:asciiTheme="minorHAnsi" w:hAnsiTheme="minorHAnsi" w:cstheme="minorHAnsi"/>
          <w:sz w:val="22"/>
          <w:szCs w:val="22"/>
          <w:shd w:val="clear" w:color="auto" w:fill="FFFFFF"/>
        </w:rPr>
        <w:t xml:space="preserve"> risk of developing </w:t>
      </w:r>
      <w:r w:rsidR="00B66369" w:rsidRPr="004B0BC2">
        <w:rPr>
          <w:rFonts w:asciiTheme="minorHAnsi" w:hAnsiTheme="minorHAnsi" w:cstheme="minorHAnsi"/>
          <w:sz w:val="22"/>
          <w:szCs w:val="22"/>
          <w:shd w:val="clear" w:color="auto" w:fill="FFFFFF"/>
        </w:rPr>
        <w:t>malignancy,</w:t>
      </w:r>
      <w:r w:rsidRPr="004B0BC2">
        <w:rPr>
          <w:rFonts w:asciiTheme="minorHAnsi" w:hAnsiTheme="minorHAnsi" w:cstheme="minorHAnsi"/>
          <w:sz w:val="22"/>
          <w:szCs w:val="22"/>
          <w:shd w:val="clear" w:color="auto" w:fill="FFFFFF"/>
        </w:rPr>
        <w:t xml:space="preserve"> highlight</w:t>
      </w:r>
      <w:r w:rsidR="005F629C">
        <w:rPr>
          <w:rFonts w:asciiTheme="minorHAnsi" w:hAnsiTheme="minorHAnsi" w:cstheme="minorHAnsi"/>
          <w:sz w:val="22"/>
          <w:szCs w:val="22"/>
          <w:shd w:val="clear" w:color="auto" w:fill="FFFFFF"/>
        </w:rPr>
        <w:t>ing</w:t>
      </w:r>
      <w:r w:rsidRPr="004B0BC2">
        <w:rPr>
          <w:rFonts w:asciiTheme="minorHAnsi" w:hAnsiTheme="minorHAnsi" w:cstheme="minorHAnsi"/>
          <w:sz w:val="22"/>
          <w:szCs w:val="22"/>
          <w:shd w:val="clear" w:color="auto" w:fill="FFFFFF"/>
        </w:rPr>
        <w:t xml:space="preserve"> that infertile men </w:t>
      </w:r>
      <w:r w:rsidR="005F629C">
        <w:rPr>
          <w:rFonts w:asciiTheme="minorHAnsi" w:hAnsiTheme="minorHAnsi" w:cstheme="minorHAnsi"/>
          <w:sz w:val="22"/>
          <w:szCs w:val="22"/>
          <w:shd w:val="clear" w:color="auto" w:fill="FFFFFF"/>
        </w:rPr>
        <w:t xml:space="preserve">are </w:t>
      </w:r>
      <w:r w:rsidRPr="004B0BC2">
        <w:rPr>
          <w:rFonts w:asciiTheme="minorHAnsi" w:hAnsiTheme="minorHAnsi" w:cstheme="minorHAnsi"/>
          <w:sz w:val="22"/>
          <w:szCs w:val="22"/>
          <w:shd w:val="clear" w:color="auto" w:fill="FFFFFF"/>
        </w:rPr>
        <w:t xml:space="preserve">a vulnerable population. </w:t>
      </w:r>
      <w:r w:rsidR="005F629C" w:rsidRPr="004B0BC2">
        <w:rPr>
          <w:rFonts w:asciiTheme="minorHAnsi" w:hAnsiTheme="minorHAnsi" w:cstheme="minorHAnsi"/>
          <w:sz w:val="22"/>
          <w:szCs w:val="22"/>
          <w:shd w:val="clear" w:color="auto" w:fill="FFFFFF"/>
        </w:rPr>
        <w:t>Th</w:t>
      </w:r>
      <w:r w:rsidR="005F629C">
        <w:rPr>
          <w:rFonts w:asciiTheme="minorHAnsi" w:hAnsiTheme="minorHAnsi" w:cstheme="minorHAnsi"/>
          <w:sz w:val="22"/>
          <w:szCs w:val="22"/>
          <w:shd w:val="clear" w:color="auto" w:fill="FFFFFF"/>
        </w:rPr>
        <w:t>us</w:t>
      </w:r>
      <w:r w:rsidRPr="004B0BC2">
        <w:rPr>
          <w:rFonts w:asciiTheme="minorHAnsi" w:hAnsiTheme="minorHAnsi" w:cstheme="minorHAnsi"/>
          <w:sz w:val="22"/>
          <w:szCs w:val="22"/>
          <w:shd w:val="clear" w:color="auto" w:fill="FFFFFF"/>
        </w:rPr>
        <w:t>, urologist</w:t>
      </w:r>
      <w:r w:rsidR="005F629C">
        <w:rPr>
          <w:rFonts w:asciiTheme="minorHAnsi" w:hAnsiTheme="minorHAnsi" w:cstheme="minorHAnsi"/>
          <w:sz w:val="22"/>
          <w:szCs w:val="22"/>
          <w:shd w:val="clear" w:color="auto" w:fill="FFFFFF"/>
        </w:rPr>
        <w:t>s</w:t>
      </w:r>
      <w:r w:rsidRPr="004B0BC2">
        <w:rPr>
          <w:rFonts w:asciiTheme="minorHAnsi" w:hAnsiTheme="minorHAnsi" w:cstheme="minorHAnsi"/>
          <w:sz w:val="22"/>
          <w:szCs w:val="22"/>
          <w:shd w:val="clear" w:color="auto" w:fill="FFFFFF"/>
        </w:rPr>
        <w:t xml:space="preserve"> </w:t>
      </w:r>
      <w:r w:rsidR="00C8484A" w:rsidRPr="004B0BC2">
        <w:rPr>
          <w:rFonts w:asciiTheme="minorHAnsi" w:hAnsiTheme="minorHAnsi" w:cstheme="minorHAnsi"/>
          <w:sz w:val="22"/>
          <w:szCs w:val="22"/>
          <w:shd w:val="clear" w:color="auto" w:fill="FFFFFF"/>
        </w:rPr>
        <w:t>ha</w:t>
      </w:r>
      <w:r w:rsidR="005F629C">
        <w:rPr>
          <w:rFonts w:asciiTheme="minorHAnsi" w:hAnsiTheme="minorHAnsi" w:cstheme="minorHAnsi"/>
          <w:sz w:val="22"/>
          <w:szCs w:val="22"/>
          <w:shd w:val="clear" w:color="auto" w:fill="FFFFFF"/>
        </w:rPr>
        <w:t>ve</w:t>
      </w:r>
      <w:r w:rsidRPr="004B0BC2">
        <w:rPr>
          <w:rFonts w:asciiTheme="minorHAnsi" w:hAnsiTheme="minorHAnsi" w:cstheme="minorHAnsi"/>
          <w:sz w:val="22"/>
          <w:szCs w:val="22"/>
          <w:shd w:val="clear" w:color="auto" w:fill="FFFFFF"/>
        </w:rPr>
        <w:t xml:space="preserve"> the opportunity to counsel and screen infertile men for symptoms and signs of malignancy </w:t>
      </w:r>
      <w:r w:rsidR="005F629C">
        <w:rPr>
          <w:rFonts w:asciiTheme="minorHAnsi" w:hAnsiTheme="minorHAnsi" w:cstheme="minorHAnsi"/>
          <w:sz w:val="22"/>
          <w:szCs w:val="22"/>
          <w:shd w:val="clear" w:color="auto" w:fill="FFFFFF"/>
        </w:rPr>
        <w:t>that</w:t>
      </w:r>
      <w:r w:rsidR="005F629C" w:rsidRPr="004B0BC2">
        <w:rPr>
          <w:rFonts w:asciiTheme="minorHAnsi" w:hAnsiTheme="minorHAnsi" w:cstheme="minorHAnsi"/>
          <w:sz w:val="22"/>
          <w:szCs w:val="22"/>
          <w:shd w:val="clear" w:color="auto" w:fill="FFFFFF"/>
        </w:rPr>
        <w:t xml:space="preserve"> </w:t>
      </w:r>
      <w:r w:rsidRPr="004B0BC2">
        <w:rPr>
          <w:rFonts w:asciiTheme="minorHAnsi" w:hAnsiTheme="minorHAnsi" w:cstheme="minorHAnsi"/>
          <w:sz w:val="22"/>
          <w:szCs w:val="22"/>
          <w:shd w:val="clear" w:color="auto" w:fill="FFFFFF"/>
        </w:rPr>
        <w:t>could potentially result in earlier diagnoses and treatment at a less</w:t>
      </w:r>
      <w:r w:rsidR="005F629C">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advanced stage. </w:t>
      </w:r>
    </w:p>
    <w:p w14:paraId="0A9F6307" w14:textId="77777777" w:rsidR="00DD0BC5" w:rsidRPr="004B0BC2" w:rsidRDefault="00DD0BC5" w:rsidP="00B66369">
      <w:pPr>
        <w:spacing w:line="480" w:lineRule="auto"/>
        <w:rPr>
          <w:rFonts w:asciiTheme="minorHAnsi" w:hAnsiTheme="minorHAnsi" w:cstheme="minorHAnsi"/>
          <w:sz w:val="22"/>
          <w:szCs w:val="22"/>
          <w:shd w:val="clear" w:color="auto" w:fill="FFFFFF"/>
        </w:rPr>
      </w:pPr>
    </w:p>
    <w:p w14:paraId="1B778A9F" w14:textId="6A771AA9" w:rsidR="006D18D2" w:rsidRPr="004B0BC2" w:rsidRDefault="005F629C" w:rsidP="00B66369">
      <w:pPr>
        <w:spacing w:line="480" w:lineRule="auto"/>
        <w:rPr>
          <w:rFonts w:asciiTheme="minorHAnsi" w:hAnsiTheme="minorHAnsi" w:cstheme="minorHAnsi"/>
          <w:i/>
          <w:iCs/>
          <w:sz w:val="22"/>
          <w:szCs w:val="22"/>
          <w:shd w:val="clear" w:color="auto" w:fill="FFFFFF"/>
        </w:rPr>
      </w:pPr>
      <w:r>
        <w:rPr>
          <w:rFonts w:asciiTheme="minorHAnsi" w:hAnsiTheme="minorHAnsi" w:cstheme="minorHAnsi"/>
          <w:i/>
          <w:iCs/>
          <w:sz w:val="22"/>
          <w:szCs w:val="22"/>
          <w:shd w:val="clear" w:color="auto" w:fill="FFFFFF"/>
        </w:rPr>
        <w:t>[H2]</w:t>
      </w:r>
      <w:r w:rsidR="006D18D2" w:rsidRPr="004B0BC2">
        <w:rPr>
          <w:rFonts w:asciiTheme="minorHAnsi" w:hAnsiTheme="minorHAnsi" w:cstheme="minorHAnsi"/>
          <w:i/>
          <w:iCs/>
          <w:sz w:val="22"/>
          <w:szCs w:val="22"/>
          <w:shd w:val="clear" w:color="auto" w:fill="FFFFFF"/>
        </w:rPr>
        <w:t xml:space="preserve">Men’s health as an early intervention </w:t>
      </w:r>
    </w:p>
    <w:p w14:paraId="2EA84E71" w14:textId="0AF284A8" w:rsidR="0047220A" w:rsidRPr="004B0BC2" w:rsidRDefault="007017CD" w:rsidP="00B66369">
      <w:pPr>
        <w:spacing w:line="480" w:lineRule="auto"/>
        <w:rPr>
          <w:rFonts w:asciiTheme="minorHAnsi" w:hAnsiTheme="minorHAnsi" w:cstheme="minorHAnsi"/>
          <w:sz w:val="22"/>
          <w:szCs w:val="22"/>
        </w:rPr>
      </w:pPr>
      <w:r w:rsidRPr="004B0BC2">
        <w:rPr>
          <w:rFonts w:asciiTheme="minorHAnsi" w:hAnsiTheme="minorHAnsi" w:cstheme="minorHAnsi"/>
          <w:sz w:val="22"/>
          <w:szCs w:val="22"/>
          <w:shd w:val="clear" w:color="auto" w:fill="FFFFFF"/>
        </w:rPr>
        <w:t>In addition to lifestyle advice, a</w:t>
      </w:r>
      <w:r w:rsidR="00427AC4" w:rsidRPr="004B0BC2">
        <w:rPr>
          <w:rFonts w:asciiTheme="minorHAnsi" w:hAnsiTheme="minorHAnsi" w:cstheme="minorHAnsi"/>
          <w:sz w:val="22"/>
          <w:szCs w:val="22"/>
          <w:shd w:val="clear" w:color="auto" w:fill="FFFFFF"/>
        </w:rPr>
        <w:t xml:space="preserve"> men’s health programme could educate</w:t>
      </w:r>
      <w:r w:rsidR="00C574BB">
        <w:rPr>
          <w:rFonts w:asciiTheme="minorHAnsi" w:hAnsiTheme="minorHAnsi" w:cstheme="minorHAnsi"/>
          <w:sz w:val="22"/>
          <w:szCs w:val="22"/>
          <w:shd w:val="clear" w:color="auto" w:fill="FFFFFF"/>
        </w:rPr>
        <w:t xml:space="preserve"> men</w:t>
      </w:r>
      <w:r w:rsidRPr="004B0BC2">
        <w:rPr>
          <w:rFonts w:asciiTheme="minorHAnsi" w:hAnsiTheme="minorHAnsi" w:cstheme="minorHAnsi"/>
          <w:sz w:val="22"/>
          <w:szCs w:val="22"/>
          <w:shd w:val="clear" w:color="auto" w:fill="FFFFFF"/>
        </w:rPr>
        <w:t xml:space="preserve"> and screen</w:t>
      </w:r>
      <w:r w:rsidR="00427AC4" w:rsidRPr="004B0BC2">
        <w:rPr>
          <w:rFonts w:asciiTheme="minorHAnsi" w:hAnsiTheme="minorHAnsi" w:cstheme="minorHAnsi"/>
          <w:sz w:val="22"/>
          <w:szCs w:val="22"/>
          <w:shd w:val="clear" w:color="auto" w:fill="FFFFFF"/>
        </w:rPr>
        <w:t xml:space="preserve"> patients for</w:t>
      </w:r>
      <w:r w:rsidRPr="004B0BC2">
        <w:rPr>
          <w:rFonts w:asciiTheme="minorHAnsi" w:hAnsiTheme="minorHAnsi" w:cstheme="minorHAnsi"/>
          <w:sz w:val="22"/>
          <w:szCs w:val="22"/>
          <w:shd w:val="clear" w:color="auto" w:fill="FFFFFF"/>
        </w:rPr>
        <w:t xml:space="preserve"> diseases</w:t>
      </w:r>
      <w:r w:rsidR="00542681">
        <w:rPr>
          <w:rFonts w:asciiTheme="minorHAnsi" w:hAnsiTheme="minorHAnsi" w:cstheme="minorHAnsi"/>
          <w:sz w:val="22"/>
          <w:szCs w:val="22"/>
          <w:shd w:val="clear" w:color="auto" w:fill="FFFFFF"/>
        </w:rPr>
        <w:t>,</w:t>
      </w:r>
      <w:r w:rsidRPr="004B0BC2">
        <w:rPr>
          <w:rFonts w:asciiTheme="minorHAnsi" w:hAnsiTheme="minorHAnsi" w:cstheme="minorHAnsi"/>
          <w:sz w:val="22"/>
          <w:szCs w:val="22"/>
          <w:shd w:val="clear" w:color="auto" w:fill="FFFFFF"/>
        </w:rPr>
        <w:t xml:space="preserve"> including</w:t>
      </w:r>
      <w:r w:rsidR="00427AC4" w:rsidRPr="004B0BC2">
        <w:rPr>
          <w:rFonts w:asciiTheme="minorHAnsi" w:hAnsiTheme="minorHAnsi" w:cstheme="minorHAnsi"/>
          <w:sz w:val="22"/>
          <w:szCs w:val="22"/>
          <w:shd w:val="clear" w:color="auto" w:fill="FFFFFF"/>
        </w:rPr>
        <w:t xml:space="preserve"> red flag symptoms and signs of malignancy</w:t>
      </w:r>
      <w:r w:rsidR="00C825E0" w:rsidRPr="004B0BC2">
        <w:rPr>
          <w:rFonts w:asciiTheme="minorHAnsi" w:hAnsiTheme="minorHAnsi" w:cstheme="minorHAnsi"/>
          <w:sz w:val="22"/>
          <w:szCs w:val="22"/>
          <w:shd w:val="clear" w:color="auto" w:fill="FFFFFF"/>
        </w:rPr>
        <w:t xml:space="preserve">. Indeed, </w:t>
      </w:r>
      <w:r w:rsidR="008B62F7" w:rsidRPr="004B0BC2">
        <w:rPr>
          <w:rFonts w:asciiTheme="minorHAnsi" w:hAnsiTheme="minorHAnsi" w:cstheme="minorHAnsi"/>
          <w:sz w:val="22"/>
          <w:szCs w:val="22"/>
          <w:shd w:val="clear" w:color="auto" w:fill="FFFFFF"/>
        </w:rPr>
        <w:t xml:space="preserve">a streamlined </w:t>
      </w:r>
      <w:r w:rsidR="006D18D2" w:rsidRPr="004B0BC2">
        <w:rPr>
          <w:rFonts w:asciiTheme="minorHAnsi" w:hAnsiTheme="minorHAnsi" w:cstheme="minorHAnsi"/>
          <w:sz w:val="22"/>
          <w:szCs w:val="22"/>
          <w:shd w:val="clear" w:color="auto" w:fill="FFFFFF"/>
        </w:rPr>
        <w:t>u</w:t>
      </w:r>
      <w:r w:rsidR="001F0740" w:rsidRPr="004B0BC2">
        <w:rPr>
          <w:rFonts w:asciiTheme="minorHAnsi" w:hAnsiTheme="minorHAnsi" w:cstheme="minorHAnsi"/>
          <w:sz w:val="22"/>
          <w:szCs w:val="22"/>
          <w:shd w:val="clear" w:color="auto" w:fill="FFFFFF"/>
        </w:rPr>
        <w:t>rolog</w:t>
      </w:r>
      <w:r w:rsidR="006D18D2" w:rsidRPr="004B0BC2">
        <w:rPr>
          <w:rFonts w:asciiTheme="minorHAnsi" w:hAnsiTheme="minorHAnsi" w:cstheme="minorHAnsi"/>
          <w:sz w:val="22"/>
          <w:szCs w:val="22"/>
          <w:shd w:val="clear" w:color="auto" w:fill="FFFFFF"/>
        </w:rPr>
        <w:t>y-</w:t>
      </w:r>
      <w:r w:rsidR="001F0740" w:rsidRPr="004B0BC2">
        <w:rPr>
          <w:rFonts w:asciiTheme="minorHAnsi" w:hAnsiTheme="minorHAnsi" w:cstheme="minorHAnsi"/>
          <w:sz w:val="22"/>
          <w:szCs w:val="22"/>
          <w:shd w:val="clear" w:color="auto" w:fill="FFFFFF"/>
        </w:rPr>
        <w:t xml:space="preserve"> centric men</w:t>
      </w:r>
      <w:r w:rsidR="004E5151" w:rsidRPr="004B0BC2">
        <w:rPr>
          <w:rFonts w:asciiTheme="minorHAnsi" w:hAnsiTheme="minorHAnsi" w:cstheme="minorHAnsi"/>
          <w:sz w:val="22"/>
          <w:szCs w:val="22"/>
          <w:shd w:val="clear" w:color="auto" w:fill="FFFFFF"/>
        </w:rPr>
        <w:t>’</w:t>
      </w:r>
      <w:r w:rsidR="001F0740" w:rsidRPr="004B0BC2">
        <w:rPr>
          <w:rFonts w:asciiTheme="minorHAnsi" w:hAnsiTheme="minorHAnsi" w:cstheme="minorHAnsi"/>
          <w:sz w:val="22"/>
          <w:szCs w:val="22"/>
          <w:shd w:val="clear" w:color="auto" w:fill="FFFFFF"/>
        </w:rPr>
        <w:t>s health clinic could not only offer cancer and CV</w:t>
      </w:r>
      <w:r w:rsidR="00C0488D" w:rsidRPr="004B0BC2">
        <w:rPr>
          <w:rFonts w:asciiTheme="minorHAnsi" w:hAnsiTheme="minorHAnsi" w:cstheme="minorHAnsi"/>
          <w:sz w:val="22"/>
          <w:szCs w:val="22"/>
          <w:shd w:val="clear" w:color="auto" w:fill="FFFFFF"/>
        </w:rPr>
        <w:t>D</w:t>
      </w:r>
      <w:r w:rsidR="001F0740" w:rsidRPr="004B0BC2">
        <w:rPr>
          <w:rFonts w:asciiTheme="minorHAnsi" w:hAnsiTheme="minorHAnsi" w:cstheme="minorHAnsi"/>
          <w:sz w:val="22"/>
          <w:szCs w:val="22"/>
          <w:shd w:val="clear" w:color="auto" w:fill="FFFFFF"/>
        </w:rPr>
        <w:t xml:space="preserve"> screening but also</w:t>
      </w:r>
      <w:r w:rsidR="00156AEF"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could provide mental health screening</w:t>
      </w:r>
      <w:r w:rsidR="00542681">
        <w:rPr>
          <w:rFonts w:asciiTheme="minorHAnsi" w:hAnsiTheme="minorHAnsi" w:cstheme="minorHAnsi"/>
          <w:sz w:val="22"/>
          <w:szCs w:val="22"/>
          <w:shd w:val="clear" w:color="auto" w:fill="FFFFFF"/>
        </w:rPr>
        <w:t xml:space="preserve">, which might help to </w:t>
      </w:r>
      <w:r w:rsidR="00C825E0" w:rsidRPr="004B0BC2">
        <w:rPr>
          <w:rFonts w:asciiTheme="minorHAnsi" w:hAnsiTheme="minorHAnsi" w:cstheme="minorHAnsi"/>
          <w:sz w:val="22"/>
          <w:szCs w:val="22"/>
          <w:shd w:val="clear" w:color="auto" w:fill="FFFFFF"/>
        </w:rPr>
        <w:t>offset the high suicide rates in young men.</w:t>
      </w:r>
      <w:r w:rsidR="003C11E1">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In 2018, 6</w:t>
      </w:r>
      <w:r w:rsidR="00542681">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507 suicide</w:t>
      </w:r>
      <w:r w:rsidR="00542681">
        <w:rPr>
          <w:rFonts w:asciiTheme="minorHAnsi" w:hAnsiTheme="minorHAnsi" w:cstheme="minorHAnsi"/>
          <w:sz w:val="22"/>
          <w:szCs w:val="22"/>
          <w:shd w:val="clear" w:color="auto" w:fill="FFFFFF"/>
        </w:rPr>
        <w:t>s were</w:t>
      </w:r>
      <w:r w:rsidR="00C825E0" w:rsidRPr="004B0BC2">
        <w:rPr>
          <w:rFonts w:asciiTheme="minorHAnsi" w:hAnsiTheme="minorHAnsi" w:cstheme="minorHAnsi"/>
          <w:sz w:val="22"/>
          <w:szCs w:val="22"/>
          <w:shd w:val="clear" w:color="auto" w:fill="FFFFFF"/>
        </w:rPr>
        <w:t xml:space="preserve"> registered in the UK</w:t>
      </w:r>
      <w:r w:rsidR="00542681">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xml:space="preserve"> of which 75% were </w:t>
      </w:r>
      <w:r w:rsidR="00542681">
        <w:rPr>
          <w:rFonts w:asciiTheme="minorHAnsi" w:hAnsiTheme="minorHAnsi" w:cstheme="minorHAnsi"/>
          <w:sz w:val="22"/>
          <w:szCs w:val="22"/>
          <w:shd w:val="clear" w:color="auto" w:fill="FFFFFF"/>
        </w:rPr>
        <w:t>men</w:t>
      </w:r>
      <w:r w:rsidR="00247CAD"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{"citationItems":[{"id":"ITEM-1","itemData":{"URL":"https://www.ons.gov.uk/releases/suicidesintheuk2018registrations","accessed":{"date-parts":[["2020","9","19"]]},"author":[{"dropping-particle":"","family":"Statistics","given":"Office for National","non-dropping-particle":"","parse-names":false,"suffix":""}],"id":"ITEM-1","issued":{"date-parts":[["2019"]]},"title":"Suicides in the UK: 2018 registrations - Office for National Statistics","type":"webpage"},"uris":["http://www.mendeley.com/documents/?uuid=35f1c033-86d4-4771-95f6-0f62a3a5c9fb"]}],"mendeley":{"formattedCitation":"(181)","plainTextFormattedCitation":"(181)","previouslyFormattedCitation":"(182)"},"properties":{"noteIndex":0},"schema":"https://github.com/citation-style-language/schema/raw/master/csl-citation.json"}</w:instrText>
      </w:r>
      <w:r w:rsidR="00247CAD"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(181)</w:t>
      </w:r>
      <w:r w:rsidR="00247CAD"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 xml:space="preserve">. Moreover, the global suicide rate in the age </w:t>
      </w:r>
      <w:r w:rsidR="00542681">
        <w:rPr>
          <w:rFonts w:asciiTheme="minorHAnsi" w:hAnsiTheme="minorHAnsi" w:cstheme="minorHAnsi"/>
          <w:sz w:val="22"/>
          <w:szCs w:val="22"/>
          <w:shd w:val="clear" w:color="auto" w:fill="FFFFFF"/>
        </w:rPr>
        <w:t>group</w:t>
      </w:r>
      <w:r w:rsidR="0054268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of 15</w:t>
      </w:r>
      <w:r w:rsidR="00542681">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19 years was 2.6 times higher in males than in females</w:t>
      </w:r>
      <w:r w:rsidR="00247CAD"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{"citationItems":[{"id":"ITEM-1","itemData":{"ISSN":"1723-8617","PMID":"16633527","abstract":"Global suicide rates among adolescents in the 15-19 age group, according to the latest World Health Organization (WHO) Mortality Database, were examined. Data for this age group were available from 90 countries (in some cases areas) out of the 130 WHO member states. The mean suicide rate for this age group, based on data available for the latest year, was 7.4/100,000. Suicide rates were higher in males (10.5) than in females (4.1). This applies in almost all countries. The exceptions are China, Cuba, Ecuador, El Salvador and Sri Lanka, where the female suicide rate was higher than the male. In the 90 countries (areas) studied, suicide was the fourth leading cause of death among young males and the third for young females. Of the 132,423 deaths of young people in the 90 countries, suicide accounted for 9.1%. The trend of suicide rates from 26 countries (areas) with data available during the period 1965-1999 was also studied. A rising trend of suicide in young males was observed. This was particularly marked in the years before 1980 and in countries outside Europe. The WHO database is the largest of its kind and, indeed, the only information source that can currently be used for analysis of global mortality due to suicide. Methodological limitations are discussed.","author":[{"dropping-particle":"","family":"Wasserman","given":"Danuta","non-dropping-particle":"","parse-names":false,"suffix":""},{"dropping-particle":"","family":"Cheng","given":"Qi","non-dropping-particle":"","parse-names":false,"suffix":""},{"dropping-particle":"","family":"Jiang","given":"Guo-Xin","non-dropping-particle":"","parse-names":false,"suffix":""}],"container-title":"World psychiatry : official journal of the World Psychiatric Association (WPA)","id":"ITEM-1","issue":"2","issued":{"date-parts":[["2005"]]},"page":"114–120","title":"Global suicide rates among young people aged 15-19.","type":"article-journal","volume":"4"},"uris":["http://www.mendeley.com/documents/?uuid=ab01e236-4ca2-4419-906d-1275bea00da8"]}],"mendeley":{"formattedCitation":"(182)","plainTextFormattedCitation":"(182)","previouslyFormattedCitation":"(183)"},"properties":{"noteIndex":0},"schema":"https://github.com/citation-style-language/schema/raw/master/csl-citation.json"}</w:instrText>
      </w:r>
      <w:r w:rsidR="00247CAD"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(182)</w:t>
      </w:r>
      <w:r w:rsidR="00247CAD"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 xml:space="preserve">. </w:t>
      </w:r>
      <w:r w:rsidR="00542681">
        <w:rPr>
          <w:rFonts w:asciiTheme="minorHAnsi" w:hAnsiTheme="minorHAnsi" w:cstheme="minorHAnsi"/>
          <w:sz w:val="22"/>
          <w:szCs w:val="22"/>
          <w:shd w:val="clear" w:color="auto" w:fill="FFFFFF"/>
        </w:rPr>
        <w:t>Although t</w:t>
      </w:r>
      <w:r w:rsidR="00C825E0" w:rsidRPr="004B0BC2">
        <w:rPr>
          <w:rFonts w:asciiTheme="minorHAnsi" w:hAnsiTheme="minorHAnsi" w:cstheme="minorHAnsi"/>
          <w:sz w:val="22"/>
          <w:szCs w:val="22"/>
          <w:shd w:val="clear" w:color="auto" w:fill="FFFFFF"/>
        </w:rPr>
        <w:t>rials assessing the effects of early interventions in suicide prevention</w:t>
      </w:r>
      <w:r w:rsidR="00542681">
        <w:rPr>
          <w:rFonts w:asciiTheme="minorHAnsi" w:hAnsiTheme="minorHAnsi" w:cstheme="minorHAnsi"/>
          <w:sz w:val="22"/>
          <w:szCs w:val="22"/>
          <w:shd w:val="clear" w:color="auto" w:fill="FFFFFF"/>
        </w:rPr>
        <w:t xml:space="preserve"> are lacking</w:t>
      </w:r>
      <w:r w:rsidR="00C825E0" w:rsidRPr="004B0BC2">
        <w:rPr>
          <w:rFonts w:asciiTheme="minorHAnsi" w:hAnsiTheme="minorHAnsi" w:cstheme="minorHAnsi"/>
          <w:sz w:val="22"/>
          <w:szCs w:val="22"/>
          <w:shd w:val="clear" w:color="auto" w:fill="FFFFFF"/>
        </w:rPr>
        <w:t>, a Cochrane review of 55 trials reported that cognition</w:t>
      </w:r>
      <w:r w:rsidR="00247CAD"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xml:space="preserve">based psychotherapy resulted in fewer participants repeating self-harm </w:t>
      </w:r>
      <w:r w:rsidR="00B83723">
        <w:rPr>
          <w:rFonts w:asciiTheme="minorHAnsi" w:hAnsiTheme="minorHAnsi" w:cstheme="minorHAnsi"/>
          <w:sz w:val="22"/>
          <w:szCs w:val="22"/>
          <w:shd w:val="clear" w:color="auto" w:fill="FFFFFF"/>
        </w:rPr>
        <w:t>than</w:t>
      </w:r>
      <w:r w:rsidR="0054268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conventional treatment (OR</w:t>
      </w:r>
      <w:r w:rsidR="00247CAD"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xml:space="preserve"> 0.70, 95% CI</w:t>
      </w:r>
      <w:r w:rsidR="00247CAD"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0.47-1.30</w:t>
      </w:r>
      <w:r w:rsidR="00202D76" w:rsidRPr="004B0BC2">
        <w:rPr>
          <w:rFonts w:asciiTheme="minorHAnsi" w:hAnsiTheme="minorHAnsi" w:cstheme="minorHAnsi"/>
          <w:sz w:val="22"/>
          <w:szCs w:val="22"/>
          <w:shd w:val="clear" w:color="auto" w:fill="FFFFFF"/>
        </w:rPr>
        <w:t>)</w:t>
      </w:r>
      <w:r w:rsidR="00C825E0" w:rsidRPr="004B0BC2">
        <w:rPr>
          <w:rFonts w:asciiTheme="minorHAnsi" w:hAnsiTheme="minorHAnsi" w:cstheme="minorHAnsi"/>
          <w:sz w:val="22"/>
          <w:szCs w:val="22"/>
          <w:shd w:val="clear" w:color="auto" w:fill="FFFFFF"/>
        </w:rPr>
        <w:t>. Given that a history of self-harm is a major risk factor for suicide</w:t>
      </w:r>
      <w:r w:rsidR="00247CAD" w:rsidRPr="004B0BC2">
        <w:rPr>
          <w:rFonts w:asciiTheme="minorHAnsi" w:hAnsiTheme="minorHAnsi" w:cstheme="minorHAnsi"/>
          <w:sz w:val="22"/>
          <w:szCs w:val="22"/>
          <w:shd w:val="clear" w:color="auto" w:fill="FFFFFF"/>
        </w:rPr>
        <w:fldChar w:fldCharType="begin" w:fldLock="1"/>
      </w:r>
      <w:r w:rsidR="002410DF">
        <w:rPr>
          <w:rFonts w:asciiTheme="minorHAnsi" w:hAnsiTheme="minorHAnsi" w:cstheme="minorHAnsi"/>
          <w:sz w:val="22"/>
          <w:szCs w:val="22"/>
          <w:shd w:val="clear" w:color="auto" w:fill="FFFFFF"/>
        </w:rPr>
        <w:instrText>ADDIN CSL_CITATION {"citationItems":[{"id":"ITEM-1","itemData":{"DOI":"10.1002/14651858.CD012189","ISSN":"1469493X","PMID":"27168519","abstract":"Background: Self-harm (SH; intentional self-poisoning or self-injury) is common, often repeated, and associated with suicide. This is an update of a broader Cochrane review first published in 1998, previously updated in 1999, and now split into three separate reviews. This review focuses on psychosocial interventions in adults who engage in self-harm. Objectives: To assess the effects of specific psychosocial treatments versus treatment as usual, enhanced usual care or other forms of psychological therapy, in adults following SH. Search methods: The Cochrane Depression, Anxiety and Neurosis Group (CCDAN) trials coordinator searched the CCDAN Clinical Trials Register (to 29 April 2015). This register includes relevant randomised controlled trials (RCTs) from: the Cochrane Library (all years), MEDLINE (1950 to date), EMBASE (1974 to date), and PsycINFO (1967 to date). Selection criteria: We included RCTs comparing psychosocial treatments with treatment as usual (TAU), enhanced usual care (EUC) or alternative treatments in adults with a recent (within six months) episode of SH resulting in presentation to clinical services. Data collection and analysis: We used Cochrane's standard methodological procedures. Main results: We included 55 trials, with a total of 17,699 participants. Eighteen trials investigated cognitive-behavioural-based psychotherapy (CBT-based psychotherapy; comprising cognitive-behavioural, problem-solving therapy or both). Nine investigated interventions for multiple repetition of SH/probable personality disorder, comprising emotion-regulation group-based psychotherapy, mentalisation, and dialectical behaviour therapy (DBT). Four investigated case management, and 11 examined remote contact interventions (postcards, emergency cards, telephone contact). Most other interventions were evaluated in only single small trials of moderate to very low quality. There was a significant treatment effect for CBT-based psychotherapy compared to TAU at final follow-up in terms of fewer participants repeating SH (odds ratio (OR) 0.70, 95% confidence interval (CI) 0.55 to 0.88; number of studies k = 17; N = 2665; GRADE: low quality evidence), but with no reduction in frequency of SH (mean difference (MD) -0.21, 95% CI -0.68 to 0.26; k = 6; N = 594; GRADE: low quality). For interventions typically delivered to individuals with a history of multiple episodes of SH/probable personality disorder, group-based emotion-regulation psychotherapy and mentalisation …","author":[{"dropping-particle":"","family":"Hawton","given":"Keith","non-dropping-particle":"","parse-names":false,"suffix":""},{"dropping-particle":"","family":"Witt","given":"Katrina G.","non-dropping-particle":"","parse-names":false,"suffix":""},{"dropping-particle":"","family":"Taylor Salisbury","given":"Tatiana L.","non-dropping-particle":"","parse-names":false,"suffix":""},{"dropping-particle":"","family":"Arensman","given":"Ella","non-dropping-particle":"","parse-names":false,"suffix":""},{"dropping-particle":"","family":"Gunnell","given":"David","non-dropping-particle":"","parse-names":false,"suffix":""},{"dropping-particle":"","family":"Hazell","given":"Philip","non-dropping-particle":"","parse-names":false,"suffix":""},{"dropping-particle":"","family":"Townsend","given":"Ellen","non-dropping-particle":"","parse-names":false,"suffix":""},{"dropping-particle":"","family":"Heeringen","given":"Kees","non-dropping-particle":"van","parse-names":false,"suffix":""}],"container-title":"Cochrane Database of Systematic Reviews","id":"ITEM-1","issued":{"date-parts":[["2016"]]},"page":"1-237","title":"Psychosocial interventions for self-harm in adults","type":"article-journal","volume":"5"},"uris":["http://www.mendeley.com/documents/?uuid=a59593c5-6f4f-4510-9276-40ddec4b1121"]}],"mendeley":{"formattedCitation":"(183)","plainTextFormattedCitation":"(183)","previouslyFormattedCitation":"(184)"},"properties":{"noteIndex":0},"schema":"https://github.com/citation-style-language/schema/raw/master/csl-citation.json"}</w:instrText>
      </w:r>
      <w:r w:rsidR="00247CAD" w:rsidRPr="004B0BC2">
        <w:rPr>
          <w:rFonts w:asciiTheme="minorHAnsi" w:hAnsiTheme="minorHAnsi" w:cstheme="minorHAnsi"/>
          <w:sz w:val="22"/>
          <w:szCs w:val="22"/>
          <w:shd w:val="clear" w:color="auto" w:fill="FFFFFF"/>
        </w:rPr>
        <w:fldChar w:fldCharType="separate"/>
      </w:r>
      <w:r w:rsidR="002410DF" w:rsidRPr="002410DF">
        <w:rPr>
          <w:rFonts w:asciiTheme="minorHAnsi" w:hAnsiTheme="minorHAnsi" w:cstheme="minorHAnsi"/>
          <w:noProof/>
          <w:sz w:val="22"/>
          <w:szCs w:val="22"/>
          <w:shd w:val="clear" w:color="auto" w:fill="FFFFFF"/>
        </w:rPr>
        <w:t>(183)</w:t>
      </w:r>
      <w:r w:rsidR="00247CAD" w:rsidRPr="004B0BC2">
        <w:rPr>
          <w:rFonts w:asciiTheme="minorHAnsi" w:hAnsiTheme="minorHAnsi" w:cstheme="minorHAnsi"/>
          <w:sz w:val="22"/>
          <w:szCs w:val="22"/>
          <w:shd w:val="clear" w:color="auto" w:fill="FFFFFF"/>
        </w:rPr>
        <w:fldChar w:fldCharType="end"/>
      </w:r>
      <w:r w:rsidR="00C825E0" w:rsidRPr="004B0BC2">
        <w:rPr>
          <w:rFonts w:asciiTheme="minorHAnsi" w:hAnsiTheme="minorHAnsi" w:cstheme="minorHAnsi"/>
          <w:sz w:val="22"/>
          <w:szCs w:val="22"/>
          <w:shd w:val="clear" w:color="auto" w:fill="FFFFFF"/>
        </w:rPr>
        <w:t xml:space="preserve">, early psychological intervention </w:t>
      </w:r>
      <w:r w:rsidR="00542681" w:rsidRPr="004B0BC2">
        <w:rPr>
          <w:rFonts w:asciiTheme="minorHAnsi" w:hAnsiTheme="minorHAnsi" w:cstheme="minorHAnsi"/>
          <w:sz w:val="22"/>
          <w:szCs w:val="22"/>
          <w:shd w:val="clear" w:color="auto" w:fill="FFFFFF"/>
        </w:rPr>
        <w:t>m</w:t>
      </w:r>
      <w:r w:rsidR="00542681">
        <w:rPr>
          <w:rFonts w:asciiTheme="minorHAnsi" w:hAnsiTheme="minorHAnsi" w:cstheme="minorHAnsi"/>
          <w:sz w:val="22"/>
          <w:szCs w:val="22"/>
          <w:shd w:val="clear" w:color="auto" w:fill="FFFFFF"/>
        </w:rPr>
        <w:t>ight</w:t>
      </w:r>
      <w:r w:rsidR="00542681" w:rsidRPr="004B0BC2">
        <w:rPr>
          <w:rFonts w:asciiTheme="minorHAnsi" w:hAnsiTheme="minorHAnsi" w:cstheme="minorHAnsi"/>
          <w:sz w:val="22"/>
          <w:szCs w:val="22"/>
          <w:shd w:val="clear" w:color="auto" w:fill="FFFFFF"/>
        </w:rPr>
        <w:t xml:space="preserve"> </w:t>
      </w:r>
      <w:r w:rsidR="00C825E0" w:rsidRPr="004B0BC2">
        <w:rPr>
          <w:rFonts w:asciiTheme="minorHAnsi" w:hAnsiTheme="minorHAnsi" w:cstheme="minorHAnsi"/>
          <w:sz w:val="22"/>
          <w:szCs w:val="22"/>
          <w:shd w:val="clear" w:color="auto" w:fill="FFFFFF"/>
        </w:rPr>
        <w:t>help reduce the high burden of male</w:t>
      </w:r>
      <w:r w:rsidR="00247CAD" w:rsidRPr="004B0BC2">
        <w:rPr>
          <w:rFonts w:asciiTheme="minorHAnsi" w:hAnsiTheme="minorHAnsi" w:cstheme="minorHAnsi"/>
          <w:sz w:val="22"/>
          <w:szCs w:val="22"/>
          <w:shd w:val="clear" w:color="auto" w:fill="FFFFFF"/>
        </w:rPr>
        <w:t xml:space="preserve"> suicidal</w:t>
      </w:r>
      <w:r w:rsidR="00C825E0" w:rsidRPr="004B0BC2">
        <w:rPr>
          <w:rFonts w:asciiTheme="minorHAnsi" w:hAnsiTheme="minorHAnsi" w:cstheme="minorHAnsi"/>
          <w:sz w:val="22"/>
          <w:szCs w:val="22"/>
          <w:shd w:val="clear" w:color="auto" w:fill="FFFFFF"/>
        </w:rPr>
        <w:t xml:space="preserve"> death</w:t>
      </w:r>
      <w:r w:rsidR="00542681">
        <w:rPr>
          <w:rFonts w:asciiTheme="minorHAnsi" w:hAnsiTheme="minorHAnsi" w:cstheme="minorHAnsi"/>
          <w:sz w:val="22"/>
          <w:szCs w:val="22"/>
          <w:shd w:val="clear" w:color="auto" w:fill="FFFFFF"/>
        </w:rPr>
        <w:t xml:space="preserve"> </w:t>
      </w:r>
      <w:r w:rsidR="00542681">
        <w:rPr>
          <w:rFonts w:ascii="Calibri" w:hAnsi="Calibri" w:cs="Calibri"/>
          <w:sz w:val="22"/>
          <w:szCs w:val="22"/>
          <w:shd w:val="clear" w:color="auto" w:fill="FFFFFF"/>
        </w:rPr>
        <w:t>—</w:t>
      </w:r>
      <w:r w:rsidR="006546C8">
        <w:rPr>
          <w:rFonts w:asciiTheme="minorHAnsi" w:hAnsiTheme="minorHAnsi" w:cstheme="minorHAnsi"/>
          <w:sz w:val="22"/>
          <w:szCs w:val="22"/>
          <w:shd w:val="clear" w:color="auto" w:fill="FFFFFF"/>
        </w:rPr>
        <w:t xml:space="preserve"> if urologists can id</w:t>
      </w:r>
      <w:r w:rsidR="00542681">
        <w:rPr>
          <w:rFonts w:asciiTheme="minorHAnsi" w:hAnsiTheme="minorHAnsi" w:cstheme="minorHAnsi"/>
          <w:sz w:val="22"/>
          <w:szCs w:val="22"/>
          <w:shd w:val="clear" w:color="auto" w:fill="FFFFFF"/>
        </w:rPr>
        <w:t>entify these patients during their consultations, early referral to support system could be arranged</w:t>
      </w:r>
      <w:r w:rsidR="00544F05">
        <w:rPr>
          <w:rFonts w:asciiTheme="minorHAnsi" w:hAnsiTheme="minorHAnsi" w:cstheme="minorHAnsi"/>
          <w:sz w:val="22"/>
          <w:szCs w:val="22"/>
          <w:shd w:val="clear" w:color="auto" w:fill="FFFFFF"/>
        </w:rPr>
        <w:t>.</w:t>
      </w:r>
      <w:r w:rsidR="00542681">
        <w:rPr>
          <w:rFonts w:asciiTheme="minorHAnsi" w:hAnsiTheme="minorHAnsi" w:cstheme="minorHAnsi"/>
          <w:sz w:val="22"/>
          <w:szCs w:val="22"/>
          <w:shd w:val="clear" w:color="auto" w:fill="FFFFFF"/>
        </w:rPr>
        <w:t xml:space="preserve"> </w:t>
      </w:r>
    </w:p>
    <w:p w14:paraId="230A9B4D" w14:textId="31221603" w:rsidR="00EC45A2" w:rsidRPr="004B0BC2" w:rsidRDefault="007D3ABD" w:rsidP="00B66369">
      <w:pPr>
        <w:pStyle w:val="NoSpacing"/>
        <w:spacing w:line="480" w:lineRule="auto"/>
        <w:rPr>
          <w:rFonts w:cstheme="minorHAnsi"/>
          <w:spacing w:val="-3"/>
          <w:sz w:val="22"/>
          <w:szCs w:val="22"/>
        </w:rPr>
      </w:pPr>
      <w:r w:rsidRPr="004B0BC2">
        <w:rPr>
          <w:rFonts w:cstheme="minorHAnsi"/>
          <w:spacing w:val="-3"/>
          <w:sz w:val="22"/>
          <w:szCs w:val="22"/>
        </w:rPr>
        <w:lastRenderedPageBreak/>
        <w:t>T</w:t>
      </w:r>
      <w:r w:rsidR="00176BAF" w:rsidRPr="004B0BC2">
        <w:rPr>
          <w:rFonts w:cstheme="minorHAnsi"/>
          <w:spacing w:val="-3"/>
          <w:sz w:val="22"/>
          <w:szCs w:val="22"/>
        </w:rPr>
        <w:t>he urological speciality is the only medical discipline that deals with male</w:t>
      </w:r>
      <w:r w:rsidR="006D18D2" w:rsidRPr="004B0BC2">
        <w:rPr>
          <w:rFonts w:cstheme="minorHAnsi"/>
          <w:spacing w:val="-3"/>
          <w:sz w:val="22"/>
          <w:szCs w:val="22"/>
        </w:rPr>
        <w:t>-</w:t>
      </w:r>
      <w:r w:rsidR="00176BAF" w:rsidRPr="004B0BC2">
        <w:rPr>
          <w:rFonts w:cstheme="minorHAnsi"/>
          <w:spacing w:val="-3"/>
          <w:sz w:val="22"/>
          <w:szCs w:val="22"/>
        </w:rPr>
        <w:t>specific benign and malignant d</w:t>
      </w:r>
      <w:r w:rsidR="001F0740" w:rsidRPr="004B0BC2">
        <w:rPr>
          <w:rFonts w:cstheme="minorHAnsi"/>
          <w:spacing w:val="-3"/>
          <w:sz w:val="22"/>
          <w:szCs w:val="22"/>
        </w:rPr>
        <w:t>iseases</w:t>
      </w:r>
      <w:r w:rsidR="006546C8">
        <w:rPr>
          <w:rFonts w:cstheme="minorHAnsi"/>
          <w:spacing w:val="-3"/>
          <w:sz w:val="22"/>
          <w:szCs w:val="22"/>
        </w:rPr>
        <w:t>, and</w:t>
      </w:r>
      <w:r w:rsidR="00176BAF" w:rsidRPr="004B0BC2">
        <w:rPr>
          <w:rFonts w:cstheme="minorHAnsi"/>
          <w:spacing w:val="-3"/>
          <w:sz w:val="22"/>
          <w:szCs w:val="22"/>
        </w:rPr>
        <w:t xml:space="preserve"> male sexual and reproductive health</w:t>
      </w:r>
      <w:r w:rsidR="001F0740" w:rsidRPr="004B0BC2">
        <w:rPr>
          <w:rFonts w:cstheme="minorHAnsi"/>
          <w:spacing w:val="-3"/>
          <w:sz w:val="22"/>
          <w:szCs w:val="22"/>
        </w:rPr>
        <w:t xml:space="preserve"> </w:t>
      </w:r>
      <w:r w:rsidR="006546C8">
        <w:rPr>
          <w:rFonts w:cstheme="minorHAnsi"/>
          <w:spacing w:val="-3"/>
          <w:sz w:val="22"/>
          <w:szCs w:val="22"/>
        </w:rPr>
        <w:t>is strongly associated with</w:t>
      </w:r>
      <w:r w:rsidR="001F0740" w:rsidRPr="004B0BC2">
        <w:rPr>
          <w:rFonts w:cstheme="minorHAnsi"/>
          <w:spacing w:val="-3"/>
          <w:sz w:val="22"/>
          <w:szCs w:val="22"/>
        </w:rPr>
        <w:t xml:space="preserve"> </w:t>
      </w:r>
      <w:r w:rsidR="00176BAF" w:rsidRPr="004B0BC2">
        <w:rPr>
          <w:rFonts w:cstheme="minorHAnsi"/>
          <w:spacing w:val="-3"/>
          <w:sz w:val="22"/>
          <w:szCs w:val="22"/>
        </w:rPr>
        <w:t xml:space="preserve">the </w:t>
      </w:r>
      <w:r w:rsidR="002066C6" w:rsidRPr="004B0BC2">
        <w:rPr>
          <w:rFonts w:cstheme="minorHAnsi"/>
          <w:spacing w:val="-3"/>
          <w:sz w:val="22"/>
          <w:szCs w:val="22"/>
        </w:rPr>
        <w:t>major</w:t>
      </w:r>
      <w:r w:rsidR="00176BAF" w:rsidRPr="004B0BC2">
        <w:rPr>
          <w:rFonts w:cstheme="minorHAnsi"/>
          <w:spacing w:val="-3"/>
          <w:sz w:val="22"/>
          <w:szCs w:val="22"/>
        </w:rPr>
        <w:t xml:space="preserve"> causes of premature male death</w:t>
      </w:r>
      <w:r w:rsidR="00464863">
        <w:rPr>
          <w:rFonts w:cstheme="minorHAnsi"/>
          <w:spacing w:val="-3"/>
          <w:sz w:val="22"/>
          <w:szCs w:val="22"/>
        </w:rPr>
        <w:fldChar w:fldCharType="begin" w:fldLock="1"/>
      </w:r>
      <w:r w:rsidR="00464863">
        <w:rPr>
          <w:rFonts w:cstheme="minorHAnsi"/>
          <w:spacing w:val="-3"/>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464863">
        <w:rPr>
          <w:rFonts w:cstheme="minorHAnsi"/>
          <w:spacing w:val="-3"/>
          <w:sz w:val="22"/>
          <w:szCs w:val="22"/>
        </w:rPr>
        <w:fldChar w:fldCharType="separate"/>
      </w:r>
      <w:r w:rsidR="00464863" w:rsidRPr="00464863">
        <w:rPr>
          <w:rFonts w:cstheme="minorHAnsi"/>
          <w:noProof/>
          <w:spacing w:val="-3"/>
          <w:sz w:val="22"/>
          <w:szCs w:val="22"/>
        </w:rPr>
        <w:t>(3)</w:t>
      </w:r>
      <w:r w:rsidR="00464863">
        <w:rPr>
          <w:rFonts w:cstheme="minorHAnsi"/>
          <w:spacing w:val="-3"/>
          <w:sz w:val="22"/>
          <w:szCs w:val="22"/>
        </w:rPr>
        <w:fldChar w:fldCharType="end"/>
      </w:r>
      <w:r w:rsidR="00176BAF" w:rsidRPr="004B0BC2">
        <w:rPr>
          <w:rFonts w:cstheme="minorHAnsi"/>
          <w:spacing w:val="-3"/>
          <w:sz w:val="22"/>
          <w:szCs w:val="22"/>
        </w:rPr>
        <w:t xml:space="preserve">. Within this context, </w:t>
      </w:r>
      <w:r w:rsidR="006546C8">
        <w:rPr>
          <w:rFonts w:cstheme="minorHAnsi"/>
          <w:spacing w:val="-3"/>
          <w:sz w:val="22"/>
          <w:szCs w:val="22"/>
        </w:rPr>
        <w:t>u</w:t>
      </w:r>
      <w:r w:rsidR="00176BAF" w:rsidRPr="004B0BC2">
        <w:rPr>
          <w:rFonts w:cstheme="minorHAnsi"/>
          <w:spacing w:val="-3"/>
          <w:sz w:val="22"/>
          <w:szCs w:val="22"/>
        </w:rPr>
        <w:t xml:space="preserve">rologists </w:t>
      </w:r>
      <w:r w:rsidR="006546C8">
        <w:rPr>
          <w:rFonts w:cstheme="minorHAnsi"/>
          <w:spacing w:val="-3"/>
          <w:sz w:val="22"/>
          <w:szCs w:val="22"/>
        </w:rPr>
        <w:t>are in an ideal position to</w:t>
      </w:r>
      <w:r w:rsidR="00176BAF" w:rsidRPr="004B0BC2">
        <w:rPr>
          <w:rFonts w:cstheme="minorHAnsi"/>
          <w:spacing w:val="-3"/>
          <w:sz w:val="22"/>
          <w:szCs w:val="22"/>
        </w:rPr>
        <w:t xml:space="preserve"> be</w:t>
      </w:r>
      <w:r w:rsidR="001F0740" w:rsidRPr="004B0BC2">
        <w:rPr>
          <w:rFonts w:cstheme="minorHAnsi"/>
          <w:spacing w:val="-3"/>
          <w:sz w:val="22"/>
          <w:szCs w:val="22"/>
        </w:rPr>
        <w:t>come</w:t>
      </w:r>
      <w:r w:rsidR="00176BAF" w:rsidRPr="004B0BC2">
        <w:rPr>
          <w:rFonts w:cstheme="minorHAnsi"/>
          <w:spacing w:val="-3"/>
          <w:sz w:val="22"/>
          <w:szCs w:val="22"/>
        </w:rPr>
        <w:t xml:space="preserve"> the gatekeeper</w:t>
      </w:r>
      <w:r w:rsidR="006546C8">
        <w:rPr>
          <w:rFonts w:cstheme="minorHAnsi"/>
          <w:spacing w:val="-3"/>
          <w:sz w:val="22"/>
          <w:szCs w:val="22"/>
        </w:rPr>
        <w:t>s</w:t>
      </w:r>
      <w:r w:rsidR="00176BAF" w:rsidRPr="004B0BC2">
        <w:rPr>
          <w:rFonts w:cstheme="minorHAnsi"/>
          <w:spacing w:val="-3"/>
          <w:sz w:val="22"/>
          <w:szCs w:val="22"/>
        </w:rPr>
        <w:t xml:space="preserve"> </w:t>
      </w:r>
      <w:r w:rsidR="006546C8">
        <w:rPr>
          <w:rFonts w:cstheme="minorHAnsi"/>
          <w:spacing w:val="-3"/>
          <w:sz w:val="22"/>
          <w:szCs w:val="22"/>
        </w:rPr>
        <w:t>of</w:t>
      </w:r>
      <w:r w:rsidR="00176BAF" w:rsidRPr="004B0BC2">
        <w:rPr>
          <w:rFonts w:cstheme="minorHAnsi"/>
          <w:spacing w:val="-3"/>
          <w:sz w:val="22"/>
          <w:szCs w:val="22"/>
        </w:rPr>
        <w:t xml:space="preserve"> men’s health.</w:t>
      </w:r>
    </w:p>
    <w:p w14:paraId="01B5C97B" w14:textId="77777777" w:rsidR="007A2D36" w:rsidRPr="004B0BC2" w:rsidRDefault="007A2D36" w:rsidP="00B66369">
      <w:pPr>
        <w:pStyle w:val="NoSpacing"/>
        <w:spacing w:line="480" w:lineRule="auto"/>
        <w:rPr>
          <w:rFonts w:cstheme="minorHAnsi"/>
          <w:spacing w:val="-3"/>
          <w:sz w:val="22"/>
          <w:szCs w:val="22"/>
        </w:rPr>
      </w:pPr>
    </w:p>
    <w:p w14:paraId="5712F081" w14:textId="641C85C5" w:rsidR="00BE17AE" w:rsidRPr="004B0BC2" w:rsidRDefault="006546C8" w:rsidP="00B66369">
      <w:pPr>
        <w:pStyle w:val="NoSpacing"/>
        <w:spacing w:line="480" w:lineRule="auto"/>
        <w:rPr>
          <w:rFonts w:cstheme="minorHAnsi"/>
          <w:b/>
          <w:sz w:val="22"/>
          <w:szCs w:val="22"/>
        </w:rPr>
      </w:pPr>
      <w:r>
        <w:rPr>
          <w:rFonts w:cstheme="minorHAnsi"/>
          <w:b/>
          <w:spacing w:val="-3"/>
          <w:sz w:val="22"/>
          <w:szCs w:val="22"/>
          <w:u w:val="single"/>
        </w:rPr>
        <w:t>[H1]</w:t>
      </w:r>
      <w:r w:rsidR="00EC45A2" w:rsidRPr="004B0BC2">
        <w:rPr>
          <w:rFonts w:cstheme="minorHAnsi"/>
          <w:b/>
          <w:spacing w:val="-3"/>
          <w:sz w:val="22"/>
          <w:szCs w:val="22"/>
          <w:u w:val="single"/>
        </w:rPr>
        <w:t xml:space="preserve">A new model </w:t>
      </w:r>
      <w:r w:rsidR="001325EE" w:rsidRPr="004B0BC2">
        <w:rPr>
          <w:rFonts w:cstheme="minorHAnsi"/>
          <w:b/>
          <w:spacing w:val="-3"/>
          <w:sz w:val="22"/>
          <w:szCs w:val="22"/>
          <w:u w:val="single"/>
        </w:rPr>
        <w:t xml:space="preserve">for </w:t>
      </w:r>
      <w:r>
        <w:rPr>
          <w:rFonts w:cstheme="minorHAnsi"/>
          <w:b/>
          <w:spacing w:val="-3"/>
          <w:sz w:val="22"/>
          <w:szCs w:val="22"/>
          <w:u w:val="single"/>
        </w:rPr>
        <w:t>m</w:t>
      </w:r>
      <w:r w:rsidR="001325EE" w:rsidRPr="004B0BC2">
        <w:rPr>
          <w:rFonts w:cstheme="minorHAnsi"/>
          <w:b/>
          <w:spacing w:val="-3"/>
          <w:sz w:val="22"/>
          <w:szCs w:val="22"/>
          <w:u w:val="single"/>
        </w:rPr>
        <w:t xml:space="preserve">en’s </w:t>
      </w:r>
      <w:r>
        <w:rPr>
          <w:rFonts w:cstheme="minorHAnsi"/>
          <w:b/>
          <w:spacing w:val="-3"/>
          <w:sz w:val="22"/>
          <w:szCs w:val="22"/>
          <w:u w:val="single"/>
        </w:rPr>
        <w:t>h</w:t>
      </w:r>
      <w:r w:rsidR="00EC45A2" w:rsidRPr="004B0BC2">
        <w:rPr>
          <w:rFonts w:cstheme="minorHAnsi"/>
          <w:b/>
          <w:spacing w:val="-3"/>
          <w:sz w:val="22"/>
          <w:szCs w:val="22"/>
          <w:u w:val="single"/>
        </w:rPr>
        <w:t>ealth</w:t>
      </w:r>
    </w:p>
    <w:p w14:paraId="47B237B5" w14:textId="36486CE3" w:rsidR="002737D5" w:rsidRDefault="001F0740" w:rsidP="00B66369">
      <w:pPr>
        <w:pStyle w:val="NoSpacing"/>
        <w:spacing w:line="480" w:lineRule="auto"/>
        <w:rPr>
          <w:rFonts w:cstheme="minorHAnsi"/>
          <w:sz w:val="22"/>
          <w:szCs w:val="22"/>
        </w:rPr>
      </w:pPr>
      <w:r w:rsidRPr="004B0BC2">
        <w:rPr>
          <w:rFonts w:cstheme="minorHAnsi"/>
          <w:sz w:val="22"/>
          <w:szCs w:val="22"/>
        </w:rPr>
        <w:t xml:space="preserve">Within </w:t>
      </w:r>
      <w:r w:rsidR="00480471">
        <w:rPr>
          <w:rFonts w:cstheme="minorHAnsi"/>
          <w:sz w:val="22"/>
          <w:szCs w:val="22"/>
        </w:rPr>
        <w:t>both publicly funded</w:t>
      </w:r>
      <w:r w:rsidR="002737D5">
        <w:rPr>
          <w:rFonts w:cstheme="minorHAnsi"/>
          <w:sz w:val="22"/>
          <w:szCs w:val="22"/>
        </w:rPr>
        <w:t xml:space="preserve"> </w:t>
      </w:r>
      <w:r w:rsidRPr="004B0BC2">
        <w:rPr>
          <w:rFonts w:cstheme="minorHAnsi"/>
          <w:sz w:val="22"/>
          <w:szCs w:val="22"/>
        </w:rPr>
        <w:t>health</w:t>
      </w:r>
      <w:r w:rsidR="006546C8">
        <w:rPr>
          <w:rFonts w:cstheme="minorHAnsi"/>
          <w:sz w:val="22"/>
          <w:szCs w:val="22"/>
        </w:rPr>
        <w:t>-</w:t>
      </w:r>
      <w:r w:rsidRPr="004B0BC2">
        <w:rPr>
          <w:rFonts w:cstheme="minorHAnsi"/>
          <w:sz w:val="22"/>
          <w:szCs w:val="22"/>
        </w:rPr>
        <w:t>care</w:t>
      </w:r>
      <w:r w:rsidR="001325EE" w:rsidRPr="004B0BC2">
        <w:rPr>
          <w:rFonts w:cstheme="minorHAnsi"/>
          <w:sz w:val="22"/>
          <w:szCs w:val="22"/>
        </w:rPr>
        <w:t xml:space="preserve"> framework</w:t>
      </w:r>
      <w:r w:rsidR="00480471">
        <w:rPr>
          <w:rFonts w:cstheme="minorHAnsi"/>
          <w:sz w:val="22"/>
          <w:szCs w:val="22"/>
        </w:rPr>
        <w:t>s</w:t>
      </w:r>
      <w:r w:rsidR="00693DD5">
        <w:rPr>
          <w:rFonts w:cstheme="minorHAnsi"/>
          <w:sz w:val="22"/>
          <w:szCs w:val="22"/>
        </w:rPr>
        <w:t xml:space="preserve"> </w:t>
      </w:r>
      <w:r w:rsidR="00480471">
        <w:rPr>
          <w:rFonts w:cstheme="minorHAnsi"/>
          <w:sz w:val="22"/>
          <w:szCs w:val="22"/>
        </w:rPr>
        <w:t xml:space="preserve">(for example, </w:t>
      </w:r>
      <w:r w:rsidR="008A3B78">
        <w:rPr>
          <w:rFonts w:cstheme="minorHAnsi"/>
          <w:sz w:val="22"/>
          <w:szCs w:val="22"/>
        </w:rPr>
        <w:t xml:space="preserve">as </w:t>
      </w:r>
      <w:r w:rsidR="00480471">
        <w:rPr>
          <w:rFonts w:cstheme="minorHAnsi"/>
          <w:sz w:val="22"/>
          <w:szCs w:val="22"/>
        </w:rPr>
        <w:t xml:space="preserve">in the </w:t>
      </w:r>
      <w:r w:rsidRPr="004B0BC2">
        <w:rPr>
          <w:rFonts w:cstheme="minorHAnsi"/>
          <w:sz w:val="22"/>
          <w:szCs w:val="22"/>
        </w:rPr>
        <w:t>UK</w:t>
      </w:r>
      <w:r w:rsidR="00480471">
        <w:rPr>
          <w:rFonts w:cstheme="minorHAnsi"/>
          <w:sz w:val="22"/>
          <w:szCs w:val="22"/>
        </w:rPr>
        <w:t>)</w:t>
      </w:r>
      <w:r w:rsidR="002737D5">
        <w:rPr>
          <w:rFonts w:cstheme="minorHAnsi"/>
          <w:sz w:val="22"/>
          <w:szCs w:val="22"/>
        </w:rPr>
        <w:t xml:space="preserve"> and systems combining public and private funding </w:t>
      </w:r>
      <w:r w:rsidR="00480471">
        <w:rPr>
          <w:rFonts w:cstheme="minorHAnsi"/>
          <w:sz w:val="22"/>
          <w:szCs w:val="22"/>
        </w:rPr>
        <w:t>(</w:t>
      </w:r>
      <w:r w:rsidR="002737D5">
        <w:rPr>
          <w:rFonts w:cstheme="minorHAnsi"/>
          <w:sz w:val="22"/>
          <w:szCs w:val="22"/>
        </w:rPr>
        <w:t>such as in Australia and the U</w:t>
      </w:r>
      <w:r w:rsidR="00480471">
        <w:rPr>
          <w:rFonts w:cstheme="minorHAnsi"/>
          <w:sz w:val="22"/>
          <w:szCs w:val="22"/>
        </w:rPr>
        <w:t>SA)</w:t>
      </w:r>
      <w:r w:rsidR="002066C6" w:rsidRPr="004B0BC2">
        <w:rPr>
          <w:rFonts w:cstheme="minorHAnsi"/>
          <w:sz w:val="22"/>
          <w:szCs w:val="22"/>
        </w:rPr>
        <w:t xml:space="preserve">, </w:t>
      </w:r>
      <w:r w:rsidR="002737D5">
        <w:rPr>
          <w:rFonts w:cstheme="minorHAnsi"/>
          <w:sz w:val="22"/>
          <w:szCs w:val="22"/>
        </w:rPr>
        <w:t>after assessment by the primary care provider,</w:t>
      </w:r>
      <w:r w:rsidR="00480471">
        <w:rPr>
          <w:rFonts w:cstheme="minorHAnsi"/>
          <w:sz w:val="22"/>
          <w:szCs w:val="22"/>
        </w:rPr>
        <w:t xml:space="preserve"> </w:t>
      </w:r>
      <w:r w:rsidR="002066C6" w:rsidRPr="004B0BC2">
        <w:rPr>
          <w:rFonts w:cstheme="minorHAnsi"/>
          <w:sz w:val="22"/>
          <w:szCs w:val="22"/>
        </w:rPr>
        <w:t>patients</w:t>
      </w:r>
      <w:r w:rsidR="001325EE" w:rsidRPr="004B0BC2">
        <w:rPr>
          <w:rFonts w:cstheme="minorHAnsi"/>
          <w:sz w:val="22"/>
          <w:szCs w:val="22"/>
        </w:rPr>
        <w:t xml:space="preserve"> </w:t>
      </w:r>
      <w:r w:rsidR="002737D5">
        <w:rPr>
          <w:rFonts w:cstheme="minorHAnsi"/>
          <w:sz w:val="22"/>
          <w:szCs w:val="22"/>
        </w:rPr>
        <w:t>often</w:t>
      </w:r>
      <w:r w:rsidR="002066C6" w:rsidRPr="004B0BC2">
        <w:rPr>
          <w:rFonts w:cstheme="minorHAnsi"/>
          <w:sz w:val="22"/>
          <w:szCs w:val="22"/>
        </w:rPr>
        <w:t xml:space="preserve"> </w:t>
      </w:r>
      <w:r w:rsidR="00480471">
        <w:rPr>
          <w:rFonts w:cstheme="minorHAnsi"/>
          <w:sz w:val="22"/>
          <w:szCs w:val="22"/>
        </w:rPr>
        <w:t>need to consult with</w:t>
      </w:r>
      <w:r w:rsidR="002066C6" w:rsidRPr="004B0BC2">
        <w:rPr>
          <w:rFonts w:cstheme="minorHAnsi"/>
          <w:sz w:val="22"/>
          <w:szCs w:val="22"/>
        </w:rPr>
        <w:t xml:space="preserve"> multiple specialists for</w:t>
      </w:r>
      <w:r w:rsidR="002737D5">
        <w:rPr>
          <w:rFonts w:cstheme="minorHAnsi"/>
          <w:sz w:val="22"/>
          <w:szCs w:val="22"/>
        </w:rPr>
        <w:t xml:space="preserve"> each</w:t>
      </w:r>
      <w:r w:rsidR="002066C6" w:rsidRPr="004B0BC2">
        <w:rPr>
          <w:rFonts w:cstheme="minorHAnsi"/>
          <w:sz w:val="22"/>
          <w:szCs w:val="22"/>
        </w:rPr>
        <w:t xml:space="preserve"> individual health complaint</w:t>
      </w:r>
    </w:p>
    <w:p w14:paraId="081E76F5" w14:textId="7B69D308" w:rsidR="00D94F44" w:rsidRDefault="002066C6" w:rsidP="00B66369">
      <w:pPr>
        <w:pStyle w:val="NoSpacing"/>
        <w:spacing w:line="480" w:lineRule="auto"/>
        <w:rPr>
          <w:rFonts w:cstheme="minorHAnsi"/>
          <w:sz w:val="22"/>
          <w:szCs w:val="22"/>
        </w:rPr>
      </w:pPr>
      <w:r w:rsidRPr="004B0BC2">
        <w:rPr>
          <w:rFonts w:cstheme="minorHAnsi"/>
          <w:sz w:val="22"/>
          <w:szCs w:val="22"/>
        </w:rPr>
        <w:t>This</w:t>
      </w:r>
      <w:r w:rsidR="006546C8">
        <w:rPr>
          <w:rFonts w:cstheme="minorHAnsi"/>
          <w:sz w:val="22"/>
          <w:szCs w:val="22"/>
        </w:rPr>
        <w:t xml:space="preserve"> approach </w:t>
      </w:r>
      <w:r w:rsidRPr="004B0BC2">
        <w:rPr>
          <w:rFonts w:cstheme="minorHAnsi"/>
          <w:sz w:val="22"/>
          <w:szCs w:val="22"/>
        </w:rPr>
        <w:t xml:space="preserve">is resource heavy for </w:t>
      </w:r>
      <w:r w:rsidR="001F0740" w:rsidRPr="004B0BC2">
        <w:rPr>
          <w:rFonts w:cstheme="minorHAnsi"/>
          <w:sz w:val="22"/>
          <w:szCs w:val="22"/>
        </w:rPr>
        <w:t xml:space="preserve">primary and secondary health </w:t>
      </w:r>
      <w:r w:rsidRPr="004B0BC2">
        <w:rPr>
          <w:rFonts w:cstheme="minorHAnsi"/>
          <w:sz w:val="22"/>
          <w:szCs w:val="22"/>
        </w:rPr>
        <w:t>providers</w:t>
      </w:r>
      <w:r w:rsidR="006D18D2" w:rsidRPr="004B0BC2">
        <w:rPr>
          <w:rFonts w:cstheme="minorHAnsi"/>
          <w:sz w:val="22"/>
          <w:szCs w:val="22"/>
        </w:rPr>
        <w:t xml:space="preserve"> and</w:t>
      </w:r>
      <w:r w:rsidR="001F0740" w:rsidRPr="004B0BC2">
        <w:rPr>
          <w:rFonts w:cstheme="minorHAnsi"/>
          <w:sz w:val="22"/>
          <w:szCs w:val="22"/>
        </w:rPr>
        <w:t xml:space="preserve"> </w:t>
      </w:r>
      <w:r w:rsidRPr="004B0BC2">
        <w:rPr>
          <w:rFonts w:cstheme="minorHAnsi"/>
          <w:sz w:val="22"/>
          <w:szCs w:val="22"/>
        </w:rPr>
        <w:t xml:space="preserve">time-consuming for the patient. Moreover, </w:t>
      </w:r>
      <w:r w:rsidR="006546C8">
        <w:rPr>
          <w:rFonts w:cstheme="minorHAnsi"/>
          <w:sz w:val="22"/>
          <w:szCs w:val="22"/>
        </w:rPr>
        <w:t>it might also</w:t>
      </w:r>
      <w:r w:rsidR="00C825E0" w:rsidRPr="004B0BC2">
        <w:rPr>
          <w:rFonts w:cstheme="minorHAnsi"/>
          <w:sz w:val="22"/>
          <w:szCs w:val="22"/>
        </w:rPr>
        <w:t xml:space="preserve"> contribut</w:t>
      </w:r>
      <w:r w:rsidR="006546C8">
        <w:rPr>
          <w:rFonts w:cstheme="minorHAnsi"/>
          <w:sz w:val="22"/>
          <w:szCs w:val="22"/>
        </w:rPr>
        <w:t>e</w:t>
      </w:r>
      <w:r w:rsidR="00C825E0" w:rsidRPr="004B0BC2">
        <w:rPr>
          <w:rFonts w:cstheme="minorHAnsi"/>
          <w:sz w:val="22"/>
          <w:szCs w:val="22"/>
        </w:rPr>
        <w:t xml:space="preserve"> to </w:t>
      </w:r>
      <w:r w:rsidRPr="004B0BC2">
        <w:rPr>
          <w:rFonts w:cstheme="minorHAnsi"/>
          <w:sz w:val="22"/>
          <w:szCs w:val="22"/>
        </w:rPr>
        <w:t>m</w:t>
      </w:r>
      <w:r w:rsidR="006546C8">
        <w:rPr>
          <w:rFonts w:cstheme="minorHAnsi"/>
          <w:sz w:val="22"/>
          <w:szCs w:val="22"/>
        </w:rPr>
        <w:t>e</w:t>
      </w:r>
      <w:r w:rsidR="001F0740" w:rsidRPr="004B0BC2">
        <w:rPr>
          <w:rFonts w:cstheme="minorHAnsi"/>
          <w:sz w:val="22"/>
          <w:szCs w:val="22"/>
        </w:rPr>
        <w:t>n’s</w:t>
      </w:r>
      <w:r w:rsidRPr="004B0BC2">
        <w:rPr>
          <w:rFonts w:cstheme="minorHAnsi"/>
          <w:sz w:val="22"/>
          <w:szCs w:val="22"/>
        </w:rPr>
        <w:t xml:space="preserve"> reluctance to seek health</w:t>
      </w:r>
      <w:r w:rsidR="006546C8">
        <w:rPr>
          <w:rFonts w:cstheme="minorHAnsi"/>
          <w:sz w:val="22"/>
          <w:szCs w:val="22"/>
        </w:rPr>
        <w:t xml:space="preserve"> </w:t>
      </w:r>
      <w:r w:rsidRPr="004B0BC2">
        <w:rPr>
          <w:rFonts w:cstheme="minorHAnsi"/>
          <w:sz w:val="22"/>
          <w:szCs w:val="22"/>
        </w:rPr>
        <w:t>care</w:t>
      </w:r>
      <w:r w:rsidR="00C825E0" w:rsidRPr="004B0BC2">
        <w:rPr>
          <w:rFonts w:cstheme="minorHAnsi"/>
          <w:sz w:val="22"/>
          <w:szCs w:val="22"/>
        </w:rPr>
        <w:fldChar w:fldCharType="begin" w:fldLock="1"/>
      </w:r>
      <w:r w:rsidR="00693DD5">
        <w:rPr>
          <w:rFonts w:cstheme="minorHAnsi"/>
          <w:sz w:val="22"/>
          <w:szCs w:val="22"/>
        </w:rPr>
        <w:instrText>ADDIN CSL_CITATION {"citationItems":[{"id":"ITEM-1","itemData":{"DOI":"10.1136/bmjopen-2013-003320","ISSN":"20446055","abstract":"Objective: To examine whether gender differences in primary care consultation rates (1) vary by age and deprivation status and (2) diminish when consultation for reproductive reasons or common underlying morbidities are accounted for. Design: Cross-sectional study of a cohort of patients registered with general practice. Setting: UK primary care. Subjects: Patients (1 869 149 men and 1 916 898 women) registered with 446 eligible practices in 2010. Primary outcome measures: Primary care consultation rate. Results: This study analyses routinely collected primary care consultation data. The crude consultation rate was 32% lower in men than women. The magnitude of gender difference varied across the life course, and there was no 'excess' female consulting in early and later life. The greatest gender gap in primary care consultations was seen among those aged between 16 and 60 years. Gender differences in consulting were higher in people from more deprived areas than among those from more affluent areas. Accounting for reproductive-related consultations diminished but did not eradicate the gender gap. However, consultation rates in men and women who had comparable underlying morbidities (as assessed by receipt of medication) were similar; men in receipt of antidepressant medication were only 8% less likely to consult than women in receipt of antidepressant medication (relative risk (RR) 0.916, 95% CI 0.913 to 0.918), and men in receipt of medication to treat cardiovascular disease were just 5% less likely to consult (RR=0.950, 95% CI 0.948 to 0.952) than women receiving similar medication. These small gender differences diminished further, particularly for depression (RR=0.950, 95% CI 0.947 to 0.953), after also taking account of reproductive consultations. Conclusions: Overall gender differences in consulting are most marked between the ages of 16 and 60 years; these differences are only partially accounted for by consultations for reproductive reasons. Differences in consultation rates between men and women were largely eradicated when comparing men and women in receipt of medication for similar underlying morbidities.","author":[{"dropping-particle":"","family":"Wang","given":"Yingying","non-dropping-particle":"","parse-names":false,"suffix":""},{"dropping-particle":"","family":"Hunt","given":"Kate","non-dropping-particle":"","parse-names":false,"suffix":""},{"dropping-particle":"","family":"Nazareth","given":"Irwin","non-dropping-particle":"","parse-names":false,"suffix":""},{"dropping-particle":"","family":"Freemantle","given":"Nick","non-dropping-particle":"","parse-names":false,"suffix":""},{"dropping-particle":"","family":"Petersen","given":"Irene","non-dropping-particle":"","parse-names":false,"suffix":""}],"container-title":"BMJ Open","id":"ITEM-1","issued":{"date-parts":[["2013"]]},"page":"1-7","title":"Do men consult less than women? An analysis of routinely collected UK general practice data","type":"article-journal","volume":"3"},"uris":["http://www.mendeley.com/documents/?uuid=0751d931-4080-488e-8de6-8f5c1cf5ed52"]}],"mendeley":{"formattedCitation":"(75)","plainTextFormattedCitation":"(75)","previouslyFormattedCitation":"(75)"},"properties":{"noteIndex":0},"schema":"https://github.com/citation-style-language/schema/raw/master/csl-citation.json"}</w:instrText>
      </w:r>
      <w:r w:rsidR="00C825E0" w:rsidRPr="004B0BC2">
        <w:rPr>
          <w:rFonts w:cstheme="minorHAnsi"/>
          <w:sz w:val="22"/>
          <w:szCs w:val="22"/>
        </w:rPr>
        <w:fldChar w:fldCharType="separate"/>
      </w:r>
      <w:r w:rsidR="00693DD5" w:rsidRPr="00693DD5">
        <w:rPr>
          <w:rFonts w:cstheme="minorHAnsi"/>
          <w:noProof/>
          <w:sz w:val="22"/>
          <w:szCs w:val="22"/>
        </w:rPr>
        <w:t>(75)</w:t>
      </w:r>
      <w:r w:rsidR="00C825E0" w:rsidRPr="004B0BC2">
        <w:rPr>
          <w:rFonts w:cstheme="minorHAnsi"/>
          <w:sz w:val="22"/>
          <w:szCs w:val="22"/>
        </w:rPr>
        <w:fldChar w:fldCharType="end"/>
      </w:r>
      <w:r w:rsidRPr="004B0BC2">
        <w:rPr>
          <w:rFonts w:cstheme="minorHAnsi"/>
          <w:sz w:val="22"/>
          <w:szCs w:val="22"/>
        </w:rPr>
        <w:t xml:space="preserve">. </w:t>
      </w:r>
      <w:r w:rsidR="006546C8" w:rsidRPr="004B0BC2">
        <w:rPr>
          <w:rFonts w:cstheme="minorHAnsi"/>
          <w:sz w:val="22"/>
          <w:szCs w:val="22"/>
        </w:rPr>
        <w:t>Th</w:t>
      </w:r>
      <w:r w:rsidR="006546C8">
        <w:rPr>
          <w:rFonts w:cstheme="minorHAnsi"/>
          <w:sz w:val="22"/>
          <w:szCs w:val="22"/>
        </w:rPr>
        <w:t>us</w:t>
      </w:r>
      <w:r w:rsidRPr="004B0BC2">
        <w:rPr>
          <w:rFonts w:cstheme="minorHAnsi"/>
          <w:sz w:val="22"/>
          <w:szCs w:val="22"/>
        </w:rPr>
        <w:t>, a more holistic approach</w:t>
      </w:r>
      <w:r w:rsidR="00B83723">
        <w:rPr>
          <w:rFonts w:cstheme="minorHAnsi"/>
          <w:sz w:val="22"/>
          <w:szCs w:val="22"/>
        </w:rPr>
        <w:t xml:space="preserve"> is required</w:t>
      </w:r>
      <w:r w:rsidR="00D94F44">
        <w:rPr>
          <w:rFonts w:cstheme="minorHAnsi"/>
          <w:sz w:val="22"/>
          <w:szCs w:val="22"/>
        </w:rPr>
        <w:t>,</w:t>
      </w:r>
      <w:r w:rsidRPr="004B0BC2">
        <w:rPr>
          <w:rFonts w:cstheme="minorHAnsi"/>
          <w:sz w:val="22"/>
          <w:szCs w:val="22"/>
        </w:rPr>
        <w:t xml:space="preserve"> using male-specific diseases as a platform to </w:t>
      </w:r>
      <w:r w:rsidR="001F0740" w:rsidRPr="004B0BC2">
        <w:rPr>
          <w:rFonts w:cstheme="minorHAnsi"/>
          <w:sz w:val="22"/>
          <w:szCs w:val="22"/>
        </w:rPr>
        <w:t>target men</w:t>
      </w:r>
      <w:r w:rsidR="00463625" w:rsidRPr="004B0BC2">
        <w:rPr>
          <w:rFonts w:cstheme="minorHAnsi"/>
          <w:sz w:val="22"/>
          <w:szCs w:val="22"/>
        </w:rPr>
        <w:t>’</w:t>
      </w:r>
      <w:r w:rsidR="001F0740" w:rsidRPr="004B0BC2">
        <w:rPr>
          <w:rFonts w:cstheme="minorHAnsi"/>
          <w:sz w:val="22"/>
          <w:szCs w:val="22"/>
        </w:rPr>
        <w:t xml:space="preserve">s health </w:t>
      </w:r>
      <w:r w:rsidR="006D18D2" w:rsidRPr="004B0BC2">
        <w:rPr>
          <w:rFonts w:cstheme="minorHAnsi"/>
          <w:sz w:val="22"/>
          <w:szCs w:val="22"/>
        </w:rPr>
        <w:t xml:space="preserve">in general </w:t>
      </w:r>
      <w:r w:rsidR="001F0740" w:rsidRPr="004B0BC2">
        <w:rPr>
          <w:rFonts w:cstheme="minorHAnsi"/>
          <w:sz w:val="22"/>
          <w:szCs w:val="22"/>
        </w:rPr>
        <w:t xml:space="preserve">and </w:t>
      </w:r>
      <w:r w:rsidR="00D94F44">
        <w:rPr>
          <w:rFonts w:cstheme="minorHAnsi"/>
          <w:sz w:val="22"/>
          <w:szCs w:val="22"/>
        </w:rPr>
        <w:t xml:space="preserve">to </w:t>
      </w:r>
      <w:r w:rsidRPr="004B0BC2">
        <w:rPr>
          <w:rFonts w:cstheme="minorHAnsi"/>
          <w:sz w:val="22"/>
          <w:szCs w:val="22"/>
        </w:rPr>
        <w:t>improve health outcomes</w:t>
      </w:r>
      <w:r w:rsidR="00C7076B" w:rsidRPr="004B0BC2">
        <w:rPr>
          <w:rFonts w:cstheme="minorHAnsi"/>
          <w:sz w:val="22"/>
          <w:szCs w:val="22"/>
        </w:rPr>
        <w:t>. Accordingly,</w:t>
      </w:r>
      <w:r w:rsidR="004268A3" w:rsidRPr="004B0BC2">
        <w:rPr>
          <w:rFonts w:cstheme="minorHAnsi"/>
          <w:sz w:val="22"/>
          <w:szCs w:val="22"/>
        </w:rPr>
        <w:t xml:space="preserve"> </w:t>
      </w:r>
      <w:r w:rsidR="00C7076B" w:rsidRPr="004B0BC2">
        <w:rPr>
          <w:rFonts w:cstheme="minorHAnsi"/>
          <w:sz w:val="22"/>
          <w:szCs w:val="22"/>
        </w:rPr>
        <w:t>we should</w:t>
      </w:r>
      <w:r w:rsidR="004268A3" w:rsidRPr="004B0BC2">
        <w:rPr>
          <w:rFonts w:cstheme="minorHAnsi"/>
          <w:sz w:val="22"/>
          <w:szCs w:val="22"/>
        </w:rPr>
        <w:t xml:space="preserve"> consider </w:t>
      </w:r>
      <w:r w:rsidR="003E771B" w:rsidRPr="004B0BC2">
        <w:rPr>
          <w:rFonts w:cstheme="minorHAnsi"/>
          <w:sz w:val="22"/>
          <w:szCs w:val="22"/>
        </w:rPr>
        <w:t>and offer health screening for occult disease in a more systematic approach and a</w:t>
      </w:r>
      <w:r w:rsidR="001325EE" w:rsidRPr="004B0BC2">
        <w:rPr>
          <w:rFonts w:cstheme="minorHAnsi"/>
          <w:sz w:val="22"/>
          <w:szCs w:val="22"/>
        </w:rPr>
        <w:t>t an earlier</w:t>
      </w:r>
      <w:r w:rsidR="003E771B" w:rsidRPr="004B0BC2">
        <w:rPr>
          <w:rFonts w:cstheme="minorHAnsi"/>
          <w:sz w:val="22"/>
          <w:szCs w:val="22"/>
        </w:rPr>
        <w:t xml:space="preserve"> age</w:t>
      </w:r>
      <w:r w:rsidR="00D94F44">
        <w:rPr>
          <w:rFonts w:cstheme="minorHAnsi"/>
          <w:sz w:val="22"/>
          <w:szCs w:val="22"/>
        </w:rPr>
        <w:t xml:space="preserve"> than is currently implemented</w:t>
      </w:r>
      <w:r w:rsidR="00C825E0" w:rsidRPr="004B0BC2">
        <w:rPr>
          <w:rFonts w:cstheme="minorHAnsi"/>
          <w:sz w:val="22"/>
          <w:szCs w:val="22"/>
        </w:rPr>
        <w:t xml:space="preserve">. For example, men presenting with </w:t>
      </w:r>
      <w:r w:rsidR="00D94F44">
        <w:rPr>
          <w:rFonts w:cstheme="minorHAnsi"/>
          <w:sz w:val="22"/>
          <w:szCs w:val="22"/>
        </w:rPr>
        <w:t>ED</w:t>
      </w:r>
      <w:r w:rsidR="00C825E0" w:rsidRPr="004B0BC2">
        <w:rPr>
          <w:rFonts w:cstheme="minorHAnsi"/>
          <w:sz w:val="22"/>
          <w:szCs w:val="22"/>
        </w:rPr>
        <w:t xml:space="preserve"> should be screened for </w:t>
      </w:r>
      <w:r w:rsidR="00C0488D" w:rsidRPr="004B0BC2">
        <w:rPr>
          <w:rFonts w:cstheme="minorHAnsi"/>
          <w:sz w:val="22"/>
          <w:szCs w:val="22"/>
        </w:rPr>
        <w:t xml:space="preserve">CVD </w:t>
      </w:r>
      <w:r w:rsidR="00C825E0" w:rsidRPr="004B0BC2">
        <w:rPr>
          <w:rFonts w:cstheme="minorHAnsi"/>
          <w:sz w:val="22"/>
          <w:szCs w:val="22"/>
        </w:rPr>
        <w:t>risk factors</w:t>
      </w:r>
      <w:r w:rsidR="00D94F44">
        <w:rPr>
          <w:rFonts w:cstheme="minorHAnsi"/>
          <w:sz w:val="22"/>
          <w:szCs w:val="22"/>
        </w:rPr>
        <w:t xml:space="preserve"> immediately,</w:t>
      </w:r>
      <w:r w:rsidR="00C825E0" w:rsidRPr="004B0BC2">
        <w:rPr>
          <w:rFonts w:cstheme="minorHAnsi"/>
          <w:sz w:val="22"/>
          <w:szCs w:val="22"/>
        </w:rPr>
        <w:t xml:space="preserve"> </w:t>
      </w:r>
      <w:r w:rsidR="00D94F44">
        <w:rPr>
          <w:rFonts w:cstheme="minorHAnsi"/>
          <w:sz w:val="22"/>
          <w:szCs w:val="22"/>
        </w:rPr>
        <w:t>owing to</w:t>
      </w:r>
      <w:r w:rsidR="00C825E0" w:rsidRPr="004B0BC2">
        <w:rPr>
          <w:rFonts w:cstheme="minorHAnsi"/>
          <w:sz w:val="22"/>
          <w:szCs w:val="22"/>
        </w:rPr>
        <w:t xml:space="preserve"> the strong association between ED and </w:t>
      </w:r>
      <w:r w:rsidR="00D94F44">
        <w:rPr>
          <w:rFonts w:cstheme="minorHAnsi"/>
          <w:sz w:val="22"/>
          <w:szCs w:val="22"/>
        </w:rPr>
        <w:t>subsequent</w:t>
      </w:r>
      <w:r w:rsidR="00D94F44" w:rsidRPr="004B0BC2">
        <w:rPr>
          <w:rFonts w:cstheme="minorHAnsi"/>
          <w:sz w:val="22"/>
          <w:szCs w:val="22"/>
        </w:rPr>
        <w:t xml:space="preserve"> </w:t>
      </w:r>
      <w:r w:rsidR="00C825E0" w:rsidRPr="004B0BC2">
        <w:rPr>
          <w:rFonts w:cstheme="minorHAnsi"/>
          <w:sz w:val="22"/>
          <w:szCs w:val="22"/>
        </w:rPr>
        <w:t>CVD events</w:t>
      </w:r>
      <w:r w:rsidR="00247CAD" w:rsidRPr="004B0BC2">
        <w:rPr>
          <w:rFonts w:cstheme="minorHAnsi"/>
          <w:sz w:val="22"/>
          <w:szCs w:val="22"/>
        </w:rPr>
        <w:fldChar w:fldCharType="begin" w:fldLock="1"/>
      </w:r>
      <w:r w:rsidR="002410DF">
        <w:rPr>
          <w:rFonts w:cstheme="minorHAnsi"/>
          <w:sz w:val="22"/>
          <w:szCs w:val="22"/>
        </w:rPr>
        <w:instrText>ADDIN CSL_CITATION {"citationItems":[{"id":"ITEM-1","itemData":{"DOI":"10.1161/CIRCOUTCOMES.112.966903","ISSN":"1941-7713","abstract":"Background—Erectile dysfunction (ED) carries an independent risk for cardiovascular (CV) events. We conducted a meta-analysis of all longitudinal studies for determining the ability of ED to predic...","author":[{"dropping-particle":"V.","family":"Vlachopoulos","given":"Charalambos","non-dropping-particle":"","parse-names":false,"suffix":""},{"dropping-particle":"","family":"Terentes-Printzios","given":"Dimitrios G.","non-dropping-particle":"","parse-names":false,"suffix":""},{"dropping-particle":"","family":"Ioakeimidis","given":"Nikolaos K.","non-dropping-particle":"","parse-names":false,"suffix":""},{"dropping-particle":"","family":"Aznaouridis","given":"Konstantinos A.","non-dropping-particle":"","parse-names":false,"suffix":""},{"dropping-particle":"","family":"Stefanadis","given":"Christodoulos I.","non-dropping-particle":"","parse-names":false,"suffix":""}],"container-title":"Circulation: Cardiovascular Quality and Outcomes","id":"ITEM-1","issue":"1","issued":{"date-parts":[["2013"]]},"page":"99-109","title":"Prediction of Cardiovascular Events and All-Cause Mortality With Erectile Dysfunction","type":"article-journal","volume":"6"},"uris":["http://www.mendeley.com/documents/?uuid=96755eb1-38ea-380d-a0f1-c9b4be94518a"]}],"mendeley":{"formattedCitation":"(165)","plainTextFormattedCitation":"(165)","previouslyFormattedCitation":"(165)"},"properties":{"noteIndex":0},"schema":"https://github.com/citation-style-language/schema/raw/master/csl-citation.json"}</w:instrText>
      </w:r>
      <w:r w:rsidR="00247CAD" w:rsidRPr="004B0BC2">
        <w:rPr>
          <w:rFonts w:cstheme="minorHAnsi"/>
          <w:sz w:val="22"/>
          <w:szCs w:val="22"/>
        </w:rPr>
        <w:fldChar w:fldCharType="separate"/>
      </w:r>
      <w:r w:rsidR="00693DD5" w:rsidRPr="00693DD5">
        <w:rPr>
          <w:rFonts w:cstheme="minorHAnsi"/>
          <w:noProof/>
          <w:sz w:val="22"/>
          <w:szCs w:val="22"/>
        </w:rPr>
        <w:t>(165)</w:t>
      </w:r>
      <w:r w:rsidR="00247CAD" w:rsidRPr="004B0BC2">
        <w:rPr>
          <w:rFonts w:cstheme="minorHAnsi"/>
          <w:sz w:val="22"/>
          <w:szCs w:val="22"/>
        </w:rPr>
        <w:fldChar w:fldCharType="end"/>
      </w:r>
      <w:r w:rsidR="00D94F44">
        <w:rPr>
          <w:rFonts w:cstheme="minorHAnsi"/>
          <w:sz w:val="22"/>
          <w:szCs w:val="22"/>
        </w:rPr>
        <w:t xml:space="preserve"> </w:t>
      </w:r>
      <w:r w:rsidR="00C825E0" w:rsidRPr="004B0BC2">
        <w:rPr>
          <w:rFonts w:cstheme="minorHAnsi"/>
          <w:sz w:val="22"/>
          <w:szCs w:val="22"/>
        </w:rPr>
        <w:t>and</w:t>
      </w:r>
      <w:r w:rsidR="00D94F44">
        <w:rPr>
          <w:rFonts w:cstheme="minorHAnsi"/>
          <w:sz w:val="22"/>
          <w:szCs w:val="22"/>
        </w:rPr>
        <w:t>, conversely,</w:t>
      </w:r>
      <w:r w:rsidR="00C825E0" w:rsidRPr="004B0BC2">
        <w:rPr>
          <w:rFonts w:cstheme="minorHAnsi"/>
          <w:sz w:val="22"/>
          <w:szCs w:val="22"/>
        </w:rPr>
        <w:t xml:space="preserve"> those </w:t>
      </w:r>
      <w:r w:rsidR="00D94F44">
        <w:rPr>
          <w:rFonts w:cstheme="minorHAnsi"/>
          <w:sz w:val="22"/>
          <w:szCs w:val="22"/>
        </w:rPr>
        <w:t>men who have</w:t>
      </w:r>
      <w:r w:rsidR="00C825E0" w:rsidRPr="004B0BC2">
        <w:rPr>
          <w:rFonts w:cstheme="minorHAnsi"/>
          <w:sz w:val="22"/>
          <w:szCs w:val="22"/>
        </w:rPr>
        <w:t xml:space="preserve"> CVD risk factors should be assessed for sexual dysfunction. Depression and sexual dysfunction have a bidirectional relationship</w:t>
      </w:r>
      <w:r w:rsidR="00D94F44" w:rsidRPr="004B0BC2">
        <w:rPr>
          <w:rFonts w:cstheme="minorHAnsi"/>
          <w:sz w:val="22"/>
          <w:szCs w:val="22"/>
        </w:rPr>
        <w:fldChar w:fldCharType="begin" w:fldLock="1"/>
      </w:r>
      <w:r w:rsidR="002410DF">
        <w:rPr>
          <w:rFonts w:cstheme="minorHAnsi"/>
          <w:sz w:val="22"/>
          <w:szCs w:val="22"/>
        </w:rPr>
        <w:instrText>ADDIN CSL_CITATION {"citationItems":[{"id":"ITEM-1","itemData":{"DOI":"10.1517/14740338.2014.951324","ISSN":"1744764X","PMID":"25148932","abstract":"Introduction: There is a well-established relationship between sexual functioning and quality of life. Depression can cause sexual dysfunction (SD) and its treatment can often lead to restoration of sexual functioning. Use of antidepressants has also been associated with SD, with implications for treatment compliance and creation of further distress for the patient.Areas covered: This review evaluates available information regarding SD related to both depression and antidepressant treatment, including literature up to June 2014. It includes eligible published studies that investigated antidepressant-associated SD (AASD).Expert opinion: Depression and SD have a bidirectional association. When screening for depression, baseline sexual functioning should be assessed with validated rating scales. If sexual side effects develop with antidepressant treatment, management options include waiting for spontaneous remission, decreasing the medication dose, switching to an alternative drug or adding an augmentation agent or antidote. Research suggests that bupropion and newer antidepressants exhibit a more favorable SD profile compared with other antidepressants, especially selective serotonin reuptake inhibitors and serotonin and norepinephrine reuptake inhibitors. Bupropion, mirtazapine and buspirone have been studied as augmentation agents/antidotes or substitution agents in management of AASD. Future studies validating genetic factors could enable personal genotyping to guide individualized treatment and also facilitate the development of enhanced therapeutic guidelines to avoid or manage AASD.","author":[{"dropping-particle":"","family":"Clayton","given":"Anita H.","non-dropping-particle":"","parse-names":false,"suffix":""},{"dropping-particle":"","family":"Haddad","given":"Saria","non-dropping-particle":"El","parse-names":false,"suffix":""},{"dropping-particle":"","family":"Iluonakhamhe","given":"Josepha Pearl","non-dropping-particle":"","parse-names":false,"suffix":""},{"dropping-particle":"","family":"Ponce Martinez","given":"Caridad","non-dropping-particle":"","parse-names":false,"suffix":""},{"dropping-particle":"","family":"Schuck","given":"Alexandra Elizabeth","non-dropping-particle":"","parse-names":false,"suffix":""}],"container-title":"Expert Opinion on Drug Safety","id":"ITEM-1","issue":"10","issued":{"date-parts":[["2014"]]},"page":"1361-74","title":"Sexual dysfunction associated with major depressive disorder and antidepressant treatment","type":"article-journal","volume":"13"},"uris":["http://www.mendeley.com/documents/?uuid=4defb3fa-715c-4933-bc8d-bfff441f2775"]}],"mendeley":{"formattedCitation":"(184)","plainTextFormattedCitation":"(184)","previouslyFormattedCitation":"(185)"},"properties":{"noteIndex":0},"schema":"https://github.com/citation-style-language/schema/raw/master/csl-citation.json"}</w:instrText>
      </w:r>
      <w:r w:rsidR="00D94F44" w:rsidRPr="004B0BC2">
        <w:rPr>
          <w:rFonts w:cstheme="minorHAnsi"/>
          <w:sz w:val="22"/>
          <w:szCs w:val="22"/>
        </w:rPr>
        <w:fldChar w:fldCharType="separate"/>
      </w:r>
      <w:r w:rsidR="002410DF" w:rsidRPr="002410DF">
        <w:rPr>
          <w:rFonts w:cstheme="minorHAnsi"/>
          <w:noProof/>
          <w:sz w:val="22"/>
          <w:szCs w:val="22"/>
        </w:rPr>
        <w:t>(184)</w:t>
      </w:r>
      <w:r w:rsidR="00D94F44" w:rsidRPr="004B0BC2">
        <w:rPr>
          <w:rFonts w:cstheme="minorHAnsi"/>
          <w:sz w:val="22"/>
          <w:szCs w:val="22"/>
        </w:rPr>
        <w:fldChar w:fldCharType="end"/>
      </w:r>
      <w:r w:rsidR="00D94F44">
        <w:rPr>
          <w:rFonts w:cstheme="minorHAnsi"/>
          <w:sz w:val="22"/>
          <w:szCs w:val="22"/>
        </w:rPr>
        <w:t>;</w:t>
      </w:r>
      <w:r w:rsidR="00C825E0" w:rsidRPr="004B0BC2">
        <w:rPr>
          <w:rFonts w:cstheme="minorHAnsi"/>
          <w:sz w:val="22"/>
          <w:szCs w:val="22"/>
        </w:rPr>
        <w:t xml:space="preserve"> thus</w:t>
      </w:r>
      <w:r w:rsidR="00D94F44">
        <w:rPr>
          <w:rFonts w:cstheme="minorHAnsi"/>
          <w:sz w:val="22"/>
          <w:szCs w:val="22"/>
        </w:rPr>
        <w:t>,</w:t>
      </w:r>
      <w:r w:rsidR="00C825E0" w:rsidRPr="004B0BC2">
        <w:rPr>
          <w:rFonts w:cstheme="minorHAnsi"/>
          <w:sz w:val="22"/>
          <w:szCs w:val="22"/>
        </w:rPr>
        <w:t xml:space="preserve"> </w:t>
      </w:r>
      <w:r w:rsidR="00D94F44">
        <w:rPr>
          <w:rFonts w:cstheme="minorHAnsi"/>
          <w:sz w:val="22"/>
          <w:szCs w:val="22"/>
        </w:rPr>
        <w:t xml:space="preserve">men </w:t>
      </w:r>
      <w:r w:rsidR="00C825E0" w:rsidRPr="004B0BC2">
        <w:rPr>
          <w:rFonts w:cstheme="minorHAnsi"/>
          <w:sz w:val="22"/>
          <w:szCs w:val="22"/>
        </w:rPr>
        <w:t>presenting with low mood or ED should be screened and</w:t>
      </w:r>
      <w:r w:rsidR="00D94F44">
        <w:rPr>
          <w:rFonts w:cstheme="minorHAnsi"/>
          <w:sz w:val="22"/>
          <w:szCs w:val="22"/>
        </w:rPr>
        <w:t>, if necessary,</w:t>
      </w:r>
      <w:r w:rsidR="00C825E0" w:rsidRPr="004B0BC2">
        <w:rPr>
          <w:rFonts w:cstheme="minorHAnsi"/>
          <w:sz w:val="22"/>
          <w:szCs w:val="22"/>
        </w:rPr>
        <w:t xml:space="preserve"> treated for both. Moreover, men presenting with infertility should be assessed for hypogonadism and symptoms and signs of malignancy</w:t>
      </w:r>
      <w:r w:rsidR="00464863">
        <w:rPr>
          <w:rFonts w:cstheme="minorHAnsi"/>
          <w:sz w:val="22"/>
          <w:szCs w:val="22"/>
        </w:rPr>
        <w:fldChar w:fldCharType="begin" w:fldLock="1"/>
      </w:r>
      <w:r w:rsidR="004E24A6">
        <w:rPr>
          <w:rFonts w:cstheme="minorHAnsi"/>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464863">
        <w:rPr>
          <w:rFonts w:cstheme="minorHAnsi"/>
          <w:sz w:val="22"/>
          <w:szCs w:val="22"/>
        </w:rPr>
        <w:fldChar w:fldCharType="separate"/>
      </w:r>
      <w:r w:rsidR="00464863" w:rsidRPr="00464863">
        <w:rPr>
          <w:rFonts w:cstheme="minorHAnsi"/>
          <w:noProof/>
          <w:sz w:val="22"/>
          <w:szCs w:val="22"/>
        </w:rPr>
        <w:t>(3)</w:t>
      </w:r>
      <w:r w:rsidR="00464863">
        <w:rPr>
          <w:rFonts w:cstheme="minorHAnsi"/>
          <w:sz w:val="22"/>
          <w:szCs w:val="22"/>
        </w:rPr>
        <w:fldChar w:fldCharType="end"/>
      </w:r>
      <w:r w:rsidR="00C825E0" w:rsidRPr="004B0BC2">
        <w:rPr>
          <w:rFonts w:cstheme="minorHAnsi"/>
          <w:sz w:val="22"/>
          <w:szCs w:val="22"/>
        </w:rPr>
        <w:t>. All men should undergo a CV</w:t>
      </w:r>
      <w:r w:rsidR="000920FD" w:rsidRPr="004B0BC2">
        <w:rPr>
          <w:rFonts w:cstheme="minorHAnsi"/>
          <w:sz w:val="22"/>
          <w:szCs w:val="22"/>
        </w:rPr>
        <w:t>D</w:t>
      </w:r>
      <w:r w:rsidR="00C825E0" w:rsidRPr="004B0BC2">
        <w:rPr>
          <w:rFonts w:cstheme="minorHAnsi"/>
          <w:sz w:val="22"/>
          <w:szCs w:val="22"/>
        </w:rPr>
        <w:t xml:space="preserve"> risk factor assessment</w:t>
      </w:r>
      <w:r w:rsidR="00D94F44">
        <w:rPr>
          <w:rFonts w:cstheme="minorHAnsi"/>
          <w:sz w:val="22"/>
          <w:szCs w:val="22"/>
        </w:rPr>
        <w:t>,</w:t>
      </w:r>
      <w:r w:rsidR="00C825E0" w:rsidRPr="004B0BC2">
        <w:rPr>
          <w:rFonts w:cstheme="minorHAnsi"/>
          <w:sz w:val="22"/>
          <w:szCs w:val="22"/>
        </w:rPr>
        <w:t xml:space="preserve"> as treatment of modifiable and lifestyle risk factors </w:t>
      </w:r>
      <w:r w:rsidR="00D94F44">
        <w:rPr>
          <w:rFonts w:cstheme="minorHAnsi"/>
          <w:sz w:val="22"/>
          <w:szCs w:val="22"/>
        </w:rPr>
        <w:t>can</w:t>
      </w:r>
      <w:r w:rsidR="00D94F44" w:rsidRPr="004B0BC2">
        <w:rPr>
          <w:rFonts w:cstheme="minorHAnsi"/>
          <w:sz w:val="22"/>
          <w:szCs w:val="22"/>
        </w:rPr>
        <w:t xml:space="preserve"> </w:t>
      </w:r>
      <w:r w:rsidR="00C825E0" w:rsidRPr="004B0BC2">
        <w:rPr>
          <w:rFonts w:cstheme="minorHAnsi"/>
          <w:sz w:val="22"/>
          <w:szCs w:val="22"/>
        </w:rPr>
        <w:t>reduce</w:t>
      </w:r>
      <w:r w:rsidR="00D94F44">
        <w:rPr>
          <w:rFonts w:cstheme="minorHAnsi"/>
          <w:sz w:val="22"/>
          <w:szCs w:val="22"/>
        </w:rPr>
        <w:t xml:space="preserve"> the risk of</w:t>
      </w:r>
      <w:r w:rsidR="00C825E0" w:rsidRPr="004B0BC2">
        <w:rPr>
          <w:rFonts w:cstheme="minorHAnsi"/>
          <w:sz w:val="22"/>
          <w:szCs w:val="22"/>
        </w:rPr>
        <w:t xml:space="preserve"> future CV</w:t>
      </w:r>
      <w:r w:rsidR="000920FD" w:rsidRPr="004B0BC2">
        <w:rPr>
          <w:rFonts w:cstheme="minorHAnsi"/>
          <w:sz w:val="22"/>
          <w:szCs w:val="22"/>
        </w:rPr>
        <w:t>D</w:t>
      </w:r>
      <w:r w:rsidR="00C825E0" w:rsidRPr="004B0BC2">
        <w:rPr>
          <w:rFonts w:cstheme="minorHAnsi"/>
          <w:sz w:val="22"/>
          <w:szCs w:val="22"/>
        </w:rPr>
        <w:t xml:space="preserve"> events, malignancy</w:t>
      </w:r>
      <w:r w:rsidR="00D94F44">
        <w:rPr>
          <w:rFonts w:cstheme="minorHAnsi"/>
          <w:sz w:val="22"/>
          <w:szCs w:val="22"/>
        </w:rPr>
        <w:t>,</w:t>
      </w:r>
      <w:r w:rsidR="00C825E0" w:rsidRPr="004B0BC2">
        <w:rPr>
          <w:rFonts w:cstheme="minorHAnsi"/>
          <w:sz w:val="22"/>
          <w:szCs w:val="22"/>
        </w:rPr>
        <w:t xml:space="preserve"> ED and infertility. </w:t>
      </w:r>
    </w:p>
    <w:p w14:paraId="5D5FB9A3" w14:textId="07757152" w:rsidR="00480471" w:rsidRDefault="00C825E0" w:rsidP="00B66369">
      <w:pPr>
        <w:pStyle w:val="NoSpacing"/>
        <w:spacing w:line="480" w:lineRule="auto"/>
        <w:rPr>
          <w:rFonts w:cstheme="minorHAnsi"/>
          <w:sz w:val="22"/>
          <w:szCs w:val="22"/>
        </w:rPr>
      </w:pPr>
      <w:r w:rsidRPr="004B0BC2">
        <w:rPr>
          <w:rFonts w:cstheme="minorHAnsi"/>
          <w:sz w:val="22"/>
          <w:szCs w:val="22"/>
        </w:rPr>
        <w:t xml:space="preserve">Qualitative studies using patient questionnaires in a range of specialities have suggested high patient satisfaction with ‘one-stop’ clinics compared </w:t>
      </w:r>
      <w:r w:rsidR="00B83723">
        <w:rPr>
          <w:rFonts w:cstheme="minorHAnsi"/>
          <w:sz w:val="22"/>
          <w:szCs w:val="22"/>
        </w:rPr>
        <w:t>with</w:t>
      </w:r>
      <w:r w:rsidRPr="004B0BC2">
        <w:rPr>
          <w:rFonts w:cstheme="minorHAnsi"/>
          <w:sz w:val="22"/>
          <w:szCs w:val="22"/>
        </w:rPr>
        <w:t xml:space="preserve"> traditional outpatient encounters</w:t>
      </w:r>
      <w:r w:rsidR="000920FD" w:rsidRPr="004B0BC2">
        <w:rPr>
          <w:rFonts w:cstheme="minorHAnsi"/>
          <w:sz w:val="22"/>
          <w:szCs w:val="22"/>
        </w:rPr>
        <w:fldChar w:fldCharType="begin" w:fldLock="1"/>
      </w:r>
      <w:r w:rsidR="002410DF">
        <w:rPr>
          <w:rFonts w:cstheme="minorHAnsi"/>
          <w:sz w:val="22"/>
          <w:szCs w:val="22"/>
        </w:rPr>
        <w:instrText>ADDIN CSL_CITATION {"citationItems":[{"id":"ITEM-1","itemData":{"DOI":"10.1111/ijun.12086","ISSN":"1749771X","abstract":"One-stop clinics have shown to improve the patient experience in early diagnosis of potentially life threatening conditions, although this service is less evident in Urology, where morbidity and mortality resulting from bladder cancers are increasing. This study will discuss whether or not one-stop haematuria clinics improve patient satisfaction. A survey analysis comparing patient satisfaction for a one-stop haematuria clinic and a traditional outpatient service was developed, based around the ‘Determinants and Components’ theory. A convenience sample of 102 haematuria patients attending either the one-stop clinic (Route A) or an outpatient clinic within the Urology service (Route B), at an assigned National Health Service hospital, were invited to complete a ‘patient satisfaction’ questionnaire. Data were compared between clinic routes according to the patient satisfaction themes of: Time and Availability, Quality of Care, Environment, Accessibility and Convenience and Global Satisfaction. Response rate was 51%; with overall positive patient satisfaction levels for both clinics. Route A patients were most satisfied with Quality of Care; however, reported problems relating to prior information provision and appointment co-ordination. For Route B, Availability and Time was a primary source of both satisfaction and dissatisfaction, receiving contradictory qualitative and quantitative responses respectively. Both groups rated Environment and Accessibility and Convenience highly overall, yet these were not a primary determinant of satisfaction. The majority of haematuria patients (82%), expressed a preference to attend a one-stop clinic over several outpatient appointments. Practical recommendations for related service improvements are offered.","author":[{"dropping-particle":"","family":"King","given":"Kathryn E.","non-dropping-particle":"","parse-names":false,"suffix":""}],"container-title":"International Journal of Urological Nursing","id":"ITEM-1","issue":"3","issued":{"date-parts":[["2016"]]},"page":"127-136","title":"Patient Satisfaction in a One-Stop Haematuria clinic and Urology Outpatients: A Comparison of Clinics","type":"article-journal","volume":"10"},"uris":["http://www.mendeley.com/documents/?uuid=ad3d94e9-4442-4997-9d6b-6b31ef1f990e"]}],"mendeley":{"formattedCitation":"(185)","plainTextFormattedCitation":"(185)","previouslyFormattedCitation":"(186)"},"properties":{"noteIndex":0},"schema":"https://github.com/citation-style-language/schema/raw/master/csl-citation.json"}</w:instrText>
      </w:r>
      <w:r w:rsidR="000920FD" w:rsidRPr="004B0BC2">
        <w:rPr>
          <w:rFonts w:cstheme="minorHAnsi"/>
          <w:sz w:val="22"/>
          <w:szCs w:val="22"/>
        </w:rPr>
        <w:fldChar w:fldCharType="separate"/>
      </w:r>
      <w:r w:rsidR="002410DF" w:rsidRPr="002410DF">
        <w:rPr>
          <w:rFonts w:cstheme="minorHAnsi"/>
          <w:noProof/>
          <w:sz w:val="22"/>
          <w:szCs w:val="22"/>
        </w:rPr>
        <w:t>(185)</w:t>
      </w:r>
      <w:r w:rsidR="000920FD" w:rsidRPr="004B0BC2">
        <w:rPr>
          <w:rFonts w:cstheme="minorHAnsi"/>
          <w:sz w:val="22"/>
          <w:szCs w:val="22"/>
        </w:rPr>
        <w:fldChar w:fldCharType="end"/>
      </w:r>
      <w:r w:rsidR="000920FD" w:rsidRPr="004B0BC2">
        <w:rPr>
          <w:rFonts w:cstheme="minorHAnsi"/>
          <w:sz w:val="22"/>
          <w:szCs w:val="22"/>
        </w:rPr>
        <w:fldChar w:fldCharType="begin" w:fldLock="1"/>
      </w:r>
      <w:r w:rsidR="002410DF">
        <w:rPr>
          <w:rFonts w:cstheme="minorHAnsi"/>
          <w:sz w:val="22"/>
          <w:szCs w:val="22"/>
        </w:rPr>
        <w:instrText>ADDIN CSL_CITATION {"citationItems":[{"id":"ITEM-1","itemData":{"DOI":"10.1155/2015/747961","ISSN":"2090-1461","abstract":"Introduction . “See and treat” one-stop clinics (OSCs) are an advocated NHS initiative to modernise care, reducing cancer treatment waiting times. Little studied in plastic surgery, the existing evidence suggests that though they improve care, they are rarely implemented. We present our experience setting up a plastic surgery OSC for minor skin surgery and survey their use across the UK. Methods . The OSC was evaluated by 18-week wait target compliance, measures of departmental capacity, and patient satisfaction. Data was obtained from 32 of the 47 UK plastic surgery departments to investigate the prevalence of OSCs for minor skin cancer surgery. Results . The OSC improved 18-week waiting times, from a noncompliant mean of 80% to a compliant 95% average. Department capacity increased 15%. 95% of patients were highly satisfied with and preferred the OSC to a conventional service. Only 25% of UK plastic surgery units run OSCs, offering varying reasons for not doing so, 42% having not considered their use. Conclusions . OSCs are underutilised within UK plastic surgery, where a significant proportion of units have not even considered their benefit. This is despite associated improvements in waiting times, department capacity, and levels of high patient satisfaction. We offer our considerations and local experience instituting an OSC service.","author":[{"dropping-particle":"","family":"Gorman","given":"Mark","non-dropping-particle":"","parse-names":false,"suffix":""},{"dropping-particle":"","family":"Coelho","given":"James","non-dropping-particle":"","parse-names":false,"suffix":""},{"dropping-particle":"","family":"Gujral","given":"Sameer","non-dropping-particle":"","parse-names":false,"suffix":""},{"dropping-particle":"","family":"McKay","given":"Alastair","non-dropping-particle":"","parse-names":false,"suffix":""}],"container-title":"Plastic Surgery International","id":"ITEM-1","issued":{"date-parts":[["2015"]]},"page":"1-9","title":"One-Stop Clinic Utilization in Plastic Surgery: Our Local Experience and the Results of a UK-Wide National Survey","type":"article-journal","volume":"2015"},"uris":["http://www.mendeley.com/documents/?uuid=98168a49-a69f-46a3-94f8-f487e6bc0ee1"]}],"mendeley":{"formattedCitation":"(186)","plainTextFormattedCitation":"(186)","previouslyFormattedCitation":"(187)"},"properties":{"noteIndex":0},"schema":"https://github.com/citation-style-language/schema/raw/master/csl-citation.json"}</w:instrText>
      </w:r>
      <w:r w:rsidR="000920FD" w:rsidRPr="004B0BC2">
        <w:rPr>
          <w:rFonts w:cstheme="minorHAnsi"/>
          <w:sz w:val="22"/>
          <w:szCs w:val="22"/>
        </w:rPr>
        <w:fldChar w:fldCharType="separate"/>
      </w:r>
      <w:r w:rsidR="002410DF" w:rsidRPr="002410DF">
        <w:rPr>
          <w:rFonts w:cstheme="minorHAnsi"/>
          <w:noProof/>
          <w:sz w:val="22"/>
          <w:szCs w:val="22"/>
        </w:rPr>
        <w:t>(186)</w:t>
      </w:r>
      <w:r w:rsidR="000920FD" w:rsidRPr="004B0BC2">
        <w:rPr>
          <w:rFonts w:cstheme="minorHAnsi"/>
          <w:sz w:val="22"/>
          <w:szCs w:val="22"/>
        </w:rPr>
        <w:fldChar w:fldCharType="end"/>
      </w:r>
      <w:r w:rsidRPr="004B0BC2">
        <w:rPr>
          <w:rFonts w:cstheme="minorHAnsi"/>
          <w:sz w:val="22"/>
          <w:szCs w:val="22"/>
        </w:rPr>
        <w:t>.</w:t>
      </w:r>
      <w:r w:rsidR="00D94F44">
        <w:rPr>
          <w:rFonts w:cstheme="minorHAnsi"/>
          <w:sz w:val="22"/>
          <w:szCs w:val="22"/>
        </w:rPr>
        <w:t xml:space="preserve"> </w:t>
      </w:r>
      <w:r w:rsidR="00343CD7">
        <w:rPr>
          <w:rFonts w:cstheme="minorHAnsi"/>
          <w:sz w:val="22"/>
          <w:szCs w:val="22"/>
        </w:rPr>
        <w:t xml:space="preserve">A study </w:t>
      </w:r>
      <w:r w:rsidR="00DA7B4A">
        <w:rPr>
          <w:rFonts w:cstheme="minorHAnsi"/>
          <w:sz w:val="22"/>
          <w:szCs w:val="22"/>
        </w:rPr>
        <w:t>investigat</w:t>
      </w:r>
      <w:r w:rsidR="00343CD7">
        <w:rPr>
          <w:rFonts w:cstheme="minorHAnsi"/>
          <w:sz w:val="22"/>
          <w:szCs w:val="22"/>
        </w:rPr>
        <w:t>ing</w:t>
      </w:r>
      <w:r w:rsidR="00DA7B4A">
        <w:rPr>
          <w:rFonts w:cstheme="minorHAnsi"/>
          <w:sz w:val="22"/>
          <w:szCs w:val="22"/>
        </w:rPr>
        <w:t xml:space="preserve"> patient experiences with a one</w:t>
      </w:r>
      <w:r w:rsidR="00343CD7">
        <w:rPr>
          <w:rFonts w:cstheme="minorHAnsi"/>
          <w:sz w:val="22"/>
          <w:szCs w:val="22"/>
        </w:rPr>
        <w:t>-</w:t>
      </w:r>
      <w:r w:rsidR="00DA7B4A">
        <w:rPr>
          <w:rFonts w:cstheme="minorHAnsi"/>
          <w:sz w:val="22"/>
          <w:szCs w:val="22"/>
        </w:rPr>
        <w:t xml:space="preserve">stop haematuria clinic and a clinical pathway </w:t>
      </w:r>
      <w:r w:rsidR="00DA7B4A">
        <w:rPr>
          <w:rFonts w:cstheme="minorHAnsi"/>
          <w:sz w:val="22"/>
          <w:szCs w:val="22"/>
        </w:rPr>
        <w:lastRenderedPageBreak/>
        <w:t>containing several visits</w:t>
      </w:r>
      <w:r w:rsidR="00343CD7">
        <w:rPr>
          <w:rFonts w:cstheme="minorHAnsi"/>
          <w:sz w:val="22"/>
          <w:szCs w:val="22"/>
        </w:rPr>
        <w:t xml:space="preserve"> showed high</w:t>
      </w:r>
      <w:r w:rsidR="00DA7B4A">
        <w:rPr>
          <w:rFonts w:cstheme="minorHAnsi"/>
          <w:sz w:val="22"/>
          <w:szCs w:val="22"/>
        </w:rPr>
        <w:t xml:space="preserve"> </w:t>
      </w:r>
      <w:r w:rsidR="00343CD7">
        <w:rPr>
          <w:rFonts w:cstheme="minorHAnsi"/>
          <w:sz w:val="22"/>
          <w:szCs w:val="22"/>
        </w:rPr>
        <w:t>p</w:t>
      </w:r>
      <w:r w:rsidR="00DA7B4A">
        <w:rPr>
          <w:rFonts w:cstheme="minorHAnsi"/>
          <w:sz w:val="22"/>
          <w:szCs w:val="22"/>
        </w:rPr>
        <w:t xml:space="preserve">atient satisfaction </w:t>
      </w:r>
      <w:r w:rsidR="00343CD7">
        <w:rPr>
          <w:rFonts w:cstheme="minorHAnsi"/>
          <w:sz w:val="22"/>
          <w:szCs w:val="22"/>
        </w:rPr>
        <w:t>(</w:t>
      </w:r>
      <w:r w:rsidR="00DA7B4A">
        <w:rPr>
          <w:rFonts w:cstheme="minorHAnsi"/>
          <w:sz w:val="22"/>
          <w:szCs w:val="22"/>
        </w:rPr>
        <w:t>recorded through a questionnaire</w:t>
      </w:r>
      <w:r w:rsidR="00343CD7">
        <w:rPr>
          <w:rFonts w:cstheme="minorHAnsi"/>
          <w:sz w:val="22"/>
          <w:szCs w:val="22"/>
        </w:rPr>
        <w:t xml:space="preserve">), </w:t>
      </w:r>
      <w:r w:rsidR="00DA7B4A">
        <w:rPr>
          <w:rFonts w:cstheme="minorHAnsi"/>
          <w:sz w:val="22"/>
          <w:szCs w:val="22"/>
        </w:rPr>
        <w:t>report</w:t>
      </w:r>
      <w:r w:rsidR="00343CD7">
        <w:rPr>
          <w:rFonts w:cstheme="minorHAnsi"/>
          <w:sz w:val="22"/>
          <w:szCs w:val="22"/>
        </w:rPr>
        <w:t>ing</w:t>
      </w:r>
      <w:r w:rsidR="00DA7B4A">
        <w:rPr>
          <w:rFonts w:cstheme="minorHAnsi"/>
          <w:sz w:val="22"/>
          <w:szCs w:val="22"/>
        </w:rPr>
        <w:t xml:space="preserve"> that 82% of the participants expressed preference for a one-stop clinic model</w:t>
      </w:r>
      <w:r w:rsidR="00DA7B4A" w:rsidRPr="004B0BC2">
        <w:rPr>
          <w:rFonts w:cstheme="minorHAnsi"/>
          <w:sz w:val="22"/>
          <w:szCs w:val="22"/>
        </w:rPr>
        <w:fldChar w:fldCharType="begin" w:fldLock="1"/>
      </w:r>
      <w:r w:rsidR="002410DF">
        <w:rPr>
          <w:rFonts w:cstheme="minorHAnsi"/>
          <w:sz w:val="22"/>
          <w:szCs w:val="22"/>
        </w:rPr>
        <w:instrText>ADDIN CSL_CITATION {"citationItems":[{"id":"ITEM-1","itemData":{"DOI":"10.1111/ijun.12086","ISSN":"1749771X","abstract":"One-stop clinics have shown to improve the patient experience in early diagnosis of potentially life threatening conditions, although this service is less evident in Urology, where morbidity and mortality resulting from bladder cancers are increasing. This study will discuss whether or not one-stop haematuria clinics improve patient satisfaction. A survey analysis comparing patient satisfaction for a one-stop haematuria clinic and a traditional outpatient service was developed, based around the ‘Determinants and Components’ theory. A convenience sample of 102 haematuria patients attending either the one-stop clinic (Route A) or an outpatient clinic within the Urology service (Route B), at an assigned National Health Service hospital, were invited to complete a ‘patient satisfaction’ questionnaire. Data were compared between clinic routes according to the patient satisfaction themes of: Time and Availability, Quality of Care, Environment, Accessibility and Convenience and Global Satisfaction. Response rate was 51%; with overall positive patient satisfaction levels for both clinics. Route A patients were most satisfied with Quality of Care; however, reported problems relating to prior information provision and appointment co-ordination. For Route B, Availability and Time was a primary source of both satisfaction and dissatisfaction, receiving contradictory qualitative and quantitative responses respectively. Both groups rated Environment and Accessibility and Convenience highly overall, yet these were not a primary determinant of satisfaction. The majority of haematuria patients (82%), expressed a preference to attend a one-stop clinic over several outpatient appointments. Practical recommendations for related service improvements are offered.","author":[{"dropping-particle":"","family":"King","given":"Kathryn E.","non-dropping-particle":"","parse-names":false,"suffix":""}],"container-title":"International Journal of Urological Nursing","id":"ITEM-1","issue":"3","issued":{"date-parts":[["2016"]]},"page":"127-136","title":"Patient Satisfaction in a One-Stop Haematuria clinic and Urology Outpatients: A Comparison of Clinics","type":"article-journal","volume":"10"},"uris":["http://www.mendeley.com/documents/?uuid=ad3d94e9-4442-4997-9d6b-6b31ef1f990e"]}],"mendeley":{"formattedCitation":"(185)","plainTextFormattedCitation":"(185)","previouslyFormattedCitation":"(186)"},"properties":{"noteIndex":0},"schema":"https://github.com/citation-style-language/schema/raw/master/csl-citation.json"}</w:instrText>
      </w:r>
      <w:r w:rsidR="00DA7B4A" w:rsidRPr="004B0BC2">
        <w:rPr>
          <w:rFonts w:cstheme="minorHAnsi"/>
          <w:sz w:val="22"/>
          <w:szCs w:val="22"/>
        </w:rPr>
        <w:fldChar w:fldCharType="separate"/>
      </w:r>
      <w:r w:rsidR="002410DF" w:rsidRPr="002410DF">
        <w:rPr>
          <w:rFonts w:cstheme="minorHAnsi"/>
          <w:noProof/>
          <w:sz w:val="22"/>
          <w:szCs w:val="22"/>
        </w:rPr>
        <w:t>(185)</w:t>
      </w:r>
      <w:r w:rsidR="00DA7B4A" w:rsidRPr="004B0BC2">
        <w:rPr>
          <w:rFonts w:cstheme="minorHAnsi"/>
          <w:sz w:val="22"/>
          <w:szCs w:val="22"/>
        </w:rPr>
        <w:fldChar w:fldCharType="end"/>
      </w:r>
      <w:r w:rsidR="00DA7B4A">
        <w:rPr>
          <w:rFonts w:cstheme="minorHAnsi"/>
          <w:sz w:val="22"/>
          <w:szCs w:val="22"/>
        </w:rPr>
        <w:t>.</w:t>
      </w:r>
      <w:r w:rsidR="00480471">
        <w:rPr>
          <w:rFonts w:cstheme="minorHAnsi"/>
          <w:sz w:val="22"/>
          <w:szCs w:val="22"/>
        </w:rPr>
        <w:t xml:space="preserve"> </w:t>
      </w:r>
      <w:r w:rsidR="00343CD7">
        <w:rPr>
          <w:rFonts w:cstheme="minorHAnsi"/>
          <w:sz w:val="22"/>
          <w:szCs w:val="22"/>
        </w:rPr>
        <w:t>A separate study</w:t>
      </w:r>
      <w:r w:rsidR="00693DD5">
        <w:rPr>
          <w:rFonts w:cstheme="minorHAnsi"/>
          <w:sz w:val="22"/>
          <w:szCs w:val="22"/>
        </w:rPr>
        <w:fldChar w:fldCharType="begin" w:fldLock="1"/>
      </w:r>
      <w:r w:rsidR="002410DF">
        <w:rPr>
          <w:rFonts w:cstheme="minorHAnsi"/>
          <w:sz w:val="22"/>
          <w:szCs w:val="22"/>
        </w:rPr>
        <w:instrText>ADDIN CSL_CITATION {"citationItems":[{"id":"ITEM-1","itemData":{"DOI":"10.1155/2015/747961","ISSN":"2090-1461","abstract":"Introduction . “See and treat” one-stop clinics (OSCs) are an advocated NHS initiative to modernise care, reducing cancer treatment waiting times. Little studied in plastic surgery, the existing evidence suggests that though they improve care, they are rarely implemented. We present our experience setting up a plastic surgery OSC for minor skin surgery and survey their use across the UK. Methods . The OSC was evaluated by 18-week wait target compliance, measures of departmental capacity, and patient satisfaction. Data was obtained from 32 of the 47 UK plastic surgery departments to investigate the prevalence of OSCs for minor skin cancer surgery. Results . The OSC improved 18-week waiting times, from a noncompliant mean of 80% to a compliant 95% average. Department capacity increased 15%. 95% of patients were highly satisfied with and preferred the OSC to a conventional service. Only 25% of UK plastic surgery units run OSCs, offering varying reasons for not doing so, 42% having not considered their use. Conclusions . OSCs are underutilised within UK plastic surgery, where a significant proportion of units have not even considered their benefit. This is despite associated improvements in waiting times, department capacity, and levels of high patient satisfaction. We offer our considerations and local experience instituting an OSC service.","author":[{"dropping-particle":"","family":"Gorman","given":"Mark","non-dropping-particle":"","parse-names":false,"suffix":""},{"dropping-particle":"","family":"Coelho","given":"James","non-dropping-particle":"","parse-names":false,"suffix":""},{"dropping-particle":"","family":"Gujral","given":"Sameer","non-dropping-particle":"","parse-names":false,"suffix":""},{"dropping-particle":"","family":"McKay","given":"Alastair","non-dropping-particle":"","parse-names":false,"suffix":""}],"container-title":"Plastic Surgery International","id":"ITEM-1","issued":{"date-parts":[["2015"]]},"page":"1-9","title":"One-Stop Clinic Utilization in Plastic Surgery: Our Local Experience and the Results of a UK-Wide National Survey","type":"article-journal","volume":"2015"},"uris":["http://www.mendeley.com/documents/?uuid=98168a49-a69f-46a3-94f8-f487e6bc0ee1"]}],"mendeley":{"formattedCitation":"(186)","plainTextFormattedCitation":"(186)","previouslyFormattedCitation":"(187)"},"properties":{"noteIndex":0},"schema":"https://github.com/citation-style-language/schema/raw/master/csl-citation.json"}</w:instrText>
      </w:r>
      <w:r w:rsidR="00693DD5">
        <w:rPr>
          <w:rFonts w:cstheme="minorHAnsi"/>
          <w:sz w:val="22"/>
          <w:szCs w:val="22"/>
        </w:rPr>
        <w:fldChar w:fldCharType="separate"/>
      </w:r>
      <w:r w:rsidR="002410DF" w:rsidRPr="002410DF">
        <w:rPr>
          <w:rFonts w:cstheme="minorHAnsi"/>
          <w:noProof/>
          <w:sz w:val="22"/>
          <w:szCs w:val="22"/>
        </w:rPr>
        <w:t>(186)</w:t>
      </w:r>
      <w:r w:rsidR="00693DD5">
        <w:rPr>
          <w:rFonts w:cstheme="minorHAnsi"/>
          <w:sz w:val="22"/>
          <w:szCs w:val="22"/>
        </w:rPr>
        <w:fldChar w:fldCharType="end"/>
      </w:r>
      <w:r w:rsidR="00693DD5">
        <w:rPr>
          <w:rFonts w:cstheme="minorHAnsi"/>
          <w:sz w:val="22"/>
          <w:szCs w:val="22"/>
        </w:rPr>
        <w:t xml:space="preserve"> investigated the effects of a one</w:t>
      </w:r>
      <w:r w:rsidR="00343CD7">
        <w:rPr>
          <w:rFonts w:cstheme="minorHAnsi"/>
          <w:sz w:val="22"/>
          <w:szCs w:val="22"/>
        </w:rPr>
        <w:t>-</w:t>
      </w:r>
      <w:r w:rsidR="00693DD5">
        <w:rPr>
          <w:rFonts w:cstheme="minorHAnsi"/>
          <w:sz w:val="22"/>
          <w:szCs w:val="22"/>
        </w:rPr>
        <w:t>stop clinic for minor skin surgery in 32 UK plastic surgery departments</w:t>
      </w:r>
      <w:r w:rsidR="00343CD7">
        <w:rPr>
          <w:rFonts w:cstheme="minorHAnsi"/>
          <w:sz w:val="22"/>
          <w:szCs w:val="22"/>
        </w:rPr>
        <w:t>,</w:t>
      </w:r>
      <w:r w:rsidR="00693DD5">
        <w:rPr>
          <w:rFonts w:cstheme="minorHAnsi"/>
          <w:sz w:val="22"/>
          <w:szCs w:val="22"/>
        </w:rPr>
        <w:t xml:space="preserve"> report</w:t>
      </w:r>
      <w:r w:rsidR="00343CD7">
        <w:rPr>
          <w:rFonts w:cstheme="minorHAnsi"/>
          <w:sz w:val="22"/>
          <w:szCs w:val="22"/>
        </w:rPr>
        <w:t>ing</w:t>
      </w:r>
      <w:r w:rsidR="00693DD5">
        <w:rPr>
          <w:rFonts w:cstheme="minorHAnsi"/>
          <w:sz w:val="22"/>
          <w:szCs w:val="22"/>
        </w:rPr>
        <w:t xml:space="preserve"> that the use of one</w:t>
      </w:r>
      <w:r w:rsidR="00343CD7">
        <w:rPr>
          <w:rFonts w:cstheme="minorHAnsi"/>
          <w:sz w:val="22"/>
          <w:szCs w:val="22"/>
        </w:rPr>
        <w:t>-</w:t>
      </w:r>
      <w:r w:rsidR="00693DD5">
        <w:rPr>
          <w:rFonts w:cstheme="minorHAnsi"/>
          <w:sz w:val="22"/>
          <w:szCs w:val="22"/>
        </w:rPr>
        <w:t>stop clinics was associated with a higher degree of patient satisfaction (95% v</w:t>
      </w:r>
      <w:r w:rsidR="00343CD7">
        <w:rPr>
          <w:rFonts w:cstheme="minorHAnsi"/>
          <w:sz w:val="22"/>
          <w:szCs w:val="22"/>
        </w:rPr>
        <w:t>ersu</w:t>
      </w:r>
      <w:r w:rsidR="00693DD5">
        <w:rPr>
          <w:rFonts w:cstheme="minorHAnsi"/>
          <w:sz w:val="22"/>
          <w:szCs w:val="22"/>
        </w:rPr>
        <w:t xml:space="preserve">s 72%) </w:t>
      </w:r>
      <w:r w:rsidR="00343CD7">
        <w:rPr>
          <w:rFonts w:cstheme="minorHAnsi"/>
          <w:sz w:val="22"/>
          <w:szCs w:val="22"/>
        </w:rPr>
        <w:t xml:space="preserve">than conventional pathways </w:t>
      </w:r>
      <w:r w:rsidR="00693DD5">
        <w:rPr>
          <w:rFonts w:cstheme="minorHAnsi"/>
          <w:sz w:val="22"/>
          <w:szCs w:val="22"/>
        </w:rPr>
        <w:t>and improved 18-week waiting time targets compliance (95% v</w:t>
      </w:r>
      <w:r w:rsidR="00343CD7">
        <w:rPr>
          <w:rFonts w:cstheme="minorHAnsi"/>
          <w:sz w:val="22"/>
          <w:szCs w:val="22"/>
        </w:rPr>
        <w:t>ersu</w:t>
      </w:r>
      <w:r w:rsidR="00693DD5">
        <w:rPr>
          <w:rFonts w:cstheme="minorHAnsi"/>
          <w:sz w:val="22"/>
          <w:szCs w:val="22"/>
        </w:rPr>
        <w:t xml:space="preserve">s 85%). </w:t>
      </w:r>
    </w:p>
    <w:p w14:paraId="48E63C76" w14:textId="74F92609" w:rsidR="00693DD5" w:rsidRDefault="00343CD7" w:rsidP="00B66369">
      <w:pPr>
        <w:pStyle w:val="NoSpacing"/>
        <w:spacing w:line="480" w:lineRule="auto"/>
        <w:rPr>
          <w:rFonts w:cstheme="minorHAnsi"/>
          <w:sz w:val="22"/>
          <w:szCs w:val="22"/>
        </w:rPr>
      </w:pPr>
      <w:r>
        <w:rPr>
          <w:rFonts w:cstheme="minorHAnsi"/>
          <w:sz w:val="22"/>
          <w:szCs w:val="22"/>
        </w:rPr>
        <w:t>Thus</w:t>
      </w:r>
      <w:r w:rsidR="00693DD5">
        <w:rPr>
          <w:rFonts w:cstheme="minorHAnsi"/>
          <w:sz w:val="22"/>
          <w:szCs w:val="22"/>
        </w:rPr>
        <w:t>, one</w:t>
      </w:r>
      <w:r>
        <w:rPr>
          <w:rFonts w:cstheme="minorHAnsi"/>
          <w:sz w:val="22"/>
          <w:szCs w:val="22"/>
        </w:rPr>
        <w:t>-</w:t>
      </w:r>
      <w:r w:rsidR="00693DD5">
        <w:rPr>
          <w:rFonts w:cstheme="minorHAnsi"/>
          <w:sz w:val="22"/>
          <w:szCs w:val="22"/>
        </w:rPr>
        <w:t xml:space="preserve">stop men’s health clinics might improve patient satisfaction and male </w:t>
      </w:r>
      <w:r>
        <w:rPr>
          <w:rFonts w:cstheme="minorHAnsi"/>
          <w:sz w:val="22"/>
          <w:szCs w:val="22"/>
        </w:rPr>
        <w:t xml:space="preserve">uptake </w:t>
      </w:r>
      <w:r w:rsidR="00693DD5">
        <w:rPr>
          <w:rFonts w:cstheme="minorHAnsi"/>
          <w:sz w:val="22"/>
          <w:szCs w:val="22"/>
        </w:rPr>
        <w:t>of health</w:t>
      </w:r>
      <w:r>
        <w:rPr>
          <w:rFonts w:cstheme="minorHAnsi"/>
          <w:sz w:val="22"/>
          <w:szCs w:val="22"/>
        </w:rPr>
        <w:t>-</w:t>
      </w:r>
      <w:r w:rsidR="00693DD5">
        <w:rPr>
          <w:rFonts w:cstheme="minorHAnsi"/>
          <w:sz w:val="22"/>
          <w:szCs w:val="22"/>
        </w:rPr>
        <w:t>care services.</w:t>
      </w:r>
    </w:p>
    <w:p w14:paraId="6101A58A" w14:textId="43567CF7" w:rsidR="007D3ABD" w:rsidRPr="004B0BC2" w:rsidRDefault="007D3ABD" w:rsidP="00B66369">
      <w:pPr>
        <w:pStyle w:val="NoSpacing"/>
        <w:spacing w:line="480" w:lineRule="auto"/>
        <w:rPr>
          <w:rFonts w:cstheme="minorHAnsi"/>
          <w:sz w:val="22"/>
          <w:szCs w:val="22"/>
        </w:rPr>
      </w:pPr>
    </w:p>
    <w:p w14:paraId="529F3A4A" w14:textId="2C0DDB6F" w:rsidR="005B5078" w:rsidRPr="004B0BC2" w:rsidRDefault="00D94F44" w:rsidP="00B66369">
      <w:pPr>
        <w:pStyle w:val="NoSpacing"/>
        <w:spacing w:line="480" w:lineRule="auto"/>
        <w:rPr>
          <w:rFonts w:cstheme="minorHAnsi"/>
          <w:i/>
          <w:iCs/>
          <w:sz w:val="22"/>
          <w:szCs w:val="22"/>
        </w:rPr>
      </w:pPr>
      <w:r>
        <w:rPr>
          <w:rFonts w:cstheme="minorHAnsi"/>
          <w:i/>
          <w:iCs/>
          <w:sz w:val="22"/>
          <w:szCs w:val="22"/>
        </w:rPr>
        <w:t>[H2]</w:t>
      </w:r>
      <w:r w:rsidR="005B5078" w:rsidRPr="004B0BC2">
        <w:rPr>
          <w:rFonts w:cstheme="minorHAnsi"/>
          <w:i/>
          <w:iCs/>
          <w:sz w:val="22"/>
          <w:szCs w:val="22"/>
        </w:rPr>
        <w:t xml:space="preserve">COVID-19 as an opportunity </w:t>
      </w:r>
    </w:p>
    <w:p w14:paraId="12D902A4" w14:textId="5B6EFC67" w:rsidR="004D20B7" w:rsidRDefault="002066C6" w:rsidP="001C26F0">
      <w:pPr>
        <w:spacing w:line="480" w:lineRule="auto"/>
        <w:rPr>
          <w:rFonts w:asciiTheme="minorHAnsi" w:hAnsiTheme="minorHAnsi" w:cstheme="minorHAnsi"/>
          <w:sz w:val="22"/>
          <w:szCs w:val="22"/>
        </w:rPr>
      </w:pPr>
      <w:r w:rsidRPr="004B0BC2">
        <w:rPr>
          <w:rFonts w:asciiTheme="minorHAnsi" w:hAnsiTheme="minorHAnsi" w:cstheme="minorHAnsi"/>
          <w:sz w:val="22"/>
          <w:szCs w:val="22"/>
        </w:rPr>
        <w:t>The</w:t>
      </w:r>
      <w:r w:rsidR="006D18D2" w:rsidRPr="004B0BC2">
        <w:rPr>
          <w:rFonts w:asciiTheme="minorHAnsi" w:hAnsiTheme="minorHAnsi" w:cstheme="minorHAnsi"/>
          <w:sz w:val="22"/>
          <w:szCs w:val="22"/>
        </w:rPr>
        <w:t xml:space="preserve"> COVID-19</w:t>
      </w:r>
      <w:r w:rsidRPr="004B0BC2">
        <w:rPr>
          <w:rFonts w:asciiTheme="minorHAnsi" w:hAnsiTheme="minorHAnsi" w:cstheme="minorHAnsi"/>
          <w:sz w:val="22"/>
          <w:szCs w:val="22"/>
        </w:rPr>
        <w:t xml:space="preserve"> pandemic has forced</w:t>
      </w:r>
      <w:r w:rsidR="00440D3D" w:rsidRPr="004B0BC2">
        <w:rPr>
          <w:rFonts w:asciiTheme="minorHAnsi" w:hAnsiTheme="minorHAnsi" w:cstheme="minorHAnsi"/>
          <w:sz w:val="22"/>
          <w:szCs w:val="22"/>
        </w:rPr>
        <w:t xml:space="preserve"> </w:t>
      </w:r>
      <w:r w:rsidR="007A2D36" w:rsidRPr="004B0BC2">
        <w:rPr>
          <w:rFonts w:asciiTheme="minorHAnsi" w:hAnsiTheme="minorHAnsi" w:cstheme="minorHAnsi"/>
          <w:sz w:val="22"/>
          <w:szCs w:val="22"/>
        </w:rPr>
        <w:t>rationalisation and</w:t>
      </w:r>
      <w:r w:rsidRPr="004B0BC2">
        <w:rPr>
          <w:rFonts w:asciiTheme="minorHAnsi" w:hAnsiTheme="minorHAnsi" w:cstheme="minorHAnsi"/>
          <w:sz w:val="22"/>
          <w:szCs w:val="22"/>
        </w:rPr>
        <w:t xml:space="preserve"> prioritisation of clinical services</w:t>
      </w:r>
      <w:r w:rsidR="00C825E0" w:rsidRPr="004B0BC2">
        <w:rPr>
          <w:rFonts w:asciiTheme="minorHAnsi" w:hAnsiTheme="minorHAnsi" w:cstheme="minorHAnsi"/>
          <w:sz w:val="22"/>
          <w:szCs w:val="22"/>
        </w:rPr>
        <w:t xml:space="preserve">. </w:t>
      </w:r>
      <w:r w:rsidR="00D94F44">
        <w:rPr>
          <w:rFonts w:asciiTheme="minorHAnsi" w:hAnsiTheme="minorHAnsi" w:cstheme="minorHAnsi"/>
          <w:sz w:val="22"/>
          <w:szCs w:val="22"/>
        </w:rPr>
        <w:t>E</w:t>
      </w:r>
      <w:r w:rsidR="00C825E0" w:rsidRPr="004B0BC2">
        <w:rPr>
          <w:rFonts w:asciiTheme="minorHAnsi" w:hAnsiTheme="minorHAnsi" w:cstheme="minorHAnsi"/>
          <w:sz w:val="22"/>
          <w:szCs w:val="22"/>
        </w:rPr>
        <w:t>lective surgical output ha</w:t>
      </w:r>
      <w:r w:rsidR="00D94F44">
        <w:rPr>
          <w:rFonts w:asciiTheme="minorHAnsi" w:hAnsiTheme="minorHAnsi" w:cstheme="minorHAnsi"/>
          <w:sz w:val="22"/>
          <w:szCs w:val="22"/>
        </w:rPr>
        <w:t>s</w:t>
      </w:r>
      <w:r w:rsidR="00C825E0" w:rsidRPr="004B0BC2">
        <w:rPr>
          <w:rFonts w:asciiTheme="minorHAnsi" w:hAnsiTheme="minorHAnsi" w:cstheme="minorHAnsi"/>
          <w:sz w:val="22"/>
          <w:szCs w:val="22"/>
        </w:rPr>
        <w:t xml:space="preserve"> been universally reduced</w:t>
      </w:r>
      <w:r w:rsidR="00D94F44">
        <w:rPr>
          <w:rFonts w:asciiTheme="minorHAnsi" w:hAnsiTheme="minorHAnsi" w:cstheme="minorHAnsi"/>
          <w:sz w:val="22"/>
          <w:szCs w:val="22"/>
        </w:rPr>
        <w:t>,</w:t>
      </w:r>
      <w:r w:rsidR="00C825E0" w:rsidRPr="004B0BC2">
        <w:rPr>
          <w:rFonts w:asciiTheme="minorHAnsi" w:hAnsiTheme="minorHAnsi" w:cstheme="minorHAnsi"/>
          <w:sz w:val="22"/>
          <w:szCs w:val="22"/>
        </w:rPr>
        <w:t xml:space="preserve"> with a focus on oncological operations and life-saving surgery.</w:t>
      </w:r>
      <w:r w:rsidR="00D94F44">
        <w:rPr>
          <w:rFonts w:asciiTheme="minorHAnsi" w:hAnsiTheme="minorHAnsi" w:cstheme="minorHAnsi"/>
          <w:sz w:val="22"/>
          <w:szCs w:val="22"/>
        </w:rPr>
        <w:t xml:space="preserve"> A description of the </w:t>
      </w:r>
      <w:r w:rsidR="00C825E0" w:rsidRPr="004B0BC2">
        <w:rPr>
          <w:rFonts w:asciiTheme="minorHAnsi" w:hAnsiTheme="minorHAnsi" w:cstheme="minorHAnsi"/>
          <w:sz w:val="22"/>
          <w:szCs w:val="22"/>
        </w:rPr>
        <w:t>activities of the urological department in Bergamo Hospital, Italy</w:t>
      </w:r>
      <w:r w:rsidR="00D94F44">
        <w:rPr>
          <w:rFonts w:asciiTheme="minorHAnsi" w:hAnsiTheme="minorHAnsi" w:cstheme="minorHAnsi"/>
          <w:sz w:val="22"/>
          <w:szCs w:val="22"/>
        </w:rPr>
        <w:t>, at the beginning of the pandemic</w:t>
      </w:r>
      <w:r w:rsidR="00C825E0" w:rsidRPr="004B0BC2">
        <w:rPr>
          <w:rFonts w:asciiTheme="minorHAnsi" w:hAnsiTheme="minorHAnsi" w:cstheme="minorHAnsi"/>
          <w:sz w:val="22"/>
          <w:szCs w:val="22"/>
        </w:rPr>
        <w:t xml:space="preserve"> highlighted that</w:t>
      </w:r>
      <w:r w:rsidR="00D94F44">
        <w:rPr>
          <w:rFonts w:asciiTheme="minorHAnsi" w:hAnsiTheme="minorHAnsi" w:cstheme="minorHAnsi"/>
          <w:sz w:val="22"/>
          <w:szCs w:val="22"/>
        </w:rPr>
        <w:t>,</w:t>
      </w:r>
      <w:r w:rsidR="00C825E0" w:rsidRPr="004B0BC2">
        <w:rPr>
          <w:rFonts w:asciiTheme="minorHAnsi" w:hAnsiTheme="minorHAnsi" w:cstheme="minorHAnsi"/>
          <w:sz w:val="22"/>
          <w:szCs w:val="22"/>
        </w:rPr>
        <w:t xml:space="preserve"> in March 2020</w:t>
      </w:r>
      <w:r w:rsidR="00D94F44">
        <w:rPr>
          <w:rFonts w:asciiTheme="minorHAnsi" w:hAnsiTheme="minorHAnsi" w:cstheme="minorHAnsi"/>
          <w:sz w:val="22"/>
          <w:szCs w:val="22"/>
        </w:rPr>
        <w:t>,</w:t>
      </w:r>
      <w:r w:rsidR="00C825E0" w:rsidRPr="004B0BC2">
        <w:rPr>
          <w:rFonts w:asciiTheme="minorHAnsi" w:hAnsiTheme="minorHAnsi" w:cstheme="minorHAnsi"/>
          <w:sz w:val="22"/>
          <w:szCs w:val="22"/>
        </w:rPr>
        <w:t xml:space="preserve"> the operating capacity was reduced to 15% of the normal activity and focused </w:t>
      </w:r>
      <w:r w:rsidR="00D94F44">
        <w:rPr>
          <w:rFonts w:asciiTheme="minorHAnsi" w:hAnsiTheme="minorHAnsi" w:cstheme="minorHAnsi"/>
          <w:sz w:val="22"/>
          <w:szCs w:val="22"/>
        </w:rPr>
        <w:t xml:space="preserve">solely </w:t>
      </w:r>
      <w:r w:rsidR="00C825E0" w:rsidRPr="004B0BC2">
        <w:rPr>
          <w:rFonts w:asciiTheme="minorHAnsi" w:hAnsiTheme="minorHAnsi" w:cstheme="minorHAnsi"/>
          <w:sz w:val="22"/>
          <w:szCs w:val="22"/>
        </w:rPr>
        <w:t xml:space="preserve">on oncological </w:t>
      </w:r>
      <w:r w:rsidR="00C0488D" w:rsidRPr="004B0BC2">
        <w:rPr>
          <w:rFonts w:asciiTheme="minorHAnsi" w:hAnsiTheme="minorHAnsi" w:cstheme="minorHAnsi"/>
          <w:sz w:val="22"/>
          <w:szCs w:val="22"/>
        </w:rPr>
        <w:t xml:space="preserve">and emergency procedures. </w:t>
      </w:r>
      <w:r w:rsidR="00C825E0" w:rsidRPr="004B0BC2">
        <w:rPr>
          <w:rFonts w:asciiTheme="minorHAnsi" w:hAnsiTheme="minorHAnsi" w:cstheme="minorHAnsi"/>
          <w:sz w:val="22"/>
          <w:szCs w:val="22"/>
        </w:rPr>
        <w:t>Moreover, 30% of the urological staff were redeployed to care for COVID-19 patients and</w:t>
      </w:r>
      <w:r w:rsidR="00D94F44">
        <w:rPr>
          <w:rFonts w:asciiTheme="minorHAnsi" w:hAnsiTheme="minorHAnsi" w:cstheme="minorHAnsi"/>
          <w:sz w:val="22"/>
          <w:szCs w:val="22"/>
        </w:rPr>
        <w:t xml:space="preserve"> 7 of the 13 urologists remaining</w:t>
      </w:r>
      <w:r w:rsidR="00C825E0" w:rsidRPr="004B0BC2">
        <w:rPr>
          <w:rFonts w:asciiTheme="minorHAnsi" w:hAnsiTheme="minorHAnsi" w:cstheme="minorHAnsi"/>
          <w:sz w:val="22"/>
          <w:szCs w:val="22"/>
        </w:rPr>
        <w:t xml:space="preserve"> were self-isolating</w:t>
      </w:r>
      <w:r w:rsidR="00D94F44"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10.1038/s41585-020-0312-1","ISSN":"17594820","PMID":"32203310","author":[{"dropping-particle":"","family":"Naspro","given":"Richard","non-dropping-particle":"","parse-names":false,"suffix":""},{"dropping-particle":"","family":"Pozzo","given":"Luigi F.","non-dropping-particle":"Da","parse-names":false,"suffix":""}],"container-title":"Nature Reviews Urology","id":"ITEM-1","issued":{"date-parts":[["2020"]]},"page":"251–253","title":"Urology in the time of corona","type":"article-journal","volume":"17"},"uris":["http://www.mendeley.com/documents/?uuid=90bc3729-bfdd-48a1-b99b-a2a4fcde540d"]}],"mendeley":{"formattedCitation":"(187)","plainTextFormattedCitation":"(187)","previouslyFormattedCitation":"(188)"},"properties":{"noteIndex":0},"schema":"https://github.com/citation-style-language/schema/raw/master/csl-citation.json"}</w:instrText>
      </w:r>
      <w:r w:rsidR="00D94F44" w:rsidRPr="004B0BC2">
        <w:rPr>
          <w:rFonts w:asciiTheme="minorHAnsi" w:hAnsiTheme="minorHAnsi" w:cstheme="minorHAnsi"/>
          <w:sz w:val="22"/>
          <w:szCs w:val="22"/>
        </w:rPr>
        <w:fldChar w:fldCharType="separate"/>
      </w:r>
      <w:r w:rsidR="002410DF" w:rsidRPr="002410DF">
        <w:rPr>
          <w:rFonts w:asciiTheme="minorHAnsi" w:hAnsiTheme="minorHAnsi" w:cstheme="minorHAnsi"/>
          <w:noProof/>
          <w:sz w:val="22"/>
          <w:szCs w:val="22"/>
        </w:rPr>
        <w:t>(187)</w:t>
      </w:r>
      <w:r w:rsidR="00D94F44" w:rsidRPr="004B0BC2">
        <w:rPr>
          <w:rFonts w:asciiTheme="minorHAnsi" w:hAnsiTheme="minorHAnsi" w:cstheme="minorHAnsi"/>
          <w:sz w:val="22"/>
          <w:szCs w:val="22"/>
        </w:rPr>
        <w:fldChar w:fldCharType="end"/>
      </w:r>
      <w:r w:rsidR="00C825E0" w:rsidRPr="004B0BC2">
        <w:rPr>
          <w:rFonts w:asciiTheme="minorHAnsi" w:hAnsiTheme="minorHAnsi" w:cstheme="minorHAnsi"/>
          <w:sz w:val="22"/>
          <w:szCs w:val="22"/>
        </w:rPr>
        <w:t>.</w:t>
      </w:r>
      <w:r w:rsidR="003C11E1">
        <w:rPr>
          <w:rFonts w:asciiTheme="minorHAnsi" w:hAnsiTheme="minorHAnsi" w:cstheme="minorHAnsi"/>
          <w:sz w:val="22"/>
          <w:szCs w:val="22"/>
        </w:rPr>
        <w:t xml:space="preserve"> </w:t>
      </w:r>
      <w:r w:rsidR="00C825E0" w:rsidRPr="004B0BC2">
        <w:rPr>
          <w:rFonts w:asciiTheme="minorHAnsi" w:hAnsiTheme="minorHAnsi" w:cstheme="minorHAnsi"/>
          <w:sz w:val="22"/>
          <w:szCs w:val="22"/>
        </w:rPr>
        <w:t xml:space="preserve">This </w:t>
      </w:r>
      <w:r w:rsidR="00D94F44">
        <w:rPr>
          <w:rFonts w:asciiTheme="minorHAnsi" w:hAnsiTheme="minorHAnsi" w:cstheme="minorHAnsi"/>
          <w:sz w:val="22"/>
          <w:szCs w:val="22"/>
        </w:rPr>
        <w:t xml:space="preserve">report </w:t>
      </w:r>
      <w:r w:rsidR="00C825E0" w:rsidRPr="004B0BC2">
        <w:rPr>
          <w:rFonts w:asciiTheme="minorHAnsi" w:hAnsiTheme="minorHAnsi" w:cstheme="minorHAnsi"/>
          <w:sz w:val="22"/>
          <w:szCs w:val="22"/>
        </w:rPr>
        <w:t xml:space="preserve">highlights the challenges presented </w:t>
      </w:r>
      <w:r w:rsidR="00D94F44">
        <w:rPr>
          <w:rFonts w:asciiTheme="minorHAnsi" w:hAnsiTheme="minorHAnsi" w:cstheme="minorHAnsi"/>
          <w:sz w:val="22"/>
          <w:szCs w:val="22"/>
        </w:rPr>
        <w:t xml:space="preserve">by </w:t>
      </w:r>
      <w:r w:rsidR="00C825E0" w:rsidRPr="004B0BC2">
        <w:rPr>
          <w:rFonts w:asciiTheme="minorHAnsi" w:hAnsiTheme="minorHAnsi" w:cstheme="minorHAnsi"/>
          <w:sz w:val="22"/>
          <w:szCs w:val="22"/>
        </w:rPr>
        <w:t>the COVID-19 pandemi</w:t>
      </w:r>
      <w:r w:rsidR="00D94F44">
        <w:rPr>
          <w:rFonts w:asciiTheme="minorHAnsi" w:hAnsiTheme="minorHAnsi" w:cstheme="minorHAnsi"/>
          <w:sz w:val="22"/>
          <w:szCs w:val="22"/>
        </w:rPr>
        <w:t xml:space="preserve">c, </w:t>
      </w:r>
      <w:r w:rsidR="00C825E0" w:rsidRPr="004B0BC2">
        <w:rPr>
          <w:rFonts w:asciiTheme="minorHAnsi" w:hAnsiTheme="minorHAnsi" w:cstheme="minorHAnsi"/>
          <w:sz w:val="22"/>
          <w:szCs w:val="22"/>
        </w:rPr>
        <w:t xml:space="preserve">both in terms of service provision and retention of the workforce. </w:t>
      </w:r>
      <w:r w:rsidR="00D94F44">
        <w:rPr>
          <w:rFonts w:asciiTheme="minorHAnsi" w:hAnsiTheme="minorHAnsi" w:cstheme="minorHAnsi"/>
          <w:sz w:val="22"/>
          <w:szCs w:val="22"/>
        </w:rPr>
        <w:t>Notably,</w:t>
      </w:r>
      <w:r w:rsidR="00C825E0" w:rsidRPr="004B0BC2">
        <w:rPr>
          <w:rFonts w:asciiTheme="minorHAnsi" w:hAnsiTheme="minorHAnsi" w:cstheme="minorHAnsi"/>
          <w:sz w:val="22"/>
          <w:szCs w:val="22"/>
        </w:rPr>
        <w:t xml:space="preserve"> </w:t>
      </w:r>
      <w:r w:rsidR="00D94F44">
        <w:rPr>
          <w:rFonts w:asciiTheme="minorHAnsi" w:hAnsiTheme="minorHAnsi" w:cstheme="minorHAnsi"/>
          <w:sz w:val="22"/>
          <w:szCs w:val="22"/>
        </w:rPr>
        <w:t xml:space="preserve">specific </w:t>
      </w:r>
      <w:r w:rsidR="00C825E0" w:rsidRPr="004B0BC2">
        <w:rPr>
          <w:rFonts w:asciiTheme="minorHAnsi" w:hAnsiTheme="minorHAnsi" w:cstheme="minorHAnsi"/>
          <w:sz w:val="22"/>
          <w:szCs w:val="22"/>
        </w:rPr>
        <w:t xml:space="preserve">recommendations </w:t>
      </w:r>
      <w:r w:rsidR="00D94F44">
        <w:rPr>
          <w:rFonts w:asciiTheme="minorHAnsi" w:hAnsiTheme="minorHAnsi" w:cstheme="minorHAnsi"/>
          <w:sz w:val="22"/>
          <w:szCs w:val="22"/>
        </w:rPr>
        <w:t xml:space="preserve">from </w:t>
      </w:r>
      <w:r w:rsidR="00C825E0" w:rsidRPr="004B0BC2">
        <w:rPr>
          <w:rFonts w:asciiTheme="minorHAnsi" w:hAnsiTheme="minorHAnsi" w:cstheme="minorHAnsi"/>
          <w:sz w:val="22"/>
          <w:szCs w:val="22"/>
        </w:rPr>
        <w:t xml:space="preserve">the </w:t>
      </w:r>
      <w:r w:rsidR="008F6F6F">
        <w:rPr>
          <w:rFonts w:asciiTheme="minorHAnsi" w:hAnsiTheme="minorHAnsi" w:cstheme="minorHAnsi"/>
          <w:sz w:val="22"/>
          <w:szCs w:val="22"/>
        </w:rPr>
        <w:t>European Association of Urology (</w:t>
      </w:r>
      <w:r w:rsidR="00C825E0" w:rsidRPr="004B0BC2">
        <w:rPr>
          <w:rFonts w:asciiTheme="minorHAnsi" w:hAnsiTheme="minorHAnsi" w:cstheme="minorHAnsi"/>
          <w:sz w:val="22"/>
          <w:szCs w:val="22"/>
        </w:rPr>
        <w:t>EAU</w:t>
      </w:r>
      <w:r w:rsidR="008F6F6F">
        <w:rPr>
          <w:rFonts w:asciiTheme="minorHAnsi" w:hAnsiTheme="minorHAnsi" w:cstheme="minorHAnsi"/>
          <w:sz w:val="22"/>
          <w:szCs w:val="22"/>
        </w:rPr>
        <w:t>)</w:t>
      </w:r>
      <w:r w:rsidR="00D94F44">
        <w:rPr>
          <w:rFonts w:asciiTheme="minorHAnsi" w:hAnsiTheme="minorHAnsi" w:cstheme="minorHAnsi"/>
          <w:sz w:val="22"/>
          <w:szCs w:val="22"/>
        </w:rPr>
        <w:t xml:space="preserve"> focussed on response to the coronavirus pandemic</w:t>
      </w:r>
      <w:r w:rsidR="00C825E0" w:rsidRPr="004B0BC2">
        <w:rPr>
          <w:rFonts w:asciiTheme="minorHAnsi" w:hAnsiTheme="minorHAnsi" w:cstheme="minorHAnsi"/>
          <w:sz w:val="22"/>
          <w:szCs w:val="22"/>
        </w:rPr>
        <w:t xml:space="preserve"> have categorised</w:t>
      </w:r>
      <w:r w:rsidR="00B66369" w:rsidRPr="004B0BC2">
        <w:rPr>
          <w:rFonts w:asciiTheme="minorHAnsi" w:hAnsiTheme="minorHAnsi" w:cstheme="minorHAnsi"/>
          <w:sz w:val="22"/>
          <w:szCs w:val="22"/>
        </w:rPr>
        <w:t xml:space="preserve"> the</w:t>
      </w:r>
      <w:r w:rsidR="00C825E0" w:rsidRPr="004B0BC2">
        <w:rPr>
          <w:rFonts w:asciiTheme="minorHAnsi" w:hAnsiTheme="minorHAnsi" w:cstheme="minorHAnsi"/>
          <w:sz w:val="22"/>
          <w:szCs w:val="22"/>
        </w:rPr>
        <w:t xml:space="preserve"> </w:t>
      </w:r>
      <w:r w:rsidR="000920FD" w:rsidRPr="004B0BC2">
        <w:rPr>
          <w:rFonts w:asciiTheme="minorHAnsi" w:hAnsiTheme="minorHAnsi" w:cstheme="minorHAnsi"/>
          <w:sz w:val="22"/>
          <w:szCs w:val="22"/>
        </w:rPr>
        <w:t xml:space="preserve">overall </w:t>
      </w:r>
      <w:r w:rsidR="00C825E0" w:rsidRPr="004B0BC2">
        <w:rPr>
          <w:rFonts w:asciiTheme="minorHAnsi" w:hAnsiTheme="minorHAnsi" w:cstheme="minorHAnsi"/>
          <w:sz w:val="22"/>
          <w:szCs w:val="22"/>
        </w:rPr>
        <w:t xml:space="preserve">management of sexual health and </w:t>
      </w:r>
      <w:r w:rsidR="00D94F44">
        <w:rPr>
          <w:rFonts w:asciiTheme="minorHAnsi" w:hAnsiTheme="minorHAnsi" w:cstheme="minorHAnsi"/>
          <w:sz w:val="22"/>
          <w:szCs w:val="22"/>
        </w:rPr>
        <w:t>ED</w:t>
      </w:r>
      <w:r w:rsidR="00C825E0" w:rsidRPr="004B0BC2">
        <w:rPr>
          <w:rFonts w:asciiTheme="minorHAnsi" w:hAnsiTheme="minorHAnsi" w:cstheme="minorHAnsi"/>
          <w:sz w:val="22"/>
          <w:szCs w:val="22"/>
        </w:rPr>
        <w:t xml:space="preserve"> in the COVID-19 period as low priority</w:t>
      </w:r>
      <w:r w:rsidR="00F742F7"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{"citationItems":[{"id":"ITEM-1","itemData":{"DOI":"10.1016/j.eururo.2020.04.056","ISSN":"18737560","PMID":"32376137","abstract":"The coronavirus disease 2019 (COVID-19) pandemic is unlike anything seen before by modern science-based medicine. Health systems across the world are struggling to manage it. Added to this struggle are the effects of social confinement and isolation. This brings into question whether the latest guidelines are relevant in this crisis. We aim to support urologists in this difficult situation by providing tools that can facilitate decision making, and to minimise the impact and risks for both patients and health professionals delivering urological care, whenever possible. We hope that the revised recommendations will assist urologist surgeons across the globe to guide the management of urological conditions during the current COVID-19 pandemic.","author":[{"dropping-particle":"","family":"Ribal","given":"Maria J.","non-dropping-particle":"","parse-names":false,"suffix":""},{"dropping-particle":"","family":"Cornford","given":"Philip","non-dropping-particle":"","parse-names":false,"suffix":""},{"dropping-particle":"","family":"Briganti","given":"Alberto","non-dropping-particle":"","parse-names":false,"suffix":""},{"dropping-particle":"","family":"Knoll","given":"Thomas","non-dropping-particle":"","parse-names":false,"suffix":""},{"dropping-particle":"","family":"Gravas","given":"Stavros","non-dropping-particle":"","parse-names":false,"suffix":""},{"dropping-particle":"","family":"Babjuk","given":"Marek","non-dropping-particle":"","parse-names":false,"suffix":""},{"dropping-particle":"","family":"Harding","given":"Christopher","non-dropping-particle":"","parse-names":false,"suffix":""},{"dropping-particle":"","family":"Breda","given":"Alberto","non-dropping-particle":"","parse-names":false,"suffix":""},{"dropping-particle":"","family":"Bex","given":"Axel","non-dropping-particle":"","parse-names":false,"suffix":""},{"dropping-particle":"","family":"Rassweiler","given":"Jens J.","non-dropping-particle":"","parse-names":false,"suffix":""},{"dropping-particle":"","family":"Gözen","given":"Ali S.","non-dropping-particle":"","parse-names":false,"suffix":""},{"dropping-particle":"","family":"Pini","given":"Giovannalberto","non-dropping-particle":"","parse-names":false,"suffix":""},{"dropping-particle":"","family":"Liatsikos","given":"Evangelos","non-dropping-particle":"","parse-names":false,"suffix":""},{"dropping-particle":"","family":"Giannarini","given":"Gianluca","non-dropping-particle":"","parse-names":false,"suffix":""},{"dropping-particle":"","family":"Mottrie","given":"Alex","non-dropping-particle":"","parse-names":false,"suffix":""},{"dropping-particle":"","family":"Subramaniam","given":"Ramnath","non-dropping-particle":"","parse-names":false,"suffix":""},{"dropping-particle":"","family":"Sofikitis","given":"Nikolaos","non-dropping-particle":"","parse-names":false,"suffix":""},{"dropping-particle":"","family":"Rocco","given":"Bernardo M.C.","non-dropping-particle":"","parse-names":false,"suffix":""},{"dropping-particle":"","family":"Xie","given":"Li Ping","non-dropping-particle":"","parse-names":false,"suffix":""},{"dropping-particle":"","family":"Witjes","given":"J. Alfred","non-dropping-particle":"","parse-names":false,"suffix":""},{"dropping-particle":"","family":"Mottet","given":"Nicolas","non-dropping-particle":"","parse-names":false,"suffix":""},{"dropping-particle":"","family":"Ljungberg","given":"Börje","non-dropping-particle":"","parse-names":false,"suffix":""},{"dropping-particle":"","family":"Rouprêt","given":"Morgan","non-dropping-particle":"","parse-names":false,"suffix":""},{"dropping-particle":"","family":"Laguna","given":"Maria P.","non-dropping-particle":"","parse-names":false,"suffix":""},{"dropping-particle":"","family":"Salonia","given":"Andrea","non-dropping-particle":"","parse-names":false,"suffix":""},{"dropping-particle":"","family":"Bonkat","given":"Gernot","non-dropping-particle":"","parse-names":false,"suffix":""},{"dropping-particle":"","family":"Blok","given":"Bertil F.M.","non-dropping-particle":"","parse-names":false,"suffix":""},{"dropping-particle":"","family":"Türk","given":"Christian","non-dropping-particle":"","parse-names":false,"suffix":""},{"dropping-particle":"","family":"Radmayr","given":"Christian","non-dropping-particle":"","parse-names":false,"suffix":""},{"dropping-particle":"","family":"Kitrey","given":"Noam D.","non-dropping-particle":"","parse-names":false,"suffix":""},{"dropping-particle":"","family":"Engeler","given":"Daniel S.","non-dropping-particle":"","parse-names":false,"suffix":""},{"dropping-particle":"","family":"Lumen","given":"Nicolaas","non-dropping-particle":"","parse-names":false,"suffix":""},{"dropping-particle":"","family":"Hakenberg","given":"Oliver W.","non-dropping-particle":"","parse-names":false,"suffix":""},{"dropping-particle":"","family":"Watkin","given":"Nick","non-dropping-particle":"","parse-names":false,"suffix":""},{"dropping-particle":"","family":"Hamid","given":"Rizwan","non-dropping-particle":"","parse-names":false,"suffix":""},{"dropping-particle":"","family":"Olsburgh","given":"Jonathon","non-dropping-particle":"","parse-names":false,"suffix":""},{"dropping-particle":"","family":"Darraugh","given":"Julie","non-dropping-particle":"","parse-names":false,"suffix":""},{"dropping-particle":"","family":"Shepherd","given":"Robert","non-dropping-particle":"","parse-names":false,"suffix":""},{"dropping-particle":"","family":"Smith","given":"Emma Jane","non-dropping-particle":"","parse-names":false,"suffix":""},{"dropping-particle":"","family":"Chapple","given":"Christopher R.","non-dropping-particle":"","parse-names":false,"suffix":""},{"dropping-particle":"","family":"Stenzl","given":"Arnulf","non-dropping-particle":"","parse-names":false,"suffix":""},{"dropping-particle":"","family":"Poppel","given":"Hendrik","non-dropping-particle":"Van","parse-names":false,"suffix":""},{"dropping-particle":"","family":"Wirth","given":"Manfred","non-dropping-particle":"","parse-names":false,"suffix":""},{"dropping-particle":"","family":"Sønksen","given":"Jens","non-dropping-particle":"","parse-names":false,"suffix":""},{"dropping-particle":"","family":"N'Dow","given":"James","non-dropping-particle":"","parse-names":false,"suffix":""}],"container-title":"European Urology","id":"ITEM-1","issue":"1","issued":{"date-parts":[["2020"]]},"page":"21-28","title":"European Association of Urology Guidelines Office Rapid Reaction Group: An Organisation-wide Collaborative Effort to Adapt the European Association of Urology Guidelines Recommendations to the Coronavirus Disease 2019 Era","type":"article-journal","volume":"78"},"uris":["http://www.mendeley.com/documents/?uuid=3f9338aa-e6bb-42f9-8168-d487a12be51b"]}],"mendeley":{"formattedCitation":"(188)","plainTextFormattedCitation":"(188)","previouslyFormattedCitation":"(189)"},"properties":{"noteIndex":0},"schema":"https://github.com/citation-style-language/schema/raw/master/csl-citation.json"}</w:instrText>
      </w:r>
      <w:r w:rsidR="00F742F7" w:rsidRPr="004B0BC2">
        <w:rPr>
          <w:rFonts w:asciiTheme="minorHAnsi" w:hAnsiTheme="minorHAnsi" w:cstheme="minorHAnsi"/>
          <w:sz w:val="22"/>
          <w:szCs w:val="22"/>
        </w:rPr>
        <w:fldChar w:fldCharType="separate"/>
      </w:r>
      <w:r w:rsidR="002410DF" w:rsidRPr="002410DF">
        <w:rPr>
          <w:rFonts w:asciiTheme="minorHAnsi" w:hAnsiTheme="minorHAnsi" w:cstheme="minorHAnsi"/>
          <w:noProof/>
          <w:sz w:val="22"/>
          <w:szCs w:val="22"/>
        </w:rPr>
        <w:t>(188)</w:t>
      </w:r>
      <w:r w:rsidR="00F742F7" w:rsidRPr="004B0BC2">
        <w:rPr>
          <w:rFonts w:asciiTheme="minorHAnsi" w:hAnsiTheme="minorHAnsi" w:cstheme="minorHAnsi"/>
          <w:sz w:val="22"/>
          <w:szCs w:val="22"/>
        </w:rPr>
        <w:fldChar w:fldCharType="end"/>
      </w:r>
      <w:r w:rsidR="00D94F44">
        <w:rPr>
          <w:rFonts w:asciiTheme="minorHAnsi" w:hAnsiTheme="minorHAnsi" w:cstheme="minorHAnsi"/>
          <w:sz w:val="22"/>
          <w:szCs w:val="22"/>
        </w:rPr>
        <w:t>. Although</w:t>
      </w:r>
      <w:r w:rsidR="00C825E0" w:rsidRPr="004B0BC2">
        <w:rPr>
          <w:rFonts w:asciiTheme="minorHAnsi" w:hAnsiTheme="minorHAnsi" w:cstheme="minorHAnsi"/>
          <w:sz w:val="22"/>
          <w:szCs w:val="22"/>
        </w:rPr>
        <w:t xml:space="preserve"> this</w:t>
      </w:r>
      <w:r w:rsidR="00D94F44">
        <w:rPr>
          <w:rFonts w:asciiTheme="minorHAnsi" w:hAnsiTheme="minorHAnsi" w:cstheme="minorHAnsi"/>
          <w:sz w:val="22"/>
          <w:szCs w:val="22"/>
        </w:rPr>
        <w:t xml:space="preserve"> approach</w:t>
      </w:r>
      <w:r w:rsidR="00C825E0" w:rsidRPr="004B0BC2">
        <w:rPr>
          <w:rFonts w:asciiTheme="minorHAnsi" w:hAnsiTheme="minorHAnsi" w:cstheme="minorHAnsi"/>
          <w:sz w:val="22"/>
          <w:szCs w:val="22"/>
        </w:rPr>
        <w:t xml:space="preserve"> m</w:t>
      </w:r>
      <w:r w:rsidR="00D94F44">
        <w:rPr>
          <w:rFonts w:asciiTheme="minorHAnsi" w:hAnsiTheme="minorHAnsi" w:cstheme="minorHAnsi"/>
          <w:sz w:val="22"/>
          <w:szCs w:val="22"/>
        </w:rPr>
        <w:t>ight</w:t>
      </w:r>
      <w:r w:rsidR="00C825E0" w:rsidRPr="004B0BC2">
        <w:rPr>
          <w:rFonts w:asciiTheme="minorHAnsi" w:hAnsiTheme="minorHAnsi" w:cstheme="minorHAnsi"/>
          <w:sz w:val="22"/>
          <w:szCs w:val="22"/>
        </w:rPr>
        <w:t xml:space="preserve"> be justified in view of the immediate risks associated with COVID-19 infection compared </w:t>
      </w:r>
      <w:r w:rsidR="00F742F7" w:rsidRPr="004B0BC2">
        <w:rPr>
          <w:rFonts w:asciiTheme="minorHAnsi" w:hAnsiTheme="minorHAnsi" w:cstheme="minorHAnsi"/>
          <w:sz w:val="22"/>
          <w:szCs w:val="22"/>
        </w:rPr>
        <w:t>with</w:t>
      </w:r>
      <w:r w:rsidR="00C825E0" w:rsidRPr="004B0BC2">
        <w:rPr>
          <w:rFonts w:asciiTheme="minorHAnsi" w:hAnsiTheme="minorHAnsi" w:cstheme="minorHAnsi"/>
          <w:sz w:val="22"/>
          <w:szCs w:val="22"/>
        </w:rPr>
        <w:t xml:space="preserve"> the benefits of andrological treatment, the long</w:t>
      </w:r>
      <w:r w:rsidR="00D94F44">
        <w:rPr>
          <w:rFonts w:asciiTheme="minorHAnsi" w:hAnsiTheme="minorHAnsi" w:cstheme="minorHAnsi"/>
          <w:sz w:val="22"/>
          <w:szCs w:val="22"/>
        </w:rPr>
        <w:t>-term</w:t>
      </w:r>
      <w:r w:rsidR="00C825E0" w:rsidRPr="004B0BC2">
        <w:rPr>
          <w:rFonts w:asciiTheme="minorHAnsi" w:hAnsiTheme="minorHAnsi" w:cstheme="minorHAnsi"/>
          <w:sz w:val="22"/>
          <w:szCs w:val="22"/>
        </w:rPr>
        <w:t xml:space="preserve"> </w:t>
      </w:r>
      <w:r w:rsidR="00A42AA2" w:rsidRPr="004B0BC2">
        <w:rPr>
          <w:rFonts w:asciiTheme="minorHAnsi" w:hAnsiTheme="minorHAnsi" w:cstheme="minorHAnsi"/>
          <w:sz w:val="22"/>
          <w:szCs w:val="22"/>
        </w:rPr>
        <w:t>ramifications of</w:t>
      </w:r>
      <w:r w:rsidR="003C11E1">
        <w:rPr>
          <w:rFonts w:asciiTheme="minorHAnsi" w:hAnsiTheme="minorHAnsi" w:cstheme="minorHAnsi"/>
          <w:sz w:val="22"/>
          <w:szCs w:val="22"/>
        </w:rPr>
        <w:t xml:space="preserve"> </w:t>
      </w:r>
      <w:r w:rsidR="00C825E0" w:rsidRPr="004B0BC2">
        <w:rPr>
          <w:rFonts w:asciiTheme="minorHAnsi" w:hAnsiTheme="minorHAnsi" w:cstheme="minorHAnsi"/>
          <w:sz w:val="22"/>
          <w:szCs w:val="22"/>
        </w:rPr>
        <w:t>delays in treatment</w:t>
      </w:r>
      <w:r w:rsidR="005B5078" w:rsidRPr="004B0BC2">
        <w:rPr>
          <w:rFonts w:asciiTheme="minorHAnsi" w:hAnsiTheme="minorHAnsi" w:cstheme="minorHAnsi"/>
          <w:sz w:val="22"/>
          <w:szCs w:val="22"/>
        </w:rPr>
        <w:t xml:space="preserve">, </w:t>
      </w:r>
      <w:r w:rsidR="00966790" w:rsidRPr="004B0BC2">
        <w:rPr>
          <w:rFonts w:asciiTheme="minorHAnsi" w:hAnsiTheme="minorHAnsi" w:cstheme="minorHAnsi"/>
          <w:sz w:val="22"/>
          <w:szCs w:val="22"/>
        </w:rPr>
        <w:t>notwithstanding</w:t>
      </w:r>
      <w:r w:rsidR="00440D3D" w:rsidRPr="004B0BC2">
        <w:rPr>
          <w:rFonts w:asciiTheme="minorHAnsi" w:hAnsiTheme="minorHAnsi" w:cstheme="minorHAnsi"/>
          <w:sz w:val="22"/>
          <w:szCs w:val="22"/>
        </w:rPr>
        <w:t xml:space="preserve"> the effects on </w:t>
      </w:r>
      <w:r w:rsidR="005B5078" w:rsidRPr="004B0BC2">
        <w:rPr>
          <w:rFonts w:asciiTheme="minorHAnsi" w:hAnsiTheme="minorHAnsi" w:cstheme="minorHAnsi"/>
          <w:sz w:val="22"/>
          <w:szCs w:val="22"/>
        </w:rPr>
        <w:t xml:space="preserve">patients’ </w:t>
      </w:r>
      <w:r w:rsidR="00440D3D" w:rsidRPr="004B0BC2">
        <w:rPr>
          <w:rFonts w:asciiTheme="minorHAnsi" w:hAnsiTheme="minorHAnsi" w:cstheme="minorHAnsi"/>
          <w:sz w:val="22"/>
          <w:szCs w:val="22"/>
        </w:rPr>
        <w:t>mental health</w:t>
      </w:r>
      <w:r w:rsidR="00D94F44">
        <w:rPr>
          <w:rFonts w:asciiTheme="minorHAnsi" w:hAnsiTheme="minorHAnsi" w:cstheme="minorHAnsi"/>
          <w:sz w:val="22"/>
          <w:szCs w:val="22"/>
        </w:rPr>
        <w:t>, are not clear</w:t>
      </w:r>
      <w:r w:rsidR="00440D3D" w:rsidRPr="004B0BC2">
        <w:rPr>
          <w:rFonts w:asciiTheme="minorHAnsi" w:hAnsiTheme="minorHAnsi" w:cstheme="minorHAnsi"/>
          <w:sz w:val="22"/>
          <w:szCs w:val="22"/>
        </w:rPr>
        <w:t>.</w:t>
      </w:r>
      <w:r w:rsidR="00C825E0" w:rsidRPr="004B0BC2">
        <w:rPr>
          <w:rFonts w:asciiTheme="minorHAnsi" w:hAnsiTheme="minorHAnsi" w:cstheme="minorHAnsi"/>
          <w:sz w:val="22"/>
          <w:szCs w:val="22"/>
        </w:rPr>
        <w:t xml:space="preserve"> Indeed,</w:t>
      </w:r>
      <w:r w:rsidR="00D94F44">
        <w:rPr>
          <w:rFonts w:asciiTheme="minorHAnsi" w:hAnsiTheme="minorHAnsi" w:cstheme="minorHAnsi"/>
          <w:sz w:val="22"/>
          <w:szCs w:val="22"/>
        </w:rPr>
        <w:t xml:space="preserve"> </w:t>
      </w:r>
      <w:r w:rsidR="00C825E0" w:rsidRPr="004B0BC2">
        <w:rPr>
          <w:rFonts w:asciiTheme="minorHAnsi" w:hAnsiTheme="minorHAnsi" w:cstheme="minorHAnsi"/>
          <w:sz w:val="22"/>
          <w:szCs w:val="22"/>
        </w:rPr>
        <w:t xml:space="preserve">both ED and infertility are harbingers of underlying </w:t>
      </w:r>
      <w:r w:rsidR="00A42AA2" w:rsidRPr="004B0BC2">
        <w:rPr>
          <w:rFonts w:asciiTheme="minorHAnsi" w:hAnsiTheme="minorHAnsi" w:cstheme="minorHAnsi"/>
          <w:sz w:val="22"/>
          <w:szCs w:val="22"/>
        </w:rPr>
        <w:t xml:space="preserve">serious health risks </w:t>
      </w:r>
      <w:r w:rsidR="00C825E0" w:rsidRPr="004B0BC2">
        <w:rPr>
          <w:rFonts w:asciiTheme="minorHAnsi" w:hAnsiTheme="minorHAnsi" w:cstheme="minorHAnsi"/>
          <w:sz w:val="22"/>
          <w:szCs w:val="22"/>
        </w:rPr>
        <w:t xml:space="preserve">and provide opportunities to </w:t>
      </w:r>
      <w:r w:rsidR="00A42AA2" w:rsidRPr="004B0BC2">
        <w:rPr>
          <w:rFonts w:asciiTheme="minorHAnsi" w:hAnsiTheme="minorHAnsi" w:cstheme="minorHAnsi"/>
          <w:sz w:val="22"/>
          <w:szCs w:val="22"/>
        </w:rPr>
        <w:t xml:space="preserve">mitigate </w:t>
      </w:r>
      <w:r w:rsidR="00C825E0" w:rsidRPr="004B0BC2">
        <w:rPr>
          <w:rFonts w:asciiTheme="minorHAnsi" w:hAnsiTheme="minorHAnsi" w:cstheme="minorHAnsi"/>
          <w:sz w:val="22"/>
          <w:szCs w:val="22"/>
        </w:rPr>
        <w:t xml:space="preserve">risk factors at an early stage to avoid </w:t>
      </w:r>
      <w:r w:rsidR="003E299D" w:rsidRPr="004B0BC2">
        <w:rPr>
          <w:rFonts w:asciiTheme="minorHAnsi" w:hAnsiTheme="minorHAnsi" w:cstheme="minorHAnsi"/>
          <w:sz w:val="22"/>
          <w:szCs w:val="22"/>
        </w:rPr>
        <w:t>their long</w:t>
      </w:r>
      <w:r w:rsidR="00D94F44">
        <w:rPr>
          <w:rFonts w:asciiTheme="minorHAnsi" w:hAnsiTheme="minorHAnsi" w:cstheme="minorHAnsi"/>
          <w:sz w:val="22"/>
          <w:szCs w:val="22"/>
        </w:rPr>
        <w:t>-</w:t>
      </w:r>
      <w:r w:rsidR="003E299D" w:rsidRPr="004B0BC2">
        <w:rPr>
          <w:rFonts w:asciiTheme="minorHAnsi" w:hAnsiTheme="minorHAnsi" w:cstheme="minorHAnsi"/>
          <w:sz w:val="22"/>
          <w:szCs w:val="22"/>
        </w:rPr>
        <w:t xml:space="preserve">term </w:t>
      </w:r>
      <w:r w:rsidR="005F2083" w:rsidRPr="004B0BC2">
        <w:rPr>
          <w:rFonts w:asciiTheme="minorHAnsi" w:hAnsiTheme="minorHAnsi" w:cstheme="minorHAnsi"/>
          <w:sz w:val="22"/>
          <w:szCs w:val="22"/>
        </w:rPr>
        <w:t>sequ</w:t>
      </w:r>
      <w:r w:rsidR="00D94F44">
        <w:rPr>
          <w:rFonts w:asciiTheme="minorHAnsi" w:hAnsiTheme="minorHAnsi" w:cstheme="minorHAnsi"/>
          <w:sz w:val="22"/>
          <w:szCs w:val="22"/>
        </w:rPr>
        <w:t>e</w:t>
      </w:r>
      <w:r w:rsidR="005F2083" w:rsidRPr="004B0BC2">
        <w:rPr>
          <w:rFonts w:asciiTheme="minorHAnsi" w:hAnsiTheme="minorHAnsi" w:cstheme="minorHAnsi"/>
          <w:sz w:val="22"/>
          <w:szCs w:val="22"/>
        </w:rPr>
        <w:t>lae</w:t>
      </w:r>
      <w:r w:rsidR="00C825E0" w:rsidRPr="004B0BC2">
        <w:rPr>
          <w:rFonts w:asciiTheme="minorHAnsi" w:hAnsiTheme="minorHAnsi" w:cstheme="minorHAnsi"/>
          <w:sz w:val="22"/>
          <w:szCs w:val="22"/>
        </w:rPr>
        <w:t xml:space="preserve">. Given the </w:t>
      </w:r>
      <w:r w:rsidR="00D94F44">
        <w:rPr>
          <w:rFonts w:asciiTheme="minorHAnsi" w:hAnsiTheme="minorHAnsi" w:cstheme="minorHAnsi"/>
          <w:sz w:val="22"/>
          <w:szCs w:val="22"/>
        </w:rPr>
        <w:t xml:space="preserve">current </w:t>
      </w:r>
      <w:r w:rsidR="00C825E0" w:rsidRPr="004B0BC2">
        <w:rPr>
          <w:rFonts w:asciiTheme="minorHAnsi" w:hAnsiTheme="minorHAnsi" w:cstheme="minorHAnsi"/>
          <w:sz w:val="22"/>
          <w:szCs w:val="22"/>
        </w:rPr>
        <w:t xml:space="preserve">prioritisation </w:t>
      </w:r>
      <w:r w:rsidR="00D94F44">
        <w:rPr>
          <w:rFonts w:asciiTheme="minorHAnsi" w:hAnsiTheme="minorHAnsi" w:cstheme="minorHAnsi"/>
          <w:sz w:val="22"/>
          <w:szCs w:val="22"/>
        </w:rPr>
        <w:t>of</w:t>
      </w:r>
      <w:r w:rsidR="00C825E0" w:rsidRPr="004B0BC2">
        <w:rPr>
          <w:rFonts w:asciiTheme="minorHAnsi" w:hAnsiTheme="minorHAnsi" w:cstheme="minorHAnsi"/>
          <w:sz w:val="22"/>
          <w:szCs w:val="22"/>
        </w:rPr>
        <w:t xml:space="preserve"> oncological procedures, </w:t>
      </w:r>
      <w:r w:rsidRPr="004B0BC2">
        <w:rPr>
          <w:rFonts w:asciiTheme="minorHAnsi" w:hAnsiTheme="minorHAnsi" w:cstheme="minorHAnsi"/>
          <w:sz w:val="22"/>
          <w:szCs w:val="22"/>
        </w:rPr>
        <w:t xml:space="preserve">the post-pandemic </w:t>
      </w:r>
      <w:r w:rsidR="007A2D36" w:rsidRPr="004B0BC2">
        <w:rPr>
          <w:rFonts w:asciiTheme="minorHAnsi" w:hAnsiTheme="minorHAnsi" w:cstheme="minorHAnsi"/>
          <w:sz w:val="22"/>
          <w:szCs w:val="22"/>
        </w:rPr>
        <w:lastRenderedPageBreak/>
        <w:t>period</w:t>
      </w:r>
      <w:r w:rsidRPr="004B0BC2">
        <w:rPr>
          <w:rFonts w:asciiTheme="minorHAnsi" w:hAnsiTheme="minorHAnsi" w:cstheme="minorHAnsi"/>
          <w:sz w:val="22"/>
          <w:szCs w:val="22"/>
        </w:rPr>
        <w:t xml:space="preserve"> will </w:t>
      </w:r>
      <w:r w:rsidR="00D94F44">
        <w:rPr>
          <w:rFonts w:asciiTheme="minorHAnsi" w:hAnsiTheme="minorHAnsi" w:cstheme="minorHAnsi"/>
          <w:sz w:val="22"/>
          <w:szCs w:val="22"/>
        </w:rPr>
        <w:t xml:space="preserve">probably require </w:t>
      </w:r>
      <w:r w:rsidRPr="004B0BC2">
        <w:rPr>
          <w:rFonts w:asciiTheme="minorHAnsi" w:hAnsiTheme="minorHAnsi" w:cstheme="minorHAnsi"/>
          <w:sz w:val="22"/>
          <w:szCs w:val="22"/>
        </w:rPr>
        <w:t>re-organisation and re-structuring of many clinical services to cope with deman</w:t>
      </w:r>
      <w:r w:rsidR="00440D3D" w:rsidRPr="004B0BC2">
        <w:rPr>
          <w:rFonts w:asciiTheme="minorHAnsi" w:hAnsiTheme="minorHAnsi" w:cstheme="minorHAnsi"/>
          <w:sz w:val="22"/>
          <w:szCs w:val="22"/>
        </w:rPr>
        <w:t>d</w:t>
      </w:r>
      <w:r w:rsidR="003E299D" w:rsidRPr="004B0BC2">
        <w:rPr>
          <w:rFonts w:asciiTheme="minorHAnsi" w:hAnsiTheme="minorHAnsi" w:cstheme="minorHAnsi"/>
          <w:sz w:val="22"/>
          <w:szCs w:val="22"/>
        </w:rPr>
        <w:t>,</w:t>
      </w:r>
      <w:r w:rsidR="00440D3D" w:rsidRPr="004B0BC2">
        <w:rPr>
          <w:rFonts w:asciiTheme="minorHAnsi" w:hAnsiTheme="minorHAnsi" w:cstheme="minorHAnsi"/>
          <w:sz w:val="22"/>
          <w:szCs w:val="22"/>
        </w:rPr>
        <w:t xml:space="preserve"> </w:t>
      </w:r>
      <w:r w:rsidR="00D94F44">
        <w:rPr>
          <w:rFonts w:asciiTheme="minorHAnsi" w:hAnsiTheme="minorHAnsi" w:cstheme="minorHAnsi"/>
          <w:sz w:val="22"/>
          <w:szCs w:val="22"/>
        </w:rPr>
        <w:t>possibly</w:t>
      </w:r>
      <w:r w:rsidR="00272F4D" w:rsidRPr="004B0BC2">
        <w:rPr>
          <w:rFonts w:asciiTheme="minorHAnsi" w:hAnsiTheme="minorHAnsi" w:cstheme="minorHAnsi"/>
          <w:sz w:val="22"/>
          <w:szCs w:val="22"/>
        </w:rPr>
        <w:t xml:space="preserve"> to</w:t>
      </w:r>
      <w:r w:rsidR="00440D3D" w:rsidRPr="004B0BC2">
        <w:rPr>
          <w:rFonts w:asciiTheme="minorHAnsi" w:hAnsiTheme="minorHAnsi" w:cstheme="minorHAnsi"/>
          <w:sz w:val="22"/>
          <w:szCs w:val="22"/>
        </w:rPr>
        <w:t xml:space="preserve"> the detriment of</w:t>
      </w:r>
      <w:r w:rsidR="00C825E0" w:rsidRPr="004B0BC2">
        <w:rPr>
          <w:rFonts w:asciiTheme="minorHAnsi" w:hAnsiTheme="minorHAnsi" w:cstheme="minorHAnsi"/>
          <w:sz w:val="22"/>
          <w:szCs w:val="22"/>
        </w:rPr>
        <w:t xml:space="preserve"> subspecialities dealing with benign conditions such as</w:t>
      </w:r>
      <w:r w:rsidR="00440D3D" w:rsidRPr="004B0BC2">
        <w:rPr>
          <w:rFonts w:asciiTheme="minorHAnsi" w:hAnsiTheme="minorHAnsi" w:cstheme="minorHAnsi"/>
          <w:sz w:val="22"/>
          <w:szCs w:val="22"/>
        </w:rPr>
        <w:t xml:space="preserve"> male sexual and reproductive health</w:t>
      </w:r>
      <w:r w:rsidR="00F742F7" w:rsidRPr="004B0BC2">
        <w:rPr>
          <w:rFonts w:asciiTheme="minorHAnsi" w:hAnsiTheme="minorHAnsi" w:cstheme="minorHAnsi"/>
          <w:sz w:val="22"/>
          <w:szCs w:val="22"/>
        </w:rPr>
        <w:fldChar w:fldCharType="begin" w:fldLock="1"/>
      </w:r>
      <w:r w:rsidR="002410DF">
        <w:rPr>
          <w:rFonts w:asciiTheme="minorHAnsi" w:hAnsiTheme="minorHAnsi" w:cstheme="minorHAnsi"/>
          <w:sz w:val="22"/>
          <w:szCs w:val="22"/>
        </w:rPr>
        <w:instrText>ADDIN CSL_CITATION {"citationItems":[{"id":"ITEM-1","itemData":{"DOI":"10.1016/j.eururo.2020.04.056","ISSN":"18737560","PMID":"32376137","abstract":"The coronavirus disease 2019 (COVID-19) pandemic is unlike anything seen before by modern science-based medicine. Health systems across the world are struggling to manage it. Added to this struggle are the effects of social confinement and isolation. This brings into question whether the latest guidelines are relevant in this crisis. We aim to support urologists in this difficult situation by providing tools that can facilitate decision making, and to minimise the impact and risks for both patients and health professionals delivering urological care, whenever possible. We hope that the revised recommendations will assist urologist surgeons across the globe to guide the management of urological conditions during the current COVID-19 pandemic.","author":[{"dropping-particle":"","family":"Ribal","given":"Maria J.","non-dropping-particle":"","parse-names":false,"suffix":""},{"dropping-particle":"","family":"Cornford","given":"Philip","non-dropping-particle":"","parse-names":false,"suffix":""},{"dropping-particle":"","family":"Briganti","given":"Alberto","non-dropping-particle":"","parse-names":false,"suffix":""},{"dropping-particle":"","family":"Knoll","given":"Thomas","non-dropping-particle":"","parse-names":false,"suffix":""},{"dropping-particle":"","family":"Gravas","given":"Stavros","non-dropping-particle":"","parse-names":false,"suffix":""},{"dropping-particle":"","family":"Babjuk","given":"Marek","non-dropping-particle":"","parse-names":false,"suffix":""},{"dropping-particle":"","family":"Harding","given":"Christopher","non-dropping-particle":"","parse-names":false,"suffix":""},{"dropping-particle":"","family":"Breda","given":"Alberto","non-dropping-particle":"","parse-names":false,"suffix":""},{"dropping-particle":"","family":"Bex","given":"Axel","non-dropping-particle":"","parse-names":false,"suffix":""},{"dropping-particle":"","family":"Rassweiler","given":"Jens J.","non-dropping-particle":"","parse-names":false,"suffix":""},{"dropping-particle":"","family":"Gözen","given":"Ali S.","non-dropping-particle":"","parse-names":false,"suffix":""},{"dropping-particle":"","family":"Pini","given":"Giovannalberto","non-dropping-particle":"","parse-names":false,"suffix":""},{"dropping-particle":"","family":"Liatsikos","given":"Evangelos","non-dropping-particle":"","parse-names":false,"suffix":""},{"dropping-particle":"","family":"Giannarini","given":"Gianluca","non-dropping-particle":"","parse-names":false,"suffix":""},{"dropping-particle":"","family":"Mottrie","given":"Alex","non-dropping-particle":"","parse-names":false,"suffix":""},{"dropping-particle":"","family":"Subramaniam","given":"Ramnath","non-dropping-particle":"","parse-names":false,"suffix":""},{"dropping-particle":"","family":"Sofikitis","given":"Nikolaos","non-dropping-particle":"","parse-names":false,"suffix":""},{"dropping-particle":"","family":"Rocco","given":"Bernardo M.C.","non-dropping-particle":"","parse-names":false,"suffix":""},{"dropping-particle":"","family":"Xie","given":"Li Ping","non-dropping-particle":"","parse-names":false,"suffix":""},{"dropping-particle":"","family":"Witjes","given":"J. Alfred","non-dropping-particle":"","parse-names":false,"suffix":""},{"dropping-particle":"","family":"Mottet","given":"Nicolas","non-dropping-particle":"","parse-names":false,"suffix":""},{"dropping-particle":"","family":"Ljungberg","given":"Börje","non-dropping-particle":"","parse-names":false,"suffix":""},{"dropping-particle":"","family":"Rouprêt","given":"Morgan","non-dropping-particle":"","parse-names":false,"suffix":""},{"dropping-particle":"","family":"Laguna","given":"Maria P.","non-dropping-particle":"","parse-names":false,"suffix":""},{"dropping-particle":"","family":"Salonia","given":"Andrea","non-dropping-particle":"","parse-names":false,"suffix":""},{"dropping-particle":"","family":"Bonkat","given":"Gernot","non-dropping-particle":"","parse-names":false,"suffix":""},{"dropping-particle":"","family":"Blok","given":"Bertil F.M.","non-dropping-particle":"","parse-names":false,"suffix":""},{"dropping-particle":"","family":"Türk","given":"Christian","non-dropping-particle":"","parse-names":false,"suffix":""},{"dropping-particle":"","family":"Radmayr","given":"Christian","non-dropping-particle":"","parse-names":false,"suffix":""},{"dropping-particle":"","family":"Kitrey","given":"Noam D.","non-dropping-particle":"","parse-names":false,"suffix":""},{"dropping-particle":"","family":"Engeler","given":"Daniel S.","non-dropping-particle":"","parse-names":false,"suffix":""},{"dropping-particle":"","family":"Lumen","given":"Nicolaas","non-dropping-particle":"","parse-names":false,"suffix":""},{"dropping-particle":"","family":"Hakenberg","given":"Oliver W.","non-dropping-particle":"","parse-names":false,"suffix":""},{"dropping-particle":"","family":"Watkin","given":"Nick","non-dropping-particle":"","parse-names":false,"suffix":""},{"dropping-particle":"","family":"Hamid","given":"Rizwan","non-dropping-particle":"","parse-names":false,"suffix":""},{"dropping-particle":"","family":"Olsburgh","given":"Jonathon","non-dropping-particle":"","parse-names":false,"suffix":""},{"dropping-particle":"","family":"Darraugh","given":"Julie","non-dropping-particle":"","parse-names":false,"suffix":""},{"dropping-particle":"","family":"Shepherd","given":"Robert","non-dropping-particle":"","parse-names":false,"suffix":""},{"dropping-particle":"","family":"Smith","given":"Emma Jane","non-dropping-particle":"","parse-names":false,"suffix":""},{"dropping-particle":"","family":"Chapple","given":"Christopher R.","non-dropping-particle":"","parse-names":false,"suffix":""},{"dropping-particle":"","family":"Stenzl","given":"Arnulf","non-dropping-particle":"","parse-names":false,"suffix":""},{"dropping-particle":"","family":"Poppel","given":"Hendrik","non-dropping-particle":"Van","parse-names":false,"suffix":""},{"dropping-particle":"","family":"Wirth","given":"Manfred","non-dropping-particle":"","parse-names":false,"suffix":""},{"dropping-particle":"","family":"Sønksen","given":"Jens","non-dropping-particle":"","parse-names":false,"suffix":""},{"dropping-particle":"","family":"N'Dow","given":"James","non-dropping-particle":"","parse-names":false,"suffix":""}],"container-title":"European Urology","id":"ITEM-1","issue":"1","issued":{"date-parts":[["2020"]]},"page":"21-28","title":"European Association of Urology Guidelines Office Rapid Reaction Group: An Organisation-wide Collaborative Effort to Adapt the European Association of Urology Guidelines Recommendations to the Coronavirus Disease 2019 Era","type":"article-journal","volume":"78"},"uris":["http://www.mendeley.com/documents/?uuid=3f9338aa-e6bb-42f9-8168-d487a12be51b"]}],"mendeley":{"formattedCitation":"(188)","plainTextFormattedCitation":"(188)","previouslyFormattedCitation":"(189)"},"properties":{"noteIndex":0},"schema":"https://github.com/citation-style-language/schema/raw/master/csl-citation.json"}</w:instrText>
      </w:r>
      <w:r w:rsidR="00F742F7" w:rsidRPr="004B0BC2">
        <w:rPr>
          <w:rFonts w:asciiTheme="minorHAnsi" w:hAnsiTheme="minorHAnsi" w:cstheme="minorHAnsi"/>
          <w:sz w:val="22"/>
          <w:szCs w:val="22"/>
        </w:rPr>
        <w:fldChar w:fldCharType="separate"/>
      </w:r>
      <w:r w:rsidR="002410DF" w:rsidRPr="002410DF">
        <w:rPr>
          <w:rFonts w:asciiTheme="minorHAnsi" w:hAnsiTheme="minorHAnsi" w:cstheme="minorHAnsi"/>
          <w:noProof/>
          <w:sz w:val="22"/>
          <w:szCs w:val="22"/>
        </w:rPr>
        <w:t>(188)</w:t>
      </w:r>
      <w:r w:rsidR="00F742F7" w:rsidRPr="004B0BC2">
        <w:rPr>
          <w:rFonts w:asciiTheme="minorHAnsi" w:hAnsiTheme="minorHAnsi" w:cstheme="minorHAnsi"/>
          <w:sz w:val="22"/>
          <w:szCs w:val="22"/>
        </w:rPr>
        <w:fldChar w:fldCharType="end"/>
      </w:r>
      <w:r w:rsidR="00440D3D" w:rsidRPr="004B0BC2">
        <w:rPr>
          <w:rFonts w:asciiTheme="minorHAnsi" w:hAnsiTheme="minorHAnsi" w:cstheme="minorHAnsi"/>
          <w:sz w:val="22"/>
          <w:szCs w:val="22"/>
        </w:rPr>
        <w:t xml:space="preserve">. </w:t>
      </w:r>
      <w:r w:rsidR="005B5078" w:rsidRPr="004B0BC2">
        <w:rPr>
          <w:rFonts w:asciiTheme="minorHAnsi" w:hAnsiTheme="minorHAnsi" w:cstheme="minorHAnsi"/>
          <w:sz w:val="22"/>
          <w:szCs w:val="22"/>
        </w:rPr>
        <w:t>However</w:t>
      </w:r>
      <w:r w:rsidR="00440D3D" w:rsidRPr="004B0BC2">
        <w:rPr>
          <w:rFonts w:asciiTheme="minorHAnsi" w:hAnsiTheme="minorHAnsi" w:cstheme="minorHAnsi"/>
          <w:sz w:val="22"/>
          <w:szCs w:val="22"/>
        </w:rPr>
        <w:t xml:space="preserve">, we believe that this period </w:t>
      </w:r>
      <w:r w:rsidRPr="004B0BC2">
        <w:rPr>
          <w:rFonts w:asciiTheme="minorHAnsi" w:hAnsiTheme="minorHAnsi" w:cstheme="minorHAnsi"/>
          <w:sz w:val="22"/>
          <w:szCs w:val="22"/>
        </w:rPr>
        <w:t xml:space="preserve">presents an opportunity </w:t>
      </w:r>
      <w:r w:rsidR="00E209E8" w:rsidRPr="004B0BC2">
        <w:rPr>
          <w:rFonts w:asciiTheme="minorHAnsi" w:hAnsiTheme="minorHAnsi" w:cstheme="minorHAnsi"/>
          <w:sz w:val="22"/>
          <w:szCs w:val="22"/>
        </w:rPr>
        <w:t xml:space="preserve">to develop a </w:t>
      </w:r>
      <w:r w:rsidRPr="004B0BC2">
        <w:rPr>
          <w:rFonts w:asciiTheme="minorHAnsi" w:hAnsiTheme="minorHAnsi" w:cstheme="minorHAnsi"/>
          <w:sz w:val="22"/>
          <w:szCs w:val="22"/>
        </w:rPr>
        <w:t xml:space="preserve">dedicated </w:t>
      </w:r>
      <w:r w:rsidR="004D20B7">
        <w:rPr>
          <w:rFonts w:asciiTheme="minorHAnsi" w:hAnsiTheme="minorHAnsi" w:cstheme="minorHAnsi"/>
          <w:sz w:val="22"/>
          <w:szCs w:val="22"/>
        </w:rPr>
        <w:t>m</w:t>
      </w:r>
      <w:r w:rsidRPr="004B0BC2">
        <w:rPr>
          <w:rFonts w:asciiTheme="minorHAnsi" w:hAnsiTheme="minorHAnsi" w:cstheme="minorHAnsi"/>
          <w:sz w:val="22"/>
          <w:szCs w:val="22"/>
        </w:rPr>
        <w:t xml:space="preserve">en’s </w:t>
      </w:r>
      <w:r w:rsidR="004D20B7">
        <w:rPr>
          <w:rFonts w:asciiTheme="minorHAnsi" w:hAnsiTheme="minorHAnsi" w:cstheme="minorHAnsi"/>
          <w:sz w:val="22"/>
          <w:szCs w:val="22"/>
        </w:rPr>
        <w:t>h</w:t>
      </w:r>
      <w:r w:rsidRPr="004B0BC2">
        <w:rPr>
          <w:rFonts w:asciiTheme="minorHAnsi" w:hAnsiTheme="minorHAnsi" w:cstheme="minorHAnsi"/>
          <w:sz w:val="22"/>
          <w:szCs w:val="22"/>
        </w:rPr>
        <w:t xml:space="preserve">ealth </w:t>
      </w:r>
      <w:r w:rsidR="007D3ABD" w:rsidRPr="004B0BC2">
        <w:rPr>
          <w:rFonts w:asciiTheme="minorHAnsi" w:hAnsiTheme="minorHAnsi" w:cstheme="minorHAnsi"/>
          <w:sz w:val="22"/>
          <w:szCs w:val="22"/>
        </w:rPr>
        <w:t>programme</w:t>
      </w:r>
      <w:r w:rsidR="00C825E0" w:rsidRPr="004B0BC2">
        <w:rPr>
          <w:rFonts w:asciiTheme="minorHAnsi" w:hAnsiTheme="minorHAnsi" w:cstheme="minorHAnsi"/>
          <w:sz w:val="22"/>
          <w:szCs w:val="22"/>
        </w:rPr>
        <w:t xml:space="preserve"> </w:t>
      </w:r>
      <w:r w:rsidRPr="004B0BC2">
        <w:rPr>
          <w:rFonts w:asciiTheme="minorHAnsi" w:hAnsiTheme="minorHAnsi" w:cstheme="minorHAnsi"/>
          <w:sz w:val="22"/>
          <w:szCs w:val="22"/>
        </w:rPr>
        <w:t xml:space="preserve">aimed at assessing and managing a range of health issues in </w:t>
      </w:r>
      <w:r w:rsidR="001F0740" w:rsidRPr="004B0BC2">
        <w:rPr>
          <w:rFonts w:asciiTheme="minorHAnsi" w:hAnsiTheme="minorHAnsi" w:cstheme="minorHAnsi"/>
          <w:sz w:val="22"/>
          <w:szCs w:val="22"/>
        </w:rPr>
        <w:t>a single</w:t>
      </w:r>
      <w:r w:rsidRPr="004B0BC2">
        <w:rPr>
          <w:rFonts w:asciiTheme="minorHAnsi" w:hAnsiTheme="minorHAnsi" w:cstheme="minorHAnsi"/>
          <w:sz w:val="22"/>
          <w:szCs w:val="22"/>
        </w:rPr>
        <w:t xml:space="preserve"> visit</w:t>
      </w:r>
      <w:r w:rsidR="004D20B7">
        <w:rPr>
          <w:rFonts w:asciiTheme="minorHAnsi" w:hAnsiTheme="minorHAnsi" w:cstheme="minorHAnsi"/>
          <w:sz w:val="22"/>
          <w:szCs w:val="22"/>
        </w:rPr>
        <w:t xml:space="preserve">, and </w:t>
      </w:r>
      <w:r w:rsidR="004D20B7" w:rsidRPr="004B0BC2">
        <w:rPr>
          <w:rFonts w:asciiTheme="minorHAnsi" w:hAnsiTheme="minorHAnsi" w:cstheme="minorHAnsi"/>
          <w:sz w:val="22"/>
          <w:szCs w:val="22"/>
        </w:rPr>
        <w:t>that could be implemented worldwide</w:t>
      </w:r>
      <w:r w:rsidRPr="004B0BC2">
        <w:rPr>
          <w:rFonts w:asciiTheme="minorHAnsi" w:hAnsiTheme="minorHAnsi" w:cstheme="minorHAnsi"/>
          <w:sz w:val="22"/>
          <w:szCs w:val="22"/>
        </w:rPr>
        <w:t>.</w:t>
      </w:r>
      <w:r w:rsidR="00B41E11" w:rsidRPr="004B0BC2">
        <w:rPr>
          <w:rFonts w:asciiTheme="minorHAnsi" w:hAnsiTheme="minorHAnsi" w:cstheme="minorHAnsi"/>
          <w:sz w:val="22"/>
          <w:szCs w:val="22"/>
        </w:rPr>
        <w:t xml:space="preserve"> </w:t>
      </w:r>
    </w:p>
    <w:p w14:paraId="0C2F3E71" w14:textId="396FBCA7" w:rsidR="00B41E11" w:rsidRPr="004B0BC2" w:rsidRDefault="00B41E11" w:rsidP="001C26F0">
      <w:pPr>
        <w:spacing w:line="480" w:lineRule="auto"/>
        <w:rPr>
          <w:rFonts w:asciiTheme="minorHAnsi" w:hAnsiTheme="minorHAnsi" w:cstheme="minorHAnsi"/>
          <w:b/>
          <w:bCs/>
          <w:color w:val="000000"/>
          <w:sz w:val="22"/>
          <w:szCs w:val="22"/>
        </w:rPr>
      </w:pPr>
      <w:r w:rsidRPr="00500FBD">
        <w:rPr>
          <w:rFonts w:asciiTheme="minorHAnsi" w:hAnsiTheme="minorHAnsi" w:cstheme="minorHAnsi"/>
          <w:sz w:val="22"/>
          <w:szCs w:val="22"/>
        </w:rPr>
        <w:t xml:space="preserve">Indeed, </w:t>
      </w:r>
      <w:r w:rsidRPr="00500FBD">
        <w:rPr>
          <w:rFonts w:asciiTheme="minorHAnsi" w:hAnsiTheme="minorHAnsi" w:cstheme="minorHAnsi"/>
          <w:color w:val="000000"/>
          <w:sz w:val="22"/>
          <w:szCs w:val="22"/>
        </w:rPr>
        <w:t xml:space="preserve">men’s health services </w:t>
      </w:r>
      <w:r w:rsidR="004D20B7" w:rsidRPr="00500FBD">
        <w:rPr>
          <w:rFonts w:asciiTheme="minorHAnsi" w:hAnsiTheme="minorHAnsi" w:cstheme="minorHAnsi"/>
          <w:color w:val="000000"/>
          <w:sz w:val="22"/>
          <w:szCs w:val="22"/>
        </w:rPr>
        <w:t xml:space="preserve">are lacking </w:t>
      </w:r>
      <w:r w:rsidRPr="00500FBD">
        <w:rPr>
          <w:rFonts w:asciiTheme="minorHAnsi" w:hAnsiTheme="minorHAnsi" w:cstheme="minorHAnsi"/>
          <w:color w:val="000000"/>
          <w:sz w:val="22"/>
          <w:szCs w:val="22"/>
        </w:rPr>
        <w:t>worldwide</w:t>
      </w:r>
      <w:r w:rsidR="004D20B7">
        <w:rPr>
          <w:rFonts w:asciiTheme="minorHAnsi" w:hAnsiTheme="minorHAnsi" w:cstheme="minorHAnsi"/>
          <w:color w:val="000000"/>
          <w:sz w:val="22"/>
          <w:szCs w:val="22"/>
        </w:rPr>
        <w:t>.</w:t>
      </w:r>
      <w:r w:rsidRPr="00500FBD">
        <w:rPr>
          <w:rFonts w:asciiTheme="minorHAnsi" w:hAnsiTheme="minorHAnsi" w:cstheme="minorHAnsi"/>
          <w:color w:val="000000"/>
          <w:sz w:val="22"/>
          <w:szCs w:val="22"/>
        </w:rPr>
        <w:t xml:space="preserve"> </w:t>
      </w:r>
      <w:r w:rsidR="004D20B7">
        <w:rPr>
          <w:rFonts w:asciiTheme="minorHAnsi" w:hAnsiTheme="minorHAnsi" w:cstheme="minorHAnsi"/>
          <w:color w:val="000000"/>
          <w:sz w:val="22"/>
          <w:szCs w:val="22"/>
        </w:rPr>
        <w:t xml:space="preserve">In </w:t>
      </w:r>
      <w:r w:rsidRPr="00500FBD">
        <w:rPr>
          <w:rFonts w:asciiTheme="minorHAnsi" w:hAnsiTheme="minorHAnsi" w:cstheme="minorHAnsi"/>
          <w:color w:val="000000"/>
          <w:sz w:val="22"/>
          <w:szCs w:val="22"/>
        </w:rPr>
        <w:t xml:space="preserve">a Delphi survey </w:t>
      </w:r>
      <w:r w:rsidR="004D20B7">
        <w:rPr>
          <w:rFonts w:asciiTheme="minorHAnsi" w:hAnsiTheme="minorHAnsi" w:cstheme="minorHAnsi"/>
          <w:color w:val="000000"/>
          <w:sz w:val="22"/>
          <w:szCs w:val="22"/>
        </w:rPr>
        <w:t>of</w:t>
      </w:r>
      <w:r w:rsidR="004D20B7" w:rsidRPr="00500FBD">
        <w:rPr>
          <w:rFonts w:asciiTheme="minorHAnsi" w:hAnsiTheme="minorHAnsi" w:cstheme="minorHAnsi"/>
          <w:color w:val="000000"/>
          <w:sz w:val="22"/>
          <w:szCs w:val="22"/>
        </w:rPr>
        <w:t xml:space="preserve"> </w:t>
      </w:r>
      <w:r w:rsidRPr="00500FBD">
        <w:rPr>
          <w:rFonts w:asciiTheme="minorHAnsi" w:hAnsiTheme="minorHAnsi" w:cstheme="minorHAnsi"/>
          <w:color w:val="000000"/>
          <w:sz w:val="22"/>
          <w:szCs w:val="22"/>
        </w:rPr>
        <w:t>men’s health for 128 stakeholders (policy makers, clinicians, researchers and consumers) from 28 Asian countries</w:t>
      </w:r>
      <w:r w:rsidR="004D20B7" w:rsidRPr="00B71A37">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{"citationItems":[{"id":"ITEM-1","itemData":{"DOI":"10.1016/j.puhe.2014.11.009","ISSN":"14765616","PMID":"25542745","abstract":"Objective: There is currently no documentation on the availability and implementation of policies related to men's health in Asia. This Delphi study aimed to achieve an Asian consensus on men's health policy based on the opinions and recommendations from men's health key opinion leaders. Study design: A two-phase Delphi online survey was used to gather information from men's health stakeholders across Asian countries. Methods: All stakeholders were invited to participate in the survey through men's health conferences, personal contacts, recommendations from international men's health organizations and snowballing method. Stakeholders were asked about their concerns on 17 men's health key issues as well as their opinion on the availability and recommendations on men's health policies and programmes in their countries. Results: There were a total of 128 stakeholders (policy makers, clinicians, researchers and consumers), from 28 Asian countries, who responded in the survey. Up to 85% of stakeholders were concerned about various men's health issues in Asia and in their respective country, particularly in smoking, ischaemic heart disease and high blood pressure. There is a lack of men's health policies and programmes in Asia (availability=11.6-43.5%) and up to 92.9% of stakeholders recommended that these should be developed. Conclusions: These findings call for policy change and development, and more importantly a concerted effort to elevate men's health status in Asia.","author":[{"dropping-particle":"","family":"Teo","given":"C. H.","non-dropping-particle":"","parse-names":false,"suffix":""},{"dropping-particle":"","family":"Ng","given":"C. J.","non-dropping-particle":"","parse-names":false,"suffix":""},{"dropping-particle":"","family":"Ho","given":"C. C.K.","non-dropping-particle":"","parse-names":false,"suffix":""},{"dropping-particle":"","family":"Tan","given":"H. M.","non-dropping-particle":"","parse-names":false,"suffix":""}],"container-title":"Public Health","id":"ITEM-1","issue":"1","issued":{"date-parts":[["2015"]]},"page":"60-67","title":"A consensus on men's health status and policy in Asia: A Delphi survey","type":"article-journal","volume":"129"},"uris":["http://www.mendeley.com/documents/?uuid=357621f4-96e4-4064-9e41-1abf93918e8b"]}],"mendeley":{"formattedCitation":"(189)","plainTextFormattedCitation":"(189)","previouslyFormattedCitation":"(190)"},"properties":{"noteIndex":0},"schema":"https://github.com/citation-style-language/schema/raw/master/csl-citation.json"}</w:instrText>
      </w:r>
      <w:r w:rsidR="004D20B7" w:rsidRPr="00B71A37">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(189)</w:t>
      </w:r>
      <w:r w:rsidR="004D20B7" w:rsidRPr="00B71A37">
        <w:rPr>
          <w:rFonts w:asciiTheme="minorHAnsi" w:hAnsiTheme="minorHAnsi" w:cstheme="minorHAnsi"/>
          <w:color w:val="000000"/>
          <w:sz w:val="22"/>
          <w:szCs w:val="22"/>
        </w:rPr>
        <w:fldChar w:fldCharType="end"/>
      </w:r>
      <w:r w:rsidR="004D20B7">
        <w:rPr>
          <w:rFonts w:asciiTheme="minorHAnsi" w:hAnsiTheme="minorHAnsi" w:cstheme="minorHAnsi"/>
          <w:color w:val="000000"/>
          <w:sz w:val="22"/>
          <w:szCs w:val="22"/>
        </w:rPr>
        <w:t xml:space="preserve">, </w:t>
      </w:r>
      <w:r w:rsidRPr="00500FBD">
        <w:rPr>
          <w:rFonts w:asciiTheme="minorHAnsi" w:hAnsiTheme="minorHAnsi" w:cstheme="minorHAnsi"/>
          <w:color w:val="000000"/>
          <w:sz w:val="22"/>
          <w:szCs w:val="22"/>
        </w:rPr>
        <w:t xml:space="preserve">only 20.4% </w:t>
      </w:r>
      <w:r w:rsidR="004D20B7">
        <w:rPr>
          <w:rFonts w:asciiTheme="minorHAnsi" w:hAnsiTheme="minorHAnsi" w:cstheme="minorHAnsi"/>
          <w:color w:val="000000"/>
          <w:sz w:val="22"/>
          <w:szCs w:val="22"/>
        </w:rPr>
        <w:t xml:space="preserve">of respondents </w:t>
      </w:r>
      <w:r w:rsidRPr="00500FBD">
        <w:rPr>
          <w:rFonts w:asciiTheme="minorHAnsi" w:hAnsiTheme="minorHAnsi" w:cstheme="minorHAnsi"/>
          <w:color w:val="000000"/>
          <w:sz w:val="22"/>
          <w:szCs w:val="22"/>
        </w:rPr>
        <w:t>described men’s health being present in one or more of: national policy, public awareness programmes, health</w:t>
      </w:r>
      <w:r w:rsidR="004D20B7">
        <w:rPr>
          <w:rFonts w:asciiTheme="minorHAnsi" w:hAnsiTheme="minorHAnsi" w:cstheme="minorHAnsi"/>
          <w:color w:val="000000"/>
          <w:sz w:val="22"/>
          <w:szCs w:val="22"/>
        </w:rPr>
        <w:t>-</w:t>
      </w:r>
      <w:r w:rsidRPr="00500FBD">
        <w:rPr>
          <w:rFonts w:asciiTheme="minorHAnsi" w:hAnsiTheme="minorHAnsi" w:cstheme="minorHAnsi"/>
          <w:color w:val="000000"/>
          <w:sz w:val="22"/>
          <w:szCs w:val="22"/>
        </w:rPr>
        <w:t>care services, clinical practice guidelines, health screening programmes, training for health</w:t>
      </w:r>
      <w:r w:rsidR="004D20B7">
        <w:rPr>
          <w:rFonts w:asciiTheme="minorHAnsi" w:hAnsiTheme="minorHAnsi" w:cstheme="minorHAnsi"/>
          <w:color w:val="000000"/>
          <w:sz w:val="22"/>
          <w:szCs w:val="22"/>
        </w:rPr>
        <w:t>-</w:t>
      </w:r>
      <w:r w:rsidRPr="00500FBD">
        <w:rPr>
          <w:rFonts w:asciiTheme="minorHAnsi" w:hAnsiTheme="minorHAnsi" w:cstheme="minorHAnsi"/>
          <w:color w:val="000000"/>
          <w:sz w:val="22"/>
          <w:szCs w:val="22"/>
        </w:rPr>
        <w:t xml:space="preserve">care workers, school health education, research, social support service, national registries or law. Moreover, 85% of participants were concerned </w:t>
      </w:r>
      <w:r w:rsidR="004D20B7">
        <w:rPr>
          <w:rFonts w:asciiTheme="minorHAnsi" w:hAnsiTheme="minorHAnsi" w:cstheme="minorHAnsi"/>
          <w:color w:val="000000"/>
          <w:sz w:val="22"/>
          <w:szCs w:val="22"/>
        </w:rPr>
        <w:t>about</w:t>
      </w:r>
      <w:r w:rsidR="004D20B7" w:rsidRPr="00500FBD">
        <w:rPr>
          <w:rFonts w:asciiTheme="minorHAnsi" w:hAnsiTheme="minorHAnsi" w:cstheme="minorHAnsi"/>
          <w:color w:val="000000"/>
          <w:sz w:val="22"/>
          <w:szCs w:val="22"/>
        </w:rPr>
        <w:t xml:space="preserve"> </w:t>
      </w:r>
      <w:r w:rsidRPr="00500FBD">
        <w:rPr>
          <w:rFonts w:asciiTheme="minorHAnsi" w:hAnsiTheme="minorHAnsi" w:cstheme="minorHAnsi"/>
          <w:color w:val="000000"/>
          <w:sz w:val="22"/>
          <w:szCs w:val="22"/>
        </w:rPr>
        <w:t>men’s health issues, specifically smoking, hypertension and cardiovascular disease.</w:t>
      </w:r>
      <w:r w:rsidRPr="004B0BC2">
        <w:rPr>
          <w:rFonts w:asciiTheme="minorHAnsi" w:hAnsiTheme="minorHAnsi" w:cstheme="minorHAnsi"/>
          <w:b/>
          <w:bCs/>
          <w:color w:val="000000"/>
          <w:sz w:val="22"/>
          <w:szCs w:val="22"/>
        </w:rPr>
        <w:t xml:space="preserve"> </w:t>
      </w:r>
    </w:p>
    <w:p w14:paraId="0EDD2B14" w14:textId="77777777" w:rsidR="00B41E11" w:rsidRPr="004B0BC2" w:rsidRDefault="00B41E11" w:rsidP="00B41E11">
      <w:pPr>
        <w:rPr>
          <w:rFonts w:asciiTheme="minorHAnsi" w:hAnsiTheme="minorHAnsi" w:cstheme="minorHAnsi"/>
          <w:b/>
          <w:bCs/>
          <w:sz w:val="22"/>
          <w:szCs w:val="22"/>
        </w:rPr>
      </w:pPr>
    </w:p>
    <w:p w14:paraId="57703ECF" w14:textId="675F2290" w:rsidR="00BB5F81" w:rsidRPr="00500FBD" w:rsidRDefault="005B5078" w:rsidP="009D0021">
      <w:pPr>
        <w:shd w:val="clear" w:color="auto" w:fill="FFFFFF"/>
        <w:spacing w:line="480" w:lineRule="auto"/>
        <w:rPr>
          <w:rFonts w:asciiTheme="minorHAnsi" w:hAnsiTheme="minorHAnsi" w:cstheme="minorHAnsi"/>
          <w:b/>
          <w:bCs/>
          <w:sz w:val="22"/>
          <w:szCs w:val="22"/>
        </w:rPr>
      </w:pPr>
      <w:r w:rsidRPr="004B0BC2">
        <w:rPr>
          <w:rFonts w:asciiTheme="minorHAnsi" w:hAnsiTheme="minorHAnsi" w:cstheme="minorHAnsi"/>
          <w:sz w:val="22"/>
          <w:szCs w:val="22"/>
        </w:rPr>
        <w:t>Establishing a</w:t>
      </w:r>
      <w:r w:rsidR="00B41E11" w:rsidRPr="004B0BC2">
        <w:rPr>
          <w:rFonts w:asciiTheme="minorHAnsi" w:hAnsiTheme="minorHAnsi" w:cstheme="minorHAnsi"/>
          <w:sz w:val="22"/>
          <w:szCs w:val="22"/>
        </w:rPr>
        <w:t xml:space="preserve"> </w:t>
      </w:r>
      <w:r w:rsidR="004D20B7">
        <w:rPr>
          <w:rFonts w:asciiTheme="minorHAnsi" w:hAnsiTheme="minorHAnsi" w:cstheme="minorHAnsi"/>
          <w:sz w:val="22"/>
          <w:szCs w:val="22"/>
        </w:rPr>
        <w:t>men’s</w:t>
      </w:r>
      <w:r w:rsidR="004D20B7" w:rsidRPr="004B0BC2">
        <w:rPr>
          <w:rFonts w:asciiTheme="minorHAnsi" w:hAnsiTheme="minorHAnsi" w:cstheme="minorHAnsi"/>
          <w:sz w:val="22"/>
          <w:szCs w:val="22"/>
        </w:rPr>
        <w:t xml:space="preserve"> </w:t>
      </w:r>
      <w:r w:rsidR="00B41E11" w:rsidRPr="004B0BC2">
        <w:rPr>
          <w:rFonts w:asciiTheme="minorHAnsi" w:hAnsiTheme="minorHAnsi" w:cstheme="minorHAnsi"/>
          <w:sz w:val="22"/>
          <w:szCs w:val="22"/>
        </w:rPr>
        <w:t>health</w:t>
      </w:r>
      <w:r w:rsidRPr="004B0BC2">
        <w:rPr>
          <w:rFonts w:asciiTheme="minorHAnsi" w:hAnsiTheme="minorHAnsi" w:cstheme="minorHAnsi"/>
          <w:sz w:val="22"/>
          <w:szCs w:val="22"/>
        </w:rPr>
        <w:t xml:space="preserve"> programme will require c</w:t>
      </w:r>
      <w:r w:rsidR="002066C6" w:rsidRPr="004B0BC2">
        <w:rPr>
          <w:rFonts w:asciiTheme="minorHAnsi" w:hAnsiTheme="minorHAnsi" w:cstheme="minorHAnsi"/>
          <w:sz w:val="22"/>
          <w:szCs w:val="22"/>
        </w:rPr>
        <w:t>ollaboration from a range of specialities</w:t>
      </w:r>
      <w:r w:rsidRPr="004B0BC2">
        <w:rPr>
          <w:rFonts w:asciiTheme="minorHAnsi" w:hAnsiTheme="minorHAnsi" w:cstheme="minorHAnsi"/>
          <w:sz w:val="22"/>
          <w:szCs w:val="22"/>
        </w:rPr>
        <w:t>, including</w:t>
      </w:r>
      <w:r w:rsidR="00156AEF" w:rsidRPr="004B0BC2">
        <w:rPr>
          <w:rFonts w:asciiTheme="minorHAnsi" w:hAnsiTheme="minorHAnsi" w:cstheme="minorHAnsi"/>
          <w:sz w:val="22"/>
          <w:szCs w:val="22"/>
        </w:rPr>
        <w:t xml:space="preserve"> </w:t>
      </w:r>
      <w:r w:rsidR="002066C6" w:rsidRPr="004B0BC2">
        <w:rPr>
          <w:rFonts w:asciiTheme="minorHAnsi" w:hAnsiTheme="minorHAnsi" w:cstheme="minorHAnsi"/>
          <w:sz w:val="22"/>
          <w:szCs w:val="22"/>
        </w:rPr>
        <w:t>urologists, cardiologists</w:t>
      </w:r>
      <w:r w:rsidRPr="004B0BC2">
        <w:rPr>
          <w:rFonts w:asciiTheme="minorHAnsi" w:hAnsiTheme="minorHAnsi" w:cstheme="minorHAnsi"/>
          <w:sz w:val="22"/>
          <w:szCs w:val="22"/>
        </w:rPr>
        <w:t>,</w:t>
      </w:r>
      <w:r w:rsidR="002066C6" w:rsidRPr="004B0BC2">
        <w:rPr>
          <w:rFonts w:asciiTheme="minorHAnsi" w:hAnsiTheme="minorHAnsi" w:cstheme="minorHAnsi"/>
          <w:sz w:val="22"/>
          <w:szCs w:val="22"/>
        </w:rPr>
        <w:t xml:space="preserve"> endocrinologists, dieticians, physiotherapists and psychologists</w:t>
      </w:r>
      <w:r w:rsidR="004D20B7">
        <w:rPr>
          <w:rFonts w:asciiTheme="minorHAnsi" w:hAnsiTheme="minorHAnsi" w:cstheme="minorHAnsi"/>
          <w:sz w:val="22"/>
          <w:szCs w:val="22"/>
        </w:rPr>
        <w:t xml:space="preserve">, </w:t>
      </w:r>
      <w:r w:rsidRPr="004B0BC2">
        <w:rPr>
          <w:rFonts w:asciiTheme="minorHAnsi" w:hAnsiTheme="minorHAnsi" w:cstheme="minorHAnsi"/>
          <w:sz w:val="22"/>
          <w:szCs w:val="22"/>
        </w:rPr>
        <w:t>and</w:t>
      </w:r>
      <w:r w:rsidR="002066C6" w:rsidRPr="004B0BC2">
        <w:rPr>
          <w:rFonts w:asciiTheme="minorHAnsi" w:hAnsiTheme="minorHAnsi" w:cstheme="minorHAnsi"/>
          <w:sz w:val="22"/>
          <w:szCs w:val="22"/>
        </w:rPr>
        <w:t xml:space="preserve"> would not only benefit patient</w:t>
      </w:r>
      <w:r w:rsidR="00E209E8" w:rsidRPr="004B0BC2">
        <w:rPr>
          <w:rFonts w:asciiTheme="minorHAnsi" w:hAnsiTheme="minorHAnsi" w:cstheme="minorHAnsi"/>
          <w:sz w:val="22"/>
          <w:szCs w:val="22"/>
        </w:rPr>
        <w:t>s</w:t>
      </w:r>
      <w:r w:rsidR="002066C6" w:rsidRPr="004B0BC2">
        <w:rPr>
          <w:rFonts w:asciiTheme="minorHAnsi" w:hAnsiTheme="minorHAnsi" w:cstheme="minorHAnsi"/>
          <w:sz w:val="22"/>
          <w:szCs w:val="22"/>
        </w:rPr>
        <w:t xml:space="preserve"> but</w:t>
      </w:r>
      <w:r w:rsidR="00F742F7" w:rsidRPr="004B0BC2">
        <w:rPr>
          <w:rFonts w:asciiTheme="minorHAnsi" w:hAnsiTheme="minorHAnsi" w:cstheme="minorHAnsi"/>
          <w:sz w:val="22"/>
          <w:szCs w:val="22"/>
        </w:rPr>
        <w:t xml:space="preserve"> could</w:t>
      </w:r>
      <w:r w:rsidR="002066C6" w:rsidRPr="004B0BC2">
        <w:rPr>
          <w:rFonts w:asciiTheme="minorHAnsi" w:hAnsiTheme="minorHAnsi" w:cstheme="minorHAnsi"/>
          <w:sz w:val="22"/>
          <w:szCs w:val="22"/>
        </w:rPr>
        <w:t xml:space="preserve"> also</w:t>
      </w:r>
      <w:r w:rsidR="00B66369" w:rsidRPr="004B0BC2">
        <w:rPr>
          <w:rFonts w:asciiTheme="minorHAnsi" w:hAnsiTheme="minorHAnsi" w:cstheme="minorHAnsi"/>
          <w:sz w:val="22"/>
          <w:szCs w:val="22"/>
        </w:rPr>
        <w:t xml:space="preserve"> </w:t>
      </w:r>
      <w:r w:rsidR="002066C6" w:rsidRPr="004B0BC2">
        <w:rPr>
          <w:rFonts w:asciiTheme="minorHAnsi" w:hAnsiTheme="minorHAnsi" w:cstheme="minorHAnsi"/>
          <w:sz w:val="22"/>
          <w:szCs w:val="22"/>
        </w:rPr>
        <w:t>streamline services in a cost-effective manner(8).</w:t>
      </w:r>
      <w:r w:rsidR="005A76C4" w:rsidRPr="004B0BC2">
        <w:rPr>
          <w:rFonts w:asciiTheme="minorHAnsi" w:hAnsiTheme="minorHAnsi" w:cstheme="minorHAnsi"/>
          <w:sz w:val="22"/>
          <w:szCs w:val="22"/>
        </w:rPr>
        <w:t xml:space="preserve"> </w:t>
      </w:r>
      <w:r w:rsidR="009D0021" w:rsidRPr="00500FBD">
        <w:rPr>
          <w:rFonts w:asciiTheme="minorHAnsi" w:hAnsiTheme="minorHAnsi" w:cstheme="minorHAnsi"/>
          <w:sz w:val="22"/>
          <w:szCs w:val="22"/>
        </w:rPr>
        <w:t xml:space="preserve">The contribution of primary care practitioners will be paramount to the success of </w:t>
      </w:r>
      <w:r w:rsidR="004D20B7">
        <w:rPr>
          <w:rFonts w:asciiTheme="minorHAnsi" w:hAnsiTheme="minorHAnsi" w:cstheme="minorHAnsi"/>
          <w:sz w:val="22"/>
          <w:szCs w:val="22"/>
        </w:rPr>
        <w:t xml:space="preserve">such </w:t>
      </w:r>
      <w:r w:rsidR="009D0021" w:rsidRPr="00500FBD">
        <w:rPr>
          <w:rFonts w:asciiTheme="minorHAnsi" w:hAnsiTheme="minorHAnsi" w:cstheme="minorHAnsi"/>
          <w:sz w:val="22"/>
          <w:szCs w:val="22"/>
        </w:rPr>
        <w:t>a programme</w:t>
      </w:r>
      <w:r w:rsidR="004D20B7">
        <w:rPr>
          <w:rFonts w:asciiTheme="minorHAnsi" w:hAnsiTheme="minorHAnsi" w:cstheme="minorHAnsi"/>
          <w:sz w:val="22"/>
          <w:szCs w:val="22"/>
        </w:rPr>
        <w:t>,</w:t>
      </w:r>
      <w:r w:rsidR="009D0021" w:rsidRPr="00500FBD">
        <w:rPr>
          <w:rFonts w:asciiTheme="minorHAnsi" w:hAnsiTheme="minorHAnsi" w:cstheme="minorHAnsi"/>
          <w:sz w:val="22"/>
          <w:szCs w:val="22"/>
        </w:rPr>
        <w:t xml:space="preserve"> a</w:t>
      </w:r>
      <w:r w:rsidR="004D20B7">
        <w:rPr>
          <w:rFonts w:asciiTheme="minorHAnsi" w:hAnsiTheme="minorHAnsi" w:cstheme="minorHAnsi"/>
          <w:sz w:val="22"/>
          <w:szCs w:val="22"/>
        </w:rPr>
        <w:t>nd</w:t>
      </w:r>
      <w:r w:rsidR="009D0021" w:rsidRPr="00500FBD">
        <w:rPr>
          <w:rFonts w:asciiTheme="minorHAnsi" w:hAnsiTheme="minorHAnsi" w:cstheme="minorHAnsi"/>
          <w:sz w:val="22"/>
          <w:szCs w:val="22"/>
        </w:rPr>
        <w:t xml:space="preserve"> a shared-care management</w:t>
      </w:r>
      <w:r w:rsidR="004D20B7">
        <w:rPr>
          <w:rFonts w:asciiTheme="minorHAnsi" w:hAnsiTheme="minorHAnsi" w:cstheme="minorHAnsi"/>
          <w:sz w:val="22"/>
          <w:szCs w:val="22"/>
        </w:rPr>
        <w:t xml:space="preserve"> approach</w:t>
      </w:r>
      <w:r w:rsidR="009D0021" w:rsidRPr="00500FBD">
        <w:rPr>
          <w:rFonts w:asciiTheme="minorHAnsi" w:hAnsiTheme="minorHAnsi" w:cstheme="minorHAnsi"/>
          <w:sz w:val="22"/>
          <w:szCs w:val="22"/>
        </w:rPr>
        <w:t xml:space="preserve"> with </w:t>
      </w:r>
      <w:r w:rsidR="004D20B7">
        <w:rPr>
          <w:rFonts w:asciiTheme="minorHAnsi" w:hAnsiTheme="minorHAnsi" w:cstheme="minorHAnsi"/>
          <w:sz w:val="22"/>
          <w:szCs w:val="22"/>
        </w:rPr>
        <w:t>u</w:t>
      </w:r>
      <w:r w:rsidR="009D0021" w:rsidRPr="00500FBD">
        <w:rPr>
          <w:rFonts w:asciiTheme="minorHAnsi" w:hAnsiTheme="minorHAnsi" w:cstheme="minorHAnsi"/>
          <w:sz w:val="22"/>
          <w:szCs w:val="22"/>
        </w:rPr>
        <w:t>rologists w</w:t>
      </w:r>
      <w:r w:rsidR="004D20B7">
        <w:rPr>
          <w:rFonts w:asciiTheme="minorHAnsi" w:hAnsiTheme="minorHAnsi" w:cstheme="minorHAnsi"/>
          <w:sz w:val="22"/>
          <w:szCs w:val="22"/>
        </w:rPr>
        <w:t>ould enable</w:t>
      </w:r>
      <w:r w:rsidR="009D0021" w:rsidRPr="00500FBD">
        <w:rPr>
          <w:rFonts w:asciiTheme="minorHAnsi" w:hAnsiTheme="minorHAnsi" w:cstheme="minorHAnsi"/>
          <w:sz w:val="22"/>
          <w:szCs w:val="22"/>
        </w:rPr>
        <w:t xml:space="preserve"> ongoing treatments and preventative care practice in the community. </w:t>
      </w:r>
      <w:r w:rsidR="004D20B7">
        <w:rPr>
          <w:rFonts w:asciiTheme="minorHAnsi" w:hAnsiTheme="minorHAnsi" w:cstheme="minorHAnsi"/>
          <w:sz w:val="22"/>
          <w:szCs w:val="22"/>
        </w:rPr>
        <w:t>Future</w:t>
      </w:r>
      <w:r w:rsidR="009D0021" w:rsidRPr="00500FBD">
        <w:rPr>
          <w:rFonts w:asciiTheme="minorHAnsi" w:hAnsiTheme="minorHAnsi" w:cstheme="minorHAnsi"/>
          <w:sz w:val="22"/>
          <w:szCs w:val="22"/>
        </w:rPr>
        <w:t xml:space="preserve"> data acquisition will </w:t>
      </w:r>
      <w:r w:rsidR="004D20B7">
        <w:rPr>
          <w:rFonts w:asciiTheme="minorHAnsi" w:hAnsiTheme="minorHAnsi" w:cstheme="minorHAnsi"/>
          <w:sz w:val="22"/>
          <w:szCs w:val="22"/>
        </w:rPr>
        <w:t>enable the development of</w:t>
      </w:r>
      <w:r w:rsidR="009D0021" w:rsidRPr="00500FBD">
        <w:rPr>
          <w:rFonts w:asciiTheme="minorHAnsi" w:hAnsiTheme="minorHAnsi" w:cstheme="minorHAnsi"/>
          <w:sz w:val="22"/>
          <w:szCs w:val="22"/>
        </w:rPr>
        <w:t xml:space="preserve"> evidence based, sex-specific protocols and guidelines</w:t>
      </w:r>
      <w:r w:rsidR="004D20B7">
        <w:rPr>
          <w:rFonts w:asciiTheme="minorHAnsi" w:hAnsiTheme="minorHAnsi" w:cstheme="minorHAnsi"/>
          <w:sz w:val="22"/>
          <w:szCs w:val="22"/>
        </w:rPr>
        <w:t>, facilitating</w:t>
      </w:r>
      <w:r w:rsidR="009D0021" w:rsidRPr="00500FBD">
        <w:rPr>
          <w:rFonts w:asciiTheme="minorHAnsi" w:hAnsiTheme="minorHAnsi" w:cstheme="minorHAnsi"/>
          <w:sz w:val="22"/>
          <w:szCs w:val="22"/>
        </w:rPr>
        <w:t xml:space="preserve"> a </w:t>
      </w:r>
      <w:r w:rsidR="004D20B7">
        <w:rPr>
          <w:rFonts w:asciiTheme="minorHAnsi" w:hAnsiTheme="minorHAnsi" w:cstheme="minorHAnsi"/>
          <w:sz w:val="22"/>
          <w:szCs w:val="22"/>
        </w:rPr>
        <w:t xml:space="preserve">community </w:t>
      </w:r>
      <w:r w:rsidR="009D0021" w:rsidRPr="00500FBD">
        <w:rPr>
          <w:rFonts w:asciiTheme="minorHAnsi" w:hAnsiTheme="minorHAnsi" w:cstheme="minorHAnsi"/>
          <w:sz w:val="22"/>
          <w:szCs w:val="22"/>
        </w:rPr>
        <w:t>men’s health programme supported by primary care doctors.</w:t>
      </w:r>
      <w:r w:rsidR="00BB5F81" w:rsidRPr="00500FBD">
        <w:rPr>
          <w:rFonts w:asciiTheme="minorHAnsi" w:hAnsiTheme="minorHAnsi" w:cstheme="minorHAnsi"/>
          <w:sz w:val="22"/>
          <w:szCs w:val="22"/>
        </w:rPr>
        <w:t xml:space="preserve"> </w:t>
      </w:r>
    </w:p>
    <w:p w14:paraId="49AE0953" w14:textId="754B44A5" w:rsidR="00E95AAE" w:rsidRDefault="009D0021" w:rsidP="001C26F0">
      <w:pPr>
        <w:shd w:val="clear" w:color="auto" w:fill="FFFFFF"/>
        <w:spacing w:line="480" w:lineRule="auto"/>
        <w:rPr>
          <w:rFonts w:asciiTheme="minorHAnsi" w:hAnsiTheme="minorHAnsi" w:cstheme="minorHAnsi"/>
          <w:color w:val="000000"/>
          <w:sz w:val="22"/>
          <w:szCs w:val="22"/>
        </w:rPr>
      </w:pPr>
      <w:r w:rsidRPr="00500FBD">
        <w:rPr>
          <w:rFonts w:asciiTheme="minorHAnsi" w:hAnsiTheme="minorHAnsi" w:cstheme="minorHAnsi"/>
          <w:color w:val="000000"/>
          <w:sz w:val="22"/>
          <w:szCs w:val="22"/>
        </w:rPr>
        <w:t>A structured men’s health</w:t>
      </w:r>
      <w:r w:rsidR="004D20B7">
        <w:rPr>
          <w:rFonts w:asciiTheme="minorHAnsi" w:hAnsiTheme="minorHAnsi" w:cstheme="minorHAnsi"/>
          <w:color w:val="000000"/>
          <w:sz w:val="22"/>
          <w:szCs w:val="22"/>
        </w:rPr>
        <w:t>-</w:t>
      </w:r>
      <w:r w:rsidRPr="00500FBD">
        <w:rPr>
          <w:rFonts w:asciiTheme="minorHAnsi" w:hAnsiTheme="minorHAnsi" w:cstheme="minorHAnsi"/>
          <w:color w:val="000000"/>
          <w:sz w:val="22"/>
          <w:szCs w:val="22"/>
        </w:rPr>
        <w:t>care programme could</w:t>
      </w:r>
      <w:r w:rsidR="00BB5F81" w:rsidRPr="00500FBD">
        <w:rPr>
          <w:rFonts w:asciiTheme="minorHAnsi" w:hAnsiTheme="minorHAnsi" w:cstheme="minorHAnsi"/>
          <w:color w:val="000000"/>
          <w:sz w:val="22"/>
          <w:szCs w:val="22"/>
        </w:rPr>
        <w:t xml:space="preserve"> also</w:t>
      </w:r>
      <w:r w:rsidRPr="00500FBD">
        <w:rPr>
          <w:rFonts w:asciiTheme="minorHAnsi" w:hAnsiTheme="minorHAnsi" w:cstheme="minorHAnsi"/>
          <w:color w:val="000000"/>
          <w:sz w:val="22"/>
          <w:szCs w:val="22"/>
        </w:rPr>
        <w:t xml:space="preserve"> improve health</w:t>
      </w:r>
      <w:r w:rsidR="004D20B7">
        <w:rPr>
          <w:rFonts w:asciiTheme="minorHAnsi" w:hAnsiTheme="minorHAnsi" w:cstheme="minorHAnsi"/>
          <w:color w:val="000000"/>
          <w:sz w:val="22"/>
          <w:szCs w:val="22"/>
        </w:rPr>
        <w:t>-</w:t>
      </w:r>
      <w:r w:rsidRPr="00500FBD">
        <w:rPr>
          <w:rFonts w:asciiTheme="minorHAnsi" w:hAnsiTheme="minorHAnsi" w:cstheme="minorHAnsi"/>
          <w:color w:val="000000"/>
          <w:sz w:val="22"/>
          <w:szCs w:val="22"/>
        </w:rPr>
        <w:t xml:space="preserve">care utilisation by </w:t>
      </w:r>
      <w:r w:rsidR="004D20B7">
        <w:rPr>
          <w:rFonts w:asciiTheme="minorHAnsi" w:hAnsiTheme="minorHAnsi" w:cstheme="minorHAnsi"/>
          <w:color w:val="000000"/>
          <w:sz w:val="22"/>
          <w:szCs w:val="22"/>
        </w:rPr>
        <w:t xml:space="preserve">appealing to </w:t>
      </w:r>
      <w:r w:rsidRPr="00500FBD">
        <w:rPr>
          <w:rFonts w:asciiTheme="minorHAnsi" w:hAnsiTheme="minorHAnsi" w:cstheme="minorHAnsi"/>
          <w:color w:val="000000"/>
          <w:sz w:val="22"/>
          <w:szCs w:val="22"/>
        </w:rPr>
        <w:t xml:space="preserve">the male psyche and promoting </w:t>
      </w:r>
      <w:r w:rsidR="004D20B7">
        <w:rPr>
          <w:rFonts w:asciiTheme="minorHAnsi" w:hAnsiTheme="minorHAnsi" w:cstheme="minorHAnsi"/>
          <w:color w:val="000000"/>
          <w:sz w:val="22"/>
          <w:szCs w:val="22"/>
        </w:rPr>
        <w:t>men’s</w:t>
      </w:r>
      <w:r w:rsidR="004D20B7" w:rsidRPr="00500FBD">
        <w:rPr>
          <w:rFonts w:asciiTheme="minorHAnsi" w:hAnsiTheme="minorHAnsi" w:cstheme="minorHAnsi"/>
          <w:color w:val="000000"/>
          <w:sz w:val="22"/>
          <w:szCs w:val="22"/>
        </w:rPr>
        <w:t xml:space="preserve"> </w:t>
      </w:r>
      <w:r w:rsidRPr="00500FBD">
        <w:rPr>
          <w:rFonts w:asciiTheme="minorHAnsi" w:hAnsiTheme="minorHAnsi" w:cstheme="minorHAnsi"/>
          <w:color w:val="000000"/>
          <w:sz w:val="22"/>
          <w:szCs w:val="22"/>
        </w:rPr>
        <w:t>empowerment over their health. Th</w:t>
      </w:r>
      <w:r w:rsidR="004D20B7">
        <w:rPr>
          <w:rFonts w:asciiTheme="minorHAnsi" w:hAnsiTheme="minorHAnsi" w:cstheme="minorHAnsi"/>
          <w:color w:val="000000"/>
          <w:sz w:val="22"/>
          <w:szCs w:val="22"/>
        </w:rPr>
        <w:t>e implementation of th</w:t>
      </w:r>
      <w:r w:rsidRPr="00500FBD">
        <w:rPr>
          <w:rFonts w:asciiTheme="minorHAnsi" w:hAnsiTheme="minorHAnsi" w:cstheme="minorHAnsi"/>
          <w:color w:val="000000"/>
          <w:sz w:val="22"/>
          <w:szCs w:val="22"/>
        </w:rPr>
        <w:t xml:space="preserve">is </w:t>
      </w:r>
      <w:r w:rsidR="004D20B7">
        <w:rPr>
          <w:rFonts w:asciiTheme="minorHAnsi" w:hAnsiTheme="minorHAnsi" w:cstheme="minorHAnsi"/>
          <w:color w:val="000000"/>
          <w:sz w:val="22"/>
          <w:szCs w:val="22"/>
        </w:rPr>
        <w:t>approach might vary according to</w:t>
      </w:r>
      <w:r w:rsidRPr="00500FBD">
        <w:rPr>
          <w:rFonts w:asciiTheme="minorHAnsi" w:hAnsiTheme="minorHAnsi" w:cstheme="minorHAnsi"/>
          <w:color w:val="000000"/>
          <w:sz w:val="22"/>
          <w:szCs w:val="22"/>
        </w:rPr>
        <w:t xml:space="preserve"> race and ethnicity. For example, data </w:t>
      </w:r>
      <w:r w:rsidR="004D20B7">
        <w:rPr>
          <w:rFonts w:asciiTheme="minorHAnsi" w:hAnsiTheme="minorHAnsi" w:cstheme="minorHAnsi"/>
          <w:color w:val="000000"/>
          <w:sz w:val="22"/>
          <w:szCs w:val="22"/>
        </w:rPr>
        <w:t xml:space="preserve">are available to </w:t>
      </w:r>
      <w:r w:rsidRPr="00500FBD">
        <w:rPr>
          <w:rFonts w:asciiTheme="minorHAnsi" w:hAnsiTheme="minorHAnsi" w:cstheme="minorHAnsi"/>
          <w:color w:val="000000"/>
          <w:sz w:val="22"/>
          <w:szCs w:val="22"/>
        </w:rPr>
        <w:t>show that the Latino culture values men as the breadwinner or provider for the family</w:t>
      </w:r>
      <w:r w:rsidR="00E95AAE" w:rsidRPr="00B71A37">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{"citationItems":[{"id":"ITEM-1","itemData":{"DOI":"10.32398/cjhp.v10iSI-Latino.1484","ISSN":"1545-8725","abstract":"Males may experience several barriers to seeking health care, including unfamiliarity with procedures (e.g. colonoscopy), stigma and fear of a given health issue, perceived breach of masculinity (machismo), and fear of feeling vulnerable. Evidence suggests church-based interventions are an effective way to strengthen the connection between promotional message content and participant conceptualization of the risks and benefits of health screenings. However, there is a lack of evidence demonstrating such effectiveness in men's health, and there is even more of a dearth of research focusing on Latinos. This discussion presents trends from a series of 4 community-based seminars during the 2010-2011 academic year conducted with Latino faith-based groups on men's health issues. Approximately 70 Latino men attended a series of seminars on health and wellness as it pertains to cancer screening procedures offered after church services. A particular emphasis was placed on perceived masculinity (machismo) and gender roles within the social environment, and how they influence health screenings among men, particularly for colorectal, prostate, and testicular cancer. The seminar series were a first step in laying the foundations for future formal effectiveness testing of faith-based facilities serving as a conduit for health promotion efforts among Latinos. This paper presents lessons learned from this new approach in community health outreach efforts. We advocate that faith-based groups can be an efficient and effective way to raise awareness and promote wellness among Latino men.","author":[{"dropping-particle":"","family":"Rovito","given":"Michael","non-dropping-particle":"","parse-names":false,"suffix":""},{"dropping-particle":"","family":"Leone","given":"James","non-dropping-particle":"","parse-names":false,"suffix":""}],"container-title":"Californian Journal of Health Promotion","id":"ITEM-1","issued":{"date-parts":[["2012"]]},"page":"70-77","title":"Faith and Masculinity: A Discussion on Raising Awareness and Promoting Cancer Screening Among Latino Men","type":"article-journal","volume":"10"},"uris":["http://www.mendeley.com/documents/?uuid=5da5eb39-696d-4569-b9ec-a5a35db1bcdf"]}],"mendeley":{"formattedCitation":"(190)","plainTextFormattedCitation":"(190)","previouslyFormattedCitation":"(191)"},"properties":{"noteIndex":0},"schema":"https://github.com/citation-style-language/schema/raw/master/csl-citation.json"}</w:instrText>
      </w:r>
      <w:r w:rsidR="00E95AAE" w:rsidRPr="00B71A37">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(190)</w:t>
      </w:r>
      <w:r w:rsidR="00E95AAE" w:rsidRPr="00B71A37">
        <w:rPr>
          <w:rFonts w:asciiTheme="minorHAnsi" w:hAnsiTheme="minorHAnsi" w:cstheme="minorHAnsi"/>
          <w:color w:val="000000"/>
          <w:sz w:val="22"/>
          <w:szCs w:val="22"/>
        </w:rPr>
        <w:fldChar w:fldCharType="end"/>
      </w:r>
      <w:r w:rsidR="00E95AAE">
        <w:rPr>
          <w:rFonts w:asciiTheme="minorHAnsi" w:hAnsiTheme="minorHAnsi" w:cstheme="minorHAnsi"/>
          <w:color w:val="000000"/>
          <w:sz w:val="22"/>
          <w:szCs w:val="22"/>
        </w:rPr>
        <w:t>;</w:t>
      </w:r>
      <w:r w:rsidRPr="00500FBD">
        <w:rPr>
          <w:rFonts w:asciiTheme="minorHAnsi" w:hAnsiTheme="minorHAnsi" w:cstheme="minorHAnsi"/>
          <w:color w:val="000000"/>
          <w:sz w:val="22"/>
          <w:szCs w:val="22"/>
        </w:rPr>
        <w:t xml:space="preserve"> thus</w:t>
      </w:r>
      <w:r w:rsidR="00E95AAE">
        <w:rPr>
          <w:rFonts w:asciiTheme="minorHAnsi" w:hAnsiTheme="minorHAnsi" w:cstheme="minorHAnsi"/>
          <w:color w:val="000000"/>
          <w:sz w:val="22"/>
          <w:szCs w:val="22"/>
        </w:rPr>
        <w:t>,</w:t>
      </w:r>
      <w:r w:rsidRPr="00500FBD">
        <w:rPr>
          <w:rFonts w:asciiTheme="minorHAnsi" w:hAnsiTheme="minorHAnsi" w:cstheme="minorHAnsi"/>
          <w:color w:val="000000"/>
          <w:sz w:val="22"/>
          <w:szCs w:val="22"/>
        </w:rPr>
        <w:t xml:space="preserve"> this community could be encouraged to support men’s health </w:t>
      </w:r>
      <w:r w:rsidR="00E95AAE">
        <w:rPr>
          <w:rFonts w:asciiTheme="minorHAnsi" w:hAnsiTheme="minorHAnsi" w:cstheme="minorHAnsi"/>
          <w:color w:val="000000"/>
          <w:sz w:val="22"/>
          <w:szCs w:val="22"/>
        </w:rPr>
        <w:t>with</w:t>
      </w:r>
      <w:r w:rsidR="00E95AAE" w:rsidRPr="00500FBD">
        <w:rPr>
          <w:rFonts w:asciiTheme="minorHAnsi" w:hAnsiTheme="minorHAnsi" w:cstheme="minorHAnsi"/>
          <w:color w:val="000000"/>
          <w:sz w:val="22"/>
          <w:szCs w:val="22"/>
        </w:rPr>
        <w:t xml:space="preserve"> </w:t>
      </w:r>
      <w:r w:rsidRPr="00500FBD">
        <w:rPr>
          <w:rFonts w:asciiTheme="minorHAnsi" w:hAnsiTheme="minorHAnsi" w:cstheme="minorHAnsi"/>
          <w:color w:val="000000"/>
          <w:sz w:val="22"/>
          <w:szCs w:val="22"/>
        </w:rPr>
        <w:t xml:space="preserve">the rationale that it can be </w:t>
      </w:r>
      <w:r w:rsidRPr="00500FBD">
        <w:rPr>
          <w:rFonts w:asciiTheme="minorHAnsi" w:hAnsiTheme="minorHAnsi" w:cstheme="minorHAnsi"/>
          <w:color w:val="000000"/>
          <w:sz w:val="22"/>
          <w:szCs w:val="22"/>
        </w:rPr>
        <w:lastRenderedPageBreak/>
        <w:t>instrumental to the wellbeing of individual families and the community as a whole. Similarly, studies have reported that dietary interventions instituted through African American churches can improve fruit and vegetable intake for African American Men</w:t>
      </w:r>
      <w:r w:rsidRPr="00500FBD">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{"citationItems":[{"id":"ITEM-1","itemData":{"DOI":"10.1016/j.amepre.2004.04.009","ISSN":"07493797","PMID":"15261895","abstract":"Objectives Body and Soul was a collaborative effort among two research universities, a national voluntary agency (American Cancer Society), and the National Institutes of Health to disseminate and evaluate under real-world conditions the impact of previously developed dietary interventions for African Americans. Methods Body and Soul was constructed from two successful research-based interventions conducted in African-American churches. Components deemed essential from the prior interventions were combined, and then tested in a cluster randomized-effectiveness trial. The primary outcome was fruit and vegetable intake measured with two types of food frequency questionnaires at baseline and 6-month follow-up. Results At the 6-month follow-up, intervention participants showed significantly greater fruit and vegetable (F&amp;V) intake relative to controls. Post-test differences were 0.7 and 1.4 servings for the 2-item and 17-item F&amp;V frequency measures, respectively. Statistically significant positive changes in fat intake, motivation to eat F&amp;V, social support, and efficacy to eat F&amp;V were also observed. Conclusions The results suggest that research-based interventions, delivered collaboratively by community volunteers and a health-related voluntary agency, can be effectively implemented under real-world conditions. © 2004 American Journal of Preventive Medicine.","author":[{"dropping-particle":"","family":"Resnicow","given":"Ken","non-dropping-particle":"","parse-names":false,"suffix":""},{"dropping-particle":"","family":"Kramish Campbell","given":"Marci","non-dropping-particle":"","parse-names":false,"suffix":""},{"dropping-particle":"","family":"Carr","given":"Carol","non-dropping-particle":"","parse-names":false,"suffix":""},{"dropping-particle":"","family":"McCarty","given":"Frances","non-dropping-particle":"","parse-names":false,"suffix":""},{"dropping-particle":"","family":"Wang","given":"Terry","non-dropping-particle":"","parse-names":false,"suffix":""},{"dropping-particle":"","family":"Periasamy","given":"Santhi","non-dropping-particle":"","parse-names":false,"suffix":""},{"dropping-particle":"","family":"Rahotep","given":"Simone","non-dropping-particle":"","parse-names":false,"suffix":""},{"dropping-particle":"","family":"Doyle","given":"Colleen","non-dropping-particle":"","parse-names":false,"suffix":""},{"dropping-particle":"","family":"Williams","given":"Alexis","non-dropping-particle":"","parse-names":false,"suffix":""},{"dropping-particle":"","family":"Stables","given":"Gloria","non-dropping-particle":"","parse-names":false,"suffix":""}],"container-title":"American Journal of Preventive Medicine","id":"ITEM-1","issue":"2","issued":{"date-parts":[["2004"]]},"page":"97-105","title":"Body and soul: A dietary intervention conducted through African-American churches","type":"article-journal","volume":"27"},"uris":["http://www.mendeley.com/documents/?uuid=2f6469b0-7e54-40d6-ab22-a65dcc2a92ac"]}],"mendeley":{"formattedCitation":"(191)","plainTextFormattedCitation":"(191)","previouslyFormattedCitation":"(192)"},"properties":{"noteIndex":0},"schema":"https://github.com/citation-style-language/schema/raw/master/csl-citation.json"}</w:instrText>
      </w:r>
      <w:r w:rsidRPr="00500FBD">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(191)</w:t>
      </w:r>
      <w:r w:rsidRPr="00500FBD">
        <w:rPr>
          <w:rFonts w:asciiTheme="minorHAnsi" w:hAnsiTheme="minorHAnsi" w:cstheme="minorHAnsi"/>
          <w:color w:val="000000"/>
          <w:sz w:val="22"/>
          <w:szCs w:val="22"/>
        </w:rPr>
        <w:fldChar w:fldCharType="end"/>
      </w:r>
      <w:r w:rsidRPr="00500FBD">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{"citationItems":[{"id":"ITEM-1","itemData":{"DOI":"10.2105/AJPH.91.10.1686","ISSN":"00900036","PMID":"11574336","abstract":"Objectives. This study reports on Eat for Life, a multicomponent intervention to increase fruit and vegetable consumption among African Americans that was delivered through Black churches. Methods. Fourteen churches were randomly assigned to 3 treatment conditions: (1) comparison, (2) self-help intervention with 1 telephone cue call, and (3) self-help with 1 cue call and 3 counseling calls. The telephone counseling in group 3 was based on motivational interviewing. The primary outcome, assessed at baseline and 1-year follow-up, was fruit and vegetable intake as assessed by 3 food frequency questionnaires. Results. Change in fruit and vegetable intake was significantly greater in the motivational interviewing group than in the comparison and self-help groups. The net difference between the motivational interviewing and comparison groups was 1.38, 1.03, and 1.21 servings of fruits and vegetables per day for the 2-item, 7-item, and 36-item food frequency questionnaires, respectively. The net difference between the motivational interviewing and self-help groups was 1.14, 1.10, and 0.97 servings for the 2-item, 7-item, and 36-item food frequency questionnaires, respectively. Conclusions. Motivational interviewing appears to be a promising strategy for modifying dietary behavior, and Black churches are an excellent setting to implement and evaluate health promotion programs.","author":[{"dropping-particle":"","family":"Resnicow","given":"K.","non-dropping-particle":"","parse-names":false,"suffix":""},{"dropping-particle":"","family":"Jackson","given":"A.","non-dropping-particle":"","parse-names":false,"suffix":""},{"dropping-particle":"","family":"Wang","given":"T.","non-dropping-particle":"","parse-names":false,"suffix":""},{"dropping-particle":"","family":"De","given":"A. K.","non-dropping-particle":"","parse-names":false,"suffix":""},{"dropping-particle":"","family":"McCarty","given":"F.","non-dropping-particle":"","parse-names":false,"suffix":""},{"dropping-particle":"","family":"Dudley","given":"W. N.","non-dropping-particle":"","parse-names":false,"suffix":""},{"dropping-particle":"","family":"Baranowski","given":"T.","non-dropping-particle":"","parse-names":false,"suffix":""}],"container-title":"American Journal of Public Health","id":"ITEM-1","issue":"10","issued":{"date-parts":[["2001"]]},"page":"1686-93","title":"A motivational interviewing intervention to increase fruit and vegetable intake through Black churches: Results of the eat for life trial","type":"article-journal","volume":"91"},"uris":["http://www.mendeley.com/documents/?uuid=41e3800d-f918-4770-b6ec-80429bfe01e4"]}],"mendeley":{"formattedCitation":"(192)","plainTextFormattedCitation":"(192)","previouslyFormattedCitation":"(193)"},"properties":{"noteIndex":0},"schema":"https://github.com/citation-style-language/schema/raw/master/csl-citation.json"}</w:instrText>
      </w:r>
      <w:r w:rsidRPr="00500FBD">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(192)</w:t>
      </w:r>
      <w:r w:rsidRPr="00500FBD">
        <w:rPr>
          <w:rFonts w:asciiTheme="minorHAnsi" w:hAnsiTheme="minorHAnsi" w:cstheme="minorHAnsi"/>
          <w:color w:val="000000"/>
          <w:sz w:val="22"/>
          <w:szCs w:val="22"/>
        </w:rPr>
        <w:fldChar w:fldCharType="end"/>
      </w:r>
      <w:r w:rsidR="00464863">
        <w:rPr>
          <w:rFonts w:asciiTheme="minorHAnsi" w:hAnsiTheme="minorHAnsi" w:cstheme="minorHAnsi"/>
          <w:color w:val="000000"/>
          <w:sz w:val="22"/>
          <w:szCs w:val="22"/>
        </w:rPr>
        <w:t>.</w:t>
      </w:r>
      <w:r w:rsidR="00E95AAE">
        <w:rPr>
          <w:rFonts w:asciiTheme="minorHAnsi" w:hAnsiTheme="minorHAnsi" w:cstheme="minorHAnsi"/>
          <w:color w:val="000000"/>
          <w:sz w:val="22"/>
          <w:szCs w:val="22"/>
        </w:rPr>
        <w:t xml:space="preserve"> </w:t>
      </w:r>
      <w:r w:rsidR="00343CD7">
        <w:rPr>
          <w:rFonts w:asciiTheme="minorHAnsi" w:hAnsiTheme="minorHAnsi" w:cstheme="minorHAnsi"/>
          <w:color w:val="000000"/>
          <w:sz w:val="22"/>
          <w:szCs w:val="22"/>
        </w:rPr>
        <w:t>Thus</w:t>
      </w:r>
      <w:r w:rsidR="00464863">
        <w:rPr>
          <w:rFonts w:asciiTheme="minorHAnsi" w:hAnsiTheme="minorHAnsi" w:cstheme="minorHAnsi"/>
          <w:color w:val="000000"/>
          <w:sz w:val="22"/>
          <w:szCs w:val="22"/>
        </w:rPr>
        <w:t>, churches could provide an ideal location to advertise and</w:t>
      </w:r>
      <w:r w:rsidR="001C6580">
        <w:rPr>
          <w:rFonts w:asciiTheme="minorHAnsi" w:hAnsiTheme="minorHAnsi" w:cstheme="minorHAnsi"/>
          <w:color w:val="000000"/>
          <w:sz w:val="22"/>
          <w:szCs w:val="22"/>
        </w:rPr>
        <w:t xml:space="preserve"> practice men’s health care initiatives to target the African American community</w:t>
      </w:r>
      <w:r w:rsidR="0035636E" w:rsidRPr="0035636E">
        <w:rPr>
          <w:rFonts w:asciiTheme="minorHAnsi" w:hAnsiTheme="minorHAnsi" w:cstheme="minorHAnsi"/>
          <w:sz w:val="22"/>
          <w:szCs w:val="22"/>
        </w:rPr>
        <w:t>.</w:t>
      </w:r>
      <w:r w:rsidRPr="00500FBD">
        <w:rPr>
          <w:rFonts w:asciiTheme="minorHAnsi" w:hAnsiTheme="minorHAnsi" w:cstheme="minorHAnsi"/>
          <w:noProof/>
          <w:sz w:val="22"/>
          <w:szCs w:val="22"/>
        </w:rPr>
        <w:t xml:space="preserve"> </w:t>
      </w:r>
      <w:r w:rsidRPr="00500FBD">
        <w:rPr>
          <w:rFonts w:asciiTheme="minorHAnsi" w:hAnsiTheme="minorHAnsi" w:cstheme="minorHAnsi"/>
          <w:color w:val="000000"/>
          <w:sz w:val="22"/>
          <w:szCs w:val="22"/>
        </w:rPr>
        <w:t xml:space="preserve">Men’s health awareness campaigns can be regularly promoted </w:t>
      </w:r>
      <w:r w:rsidR="00E95AAE">
        <w:rPr>
          <w:rFonts w:asciiTheme="minorHAnsi" w:hAnsiTheme="minorHAnsi" w:cstheme="minorHAnsi"/>
          <w:color w:val="000000"/>
          <w:sz w:val="22"/>
          <w:szCs w:val="22"/>
        </w:rPr>
        <w:t>around</w:t>
      </w:r>
      <w:r w:rsidR="00E95AAE" w:rsidRPr="00500FBD">
        <w:rPr>
          <w:rFonts w:asciiTheme="minorHAnsi" w:hAnsiTheme="minorHAnsi" w:cstheme="minorHAnsi"/>
          <w:color w:val="000000"/>
          <w:sz w:val="22"/>
          <w:szCs w:val="22"/>
        </w:rPr>
        <w:t xml:space="preserve"> </w:t>
      </w:r>
      <w:r w:rsidRPr="00500FBD">
        <w:rPr>
          <w:rFonts w:asciiTheme="minorHAnsi" w:hAnsiTheme="minorHAnsi" w:cstheme="minorHAnsi"/>
          <w:color w:val="000000"/>
          <w:sz w:val="22"/>
          <w:szCs w:val="22"/>
        </w:rPr>
        <w:t>Father</w:t>
      </w:r>
      <w:r w:rsidR="00E95AAE">
        <w:rPr>
          <w:rFonts w:asciiTheme="minorHAnsi" w:hAnsiTheme="minorHAnsi" w:cstheme="minorHAnsi"/>
          <w:color w:val="000000"/>
          <w:sz w:val="22"/>
          <w:szCs w:val="22"/>
        </w:rPr>
        <w:t>s’</w:t>
      </w:r>
      <w:r w:rsidRPr="00500FBD">
        <w:rPr>
          <w:rFonts w:asciiTheme="minorHAnsi" w:hAnsiTheme="minorHAnsi" w:cstheme="minorHAnsi"/>
          <w:color w:val="000000"/>
          <w:sz w:val="22"/>
          <w:szCs w:val="22"/>
        </w:rPr>
        <w:t xml:space="preserve"> Day, Men’s Health Month</w:t>
      </w:r>
      <w:r w:rsidR="006F6B02">
        <w:rPr>
          <w:rFonts w:asciiTheme="minorHAnsi" w:hAnsiTheme="minorHAnsi" w:cstheme="minorHAnsi"/>
          <w:color w:val="000000"/>
          <w:sz w:val="22"/>
          <w:szCs w:val="22"/>
        </w:rPr>
        <w:t xml:space="preserve"> (June)</w:t>
      </w:r>
      <w:r w:rsidR="00E95AAE">
        <w:rPr>
          <w:rFonts w:asciiTheme="minorHAnsi" w:hAnsiTheme="minorHAnsi" w:cstheme="minorHAnsi"/>
          <w:color w:val="000000"/>
          <w:sz w:val="22"/>
          <w:szCs w:val="22"/>
        </w:rPr>
        <w:t xml:space="preserve"> </w:t>
      </w:r>
      <w:r w:rsidRPr="00500FBD">
        <w:rPr>
          <w:rFonts w:asciiTheme="minorHAnsi" w:hAnsiTheme="minorHAnsi" w:cstheme="minorHAnsi"/>
          <w:color w:val="000000"/>
          <w:sz w:val="22"/>
          <w:szCs w:val="22"/>
        </w:rPr>
        <w:t xml:space="preserve">and other </w:t>
      </w:r>
      <w:r w:rsidR="00E95AAE">
        <w:rPr>
          <w:rFonts w:asciiTheme="minorHAnsi" w:hAnsiTheme="minorHAnsi" w:cstheme="minorHAnsi"/>
          <w:color w:val="000000"/>
          <w:sz w:val="22"/>
          <w:szCs w:val="22"/>
        </w:rPr>
        <w:t>high-profile campaigns, such as</w:t>
      </w:r>
      <w:r w:rsidRPr="00500FBD">
        <w:rPr>
          <w:rFonts w:asciiTheme="minorHAnsi" w:hAnsiTheme="minorHAnsi" w:cstheme="minorHAnsi"/>
          <w:color w:val="000000"/>
          <w:sz w:val="22"/>
          <w:szCs w:val="22"/>
        </w:rPr>
        <w:t xml:space="preserve"> Movember. </w:t>
      </w:r>
    </w:p>
    <w:p w14:paraId="47379C32" w14:textId="0CCBF598" w:rsidR="009D0021" w:rsidRPr="00500FBD" w:rsidRDefault="00E95AAE" w:rsidP="001C26F0">
      <w:pPr>
        <w:shd w:val="clear" w:color="auto" w:fill="FFFFFF"/>
        <w:spacing w:line="480" w:lineRule="auto"/>
        <w:rPr>
          <w:rFonts w:asciiTheme="minorHAnsi" w:hAnsiTheme="minorHAnsi" w:cstheme="minorHAnsi"/>
          <w:color w:val="000000"/>
          <w:sz w:val="22"/>
          <w:szCs w:val="22"/>
        </w:rPr>
      </w:pPr>
      <w:r>
        <w:rPr>
          <w:rFonts w:asciiTheme="minorHAnsi" w:hAnsiTheme="minorHAnsi" w:cstheme="minorHAnsi"/>
          <w:color w:val="000000"/>
          <w:sz w:val="22"/>
          <w:szCs w:val="22"/>
        </w:rPr>
        <w:t>T</w:t>
      </w:r>
      <w:r w:rsidR="009D0021" w:rsidRPr="00500FBD">
        <w:rPr>
          <w:rFonts w:asciiTheme="minorHAnsi" w:hAnsiTheme="minorHAnsi" w:cstheme="minorHAnsi"/>
          <w:color w:val="000000"/>
          <w:sz w:val="22"/>
          <w:szCs w:val="22"/>
        </w:rPr>
        <w:t xml:space="preserve">he intersectionality of sex, gender, race and health outcomes is a complex but expanding field of research and the benefit of a men’s health programme would be the opportunity to collect sex-specific data. </w:t>
      </w:r>
      <w:r>
        <w:rPr>
          <w:rFonts w:asciiTheme="minorHAnsi" w:hAnsiTheme="minorHAnsi" w:cstheme="minorHAnsi"/>
          <w:color w:val="000000"/>
          <w:sz w:val="22"/>
          <w:szCs w:val="22"/>
        </w:rPr>
        <w:t>A 2019</w:t>
      </w:r>
      <w:r w:rsidR="009D0021" w:rsidRPr="00500FBD">
        <w:rPr>
          <w:rFonts w:asciiTheme="minorHAnsi" w:hAnsiTheme="minorHAnsi" w:cstheme="minorHAnsi"/>
          <w:color w:val="000000"/>
          <w:sz w:val="22"/>
          <w:szCs w:val="22"/>
        </w:rPr>
        <w:t xml:space="preserve"> bibliometric analysis of sex-related reporting in medical research studied more than 11.5 million papers published between 1980</w:t>
      </w:r>
      <w:r>
        <w:rPr>
          <w:rFonts w:asciiTheme="minorHAnsi" w:hAnsiTheme="minorHAnsi" w:cstheme="minorHAnsi"/>
          <w:color w:val="000000"/>
          <w:sz w:val="22"/>
          <w:szCs w:val="22"/>
        </w:rPr>
        <w:t xml:space="preserve"> and </w:t>
      </w:r>
      <w:r w:rsidR="009D0021" w:rsidRPr="00500FBD">
        <w:rPr>
          <w:rFonts w:asciiTheme="minorHAnsi" w:hAnsiTheme="minorHAnsi" w:cstheme="minorHAnsi"/>
          <w:color w:val="000000"/>
          <w:sz w:val="22"/>
          <w:szCs w:val="22"/>
        </w:rPr>
        <w:t>2016</w:t>
      </w:r>
      <w:r>
        <w:rPr>
          <w:rFonts w:asciiTheme="minorHAnsi" w:hAnsiTheme="minorHAnsi" w:cstheme="minorHAnsi"/>
          <w:color w:val="000000"/>
          <w:sz w:val="22"/>
          <w:szCs w:val="22"/>
        </w:rPr>
        <w:t>,</w:t>
      </w:r>
      <w:r w:rsidR="009D0021" w:rsidRPr="00500FBD">
        <w:rPr>
          <w:rFonts w:asciiTheme="minorHAnsi" w:hAnsiTheme="minorHAnsi" w:cstheme="minorHAnsi"/>
          <w:color w:val="000000"/>
          <w:sz w:val="22"/>
          <w:szCs w:val="22"/>
        </w:rPr>
        <w:t xml:space="preserve"> and observed that sex-related </w:t>
      </w:r>
      <w:r>
        <w:rPr>
          <w:rFonts w:asciiTheme="minorHAnsi" w:hAnsiTheme="minorHAnsi" w:cstheme="minorHAnsi"/>
          <w:color w:val="000000"/>
          <w:sz w:val="22"/>
          <w:szCs w:val="22"/>
        </w:rPr>
        <w:t xml:space="preserve">outcomes </w:t>
      </w:r>
      <w:r w:rsidR="009D0021" w:rsidRPr="00500FBD">
        <w:rPr>
          <w:rFonts w:asciiTheme="minorHAnsi" w:hAnsiTheme="minorHAnsi" w:cstheme="minorHAnsi"/>
          <w:color w:val="000000"/>
          <w:sz w:val="22"/>
          <w:szCs w:val="22"/>
        </w:rPr>
        <w:t>reporting increased from 36% to 69% and 59% to 67% in public health and clinical medicine research</w:t>
      </w:r>
      <w:r>
        <w:rPr>
          <w:rFonts w:asciiTheme="minorHAnsi" w:hAnsiTheme="minorHAnsi" w:cstheme="minorHAnsi"/>
          <w:color w:val="000000"/>
          <w:sz w:val="22"/>
          <w:szCs w:val="22"/>
        </w:rPr>
        <w:t>,</w:t>
      </w:r>
      <w:r w:rsidR="009D0021" w:rsidRPr="00500FBD">
        <w:rPr>
          <w:rFonts w:asciiTheme="minorHAnsi" w:hAnsiTheme="minorHAnsi" w:cstheme="minorHAnsi"/>
          <w:color w:val="000000"/>
          <w:sz w:val="22"/>
          <w:szCs w:val="22"/>
        </w:rPr>
        <w:t xml:space="preserve"> respectively</w:t>
      </w:r>
      <w:r w:rsidRPr="00B71A37">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{"citationItems":[{"id":"ITEM-1","itemData":{"DOI":"10.1016/S0140-6736(18)32995-7","ISSN":"1474547X","PMID":"30739690","abstract":"Background: Clinical and preclinical studies have shown that there are sex-based differences at the genetic, cellular, biochemical, and physiological levels. Despite this, numerous studies have shown poor levels of inclusion of female populations into medical research. These disparities in sex inclusion in research are further complicated by the absence of sufficient reporting and analysis by sex of study populations. Disparities in the inclusion of the sexes in medical research substantially reduce the utility of the results of such research for the entire population. The absence of sex-related reporting are problematical for the translation of research from the preclinical to clinical and applied health settings. Large-scale studies are needed to identify the extent of sex-related reporting and where disparities are more prevalent. In addition, while several studies have shown the dearth of female researchers in science, few have evaluated whether a scarcity of women in science might be related to disparities in sex inclusion and reporting. We aimed to do a cross-disciplinary analysis of the degree of sex-related reporting across the health sciences—from biomedical, to clinical, and public health research—and the role of author gender in sex-related reporting. Methods: This bibliometric analysis analysed sex-related reporting in medical research examining more than 11·5 million papers indexed in Web of Science and PubMed between 1980 and 2016 and using sex-related Medical Subject Headings as a proxy for sex reporting. For papers that were published between 2008 and 2016 and could be matched with PubMed, we assigned a gender to first and last authors on the basis of their names, according to our gender assignment algorithm. We removed papers for which we could not determine the gender of either the first or last author. We grouped papers into three disciplinary categories (biomedical research, clinical medicine, and public health). We used descriptive statistics and regression analyses (controlling for the number of authors and representation of women in specific diseases, countries, continents, year, and specialty areas) to study associations between the gender of the authors and sex-related reporting. Findings: Between Jan 1, 1980, and Dec 31, 2016, sex-related reporting increased from 59% to 67% in clinical medicine and from 36% to 69% in public health research. But for biomedical research, sex remains largely under-reported (31% in 2016). Papers wi…","author":[{"dropping-particle":"","family":"Sugimoto","given":"Cassidy R.","non-dropping-particle":"","parse-names":false,"suffix":""},{"dropping-particle":"","family":"Ahn","given":"Yong Yeol","non-dropping-particle":"","parse-names":false,"suffix":""},{"dropping-particle":"","family":"Smith","given":"Elise","non-dropping-particle":"","parse-names":false,"suffix":""},{"dropping-particle":"","family":"Macaluso","given":"Benoit","non-dropping-particle":"","parse-names":false,"suffix":""},{"dropping-particle":"","family":"Larivière","given":"Vincent","non-dropping-particle":"","parse-names":false,"suffix":""}],"container-title":"The Lancet","id":"ITEM-1","issued":{"date-parts":[["2019"]]},"page":"550–559","title":"Factors affecting sex-related reporting in medical research: a cross-disciplinary bibliometric analysis","type":"article-journal","volume":"393"},"uris":["http://www.mendeley.com/documents/?uuid=97157c84-4d0f-4b54-a155-70cd35d964b6"]}],"mendeley":{"formattedCitation":"(193)","plainTextFormattedCitation":"(193)","previouslyFormattedCitation":"(194)"},"properties":{"noteIndex":0},"schema":"https://github.com/citation-style-language/schema/raw/master/csl-citation.json"}</w:instrText>
      </w:r>
      <w:r w:rsidRPr="00B71A37">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(193)</w:t>
      </w:r>
      <w:r w:rsidRPr="00B71A37">
        <w:rPr>
          <w:rFonts w:asciiTheme="minorHAnsi" w:hAnsiTheme="minorHAnsi" w:cstheme="minorHAnsi"/>
          <w:color w:val="000000"/>
          <w:sz w:val="22"/>
          <w:szCs w:val="22"/>
        </w:rPr>
        <w:fldChar w:fldCharType="end"/>
      </w:r>
      <w:r w:rsidR="009D0021" w:rsidRPr="00500FBD">
        <w:rPr>
          <w:rFonts w:asciiTheme="minorHAnsi" w:hAnsiTheme="minorHAnsi" w:cstheme="minorHAnsi"/>
          <w:color w:val="000000"/>
          <w:sz w:val="22"/>
          <w:szCs w:val="22"/>
        </w:rPr>
        <w:t>. Th</w:t>
      </w:r>
      <w:r>
        <w:rPr>
          <w:rFonts w:asciiTheme="minorHAnsi" w:hAnsiTheme="minorHAnsi" w:cstheme="minorHAnsi"/>
          <w:color w:val="000000"/>
          <w:sz w:val="22"/>
          <w:szCs w:val="22"/>
        </w:rPr>
        <w:t>u</w:t>
      </w:r>
      <w:r w:rsidR="009D0021" w:rsidRPr="00500FBD">
        <w:rPr>
          <w:rFonts w:asciiTheme="minorHAnsi" w:hAnsiTheme="minorHAnsi" w:cstheme="minorHAnsi"/>
          <w:color w:val="000000"/>
          <w:sz w:val="22"/>
          <w:szCs w:val="22"/>
        </w:rPr>
        <w:t>s</w:t>
      </w:r>
      <w:r>
        <w:rPr>
          <w:rFonts w:asciiTheme="minorHAnsi" w:hAnsiTheme="minorHAnsi" w:cstheme="minorHAnsi"/>
          <w:color w:val="000000"/>
          <w:sz w:val="22"/>
          <w:szCs w:val="22"/>
        </w:rPr>
        <w:t>,</w:t>
      </w:r>
      <w:r w:rsidR="009D0021" w:rsidRPr="00500FBD">
        <w:rPr>
          <w:rFonts w:asciiTheme="minorHAnsi" w:hAnsiTheme="minorHAnsi" w:cstheme="minorHAnsi"/>
          <w:color w:val="000000"/>
          <w:sz w:val="22"/>
          <w:szCs w:val="22"/>
        </w:rPr>
        <w:t xml:space="preserve"> although sex-specific outcome reporting is improving</w:t>
      </w:r>
      <w:r>
        <w:rPr>
          <w:rFonts w:asciiTheme="minorHAnsi" w:hAnsiTheme="minorHAnsi" w:cstheme="minorHAnsi"/>
          <w:color w:val="000000"/>
          <w:sz w:val="22"/>
          <w:szCs w:val="22"/>
        </w:rPr>
        <w:t xml:space="preserve">, </w:t>
      </w:r>
      <w:r w:rsidR="009D0021" w:rsidRPr="00500FBD">
        <w:rPr>
          <w:rFonts w:asciiTheme="minorHAnsi" w:hAnsiTheme="minorHAnsi" w:cstheme="minorHAnsi"/>
          <w:color w:val="000000"/>
          <w:sz w:val="22"/>
          <w:szCs w:val="22"/>
        </w:rPr>
        <w:t>the literature</w:t>
      </w:r>
      <w:r>
        <w:rPr>
          <w:rFonts w:asciiTheme="minorHAnsi" w:hAnsiTheme="minorHAnsi" w:cstheme="minorHAnsi"/>
          <w:color w:val="000000"/>
          <w:sz w:val="22"/>
          <w:szCs w:val="22"/>
        </w:rPr>
        <w:t xml:space="preserve"> is still lacking</w:t>
      </w:r>
      <w:r w:rsidR="009D0021" w:rsidRPr="00500FBD">
        <w:rPr>
          <w:rFonts w:asciiTheme="minorHAnsi" w:hAnsiTheme="minorHAnsi" w:cstheme="minorHAnsi"/>
          <w:color w:val="000000"/>
          <w:sz w:val="22"/>
          <w:szCs w:val="22"/>
        </w:rPr>
        <w:t>.</w:t>
      </w:r>
    </w:p>
    <w:p w14:paraId="3A6077AD" w14:textId="58D09714" w:rsidR="00343CD7" w:rsidRDefault="00E95AAE" w:rsidP="000242C7">
      <w:pPr>
        <w:spacing w:line="480" w:lineRule="auto"/>
        <w:rPr>
          <w:rFonts w:asciiTheme="minorHAnsi" w:hAnsiTheme="minorHAnsi" w:cstheme="minorHAnsi"/>
          <w:color w:val="000000"/>
          <w:sz w:val="22"/>
          <w:szCs w:val="22"/>
        </w:rPr>
      </w:pPr>
      <w:r>
        <w:rPr>
          <w:rFonts w:asciiTheme="minorHAnsi" w:hAnsiTheme="minorHAnsi" w:cstheme="minorHAnsi"/>
          <w:color w:val="000000"/>
          <w:sz w:val="22"/>
          <w:szCs w:val="22"/>
        </w:rPr>
        <w:t>P</w:t>
      </w:r>
      <w:r w:rsidR="009D0021" w:rsidRPr="00500FBD">
        <w:rPr>
          <w:rFonts w:asciiTheme="minorHAnsi" w:hAnsiTheme="minorHAnsi" w:cstheme="minorHAnsi"/>
          <w:color w:val="000000"/>
          <w:sz w:val="22"/>
          <w:szCs w:val="22"/>
        </w:rPr>
        <w:t xml:space="preserve">sychological input </w:t>
      </w:r>
      <w:r>
        <w:rPr>
          <w:rFonts w:asciiTheme="minorHAnsi" w:hAnsiTheme="minorHAnsi" w:cstheme="minorHAnsi"/>
          <w:color w:val="000000"/>
          <w:sz w:val="22"/>
          <w:szCs w:val="22"/>
        </w:rPr>
        <w:t>will be</w:t>
      </w:r>
      <w:r w:rsidRPr="00500FBD">
        <w:rPr>
          <w:rFonts w:asciiTheme="minorHAnsi" w:hAnsiTheme="minorHAnsi" w:cstheme="minorHAnsi"/>
          <w:color w:val="000000"/>
          <w:sz w:val="22"/>
          <w:szCs w:val="22"/>
        </w:rPr>
        <w:t xml:space="preserve"> </w:t>
      </w:r>
      <w:r w:rsidR="009D0021" w:rsidRPr="00500FBD">
        <w:rPr>
          <w:rFonts w:asciiTheme="minorHAnsi" w:hAnsiTheme="minorHAnsi" w:cstheme="minorHAnsi"/>
          <w:color w:val="000000"/>
          <w:sz w:val="22"/>
          <w:szCs w:val="22"/>
        </w:rPr>
        <w:t xml:space="preserve">mandatory for </w:t>
      </w:r>
      <w:r>
        <w:rPr>
          <w:rFonts w:asciiTheme="minorHAnsi" w:hAnsiTheme="minorHAnsi" w:cstheme="minorHAnsi"/>
          <w:color w:val="000000"/>
          <w:sz w:val="22"/>
          <w:szCs w:val="22"/>
        </w:rPr>
        <w:t xml:space="preserve">developing </w:t>
      </w:r>
      <w:r w:rsidR="009D0021" w:rsidRPr="00500FBD">
        <w:rPr>
          <w:rFonts w:asciiTheme="minorHAnsi" w:hAnsiTheme="minorHAnsi" w:cstheme="minorHAnsi"/>
          <w:color w:val="000000"/>
          <w:sz w:val="22"/>
          <w:szCs w:val="22"/>
        </w:rPr>
        <w:t>any men’s health programme</w:t>
      </w:r>
      <w:r>
        <w:rPr>
          <w:rFonts w:asciiTheme="minorHAnsi" w:hAnsiTheme="minorHAnsi" w:cstheme="minorHAnsi"/>
          <w:color w:val="000000"/>
          <w:sz w:val="22"/>
          <w:szCs w:val="22"/>
        </w:rPr>
        <w:t>,</w:t>
      </w:r>
      <w:r w:rsidR="009D0021" w:rsidRPr="00500FBD">
        <w:rPr>
          <w:rFonts w:asciiTheme="minorHAnsi" w:hAnsiTheme="minorHAnsi" w:cstheme="minorHAnsi"/>
          <w:color w:val="000000"/>
          <w:sz w:val="22"/>
          <w:szCs w:val="22"/>
        </w:rPr>
        <w:t xml:space="preserve"> because our </w:t>
      </w:r>
      <w:r>
        <w:rPr>
          <w:rFonts w:asciiTheme="minorHAnsi" w:hAnsiTheme="minorHAnsi" w:cstheme="minorHAnsi"/>
          <w:color w:val="000000"/>
          <w:sz w:val="22"/>
          <w:szCs w:val="22"/>
        </w:rPr>
        <w:t xml:space="preserve">lack of </w:t>
      </w:r>
      <w:r w:rsidR="009D0021" w:rsidRPr="00500FBD">
        <w:rPr>
          <w:rFonts w:asciiTheme="minorHAnsi" w:hAnsiTheme="minorHAnsi" w:cstheme="minorHAnsi"/>
          <w:color w:val="000000"/>
          <w:sz w:val="22"/>
          <w:szCs w:val="22"/>
        </w:rPr>
        <w:t xml:space="preserve">understanding </w:t>
      </w:r>
      <w:r>
        <w:rPr>
          <w:rFonts w:asciiTheme="minorHAnsi" w:hAnsiTheme="minorHAnsi" w:cstheme="minorHAnsi"/>
          <w:color w:val="000000"/>
          <w:sz w:val="22"/>
          <w:szCs w:val="22"/>
        </w:rPr>
        <w:t>of</w:t>
      </w:r>
      <w:r w:rsidRPr="00500FBD">
        <w:rPr>
          <w:rFonts w:asciiTheme="minorHAnsi" w:hAnsiTheme="minorHAnsi" w:cstheme="minorHAnsi"/>
          <w:color w:val="000000"/>
          <w:sz w:val="22"/>
          <w:szCs w:val="22"/>
        </w:rPr>
        <w:t xml:space="preserve"> </w:t>
      </w:r>
      <w:r w:rsidR="009D0021" w:rsidRPr="00500FBD">
        <w:rPr>
          <w:rFonts w:asciiTheme="minorHAnsi" w:hAnsiTheme="minorHAnsi" w:cstheme="minorHAnsi"/>
          <w:color w:val="000000"/>
          <w:sz w:val="22"/>
          <w:szCs w:val="22"/>
        </w:rPr>
        <w:t>how to change the patterns of thinking or behaviours of men to embrace health promotions and improve health literacy</w:t>
      </w:r>
      <w:r>
        <w:rPr>
          <w:rFonts w:asciiTheme="minorHAnsi" w:hAnsiTheme="minorHAnsi" w:cstheme="minorHAnsi"/>
          <w:color w:val="000000"/>
          <w:sz w:val="22"/>
          <w:szCs w:val="22"/>
        </w:rPr>
        <w:t xml:space="preserve"> is </w:t>
      </w:r>
      <w:r w:rsidRPr="00B71A37">
        <w:rPr>
          <w:rFonts w:asciiTheme="minorHAnsi" w:hAnsiTheme="minorHAnsi" w:cstheme="minorHAnsi"/>
          <w:color w:val="000000"/>
          <w:sz w:val="22"/>
          <w:szCs w:val="22"/>
        </w:rPr>
        <w:t>a barrier to optimising health outcomes</w:t>
      </w:r>
      <w:r w:rsidR="006F6B02">
        <w:rPr>
          <w:rFonts w:asciiTheme="minorHAnsi" w:hAnsiTheme="minorHAnsi" w:cstheme="minorHAnsi"/>
          <w:color w:val="000000"/>
          <w:sz w:val="22"/>
          <w:szCs w:val="22"/>
        </w:rPr>
        <w:t xml:space="preserve"> </w:t>
      </w:r>
      <w:r w:rsidR="006F6B02">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{"citationItems":[{"id":"ITEM-1","itemData":{"DOI":"10.1177/1557988319873532","abstract":"Background:Adherence to masculine norms, such as self-reliance, has been thought to predict lower health literacy. Additionally, males with poor mental health may have low health literacy. Using tw...","author":[{"dropping-particle":"","family":"Milner","given":"Allison","non-dropping-particle":"","parse-names":false,"suffix":""},{"dropping-particle":"","family":"Shields","given":"Marissa","non-dropping-particle":"","parse-names":false,"suffix":""},{"dropping-particle":"","family":"King","given":"Tania","non-dropping-particle":"","parse-names":false,"suffix":""}],"container-title":"https://doi.org/10.1177/1557988319873532","id":"ITEM-1","issue":"5","issued":{"date-parts":[["2019"]]},"page":"1-9","title":"The Influence of Masculine Norms and Mental Health on Health Literacy Among Men: Evidence From the Ten to Men Study:","type":"article-journal","volume":"13"},"uris":["http://www.mendeley.com/documents/?uuid=529f5172-1fdf-3d34-95df-c5b9fd272943"]}],"mendeley":{"formattedCitation":"(194)","plainTextFormattedCitation":"(194)","previouslyFormattedCitation":"(195)"},"properties":{"noteIndex":0},"schema":"https://github.com/citation-style-language/schema/raw/master/csl-citation.json"}</w:instrText>
      </w:r>
      <w:r w:rsidR="006F6B02">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(194)</w:t>
      </w:r>
      <w:r w:rsidR="006F6B02">
        <w:rPr>
          <w:rFonts w:asciiTheme="minorHAnsi" w:hAnsiTheme="minorHAnsi" w:cstheme="minorHAnsi"/>
          <w:color w:val="000000"/>
          <w:sz w:val="22"/>
          <w:szCs w:val="22"/>
        </w:rPr>
        <w:fldChar w:fldCharType="end"/>
      </w:r>
      <w:r w:rsidR="006F6B02" w:rsidRPr="006F6B02">
        <w:rPr>
          <w:rFonts w:asciiTheme="minorHAnsi" w:hAnsiTheme="minorHAnsi" w:cstheme="minorHAnsi"/>
          <w:color w:val="000000"/>
          <w:sz w:val="22"/>
          <w:szCs w:val="22"/>
        </w:rPr>
        <w:t xml:space="preserve"> </w:t>
      </w:r>
      <w:r w:rsidR="006F6B02">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{"citationItems":[{"id":"ITEM-1","itemData":{"DOI":"10.1016/J.COPSYC.2015.05.002","PMID":"26213711","abstract":"Health behaviors shape health and well-being in individuals and populations. Drawing on recent research, we review applications of the widely applied 'social determinants' approach to health behaviors. This approach shifts the lens from individual attribution and responsibility to societal organization and the myriad institutions, structures, inequalities, and ideologies undergirding health behaviors. Recent scholarship integrates a social determinants perspective with biosocial approaches to health behavior dynamics. Empirical advances model feedback among social, psychological and biological factors. Health behaviors are increasingly recognized as multi-dimensional and embedded in health lifestyles, varying over the life course and across place and reflecting dialectic between structure and agency that necessitates situating individuals in context. Advances in measuring and modeling health behaviors promise to enhance representations of this complexity.","author":[{"dropping-particle":"","family":"Short","given":"Susan E.","non-dropping-particle":"","parse-names":false,"suffix":""},{"dropping-particle":"","family":"Mollborn","given":"Stefanie","non-dropping-particle":"","parse-names":false,"suffix":""}],"container-title":"Current opinion in psychology","id":"ITEM-1","issued":{"date-parts":[["2015"]]},"page":"78-84","title":"Social Determinants and Health Behaviors: Conceptual Frames and Empirical Advances","type":"article-journal","volume":"5"},"uris":["http://www.mendeley.com/documents/?uuid=06dfecc5-7cd1-35bf-b8ee-862afaf6f41e"]}],"mendeley":{"formattedCitation":"(195)","plainTextFormattedCitation":"(195)","previouslyFormattedCitation":"(196)"},"properties":{"noteIndex":0},"schema":"https://github.com/citation-style-language/schema/raw/master/csl-citation.json"}</w:instrText>
      </w:r>
      <w:r w:rsidR="006F6B02">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(195)</w:t>
      </w:r>
      <w:r w:rsidR="006F6B02">
        <w:rPr>
          <w:rFonts w:asciiTheme="minorHAnsi" w:hAnsiTheme="minorHAnsi" w:cstheme="minorHAnsi"/>
          <w:color w:val="000000"/>
          <w:sz w:val="22"/>
          <w:szCs w:val="22"/>
        </w:rPr>
        <w:fldChar w:fldCharType="end"/>
      </w:r>
      <w:r w:rsidR="0035636E" w:rsidRPr="0035636E">
        <w:rPr>
          <w:rFonts w:asciiTheme="minorHAnsi" w:hAnsiTheme="minorHAnsi" w:cstheme="minorHAnsi"/>
          <w:sz w:val="22"/>
          <w:szCs w:val="22"/>
        </w:rPr>
        <w:t>.</w:t>
      </w:r>
      <w:r w:rsidR="009D0021" w:rsidRPr="00500FBD">
        <w:rPr>
          <w:rFonts w:asciiTheme="minorHAnsi" w:hAnsiTheme="minorHAnsi" w:cstheme="minorHAnsi"/>
          <w:color w:val="000000"/>
          <w:sz w:val="22"/>
          <w:szCs w:val="22"/>
        </w:rPr>
        <w:t xml:space="preserve"> Moreover, sociological data acquisition could also optimise male utilisation of health</w:t>
      </w:r>
      <w:r>
        <w:rPr>
          <w:rFonts w:asciiTheme="minorHAnsi" w:hAnsiTheme="minorHAnsi" w:cstheme="minorHAnsi"/>
          <w:color w:val="000000"/>
          <w:sz w:val="22"/>
          <w:szCs w:val="22"/>
        </w:rPr>
        <w:t>-</w:t>
      </w:r>
      <w:r w:rsidR="009D0021" w:rsidRPr="00500FBD">
        <w:rPr>
          <w:rFonts w:asciiTheme="minorHAnsi" w:hAnsiTheme="minorHAnsi" w:cstheme="minorHAnsi"/>
          <w:color w:val="000000"/>
          <w:sz w:val="22"/>
          <w:szCs w:val="22"/>
        </w:rPr>
        <w:t>care services</w:t>
      </w:r>
      <w:r w:rsidR="00343CD7">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4E24A6">
        <w:rPr>
          <w:rFonts w:asciiTheme="minorHAnsi" w:hAnsiTheme="minorHAnsi" w:cstheme="minorHAnsi"/>
          <w:color w:val="000000"/>
          <w:sz w:val="22"/>
          <w:szCs w:val="22"/>
        </w:rPr>
        <w:t>help</w:t>
      </w:r>
      <w:r w:rsidR="00343CD7">
        <w:rPr>
          <w:rFonts w:asciiTheme="minorHAnsi" w:hAnsiTheme="minorHAnsi" w:cstheme="minorHAnsi"/>
          <w:color w:val="000000"/>
          <w:sz w:val="22"/>
          <w:szCs w:val="22"/>
        </w:rPr>
        <w:t>ing to</w:t>
      </w:r>
      <w:r w:rsidR="004E24A6">
        <w:rPr>
          <w:rFonts w:asciiTheme="minorHAnsi" w:hAnsiTheme="minorHAnsi" w:cstheme="minorHAnsi"/>
          <w:color w:val="000000"/>
          <w:sz w:val="22"/>
          <w:szCs w:val="22"/>
        </w:rPr>
        <w:t xml:space="preserve"> identify and address societal, cultural, and ethnic determinants a</w:t>
      </w:r>
      <w:r w:rsidR="00343CD7">
        <w:rPr>
          <w:rFonts w:asciiTheme="minorHAnsi" w:hAnsiTheme="minorHAnsi" w:cstheme="minorHAnsi"/>
          <w:color w:val="000000"/>
          <w:sz w:val="22"/>
          <w:szCs w:val="22"/>
        </w:rPr>
        <w:t>ffe</w:t>
      </w:r>
      <w:r w:rsidR="004E24A6">
        <w:rPr>
          <w:rFonts w:asciiTheme="minorHAnsi" w:hAnsiTheme="minorHAnsi" w:cstheme="minorHAnsi"/>
          <w:color w:val="000000"/>
          <w:sz w:val="22"/>
          <w:szCs w:val="22"/>
        </w:rPr>
        <w:t>cting healthcare</w:t>
      </w:r>
      <w:r w:rsidR="004E24A6">
        <w:rPr>
          <w:rFonts w:asciiTheme="minorHAnsi" w:hAnsiTheme="minorHAnsi" w:cstheme="minorHAnsi"/>
          <w:color w:val="000000"/>
          <w:sz w:val="22"/>
          <w:szCs w:val="22"/>
        </w:rPr>
        <w:fldChar w:fldCharType="begin" w:fldLock="1"/>
      </w:r>
      <w:r w:rsidR="002410DF">
        <w:rPr>
          <w:rFonts w:asciiTheme="minorHAnsi" w:hAnsiTheme="minorHAnsi" w:cstheme="minorHAnsi"/>
          <w:color w:val="000000"/>
          <w:sz w:val="22"/>
          <w:szCs w:val="22"/>
        </w:rPr>
        <w:instrText>ADDIN CSL_CITATION {"citationItems":[{"id":"ITEM-1","itemData":{"DOI":"10.1016/J.COPSYC.2015.05.002","PMID":"26213711","abstract":"Health behaviors shape health and well-being in individuals and populations. Drawing on recent research, we review applications of the widely applied 'social determinants' approach to health behaviors. This approach shifts the lens from individual attribution and responsibility to societal organization and the myriad institutions, structures, inequalities, and ideologies undergirding health behaviors. Recent scholarship integrates a social determinants perspective with biosocial approaches to health behavior dynamics. Empirical advances model feedback among social, psychological and biological factors. Health behaviors are increasingly recognized as multi-dimensional and embedded in health lifestyles, varying over the life course and across place and reflecting dialectic between structure and agency that necessitates situating individuals in context. Advances in measuring and modeling health behaviors promise to enhance representations of this complexity.","author":[{"dropping-particle":"","family":"Short","given":"Susan E.","non-dropping-particle":"","parse-names":false,"suffix":""},{"dropping-particle":"","family":"Mollborn","given":"Stefanie","non-dropping-particle":"","parse-names":false,"suffix":""}],"container-title":"Current opinion in psychology","id":"ITEM-1","issued":{"date-parts":[["2015"]]},"page":"78-84","title":"Social Determinants and Health Behaviors: Conceptual Frames and Empirical Advances","type":"article-journal","volume":"5"},"uris":["http://www.mendeley.com/documents/?uuid=06dfecc5-7cd1-35bf-b8ee-862afaf6f41e"]}],"mendeley":{"formattedCitation":"(195)","plainTextFormattedCitation":"(195)","previouslyFormattedCitation":"(196)"},"properties":{"noteIndex":0},"schema":"https://github.com/citation-style-language/schema/raw/master/csl-citation.json"}</w:instrText>
      </w:r>
      <w:r w:rsidR="004E24A6">
        <w:rPr>
          <w:rFonts w:asciiTheme="minorHAnsi" w:hAnsiTheme="minorHAnsi" w:cstheme="minorHAnsi"/>
          <w:color w:val="000000"/>
          <w:sz w:val="22"/>
          <w:szCs w:val="22"/>
        </w:rPr>
        <w:fldChar w:fldCharType="separate"/>
      </w:r>
      <w:r w:rsidR="002410DF" w:rsidRPr="002410DF">
        <w:rPr>
          <w:rFonts w:asciiTheme="minorHAnsi" w:hAnsiTheme="minorHAnsi" w:cstheme="minorHAnsi"/>
          <w:noProof/>
          <w:color w:val="000000"/>
          <w:sz w:val="22"/>
          <w:szCs w:val="22"/>
        </w:rPr>
        <w:t>(195)</w:t>
      </w:r>
      <w:r w:rsidR="004E24A6">
        <w:rPr>
          <w:rFonts w:asciiTheme="minorHAnsi" w:hAnsiTheme="minorHAnsi" w:cstheme="minorHAnsi"/>
          <w:color w:val="000000"/>
          <w:sz w:val="22"/>
          <w:szCs w:val="22"/>
        </w:rPr>
        <w:fldChar w:fldCharType="end"/>
      </w:r>
      <w:r w:rsidR="004E24A6">
        <w:rPr>
          <w:rFonts w:asciiTheme="minorHAnsi" w:hAnsiTheme="minorHAnsi" w:cstheme="minorHAnsi"/>
          <w:color w:val="000000"/>
          <w:sz w:val="22"/>
          <w:szCs w:val="22"/>
        </w:rPr>
        <w:t>.</w:t>
      </w:r>
    </w:p>
    <w:p w14:paraId="65D7C010" w14:textId="06A2E216" w:rsidR="00B41E11" w:rsidRPr="004B0BC2" w:rsidRDefault="004E24A6" w:rsidP="000242C7">
      <w:pPr>
        <w:spacing w:line="480" w:lineRule="auto"/>
      </w:pPr>
      <w:r>
        <w:rPr>
          <w:rFonts w:asciiTheme="minorHAnsi" w:hAnsiTheme="minorHAnsi" w:cstheme="minorHAnsi"/>
          <w:color w:val="000000"/>
          <w:sz w:val="22"/>
          <w:szCs w:val="22"/>
        </w:rPr>
        <w:t xml:space="preserve">   </w:t>
      </w:r>
    </w:p>
    <w:p w14:paraId="067779EF" w14:textId="4E9957E9" w:rsidR="005B5078" w:rsidRPr="004B0BC2" w:rsidRDefault="008F6F6F" w:rsidP="00B66369">
      <w:pPr>
        <w:pStyle w:val="NoSpacing"/>
        <w:spacing w:line="480" w:lineRule="auto"/>
        <w:rPr>
          <w:rFonts w:cstheme="minorHAnsi"/>
          <w:i/>
          <w:iCs/>
          <w:sz w:val="22"/>
          <w:szCs w:val="22"/>
        </w:rPr>
      </w:pPr>
      <w:r>
        <w:rPr>
          <w:rFonts w:cstheme="minorHAnsi"/>
          <w:i/>
          <w:iCs/>
          <w:sz w:val="22"/>
          <w:szCs w:val="22"/>
        </w:rPr>
        <w:t>[H2]</w:t>
      </w:r>
      <w:r w:rsidR="005B5078" w:rsidRPr="004B0BC2">
        <w:rPr>
          <w:rFonts w:cstheme="minorHAnsi"/>
          <w:i/>
          <w:iCs/>
          <w:sz w:val="22"/>
          <w:szCs w:val="22"/>
        </w:rPr>
        <w:t>Challenges</w:t>
      </w:r>
      <w:r w:rsidR="00E172D8" w:rsidRPr="004B0BC2">
        <w:rPr>
          <w:rFonts w:cstheme="minorHAnsi"/>
          <w:i/>
          <w:iCs/>
          <w:sz w:val="22"/>
          <w:szCs w:val="22"/>
        </w:rPr>
        <w:t xml:space="preserve"> and lessons</w:t>
      </w:r>
    </w:p>
    <w:p w14:paraId="3E647246" w14:textId="56F031B9" w:rsidR="008E5281" w:rsidRPr="004B0BC2" w:rsidRDefault="00E209E8" w:rsidP="00B66369">
      <w:pPr>
        <w:pStyle w:val="NoSpacing"/>
        <w:spacing w:line="480" w:lineRule="auto"/>
        <w:rPr>
          <w:rFonts w:cstheme="minorHAnsi"/>
          <w:sz w:val="22"/>
          <w:szCs w:val="22"/>
        </w:rPr>
      </w:pPr>
      <w:r w:rsidRPr="004B0BC2">
        <w:rPr>
          <w:rFonts w:cstheme="minorHAnsi"/>
          <w:sz w:val="22"/>
          <w:szCs w:val="22"/>
        </w:rPr>
        <w:t xml:space="preserve">Developing </w:t>
      </w:r>
      <w:r w:rsidR="00C825E0" w:rsidRPr="004B0BC2">
        <w:rPr>
          <w:rFonts w:cstheme="minorHAnsi"/>
          <w:sz w:val="22"/>
          <w:szCs w:val="22"/>
        </w:rPr>
        <w:t>a new</w:t>
      </w:r>
      <w:r w:rsidRPr="004B0BC2">
        <w:rPr>
          <w:rFonts w:cstheme="minorHAnsi"/>
          <w:sz w:val="22"/>
          <w:szCs w:val="22"/>
        </w:rPr>
        <w:t xml:space="preserve"> model of care</w:t>
      </w:r>
      <w:r w:rsidR="002066C6" w:rsidRPr="004B0BC2">
        <w:rPr>
          <w:rFonts w:cstheme="minorHAnsi"/>
          <w:sz w:val="22"/>
          <w:szCs w:val="22"/>
        </w:rPr>
        <w:t xml:space="preserve"> will have initial </w:t>
      </w:r>
      <w:r w:rsidR="007D3ABD" w:rsidRPr="004B0BC2">
        <w:rPr>
          <w:rFonts w:cstheme="minorHAnsi"/>
          <w:sz w:val="22"/>
          <w:szCs w:val="22"/>
        </w:rPr>
        <w:t>challenges</w:t>
      </w:r>
      <w:r w:rsidR="00C825E0" w:rsidRPr="004B0BC2">
        <w:rPr>
          <w:rFonts w:cstheme="minorHAnsi"/>
          <w:sz w:val="22"/>
          <w:szCs w:val="22"/>
        </w:rPr>
        <w:t xml:space="preserve">, including </w:t>
      </w:r>
      <w:r w:rsidR="008F6F6F">
        <w:rPr>
          <w:rFonts w:cstheme="minorHAnsi"/>
          <w:sz w:val="22"/>
          <w:szCs w:val="22"/>
        </w:rPr>
        <w:t xml:space="preserve">acquisition of </w:t>
      </w:r>
      <w:r w:rsidR="00C825E0" w:rsidRPr="004B0BC2">
        <w:rPr>
          <w:rFonts w:cstheme="minorHAnsi"/>
          <w:sz w:val="22"/>
          <w:szCs w:val="22"/>
        </w:rPr>
        <w:t>funding and the logistic</w:t>
      </w:r>
      <w:r w:rsidR="005F2083" w:rsidRPr="004B0BC2">
        <w:rPr>
          <w:rFonts w:cstheme="minorHAnsi"/>
          <w:sz w:val="22"/>
          <w:szCs w:val="22"/>
        </w:rPr>
        <w:t>s</w:t>
      </w:r>
      <w:r w:rsidR="00C825E0" w:rsidRPr="004B0BC2">
        <w:rPr>
          <w:rFonts w:cstheme="minorHAnsi"/>
          <w:sz w:val="22"/>
          <w:szCs w:val="22"/>
        </w:rPr>
        <w:t xml:space="preserve"> of setting up a multidisciplinary service. However, the </w:t>
      </w:r>
      <w:r w:rsidR="005F2083" w:rsidRPr="004B0BC2">
        <w:rPr>
          <w:rFonts w:cstheme="minorHAnsi"/>
          <w:sz w:val="22"/>
          <w:szCs w:val="22"/>
        </w:rPr>
        <w:t xml:space="preserve">sex </w:t>
      </w:r>
      <w:r w:rsidR="00C825E0" w:rsidRPr="004B0BC2">
        <w:rPr>
          <w:rFonts w:cstheme="minorHAnsi"/>
          <w:sz w:val="22"/>
          <w:szCs w:val="22"/>
        </w:rPr>
        <w:t>discrepanc</w:t>
      </w:r>
      <w:r w:rsidR="005F2083" w:rsidRPr="004B0BC2">
        <w:rPr>
          <w:rFonts w:cstheme="minorHAnsi"/>
          <w:sz w:val="22"/>
          <w:szCs w:val="22"/>
        </w:rPr>
        <w:t>ies</w:t>
      </w:r>
      <w:r w:rsidR="00C825E0" w:rsidRPr="004B0BC2">
        <w:rPr>
          <w:rFonts w:cstheme="minorHAnsi"/>
          <w:sz w:val="22"/>
          <w:szCs w:val="22"/>
        </w:rPr>
        <w:t xml:space="preserve"> in COVID-19 mortality rates</w:t>
      </w:r>
      <w:r w:rsidR="008F6F6F">
        <w:rPr>
          <w:rFonts w:cstheme="minorHAnsi"/>
          <w:sz w:val="22"/>
          <w:szCs w:val="22"/>
        </w:rPr>
        <w:t>,</w:t>
      </w:r>
      <w:r w:rsidR="00C825E0" w:rsidRPr="004B0BC2">
        <w:rPr>
          <w:rFonts w:cstheme="minorHAnsi"/>
          <w:sz w:val="22"/>
          <w:szCs w:val="22"/>
        </w:rPr>
        <w:t xml:space="preserve"> coupled with the </w:t>
      </w:r>
      <w:r w:rsidR="005F2083" w:rsidRPr="004B0BC2">
        <w:rPr>
          <w:rFonts w:cstheme="minorHAnsi"/>
          <w:sz w:val="22"/>
          <w:szCs w:val="22"/>
        </w:rPr>
        <w:t xml:space="preserve">sex </w:t>
      </w:r>
      <w:r w:rsidR="00C825E0" w:rsidRPr="004B0BC2">
        <w:rPr>
          <w:rFonts w:cstheme="minorHAnsi"/>
          <w:sz w:val="22"/>
          <w:szCs w:val="22"/>
        </w:rPr>
        <w:t>gap in life expectancy from non-communicable diseases</w:t>
      </w:r>
      <w:r w:rsidR="008F6F6F">
        <w:rPr>
          <w:rFonts w:cstheme="minorHAnsi"/>
          <w:sz w:val="22"/>
          <w:szCs w:val="22"/>
        </w:rPr>
        <w:t>,</w:t>
      </w:r>
      <w:r w:rsidR="00C825E0" w:rsidRPr="004B0BC2">
        <w:rPr>
          <w:rFonts w:cstheme="minorHAnsi"/>
          <w:sz w:val="22"/>
          <w:szCs w:val="22"/>
        </w:rPr>
        <w:t xml:space="preserve"> </w:t>
      </w:r>
      <w:r w:rsidR="00F742F7" w:rsidRPr="004B0BC2">
        <w:rPr>
          <w:rFonts w:cstheme="minorHAnsi"/>
          <w:sz w:val="22"/>
          <w:szCs w:val="22"/>
        </w:rPr>
        <w:t>h</w:t>
      </w:r>
      <w:r w:rsidR="00C825E0" w:rsidRPr="004B0BC2">
        <w:rPr>
          <w:rFonts w:cstheme="minorHAnsi"/>
          <w:sz w:val="22"/>
          <w:szCs w:val="22"/>
        </w:rPr>
        <w:t>as highlighted that the current health</w:t>
      </w:r>
      <w:r w:rsidR="008F6F6F">
        <w:rPr>
          <w:rFonts w:cstheme="minorHAnsi"/>
          <w:sz w:val="22"/>
          <w:szCs w:val="22"/>
        </w:rPr>
        <w:t>-</w:t>
      </w:r>
      <w:r w:rsidR="00C825E0" w:rsidRPr="004B0BC2">
        <w:rPr>
          <w:rFonts w:cstheme="minorHAnsi"/>
          <w:sz w:val="22"/>
          <w:szCs w:val="22"/>
        </w:rPr>
        <w:t xml:space="preserve">care system </w:t>
      </w:r>
      <w:r w:rsidR="003E299D" w:rsidRPr="004B0BC2">
        <w:rPr>
          <w:rFonts w:cstheme="minorHAnsi"/>
          <w:sz w:val="22"/>
          <w:szCs w:val="22"/>
        </w:rPr>
        <w:t>has failed</w:t>
      </w:r>
      <w:r w:rsidR="00C825E0" w:rsidRPr="004B0BC2">
        <w:rPr>
          <w:rFonts w:cstheme="minorHAnsi"/>
          <w:sz w:val="22"/>
          <w:szCs w:val="22"/>
        </w:rPr>
        <w:t xml:space="preserve"> </w:t>
      </w:r>
      <w:r w:rsidR="008F6F6F">
        <w:rPr>
          <w:rFonts w:cstheme="minorHAnsi"/>
          <w:sz w:val="22"/>
          <w:szCs w:val="22"/>
        </w:rPr>
        <w:t>men</w:t>
      </w:r>
      <w:r w:rsidR="00C825E0" w:rsidRPr="004B0BC2">
        <w:rPr>
          <w:rFonts w:cstheme="minorHAnsi"/>
          <w:sz w:val="22"/>
          <w:szCs w:val="22"/>
        </w:rPr>
        <w:t>. A n</w:t>
      </w:r>
      <w:r w:rsidR="003E299D" w:rsidRPr="004B0BC2">
        <w:rPr>
          <w:rFonts w:cstheme="minorHAnsi"/>
          <w:sz w:val="22"/>
          <w:szCs w:val="22"/>
        </w:rPr>
        <w:t>ovel</w:t>
      </w:r>
      <w:r w:rsidR="00C825E0" w:rsidRPr="004B0BC2">
        <w:rPr>
          <w:rFonts w:cstheme="minorHAnsi"/>
          <w:sz w:val="22"/>
          <w:szCs w:val="22"/>
        </w:rPr>
        <w:t xml:space="preserve"> perspective on </w:t>
      </w:r>
      <w:r w:rsidR="008F6F6F">
        <w:rPr>
          <w:rFonts w:cstheme="minorHAnsi"/>
          <w:sz w:val="22"/>
          <w:szCs w:val="22"/>
        </w:rPr>
        <w:t>m</w:t>
      </w:r>
      <w:r w:rsidR="008F6F6F" w:rsidRPr="004B0BC2">
        <w:rPr>
          <w:rFonts w:cstheme="minorHAnsi"/>
          <w:sz w:val="22"/>
          <w:szCs w:val="22"/>
        </w:rPr>
        <w:t xml:space="preserve">en’s </w:t>
      </w:r>
      <w:r w:rsidR="00C825E0" w:rsidRPr="004B0BC2">
        <w:rPr>
          <w:rFonts w:cstheme="minorHAnsi"/>
          <w:sz w:val="22"/>
          <w:szCs w:val="22"/>
        </w:rPr>
        <w:t>health is required</w:t>
      </w:r>
      <w:r w:rsidR="008F6F6F">
        <w:rPr>
          <w:rFonts w:cstheme="minorHAnsi"/>
          <w:sz w:val="22"/>
          <w:szCs w:val="22"/>
        </w:rPr>
        <w:t>. One programme attempting to address this failure is t</w:t>
      </w:r>
      <w:r w:rsidR="00842AA1" w:rsidRPr="004B0BC2">
        <w:rPr>
          <w:rFonts w:cstheme="minorHAnsi"/>
          <w:sz w:val="22"/>
          <w:szCs w:val="22"/>
        </w:rPr>
        <w:t>h</w:t>
      </w:r>
      <w:r w:rsidRPr="004B0BC2">
        <w:rPr>
          <w:rFonts w:cstheme="minorHAnsi"/>
          <w:sz w:val="22"/>
          <w:szCs w:val="22"/>
        </w:rPr>
        <w:t xml:space="preserve">e </w:t>
      </w:r>
      <w:r w:rsidR="008F6F6F">
        <w:rPr>
          <w:rFonts w:cstheme="minorHAnsi"/>
          <w:sz w:val="22"/>
          <w:szCs w:val="22"/>
        </w:rPr>
        <w:t>EAU</w:t>
      </w:r>
      <w:r w:rsidRPr="004B0BC2">
        <w:rPr>
          <w:rFonts w:cstheme="minorHAnsi"/>
          <w:sz w:val="22"/>
          <w:szCs w:val="22"/>
        </w:rPr>
        <w:t xml:space="preserve"> working panel on </w:t>
      </w:r>
      <w:r w:rsidR="00156AEF" w:rsidRPr="00500FBD">
        <w:rPr>
          <w:rFonts w:cstheme="minorHAnsi"/>
          <w:iCs/>
          <w:sz w:val="22"/>
          <w:szCs w:val="22"/>
        </w:rPr>
        <w:t>M</w:t>
      </w:r>
      <w:r w:rsidRPr="00500FBD">
        <w:rPr>
          <w:rFonts w:cstheme="minorHAnsi"/>
          <w:iCs/>
          <w:sz w:val="22"/>
          <w:szCs w:val="22"/>
        </w:rPr>
        <w:t xml:space="preserve">ale and </w:t>
      </w:r>
      <w:r w:rsidR="00B83723">
        <w:rPr>
          <w:rFonts w:cstheme="minorHAnsi"/>
          <w:iCs/>
          <w:sz w:val="22"/>
          <w:szCs w:val="22"/>
        </w:rPr>
        <w:t>S</w:t>
      </w:r>
      <w:r w:rsidRPr="00500FBD">
        <w:rPr>
          <w:rFonts w:cstheme="minorHAnsi"/>
          <w:iCs/>
          <w:sz w:val="22"/>
          <w:szCs w:val="22"/>
        </w:rPr>
        <w:t xml:space="preserve">exual </w:t>
      </w:r>
      <w:r w:rsidR="00B83723">
        <w:rPr>
          <w:rFonts w:cstheme="minorHAnsi"/>
          <w:iCs/>
          <w:sz w:val="22"/>
          <w:szCs w:val="22"/>
        </w:rPr>
        <w:t>R</w:t>
      </w:r>
      <w:r w:rsidRPr="00500FBD">
        <w:rPr>
          <w:rFonts w:cstheme="minorHAnsi"/>
          <w:iCs/>
          <w:sz w:val="22"/>
          <w:szCs w:val="22"/>
        </w:rPr>
        <w:t xml:space="preserve">eproductive </w:t>
      </w:r>
      <w:r w:rsidR="00B83723">
        <w:rPr>
          <w:rFonts w:cstheme="minorHAnsi"/>
          <w:iCs/>
          <w:sz w:val="22"/>
          <w:szCs w:val="22"/>
        </w:rPr>
        <w:t>H</w:t>
      </w:r>
      <w:r w:rsidRPr="00500FBD">
        <w:rPr>
          <w:rFonts w:cstheme="minorHAnsi"/>
          <w:iCs/>
          <w:sz w:val="22"/>
          <w:szCs w:val="22"/>
        </w:rPr>
        <w:t>ealth</w:t>
      </w:r>
      <w:r w:rsidR="008F6F6F">
        <w:rPr>
          <w:rFonts w:cstheme="minorHAnsi"/>
          <w:sz w:val="22"/>
          <w:szCs w:val="22"/>
        </w:rPr>
        <w:t xml:space="preserve">, which </w:t>
      </w:r>
      <w:r w:rsidRPr="004B0BC2">
        <w:rPr>
          <w:rFonts w:cstheme="minorHAnsi"/>
          <w:sz w:val="22"/>
          <w:szCs w:val="22"/>
        </w:rPr>
        <w:t>ha</w:t>
      </w:r>
      <w:r w:rsidR="008F6F6F">
        <w:rPr>
          <w:rFonts w:cstheme="minorHAnsi"/>
          <w:sz w:val="22"/>
          <w:szCs w:val="22"/>
        </w:rPr>
        <w:t>s</w:t>
      </w:r>
      <w:r w:rsidRPr="004B0BC2">
        <w:rPr>
          <w:rFonts w:cstheme="minorHAnsi"/>
          <w:sz w:val="22"/>
          <w:szCs w:val="22"/>
        </w:rPr>
        <w:t xml:space="preserve"> developed the first evidence</w:t>
      </w:r>
      <w:r w:rsidR="00842AA1" w:rsidRPr="004B0BC2">
        <w:rPr>
          <w:rFonts w:cstheme="minorHAnsi"/>
          <w:sz w:val="22"/>
          <w:szCs w:val="22"/>
        </w:rPr>
        <w:t>-</w:t>
      </w:r>
      <w:r w:rsidRPr="004B0BC2">
        <w:rPr>
          <w:rFonts w:cstheme="minorHAnsi"/>
          <w:sz w:val="22"/>
          <w:szCs w:val="22"/>
        </w:rPr>
        <w:t xml:space="preserve">based guidelines on male sexual </w:t>
      </w:r>
      <w:r w:rsidRPr="004B0BC2">
        <w:rPr>
          <w:rFonts w:cstheme="minorHAnsi"/>
          <w:sz w:val="22"/>
          <w:szCs w:val="22"/>
        </w:rPr>
        <w:lastRenderedPageBreak/>
        <w:t>and reproductive health</w:t>
      </w:r>
      <w:r w:rsidR="00842AA1" w:rsidRPr="004B0BC2">
        <w:rPr>
          <w:rFonts w:cstheme="minorHAnsi"/>
          <w:sz w:val="22"/>
          <w:szCs w:val="22"/>
        </w:rPr>
        <w:t xml:space="preserve">, </w:t>
      </w:r>
      <w:r w:rsidR="007C2A56" w:rsidRPr="004B0BC2">
        <w:rPr>
          <w:rFonts w:cstheme="minorHAnsi"/>
          <w:sz w:val="22"/>
          <w:szCs w:val="22"/>
        </w:rPr>
        <w:t>includ</w:t>
      </w:r>
      <w:r w:rsidR="008F6F6F">
        <w:rPr>
          <w:rFonts w:cstheme="minorHAnsi"/>
          <w:sz w:val="22"/>
          <w:szCs w:val="22"/>
        </w:rPr>
        <w:t>ing</w:t>
      </w:r>
      <w:r w:rsidR="007C2A56" w:rsidRPr="004B0BC2">
        <w:rPr>
          <w:rFonts w:cstheme="minorHAnsi"/>
          <w:sz w:val="22"/>
          <w:szCs w:val="22"/>
        </w:rPr>
        <w:t xml:space="preserve"> guidance on how urological conditions </w:t>
      </w:r>
      <w:r w:rsidR="008F6F6F">
        <w:rPr>
          <w:rFonts w:cstheme="minorHAnsi"/>
          <w:sz w:val="22"/>
          <w:szCs w:val="22"/>
        </w:rPr>
        <w:t>can</w:t>
      </w:r>
      <w:r w:rsidR="008F6F6F" w:rsidRPr="004B0BC2">
        <w:rPr>
          <w:rFonts w:cstheme="minorHAnsi"/>
          <w:sz w:val="22"/>
          <w:szCs w:val="22"/>
        </w:rPr>
        <w:t xml:space="preserve"> </w:t>
      </w:r>
      <w:r w:rsidR="007C2A56" w:rsidRPr="004B0BC2">
        <w:rPr>
          <w:rFonts w:cstheme="minorHAnsi"/>
          <w:sz w:val="22"/>
          <w:szCs w:val="22"/>
        </w:rPr>
        <w:t>be harbingers for occult systematic diseases</w:t>
      </w:r>
      <w:r w:rsidR="00AE601E" w:rsidRPr="004B0BC2">
        <w:rPr>
          <w:rFonts w:cstheme="minorHAnsi"/>
          <w:sz w:val="22"/>
          <w:szCs w:val="22"/>
        </w:rPr>
        <w:fldChar w:fldCharType="begin" w:fldLock="1"/>
      </w:r>
      <w:r w:rsidR="002410DF">
        <w:rPr>
          <w:rFonts w:cstheme="minorHAnsi"/>
          <w:sz w:val="22"/>
          <w:szCs w:val="22"/>
        </w:rPr>
        <w:instrText>ADDIN CSL_CITATION {"citationItems":[{"id":"ITEM-1","itemData":{"URL":"https://uroweb.org/wp-content/uploads/EAU-Guidelines-on-Sexual-and-Reproductive-Health-2020.pdf","accessed":{"date-parts":[["2020","4","27"]]},"author":[{"dropping-particle":"","family":"EAU Guidelines Committee","given":"","non-dropping-particle":"","parse-names":false,"suffix":""}],"container-title":"2020","id":"ITEM-1","issued":{"date-parts":[["0"]]},"title":"EAU guidelines on Sexual and Reproductive Health","type":"webpage"},"uris":["http://www.mendeley.com/documents/?uuid=24513bd5-aaea-355e-8a22-5aaa3af0b93a"]}],"mendeley":{"formattedCitation":"(174)","plainTextFormattedCitation":"(174)","previouslyFormattedCitation":"(174)"},"properties":{"noteIndex":0},"schema":"https://github.com/citation-style-language/schema/raw/master/csl-citation.json"}</w:instrText>
      </w:r>
      <w:r w:rsidR="00AE601E" w:rsidRPr="004B0BC2">
        <w:rPr>
          <w:rFonts w:cstheme="minorHAnsi"/>
          <w:sz w:val="22"/>
          <w:szCs w:val="22"/>
        </w:rPr>
        <w:fldChar w:fldCharType="separate"/>
      </w:r>
      <w:r w:rsidR="002410DF" w:rsidRPr="002410DF">
        <w:rPr>
          <w:rFonts w:cstheme="minorHAnsi"/>
          <w:noProof/>
          <w:sz w:val="22"/>
          <w:szCs w:val="22"/>
        </w:rPr>
        <w:t>(174)</w:t>
      </w:r>
      <w:r w:rsidR="00AE601E" w:rsidRPr="004B0BC2">
        <w:rPr>
          <w:rFonts w:cstheme="minorHAnsi"/>
          <w:sz w:val="22"/>
          <w:szCs w:val="22"/>
        </w:rPr>
        <w:fldChar w:fldCharType="end"/>
      </w:r>
      <w:r w:rsidR="005F2083" w:rsidRPr="004B0BC2">
        <w:rPr>
          <w:rFonts w:cstheme="minorHAnsi"/>
          <w:sz w:val="22"/>
          <w:szCs w:val="22"/>
        </w:rPr>
        <w:t>.</w:t>
      </w:r>
      <w:r w:rsidR="00842AA1" w:rsidRPr="004B0BC2">
        <w:rPr>
          <w:rFonts w:cstheme="minorHAnsi"/>
          <w:sz w:val="22"/>
          <w:szCs w:val="22"/>
        </w:rPr>
        <w:t xml:space="preserve"> </w:t>
      </w:r>
    </w:p>
    <w:p w14:paraId="7C2D54E7" w14:textId="0C11671A" w:rsidR="002066C6" w:rsidRPr="004B0BC2" w:rsidRDefault="002066C6" w:rsidP="00B66369">
      <w:pPr>
        <w:pStyle w:val="NoSpacing"/>
        <w:spacing w:line="480" w:lineRule="auto"/>
        <w:rPr>
          <w:rFonts w:cstheme="minorHAnsi"/>
          <w:sz w:val="22"/>
          <w:szCs w:val="22"/>
        </w:rPr>
      </w:pPr>
      <w:r w:rsidRPr="004B0BC2">
        <w:rPr>
          <w:rFonts w:cstheme="minorHAnsi"/>
          <w:sz w:val="22"/>
          <w:szCs w:val="22"/>
        </w:rPr>
        <w:t xml:space="preserve">A </w:t>
      </w:r>
      <w:r w:rsidR="008F6F6F">
        <w:rPr>
          <w:rFonts w:cstheme="minorHAnsi"/>
          <w:sz w:val="22"/>
          <w:szCs w:val="22"/>
        </w:rPr>
        <w:t>m</w:t>
      </w:r>
      <w:r w:rsidRPr="004B0BC2">
        <w:rPr>
          <w:rFonts w:cstheme="minorHAnsi"/>
          <w:sz w:val="22"/>
          <w:szCs w:val="22"/>
        </w:rPr>
        <w:t xml:space="preserve">en’s </w:t>
      </w:r>
      <w:r w:rsidR="008F6F6F">
        <w:rPr>
          <w:rFonts w:cstheme="minorHAnsi"/>
          <w:sz w:val="22"/>
          <w:szCs w:val="22"/>
        </w:rPr>
        <w:t>h</w:t>
      </w:r>
      <w:r w:rsidRPr="004B0BC2">
        <w:rPr>
          <w:rFonts w:cstheme="minorHAnsi"/>
          <w:sz w:val="22"/>
          <w:szCs w:val="22"/>
        </w:rPr>
        <w:t xml:space="preserve">ealth </w:t>
      </w:r>
      <w:r w:rsidR="00C825E0" w:rsidRPr="004B0BC2">
        <w:rPr>
          <w:rFonts w:cstheme="minorHAnsi"/>
          <w:sz w:val="22"/>
          <w:szCs w:val="22"/>
        </w:rPr>
        <w:t>service</w:t>
      </w:r>
      <w:r w:rsidRPr="004B0BC2">
        <w:rPr>
          <w:rFonts w:cstheme="minorHAnsi"/>
          <w:sz w:val="22"/>
          <w:szCs w:val="22"/>
        </w:rPr>
        <w:t xml:space="preserve"> would</w:t>
      </w:r>
      <w:r w:rsidR="00C825E0" w:rsidRPr="004B0BC2">
        <w:rPr>
          <w:rFonts w:cstheme="minorHAnsi"/>
          <w:sz w:val="22"/>
          <w:szCs w:val="22"/>
        </w:rPr>
        <w:t xml:space="preserve"> enshrine and</w:t>
      </w:r>
      <w:r w:rsidRPr="004B0BC2">
        <w:rPr>
          <w:rFonts w:cstheme="minorHAnsi"/>
          <w:sz w:val="22"/>
          <w:szCs w:val="22"/>
        </w:rPr>
        <w:t xml:space="preserve"> </w:t>
      </w:r>
      <w:r w:rsidR="00842AA1" w:rsidRPr="004B0BC2">
        <w:rPr>
          <w:rFonts w:cstheme="minorHAnsi"/>
          <w:sz w:val="22"/>
          <w:szCs w:val="22"/>
        </w:rPr>
        <w:t xml:space="preserve">enable </w:t>
      </w:r>
      <w:r w:rsidRPr="004B0BC2">
        <w:rPr>
          <w:rFonts w:cstheme="minorHAnsi"/>
          <w:sz w:val="22"/>
          <w:szCs w:val="22"/>
        </w:rPr>
        <w:t>pooling of services</w:t>
      </w:r>
      <w:r w:rsidR="00E209E8" w:rsidRPr="004B0BC2">
        <w:rPr>
          <w:rFonts w:cstheme="minorHAnsi"/>
          <w:sz w:val="22"/>
          <w:szCs w:val="22"/>
        </w:rPr>
        <w:t xml:space="preserve"> and resources</w:t>
      </w:r>
      <w:r w:rsidRPr="004B0BC2">
        <w:rPr>
          <w:rFonts w:cstheme="minorHAnsi"/>
          <w:sz w:val="22"/>
          <w:szCs w:val="22"/>
        </w:rPr>
        <w:t>, expedite patient access to care, and could also facilitate referral for specialist investigations or treatments</w:t>
      </w:r>
      <w:r w:rsidR="00E172D8" w:rsidRPr="004B0BC2">
        <w:rPr>
          <w:rFonts w:cstheme="minorHAnsi"/>
          <w:sz w:val="22"/>
          <w:szCs w:val="22"/>
        </w:rPr>
        <w:t>, such as</w:t>
      </w:r>
      <w:r w:rsidRPr="004B0BC2">
        <w:rPr>
          <w:rFonts w:cstheme="minorHAnsi"/>
          <w:sz w:val="22"/>
          <w:szCs w:val="22"/>
        </w:rPr>
        <w:t xml:space="preserve"> </w:t>
      </w:r>
      <w:r w:rsidR="007D3ABD" w:rsidRPr="004B0BC2">
        <w:rPr>
          <w:rFonts w:cstheme="minorHAnsi"/>
          <w:sz w:val="22"/>
          <w:szCs w:val="22"/>
        </w:rPr>
        <w:t>cardi</w:t>
      </w:r>
      <w:r w:rsidR="00E209E8" w:rsidRPr="004B0BC2">
        <w:rPr>
          <w:rFonts w:cstheme="minorHAnsi"/>
          <w:sz w:val="22"/>
          <w:szCs w:val="22"/>
        </w:rPr>
        <w:t>ac</w:t>
      </w:r>
      <w:r w:rsidR="007D3ABD" w:rsidRPr="004B0BC2">
        <w:rPr>
          <w:rFonts w:cstheme="minorHAnsi"/>
          <w:sz w:val="22"/>
          <w:szCs w:val="22"/>
        </w:rPr>
        <w:t xml:space="preserve"> angiograph</w:t>
      </w:r>
      <w:r w:rsidR="001F0740" w:rsidRPr="004B0BC2">
        <w:rPr>
          <w:rFonts w:cstheme="minorHAnsi"/>
          <w:sz w:val="22"/>
          <w:szCs w:val="22"/>
        </w:rPr>
        <w:t>y, treatment of diabetes, imaging for raised PSA</w:t>
      </w:r>
      <w:r w:rsidR="008F6F6F">
        <w:rPr>
          <w:rFonts w:cstheme="minorHAnsi"/>
          <w:sz w:val="22"/>
          <w:szCs w:val="22"/>
        </w:rPr>
        <w:t>. Alternatively,</w:t>
      </w:r>
      <w:r w:rsidRPr="004B0BC2">
        <w:rPr>
          <w:rFonts w:cstheme="minorHAnsi"/>
          <w:sz w:val="22"/>
          <w:szCs w:val="22"/>
        </w:rPr>
        <w:t xml:space="preserve"> </w:t>
      </w:r>
      <w:r w:rsidR="008F6F6F">
        <w:rPr>
          <w:rFonts w:cstheme="minorHAnsi"/>
          <w:sz w:val="22"/>
          <w:szCs w:val="22"/>
        </w:rPr>
        <w:t xml:space="preserve">these investigations could even be </w:t>
      </w:r>
      <w:r w:rsidRPr="004B0BC2">
        <w:rPr>
          <w:rFonts w:cstheme="minorHAnsi"/>
          <w:sz w:val="22"/>
          <w:szCs w:val="22"/>
        </w:rPr>
        <w:t>incorporate</w:t>
      </w:r>
      <w:r w:rsidR="008F6F6F">
        <w:rPr>
          <w:rFonts w:cstheme="minorHAnsi"/>
          <w:sz w:val="22"/>
          <w:szCs w:val="22"/>
        </w:rPr>
        <w:t>d</w:t>
      </w:r>
      <w:r w:rsidR="00E209E8" w:rsidRPr="004B0BC2">
        <w:rPr>
          <w:rFonts w:cstheme="minorHAnsi"/>
          <w:sz w:val="22"/>
          <w:szCs w:val="22"/>
        </w:rPr>
        <w:t xml:space="preserve"> into </w:t>
      </w:r>
      <w:r w:rsidR="001F0740" w:rsidRPr="004B0BC2">
        <w:rPr>
          <w:rFonts w:cstheme="minorHAnsi"/>
          <w:sz w:val="22"/>
          <w:szCs w:val="22"/>
        </w:rPr>
        <w:t xml:space="preserve">current </w:t>
      </w:r>
      <w:r w:rsidR="00E209E8" w:rsidRPr="004B0BC2">
        <w:rPr>
          <w:rFonts w:cstheme="minorHAnsi"/>
          <w:sz w:val="22"/>
          <w:szCs w:val="22"/>
        </w:rPr>
        <w:t>streamlined pathways</w:t>
      </w:r>
      <w:r w:rsidR="00E172D8" w:rsidRPr="004B0BC2">
        <w:rPr>
          <w:rFonts w:cstheme="minorHAnsi"/>
          <w:sz w:val="22"/>
          <w:szCs w:val="22"/>
        </w:rPr>
        <w:t>, for example</w:t>
      </w:r>
      <w:r w:rsidR="00427AC4" w:rsidRPr="004B0BC2">
        <w:rPr>
          <w:rFonts w:cstheme="minorHAnsi"/>
          <w:sz w:val="22"/>
          <w:szCs w:val="22"/>
        </w:rPr>
        <w:t xml:space="preserve"> MRI imaging and </w:t>
      </w:r>
      <w:r w:rsidRPr="004B0BC2">
        <w:rPr>
          <w:rFonts w:cstheme="minorHAnsi"/>
          <w:sz w:val="22"/>
          <w:szCs w:val="22"/>
        </w:rPr>
        <w:t>same</w:t>
      </w:r>
      <w:r w:rsidR="008F6F6F">
        <w:rPr>
          <w:rFonts w:cstheme="minorHAnsi"/>
          <w:sz w:val="22"/>
          <w:szCs w:val="22"/>
        </w:rPr>
        <w:t>-</w:t>
      </w:r>
      <w:r w:rsidRPr="004B0BC2">
        <w:rPr>
          <w:rFonts w:cstheme="minorHAnsi"/>
          <w:sz w:val="22"/>
          <w:szCs w:val="22"/>
        </w:rPr>
        <w:t>day local anaesthetic prostate biopsy</w:t>
      </w:r>
      <w:r w:rsidR="00427AC4" w:rsidRPr="004B0BC2">
        <w:rPr>
          <w:rFonts w:cstheme="minorHAnsi"/>
          <w:sz w:val="22"/>
          <w:szCs w:val="22"/>
        </w:rPr>
        <w:t xml:space="preserve"> for rapid access prostatic cancer diagnostic pathways</w:t>
      </w:r>
      <w:r w:rsidRPr="004B0BC2">
        <w:rPr>
          <w:rFonts w:cstheme="minorHAnsi"/>
          <w:sz w:val="22"/>
          <w:szCs w:val="22"/>
        </w:rPr>
        <w:t>.</w:t>
      </w:r>
      <w:r w:rsidR="008F6F6F">
        <w:rPr>
          <w:rFonts w:cstheme="minorHAnsi"/>
          <w:sz w:val="22"/>
          <w:szCs w:val="22"/>
        </w:rPr>
        <w:t xml:space="preserve"> </w:t>
      </w:r>
      <w:r w:rsidRPr="004B0BC2">
        <w:rPr>
          <w:rFonts w:cstheme="minorHAnsi"/>
          <w:sz w:val="22"/>
          <w:szCs w:val="22"/>
        </w:rPr>
        <w:t xml:space="preserve">A one-stop model </w:t>
      </w:r>
      <w:r w:rsidR="008F6F6F">
        <w:rPr>
          <w:rFonts w:cstheme="minorHAnsi"/>
          <w:sz w:val="22"/>
          <w:szCs w:val="22"/>
        </w:rPr>
        <w:t>could</w:t>
      </w:r>
      <w:r w:rsidR="008F6F6F" w:rsidRPr="004B0BC2">
        <w:rPr>
          <w:rFonts w:cstheme="minorHAnsi"/>
          <w:sz w:val="22"/>
          <w:szCs w:val="22"/>
        </w:rPr>
        <w:t xml:space="preserve"> </w:t>
      </w:r>
      <w:r w:rsidRPr="004B0BC2">
        <w:rPr>
          <w:rFonts w:cstheme="minorHAnsi"/>
          <w:sz w:val="22"/>
          <w:szCs w:val="22"/>
        </w:rPr>
        <w:t xml:space="preserve">reduce </w:t>
      </w:r>
      <w:r w:rsidR="00844EF8" w:rsidRPr="004B0BC2">
        <w:rPr>
          <w:rFonts w:cstheme="minorHAnsi"/>
          <w:sz w:val="22"/>
          <w:szCs w:val="22"/>
        </w:rPr>
        <w:t xml:space="preserve">treatment </w:t>
      </w:r>
      <w:r w:rsidRPr="004B0BC2">
        <w:rPr>
          <w:rFonts w:cstheme="minorHAnsi"/>
          <w:sz w:val="22"/>
          <w:szCs w:val="22"/>
        </w:rPr>
        <w:t xml:space="preserve">delay, </w:t>
      </w:r>
      <w:r w:rsidR="008F6F6F">
        <w:rPr>
          <w:rFonts w:cstheme="minorHAnsi"/>
          <w:sz w:val="22"/>
          <w:szCs w:val="22"/>
        </w:rPr>
        <w:t>improve</w:t>
      </w:r>
      <w:r w:rsidR="008F6F6F" w:rsidRPr="004B0BC2">
        <w:rPr>
          <w:rFonts w:cstheme="minorHAnsi"/>
          <w:sz w:val="22"/>
          <w:szCs w:val="22"/>
        </w:rPr>
        <w:t xml:space="preserve"> </w:t>
      </w:r>
      <w:r w:rsidRPr="004B0BC2">
        <w:rPr>
          <w:rFonts w:cstheme="minorHAnsi"/>
          <w:sz w:val="22"/>
          <w:szCs w:val="22"/>
        </w:rPr>
        <w:t>cost-effective</w:t>
      </w:r>
      <w:r w:rsidR="008F6F6F">
        <w:rPr>
          <w:rFonts w:cstheme="minorHAnsi"/>
          <w:sz w:val="22"/>
          <w:szCs w:val="22"/>
        </w:rPr>
        <w:t>ness</w:t>
      </w:r>
      <w:r w:rsidRPr="004B0BC2">
        <w:rPr>
          <w:rFonts w:cstheme="minorHAnsi"/>
          <w:sz w:val="22"/>
          <w:szCs w:val="22"/>
        </w:rPr>
        <w:t xml:space="preserve"> and increase patient satisfaction(10). Moreover</w:t>
      </w:r>
      <w:r w:rsidR="001736E5" w:rsidRPr="004B0BC2">
        <w:rPr>
          <w:rFonts w:cstheme="minorHAnsi"/>
          <w:sz w:val="22"/>
          <w:szCs w:val="22"/>
        </w:rPr>
        <w:t xml:space="preserve">, a </w:t>
      </w:r>
      <w:r w:rsidR="00156AEF" w:rsidRPr="004B0BC2">
        <w:rPr>
          <w:rFonts w:cstheme="minorHAnsi"/>
          <w:sz w:val="22"/>
          <w:szCs w:val="22"/>
        </w:rPr>
        <w:t>sex</w:t>
      </w:r>
      <w:r w:rsidR="00E172D8" w:rsidRPr="004B0BC2">
        <w:rPr>
          <w:rFonts w:cstheme="minorHAnsi"/>
          <w:sz w:val="22"/>
          <w:szCs w:val="22"/>
        </w:rPr>
        <w:t>-</w:t>
      </w:r>
      <w:r w:rsidR="00E209E8" w:rsidRPr="004B0BC2">
        <w:rPr>
          <w:rFonts w:cstheme="minorHAnsi"/>
          <w:sz w:val="22"/>
          <w:szCs w:val="22"/>
        </w:rPr>
        <w:t>specific</w:t>
      </w:r>
      <w:r w:rsidR="001736E5" w:rsidRPr="004B0BC2">
        <w:rPr>
          <w:rFonts w:cstheme="minorHAnsi"/>
          <w:sz w:val="22"/>
          <w:szCs w:val="22"/>
        </w:rPr>
        <w:t xml:space="preserve"> health</w:t>
      </w:r>
      <w:r w:rsidR="008F6F6F">
        <w:rPr>
          <w:rFonts w:cstheme="minorHAnsi"/>
          <w:sz w:val="22"/>
          <w:szCs w:val="22"/>
        </w:rPr>
        <w:t>-</w:t>
      </w:r>
      <w:r w:rsidR="00E209E8" w:rsidRPr="004B0BC2">
        <w:rPr>
          <w:rFonts w:cstheme="minorHAnsi"/>
          <w:sz w:val="22"/>
          <w:szCs w:val="22"/>
        </w:rPr>
        <w:t xml:space="preserve">care model </w:t>
      </w:r>
      <w:r w:rsidR="003E771B" w:rsidRPr="004B0BC2">
        <w:rPr>
          <w:rFonts w:cstheme="minorHAnsi"/>
          <w:sz w:val="22"/>
          <w:szCs w:val="22"/>
        </w:rPr>
        <w:t>would</w:t>
      </w:r>
      <w:r w:rsidR="001736E5" w:rsidRPr="004B0BC2">
        <w:rPr>
          <w:rFonts w:cstheme="minorHAnsi"/>
          <w:sz w:val="22"/>
          <w:szCs w:val="22"/>
        </w:rPr>
        <w:t xml:space="preserve"> </w:t>
      </w:r>
      <w:r w:rsidR="00272F4D" w:rsidRPr="004B0BC2">
        <w:rPr>
          <w:rFonts w:cstheme="minorHAnsi"/>
          <w:sz w:val="22"/>
          <w:szCs w:val="22"/>
        </w:rPr>
        <w:t xml:space="preserve">incorporate </w:t>
      </w:r>
      <w:r w:rsidR="005F2083" w:rsidRPr="004B0BC2">
        <w:rPr>
          <w:rFonts w:cstheme="minorHAnsi"/>
          <w:sz w:val="22"/>
          <w:szCs w:val="22"/>
        </w:rPr>
        <w:t>sex</w:t>
      </w:r>
      <w:r w:rsidR="00E172D8" w:rsidRPr="004B0BC2">
        <w:rPr>
          <w:rFonts w:cstheme="minorHAnsi"/>
          <w:sz w:val="22"/>
          <w:szCs w:val="22"/>
        </w:rPr>
        <w:t>-</w:t>
      </w:r>
      <w:r w:rsidR="001736E5" w:rsidRPr="004B0BC2">
        <w:rPr>
          <w:rFonts w:cstheme="minorHAnsi"/>
          <w:sz w:val="22"/>
          <w:szCs w:val="22"/>
        </w:rPr>
        <w:t>specific protocols, patient</w:t>
      </w:r>
      <w:r w:rsidR="00E172D8" w:rsidRPr="004B0BC2">
        <w:rPr>
          <w:rFonts w:cstheme="minorHAnsi"/>
          <w:sz w:val="22"/>
          <w:szCs w:val="22"/>
        </w:rPr>
        <w:t>-</w:t>
      </w:r>
      <w:r w:rsidR="001736E5" w:rsidRPr="004B0BC2">
        <w:rPr>
          <w:rFonts w:cstheme="minorHAnsi"/>
          <w:sz w:val="22"/>
          <w:szCs w:val="22"/>
        </w:rPr>
        <w:t>reported outcomes and a</w:t>
      </w:r>
      <w:r w:rsidR="00272F4D" w:rsidRPr="004B0BC2">
        <w:rPr>
          <w:rFonts w:cstheme="minorHAnsi"/>
          <w:sz w:val="22"/>
          <w:szCs w:val="22"/>
        </w:rPr>
        <w:t xml:space="preserve"> patient</w:t>
      </w:r>
      <w:r w:rsidR="00E172D8" w:rsidRPr="004B0BC2">
        <w:rPr>
          <w:rFonts w:cstheme="minorHAnsi"/>
          <w:sz w:val="22"/>
          <w:szCs w:val="22"/>
        </w:rPr>
        <w:t>-</w:t>
      </w:r>
      <w:r w:rsidR="00272F4D" w:rsidRPr="004B0BC2">
        <w:rPr>
          <w:rFonts w:cstheme="minorHAnsi"/>
          <w:sz w:val="22"/>
          <w:szCs w:val="22"/>
        </w:rPr>
        <w:t>centred</w:t>
      </w:r>
      <w:r w:rsidR="001736E5" w:rsidRPr="004B0BC2">
        <w:rPr>
          <w:rFonts w:cstheme="minorHAnsi"/>
          <w:sz w:val="22"/>
          <w:szCs w:val="22"/>
        </w:rPr>
        <w:t xml:space="preserve"> environment </w:t>
      </w:r>
      <w:r w:rsidR="00272F4D" w:rsidRPr="004B0BC2">
        <w:rPr>
          <w:rFonts w:cstheme="minorHAnsi"/>
          <w:sz w:val="22"/>
          <w:szCs w:val="22"/>
        </w:rPr>
        <w:t>that could</w:t>
      </w:r>
      <w:r w:rsidR="001736E5" w:rsidRPr="004B0BC2">
        <w:rPr>
          <w:rFonts w:cstheme="minorHAnsi"/>
          <w:sz w:val="22"/>
          <w:szCs w:val="22"/>
        </w:rPr>
        <w:t xml:space="preserve"> </w:t>
      </w:r>
      <w:r w:rsidR="00E209E8" w:rsidRPr="004B0BC2">
        <w:rPr>
          <w:rFonts w:cstheme="minorHAnsi"/>
          <w:sz w:val="22"/>
          <w:szCs w:val="22"/>
        </w:rPr>
        <w:t>facilitate</w:t>
      </w:r>
      <w:r w:rsidR="001736E5" w:rsidRPr="004B0BC2">
        <w:rPr>
          <w:rFonts w:cstheme="minorHAnsi"/>
          <w:sz w:val="22"/>
          <w:szCs w:val="22"/>
        </w:rPr>
        <w:t xml:space="preserve"> interaction with peers</w:t>
      </w:r>
      <w:r w:rsidR="00272F4D" w:rsidRPr="004B0BC2">
        <w:rPr>
          <w:rFonts w:cstheme="minorHAnsi"/>
          <w:sz w:val="22"/>
          <w:szCs w:val="22"/>
        </w:rPr>
        <w:fldChar w:fldCharType="begin" w:fldLock="1"/>
      </w:r>
      <w:r w:rsidR="002410DF">
        <w:rPr>
          <w:rFonts w:cstheme="minorHAnsi"/>
          <w:sz w:val="22"/>
          <w:szCs w:val="22"/>
        </w:rPr>
        <w:instrText>ADDIN CSL_CITATION {"citationItems":[{"id":"ITEM-1","itemData":{"DOI":"10.1038/s41443-020-0260-6","ISSN":"0955-9930","abstract":"Globally, the life expectancy for men is 5.1 years less than for women. This gender gap in mortality is intrinsically linked to a higher proportion of premature male mortality and is a significant economic, social and healthcare issue. We explore the main causes for premature male death and also discuss the need for a dedicated men's health clinic, especially in the context of potential commercial exploitation.","author":[{"dropping-particle":"","family":"Tharakan","given":"Tharu","non-dropping-particle":"","parse-names":false,"suffix":""},{"dropping-particle":"","family":"Jayasena","given":"Channa","non-dropping-particle":"","parse-names":false,"suffix":""},{"dropping-particle":"","family":"Minhas","given":"Suks","non-dropping-particle":"","parse-names":false,"suffix":""}],"container-title":"International Journal of Impotence Research","id":"ITEM-1","issued":{"date-parts":[["2020"]]},"page":"1-4","title":"Men’s health clinics: a real need or a marketing strategy","type":"article-journal"},"uris":["http://www.mendeley.com/documents/?uuid=01e7dc52-d5dc-3412-9d63-2fbade209ff9"]}],"mendeley":{"formattedCitation":"(4)","plainTextFormattedCitation":"(4)","previouslyFormattedCitation":"(4)"},"properties":{"noteIndex":0},"schema":"https://github.com/citation-style-language/schema/raw/master/csl-citation.json"}</w:instrText>
      </w:r>
      <w:r w:rsidR="00272F4D" w:rsidRPr="004B0BC2">
        <w:rPr>
          <w:rFonts w:cstheme="minorHAnsi"/>
          <w:sz w:val="22"/>
          <w:szCs w:val="22"/>
        </w:rPr>
        <w:fldChar w:fldCharType="separate"/>
      </w:r>
      <w:r w:rsidR="00272F4D" w:rsidRPr="004B0BC2">
        <w:rPr>
          <w:rFonts w:cstheme="minorHAnsi"/>
          <w:noProof/>
          <w:sz w:val="22"/>
          <w:szCs w:val="22"/>
        </w:rPr>
        <w:t>(4)</w:t>
      </w:r>
      <w:r w:rsidR="00272F4D" w:rsidRPr="004B0BC2">
        <w:rPr>
          <w:rFonts w:cstheme="minorHAnsi"/>
          <w:sz w:val="22"/>
          <w:szCs w:val="22"/>
        </w:rPr>
        <w:fldChar w:fldCharType="end"/>
      </w:r>
      <w:r w:rsidR="008F6F6F">
        <w:rPr>
          <w:rFonts w:cstheme="minorHAnsi"/>
          <w:sz w:val="22"/>
          <w:szCs w:val="22"/>
        </w:rPr>
        <w:t>,</w:t>
      </w:r>
      <w:r w:rsidR="00844EF8" w:rsidRPr="004B0BC2">
        <w:rPr>
          <w:rFonts w:cstheme="minorHAnsi"/>
          <w:sz w:val="22"/>
          <w:szCs w:val="22"/>
        </w:rPr>
        <w:t xml:space="preserve"> </w:t>
      </w:r>
      <w:r w:rsidR="003E771B" w:rsidRPr="004B0BC2">
        <w:rPr>
          <w:rFonts w:cstheme="minorHAnsi"/>
          <w:sz w:val="22"/>
          <w:szCs w:val="22"/>
        </w:rPr>
        <w:t>facilitat</w:t>
      </w:r>
      <w:r w:rsidR="008F6F6F">
        <w:rPr>
          <w:rFonts w:cstheme="minorHAnsi"/>
          <w:sz w:val="22"/>
          <w:szCs w:val="22"/>
        </w:rPr>
        <w:t>ing</w:t>
      </w:r>
      <w:r w:rsidR="001736E5" w:rsidRPr="004B0BC2">
        <w:rPr>
          <w:rFonts w:cstheme="minorHAnsi"/>
          <w:sz w:val="22"/>
          <w:szCs w:val="22"/>
        </w:rPr>
        <w:t xml:space="preserve"> disease screening and </w:t>
      </w:r>
      <w:r w:rsidR="00844EF8" w:rsidRPr="004B0BC2">
        <w:rPr>
          <w:rFonts w:cstheme="minorHAnsi"/>
          <w:sz w:val="22"/>
          <w:szCs w:val="22"/>
        </w:rPr>
        <w:t xml:space="preserve">dissemination of </w:t>
      </w:r>
      <w:r w:rsidR="001736E5" w:rsidRPr="004B0BC2">
        <w:rPr>
          <w:rFonts w:cstheme="minorHAnsi"/>
          <w:sz w:val="22"/>
          <w:szCs w:val="22"/>
        </w:rPr>
        <w:t>health information</w:t>
      </w:r>
      <w:r w:rsidR="00C825E0" w:rsidRPr="004B0BC2">
        <w:rPr>
          <w:rFonts w:cstheme="minorHAnsi"/>
          <w:sz w:val="22"/>
          <w:szCs w:val="22"/>
        </w:rPr>
        <w:t xml:space="preserve"> to patients. Moreover, auditing of the service and patient experience</w:t>
      </w:r>
      <w:r w:rsidR="005F2083" w:rsidRPr="004B0BC2">
        <w:rPr>
          <w:rFonts w:cstheme="minorHAnsi"/>
          <w:sz w:val="22"/>
          <w:szCs w:val="22"/>
        </w:rPr>
        <w:t>s</w:t>
      </w:r>
      <w:r w:rsidR="00C825E0" w:rsidRPr="004B0BC2">
        <w:rPr>
          <w:rFonts w:cstheme="minorHAnsi"/>
          <w:sz w:val="22"/>
          <w:szCs w:val="22"/>
        </w:rPr>
        <w:t xml:space="preserve"> would</w:t>
      </w:r>
      <w:r w:rsidR="005F2083" w:rsidRPr="004B0BC2">
        <w:rPr>
          <w:rFonts w:cstheme="minorHAnsi"/>
          <w:sz w:val="22"/>
          <w:szCs w:val="22"/>
        </w:rPr>
        <w:t xml:space="preserve"> </w:t>
      </w:r>
      <w:r w:rsidR="00E172D8" w:rsidRPr="004B0BC2">
        <w:rPr>
          <w:rFonts w:cstheme="minorHAnsi"/>
          <w:sz w:val="22"/>
          <w:szCs w:val="22"/>
        </w:rPr>
        <w:t>provid</w:t>
      </w:r>
      <w:r w:rsidR="00C825E0" w:rsidRPr="004B0BC2">
        <w:rPr>
          <w:rFonts w:cstheme="minorHAnsi"/>
          <w:sz w:val="22"/>
          <w:szCs w:val="22"/>
        </w:rPr>
        <w:t>e</w:t>
      </w:r>
      <w:r w:rsidR="001736E5" w:rsidRPr="004B0BC2">
        <w:rPr>
          <w:rFonts w:cstheme="minorHAnsi"/>
          <w:sz w:val="22"/>
          <w:szCs w:val="22"/>
        </w:rPr>
        <w:t xml:space="preserve"> an opportunity for research into men’s health</w:t>
      </w:r>
      <w:r w:rsidR="00C825E0" w:rsidRPr="004B0BC2">
        <w:rPr>
          <w:rFonts w:cstheme="minorHAnsi"/>
          <w:sz w:val="22"/>
          <w:szCs w:val="22"/>
        </w:rPr>
        <w:t>.</w:t>
      </w:r>
      <w:r w:rsidR="003C11E1">
        <w:rPr>
          <w:rFonts w:cstheme="minorHAnsi"/>
          <w:sz w:val="22"/>
          <w:szCs w:val="22"/>
        </w:rPr>
        <w:t xml:space="preserve"> </w:t>
      </w:r>
      <w:r w:rsidR="00427AC4" w:rsidRPr="004B0BC2">
        <w:rPr>
          <w:rFonts w:cstheme="minorHAnsi"/>
          <w:sz w:val="22"/>
          <w:szCs w:val="22"/>
        </w:rPr>
        <w:t>Th</w:t>
      </w:r>
      <w:r w:rsidR="00971460" w:rsidRPr="004B0BC2">
        <w:rPr>
          <w:rFonts w:cstheme="minorHAnsi"/>
          <w:sz w:val="22"/>
          <w:szCs w:val="22"/>
        </w:rPr>
        <w:t>is</w:t>
      </w:r>
      <w:r w:rsidR="00427AC4" w:rsidRPr="004B0BC2">
        <w:rPr>
          <w:rFonts w:cstheme="minorHAnsi"/>
          <w:sz w:val="22"/>
          <w:szCs w:val="22"/>
        </w:rPr>
        <w:t xml:space="preserve"> model would be dynamic</w:t>
      </w:r>
      <w:r w:rsidR="00C17E8F" w:rsidRPr="004B0BC2">
        <w:rPr>
          <w:rFonts w:cstheme="minorHAnsi"/>
          <w:sz w:val="22"/>
          <w:szCs w:val="22"/>
        </w:rPr>
        <w:t>,</w:t>
      </w:r>
      <w:r w:rsidR="00427AC4" w:rsidRPr="004B0BC2">
        <w:rPr>
          <w:rFonts w:cstheme="minorHAnsi"/>
          <w:sz w:val="22"/>
          <w:szCs w:val="22"/>
        </w:rPr>
        <w:t xml:space="preserve"> incorporating </w:t>
      </w:r>
      <w:r w:rsidR="00971460" w:rsidRPr="004B0BC2">
        <w:rPr>
          <w:rFonts w:cstheme="minorHAnsi"/>
          <w:sz w:val="22"/>
          <w:szCs w:val="22"/>
        </w:rPr>
        <w:t xml:space="preserve">patient opinions </w:t>
      </w:r>
      <w:r w:rsidR="00C17E8F" w:rsidRPr="004B0BC2">
        <w:rPr>
          <w:rFonts w:cstheme="minorHAnsi"/>
          <w:sz w:val="22"/>
          <w:szCs w:val="22"/>
        </w:rPr>
        <w:t xml:space="preserve">in order to </w:t>
      </w:r>
      <w:r w:rsidR="00971460" w:rsidRPr="004B0BC2">
        <w:rPr>
          <w:rFonts w:cstheme="minorHAnsi"/>
          <w:sz w:val="22"/>
          <w:szCs w:val="22"/>
        </w:rPr>
        <w:t>constantly adapt to optimise patient satisfaction and clinical outcomes</w:t>
      </w:r>
      <w:r w:rsidR="00C825E0" w:rsidRPr="004B0BC2">
        <w:rPr>
          <w:rFonts w:cstheme="minorHAnsi"/>
          <w:sz w:val="22"/>
          <w:szCs w:val="22"/>
        </w:rPr>
        <w:t>.</w:t>
      </w:r>
    </w:p>
    <w:p w14:paraId="0118CFEC" w14:textId="31761615" w:rsidR="00202859" w:rsidRDefault="00202859" w:rsidP="00B66369">
      <w:pPr>
        <w:pStyle w:val="NoSpacing"/>
        <w:spacing w:line="480" w:lineRule="auto"/>
        <w:rPr>
          <w:rFonts w:cstheme="minorHAnsi"/>
          <w:color w:val="000000"/>
          <w:sz w:val="22"/>
          <w:szCs w:val="22"/>
        </w:rPr>
      </w:pPr>
      <w:r>
        <w:rPr>
          <w:rFonts w:cstheme="minorHAnsi"/>
          <w:color w:val="000000"/>
          <w:sz w:val="22"/>
          <w:szCs w:val="22"/>
        </w:rPr>
        <w:t>The creation of a programme like this could also be used to trial new and emerging</w:t>
      </w:r>
      <w:r w:rsidR="009D0021" w:rsidRPr="00500FBD">
        <w:rPr>
          <w:rFonts w:cstheme="minorHAnsi"/>
          <w:color w:val="000000"/>
          <w:sz w:val="22"/>
          <w:szCs w:val="22"/>
        </w:rPr>
        <w:t xml:space="preserve"> technologies to identify novel methods of improving male health</w:t>
      </w:r>
      <w:r>
        <w:rPr>
          <w:rFonts w:cstheme="minorHAnsi"/>
          <w:color w:val="000000"/>
          <w:sz w:val="22"/>
          <w:szCs w:val="22"/>
        </w:rPr>
        <w:t>-</w:t>
      </w:r>
      <w:r w:rsidR="009D0021" w:rsidRPr="00500FBD">
        <w:rPr>
          <w:rFonts w:cstheme="minorHAnsi"/>
          <w:color w:val="000000"/>
          <w:sz w:val="22"/>
          <w:szCs w:val="22"/>
        </w:rPr>
        <w:t xml:space="preserve">care outcomes. </w:t>
      </w:r>
      <w:r>
        <w:rPr>
          <w:rFonts w:cstheme="minorHAnsi"/>
          <w:color w:val="000000"/>
          <w:sz w:val="22"/>
          <w:szCs w:val="22"/>
        </w:rPr>
        <w:t>For example, the</w:t>
      </w:r>
      <w:r w:rsidR="009D0021" w:rsidRPr="00500FBD">
        <w:rPr>
          <w:rFonts w:cstheme="minorHAnsi"/>
          <w:color w:val="000000"/>
          <w:sz w:val="22"/>
          <w:szCs w:val="22"/>
        </w:rPr>
        <w:t xml:space="preserve"> mobile web application</w:t>
      </w:r>
      <w:r>
        <w:rPr>
          <w:rFonts w:cstheme="minorHAnsi"/>
          <w:color w:val="000000"/>
          <w:sz w:val="22"/>
          <w:szCs w:val="22"/>
        </w:rPr>
        <w:t>,</w:t>
      </w:r>
      <w:r w:rsidR="009D0021" w:rsidRPr="00500FBD">
        <w:rPr>
          <w:rFonts w:cstheme="minorHAnsi"/>
          <w:color w:val="000000"/>
          <w:sz w:val="22"/>
          <w:szCs w:val="22"/>
        </w:rPr>
        <w:t xml:space="preserve"> ScreenMan</w:t>
      </w:r>
      <w:r>
        <w:rPr>
          <w:rFonts w:cstheme="minorHAnsi"/>
          <w:color w:val="000000"/>
          <w:sz w:val="22"/>
          <w:szCs w:val="22"/>
        </w:rPr>
        <w:t>, which</w:t>
      </w:r>
      <w:r w:rsidR="009D0021" w:rsidRPr="00500FBD">
        <w:rPr>
          <w:rFonts w:cstheme="minorHAnsi"/>
          <w:color w:val="000000"/>
          <w:sz w:val="22"/>
          <w:szCs w:val="22"/>
        </w:rPr>
        <w:t xml:space="preserve"> provide</w:t>
      </w:r>
      <w:r>
        <w:rPr>
          <w:rFonts w:cstheme="minorHAnsi"/>
          <w:color w:val="000000"/>
          <w:sz w:val="22"/>
          <w:szCs w:val="22"/>
        </w:rPr>
        <w:t>s</w:t>
      </w:r>
      <w:r w:rsidR="009D0021" w:rsidRPr="00500FBD">
        <w:rPr>
          <w:rFonts w:cstheme="minorHAnsi"/>
          <w:color w:val="000000"/>
          <w:sz w:val="22"/>
          <w:szCs w:val="22"/>
        </w:rPr>
        <w:t xml:space="preserve"> educational information for 15 health conditions including depression and alcohol misuse. </w:t>
      </w:r>
      <w:r>
        <w:rPr>
          <w:rFonts w:cstheme="minorHAnsi"/>
          <w:color w:val="000000"/>
          <w:sz w:val="22"/>
          <w:szCs w:val="22"/>
        </w:rPr>
        <w:t>In an e</w:t>
      </w:r>
      <w:r w:rsidR="009D0021" w:rsidRPr="00500FBD">
        <w:rPr>
          <w:rFonts w:cstheme="minorHAnsi"/>
          <w:color w:val="000000"/>
          <w:sz w:val="22"/>
          <w:szCs w:val="22"/>
        </w:rPr>
        <w:t>valuat</w:t>
      </w:r>
      <w:r>
        <w:rPr>
          <w:rFonts w:cstheme="minorHAnsi"/>
          <w:color w:val="000000"/>
          <w:sz w:val="22"/>
          <w:szCs w:val="22"/>
        </w:rPr>
        <w:t>ion of</w:t>
      </w:r>
      <w:r w:rsidR="009D0021" w:rsidRPr="00500FBD">
        <w:rPr>
          <w:rFonts w:cstheme="minorHAnsi"/>
          <w:color w:val="000000"/>
          <w:sz w:val="22"/>
          <w:szCs w:val="22"/>
        </w:rPr>
        <w:t xml:space="preserve"> the usability of the software through a participant questionnaire using a validated system usability score (SUS)</w:t>
      </w:r>
      <w:r>
        <w:rPr>
          <w:rFonts w:cstheme="minorHAnsi"/>
          <w:color w:val="000000"/>
          <w:sz w:val="22"/>
          <w:szCs w:val="22"/>
        </w:rPr>
        <w:t>, ScreenMan</w:t>
      </w:r>
      <w:r w:rsidR="009D0021" w:rsidRPr="00500FBD">
        <w:rPr>
          <w:rFonts w:cstheme="minorHAnsi"/>
          <w:color w:val="000000"/>
          <w:sz w:val="22"/>
          <w:szCs w:val="22"/>
        </w:rPr>
        <w:t xml:space="preserve"> was categorised as having a ‘good’ SUS score (mean 76.4)</w:t>
      </w:r>
      <w:r>
        <w:rPr>
          <w:rFonts w:cstheme="minorHAnsi"/>
          <w:color w:val="000000"/>
          <w:sz w:val="22"/>
          <w:szCs w:val="22"/>
        </w:rPr>
        <w:t>,</w:t>
      </w:r>
      <w:r w:rsidR="009D0021" w:rsidRPr="00500FBD">
        <w:rPr>
          <w:rFonts w:cstheme="minorHAnsi"/>
          <w:color w:val="000000"/>
          <w:sz w:val="22"/>
          <w:szCs w:val="22"/>
        </w:rPr>
        <w:t xml:space="preserve"> but no statistically significant improvement </w:t>
      </w:r>
      <w:r>
        <w:rPr>
          <w:rFonts w:cstheme="minorHAnsi"/>
          <w:color w:val="000000"/>
          <w:sz w:val="22"/>
          <w:szCs w:val="22"/>
        </w:rPr>
        <w:t xml:space="preserve">was seen </w:t>
      </w:r>
      <w:r w:rsidR="009D0021" w:rsidRPr="00500FBD">
        <w:rPr>
          <w:rFonts w:cstheme="minorHAnsi"/>
          <w:color w:val="000000"/>
          <w:sz w:val="22"/>
          <w:szCs w:val="22"/>
        </w:rPr>
        <w:t>in behavioural change patterns in favour of participants intending to screen for medical conditions earlier (&lt;6 months) following the use of the software</w:t>
      </w:r>
      <w:r w:rsidRPr="00B71A37">
        <w:rPr>
          <w:rFonts w:cstheme="minorHAnsi"/>
          <w:color w:val="000000"/>
          <w:sz w:val="22"/>
          <w:szCs w:val="22"/>
        </w:rPr>
        <w:fldChar w:fldCharType="begin" w:fldLock="1"/>
      </w:r>
      <w:r w:rsidR="002410DF">
        <w:rPr>
          <w:rFonts w:cstheme="minorHAnsi"/>
          <w:color w:val="000000"/>
          <w:sz w:val="22"/>
          <w:szCs w:val="22"/>
        </w:rPr>
        <w:instrText>ADDIN CSL_CITATION {"citationItems":[{"id":"ITEM-1","itemData":{"DOI":"10.2196/10216","ISSN":"22915222","abstract":"Background: Globally, the uptake of health screening is suboptimal, especially in men and those of younger age. In view of the increasing internet access and mobile phone ownership, ScreenMen, a mobile Web app, was developed to improve health screening uptake in men. Objective: This study aimed to evaluate the utility and usability of ScreenMen. Methods: This study used both qualitative and quantitative methods. Healthy men working in a banking institution were recruited to participate in this study. They were purposively sampled according to job position, age, education level, and screening status. Men were asked to use ScreenMen independently while the screen activities were being recorded. Once completed, retrospective think aloud with playback was conducted with men to obtain their feedback. They were asked to answer the System Usability Scale (SUS). Intention to undergo screening pre-and postintervention was also measured. Qualitative data were analyzed using a framework approach followed by thematic analysis. For quantitative data, the mean SUS score was calculated and change in intention to screening was analyzed using McNemar test. Results: In total, 24 men participated in this study. On the basis of the qualitative data, men found ScreenMen useful as they could learn more about their health risks and screening. They found ScreenMen convenient to use, which might trigger men to undergo screening. In terms of usability, men thought that ScreenMen was user-friendly and easy to understand. The key revision done on utility was the addition of a reminder function, whereas for usability, the revisions done were in terms of attracting and gaining users’ trust, improving learnability, and making ScreenMen usable to all types of users. To attract men to use it, ScreenMen was introduced to users in terms of improving health instead of going for screening. Another important revision made was emphasizing the screening tests the users do not need, instead of just informing them about the screening tests they need. A Quick Assessment Mode was also added for users with limited attention span. The quantitative data showed that 8 out of 23 men (35%) planned to attend screening earlier than intended after using the ScreenMen. Furthermore, 4 out of 12 (33%) men who were in the precontemplation stage changed to either contemplation or preparation stage after using ScreenMen with P=.13. In terms of usability, the mean SUS score of 76.4 (SD 7.72) indicated that Scree…","author":[{"dropping-particle":"","family":"Teo","given":"Chin Hai","non-dropping-particle":"","parse-names":false,"suffix":""},{"dropping-particle":"","family":"Ng","given":"Chirk Jenn","non-dropping-particle":"","parse-names":false,"suffix":""},{"dropping-particle":"","family":"Lo","given":"Sin Kuang","non-dropping-particle":"","parse-names":false,"suffix":""},{"dropping-particle":"","family":"Lim","given":"Chip Dong","non-dropping-particle":"","parse-names":false,"suffix":""},{"dropping-particle":"","family":"White","given":"Alan","non-dropping-particle":"","parse-names":false,"suffix":""}],"container-title":"JMIR mHealth and uHealth","id":"ITEM-1","issue":"4","issued":{"date-parts":[["2019"]]},"page":"e10216","title":"A mobile web app to improve health screening uptake in men (Screenmen): Utility and usability evaluation study","type":"article-journal","volume":"7"},"uris":["http://www.mendeley.com/documents/?uuid=819f0c14-8d04-41a8-9cc4-c750660f0e93"]}],"mendeley":{"formattedCitation":"(196)","plainTextFormattedCitation":"(196)","previouslyFormattedCitation":"(197)"},"properties":{"noteIndex":0},"schema":"https://github.com/citation-style-language/schema/raw/master/csl-citation.json"}</w:instrText>
      </w:r>
      <w:r w:rsidRPr="00B71A37">
        <w:rPr>
          <w:rFonts w:cstheme="minorHAnsi"/>
          <w:color w:val="000000"/>
          <w:sz w:val="22"/>
          <w:szCs w:val="22"/>
        </w:rPr>
        <w:fldChar w:fldCharType="separate"/>
      </w:r>
      <w:r w:rsidR="002410DF" w:rsidRPr="002410DF">
        <w:rPr>
          <w:rFonts w:cstheme="minorHAnsi"/>
          <w:noProof/>
          <w:color w:val="000000"/>
          <w:sz w:val="22"/>
          <w:szCs w:val="22"/>
        </w:rPr>
        <w:t>(196)</w:t>
      </w:r>
      <w:r w:rsidRPr="00B71A37">
        <w:rPr>
          <w:rFonts w:cstheme="minorHAnsi"/>
          <w:color w:val="000000"/>
          <w:sz w:val="22"/>
          <w:szCs w:val="22"/>
        </w:rPr>
        <w:fldChar w:fldCharType="end"/>
      </w:r>
      <w:r w:rsidR="009D0021" w:rsidRPr="00500FBD">
        <w:rPr>
          <w:rFonts w:cstheme="minorHAnsi"/>
          <w:color w:val="000000"/>
          <w:sz w:val="22"/>
          <w:szCs w:val="22"/>
        </w:rPr>
        <w:t>.</w:t>
      </w:r>
      <w:r w:rsidR="00464863">
        <w:rPr>
          <w:rFonts w:cstheme="minorHAnsi"/>
          <w:color w:val="000000"/>
          <w:sz w:val="22"/>
          <w:szCs w:val="22"/>
        </w:rPr>
        <w:t xml:space="preserve"> </w:t>
      </w:r>
      <w:r w:rsidR="001C6580">
        <w:rPr>
          <w:rFonts w:cstheme="minorHAnsi"/>
          <w:color w:val="000000"/>
          <w:sz w:val="22"/>
          <w:szCs w:val="22"/>
        </w:rPr>
        <w:t>A</w:t>
      </w:r>
      <w:r w:rsidR="00464863">
        <w:rPr>
          <w:rFonts w:cstheme="minorHAnsi"/>
          <w:color w:val="000000"/>
          <w:sz w:val="22"/>
          <w:szCs w:val="22"/>
        </w:rPr>
        <w:t xml:space="preserve">lthough this app </w:t>
      </w:r>
      <w:r w:rsidR="001C6580">
        <w:rPr>
          <w:rFonts w:cstheme="minorHAnsi"/>
          <w:color w:val="000000"/>
          <w:sz w:val="22"/>
          <w:szCs w:val="22"/>
        </w:rPr>
        <w:t>did not change health</w:t>
      </w:r>
      <w:r w:rsidR="00343CD7">
        <w:rPr>
          <w:rFonts w:cstheme="minorHAnsi"/>
          <w:color w:val="000000"/>
          <w:sz w:val="22"/>
          <w:szCs w:val="22"/>
        </w:rPr>
        <w:t>-</w:t>
      </w:r>
      <w:r w:rsidR="001C6580">
        <w:rPr>
          <w:rFonts w:cstheme="minorHAnsi"/>
          <w:color w:val="000000"/>
          <w:sz w:val="22"/>
          <w:szCs w:val="22"/>
        </w:rPr>
        <w:t xml:space="preserve">care outcomes, others could be evaluated and might be helpful for implementation within a men’s health programme. </w:t>
      </w:r>
    </w:p>
    <w:p w14:paraId="4292B809" w14:textId="044B7E85" w:rsidR="009D0021" w:rsidRPr="004B0BC2" w:rsidRDefault="009D0021" w:rsidP="00B66369">
      <w:pPr>
        <w:pStyle w:val="NoSpacing"/>
        <w:spacing w:line="480" w:lineRule="auto"/>
        <w:rPr>
          <w:rFonts w:cstheme="minorHAnsi"/>
          <w:sz w:val="22"/>
          <w:szCs w:val="22"/>
        </w:rPr>
      </w:pPr>
      <w:r w:rsidRPr="00500FBD">
        <w:rPr>
          <w:rFonts w:cstheme="minorHAnsi"/>
          <w:color w:val="000000"/>
          <w:sz w:val="22"/>
          <w:szCs w:val="22"/>
        </w:rPr>
        <w:t xml:space="preserve">A men’s health programme </w:t>
      </w:r>
      <w:r w:rsidR="00202859">
        <w:rPr>
          <w:rFonts w:cstheme="minorHAnsi"/>
          <w:color w:val="000000"/>
          <w:sz w:val="22"/>
          <w:szCs w:val="22"/>
        </w:rPr>
        <w:t xml:space="preserve">would </w:t>
      </w:r>
      <w:r w:rsidR="00693DD5">
        <w:rPr>
          <w:rFonts w:cstheme="minorHAnsi"/>
          <w:color w:val="000000"/>
          <w:sz w:val="22"/>
          <w:szCs w:val="22"/>
        </w:rPr>
        <w:t>provide the</w:t>
      </w:r>
      <w:r w:rsidRPr="00500FBD">
        <w:rPr>
          <w:rFonts w:cstheme="minorHAnsi"/>
          <w:color w:val="000000"/>
          <w:sz w:val="22"/>
          <w:szCs w:val="22"/>
        </w:rPr>
        <w:t xml:space="preserve"> opportunity to </w:t>
      </w:r>
      <w:r w:rsidR="00693DD5">
        <w:rPr>
          <w:rFonts w:cstheme="minorHAnsi"/>
          <w:color w:val="000000"/>
          <w:sz w:val="22"/>
          <w:szCs w:val="22"/>
        </w:rPr>
        <w:t xml:space="preserve">implement </w:t>
      </w:r>
      <w:r w:rsidR="00202859">
        <w:rPr>
          <w:rFonts w:cstheme="minorHAnsi"/>
          <w:color w:val="000000"/>
          <w:sz w:val="22"/>
          <w:szCs w:val="22"/>
        </w:rPr>
        <w:t xml:space="preserve">new technologies to </w:t>
      </w:r>
      <w:r w:rsidRPr="00500FBD">
        <w:rPr>
          <w:rFonts w:cstheme="minorHAnsi"/>
          <w:color w:val="000000"/>
          <w:sz w:val="22"/>
          <w:szCs w:val="22"/>
        </w:rPr>
        <w:t>optimise existing health pathways</w:t>
      </w:r>
      <w:r w:rsidR="0035636E" w:rsidRPr="00693DD5">
        <w:rPr>
          <w:rFonts w:cstheme="minorHAnsi"/>
          <w:sz w:val="22"/>
          <w:szCs w:val="22"/>
        </w:rPr>
        <w:t>.</w:t>
      </w:r>
      <w:r w:rsidRPr="00693DD5">
        <w:rPr>
          <w:rFonts w:cstheme="minorHAnsi"/>
          <w:color w:val="000000"/>
          <w:sz w:val="22"/>
          <w:szCs w:val="22"/>
        </w:rPr>
        <w:t xml:space="preserve"> </w:t>
      </w:r>
      <w:r w:rsidR="00693DD5" w:rsidRPr="000242C7">
        <w:rPr>
          <w:rFonts w:cstheme="minorHAnsi"/>
          <w:color w:val="000000"/>
          <w:sz w:val="22"/>
          <w:szCs w:val="22"/>
        </w:rPr>
        <w:t>N</w:t>
      </w:r>
      <w:r w:rsidR="00202859" w:rsidRPr="00693DD5">
        <w:rPr>
          <w:rFonts w:cstheme="minorHAnsi"/>
          <w:color w:val="000000"/>
          <w:sz w:val="22"/>
          <w:szCs w:val="22"/>
        </w:rPr>
        <w:t xml:space="preserve">ew </w:t>
      </w:r>
      <w:r w:rsidRPr="00693DD5">
        <w:rPr>
          <w:rFonts w:cstheme="minorHAnsi"/>
          <w:color w:val="000000"/>
          <w:sz w:val="22"/>
          <w:szCs w:val="22"/>
        </w:rPr>
        <w:t>technolog</w:t>
      </w:r>
      <w:r w:rsidR="00202859" w:rsidRPr="00693DD5">
        <w:rPr>
          <w:rFonts w:cstheme="minorHAnsi"/>
          <w:color w:val="000000"/>
          <w:sz w:val="22"/>
          <w:szCs w:val="22"/>
        </w:rPr>
        <w:t>ies</w:t>
      </w:r>
      <w:r w:rsidR="00693DD5" w:rsidRPr="000242C7">
        <w:rPr>
          <w:rFonts w:cstheme="minorHAnsi"/>
          <w:bCs/>
          <w:color w:val="0000FF"/>
          <w:sz w:val="22"/>
          <w:szCs w:val="22"/>
        </w:rPr>
        <w:t>, such as telehealth (telecom</w:t>
      </w:r>
      <w:r w:rsidR="00693DD5">
        <w:rPr>
          <w:rFonts w:cstheme="minorHAnsi"/>
          <w:bCs/>
          <w:color w:val="0000FF"/>
          <w:sz w:val="22"/>
          <w:szCs w:val="22"/>
        </w:rPr>
        <w:t>m</w:t>
      </w:r>
      <w:r w:rsidR="00693DD5" w:rsidRPr="000242C7">
        <w:rPr>
          <w:rFonts w:cstheme="minorHAnsi"/>
          <w:bCs/>
          <w:color w:val="0000FF"/>
          <w:sz w:val="22"/>
          <w:szCs w:val="22"/>
        </w:rPr>
        <w:t xml:space="preserve">unication </w:t>
      </w:r>
      <w:r w:rsidR="00693DD5" w:rsidRPr="000242C7">
        <w:rPr>
          <w:rFonts w:cstheme="minorHAnsi"/>
          <w:bCs/>
          <w:color w:val="0000FF"/>
          <w:sz w:val="22"/>
          <w:szCs w:val="22"/>
        </w:rPr>
        <w:lastRenderedPageBreak/>
        <w:t>medicine),</w:t>
      </w:r>
      <w:r w:rsidR="00693DD5" w:rsidRPr="000242C7">
        <w:rPr>
          <w:rFonts w:cstheme="minorHAnsi"/>
          <w:b/>
          <w:color w:val="0000FF"/>
          <w:sz w:val="22"/>
          <w:szCs w:val="22"/>
        </w:rPr>
        <w:t xml:space="preserve"> </w:t>
      </w:r>
      <w:r w:rsidRPr="00693DD5">
        <w:rPr>
          <w:rFonts w:cstheme="minorHAnsi"/>
          <w:color w:val="000000"/>
          <w:sz w:val="22"/>
          <w:szCs w:val="22"/>
        </w:rPr>
        <w:t>could potentially improve male engagement by removing time and location restraints to health</w:t>
      </w:r>
      <w:r w:rsidR="00202859" w:rsidRPr="00693DD5">
        <w:rPr>
          <w:rFonts w:cstheme="minorHAnsi"/>
          <w:color w:val="000000"/>
          <w:sz w:val="22"/>
          <w:szCs w:val="22"/>
        </w:rPr>
        <w:t>-</w:t>
      </w:r>
      <w:r w:rsidRPr="00693DD5">
        <w:rPr>
          <w:rFonts w:cstheme="minorHAnsi"/>
          <w:color w:val="000000"/>
          <w:sz w:val="22"/>
          <w:szCs w:val="22"/>
        </w:rPr>
        <w:t>care services and also prove a cheaper, less labour-intensive resource</w:t>
      </w:r>
      <w:r w:rsidRPr="00693DD5">
        <w:rPr>
          <w:rFonts w:cstheme="minorHAnsi"/>
          <w:color w:val="000000"/>
          <w:sz w:val="22"/>
          <w:szCs w:val="22"/>
        </w:rPr>
        <w:fldChar w:fldCharType="begin" w:fldLock="1"/>
      </w:r>
      <w:r w:rsidR="002410DF">
        <w:rPr>
          <w:rFonts w:cstheme="minorHAnsi"/>
          <w:color w:val="000000"/>
          <w:sz w:val="22"/>
          <w:szCs w:val="22"/>
        </w:rPr>
        <w:instrText>ADDIN CSL_CITATION {"citationItems":[{"id":"ITEM-1","itemData":{"DOI":"10.2196/10216","ISSN":"22915222","abstract":"Background: Globally, the uptake of health screening is suboptimal, especially in men and those of younger age. In view of the increasing internet access and mobile phone ownership, ScreenMen, a mobile Web app, was developed to improve health screening uptake in men. Objective: This study aimed to evaluate the utility and usability of ScreenMen. Methods: This study used both qualitative and quantitative methods. Healthy men working in a banking institution were recruited to participate in this study. They were purposively sampled according to job position, age, education level, and screening status. Men were asked to use ScreenMen independently while the screen activities were being recorded. Once completed, retrospective think aloud with playback was conducted with men to obtain their feedback. They were asked to answer the System Usability Scale (SUS). Intention to undergo screening pre-and postintervention was also measured. Qualitative data were analyzed using a framework approach followed by thematic analysis. For quantitative data, the mean SUS score was calculated and change in intention to screening was analyzed using McNemar test. Results: In total, 24 men participated in this study. On the basis of the qualitative data, men found ScreenMen useful as they could learn more about their health risks and screening. They found ScreenMen convenient to use, which might trigger men to undergo screening. In terms of usability, men thought that ScreenMen was user-friendly and easy to understand. The key revision done on utility was the addition of a reminder function, whereas for usability, the revisions done were in terms of attracting and gaining users’ trust, improving learnability, and making ScreenMen usable to all types of users. To attract men to use it, ScreenMen was introduced to users in terms of improving health instead of going for screening. Another important revision made was emphasizing the screening tests the users do not need, instead of just informing them about the screening tests they need. A Quick Assessment Mode was also added for users with limited attention span. The quantitative data showed that 8 out of 23 men (35%) planned to attend screening earlier than intended after using the ScreenMen. Furthermore, 4 out of 12 (33%) men who were in the precontemplation stage changed to either contemplation or preparation stage after using ScreenMen with P=.13. In terms of usability, the mean SUS score of 76.4 (SD 7.72) indicated that Scree…","author":[{"dropping-particle":"","family":"Teo","given":"Chin Hai","non-dropping-particle":"","parse-names":false,"suffix":""},{"dropping-particle":"","family":"Ng","given":"Chirk Jenn","non-dropping-particle":"","parse-names":false,"suffix":""},{"dropping-particle":"","family":"Lo","given":"Sin Kuang","non-dropping-particle":"","parse-names":false,"suffix":""},{"dropping-particle":"","family":"Lim","given":"Chip Dong","non-dropping-particle":"","parse-names":false,"suffix":""},{"dropping-particle":"","family":"White","given":"Alan","non-dropping-particle":"","parse-names":false,"suffix":""}],"container-title":"JMIR mHealth and uHealth","id":"ITEM-1","issue":"4","issued":{"date-parts":[["2019"]]},"page":"e10216","title":"A mobile web app to improve health screening uptake in men (Screenmen): Utility and usability evaluation study","type":"article-journal","volume":"7"},"uris":["http://www.mendeley.com/documents/?uuid=819f0c14-8d04-41a8-9cc4-c750660f0e93"]}],"mendeley":{"formattedCitation":"(196)","plainTextFormattedCitation":"(196)","previouslyFormattedCitation":"(197)"},"properties":{"noteIndex":0},"schema":"https://github.com/citation-style-language/schema/raw/master/csl-citation.json"}</w:instrText>
      </w:r>
      <w:r w:rsidRPr="00693DD5">
        <w:rPr>
          <w:rFonts w:cstheme="minorHAnsi"/>
          <w:color w:val="000000"/>
          <w:sz w:val="22"/>
          <w:szCs w:val="22"/>
        </w:rPr>
        <w:fldChar w:fldCharType="separate"/>
      </w:r>
      <w:r w:rsidR="002410DF" w:rsidRPr="002410DF">
        <w:rPr>
          <w:rFonts w:cstheme="minorHAnsi"/>
          <w:noProof/>
          <w:color w:val="000000"/>
          <w:sz w:val="22"/>
          <w:szCs w:val="22"/>
        </w:rPr>
        <w:t>(196)</w:t>
      </w:r>
      <w:r w:rsidRPr="00693DD5">
        <w:rPr>
          <w:rFonts w:cstheme="minorHAnsi"/>
          <w:color w:val="000000"/>
          <w:sz w:val="22"/>
          <w:szCs w:val="22"/>
        </w:rPr>
        <w:fldChar w:fldCharType="end"/>
      </w:r>
      <w:r w:rsidRPr="00693DD5">
        <w:rPr>
          <w:rFonts w:cstheme="minorHAnsi"/>
          <w:color w:val="000000"/>
          <w:sz w:val="22"/>
          <w:szCs w:val="22"/>
        </w:rPr>
        <w:t xml:space="preserve">. </w:t>
      </w:r>
      <w:r w:rsidR="00693DD5" w:rsidRPr="000242C7">
        <w:rPr>
          <w:rFonts w:cstheme="minorHAnsi"/>
          <w:color w:val="000000"/>
          <w:sz w:val="22"/>
          <w:szCs w:val="22"/>
        </w:rPr>
        <w:t xml:space="preserve">A systematic review analysing the impact of telehealth in urological conditions observed that the majority of studies reported clinical safety and high patient satisfaction with </w:t>
      </w:r>
      <w:r w:rsidR="00F202DC">
        <w:rPr>
          <w:rFonts w:cstheme="minorHAnsi"/>
          <w:color w:val="000000"/>
          <w:sz w:val="22"/>
          <w:szCs w:val="22"/>
        </w:rPr>
        <w:t>telehealth</w:t>
      </w:r>
      <w:r w:rsidR="00693DD5" w:rsidRPr="000242C7">
        <w:rPr>
          <w:rFonts w:cstheme="minorHAnsi"/>
          <w:color w:val="000000"/>
          <w:sz w:val="22"/>
          <w:szCs w:val="22"/>
        </w:rPr>
        <w:t xml:space="preserve"> compared to standard pathways</w:t>
      </w:r>
      <w:r w:rsidR="00693DD5" w:rsidRPr="000242C7">
        <w:rPr>
          <w:rFonts w:cstheme="minorHAnsi"/>
          <w:color w:val="000000"/>
          <w:sz w:val="22"/>
          <w:szCs w:val="22"/>
        </w:rPr>
        <w:fldChar w:fldCharType="begin" w:fldLock="1"/>
      </w:r>
      <w:r w:rsidR="002410DF">
        <w:rPr>
          <w:rFonts w:cstheme="minorHAnsi"/>
          <w:color w:val="000000"/>
          <w:sz w:val="22"/>
          <w:szCs w:val="22"/>
        </w:rPr>
        <w:instrText>ADDIN CSL_CITATION {"citationItems":[{"id":"ITEM-1","itemData":{"DOI":"10.1016/J.EURURO.2020.06.025","PMID":"32616405","abstract":"Context: Coronavirus disease 2019 (COVID-19) pandemic has caused increased interest in the application of telehealth to provide care without exposing patients and physicians to the risk of contagion. The urological literature on the topic is sparse. Objective: To perform a systematic review of the literature and evaluate all the available studies on urological applications of telehealth. Evidence acquisition: After registration on PROSPERO, we searched PubMed and Scopus databases to collect any kind of studies evaluating any telehealth interventions in any urological conditions. The National Toxicology Program/Office of Health Assessment and Translation Risk of Bias Rating Tool for Human and Animal Studies was used to estimate the risk of bias. A narrative synthesis was performed. Evidence synthesis: We identified 45 studies (11 concerning prostate cancer [PCa], three hematuria management, six urinary stones, 14 urinary incontinence [UI], five urinary tract infections [UTIs], and six other conditions), including 12 randomized controlled trials. The available literature indicates that telemedicine has been implemented successfully in several common clinical scenarios, including the decision-making process following a diagnosis of nonmetastatic PCa, follow-up care of patients with localized PCa after curative treatments, initial diagnosis of hematuria, management diagnosis and follow-up care of uncomplicated urinary stones and uncomplicated UTIs, and initial evaluation, behavioral therapies, and pelvic floor muscle training in UI patients, as well as follow-up care after surgical treatments of stress urinary incontinence or pelvic organ prolapse. The methodological quality of most of the reports was good. Conclusions: Telehealth has been implemented successfully in selected patients with PCa, UI, pelvic organ prolapse, uncomplicated urinary stones, and UTIs. Many urological conditions are suitable for telehealth, but more studies are needed on other highly prevalent urological malignant and benign conditions. Likely, the COVID-19 pandemic will give a significant boost to the use of telemedicine. More robust data on long-term efficacy, safety, and health economics are necessary. Patient summary: The diffusion of coronavirus disease 2019 (COVID-19) infections has recently increased the interest in telehealth, which is the adoption of telecommunication to deliver any health care activity. The available literature indicates that telemedicine has been adopted …","author":[{"dropping-particle":"","family":"Novara","given":"Giacomo","non-dropping-particle":"","parse-names":false,"suffix":""},{"dropping-particle":"","family":"Checcucci","given":"Enrico","non-dropping-particle":"","parse-names":false,"suffix":""},{"dropping-particle":"","family":"Crestani","given":"Alessandro","non-dropping-particle":"","parse-names":false,"suffix":""},{"dropping-particle":"","family":"Abrate","given":"Alberto","non-dropping-particle":"","parse-names":false,"suffix":""},{"dropping-particle":"","family":"Esperto","given":"Francesco","non-dropping-particle":"","parse-names":false,"suffix":""},{"dropping-particle":"","family":"Pavan","given":"Nicola","non-dropping-particle":"","parse-names":false,"suffix":""},{"dropping-particle":"De","family":"Nunzio","given":"Cosimo","non-dropping-particle":"","parse-names":false,"suffix":""},{"dropping-particle":"","family":"Galfano","given":"Antonio","non-dropping-particle":"","parse-names":false,"suffix":""},{"dropping-particle":"","family":"Giannarini","given":"Gianluca","non-dropping-particle":"","parse-names":false,"suffix":""},{"dropping-particle":"","family":"Gregori","given":"Andrea","non-dropping-particle":"","parse-names":false,"suffix":""},{"dropping-particle":"","family":"Liguori","given":"Giovanni","non-dropping-particle":"","parse-names":false,"suffix":""},{"dropping-particle":"","family":"Bartoletti","given":"Riccardo","non-dropping-particle":"","parse-names":false,"suffix":""},{"dropping-particle":"","family":"Porpiglia","given":"Francesco","non-dropping-particle":"","parse-names":false,"suffix":""},{"dropping-particle":"","family":"Scarpa","given":"Roberto Mario","non-dropping-particle":"","parse-names":false,"suffix":""},{"dropping-particle":"","family":"Simonato","given":"Alchiede","non-dropping-particle":"","parse-names":false,"suffix":""},{"dropping-particle":"","family":"Trombetta","given":"Carlo","non-dropping-particle":"","parse-names":false,"suffix":""},{"dropping-particle":"","family":"Tubaro","given":"Andrea","non-dropping-particle":"","parse-names":false,"suffix":""},{"dropping-particle":"","family":"Ficarra","given":"Vincenzo","non-dropping-particle":"","parse-names":false,"suffix":""},{"dropping-particle":"","family":"(RUN)","given":"on behalf of the Research Urology Network","non-dropping-particle":"","parse-names":false,"suffix":""}],"container-title":"European Urology","id":"ITEM-1","issue":"6","issued":{"date-parts":[["2020"]]},"page":"786-811","title":"Telehealth in Urology: A Systematic Review of the Literature. How Much Can Telemedicine Be Useful During and After the COVID-19 Pandemic?","type":"article-journal","volume":"78"},"uris":["http://www.mendeley.com/documents/?uuid=c709bf45-b4ae-3405-8096-379fa157c8a9"]}],"mendeley":{"formattedCitation":"(197)","plainTextFormattedCitation":"(197)","previouslyFormattedCitation":"(198)"},"properties":{"noteIndex":0},"schema":"https://github.com/citation-style-language/schema/raw/master/csl-citation.json"}</w:instrText>
      </w:r>
      <w:r w:rsidR="00693DD5" w:rsidRPr="000242C7">
        <w:rPr>
          <w:rFonts w:cstheme="minorHAnsi"/>
          <w:color w:val="000000"/>
          <w:sz w:val="22"/>
          <w:szCs w:val="22"/>
        </w:rPr>
        <w:fldChar w:fldCharType="separate"/>
      </w:r>
      <w:r w:rsidR="002410DF" w:rsidRPr="002410DF">
        <w:rPr>
          <w:rFonts w:cstheme="minorHAnsi"/>
          <w:noProof/>
          <w:color w:val="000000"/>
          <w:sz w:val="22"/>
          <w:szCs w:val="22"/>
        </w:rPr>
        <w:t>(197)</w:t>
      </w:r>
      <w:r w:rsidR="00693DD5" w:rsidRPr="000242C7">
        <w:rPr>
          <w:rFonts w:cstheme="minorHAnsi"/>
          <w:color w:val="000000"/>
          <w:sz w:val="22"/>
          <w:szCs w:val="22"/>
        </w:rPr>
        <w:fldChar w:fldCharType="end"/>
      </w:r>
      <w:r w:rsidR="00693DD5" w:rsidRPr="000242C7">
        <w:rPr>
          <w:rFonts w:cstheme="minorHAnsi"/>
          <w:color w:val="000000"/>
          <w:sz w:val="22"/>
          <w:szCs w:val="22"/>
        </w:rPr>
        <w:t xml:space="preserve">. </w:t>
      </w:r>
      <w:r w:rsidR="00202859">
        <w:rPr>
          <w:rFonts w:cstheme="minorHAnsi"/>
          <w:color w:val="000000"/>
          <w:sz w:val="22"/>
          <w:szCs w:val="22"/>
        </w:rPr>
        <w:t>Thus</w:t>
      </w:r>
      <w:r w:rsidR="00193B38">
        <w:rPr>
          <w:rFonts w:cstheme="minorHAnsi"/>
          <w:color w:val="000000"/>
          <w:sz w:val="22"/>
          <w:szCs w:val="22"/>
        </w:rPr>
        <w:t>,</w:t>
      </w:r>
      <w:r w:rsidR="00202859">
        <w:rPr>
          <w:rFonts w:cstheme="minorHAnsi"/>
          <w:color w:val="000000"/>
          <w:sz w:val="22"/>
          <w:szCs w:val="22"/>
        </w:rPr>
        <w:t xml:space="preserve"> </w:t>
      </w:r>
      <w:r w:rsidR="00693DD5">
        <w:rPr>
          <w:rFonts w:cstheme="minorHAnsi"/>
          <w:color w:val="000000"/>
          <w:sz w:val="22"/>
          <w:szCs w:val="22"/>
        </w:rPr>
        <w:t xml:space="preserve">telehealth </w:t>
      </w:r>
      <w:r w:rsidR="00202859">
        <w:rPr>
          <w:rFonts w:cstheme="minorHAnsi"/>
          <w:color w:val="000000"/>
          <w:sz w:val="22"/>
          <w:szCs w:val="22"/>
        </w:rPr>
        <w:t xml:space="preserve">should have a role in the implementation of a new approach to men’s health. </w:t>
      </w:r>
    </w:p>
    <w:p w14:paraId="6D5B9DC4" w14:textId="77777777" w:rsidR="007D2BEB" w:rsidRPr="004B0BC2" w:rsidRDefault="007D2BEB" w:rsidP="00B66369">
      <w:pPr>
        <w:pStyle w:val="NoSpacing"/>
        <w:spacing w:line="480" w:lineRule="auto"/>
        <w:rPr>
          <w:rFonts w:cstheme="minorHAnsi"/>
          <w:sz w:val="22"/>
          <w:szCs w:val="22"/>
        </w:rPr>
      </w:pPr>
    </w:p>
    <w:p w14:paraId="259B527D" w14:textId="4392CE93" w:rsidR="00BE17AE" w:rsidRPr="004B0BC2" w:rsidRDefault="00202859" w:rsidP="00B66369">
      <w:pPr>
        <w:pStyle w:val="NoSpacing"/>
        <w:spacing w:line="480" w:lineRule="auto"/>
        <w:rPr>
          <w:rFonts w:cstheme="minorHAnsi"/>
          <w:b/>
          <w:spacing w:val="-3"/>
          <w:sz w:val="22"/>
          <w:szCs w:val="22"/>
        </w:rPr>
      </w:pPr>
      <w:r>
        <w:rPr>
          <w:rFonts w:cstheme="minorHAnsi"/>
          <w:b/>
          <w:sz w:val="22"/>
          <w:szCs w:val="22"/>
          <w:u w:val="single"/>
        </w:rPr>
        <w:t>[H1]</w:t>
      </w:r>
      <w:r w:rsidR="001736E5" w:rsidRPr="004B0BC2">
        <w:rPr>
          <w:rFonts w:cstheme="minorHAnsi"/>
          <w:b/>
          <w:sz w:val="22"/>
          <w:szCs w:val="22"/>
          <w:u w:val="single"/>
        </w:rPr>
        <w:t>Conclusion</w:t>
      </w:r>
      <w:r>
        <w:rPr>
          <w:rFonts w:cstheme="minorHAnsi"/>
          <w:b/>
          <w:sz w:val="22"/>
          <w:szCs w:val="22"/>
          <w:u w:val="single"/>
        </w:rPr>
        <w:t>s</w:t>
      </w:r>
    </w:p>
    <w:p w14:paraId="3D9F958C" w14:textId="2A0693F5" w:rsidR="00FC71DB" w:rsidRDefault="001736E5" w:rsidP="00B66369">
      <w:pPr>
        <w:pStyle w:val="NoSpacing"/>
        <w:spacing w:line="480" w:lineRule="auto"/>
        <w:rPr>
          <w:rFonts w:cstheme="minorHAnsi"/>
          <w:spacing w:val="-3"/>
          <w:sz w:val="22"/>
          <w:szCs w:val="22"/>
        </w:rPr>
      </w:pPr>
      <w:r w:rsidRPr="004B0BC2">
        <w:rPr>
          <w:rFonts w:cstheme="minorHAnsi"/>
          <w:spacing w:val="-3"/>
          <w:sz w:val="22"/>
          <w:szCs w:val="22"/>
        </w:rPr>
        <w:t xml:space="preserve">The </w:t>
      </w:r>
      <w:r w:rsidR="00844EF8" w:rsidRPr="004B0BC2">
        <w:rPr>
          <w:rFonts w:cstheme="minorHAnsi"/>
          <w:spacing w:val="-3"/>
          <w:sz w:val="22"/>
          <w:szCs w:val="22"/>
        </w:rPr>
        <w:t>disparity in</w:t>
      </w:r>
      <w:r w:rsidRPr="004B0BC2">
        <w:rPr>
          <w:rFonts w:cstheme="minorHAnsi"/>
          <w:spacing w:val="-3"/>
          <w:sz w:val="22"/>
          <w:szCs w:val="22"/>
        </w:rPr>
        <w:t xml:space="preserve"> increased COVID-19 mortality </w:t>
      </w:r>
      <w:r w:rsidR="00C17E8F" w:rsidRPr="004B0BC2">
        <w:rPr>
          <w:rFonts w:cstheme="minorHAnsi"/>
          <w:spacing w:val="-3"/>
          <w:sz w:val="22"/>
          <w:szCs w:val="22"/>
        </w:rPr>
        <w:t xml:space="preserve">between </w:t>
      </w:r>
      <w:r w:rsidRPr="004B0BC2">
        <w:rPr>
          <w:rFonts w:cstheme="minorHAnsi"/>
          <w:spacing w:val="-3"/>
          <w:sz w:val="22"/>
          <w:szCs w:val="22"/>
        </w:rPr>
        <w:t xml:space="preserve">men and </w:t>
      </w:r>
      <w:r w:rsidR="00C17E8F" w:rsidRPr="004B0BC2">
        <w:rPr>
          <w:rFonts w:cstheme="minorHAnsi"/>
          <w:spacing w:val="-3"/>
          <w:sz w:val="22"/>
          <w:szCs w:val="22"/>
        </w:rPr>
        <w:t>women</w:t>
      </w:r>
      <w:r w:rsidR="00F742F7" w:rsidRPr="004B0BC2">
        <w:rPr>
          <w:rFonts w:cstheme="minorHAnsi"/>
          <w:spacing w:val="-3"/>
          <w:sz w:val="22"/>
          <w:szCs w:val="22"/>
        </w:rPr>
        <w:t xml:space="preserve"> has highlighted underlying deficiencies in our current health</w:t>
      </w:r>
      <w:r w:rsidR="00FC71DB">
        <w:rPr>
          <w:rFonts w:cstheme="minorHAnsi"/>
          <w:spacing w:val="-3"/>
          <w:sz w:val="22"/>
          <w:szCs w:val="22"/>
        </w:rPr>
        <w:t>-</w:t>
      </w:r>
      <w:r w:rsidR="00F742F7" w:rsidRPr="004B0BC2">
        <w:rPr>
          <w:rFonts w:cstheme="minorHAnsi"/>
          <w:spacing w:val="-3"/>
          <w:sz w:val="22"/>
          <w:szCs w:val="22"/>
        </w:rPr>
        <w:t>care system. Men are more vulnerable to infections than women owing to underlying biological causes</w:t>
      </w:r>
      <w:r w:rsidR="00FC71DB">
        <w:rPr>
          <w:rFonts w:cstheme="minorHAnsi"/>
          <w:spacing w:val="-3"/>
          <w:sz w:val="22"/>
          <w:szCs w:val="22"/>
        </w:rPr>
        <w:t xml:space="preserve">, including </w:t>
      </w:r>
      <w:r w:rsidR="00F742F7" w:rsidRPr="004B0BC2">
        <w:rPr>
          <w:rFonts w:cstheme="minorHAnsi"/>
          <w:spacing w:val="-3"/>
          <w:sz w:val="22"/>
          <w:szCs w:val="22"/>
        </w:rPr>
        <w:t>immunological</w:t>
      </w:r>
      <w:r w:rsidR="008D5179" w:rsidRPr="004B0BC2">
        <w:rPr>
          <w:rFonts w:cstheme="minorHAnsi"/>
          <w:spacing w:val="-3"/>
          <w:sz w:val="22"/>
          <w:szCs w:val="22"/>
        </w:rPr>
        <w:fldChar w:fldCharType="begin" w:fldLock="1"/>
      </w:r>
      <w:r w:rsidR="00693DD5">
        <w:rPr>
          <w:rFonts w:cstheme="minorHAnsi"/>
          <w:spacing w:val="-3"/>
          <w:sz w:val="22"/>
          <w:szCs w:val="22"/>
        </w:rPr>
        <w:instrText>ADDIN CSL_CITATION {"citationItems":[{"id":"ITEM-1","itemData":{"DOI":"10.4415/ANN_16_02_11","author":[{"dropping-particle":"","family":"Ruggieri","given":"Anna","non-dropping-particle":"","parse-names":false,"suffix":""},{"dropping-particle":"","family":"Anticoli","given":"Simona","non-dropping-particle":"","parse-names":false,"suffix":""},{"dropping-particle":"","family":"D'ambrosio","given":"Antonella","non-dropping-particle":"","parse-names":false,"suffix":""},{"dropping-particle":"","family":"Giordani","given":"Luciana","non-dropping-particle":"","parse-names":false,"suffix":""},{"dropping-particle":"","family":"Viora","given":"Marina","non-dropping-particle":"","parse-names":false,"suffix":""}],"container-title":"Ann Ist Super Sanità","id":"ITEM-1","issue":"2","issued":{"date-parts":[["2016"]]},"page":"198-204","title":"Monographic section The influence of sex and gender on immunity, infection and vaccination","type":"article-journal","volume":"52"},"uris":["http://www.mendeley.com/documents/?uuid=9031b4e6-f09d-3af7-a3ac-91ddfb575008"]}],"mendeley":{"formattedCitation":"(106)","plainTextFormattedCitation":"(106)","previouslyFormattedCitation":"(106)"},"properties":{"noteIndex":0},"schema":"https://github.com/citation-style-language/schema/raw/master/csl-citation.json"}</w:instrText>
      </w:r>
      <w:r w:rsidR="008D5179" w:rsidRPr="004B0BC2">
        <w:rPr>
          <w:rFonts w:cstheme="minorHAnsi"/>
          <w:spacing w:val="-3"/>
          <w:sz w:val="22"/>
          <w:szCs w:val="22"/>
        </w:rPr>
        <w:fldChar w:fldCharType="separate"/>
      </w:r>
      <w:r w:rsidR="00693DD5" w:rsidRPr="00693DD5">
        <w:rPr>
          <w:rFonts w:cstheme="minorHAnsi"/>
          <w:noProof/>
          <w:spacing w:val="-3"/>
          <w:sz w:val="22"/>
          <w:szCs w:val="22"/>
        </w:rPr>
        <w:t>(106)</w:t>
      </w:r>
      <w:r w:rsidR="008D5179" w:rsidRPr="004B0BC2">
        <w:rPr>
          <w:rFonts w:cstheme="minorHAnsi"/>
          <w:spacing w:val="-3"/>
          <w:sz w:val="22"/>
          <w:szCs w:val="22"/>
        </w:rPr>
        <w:fldChar w:fldCharType="end"/>
      </w:r>
      <w:r w:rsidR="00F742F7" w:rsidRPr="004B0BC2">
        <w:rPr>
          <w:rFonts w:cstheme="minorHAnsi"/>
          <w:spacing w:val="-3"/>
          <w:sz w:val="22"/>
          <w:szCs w:val="22"/>
        </w:rPr>
        <w:t>, hormonal</w:t>
      </w:r>
      <w:r w:rsidR="008D5179" w:rsidRPr="004B0BC2">
        <w:rPr>
          <w:rFonts w:cstheme="minorHAnsi"/>
          <w:spacing w:val="-3"/>
          <w:sz w:val="22"/>
          <w:szCs w:val="22"/>
        </w:rPr>
        <w:fldChar w:fldCharType="begin" w:fldLock="1"/>
      </w:r>
      <w:r w:rsidR="00693DD5">
        <w:rPr>
          <w:rFonts w:cstheme="minorHAnsi"/>
          <w:spacing w:val="-3"/>
          <w:sz w:val="22"/>
          <w:szCs w:val="22"/>
        </w:rPr>
        <w:instrText>ADDIN CSL_CITATION {"citationItems":[{"id":"ITEM-1","itemData":{"DOI":"10.1038/nri.2016.90","abstract":"Sex is a biological variable that affects immune responses to both self and foreign antigens (for example, those from fungi, viruses, bacteria, parasites and allergens). The sex of an individual is defined by the differential organization of chromosomes, reproductive organs, and sex steroid levels; it is distinct from gender, which includes behaviours and activities that are determined by society or culture in humans. Male and female differ­ ences in immunological responses may be influenced by both sex and gender, with sex contributing to physio logi­ cal and anatomical differences that influence exposure, recognition, clearance, and even transmission of micro­ organisms. By contrast, gender may reflect behaviours that influence exposure to microorganisms, access to healthcare or health­seeking behaviours that affect the course of infection. Although we acknowledge that both sex and gender influence the immune response, the focus of this Review will be on the biological factors that influence immunological differences between the sexes. Despite a growing body of literature illustrating sex­based differences in immune responses, immunol­ ogy ranks the lowest of ten biological disciplines for reporting the sex of animal or human subjects in pub­ lished papers, with fewer than 10% of articles analysing data by sex 1. The field of sex­based biology is under­ going a revolution, in which research funding agencies and journals have launched policies to promote greater consideration, reporting and analyses of sex and gender in the biomedical sciences in an effort to improve rigour and reproducibility (BOX 1). It is increasingly important to acknowledge sex dif­ ferences in immune responses when we consider the marked differences seen between males in females in various diseases. For instance, 80% of autoimmune dis­ ease occurs in females, women with acute HIV infection have 40% less viral RNA in their blood than men, men show an almost twofold higher risk of death from malignant cancer than women and antibody responses to seasonal influenza vaccines are consistently at least twice as strong in women than men. Generally, adult females mount stronger innate and adaptive immune responses than males. This results in faster clearance of pathogens and greater vaccine efficacy in females than in males but also contributes to their increased suscepti­ bility to inflammatory and autoimmune diseases. In this Review, we explain how these immunological differences betwee…","author":[{"dropping-particle":"","family":"Klein","given":"Sabra L","non-dropping-particle":"","parse-names":false,"suffix":""},{"dropping-particle":"","family":"Flanagan","given":"Katie L","non-dropping-particle":"","parse-names":false,"suffix":""}],"container-title":"Nature Reviews Immunology","id":"ITEM-1","issued":{"date-parts":[["2016"]]},"page":"626–638","title":"Sex differences in immune responses","type":"article-journal","volume":"16"},"uris":["http://www.mendeley.com/documents/?uuid=f006013e-8812-39ab-8932-e7e88fe64b91"]}],"mendeley":{"formattedCitation":"(133)","plainTextFormattedCitation":"(133)","previouslyFormattedCitation":"(133)"},"properties":{"noteIndex":0},"schema":"https://github.com/citation-style-language/schema/raw/master/csl-citation.json"}</w:instrText>
      </w:r>
      <w:r w:rsidR="008D5179" w:rsidRPr="004B0BC2">
        <w:rPr>
          <w:rFonts w:cstheme="minorHAnsi"/>
          <w:spacing w:val="-3"/>
          <w:sz w:val="22"/>
          <w:szCs w:val="22"/>
        </w:rPr>
        <w:fldChar w:fldCharType="separate"/>
      </w:r>
      <w:r w:rsidR="00693DD5" w:rsidRPr="00693DD5">
        <w:rPr>
          <w:rFonts w:cstheme="minorHAnsi"/>
          <w:noProof/>
          <w:spacing w:val="-3"/>
          <w:sz w:val="22"/>
          <w:szCs w:val="22"/>
        </w:rPr>
        <w:t>(133)</w:t>
      </w:r>
      <w:r w:rsidR="008D5179" w:rsidRPr="004B0BC2">
        <w:rPr>
          <w:rFonts w:cstheme="minorHAnsi"/>
          <w:spacing w:val="-3"/>
          <w:sz w:val="22"/>
          <w:szCs w:val="22"/>
        </w:rPr>
        <w:fldChar w:fldCharType="end"/>
      </w:r>
      <w:r w:rsidR="00F742F7" w:rsidRPr="004B0BC2">
        <w:rPr>
          <w:rFonts w:cstheme="minorHAnsi"/>
          <w:spacing w:val="-3"/>
          <w:sz w:val="22"/>
          <w:szCs w:val="22"/>
        </w:rPr>
        <w:t xml:space="preserve"> and genetic differences</w:t>
      </w:r>
      <w:r w:rsidR="008D5179" w:rsidRPr="004B0BC2">
        <w:rPr>
          <w:rFonts w:cstheme="minorHAnsi"/>
          <w:spacing w:val="-3"/>
          <w:sz w:val="22"/>
          <w:szCs w:val="22"/>
        </w:rPr>
        <w:fldChar w:fldCharType="begin" w:fldLock="1"/>
      </w:r>
      <w:r w:rsidR="002410DF">
        <w:rPr>
          <w:rFonts w:cstheme="minorHAnsi"/>
          <w:spacing w:val="-3"/>
          <w:sz w:val="22"/>
          <w:szCs w:val="22"/>
        </w:rPr>
        <w:instrText>ADDIN CSL_CITATION {"citationItems":[{"id":"ITEM-1","itemData":{"DOI":"10.1189/jlb.0713397","ISSN":"1938-3673","PMID":"24193737","abstract":"ChrX cellular mosaicism for X-linked genetic polymorphisms in females versus the single ChrX representation in males denotes a genetic difference, which may contribute to gender bias in the inflammatory response. This hypothesis was tested in female F1 offspring of consomic mice (BL6J-ChrX(A/J)/NaJ) that were homokaryotic or mosaic for the active BL6 and AJ ChrXs or for IRAK1 deficiency linked to the BL6 ChrX. Sepsis was initiated by CLP. IRAK1-deficient and IRAK1-mosaic mice showed similar protection from sepsis-induced mortality and reduced IL-6 and IL-10 release compared with WT. BM cellularity and blood B cell counts were increased in naive IRAK1-mosaic mice compared with WT-mosaic or IRAK1-deficient animals. Sepsis-induced BM cell depletion was greater in IRAK1-mosaic mice compared with WT-mosaic or IRAK1-deficient subjects, whereas splenic B and T cell depletion was less in IRAK1-mosaic and IRAK1-deficient than WT-mosaic mice. Skewing toward AJ or BL6-ChrX-expressing cells was assessed by testing allele-specific expression of strain-variant Xkrx and BTK genes. In naive IRAK1-mosaic mice, BM and blood cells with the active BL6-ChrX, were greater than cells expressing the AJ-ChrX (cell ratio 2.5 in IRAK1-mosaic; 1.5 in WT-mosaic mice). Sepsis decreased cell ratios more in IRAK1-mosaic than in WT-mosaic mice. The study reveals functional variability in cellular mosaicism for IRAK1 expression and natural X-linked polymorphisms during sepsis. Mosaicism for IRAK1 expression is accompanied by skewing toward deficient immune cell populations, producing a phenotype that is preconditioned for improved sepsis outcome similar to that observed in IRAK1 deficiency.","author":[{"dropping-particle":"","family":"Chandra","given":"Rachna","non-dropping-particle":"","parse-names":false,"suffix":""},{"dropping-particle":"","family":"Federici","given":"Stephanie","non-dropping-particle":"","parse-names":false,"suffix":""},{"dropping-particle":"","family":"Németh","given":"Zoltán H.","non-dropping-particle":"","parse-names":false,"suffix":""},{"dropping-particle":"","family":"Csóka","given":"Balázs","non-dropping-particle":"","parse-names":false,"suffix":""},{"dropping-particle":"","family":"Thomas","given":"James A.","non-dropping-particle":"","parse-names":false,"suffix":""},{"dropping-particle":"","family":"Donnelly","given":"Robert","non-dropping-particle":"","parse-names":false,"suffix":""},{"dropping-particle":"","family":"Spolarics","given":"Zoltán","non-dropping-particle":"","parse-names":false,"suffix":""}],"container-title":"Journal of Leukocyte Biology","id":"ITEM-1","issue":"3","issued":{"date-parts":[["2014"]]},"page":"497–507","title":"Cellular mosaicism for X-linked polymorphisms and IRAK1 expression presents a distinct phenotype and improves survival following sepsis","type":"article-journal","volume":"95"},"uris":["http://www.mendeley.com/documents/?uuid=ea63677c-8eb6-440b-be1e-4bb382fe73c8"]}],"mendeley":{"formattedCitation":"(198)","plainTextFormattedCitation":"(198)","previouslyFormattedCitation":"(199)"},"properties":{"noteIndex":0},"schema":"https://github.com/citation-style-language/schema/raw/master/csl-citation.json"}</w:instrText>
      </w:r>
      <w:r w:rsidR="008D5179" w:rsidRPr="004B0BC2">
        <w:rPr>
          <w:rFonts w:cstheme="minorHAnsi"/>
          <w:spacing w:val="-3"/>
          <w:sz w:val="22"/>
          <w:szCs w:val="22"/>
        </w:rPr>
        <w:fldChar w:fldCharType="separate"/>
      </w:r>
      <w:r w:rsidR="002410DF" w:rsidRPr="002410DF">
        <w:rPr>
          <w:rFonts w:cstheme="minorHAnsi"/>
          <w:noProof/>
          <w:spacing w:val="-3"/>
          <w:sz w:val="22"/>
          <w:szCs w:val="22"/>
        </w:rPr>
        <w:t>(198)</w:t>
      </w:r>
      <w:r w:rsidR="008D5179" w:rsidRPr="004B0BC2">
        <w:rPr>
          <w:rFonts w:cstheme="minorHAnsi"/>
          <w:spacing w:val="-3"/>
          <w:sz w:val="22"/>
          <w:szCs w:val="22"/>
        </w:rPr>
        <w:fldChar w:fldCharType="end"/>
      </w:r>
      <w:r w:rsidR="00FC71DB">
        <w:rPr>
          <w:rFonts w:cstheme="minorHAnsi"/>
          <w:spacing w:val="-3"/>
          <w:sz w:val="22"/>
          <w:szCs w:val="22"/>
        </w:rPr>
        <w:t>,</w:t>
      </w:r>
      <w:r w:rsidR="00F742F7" w:rsidRPr="004B0BC2">
        <w:rPr>
          <w:rFonts w:cstheme="minorHAnsi"/>
          <w:spacing w:val="-3"/>
          <w:sz w:val="22"/>
          <w:szCs w:val="22"/>
        </w:rPr>
        <w:t xml:space="preserve"> and </w:t>
      </w:r>
      <w:r w:rsidR="00FC71DB">
        <w:rPr>
          <w:rFonts w:cstheme="minorHAnsi"/>
          <w:spacing w:val="-3"/>
          <w:sz w:val="22"/>
          <w:szCs w:val="22"/>
        </w:rPr>
        <w:t>men also tend to have</w:t>
      </w:r>
      <w:r w:rsidRPr="004B0BC2">
        <w:rPr>
          <w:rFonts w:cstheme="minorHAnsi"/>
          <w:spacing w:val="-3"/>
          <w:sz w:val="22"/>
          <w:szCs w:val="22"/>
        </w:rPr>
        <w:t xml:space="preserve"> poorer </w:t>
      </w:r>
      <w:r w:rsidR="00C17E8F" w:rsidRPr="004B0BC2">
        <w:rPr>
          <w:rFonts w:cstheme="minorHAnsi"/>
          <w:spacing w:val="-3"/>
          <w:sz w:val="22"/>
          <w:szCs w:val="22"/>
        </w:rPr>
        <w:t xml:space="preserve">general </w:t>
      </w:r>
      <w:r w:rsidRPr="004B0BC2">
        <w:rPr>
          <w:rFonts w:cstheme="minorHAnsi"/>
          <w:spacing w:val="-3"/>
          <w:sz w:val="22"/>
          <w:szCs w:val="22"/>
        </w:rPr>
        <w:t>health</w:t>
      </w:r>
      <w:r w:rsidR="00AF2C66" w:rsidRPr="004B0BC2">
        <w:rPr>
          <w:rFonts w:cstheme="minorHAnsi"/>
          <w:spacing w:val="-3"/>
          <w:sz w:val="22"/>
          <w:szCs w:val="22"/>
        </w:rPr>
        <w:t xml:space="preserve"> and </w:t>
      </w:r>
      <w:r w:rsidR="00C17E8F" w:rsidRPr="004B0BC2">
        <w:rPr>
          <w:rFonts w:cstheme="minorHAnsi"/>
          <w:spacing w:val="-3"/>
          <w:sz w:val="22"/>
          <w:szCs w:val="22"/>
        </w:rPr>
        <w:t>reduce</w:t>
      </w:r>
      <w:r w:rsidR="008B29D0" w:rsidRPr="004B0BC2">
        <w:rPr>
          <w:rFonts w:cstheme="minorHAnsi"/>
          <w:spacing w:val="-3"/>
          <w:sz w:val="22"/>
          <w:szCs w:val="22"/>
        </w:rPr>
        <w:t xml:space="preserve">d </w:t>
      </w:r>
      <w:r w:rsidR="00AF2C66" w:rsidRPr="004B0BC2">
        <w:rPr>
          <w:rFonts w:cstheme="minorHAnsi"/>
          <w:spacing w:val="-3"/>
          <w:sz w:val="22"/>
          <w:szCs w:val="22"/>
        </w:rPr>
        <w:t>access to health care</w:t>
      </w:r>
      <w:r w:rsidR="00F742F7" w:rsidRPr="004B0BC2">
        <w:rPr>
          <w:rFonts w:cstheme="minorHAnsi"/>
          <w:spacing w:val="-3"/>
          <w:sz w:val="22"/>
          <w:szCs w:val="22"/>
        </w:rPr>
        <w:t>.</w:t>
      </w:r>
      <w:r w:rsidR="008D5179" w:rsidRPr="004B0BC2">
        <w:rPr>
          <w:rFonts w:cstheme="minorHAnsi"/>
          <w:spacing w:val="-3"/>
          <w:sz w:val="22"/>
          <w:szCs w:val="22"/>
        </w:rPr>
        <w:t xml:space="preserve"> This</w:t>
      </w:r>
      <w:r w:rsidR="00FC71DB">
        <w:rPr>
          <w:rFonts w:cstheme="minorHAnsi"/>
          <w:spacing w:val="-3"/>
          <w:sz w:val="22"/>
          <w:szCs w:val="22"/>
        </w:rPr>
        <w:t xml:space="preserve"> discrepancy</w:t>
      </w:r>
      <w:r w:rsidR="008D5179" w:rsidRPr="004B0BC2">
        <w:rPr>
          <w:rFonts w:cstheme="minorHAnsi"/>
          <w:spacing w:val="-3"/>
          <w:sz w:val="22"/>
          <w:szCs w:val="22"/>
        </w:rPr>
        <w:t xml:space="preserve"> has also resulted in a sex gap in life expectancy from non-communicable diseases</w:t>
      </w:r>
      <w:r w:rsidR="008D5179" w:rsidRPr="004B0BC2">
        <w:rPr>
          <w:rFonts w:cstheme="minorHAnsi"/>
          <w:spacing w:val="-3"/>
          <w:sz w:val="22"/>
          <w:szCs w:val="22"/>
        </w:rPr>
        <w:fldChar w:fldCharType="begin" w:fldLock="1"/>
      </w:r>
      <w:r w:rsidR="002C021B" w:rsidRPr="004B0BC2">
        <w:rPr>
          <w:rFonts w:cstheme="minorHAnsi"/>
          <w:spacing w:val="-3"/>
          <w:sz w:val="22"/>
          <w:szCs w:val="22"/>
        </w:rPr>
        <w:instrText>ADDIN CSL_CITATION {"citationItems":[{"id":"ITEM-1","itemData":{"DOI":"10.1016/j.euf.2019.10.009","ISSN":"24054569","author":[{"dropping-particle":"","family":"Tharakan","given":"Tharu","non-dropping-particle":"","parse-names":false,"suffix":""},{"dropping-particle":"","family":"Bettocchi","given":"Carlo","non-dropping-particle":"","parse-names":false,"suffix":""},{"dropping-particle":"","family":"Carvalho","given":"Joana","non-dropping-particle":"","parse-names":false,"suffix":""},{"dropping-particle":"","family":"Corona","given":"Giovanni","non-dropping-particle":"","parse-names":false,"suffix":""},{"dropping-particle":"","family":"Joensen","given":"Ulla N.","non-dropping-particle":"","parse-names":false,"suffix":""},{"dropping-particle":"","family":"Jones","given":"Hugh","non-dropping-particle":"","parse-names":false,"suffix":""},{"dropping-particle":"","family":"Kadioglu","given":"Ates","non-dropping-particle":"","parse-names":false,"suffix":""},{"dropping-particle":"","family":"Martínez Salamanca","given":"Juan I.","non-dropping-particle":"","parse-names":false,"suffix":""},{"dropping-particle":"","family":"Serefoglu","given":"Ege C.","non-dropping-particle":"","parse-names":false,"suffix":""},{"dropping-particle":"","family":"Verze","given":"Paolo","non-dropping-particle":"","parse-names":false,"suffix":""},{"dropping-particle":"","family":"Darraugh","given":"Julie","non-dropping-particle":"","parse-names":false,"suffix":""},{"dropping-particle":"","family":"Plass","given":"Karin","non-dropping-particle":"","parse-names":false,"suffix":""},{"dropping-particle":"","family":"N’Dow","given":"James","non-dropping-particle":"","parse-names":false,"suffix":""},{"dropping-particle":"","family":"Salonia","given":"Andrea","non-dropping-particle":"","parse-names":false,"suffix":""},{"dropping-particle":"","family":"Minhas","given":"Suks","non-dropping-particle":"","parse-names":false,"suffix":""}],"container-title":"European Urology Focus","id":"ITEM-1","issue":"4","issued":{"date-parts":[["2019","11"]]},"page":"791-800","publisher":"Elsevier BV","title":"Male Sexual and Reproductive Health—Does the Urologist Have a Role in Addressing Gender Inequality in Life Expectancy?","type":"article-journal","volume":"6"},"uris":["http://www.mendeley.com/documents/?uuid=0b67177a-a861-3a8a-aeac-e9a835a6e5f2"]}],"mendeley":{"formattedCitation":"(3)","plainTextFormattedCitation":"(3)","previouslyFormattedCitation":"(3)"},"properties":{"noteIndex":0},"schema":"https://github.com/citation-style-language/schema/raw/master/csl-citation.json"}</w:instrText>
      </w:r>
      <w:r w:rsidR="008D5179" w:rsidRPr="004B0BC2">
        <w:rPr>
          <w:rFonts w:cstheme="minorHAnsi"/>
          <w:spacing w:val="-3"/>
          <w:sz w:val="22"/>
          <w:szCs w:val="22"/>
        </w:rPr>
        <w:fldChar w:fldCharType="separate"/>
      </w:r>
      <w:r w:rsidR="008D5179" w:rsidRPr="004B0BC2">
        <w:rPr>
          <w:rFonts w:cstheme="minorHAnsi"/>
          <w:noProof/>
          <w:spacing w:val="-3"/>
          <w:sz w:val="22"/>
          <w:szCs w:val="22"/>
        </w:rPr>
        <w:t>(3)</w:t>
      </w:r>
      <w:r w:rsidR="008D5179" w:rsidRPr="004B0BC2">
        <w:rPr>
          <w:rFonts w:cstheme="minorHAnsi"/>
          <w:spacing w:val="-3"/>
          <w:sz w:val="22"/>
          <w:szCs w:val="22"/>
        </w:rPr>
        <w:fldChar w:fldCharType="end"/>
      </w:r>
      <w:r w:rsidR="00FC71DB">
        <w:rPr>
          <w:rFonts w:cstheme="minorHAnsi"/>
          <w:spacing w:val="-3"/>
          <w:sz w:val="22"/>
          <w:szCs w:val="22"/>
        </w:rPr>
        <w:t>.</w:t>
      </w:r>
      <w:r w:rsidR="008D5179" w:rsidRPr="004B0BC2">
        <w:rPr>
          <w:rFonts w:cstheme="minorHAnsi"/>
          <w:spacing w:val="-3"/>
          <w:sz w:val="22"/>
          <w:szCs w:val="22"/>
        </w:rPr>
        <w:t xml:space="preserve"> </w:t>
      </w:r>
      <w:r w:rsidR="00FC71DB">
        <w:rPr>
          <w:rFonts w:cstheme="minorHAnsi"/>
          <w:spacing w:val="-3"/>
          <w:sz w:val="22"/>
          <w:szCs w:val="22"/>
        </w:rPr>
        <w:t>P</w:t>
      </w:r>
      <w:r w:rsidRPr="004B0BC2">
        <w:rPr>
          <w:rFonts w:cstheme="minorHAnsi"/>
          <w:spacing w:val="-3"/>
          <w:sz w:val="22"/>
          <w:szCs w:val="22"/>
        </w:rPr>
        <w:t>olicy make</w:t>
      </w:r>
      <w:r w:rsidR="007D3ABD" w:rsidRPr="004B0BC2">
        <w:rPr>
          <w:rFonts w:cstheme="minorHAnsi"/>
          <w:spacing w:val="-3"/>
          <w:sz w:val="22"/>
          <w:szCs w:val="22"/>
        </w:rPr>
        <w:t>r</w:t>
      </w:r>
      <w:r w:rsidRPr="004B0BC2">
        <w:rPr>
          <w:rFonts w:cstheme="minorHAnsi"/>
          <w:spacing w:val="-3"/>
          <w:sz w:val="22"/>
          <w:szCs w:val="22"/>
        </w:rPr>
        <w:t>s and health</w:t>
      </w:r>
      <w:r w:rsidR="00FC71DB">
        <w:rPr>
          <w:rFonts w:cstheme="minorHAnsi"/>
          <w:spacing w:val="-3"/>
          <w:sz w:val="22"/>
          <w:szCs w:val="22"/>
        </w:rPr>
        <w:t>-</w:t>
      </w:r>
      <w:r w:rsidRPr="004B0BC2">
        <w:rPr>
          <w:rFonts w:cstheme="minorHAnsi"/>
          <w:spacing w:val="-3"/>
          <w:sz w:val="22"/>
          <w:szCs w:val="22"/>
        </w:rPr>
        <w:t>care stakeholders</w:t>
      </w:r>
      <w:r w:rsidR="00FC71DB">
        <w:rPr>
          <w:rFonts w:cstheme="minorHAnsi"/>
          <w:spacing w:val="-3"/>
          <w:sz w:val="22"/>
          <w:szCs w:val="22"/>
        </w:rPr>
        <w:t xml:space="preserve"> must</w:t>
      </w:r>
      <w:r w:rsidR="003F37BE" w:rsidRPr="004B0BC2">
        <w:rPr>
          <w:rFonts w:cstheme="minorHAnsi"/>
          <w:spacing w:val="-3"/>
          <w:sz w:val="22"/>
          <w:szCs w:val="22"/>
        </w:rPr>
        <w:t xml:space="preserve"> take heed of the success of FFIT and Ireland</w:t>
      </w:r>
      <w:r w:rsidR="00FC71DB">
        <w:rPr>
          <w:rFonts w:cstheme="minorHAnsi"/>
          <w:spacing w:val="-3"/>
          <w:sz w:val="22"/>
          <w:szCs w:val="22"/>
        </w:rPr>
        <w:t>’</w:t>
      </w:r>
      <w:r w:rsidR="003F37BE" w:rsidRPr="004B0BC2">
        <w:rPr>
          <w:rFonts w:cstheme="minorHAnsi"/>
          <w:spacing w:val="-3"/>
          <w:sz w:val="22"/>
          <w:szCs w:val="22"/>
        </w:rPr>
        <w:t>s men’s health programme</w:t>
      </w:r>
      <w:r w:rsidR="008B29D0" w:rsidRPr="004B0BC2">
        <w:rPr>
          <w:rFonts w:cstheme="minorHAnsi"/>
          <w:spacing w:val="-3"/>
          <w:sz w:val="22"/>
          <w:szCs w:val="22"/>
        </w:rPr>
        <w:t xml:space="preserve"> </w:t>
      </w:r>
      <w:r w:rsidR="003F37BE" w:rsidRPr="004B0BC2">
        <w:rPr>
          <w:rFonts w:cstheme="minorHAnsi"/>
          <w:spacing w:val="-3"/>
          <w:sz w:val="22"/>
          <w:szCs w:val="22"/>
        </w:rPr>
        <w:t>and</w:t>
      </w:r>
      <w:r w:rsidR="00FC71DB">
        <w:rPr>
          <w:rFonts w:cstheme="minorHAnsi"/>
          <w:spacing w:val="-3"/>
          <w:sz w:val="22"/>
          <w:szCs w:val="22"/>
        </w:rPr>
        <w:t xml:space="preserve"> develop approaches that</w:t>
      </w:r>
      <w:r w:rsidR="003F37BE" w:rsidRPr="004B0BC2">
        <w:rPr>
          <w:rFonts w:cstheme="minorHAnsi"/>
          <w:spacing w:val="-3"/>
          <w:sz w:val="22"/>
          <w:szCs w:val="22"/>
        </w:rPr>
        <w:t xml:space="preserve"> </w:t>
      </w:r>
      <w:r w:rsidR="00FC71DB">
        <w:rPr>
          <w:rFonts w:cstheme="minorHAnsi"/>
          <w:spacing w:val="-3"/>
          <w:sz w:val="22"/>
          <w:szCs w:val="22"/>
        </w:rPr>
        <w:t xml:space="preserve">specifically and aggressively </w:t>
      </w:r>
      <w:r w:rsidRPr="004B0BC2">
        <w:rPr>
          <w:rFonts w:cstheme="minorHAnsi"/>
          <w:spacing w:val="-3"/>
          <w:sz w:val="22"/>
          <w:szCs w:val="22"/>
        </w:rPr>
        <w:t xml:space="preserve">target </w:t>
      </w:r>
      <w:r w:rsidR="003F37BE" w:rsidRPr="004B0BC2">
        <w:rPr>
          <w:rFonts w:cstheme="minorHAnsi"/>
          <w:spacing w:val="-3"/>
          <w:sz w:val="22"/>
          <w:szCs w:val="22"/>
        </w:rPr>
        <w:t>men</w:t>
      </w:r>
      <w:r w:rsidR="00FC71DB">
        <w:rPr>
          <w:rFonts w:cstheme="minorHAnsi"/>
          <w:spacing w:val="-3"/>
          <w:sz w:val="22"/>
          <w:szCs w:val="22"/>
        </w:rPr>
        <w:t>,</w:t>
      </w:r>
      <w:r w:rsidRPr="004B0BC2">
        <w:rPr>
          <w:rFonts w:cstheme="minorHAnsi"/>
          <w:spacing w:val="-3"/>
          <w:sz w:val="22"/>
          <w:szCs w:val="22"/>
        </w:rPr>
        <w:t xml:space="preserve"> especially given th</w:t>
      </w:r>
      <w:r w:rsidR="00AF2C66" w:rsidRPr="004B0BC2">
        <w:rPr>
          <w:rFonts w:cstheme="minorHAnsi"/>
          <w:spacing w:val="-3"/>
          <w:sz w:val="22"/>
          <w:szCs w:val="22"/>
        </w:rPr>
        <w:t>e</w:t>
      </w:r>
      <w:r w:rsidR="008B29D0" w:rsidRPr="004B0BC2">
        <w:rPr>
          <w:rFonts w:cstheme="minorHAnsi"/>
          <w:spacing w:val="-3"/>
          <w:sz w:val="22"/>
          <w:szCs w:val="22"/>
        </w:rPr>
        <w:t>ir</w:t>
      </w:r>
      <w:r w:rsidRPr="004B0BC2">
        <w:rPr>
          <w:rFonts w:cstheme="minorHAnsi"/>
          <w:spacing w:val="-3"/>
          <w:sz w:val="22"/>
          <w:szCs w:val="22"/>
        </w:rPr>
        <w:t xml:space="preserve"> reluctance </w:t>
      </w:r>
      <w:r w:rsidR="003F37BE" w:rsidRPr="004B0BC2">
        <w:rPr>
          <w:rFonts w:cstheme="minorHAnsi"/>
          <w:spacing w:val="-3"/>
          <w:sz w:val="22"/>
          <w:szCs w:val="22"/>
        </w:rPr>
        <w:t>to</w:t>
      </w:r>
      <w:r w:rsidRPr="004B0BC2">
        <w:rPr>
          <w:rFonts w:cstheme="minorHAnsi"/>
          <w:spacing w:val="-3"/>
          <w:sz w:val="22"/>
          <w:szCs w:val="22"/>
        </w:rPr>
        <w:t xml:space="preserve"> engage </w:t>
      </w:r>
      <w:r w:rsidR="00AF2C66" w:rsidRPr="004B0BC2">
        <w:rPr>
          <w:rFonts w:cstheme="minorHAnsi"/>
          <w:spacing w:val="-3"/>
          <w:sz w:val="22"/>
          <w:szCs w:val="22"/>
        </w:rPr>
        <w:t>with</w:t>
      </w:r>
      <w:r w:rsidRPr="004B0BC2">
        <w:rPr>
          <w:rFonts w:cstheme="minorHAnsi"/>
          <w:spacing w:val="-3"/>
          <w:sz w:val="22"/>
          <w:szCs w:val="22"/>
        </w:rPr>
        <w:t xml:space="preserve"> health</w:t>
      </w:r>
      <w:r w:rsidR="00FC71DB">
        <w:rPr>
          <w:rFonts w:cstheme="minorHAnsi"/>
          <w:spacing w:val="-3"/>
          <w:sz w:val="22"/>
          <w:szCs w:val="22"/>
        </w:rPr>
        <w:t>-</w:t>
      </w:r>
      <w:r w:rsidRPr="004B0BC2">
        <w:rPr>
          <w:rFonts w:cstheme="minorHAnsi"/>
          <w:spacing w:val="-3"/>
          <w:sz w:val="22"/>
          <w:szCs w:val="22"/>
        </w:rPr>
        <w:t>care services</w:t>
      </w:r>
      <w:r w:rsidR="00FC71DB">
        <w:rPr>
          <w:rFonts w:cstheme="minorHAnsi"/>
          <w:spacing w:val="-3"/>
          <w:sz w:val="22"/>
          <w:szCs w:val="22"/>
        </w:rPr>
        <w:t xml:space="preserve"> and </w:t>
      </w:r>
      <w:r w:rsidR="008D5179" w:rsidRPr="004B0BC2">
        <w:rPr>
          <w:rFonts w:cstheme="minorHAnsi"/>
          <w:spacing w:val="-3"/>
          <w:sz w:val="22"/>
          <w:szCs w:val="22"/>
        </w:rPr>
        <w:t xml:space="preserve">the higher rates of health illiteracy in men </w:t>
      </w:r>
      <w:r w:rsidR="00FC71DB">
        <w:rPr>
          <w:rFonts w:cstheme="minorHAnsi"/>
          <w:spacing w:val="-3"/>
          <w:sz w:val="22"/>
          <w:szCs w:val="22"/>
        </w:rPr>
        <w:t>than</w:t>
      </w:r>
      <w:r w:rsidR="008D5179" w:rsidRPr="004B0BC2">
        <w:rPr>
          <w:rFonts w:cstheme="minorHAnsi"/>
          <w:spacing w:val="-3"/>
          <w:sz w:val="22"/>
          <w:szCs w:val="22"/>
        </w:rPr>
        <w:t xml:space="preserve"> women. </w:t>
      </w:r>
    </w:p>
    <w:p w14:paraId="0B190E02" w14:textId="2F8950D6" w:rsidR="005F2083" w:rsidRPr="004B0BC2" w:rsidRDefault="00FC71DB" w:rsidP="00B66369">
      <w:pPr>
        <w:pStyle w:val="NoSpacing"/>
        <w:spacing w:line="480" w:lineRule="auto"/>
        <w:rPr>
          <w:rFonts w:cstheme="minorHAnsi"/>
          <w:color w:val="000000" w:themeColor="text1"/>
          <w:sz w:val="22"/>
          <w:szCs w:val="22"/>
        </w:rPr>
      </w:pPr>
      <w:r>
        <w:rPr>
          <w:rFonts w:cstheme="minorHAnsi"/>
          <w:color w:val="000000" w:themeColor="text1"/>
          <w:spacing w:val="-3"/>
          <w:sz w:val="22"/>
          <w:szCs w:val="22"/>
        </w:rPr>
        <w:t xml:space="preserve">The </w:t>
      </w:r>
      <w:r w:rsidR="005F2083" w:rsidRPr="004B0BC2">
        <w:rPr>
          <w:rFonts w:cstheme="minorHAnsi"/>
          <w:color w:val="000000" w:themeColor="text1"/>
          <w:spacing w:val="-3"/>
          <w:sz w:val="22"/>
          <w:szCs w:val="22"/>
        </w:rPr>
        <w:t>resumption of normal health</w:t>
      </w:r>
      <w:r>
        <w:rPr>
          <w:rFonts w:cstheme="minorHAnsi"/>
          <w:color w:val="000000" w:themeColor="text1"/>
          <w:spacing w:val="-3"/>
          <w:sz w:val="22"/>
          <w:szCs w:val="22"/>
        </w:rPr>
        <w:t>-</w:t>
      </w:r>
      <w:r w:rsidR="005F2083" w:rsidRPr="004B0BC2">
        <w:rPr>
          <w:rFonts w:cstheme="minorHAnsi"/>
          <w:color w:val="000000" w:themeColor="text1"/>
          <w:spacing w:val="-3"/>
          <w:sz w:val="22"/>
          <w:szCs w:val="22"/>
        </w:rPr>
        <w:t xml:space="preserve">care </w:t>
      </w:r>
      <w:r w:rsidR="005F2083" w:rsidRPr="004B0BC2">
        <w:rPr>
          <w:rFonts w:cstheme="minorHAnsi"/>
          <w:color w:val="000000" w:themeColor="text1"/>
          <w:sz w:val="22"/>
          <w:szCs w:val="22"/>
        </w:rPr>
        <w:t>services once the COVID-19 pandemic has resolved</w:t>
      </w:r>
      <w:r w:rsidR="0091625F">
        <w:rPr>
          <w:rFonts w:cstheme="minorHAnsi"/>
          <w:color w:val="000000" w:themeColor="text1"/>
          <w:spacing w:val="-3"/>
          <w:sz w:val="22"/>
          <w:szCs w:val="22"/>
        </w:rPr>
        <w:t xml:space="preserve"> </w:t>
      </w:r>
      <w:r w:rsidRPr="004B0BC2">
        <w:rPr>
          <w:rFonts w:cstheme="minorHAnsi"/>
          <w:color w:val="000000" w:themeColor="text1"/>
          <w:spacing w:val="-3"/>
          <w:sz w:val="22"/>
          <w:szCs w:val="22"/>
        </w:rPr>
        <w:t xml:space="preserve">is likely </w:t>
      </w:r>
      <w:r>
        <w:rPr>
          <w:rFonts w:cstheme="minorHAnsi"/>
          <w:color w:val="000000" w:themeColor="text1"/>
          <w:spacing w:val="-3"/>
          <w:sz w:val="22"/>
          <w:szCs w:val="22"/>
        </w:rPr>
        <w:t>to</w:t>
      </w:r>
      <w:r w:rsidRPr="004B0BC2">
        <w:rPr>
          <w:rFonts w:cstheme="minorHAnsi"/>
          <w:color w:val="000000" w:themeColor="text1"/>
          <w:spacing w:val="-3"/>
          <w:sz w:val="22"/>
          <w:szCs w:val="22"/>
        </w:rPr>
        <w:t xml:space="preserve"> be </w:t>
      </w:r>
      <w:r>
        <w:rPr>
          <w:rFonts w:cstheme="minorHAnsi"/>
          <w:color w:val="000000" w:themeColor="text1"/>
          <w:spacing w:val="-3"/>
          <w:sz w:val="22"/>
          <w:szCs w:val="22"/>
        </w:rPr>
        <w:t xml:space="preserve">followed by </w:t>
      </w:r>
      <w:r w:rsidRPr="004B0BC2">
        <w:rPr>
          <w:rFonts w:cstheme="minorHAnsi"/>
          <w:color w:val="000000" w:themeColor="text1"/>
          <w:spacing w:val="-3"/>
          <w:sz w:val="22"/>
          <w:szCs w:val="22"/>
        </w:rPr>
        <w:t>a high burden of referrals</w:t>
      </w:r>
      <w:r>
        <w:rPr>
          <w:rFonts w:cstheme="minorHAnsi"/>
          <w:color w:val="000000" w:themeColor="text1"/>
          <w:spacing w:val="-3"/>
          <w:sz w:val="22"/>
          <w:szCs w:val="22"/>
        </w:rPr>
        <w:t>;</w:t>
      </w:r>
      <w:r w:rsidR="005F2083" w:rsidRPr="004B0BC2">
        <w:rPr>
          <w:rFonts w:cstheme="minorHAnsi"/>
          <w:color w:val="000000" w:themeColor="text1"/>
          <w:sz w:val="22"/>
          <w:szCs w:val="22"/>
        </w:rPr>
        <w:t xml:space="preserve"> th</w:t>
      </w:r>
      <w:r>
        <w:rPr>
          <w:rFonts w:cstheme="minorHAnsi"/>
          <w:color w:val="000000" w:themeColor="text1"/>
          <w:sz w:val="22"/>
          <w:szCs w:val="22"/>
        </w:rPr>
        <w:t>us,</w:t>
      </w:r>
      <w:r w:rsidR="005F2083" w:rsidRPr="004B0BC2">
        <w:rPr>
          <w:rFonts w:cstheme="minorHAnsi"/>
          <w:color w:val="000000" w:themeColor="text1"/>
          <w:sz w:val="22"/>
          <w:szCs w:val="22"/>
        </w:rPr>
        <w:t xml:space="preserve"> develop</w:t>
      </w:r>
      <w:r>
        <w:rPr>
          <w:rFonts w:cstheme="minorHAnsi"/>
          <w:color w:val="000000" w:themeColor="text1"/>
          <w:sz w:val="22"/>
          <w:szCs w:val="22"/>
        </w:rPr>
        <w:t>ment of</w:t>
      </w:r>
      <w:r w:rsidR="005F2083" w:rsidRPr="004B0BC2">
        <w:rPr>
          <w:rFonts w:cstheme="minorHAnsi"/>
          <w:color w:val="000000" w:themeColor="text1"/>
          <w:sz w:val="22"/>
          <w:szCs w:val="22"/>
        </w:rPr>
        <w:t xml:space="preserve"> a new model of care within a streamlined multidisciplinary setting</w:t>
      </w:r>
      <w:r>
        <w:rPr>
          <w:rFonts w:cstheme="minorHAnsi"/>
          <w:color w:val="000000" w:themeColor="text1"/>
          <w:sz w:val="22"/>
          <w:szCs w:val="22"/>
        </w:rPr>
        <w:t xml:space="preserve"> is a logical approach to create</w:t>
      </w:r>
      <w:r w:rsidR="005F2083" w:rsidRPr="004B0BC2">
        <w:rPr>
          <w:rFonts w:cstheme="minorHAnsi"/>
          <w:color w:val="000000" w:themeColor="text1"/>
          <w:sz w:val="22"/>
          <w:szCs w:val="22"/>
        </w:rPr>
        <w:t xml:space="preserve"> focused </w:t>
      </w:r>
      <w:r>
        <w:rPr>
          <w:rFonts w:cstheme="minorHAnsi"/>
          <w:color w:val="000000" w:themeColor="text1"/>
          <w:sz w:val="22"/>
          <w:szCs w:val="22"/>
        </w:rPr>
        <w:t>m</w:t>
      </w:r>
      <w:r w:rsidR="005F2083" w:rsidRPr="004B0BC2">
        <w:rPr>
          <w:rFonts w:cstheme="minorHAnsi"/>
          <w:color w:val="000000" w:themeColor="text1"/>
          <w:sz w:val="22"/>
          <w:szCs w:val="22"/>
        </w:rPr>
        <w:t xml:space="preserve">en’s </w:t>
      </w:r>
      <w:r>
        <w:rPr>
          <w:rFonts w:cstheme="minorHAnsi"/>
          <w:color w:val="000000" w:themeColor="text1"/>
          <w:sz w:val="22"/>
          <w:szCs w:val="22"/>
        </w:rPr>
        <w:t>h</w:t>
      </w:r>
      <w:r w:rsidR="005F2083" w:rsidRPr="004B0BC2">
        <w:rPr>
          <w:rFonts w:cstheme="minorHAnsi"/>
          <w:color w:val="000000" w:themeColor="text1"/>
          <w:sz w:val="22"/>
          <w:szCs w:val="22"/>
        </w:rPr>
        <w:t>ealth clinic</w:t>
      </w:r>
      <w:r>
        <w:rPr>
          <w:rFonts w:cstheme="minorHAnsi"/>
          <w:color w:val="000000" w:themeColor="text1"/>
          <w:sz w:val="22"/>
          <w:szCs w:val="22"/>
        </w:rPr>
        <w:t>s that</w:t>
      </w:r>
      <w:r w:rsidR="005F2083" w:rsidRPr="004B0BC2">
        <w:rPr>
          <w:rFonts w:cstheme="minorHAnsi"/>
          <w:color w:val="000000" w:themeColor="text1"/>
          <w:sz w:val="22"/>
          <w:szCs w:val="22"/>
        </w:rPr>
        <w:t xml:space="preserve"> could </w:t>
      </w:r>
      <w:r>
        <w:rPr>
          <w:rFonts w:cstheme="minorHAnsi"/>
          <w:color w:val="000000" w:themeColor="text1"/>
          <w:sz w:val="22"/>
          <w:szCs w:val="22"/>
        </w:rPr>
        <w:t>solve the problem of</w:t>
      </w:r>
      <w:r w:rsidR="005F2083" w:rsidRPr="004B0BC2">
        <w:rPr>
          <w:rFonts w:cstheme="minorHAnsi"/>
          <w:color w:val="000000" w:themeColor="text1"/>
          <w:sz w:val="22"/>
          <w:szCs w:val="22"/>
        </w:rPr>
        <w:t xml:space="preserve"> sex discrepancies in health and disease. </w:t>
      </w:r>
    </w:p>
    <w:p w14:paraId="03DB458F" w14:textId="6DE82C4D" w:rsidR="005F2083" w:rsidRPr="004B0BC2" w:rsidRDefault="005F2083" w:rsidP="00B66369">
      <w:pPr>
        <w:pStyle w:val="NoSpacing"/>
        <w:spacing w:line="480" w:lineRule="auto"/>
        <w:rPr>
          <w:rFonts w:cstheme="minorHAnsi"/>
          <w:color w:val="000000" w:themeColor="text1"/>
          <w:sz w:val="22"/>
          <w:szCs w:val="22"/>
        </w:rPr>
      </w:pPr>
    </w:p>
    <w:p w14:paraId="7EF86E32" w14:textId="1BA8677B" w:rsidR="00796FC7" w:rsidRPr="004B0BC2" w:rsidRDefault="00796FC7" w:rsidP="00B66369">
      <w:pPr>
        <w:pStyle w:val="NoSpacing"/>
        <w:spacing w:line="480" w:lineRule="auto"/>
        <w:rPr>
          <w:rFonts w:cstheme="minorHAnsi"/>
          <w:color w:val="000000" w:themeColor="text1"/>
          <w:sz w:val="22"/>
          <w:szCs w:val="22"/>
        </w:rPr>
      </w:pPr>
    </w:p>
    <w:p w14:paraId="2696A224" w14:textId="155C3EBA" w:rsidR="00796FC7" w:rsidRDefault="00796FC7" w:rsidP="00B66369">
      <w:pPr>
        <w:pStyle w:val="NoSpacing"/>
        <w:spacing w:line="480" w:lineRule="auto"/>
        <w:rPr>
          <w:rFonts w:cstheme="minorHAnsi"/>
          <w:color w:val="000000" w:themeColor="text1"/>
          <w:sz w:val="22"/>
          <w:szCs w:val="22"/>
        </w:rPr>
      </w:pPr>
    </w:p>
    <w:p w14:paraId="0EDF12E8" w14:textId="1EE4FDA3" w:rsidR="007578B3" w:rsidRDefault="007578B3" w:rsidP="00B66369">
      <w:pPr>
        <w:pStyle w:val="NoSpacing"/>
        <w:spacing w:line="480" w:lineRule="auto"/>
        <w:rPr>
          <w:rFonts w:cstheme="minorHAnsi"/>
          <w:color w:val="000000" w:themeColor="text1"/>
          <w:sz w:val="22"/>
          <w:szCs w:val="22"/>
        </w:rPr>
      </w:pPr>
    </w:p>
    <w:p w14:paraId="51E32843" w14:textId="128C6836" w:rsidR="007578B3" w:rsidRDefault="007578B3" w:rsidP="00B66369">
      <w:pPr>
        <w:pStyle w:val="NoSpacing"/>
        <w:spacing w:line="480" w:lineRule="auto"/>
        <w:rPr>
          <w:rFonts w:cstheme="minorHAnsi"/>
          <w:color w:val="000000" w:themeColor="text1"/>
          <w:sz w:val="22"/>
          <w:szCs w:val="22"/>
        </w:rPr>
      </w:pPr>
    </w:p>
    <w:p w14:paraId="56FAED3C" w14:textId="3E26AB6D" w:rsidR="00F202DC" w:rsidRPr="000242C7" w:rsidRDefault="00F202DC" w:rsidP="00391107">
      <w:pPr>
        <w:widowControl w:val="0"/>
        <w:autoSpaceDE w:val="0"/>
        <w:autoSpaceDN w:val="0"/>
        <w:adjustRightInd w:val="0"/>
        <w:spacing w:line="480" w:lineRule="auto"/>
        <w:ind w:left="640" w:hanging="640"/>
        <w:rPr>
          <w:rFonts w:ascii="Arial" w:hAnsi="Arial" w:cs="Arial"/>
          <w:sz w:val="22"/>
          <w:szCs w:val="22"/>
          <w:shd w:val="clear" w:color="auto" w:fill="FFFFFF"/>
        </w:rPr>
      </w:pPr>
      <w:r w:rsidRPr="000242C7">
        <w:rPr>
          <w:rFonts w:ascii="Arial" w:hAnsi="Arial" w:cs="Arial"/>
          <w:sz w:val="22"/>
          <w:szCs w:val="22"/>
        </w:rPr>
        <w:lastRenderedPageBreak/>
        <w:t>Figure 1 |</w:t>
      </w:r>
      <w:r w:rsidR="003C11E1" w:rsidRPr="000242C7">
        <w:rPr>
          <w:rFonts w:ascii="Arial" w:hAnsi="Arial" w:cs="Arial"/>
          <w:sz w:val="22"/>
          <w:szCs w:val="22"/>
          <w:shd w:val="clear" w:color="auto" w:fill="FFFFFF"/>
        </w:rPr>
        <w:t xml:space="preserve">Sex-disaggregated </w:t>
      </w:r>
      <w:r w:rsidRPr="000242C7">
        <w:rPr>
          <w:rFonts w:ascii="Arial" w:hAnsi="Arial" w:cs="Arial"/>
          <w:sz w:val="22"/>
          <w:szCs w:val="22"/>
          <w:shd w:val="clear" w:color="auto" w:fill="FFFFFF"/>
        </w:rPr>
        <w:t>cases, hospitalisations</w:t>
      </w:r>
      <w:r w:rsidR="003C11E1" w:rsidRPr="000242C7">
        <w:rPr>
          <w:rFonts w:ascii="Arial" w:hAnsi="Arial" w:cs="Arial"/>
          <w:sz w:val="22"/>
          <w:szCs w:val="22"/>
          <w:shd w:val="clear" w:color="auto" w:fill="FFFFFF"/>
        </w:rPr>
        <w:t>,</w:t>
      </w:r>
      <w:r w:rsidRPr="000242C7">
        <w:rPr>
          <w:rFonts w:ascii="Arial" w:hAnsi="Arial" w:cs="Arial"/>
          <w:sz w:val="22"/>
          <w:szCs w:val="22"/>
          <w:shd w:val="clear" w:color="auto" w:fill="FFFFFF"/>
        </w:rPr>
        <w:t xml:space="preserve"> intensive care admissions</w:t>
      </w:r>
      <w:r w:rsidR="003C11E1" w:rsidRPr="000242C7">
        <w:rPr>
          <w:rFonts w:ascii="Arial" w:hAnsi="Arial" w:cs="Arial"/>
          <w:sz w:val="22"/>
          <w:szCs w:val="22"/>
          <w:shd w:val="clear" w:color="auto" w:fill="FFFFFF"/>
        </w:rPr>
        <w:t xml:space="preserve"> and deaths in COVID-19. </w:t>
      </w:r>
    </w:p>
    <w:p w14:paraId="19266BC8" w14:textId="5CDCF8E7" w:rsidR="00F202DC" w:rsidRPr="000242C7" w:rsidRDefault="00F202DC" w:rsidP="000242C7">
      <w:pPr>
        <w:widowControl w:val="0"/>
        <w:autoSpaceDE w:val="0"/>
        <w:autoSpaceDN w:val="0"/>
        <w:adjustRightInd w:val="0"/>
        <w:spacing w:line="480" w:lineRule="auto"/>
        <w:rPr>
          <w:rFonts w:ascii="Arial" w:hAnsi="Arial" w:cs="Arial"/>
          <w:sz w:val="22"/>
          <w:szCs w:val="22"/>
          <w:shd w:val="clear" w:color="auto" w:fill="FFFFFF"/>
        </w:rPr>
      </w:pPr>
      <w:r w:rsidRPr="000242C7">
        <w:rPr>
          <w:rFonts w:ascii="Arial" w:hAnsi="Arial" w:cs="Arial"/>
          <w:sz w:val="22"/>
          <w:szCs w:val="22"/>
          <w:shd w:val="clear" w:color="auto" w:fill="FFFFFF"/>
        </w:rPr>
        <w:t>Figure 1 demonstrates that the number of confirmed cases of COVID-19 is similar between sexes (49% vs 51%) but men have a higher rate of hospitalisations, intensive care admissions and deaths.</w:t>
      </w:r>
    </w:p>
    <w:p w14:paraId="2B5497AF" w14:textId="77777777" w:rsidR="00F202DC" w:rsidRPr="000242C7" w:rsidRDefault="00F202DC" w:rsidP="00F202DC">
      <w:pPr>
        <w:widowControl w:val="0"/>
        <w:autoSpaceDE w:val="0"/>
        <w:autoSpaceDN w:val="0"/>
        <w:adjustRightInd w:val="0"/>
        <w:spacing w:line="480" w:lineRule="auto"/>
        <w:rPr>
          <w:rFonts w:ascii="Arial" w:hAnsi="Arial" w:cs="Arial"/>
          <w:iCs/>
          <w:sz w:val="22"/>
          <w:szCs w:val="22"/>
          <w:shd w:val="clear" w:color="auto" w:fill="FFFFFF"/>
        </w:rPr>
      </w:pPr>
      <w:r w:rsidRPr="000242C7">
        <w:rPr>
          <w:rFonts w:ascii="Arial" w:hAnsi="Arial" w:cs="Arial"/>
          <w:i/>
          <w:iCs/>
          <w:sz w:val="22"/>
          <w:szCs w:val="22"/>
        </w:rPr>
        <w:t xml:space="preserve">Data source: Global Health 5050. </w:t>
      </w:r>
      <w:hyperlink r:id="rId8" w:history="1">
        <w:r w:rsidRPr="000242C7">
          <w:rPr>
            <w:rStyle w:val="Hyperlink"/>
            <w:rFonts w:ascii="Arial" w:hAnsi="Arial" w:cs="Arial"/>
            <w:i/>
            <w:iCs/>
            <w:color w:val="auto"/>
            <w:sz w:val="22"/>
            <w:szCs w:val="22"/>
          </w:rPr>
          <w:t>https://globalhealth5050.org/covid19/</w:t>
        </w:r>
      </w:hyperlink>
      <w:r w:rsidRPr="000242C7">
        <w:rPr>
          <w:rFonts w:ascii="Arial" w:hAnsi="Arial" w:cs="Arial"/>
          <w:i/>
          <w:iCs/>
          <w:sz w:val="22"/>
          <w:szCs w:val="22"/>
        </w:rPr>
        <w:t>. Accessed: 05/10/2021.</w:t>
      </w:r>
      <w:r w:rsidRPr="000242C7">
        <w:rPr>
          <w:rFonts w:ascii="Arial" w:hAnsi="Arial" w:cs="Arial"/>
          <w:iCs/>
          <w:sz w:val="22"/>
          <w:szCs w:val="22"/>
        </w:rPr>
        <w:t xml:space="preserve"> </w:t>
      </w:r>
    </w:p>
    <w:p w14:paraId="12016910" w14:textId="079B7EE2" w:rsidR="00BE17AE" w:rsidRPr="000242C7" w:rsidRDefault="00BE17AE" w:rsidP="009D0021">
      <w:pPr>
        <w:widowControl w:val="0"/>
        <w:autoSpaceDE w:val="0"/>
        <w:autoSpaceDN w:val="0"/>
        <w:adjustRightInd w:val="0"/>
        <w:spacing w:line="480" w:lineRule="auto"/>
        <w:ind w:left="640" w:hanging="640"/>
        <w:rPr>
          <w:rFonts w:ascii="Arial" w:hAnsi="Arial" w:cs="Arial"/>
          <w:sz w:val="22"/>
          <w:szCs w:val="22"/>
        </w:rPr>
      </w:pPr>
    </w:p>
    <w:p w14:paraId="13E94FF5" w14:textId="7A1F30F5" w:rsidR="0091625F" w:rsidRPr="000242C7" w:rsidRDefault="0091625F" w:rsidP="0091625F">
      <w:pPr>
        <w:pStyle w:val="NoSpacing"/>
        <w:spacing w:line="480" w:lineRule="auto"/>
        <w:rPr>
          <w:rFonts w:ascii="Arial" w:hAnsi="Arial" w:cs="Arial"/>
          <w:sz w:val="22"/>
          <w:szCs w:val="22"/>
        </w:rPr>
      </w:pPr>
      <w:r w:rsidRPr="000242C7">
        <w:rPr>
          <w:rFonts w:ascii="Arial" w:hAnsi="Arial" w:cs="Arial"/>
          <w:sz w:val="22"/>
          <w:szCs w:val="22"/>
        </w:rPr>
        <w:t>Figure 2 | Obstacles and benefits of men’s engagement with health-care services.</w:t>
      </w:r>
      <w:r w:rsidR="00F202DC" w:rsidRPr="000242C7">
        <w:rPr>
          <w:rFonts w:ascii="Arial" w:hAnsi="Arial" w:cs="Arial"/>
          <w:sz w:val="22"/>
          <w:szCs w:val="22"/>
        </w:rPr>
        <w:t xml:space="preserve"> (a) cur</w:t>
      </w:r>
      <w:r w:rsidRPr="000242C7">
        <w:rPr>
          <w:rFonts w:ascii="Arial" w:hAnsi="Arial" w:cs="Arial"/>
          <w:sz w:val="22"/>
          <w:szCs w:val="22"/>
        </w:rPr>
        <w:t>rent barriers to male health-care utilisation</w:t>
      </w:r>
      <w:r w:rsidR="00343CD7">
        <w:rPr>
          <w:rFonts w:ascii="Arial" w:hAnsi="Arial" w:cs="Arial"/>
          <w:sz w:val="22"/>
          <w:szCs w:val="22"/>
        </w:rPr>
        <w:t xml:space="preserve">, </w:t>
      </w:r>
      <w:r w:rsidRPr="000242C7">
        <w:rPr>
          <w:rFonts w:ascii="Arial" w:hAnsi="Arial" w:cs="Arial"/>
          <w:sz w:val="22"/>
          <w:szCs w:val="22"/>
        </w:rPr>
        <w:t>includ</w:t>
      </w:r>
      <w:r w:rsidR="00343CD7">
        <w:rPr>
          <w:rFonts w:ascii="Arial" w:hAnsi="Arial" w:cs="Arial"/>
          <w:sz w:val="22"/>
          <w:szCs w:val="22"/>
        </w:rPr>
        <w:t>e</w:t>
      </w:r>
      <w:r w:rsidR="00F202DC" w:rsidRPr="000242C7">
        <w:rPr>
          <w:rFonts w:ascii="Arial" w:hAnsi="Arial" w:cs="Arial"/>
          <w:sz w:val="22"/>
          <w:szCs w:val="22"/>
        </w:rPr>
        <w:t xml:space="preserve"> the absence of a reference specialist and the need to see several specialities</w:t>
      </w:r>
      <w:r w:rsidR="00F202DC">
        <w:rPr>
          <w:rFonts w:ascii="Arial" w:hAnsi="Arial" w:cs="Arial"/>
          <w:sz w:val="22"/>
          <w:szCs w:val="22"/>
        </w:rPr>
        <w:t>,</w:t>
      </w:r>
      <w:r w:rsidR="00F202DC" w:rsidRPr="000242C7">
        <w:rPr>
          <w:rFonts w:ascii="Arial" w:hAnsi="Arial" w:cs="Arial"/>
          <w:sz w:val="22"/>
          <w:szCs w:val="22"/>
        </w:rPr>
        <w:t xml:space="preserve"> sometimes in different hospitals and over multiple appointments</w:t>
      </w:r>
      <w:r w:rsidR="00343CD7">
        <w:rPr>
          <w:rFonts w:ascii="Arial" w:hAnsi="Arial" w:cs="Arial"/>
          <w:sz w:val="22"/>
          <w:szCs w:val="22"/>
        </w:rPr>
        <w:t>.</w:t>
      </w:r>
      <w:r w:rsidR="00F202DC" w:rsidRPr="000242C7">
        <w:rPr>
          <w:rFonts w:ascii="Arial" w:hAnsi="Arial" w:cs="Arial"/>
          <w:sz w:val="22"/>
          <w:szCs w:val="22"/>
        </w:rPr>
        <w:t xml:space="preserve"> (b)</w:t>
      </w:r>
      <w:r w:rsidR="00343CD7">
        <w:rPr>
          <w:rFonts w:ascii="Arial" w:hAnsi="Arial" w:cs="Arial"/>
          <w:sz w:val="22"/>
          <w:szCs w:val="22"/>
        </w:rPr>
        <w:t xml:space="preserve"> A</w:t>
      </w:r>
      <w:r w:rsidRPr="000242C7">
        <w:rPr>
          <w:rFonts w:ascii="Arial" w:hAnsi="Arial" w:cs="Arial"/>
          <w:sz w:val="22"/>
          <w:szCs w:val="22"/>
        </w:rPr>
        <w:t xml:space="preserve">dvantages of a men’s health policy </w:t>
      </w:r>
      <w:r w:rsidR="00F202DC" w:rsidRPr="000242C7">
        <w:rPr>
          <w:rFonts w:ascii="Arial" w:hAnsi="Arial" w:cs="Arial"/>
          <w:sz w:val="22"/>
          <w:szCs w:val="22"/>
        </w:rPr>
        <w:t>includ</w:t>
      </w:r>
      <w:r w:rsidR="00343CD7">
        <w:rPr>
          <w:rFonts w:ascii="Arial" w:hAnsi="Arial" w:cs="Arial"/>
          <w:sz w:val="22"/>
          <w:szCs w:val="22"/>
        </w:rPr>
        <w:t xml:space="preserve">e </w:t>
      </w:r>
      <w:r w:rsidR="00F202DC" w:rsidRPr="000242C7">
        <w:rPr>
          <w:rFonts w:ascii="Arial" w:hAnsi="Arial" w:cs="Arial"/>
          <w:sz w:val="22"/>
          <w:szCs w:val="22"/>
        </w:rPr>
        <w:t>a multidisciplinary pathway that incorporates the diagnosis, treatment and prevention of both benign and malignant conditions</w:t>
      </w:r>
      <w:r w:rsidR="00343CD7">
        <w:rPr>
          <w:rFonts w:ascii="Arial" w:hAnsi="Arial" w:cs="Arial"/>
          <w:sz w:val="22"/>
          <w:szCs w:val="22"/>
        </w:rPr>
        <w:t xml:space="preserve">. </w:t>
      </w:r>
      <w:r w:rsidR="00F202DC" w:rsidRPr="000242C7">
        <w:rPr>
          <w:rFonts w:ascii="Arial" w:hAnsi="Arial" w:cs="Arial"/>
          <w:sz w:val="22"/>
          <w:szCs w:val="22"/>
        </w:rPr>
        <w:t>(</w:t>
      </w:r>
      <w:r w:rsidRPr="000242C7">
        <w:rPr>
          <w:rFonts w:ascii="Arial" w:hAnsi="Arial" w:cs="Arial"/>
          <w:sz w:val="22"/>
          <w:szCs w:val="22"/>
        </w:rPr>
        <w:t>c)</w:t>
      </w:r>
      <w:r w:rsidR="00F202DC" w:rsidRPr="000242C7">
        <w:rPr>
          <w:rFonts w:ascii="Arial" w:hAnsi="Arial" w:cs="Arial"/>
          <w:sz w:val="22"/>
          <w:szCs w:val="22"/>
        </w:rPr>
        <w:t xml:space="preserve"> </w:t>
      </w:r>
      <w:r w:rsidR="00343CD7">
        <w:rPr>
          <w:rFonts w:ascii="Arial" w:hAnsi="Arial" w:cs="Arial"/>
          <w:sz w:val="22"/>
          <w:szCs w:val="22"/>
        </w:rPr>
        <w:t>P</w:t>
      </w:r>
      <w:r w:rsidRPr="000242C7">
        <w:rPr>
          <w:rFonts w:ascii="Arial" w:hAnsi="Arial" w:cs="Arial"/>
          <w:sz w:val="22"/>
          <w:szCs w:val="22"/>
        </w:rPr>
        <w:t>otential</w:t>
      </w:r>
      <w:r w:rsidR="00F202DC" w:rsidRPr="000242C7">
        <w:rPr>
          <w:rFonts w:ascii="Arial" w:hAnsi="Arial" w:cs="Arial"/>
          <w:sz w:val="22"/>
          <w:szCs w:val="22"/>
        </w:rPr>
        <w:t xml:space="preserve"> </w:t>
      </w:r>
      <w:r w:rsidRPr="000242C7">
        <w:rPr>
          <w:rFonts w:ascii="Arial" w:hAnsi="Arial" w:cs="Arial"/>
          <w:sz w:val="22"/>
          <w:szCs w:val="22"/>
        </w:rPr>
        <w:t xml:space="preserve">outcomes from a men’s health policy </w:t>
      </w:r>
      <w:r w:rsidR="00F202DC" w:rsidRPr="000242C7">
        <w:rPr>
          <w:rFonts w:ascii="Arial" w:hAnsi="Arial" w:cs="Arial"/>
          <w:sz w:val="22"/>
          <w:szCs w:val="22"/>
        </w:rPr>
        <w:t>(such as increasing male life expectancy, novel data acquisition and reducing the burden and costs of cancer and cardiovascular disease morbidities through a preventative medicine approach.</w:t>
      </w:r>
    </w:p>
    <w:p w14:paraId="735F62AA" w14:textId="270BBACA" w:rsidR="0091625F" w:rsidRDefault="0091625F"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3574746E" w14:textId="5EEE96C2" w:rsidR="006A77B8" w:rsidRDefault="006A77B8"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021A76C2" w14:textId="4C4AA1A1" w:rsidR="002410DF" w:rsidRDefault="002410DF"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66277D52" w14:textId="13FFAFD9" w:rsidR="002410DF" w:rsidRDefault="002410DF"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5309D160" w14:textId="3AB23CE5" w:rsidR="002410DF" w:rsidRDefault="002410DF"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62D7020B" w14:textId="77777777" w:rsidR="002410DF" w:rsidRDefault="002410DF"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4D3F823F" w14:textId="18749A75" w:rsidR="006A77B8" w:rsidRDefault="006A77B8"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4C563FBD" w14:textId="23D80935" w:rsidR="006A77B8" w:rsidRDefault="006A77B8"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31E5FE09" w14:textId="5F4F798E" w:rsidR="006A77B8" w:rsidRDefault="006A77B8"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06F73812" w14:textId="552ECB34" w:rsidR="006A77B8" w:rsidRDefault="006A77B8" w:rsidP="009D0021">
      <w:pPr>
        <w:widowControl w:val="0"/>
        <w:autoSpaceDE w:val="0"/>
        <w:autoSpaceDN w:val="0"/>
        <w:adjustRightInd w:val="0"/>
        <w:spacing w:line="480" w:lineRule="auto"/>
        <w:ind w:left="640" w:hanging="640"/>
        <w:rPr>
          <w:rFonts w:asciiTheme="minorHAnsi" w:hAnsiTheme="minorHAnsi" w:cstheme="minorHAnsi"/>
          <w:sz w:val="22"/>
          <w:szCs w:val="22"/>
        </w:rPr>
      </w:pPr>
    </w:p>
    <w:p w14:paraId="7F365A5C" w14:textId="6C793821" w:rsidR="006A77B8" w:rsidRPr="004B0BC2" w:rsidRDefault="006A77B8" w:rsidP="000242C7">
      <w:pPr>
        <w:widowControl w:val="0"/>
        <w:autoSpaceDE w:val="0"/>
        <w:autoSpaceDN w:val="0"/>
        <w:adjustRightInd w:val="0"/>
        <w:spacing w:line="480" w:lineRule="auto"/>
        <w:rPr>
          <w:rFonts w:asciiTheme="minorHAnsi" w:hAnsiTheme="minorHAnsi" w:cstheme="minorHAnsi"/>
          <w:sz w:val="22"/>
          <w:szCs w:val="22"/>
        </w:rPr>
      </w:pPr>
    </w:p>
    <w:p w14:paraId="153C3CE4" w14:textId="6CEB64B1" w:rsidR="002410DF" w:rsidRDefault="002410DF" w:rsidP="002410DF">
      <w:pPr>
        <w:widowControl w:val="0"/>
        <w:autoSpaceDE w:val="0"/>
        <w:autoSpaceDN w:val="0"/>
        <w:adjustRightInd w:val="0"/>
        <w:spacing w:before="140" w:line="480" w:lineRule="auto"/>
      </w:pPr>
      <w:r>
        <w:rPr>
          <w:rFonts w:asciiTheme="minorHAnsi" w:hAnsiTheme="minorHAnsi"/>
          <w:sz w:val="22"/>
        </w:rPr>
        <w:lastRenderedPageBreak/>
        <w:fldChar w:fldCharType="begin" w:fldLock="1"/>
      </w:r>
      <w:r>
        <w:rPr>
          <w:rFonts w:asciiTheme="minorHAnsi" w:hAnsiTheme="minorHAnsi"/>
          <w:sz w:val="22"/>
        </w:rPr>
        <w:instrText xml:space="preserve">ADDIN Mendeley Bibliography CSL_BIBLIOGRAPHY </w:instrText>
      </w:r>
      <w:r>
        <w:rPr>
          <w:rFonts w:asciiTheme="minorHAnsi" w:hAnsiTheme="minorHAnsi"/>
          <w:sz w:val="22"/>
        </w:rPr>
        <w:fldChar w:fldCharType="separate"/>
      </w:r>
      <w:r w:rsidRPr="002410DF">
        <w:rPr>
          <w:rFonts w:ascii="Calibri" w:hAnsi="Calibri" w:cs="Calibri"/>
          <w:noProof/>
          <w:sz w:val="22"/>
        </w:rPr>
        <w:t>Bibliography}</w:t>
      </w:r>
      <w:r>
        <w:rPr>
          <w:rFonts w:asciiTheme="minorHAnsi" w:hAnsiTheme="minorHAnsi"/>
          <w:sz w:val="22"/>
        </w:rPr>
        <w:fldChar w:fldCharType="end"/>
      </w:r>
    </w:p>
    <w:p w14:paraId="42F8C02F" w14:textId="77777777" w:rsidR="002410DF" w:rsidRDefault="002410DF">
      <w:pPr>
        <w:widowControl w:val="0"/>
        <w:autoSpaceDE w:val="0"/>
        <w:autoSpaceDN w:val="0"/>
        <w:adjustRightInd w:val="0"/>
        <w:spacing w:after="140" w:line="288" w:lineRule="auto"/>
        <w:ind w:left="640" w:hanging="640"/>
      </w:pPr>
      <w:r>
        <w:t xml:space="preserve">1. </w:t>
      </w:r>
      <w:r>
        <w:tab/>
        <w:t xml:space="preserve">Lu R, Zhao X, Li J, Niu P, Yang B, Wu H, et al. Genomic characterisation and epidemiology of 2019 novel coronavirus: implications for virus origins and receptor binding. Lancet. 2020 Feb 22;395(10224):565–74. </w:t>
      </w:r>
    </w:p>
    <w:p w14:paraId="5BF19E3E" w14:textId="77777777" w:rsidR="002410DF" w:rsidRDefault="002410DF">
      <w:pPr>
        <w:widowControl w:val="0"/>
        <w:autoSpaceDE w:val="0"/>
        <w:autoSpaceDN w:val="0"/>
        <w:adjustRightInd w:val="0"/>
        <w:spacing w:after="140" w:line="288" w:lineRule="auto"/>
        <w:ind w:left="640" w:hanging="640"/>
      </w:pPr>
      <w:r>
        <w:t xml:space="preserve">2. </w:t>
      </w:r>
      <w:r>
        <w:tab/>
        <w:t>BBC. Coronavirus: Risk of death is higher for ethnic minorities - BBC News [Internet]. The British Broadcasting Corporation Website. [cited 2020 Jun 3]. Available from: https://www.bbc.co.uk/news/health-52889106</w:t>
      </w:r>
    </w:p>
    <w:p w14:paraId="5F50A230" w14:textId="77777777" w:rsidR="002410DF" w:rsidRDefault="002410DF">
      <w:pPr>
        <w:widowControl w:val="0"/>
        <w:autoSpaceDE w:val="0"/>
        <w:autoSpaceDN w:val="0"/>
        <w:adjustRightInd w:val="0"/>
        <w:spacing w:after="140" w:line="288" w:lineRule="auto"/>
        <w:ind w:left="640" w:hanging="640"/>
      </w:pPr>
      <w:r>
        <w:t xml:space="preserve">3. </w:t>
      </w:r>
      <w:r>
        <w:tab/>
        <w:t xml:space="preserve">Tharakan T, Bettocchi C, Carvalho J, Corona G, Joensen UN, Jones H, et al. Male Sexual and Reproductive Health—Does the Urologist Have a Role in Addressing Gender Inequality in Life Expectancy? Eur Urol Focus. 2019 Nov;6(4):791–800. </w:t>
      </w:r>
    </w:p>
    <w:p w14:paraId="336AFA55" w14:textId="77777777" w:rsidR="002410DF" w:rsidRDefault="002410DF">
      <w:pPr>
        <w:widowControl w:val="0"/>
        <w:autoSpaceDE w:val="0"/>
        <w:autoSpaceDN w:val="0"/>
        <w:adjustRightInd w:val="0"/>
        <w:spacing w:after="140" w:line="288" w:lineRule="auto"/>
        <w:ind w:left="640" w:hanging="640"/>
      </w:pPr>
      <w:r>
        <w:t xml:space="preserve">4. </w:t>
      </w:r>
      <w:r>
        <w:tab/>
        <w:t xml:space="preserve">Tharakan T, Jayasena C, Minhas S. Men’s health clinics: a real need or a marketing strategy. Int J Impot Res. 2020;1–4. </w:t>
      </w:r>
    </w:p>
    <w:p w14:paraId="2A126220" w14:textId="77777777" w:rsidR="002410DF" w:rsidRDefault="002410DF">
      <w:pPr>
        <w:widowControl w:val="0"/>
        <w:autoSpaceDE w:val="0"/>
        <w:autoSpaceDN w:val="0"/>
        <w:adjustRightInd w:val="0"/>
        <w:spacing w:after="140" w:line="288" w:lineRule="auto"/>
        <w:ind w:left="640" w:hanging="640"/>
      </w:pPr>
      <w:r>
        <w:t xml:space="preserve">5. </w:t>
      </w:r>
      <w:r>
        <w:tab/>
        <w:t xml:space="preserve">Tharakan T, Salonia A, Minhas S. Male Life Expectancy is Still Inferior to That of Women: Urologists Must Refine and Develop the Concept of Men’s Health. Eur Urol. 2019;76(6):712–3. </w:t>
      </w:r>
    </w:p>
    <w:p w14:paraId="1E4B37E6" w14:textId="77777777" w:rsidR="002410DF" w:rsidRDefault="002410DF">
      <w:pPr>
        <w:widowControl w:val="0"/>
        <w:autoSpaceDE w:val="0"/>
        <w:autoSpaceDN w:val="0"/>
        <w:adjustRightInd w:val="0"/>
        <w:spacing w:after="140" w:line="288" w:lineRule="auto"/>
        <w:ind w:left="640" w:hanging="640"/>
      </w:pPr>
      <w:r>
        <w:t xml:space="preserve">6. </w:t>
      </w:r>
      <w:r>
        <w:tab/>
        <w:t xml:space="preserve">Perico L, Benigni A, Remuzzi G. Should COVID-19 Concern Nephrologists? Why and to What Extent? The Emerging Impasse of Angiotensin Blockade. Nephron. 2020;144(5):1–9. </w:t>
      </w:r>
    </w:p>
    <w:p w14:paraId="46AC36F7" w14:textId="77777777" w:rsidR="002410DF" w:rsidRDefault="002410DF">
      <w:pPr>
        <w:widowControl w:val="0"/>
        <w:autoSpaceDE w:val="0"/>
        <w:autoSpaceDN w:val="0"/>
        <w:adjustRightInd w:val="0"/>
        <w:spacing w:after="140" w:line="288" w:lineRule="auto"/>
        <w:ind w:left="640" w:hanging="640"/>
      </w:pPr>
      <w:r>
        <w:t xml:space="preserve">7. </w:t>
      </w:r>
      <w:r>
        <w:tab/>
        <w:t xml:space="preserve">Mason RJ. Pathogenesis of COVID-19 from a cell biologic perspective. Vol. 55, The European respiratory journal. 2020. p. 1–3. </w:t>
      </w:r>
    </w:p>
    <w:p w14:paraId="57C57559" w14:textId="77777777" w:rsidR="002410DF" w:rsidRDefault="002410DF">
      <w:pPr>
        <w:widowControl w:val="0"/>
        <w:autoSpaceDE w:val="0"/>
        <w:autoSpaceDN w:val="0"/>
        <w:adjustRightInd w:val="0"/>
        <w:spacing w:after="140" w:line="288" w:lineRule="auto"/>
        <w:ind w:left="640" w:hanging="640"/>
      </w:pPr>
      <w:r>
        <w:t xml:space="preserve">8. </w:t>
      </w:r>
      <w:r>
        <w:tab/>
        <w:t xml:space="preserve">Li G, He X, Zhang L, Ran Q, Wang J, Xiong A, et al. Assessing ACE2 expression patterns in lung tissues in the pathogenesis of COVID-19. J Autoimmun. 2020;112:1–7. </w:t>
      </w:r>
    </w:p>
    <w:p w14:paraId="4D33CC72" w14:textId="77777777" w:rsidR="002410DF" w:rsidRDefault="002410DF">
      <w:pPr>
        <w:widowControl w:val="0"/>
        <w:autoSpaceDE w:val="0"/>
        <w:autoSpaceDN w:val="0"/>
        <w:adjustRightInd w:val="0"/>
        <w:spacing w:after="140" w:line="288" w:lineRule="auto"/>
        <w:ind w:left="640" w:hanging="640"/>
      </w:pPr>
      <w:r>
        <w:t xml:space="preserve">9. </w:t>
      </w:r>
      <w:r>
        <w:tab/>
        <w:t xml:space="preserve">Oudkerk M, Büller HR, Kuijpers D, van Es N, Oudkerk SF, McLoud TC, et al. Diagnosis, Prevention, and Treatment of Thromboembolic Complications in COVID-19: Report of the National Institute for Public Health of the Netherlands. Radiology. 2020;77(8):1–15. </w:t>
      </w:r>
    </w:p>
    <w:p w14:paraId="57370795" w14:textId="77777777" w:rsidR="002410DF" w:rsidRDefault="002410DF">
      <w:pPr>
        <w:widowControl w:val="0"/>
        <w:autoSpaceDE w:val="0"/>
        <w:autoSpaceDN w:val="0"/>
        <w:adjustRightInd w:val="0"/>
        <w:spacing w:after="140" w:line="288" w:lineRule="auto"/>
        <w:ind w:left="640" w:hanging="640"/>
      </w:pPr>
      <w:r>
        <w:t xml:space="preserve">10. </w:t>
      </w:r>
      <w:r>
        <w:tab/>
        <w:t xml:space="preserve">Ciceri F, Beretta L, Scandroglio AM, Colombo S, Landoni G, Ruggeri A, et al. Microvascular COVID-19 lung vessels obstructive thromboinflammatory syndrome (MicroCLOTS): an atypical acute respiratory distress syndrome working hypothesis. Crit Care Resusc. 2020;22(2):95–7. </w:t>
      </w:r>
    </w:p>
    <w:p w14:paraId="752AB49F" w14:textId="77777777" w:rsidR="002410DF" w:rsidRDefault="002410DF">
      <w:pPr>
        <w:widowControl w:val="0"/>
        <w:autoSpaceDE w:val="0"/>
        <w:autoSpaceDN w:val="0"/>
        <w:adjustRightInd w:val="0"/>
        <w:spacing w:after="140" w:line="288" w:lineRule="auto"/>
        <w:ind w:left="640" w:hanging="640"/>
      </w:pPr>
      <w:r>
        <w:t xml:space="preserve">11. </w:t>
      </w:r>
      <w:r>
        <w:tab/>
        <w:t>Bruce Aylward (WHO); Wannian Liang (PRC). Report of the WHO-China Joint Mission on Coronavirus Disease 2019 (COVID-19) [Internet]. The WHO-China Joint Mission on Coronavirus Disease 2019. 2020. Available from: https://www.who.int/docs/default-source/coronaviruse/who-china-joint-mission-on-covid-19-final-report.pdf</w:t>
      </w:r>
    </w:p>
    <w:p w14:paraId="02601B45" w14:textId="77777777" w:rsidR="002410DF" w:rsidRDefault="002410DF">
      <w:pPr>
        <w:widowControl w:val="0"/>
        <w:autoSpaceDE w:val="0"/>
        <w:autoSpaceDN w:val="0"/>
        <w:adjustRightInd w:val="0"/>
        <w:spacing w:after="140" w:line="288" w:lineRule="auto"/>
        <w:ind w:left="640" w:hanging="640"/>
      </w:pPr>
      <w:r>
        <w:t xml:space="preserve">12. </w:t>
      </w:r>
      <w:r>
        <w:tab/>
        <w:t xml:space="preserve">COVID-19 Map - Johns Hopkins Coronavirus Resource Center [Internet]. [cited 2020 </w:t>
      </w:r>
      <w:r>
        <w:lastRenderedPageBreak/>
        <w:t>May 3]. Available from: https://coronavirus.jhu.edu/map.html</w:t>
      </w:r>
    </w:p>
    <w:p w14:paraId="3C02E1EF" w14:textId="77777777" w:rsidR="002410DF" w:rsidRDefault="002410DF">
      <w:pPr>
        <w:widowControl w:val="0"/>
        <w:autoSpaceDE w:val="0"/>
        <w:autoSpaceDN w:val="0"/>
        <w:adjustRightInd w:val="0"/>
        <w:spacing w:after="140" w:line="288" w:lineRule="auto"/>
        <w:ind w:left="640" w:hanging="640"/>
      </w:pPr>
      <w:r>
        <w:t xml:space="preserve">13. </w:t>
      </w:r>
      <w:r>
        <w:tab/>
        <w:t>COVID-19 – Global Health 50/50 [Internet]. [cited 2020 May 3]. Available from: https://globalhealth5050.org/covid19/</w:t>
      </w:r>
    </w:p>
    <w:p w14:paraId="55A26CAF" w14:textId="77777777" w:rsidR="002410DF" w:rsidRDefault="002410DF">
      <w:pPr>
        <w:widowControl w:val="0"/>
        <w:autoSpaceDE w:val="0"/>
        <w:autoSpaceDN w:val="0"/>
        <w:adjustRightInd w:val="0"/>
        <w:spacing w:after="140" w:line="288" w:lineRule="auto"/>
        <w:ind w:left="640" w:hanging="640"/>
      </w:pPr>
      <w:r>
        <w:t xml:space="preserve">14. </w:t>
      </w:r>
      <w:r>
        <w:tab/>
        <w:t>Huang C, Wang Y, Li X, Ren L, Zhao J, Hu Y, et al. Clinical features of patients infected with 2019 novel coronavirus in Wuhan, China. Lancet [Internet]. 2020;395(10223):497–506. Available from: http://www.thelancet.com/article/S0140673620301835/fulltext</w:t>
      </w:r>
    </w:p>
    <w:p w14:paraId="533064C4" w14:textId="77777777" w:rsidR="002410DF" w:rsidRDefault="002410DF">
      <w:pPr>
        <w:widowControl w:val="0"/>
        <w:autoSpaceDE w:val="0"/>
        <w:autoSpaceDN w:val="0"/>
        <w:adjustRightInd w:val="0"/>
        <w:spacing w:after="140" w:line="288" w:lineRule="auto"/>
        <w:ind w:left="640" w:hanging="640"/>
      </w:pPr>
      <w:r>
        <w:t xml:space="preserve">15. </w:t>
      </w:r>
      <w:r>
        <w:tab/>
        <w:t xml:space="preserve">Zhou F, Yu T, Du R, Fan G, Liu Y, Liu Z, et al. Clinical course and risk factors for mortality of adult inpatients with COVID-19 in Wuhan, China: a retrospective cohort study. Lancet. 2020;395(10229):1054–62. </w:t>
      </w:r>
    </w:p>
    <w:p w14:paraId="0296A253" w14:textId="77777777" w:rsidR="002410DF" w:rsidRDefault="002410DF">
      <w:pPr>
        <w:widowControl w:val="0"/>
        <w:autoSpaceDE w:val="0"/>
        <w:autoSpaceDN w:val="0"/>
        <w:adjustRightInd w:val="0"/>
        <w:spacing w:after="140" w:line="288" w:lineRule="auto"/>
        <w:ind w:left="640" w:hanging="640"/>
      </w:pPr>
      <w:r>
        <w:t xml:space="preserve">16. </w:t>
      </w:r>
      <w:r>
        <w:tab/>
        <w:t xml:space="preserve">Du RH, Liang LR, Yang CQ, Wang W, Cao TZ, Li M, et al. Predictors of mortality for patients with COVID-19 pneumonia caused by SARSCoV- 2: A prospective cohort study. Eur Respir J. 2020;55(5):1–8. </w:t>
      </w:r>
    </w:p>
    <w:p w14:paraId="67DE0BF0" w14:textId="77777777" w:rsidR="002410DF" w:rsidRDefault="002410DF">
      <w:pPr>
        <w:widowControl w:val="0"/>
        <w:autoSpaceDE w:val="0"/>
        <w:autoSpaceDN w:val="0"/>
        <w:adjustRightInd w:val="0"/>
        <w:spacing w:after="140" w:line="288" w:lineRule="auto"/>
        <w:ind w:left="640" w:hanging="640"/>
      </w:pPr>
      <w:r>
        <w:t xml:space="preserve">17. </w:t>
      </w:r>
      <w:r>
        <w:tab/>
        <w:t xml:space="preserve">Zhang J, Wang X, Jia X, Li J, Hu K, Chen G, et al. Risk factors for disease severity, unimprovement, and mortality in COVID-19 patients in Wuhan, China. Clin Microbiol Infect. 2020;26(6):767–72. </w:t>
      </w:r>
    </w:p>
    <w:p w14:paraId="4C7CE276" w14:textId="77777777" w:rsidR="002410DF" w:rsidRDefault="002410DF">
      <w:pPr>
        <w:widowControl w:val="0"/>
        <w:autoSpaceDE w:val="0"/>
        <w:autoSpaceDN w:val="0"/>
        <w:adjustRightInd w:val="0"/>
        <w:spacing w:after="140" w:line="288" w:lineRule="auto"/>
        <w:ind w:left="640" w:hanging="640"/>
      </w:pPr>
      <w:r>
        <w:t xml:space="preserve">18. </w:t>
      </w:r>
      <w:r>
        <w:tab/>
        <w:t>WHO. Clinical management of COVID-19 [Internet]. WHO website. 2020 [cited 2020 Sep 17]. Available from: https://www.who.int/publications/i/item/clinical-management-of-covid-19</w:t>
      </w:r>
    </w:p>
    <w:p w14:paraId="6E08A567" w14:textId="77777777" w:rsidR="002410DF" w:rsidRDefault="002410DF">
      <w:pPr>
        <w:widowControl w:val="0"/>
        <w:autoSpaceDE w:val="0"/>
        <w:autoSpaceDN w:val="0"/>
        <w:adjustRightInd w:val="0"/>
        <w:spacing w:after="140" w:line="288" w:lineRule="auto"/>
        <w:ind w:left="640" w:hanging="640"/>
      </w:pPr>
      <w:r>
        <w:t xml:space="preserve">19. </w:t>
      </w:r>
      <w:r>
        <w:tab/>
        <w:t xml:space="preserve">Wan S, Xiang Y, Fang W, Zheng Y, Li B, Hu Y, et al. Clinical features and treatment of COVID-19 patients in northeast Chongqing. J Med Virol. 2020;92(7):797–806. </w:t>
      </w:r>
    </w:p>
    <w:p w14:paraId="5CBE46C5" w14:textId="77777777" w:rsidR="002410DF" w:rsidRDefault="002410DF">
      <w:pPr>
        <w:widowControl w:val="0"/>
        <w:autoSpaceDE w:val="0"/>
        <w:autoSpaceDN w:val="0"/>
        <w:adjustRightInd w:val="0"/>
        <w:spacing w:after="140" w:line="288" w:lineRule="auto"/>
        <w:ind w:left="640" w:hanging="640"/>
      </w:pPr>
      <w:r>
        <w:t xml:space="preserve">20. </w:t>
      </w:r>
      <w:r>
        <w:tab/>
        <w:t xml:space="preserve">Zhao Q, Meng M, Kumar R, Wu Y, Huang J, Lian N, et al. The impact of COPD and smoking history on the severity of Covid-19: A systemic review and meta-analysis. J Med Virol. 2020;92(10):1915–21. </w:t>
      </w:r>
    </w:p>
    <w:p w14:paraId="0AADD234" w14:textId="77777777" w:rsidR="002410DF" w:rsidRDefault="002410DF">
      <w:pPr>
        <w:widowControl w:val="0"/>
        <w:autoSpaceDE w:val="0"/>
        <w:autoSpaceDN w:val="0"/>
        <w:adjustRightInd w:val="0"/>
        <w:spacing w:after="140" w:line="288" w:lineRule="auto"/>
        <w:ind w:left="640" w:hanging="640"/>
      </w:pPr>
      <w:r>
        <w:t xml:space="preserve">21. </w:t>
      </w:r>
      <w:r>
        <w:tab/>
        <w:t xml:space="preserve">Guo FR. Smoking links to the severity of Covid-19: An update of a meta-analysis. J Med Virol. 2020;92(11):2304–5. </w:t>
      </w:r>
    </w:p>
    <w:p w14:paraId="4965D82D" w14:textId="77777777" w:rsidR="002410DF" w:rsidRDefault="002410DF">
      <w:pPr>
        <w:widowControl w:val="0"/>
        <w:autoSpaceDE w:val="0"/>
        <w:autoSpaceDN w:val="0"/>
        <w:adjustRightInd w:val="0"/>
        <w:spacing w:after="140" w:line="288" w:lineRule="auto"/>
        <w:ind w:left="640" w:hanging="640"/>
      </w:pPr>
      <w:r>
        <w:t xml:space="preserve">22. </w:t>
      </w:r>
      <w:r>
        <w:tab/>
        <w:t xml:space="preserve">Giacomelli A, Ridolfo AL, Milazzo L, Oreni L, Bernacchia D, Siano M, et al. 30-day mortality in patients hospitalized with COVID-19 during the first wave of the Italian epidemic: A prospective cohort study. Pharmacol Res. 2020;158:1–7. </w:t>
      </w:r>
    </w:p>
    <w:p w14:paraId="63231488" w14:textId="77777777" w:rsidR="002410DF" w:rsidRDefault="002410DF">
      <w:pPr>
        <w:widowControl w:val="0"/>
        <w:autoSpaceDE w:val="0"/>
        <w:autoSpaceDN w:val="0"/>
        <w:adjustRightInd w:val="0"/>
        <w:spacing w:after="140" w:line="288" w:lineRule="auto"/>
        <w:ind w:left="640" w:hanging="640"/>
      </w:pPr>
      <w:r>
        <w:t xml:space="preserve">23. </w:t>
      </w:r>
      <w:r>
        <w:tab/>
        <w:t xml:space="preserve">Lippi G, Mattiuzzi C, Sanchis-Gomar F, Henry BM. Clinical and demographic characteristics of patients dying from COVID-19 in Italy versus China. J Med Virol. 2020;92(10):1759–60. </w:t>
      </w:r>
    </w:p>
    <w:p w14:paraId="53D78B9C" w14:textId="77777777" w:rsidR="002410DF" w:rsidRDefault="002410DF">
      <w:pPr>
        <w:widowControl w:val="0"/>
        <w:autoSpaceDE w:val="0"/>
        <w:autoSpaceDN w:val="0"/>
        <w:adjustRightInd w:val="0"/>
        <w:spacing w:after="140" w:line="288" w:lineRule="auto"/>
        <w:ind w:left="640" w:hanging="640"/>
      </w:pPr>
      <w:r>
        <w:t xml:space="preserve">24. </w:t>
      </w:r>
      <w:r>
        <w:tab/>
        <w:t xml:space="preserve">Goumenou M, Sarigiannis D, Tsatsakis A, Anesti O, Docea AO, Petrakis D, et al. Covid‑19 in Northern Italy: An integrative overview of factors possibly influencing the sharp increase of the outbreak (Review). Mol Med Rep. 2020;22(1):20–32. </w:t>
      </w:r>
    </w:p>
    <w:p w14:paraId="0F13B039" w14:textId="77777777" w:rsidR="002410DF" w:rsidRDefault="002410DF">
      <w:pPr>
        <w:widowControl w:val="0"/>
        <w:autoSpaceDE w:val="0"/>
        <w:autoSpaceDN w:val="0"/>
        <w:adjustRightInd w:val="0"/>
        <w:spacing w:after="140" w:line="288" w:lineRule="auto"/>
        <w:ind w:left="640" w:hanging="640"/>
      </w:pPr>
      <w:r>
        <w:t xml:space="preserve">25. </w:t>
      </w:r>
      <w:r>
        <w:tab/>
        <w:t xml:space="preserve">Onder G, Rezza G, Brusaferro S. Case-Fatality Rate and Characteristics of Patients </w:t>
      </w:r>
      <w:r>
        <w:lastRenderedPageBreak/>
        <w:t xml:space="preserve">Dying in Relation to COVID-19 in Italy. JAMA - J Am Med Assoc. 2020;323(18):1775–6. </w:t>
      </w:r>
    </w:p>
    <w:p w14:paraId="015C384D" w14:textId="77777777" w:rsidR="002410DF" w:rsidRDefault="002410DF">
      <w:pPr>
        <w:widowControl w:val="0"/>
        <w:autoSpaceDE w:val="0"/>
        <w:autoSpaceDN w:val="0"/>
        <w:adjustRightInd w:val="0"/>
        <w:spacing w:after="140" w:line="288" w:lineRule="auto"/>
        <w:ind w:left="640" w:hanging="640"/>
      </w:pPr>
      <w:r>
        <w:t xml:space="preserve">26. </w:t>
      </w:r>
      <w:r>
        <w:tab/>
        <w:t xml:space="preserve">Chen J, Lu H, Melino G, Boccia S, Piacentini M, Ricciardi W, et al. COVID-19 infection: the China and Italy perspectives. Cell Death Dis. 2020;11(438):1–17. </w:t>
      </w:r>
    </w:p>
    <w:p w14:paraId="49E8A149" w14:textId="77777777" w:rsidR="002410DF" w:rsidRDefault="002410DF">
      <w:pPr>
        <w:widowControl w:val="0"/>
        <w:autoSpaceDE w:val="0"/>
        <w:autoSpaceDN w:val="0"/>
        <w:adjustRightInd w:val="0"/>
        <w:spacing w:after="140" w:line="288" w:lineRule="auto"/>
        <w:ind w:left="640" w:hanging="640"/>
      </w:pPr>
      <w:r>
        <w:t xml:space="preserve">27. </w:t>
      </w:r>
      <w:r>
        <w:tab/>
        <w:t xml:space="preserve">Peng F, Tu L, Yang Y, Hu P, Wang R, Hu Q, et al. Management and Treatment of COVID-19: The Chinese Experience. Can J Cardiol. 2020;36(6):915–930. </w:t>
      </w:r>
    </w:p>
    <w:p w14:paraId="7C805A03" w14:textId="77777777" w:rsidR="002410DF" w:rsidRDefault="002410DF">
      <w:pPr>
        <w:widowControl w:val="0"/>
        <w:autoSpaceDE w:val="0"/>
        <w:autoSpaceDN w:val="0"/>
        <w:adjustRightInd w:val="0"/>
        <w:spacing w:after="140" w:line="288" w:lineRule="auto"/>
        <w:ind w:left="640" w:hanging="640"/>
      </w:pPr>
      <w:r>
        <w:t xml:space="preserve">28. </w:t>
      </w:r>
      <w:r>
        <w:tab/>
        <w:t xml:space="preserve">Liu W, Yue XG, Tchounwou PB. Response to the covid-19 epidemic: The chinese experience and implications for other countries. Int J Environ Res Public Health. 2020;17(7):1–6. </w:t>
      </w:r>
    </w:p>
    <w:p w14:paraId="630A315B" w14:textId="77777777" w:rsidR="002410DF" w:rsidRDefault="002410DF">
      <w:pPr>
        <w:widowControl w:val="0"/>
        <w:autoSpaceDE w:val="0"/>
        <w:autoSpaceDN w:val="0"/>
        <w:adjustRightInd w:val="0"/>
        <w:spacing w:after="140" w:line="288" w:lineRule="auto"/>
        <w:ind w:left="640" w:hanging="640"/>
      </w:pPr>
      <w:r>
        <w:t xml:space="preserve">29. </w:t>
      </w:r>
      <w:r>
        <w:tab/>
        <w:t xml:space="preserve">Mikami T, Miyashita H, Yamada T, Harrington M, Steinberg D, Dunn A, et al. Risk Factors for Mortality in Patients with COVID-19 in New York City. J Gen Intern Med. 2020;36(1):1–10. </w:t>
      </w:r>
    </w:p>
    <w:p w14:paraId="19144B19" w14:textId="77777777" w:rsidR="002410DF" w:rsidRDefault="002410DF">
      <w:pPr>
        <w:widowControl w:val="0"/>
        <w:autoSpaceDE w:val="0"/>
        <w:autoSpaceDN w:val="0"/>
        <w:adjustRightInd w:val="0"/>
        <w:spacing w:after="140" w:line="288" w:lineRule="auto"/>
        <w:ind w:left="640" w:hanging="640"/>
      </w:pPr>
      <w:r>
        <w:t xml:space="preserve">30. </w:t>
      </w:r>
      <w:r>
        <w:tab/>
        <w:t xml:space="preserve">Cummings MJ, Baldwin MR, Abrams D, Jacobson SD, Meyer BJ, Balough EM, et al. Epidemiology, clinical course, and outcomes of critically ill adults with COVID-19 in New York City: a prospective cohort study. Lancet. 2020;395(10239):1763–70. </w:t>
      </w:r>
    </w:p>
    <w:p w14:paraId="3A91CC28" w14:textId="77777777" w:rsidR="002410DF" w:rsidRDefault="002410DF">
      <w:pPr>
        <w:widowControl w:val="0"/>
        <w:autoSpaceDE w:val="0"/>
        <w:autoSpaceDN w:val="0"/>
        <w:adjustRightInd w:val="0"/>
        <w:spacing w:after="140" w:line="288" w:lineRule="auto"/>
        <w:ind w:left="640" w:hanging="640"/>
      </w:pPr>
      <w:r>
        <w:t xml:space="preserve">31. </w:t>
      </w:r>
      <w:r>
        <w:tab/>
        <w:t xml:space="preserve">Collaborative TO, Williamson E, Walker AJ, Bhaskaran KJ, Bacon S, Bates C, et al. OpenSAFELY: factors associated with COVID-19-related hospital death in the linked electronic health records of 17 million adult NHS patients. medRxiv. 2020 May 7;2020.05.06.20092999. </w:t>
      </w:r>
    </w:p>
    <w:p w14:paraId="0651FEB7" w14:textId="77777777" w:rsidR="002410DF" w:rsidRDefault="002410DF">
      <w:pPr>
        <w:widowControl w:val="0"/>
        <w:autoSpaceDE w:val="0"/>
        <w:autoSpaceDN w:val="0"/>
        <w:adjustRightInd w:val="0"/>
        <w:spacing w:after="140" w:line="288" w:lineRule="auto"/>
        <w:ind w:left="640" w:hanging="640"/>
      </w:pPr>
      <w:r>
        <w:t xml:space="preserve">32. </w:t>
      </w:r>
      <w:r>
        <w:tab/>
        <w:t xml:space="preserve">Docherty AB, Harrison EM, Green CA, Hardwick HE, Pius R, Norman L, et al. Features of 20 133 UK patients in hospital with covid-19 using the ISARIC WHO Clinical Characterisation Protocol: Prospective observational cohort study. BMJ. 2020;369:1–12. </w:t>
      </w:r>
    </w:p>
    <w:p w14:paraId="12A56057" w14:textId="77777777" w:rsidR="002410DF" w:rsidRDefault="002410DF">
      <w:pPr>
        <w:widowControl w:val="0"/>
        <w:autoSpaceDE w:val="0"/>
        <w:autoSpaceDN w:val="0"/>
        <w:adjustRightInd w:val="0"/>
        <w:spacing w:after="140" w:line="288" w:lineRule="auto"/>
        <w:ind w:left="640" w:hanging="640"/>
      </w:pPr>
      <w:r>
        <w:t xml:space="preserve">33. </w:t>
      </w:r>
      <w:r>
        <w:tab/>
        <w:t xml:space="preserve">Barron E, Bakhai C, Kar P, Weaver A, Bradley D, Ismail H, et al. Associations of type 1 and type 2 diabetes with COVID-19-related mortality in England: a whole-population study. Lancet Diabetes Endocrinol. 2020;8(10):813–22. </w:t>
      </w:r>
    </w:p>
    <w:p w14:paraId="6D6DA35F" w14:textId="77777777" w:rsidR="002410DF" w:rsidRDefault="002410DF">
      <w:pPr>
        <w:widowControl w:val="0"/>
        <w:autoSpaceDE w:val="0"/>
        <w:autoSpaceDN w:val="0"/>
        <w:adjustRightInd w:val="0"/>
        <w:spacing w:after="140" w:line="288" w:lineRule="auto"/>
        <w:ind w:left="640" w:hanging="640"/>
      </w:pPr>
      <w:r>
        <w:t xml:space="preserve">34. </w:t>
      </w:r>
      <w:r>
        <w:tab/>
        <w:t>WHO. Gender, Women And the Tobacco Epidemic [Internet]. 2010 [cited 2019 Feb 9]. Available from: https://apps.who.int/iris/bitstream/handle/10665/44342/9789241599511_eng.pdf;jsessionid=937E58FF52F52314F08381C64FD6A095?sequence=1</w:t>
      </w:r>
    </w:p>
    <w:p w14:paraId="22217571" w14:textId="77777777" w:rsidR="002410DF" w:rsidRDefault="002410DF">
      <w:pPr>
        <w:widowControl w:val="0"/>
        <w:autoSpaceDE w:val="0"/>
        <w:autoSpaceDN w:val="0"/>
        <w:adjustRightInd w:val="0"/>
        <w:spacing w:after="140" w:line="288" w:lineRule="auto"/>
        <w:ind w:left="640" w:hanging="640"/>
      </w:pPr>
      <w:r>
        <w:t xml:space="preserve">35. </w:t>
      </w:r>
      <w:r>
        <w:tab/>
        <w:t xml:space="preserve">Pampel FC. Global patterns and determinants of sex differences in smoking. Int J Comp Sociol. 2006;47(6):466–87. </w:t>
      </w:r>
    </w:p>
    <w:p w14:paraId="78A32253" w14:textId="77777777" w:rsidR="002410DF" w:rsidRDefault="002410DF">
      <w:pPr>
        <w:widowControl w:val="0"/>
        <w:autoSpaceDE w:val="0"/>
        <w:autoSpaceDN w:val="0"/>
        <w:adjustRightInd w:val="0"/>
        <w:spacing w:after="140" w:line="288" w:lineRule="auto"/>
        <w:ind w:left="640" w:hanging="640"/>
      </w:pPr>
      <w:r>
        <w:t xml:space="preserve">36. </w:t>
      </w:r>
      <w:r>
        <w:tab/>
        <w:t xml:space="preserve">Buist AS, Vollmer WM, McBurnie MA. Worldwide burden of COPD in high- and low-income countries. Part I. The Burden of Obstructive Lung Disease (BOLD) Initiative. Int J Tuberc Lung Dis. 2008;12(7):703–8. </w:t>
      </w:r>
    </w:p>
    <w:p w14:paraId="2568C5C9" w14:textId="77777777" w:rsidR="002410DF" w:rsidRDefault="002410DF">
      <w:pPr>
        <w:widowControl w:val="0"/>
        <w:autoSpaceDE w:val="0"/>
        <w:autoSpaceDN w:val="0"/>
        <w:adjustRightInd w:val="0"/>
        <w:spacing w:after="140" w:line="288" w:lineRule="auto"/>
        <w:ind w:left="640" w:hanging="640"/>
      </w:pPr>
      <w:r>
        <w:t xml:space="preserve">37. </w:t>
      </w:r>
      <w:r>
        <w:tab/>
        <w:t xml:space="preserve">Blanco-Cedres L, Daviglus ML, Garside DB, Liu K, Pirzada A, Stamler J, et al. Relation of cigarette smoking to 25-year mortality in middle-aged men with low </w:t>
      </w:r>
      <w:r>
        <w:lastRenderedPageBreak/>
        <w:t xml:space="preserve">baseline serum cholesterol: The Chicago Heart Association detection project in industry. Am J Epidemiol. 2002;155(4):354–360. </w:t>
      </w:r>
    </w:p>
    <w:p w14:paraId="3F787EC5" w14:textId="77777777" w:rsidR="002410DF" w:rsidRDefault="002410DF">
      <w:pPr>
        <w:widowControl w:val="0"/>
        <w:autoSpaceDE w:val="0"/>
        <w:autoSpaceDN w:val="0"/>
        <w:adjustRightInd w:val="0"/>
        <w:spacing w:after="140" w:line="288" w:lineRule="auto"/>
        <w:ind w:left="640" w:hanging="640"/>
      </w:pPr>
      <w:r>
        <w:t xml:space="preserve">38. </w:t>
      </w:r>
      <w:r>
        <w:tab/>
        <w:t xml:space="preserve">Friedman GD, Dales LG, Ury HK. Mortality in Middle-Aged Smokers and Nonsmokers. N Engl J Med. 1979;300(5):213–7. </w:t>
      </w:r>
    </w:p>
    <w:p w14:paraId="0CA421BD" w14:textId="77777777" w:rsidR="002410DF" w:rsidRDefault="002410DF">
      <w:pPr>
        <w:widowControl w:val="0"/>
        <w:autoSpaceDE w:val="0"/>
        <w:autoSpaceDN w:val="0"/>
        <w:adjustRightInd w:val="0"/>
        <w:spacing w:after="140" w:line="288" w:lineRule="auto"/>
        <w:ind w:left="640" w:hanging="640"/>
      </w:pPr>
      <w:r>
        <w:t xml:space="preserve">39. </w:t>
      </w:r>
      <w:r>
        <w:tab/>
        <w:t xml:space="preserve">Jacob L, Freyn M, Kalder M, Dinas K, Kostev K. Impact of tobacco smoking on the risk of developing 25 different cancers in the UK: A retrospective study of 422,010 patients followed for up to 30 years. Oncotarget. 2018;9(25):17420–9. </w:t>
      </w:r>
    </w:p>
    <w:p w14:paraId="0FAEFECB" w14:textId="77777777" w:rsidR="002410DF" w:rsidRDefault="002410DF">
      <w:pPr>
        <w:widowControl w:val="0"/>
        <w:autoSpaceDE w:val="0"/>
        <w:autoSpaceDN w:val="0"/>
        <w:adjustRightInd w:val="0"/>
        <w:spacing w:after="140" w:line="288" w:lineRule="auto"/>
        <w:ind w:left="640" w:hanging="640"/>
      </w:pPr>
      <w:r>
        <w:t xml:space="preserve">40. </w:t>
      </w:r>
      <w:r>
        <w:tab/>
        <w:t xml:space="preserve">Ntritsos G, Franek J, Belbasis L, Christou MA, Markozannes G, Altman P, et al. Gender-specific estimates of COPD prevalence: A systematic review and meta-analysis. Int J COPD. 2018;13:1507–1514. </w:t>
      </w:r>
    </w:p>
    <w:p w14:paraId="47716EE3" w14:textId="77777777" w:rsidR="002410DF" w:rsidRDefault="002410DF">
      <w:pPr>
        <w:widowControl w:val="0"/>
        <w:autoSpaceDE w:val="0"/>
        <w:autoSpaceDN w:val="0"/>
        <w:adjustRightInd w:val="0"/>
        <w:spacing w:after="140" w:line="288" w:lineRule="auto"/>
        <w:ind w:left="640" w:hanging="640"/>
      </w:pPr>
      <w:r>
        <w:t xml:space="preserve">41. </w:t>
      </w:r>
      <w:r>
        <w:tab/>
        <w:t>NHS Digital. National Diabetes Audit [Internet]. Available from: https://digital.nhs.uk/data-and-information/publications/statistical/national-diabetes-audit</w:t>
      </w:r>
    </w:p>
    <w:p w14:paraId="65B7DCB2" w14:textId="77777777" w:rsidR="002410DF" w:rsidRDefault="002410DF">
      <w:pPr>
        <w:widowControl w:val="0"/>
        <w:autoSpaceDE w:val="0"/>
        <w:autoSpaceDN w:val="0"/>
        <w:adjustRightInd w:val="0"/>
        <w:spacing w:after="140" w:line="288" w:lineRule="auto"/>
        <w:ind w:left="640" w:hanging="640"/>
      </w:pPr>
      <w:r>
        <w:t xml:space="preserve">42. </w:t>
      </w:r>
      <w:r>
        <w:tab/>
        <w:t xml:space="preserve">Beeson PB. Age and sex associations of 40 autoimmune diseases. Am J Med. 1994;96(5):457–62. </w:t>
      </w:r>
    </w:p>
    <w:p w14:paraId="599A7786" w14:textId="77777777" w:rsidR="002410DF" w:rsidRDefault="002410DF">
      <w:pPr>
        <w:widowControl w:val="0"/>
        <w:autoSpaceDE w:val="0"/>
        <w:autoSpaceDN w:val="0"/>
        <w:adjustRightInd w:val="0"/>
        <w:spacing w:after="140" w:line="288" w:lineRule="auto"/>
        <w:ind w:left="640" w:hanging="640"/>
      </w:pPr>
      <w:r>
        <w:t xml:space="preserve">43. </w:t>
      </w:r>
      <w:r>
        <w:tab/>
        <w:t xml:space="preserve">Gale EAM, Gillespie KM. Diabetes and gender. Diabetologia. 2001;44(1):3–15. </w:t>
      </w:r>
    </w:p>
    <w:p w14:paraId="15E827E0" w14:textId="77777777" w:rsidR="002410DF" w:rsidRDefault="002410DF">
      <w:pPr>
        <w:widowControl w:val="0"/>
        <w:autoSpaceDE w:val="0"/>
        <w:autoSpaceDN w:val="0"/>
        <w:adjustRightInd w:val="0"/>
        <w:spacing w:after="140" w:line="288" w:lineRule="auto"/>
        <w:ind w:left="640" w:hanging="640"/>
      </w:pPr>
      <w:r>
        <w:t xml:space="preserve">44. </w:t>
      </w:r>
      <w:r>
        <w:tab/>
        <w:t xml:space="preserve">Blohmé G, Nyström L, Arnqvist HJ, Lithner F, Littorin B, Olsson PO, et al. Male predominance of Type 1 (insulin-dependent) diabetes mellitus in young adults: results from a 5-year prospective nationwide study of the 15-34-year age group in Sweden. Diabetologia. 1992;35(1):56–62. </w:t>
      </w:r>
    </w:p>
    <w:p w14:paraId="064E67D6" w14:textId="77777777" w:rsidR="002410DF" w:rsidRDefault="002410DF">
      <w:pPr>
        <w:widowControl w:val="0"/>
        <w:autoSpaceDE w:val="0"/>
        <w:autoSpaceDN w:val="0"/>
        <w:adjustRightInd w:val="0"/>
        <w:spacing w:after="140" w:line="288" w:lineRule="auto"/>
        <w:ind w:left="640" w:hanging="640"/>
      </w:pPr>
      <w:r>
        <w:t xml:space="preserve">45. </w:t>
      </w:r>
      <w:r>
        <w:tab/>
        <w:t xml:space="preserve">Yang W, Lu J, Weng J, Jia W, Ji L, Xiao J, et al. Prevalence of diabetes among men and women in China. N Engl J Med. 2010;362(12):1090–101. </w:t>
      </w:r>
    </w:p>
    <w:p w14:paraId="08F23DB5" w14:textId="77777777" w:rsidR="002410DF" w:rsidRDefault="002410DF">
      <w:pPr>
        <w:widowControl w:val="0"/>
        <w:autoSpaceDE w:val="0"/>
        <w:autoSpaceDN w:val="0"/>
        <w:adjustRightInd w:val="0"/>
        <w:spacing w:after="140" w:line="288" w:lineRule="auto"/>
        <w:ind w:left="640" w:hanging="640"/>
      </w:pPr>
      <w:r>
        <w:t xml:space="preserve">46. </w:t>
      </w:r>
      <w:r>
        <w:tab/>
        <w:t xml:space="preserve">Lipscombe LL, Hux JE. Trends in diabetes prevalence, incidence, and mortality in Ontario, Canada 1995-2005: a population-based study. Lancet. 2007;369(9563):750–6. </w:t>
      </w:r>
    </w:p>
    <w:p w14:paraId="50360EBC" w14:textId="77777777" w:rsidR="002410DF" w:rsidRDefault="002410DF">
      <w:pPr>
        <w:widowControl w:val="0"/>
        <w:autoSpaceDE w:val="0"/>
        <w:autoSpaceDN w:val="0"/>
        <w:adjustRightInd w:val="0"/>
        <w:spacing w:after="140" w:line="288" w:lineRule="auto"/>
        <w:ind w:left="640" w:hanging="640"/>
      </w:pPr>
      <w:r>
        <w:t xml:space="preserve">47. </w:t>
      </w:r>
      <w:r>
        <w:tab/>
        <w:t xml:space="preserve">NCD Risk Factor Collaboration. Worldwide trends in diabetes since 1980: a pooled analysis of 751 population-based studies with 4.4 million participants. Lancet (London, England). 2016;387(10027):1513–30. </w:t>
      </w:r>
    </w:p>
    <w:p w14:paraId="44E03529" w14:textId="77777777" w:rsidR="002410DF" w:rsidRDefault="002410DF">
      <w:pPr>
        <w:widowControl w:val="0"/>
        <w:autoSpaceDE w:val="0"/>
        <w:autoSpaceDN w:val="0"/>
        <w:adjustRightInd w:val="0"/>
        <w:spacing w:after="140" w:line="288" w:lineRule="auto"/>
        <w:ind w:left="640" w:hanging="640"/>
      </w:pPr>
      <w:r>
        <w:t xml:space="preserve">48. </w:t>
      </w:r>
      <w:r>
        <w:tab/>
        <w:t xml:space="preserve">Logue J, Walker JJ, Colhoun HM, Leese GP, Lindsay RS, McKnight JA, et al. Do men develop type 2 diabetes at lower body mass indices than women? Diabetologia. 2011;54(12):3003–6. </w:t>
      </w:r>
    </w:p>
    <w:p w14:paraId="68645131" w14:textId="77777777" w:rsidR="002410DF" w:rsidRDefault="002410DF">
      <w:pPr>
        <w:widowControl w:val="0"/>
        <w:autoSpaceDE w:val="0"/>
        <w:autoSpaceDN w:val="0"/>
        <w:adjustRightInd w:val="0"/>
        <w:spacing w:after="140" w:line="288" w:lineRule="auto"/>
        <w:ind w:left="640" w:hanging="640"/>
      </w:pPr>
      <w:r>
        <w:t xml:space="preserve">49. </w:t>
      </w:r>
      <w:r>
        <w:tab/>
        <w:t xml:space="preserve">Demerath EW, Sun SS, Rogers N, Lee M, Reed D, Choh AC, et al. Anatomical patterning of visceral adipose tissue: Race, sex, and age variation. Obesity. 2007;15(12):2984–93. </w:t>
      </w:r>
    </w:p>
    <w:p w14:paraId="6B8BA2D5" w14:textId="77777777" w:rsidR="002410DF" w:rsidRDefault="002410DF">
      <w:pPr>
        <w:widowControl w:val="0"/>
        <w:autoSpaceDE w:val="0"/>
        <w:autoSpaceDN w:val="0"/>
        <w:adjustRightInd w:val="0"/>
        <w:spacing w:after="140" w:line="288" w:lineRule="auto"/>
        <w:ind w:left="640" w:hanging="640"/>
      </w:pPr>
      <w:r>
        <w:t xml:space="preserve">50. </w:t>
      </w:r>
      <w:r>
        <w:tab/>
        <w:t xml:space="preserve">Ross R, Shaw KD, Rissanen J, Martel Y, De Guise J, Avruch L. Sex differences in lean and adipose tissue distribution by magnetic resonance imaging: Anthropometric relationships. Am J Clin Nutr. 1994;59(6):1277–85. </w:t>
      </w:r>
    </w:p>
    <w:p w14:paraId="66F2C401" w14:textId="77777777" w:rsidR="002410DF" w:rsidRDefault="002410DF">
      <w:pPr>
        <w:widowControl w:val="0"/>
        <w:autoSpaceDE w:val="0"/>
        <w:autoSpaceDN w:val="0"/>
        <w:adjustRightInd w:val="0"/>
        <w:spacing w:after="140" w:line="288" w:lineRule="auto"/>
        <w:ind w:left="640" w:hanging="640"/>
      </w:pPr>
      <w:r>
        <w:lastRenderedPageBreak/>
        <w:t xml:space="preserve">51. </w:t>
      </w:r>
      <w:r>
        <w:tab/>
        <w:t xml:space="preserve">Lovejoy JC, Champagne CM, De Jonge L, Xie H, Smith SR. Increased visceral fat and decreased energy expenditure during the menopausal transition. Int J Obes. 2008;32(6):949–58. </w:t>
      </w:r>
    </w:p>
    <w:p w14:paraId="0A5659AC" w14:textId="77777777" w:rsidR="002410DF" w:rsidRDefault="002410DF">
      <w:pPr>
        <w:widowControl w:val="0"/>
        <w:autoSpaceDE w:val="0"/>
        <w:autoSpaceDN w:val="0"/>
        <w:adjustRightInd w:val="0"/>
        <w:spacing w:after="140" w:line="288" w:lineRule="auto"/>
        <w:ind w:left="640" w:hanging="640"/>
      </w:pPr>
      <w:r>
        <w:t xml:space="preserve">52. </w:t>
      </w:r>
      <w:r>
        <w:tab/>
        <w:t xml:space="preserve">Rytka JM, Wueest S, Schoenle EJ, Konrad D. The portal theory supported by venous drainage-selective fat transplantation. Diabetes. 2011;60(1):56–63. </w:t>
      </w:r>
    </w:p>
    <w:p w14:paraId="2DBABFE7" w14:textId="77777777" w:rsidR="002410DF" w:rsidRDefault="002410DF">
      <w:pPr>
        <w:widowControl w:val="0"/>
        <w:autoSpaceDE w:val="0"/>
        <w:autoSpaceDN w:val="0"/>
        <w:adjustRightInd w:val="0"/>
        <w:spacing w:after="140" w:line="288" w:lineRule="auto"/>
        <w:ind w:left="640" w:hanging="640"/>
      </w:pPr>
      <w:r>
        <w:t xml:space="preserve">53. </w:t>
      </w:r>
      <w:r>
        <w:tab/>
        <w:t xml:space="preserve">NCD Risk Factor Collaboration (NCD-RisC). Trends in adult body-mass index in 200 countries from 1975 to 2014: a pooled analysis of 1698 population-based measurement studies with 19·2 million participants. Lancet (London, England). 2016;387(10026):1377–96. </w:t>
      </w:r>
    </w:p>
    <w:p w14:paraId="7060BF08" w14:textId="77777777" w:rsidR="002410DF" w:rsidRDefault="002410DF">
      <w:pPr>
        <w:widowControl w:val="0"/>
        <w:autoSpaceDE w:val="0"/>
        <w:autoSpaceDN w:val="0"/>
        <w:adjustRightInd w:val="0"/>
        <w:spacing w:after="140" w:line="288" w:lineRule="auto"/>
        <w:ind w:left="640" w:hanging="640"/>
      </w:pPr>
      <w:r>
        <w:t xml:space="preserve">54. </w:t>
      </w:r>
      <w:r>
        <w:tab/>
        <w:t xml:space="preserve">Simonnet A, Chetboun M, Poissy J, Raverdy V, Noulette J, Duhamel A, et al. High prevalence of obesity in severe acute respiratory syndrome coronavirus-2 (SARS-CoV-2) requiring invasive mechanical ventilation. Obesity. 2020 Apr 9;28(7):1195–9. </w:t>
      </w:r>
    </w:p>
    <w:p w14:paraId="4A8D8600" w14:textId="77777777" w:rsidR="002410DF" w:rsidRDefault="002410DF">
      <w:pPr>
        <w:widowControl w:val="0"/>
        <w:autoSpaceDE w:val="0"/>
        <w:autoSpaceDN w:val="0"/>
        <w:adjustRightInd w:val="0"/>
        <w:spacing w:after="140" w:line="288" w:lineRule="auto"/>
        <w:ind w:left="640" w:hanging="640"/>
      </w:pPr>
      <w:r>
        <w:t xml:space="preserve">55. </w:t>
      </w:r>
      <w:r>
        <w:tab/>
        <w:t>WHO. WHO | By category | Mean systolic blood pressure trends, age-standardized (mmHg) - Global estimates [Internet]. [cited 2020 Jul 19]. Available from: https://apps.who.int/gho/data/view.main.12467GLOBAL?lang=en</w:t>
      </w:r>
    </w:p>
    <w:p w14:paraId="325A7DA6" w14:textId="77777777" w:rsidR="002410DF" w:rsidRDefault="002410DF">
      <w:pPr>
        <w:widowControl w:val="0"/>
        <w:autoSpaceDE w:val="0"/>
        <w:autoSpaceDN w:val="0"/>
        <w:adjustRightInd w:val="0"/>
        <w:spacing w:after="140" w:line="288" w:lineRule="auto"/>
        <w:ind w:left="640" w:hanging="640"/>
      </w:pPr>
      <w:r>
        <w:t xml:space="preserve">56. </w:t>
      </w:r>
      <w:r>
        <w:tab/>
        <w:t>CDG. National Health and Nutrition Examination Survey 2020 [Internet]. 2020. p. 1–2. Available from: https://www.cdc.gov/nchs/data/factsheets/factsheet_nhanes.pdf</w:t>
      </w:r>
    </w:p>
    <w:p w14:paraId="5493265D" w14:textId="77777777" w:rsidR="002410DF" w:rsidRDefault="002410DF">
      <w:pPr>
        <w:widowControl w:val="0"/>
        <w:autoSpaceDE w:val="0"/>
        <w:autoSpaceDN w:val="0"/>
        <w:adjustRightInd w:val="0"/>
        <w:spacing w:after="140" w:line="288" w:lineRule="auto"/>
        <w:ind w:left="640" w:hanging="640"/>
      </w:pPr>
      <w:r>
        <w:t xml:space="preserve">57. </w:t>
      </w:r>
      <w:r>
        <w:tab/>
        <w:t xml:space="preserve">Waddell TK, Dart AM, Gatzka CD, Cameron JD, Kingwell BA. Women exhibit a greater age-related increase in proximal aortic stiffness than men. J Hypertens. 2001;19(12):2205–12. </w:t>
      </w:r>
    </w:p>
    <w:p w14:paraId="2C33AE8E" w14:textId="77777777" w:rsidR="002410DF" w:rsidRDefault="002410DF">
      <w:pPr>
        <w:widowControl w:val="0"/>
        <w:autoSpaceDE w:val="0"/>
        <w:autoSpaceDN w:val="0"/>
        <w:adjustRightInd w:val="0"/>
        <w:spacing w:after="140" w:line="288" w:lineRule="auto"/>
        <w:ind w:left="640" w:hanging="640"/>
      </w:pPr>
      <w:r>
        <w:t xml:space="preserve">58. </w:t>
      </w:r>
      <w:r>
        <w:tab/>
        <w:t xml:space="preserve">Bates B, Cox L, N M, Mazumder A, Nicholson S, Page P, et al. National Diet and Nutrition Survey - Assessment of dietary sodium in adults (aged 19 to 64 years) in England, 2014. Department of Health. 2016. </w:t>
      </w:r>
    </w:p>
    <w:p w14:paraId="55BC3F39" w14:textId="77777777" w:rsidR="002410DF" w:rsidRDefault="002410DF">
      <w:pPr>
        <w:widowControl w:val="0"/>
        <w:autoSpaceDE w:val="0"/>
        <w:autoSpaceDN w:val="0"/>
        <w:adjustRightInd w:val="0"/>
        <w:spacing w:after="140" w:line="288" w:lineRule="auto"/>
        <w:ind w:left="640" w:hanging="640"/>
      </w:pPr>
      <w:r>
        <w:t xml:space="preserve">59. </w:t>
      </w:r>
      <w:r>
        <w:tab/>
        <w:t xml:space="preserve">Benjamin EJ, Muntner P, Alonso A, Bittencourt MS, Callaway CW, Carson AP, et al. Heart Disease and Stroke Statistics-2019 Update: A Report From the American Heart Association. Circulation. 2019;139:056–528. </w:t>
      </w:r>
    </w:p>
    <w:p w14:paraId="31D24C0B" w14:textId="77777777" w:rsidR="002410DF" w:rsidRDefault="002410DF">
      <w:pPr>
        <w:widowControl w:val="0"/>
        <w:autoSpaceDE w:val="0"/>
        <w:autoSpaceDN w:val="0"/>
        <w:adjustRightInd w:val="0"/>
        <w:spacing w:after="140" w:line="288" w:lineRule="auto"/>
        <w:ind w:left="640" w:hanging="640"/>
      </w:pPr>
      <w:r>
        <w:t xml:space="preserve">60. </w:t>
      </w:r>
      <w:r>
        <w:tab/>
        <w:t xml:space="preserve">Bots SH, Peters SAE, Woodward M. Sex differences in coronary heart disease and stroke mortality: A global assessment of the effect of ageing between 1980 and 2010. BMJ Glob Heal. 2017;2(2):1–8. </w:t>
      </w:r>
    </w:p>
    <w:p w14:paraId="6BBC0FC5" w14:textId="77777777" w:rsidR="002410DF" w:rsidRDefault="002410DF">
      <w:pPr>
        <w:widowControl w:val="0"/>
        <w:autoSpaceDE w:val="0"/>
        <w:autoSpaceDN w:val="0"/>
        <w:adjustRightInd w:val="0"/>
        <w:spacing w:after="140" w:line="288" w:lineRule="auto"/>
        <w:ind w:left="640" w:hanging="640"/>
      </w:pPr>
      <w:r>
        <w:t xml:space="preserve">61. </w:t>
      </w:r>
      <w:r>
        <w:tab/>
        <w:t xml:space="preserve">Millett ERC, Peters SAE, Woodward M. Sex differences in risk factors for myocardial infarction: Cohort study of UK Biobank participants. BMJ. 2018;363:1–11. </w:t>
      </w:r>
    </w:p>
    <w:p w14:paraId="28B5E73D" w14:textId="77777777" w:rsidR="002410DF" w:rsidRDefault="002410DF">
      <w:pPr>
        <w:widowControl w:val="0"/>
        <w:autoSpaceDE w:val="0"/>
        <w:autoSpaceDN w:val="0"/>
        <w:adjustRightInd w:val="0"/>
        <w:spacing w:after="140" w:line="288" w:lineRule="auto"/>
        <w:ind w:left="640" w:hanging="640"/>
      </w:pPr>
      <w:r>
        <w:t xml:space="preserve">62. </w:t>
      </w:r>
      <w:r>
        <w:tab/>
        <w:t xml:space="preserve">Leening MJG, Ferket BS, Steyerberg EW, Kavousi M, Deckers JW, Nieboer D, et al. Sex differences in lifetime risk and first manifestation of cardiovascular disease: Prospective population based cohort study. BMJ. 2014;349:1–13. </w:t>
      </w:r>
    </w:p>
    <w:p w14:paraId="6574CD93" w14:textId="77777777" w:rsidR="002410DF" w:rsidRDefault="002410DF">
      <w:pPr>
        <w:widowControl w:val="0"/>
        <w:autoSpaceDE w:val="0"/>
        <w:autoSpaceDN w:val="0"/>
        <w:adjustRightInd w:val="0"/>
        <w:spacing w:after="140" w:line="288" w:lineRule="auto"/>
        <w:ind w:left="640" w:hanging="640"/>
      </w:pPr>
      <w:r>
        <w:t xml:space="preserve">63. </w:t>
      </w:r>
      <w:r>
        <w:tab/>
        <w:t xml:space="preserve">Anand SS, Islam S, Rosengren A, Franzosi MG, Steyn K, Yusufali AH, et al. Risk factors for myocardial infarction in women and men: Insights from the INTERHEART study. Eur Heart J. 2008;29(7):932–40. </w:t>
      </w:r>
    </w:p>
    <w:p w14:paraId="4CFF6601" w14:textId="77777777" w:rsidR="002410DF" w:rsidRDefault="002410DF">
      <w:pPr>
        <w:widowControl w:val="0"/>
        <w:autoSpaceDE w:val="0"/>
        <w:autoSpaceDN w:val="0"/>
        <w:adjustRightInd w:val="0"/>
        <w:spacing w:after="140" w:line="288" w:lineRule="auto"/>
        <w:ind w:left="640" w:hanging="640"/>
      </w:pPr>
      <w:r>
        <w:lastRenderedPageBreak/>
        <w:t xml:space="preserve">64. </w:t>
      </w:r>
      <w:r>
        <w:tab/>
        <w:t xml:space="preserve">Rivera CM, Grossardt BR, Rhodes DJ, Brown RD, Roger VL, Melton LJ, et al. Increased cardiovascular mortality after early bilateral oophorectomy. Menopause. 2009;16(1):15–23. </w:t>
      </w:r>
    </w:p>
    <w:p w14:paraId="7CF919E3" w14:textId="77777777" w:rsidR="002410DF" w:rsidRDefault="002410DF">
      <w:pPr>
        <w:widowControl w:val="0"/>
        <w:autoSpaceDE w:val="0"/>
        <w:autoSpaceDN w:val="0"/>
        <w:adjustRightInd w:val="0"/>
        <w:spacing w:after="140" w:line="288" w:lineRule="auto"/>
        <w:ind w:left="640" w:hanging="640"/>
      </w:pPr>
      <w:r>
        <w:t xml:space="preserve">65. </w:t>
      </w:r>
      <w:r>
        <w:tab/>
        <w:t xml:space="preserve">Rosenberg L, Hennekens CH, Rosner B, Belanger C, Rothman KJ, Speizer FE. Early menopause and the risk of myocardial infarction. Am J Obstet Gynecol. 1981;139(1):47–51. </w:t>
      </w:r>
    </w:p>
    <w:p w14:paraId="7B631E62" w14:textId="77777777" w:rsidR="002410DF" w:rsidRDefault="002410DF">
      <w:pPr>
        <w:widowControl w:val="0"/>
        <w:autoSpaceDE w:val="0"/>
        <w:autoSpaceDN w:val="0"/>
        <w:adjustRightInd w:val="0"/>
        <w:spacing w:after="140" w:line="288" w:lineRule="auto"/>
        <w:ind w:left="640" w:hanging="640"/>
      </w:pPr>
      <w:r>
        <w:t xml:space="preserve">66. </w:t>
      </w:r>
      <w:r>
        <w:tab/>
        <w:t xml:space="preserve">Zhu D, Chung HF, Dobson AJ, Pandeya N, Giles GG, Bruinsma F, et al. Age at natural menopause and risk of incident cardiovascular disease: a pooled analysis of individual patient data. Lancet Public Heal. 2019;4(11):553–64. </w:t>
      </w:r>
    </w:p>
    <w:p w14:paraId="24919ECC" w14:textId="77777777" w:rsidR="002410DF" w:rsidRDefault="002410DF">
      <w:pPr>
        <w:widowControl w:val="0"/>
        <w:autoSpaceDE w:val="0"/>
        <w:autoSpaceDN w:val="0"/>
        <w:adjustRightInd w:val="0"/>
        <w:spacing w:after="140" w:line="288" w:lineRule="auto"/>
        <w:ind w:left="640" w:hanging="640"/>
      </w:pPr>
      <w:r>
        <w:t xml:space="preserve">67. </w:t>
      </w:r>
      <w:r>
        <w:tab/>
        <w:t xml:space="preserve">Mendelsohn ME, Karas RH. The Protective Effects of Estrogen on the Cardiovascular System. N Engl J Med. 1999;340(23):1801–11. </w:t>
      </w:r>
    </w:p>
    <w:p w14:paraId="0185C211" w14:textId="77777777" w:rsidR="002410DF" w:rsidRDefault="002410DF">
      <w:pPr>
        <w:widowControl w:val="0"/>
        <w:autoSpaceDE w:val="0"/>
        <w:autoSpaceDN w:val="0"/>
        <w:adjustRightInd w:val="0"/>
        <w:spacing w:after="140" w:line="288" w:lineRule="auto"/>
        <w:ind w:left="640" w:hanging="640"/>
      </w:pPr>
      <w:r>
        <w:t xml:space="preserve">68. </w:t>
      </w:r>
      <w:r>
        <w:tab/>
        <w:t>English Life Tables - Office for National Statistics [Internet]. [cited 2020 Jan 28]. Available from: https://www.ons.gov.uk/peoplepopulationandcommunity/birthsdeathsandmarriages/lifeexpectancies/bulletins/englishlifetablesno17/2015-09-01</w:t>
      </w:r>
    </w:p>
    <w:p w14:paraId="0372C45F" w14:textId="77777777" w:rsidR="002410DF" w:rsidRDefault="002410DF">
      <w:pPr>
        <w:widowControl w:val="0"/>
        <w:autoSpaceDE w:val="0"/>
        <w:autoSpaceDN w:val="0"/>
        <w:adjustRightInd w:val="0"/>
        <w:spacing w:after="140" w:line="288" w:lineRule="auto"/>
        <w:ind w:left="640" w:hanging="640"/>
      </w:pPr>
      <w:r>
        <w:t xml:space="preserve">69. </w:t>
      </w:r>
      <w:r>
        <w:tab/>
        <w:t>Men’s Health Forum. MEN’S HEALTH MANIFESTO [Internet]. Available from: https://www.menshealthforum.org.uk/mens-health-manifesto</w:t>
      </w:r>
    </w:p>
    <w:p w14:paraId="64E41AD8" w14:textId="77777777" w:rsidR="002410DF" w:rsidRDefault="002410DF">
      <w:pPr>
        <w:widowControl w:val="0"/>
        <w:autoSpaceDE w:val="0"/>
        <w:autoSpaceDN w:val="0"/>
        <w:adjustRightInd w:val="0"/>
        <w:spacing w:after="140" w:line="288" w:lineRule="auto"/>
        <w:ind w:left="640" w:hanging="640"/>
      </w:pPr>
      <w:r>
        <w:t xml:space="preserve">70. </w:t>
      </w:r>
      <w:r>
        <w:tab/>
        <w:t>Payne S. How can gender equity be addressed through health systems? [Internet]. 2009. Available from: https://www.euro.who.int/__data/assets/pdf_file/0006/64941/E92846.pdf</w:t>
      </w:r>
    </w:p>
    <w:p w14:paraId="1DE6CDDC" w14:textId="77777777" w:rsidR="002410DF" w:rsidRDefault="002410DF">
      <w:pPr>
        <w:widowControl w:val="0"/>
        <w:autoSpaceDE w:val="0"/>
        <w:autoSpaceDN w:val="0"/>
        <w:adjustRightInd w:val="0"/>
        <w:spacing w:after="140" w:line="288" w:lineRule="auto"/>
        <w:ind w:left="640" w:hanging="640"/>
      </w:pPr>
      <w:r>
        <w:t xml:space="preserve">71. </w:t>
      </w:r>
      <w:r>
        <w:tab/>
        <w:t xml:space="preserve">Baker P. 25 years post-Calman: the state of men’s health in the UK. Trends Urol Men’s Heal. 2017;8(4):13–6. </w:t>
      </w:r>
    </w:p>
    <w:p w14:paraId="3A742F0A" w14:textId="77777777" w:rsidR="002410DF" w:rsidRDefault="002410DF">
      <w:pPr>
        <w:widowControl w:val="0"/>
        <w:autoSpaceDE w:val="0"/>
        <w:autoSpaceDN w:val="0"/>
        <w:adjustRightInd w:val="0"/>
        <w:spacing w:after="140" w:line="288" w:lineRule="auto"/>
        <w:ind w:left="640" w:hanging="640"/>
      </w:pPr>
      <w:r>
        <w:t xml:space="preserve">72. </w:t>
      </w:r>
      <w:r>
        <w:tab/>
        <w:t>GBD 2017 Population and Fertility Collaborators. Global, regional, and national age-sex-specific mortality and life expectancy, 1950-2017: a systematic analysis for the Global Burden of Disease Study 2017. Lancet (London, England) [Internet]. 2018;392(10159):1684–735. Available from: http://www.ncbi.nlm.nih.gov/pubmed/30496102</w:t>
      </w:r>
    </w:p>
    <w:p w14:paraId="163D5C5D" w14:textId="77777777" w:rsidR="002410DF" w:rsidRDefault="002410DF">
      <w:pPr>
        <w:widowControl w:val="0"/>
        <w:autoSpaceDE w:val="0"/>
        <w:autoSpaceDN w:val="0"/>
        <w:adjustRightInd w:val="0"/>
        <w:spacing w:after="140" w:line="288" w:lineRule="auto"/>
        <w:ind w:left="640" w:hanging="640"/>
      </w:pPr>
      <w:r>
        <w:t xml:space="preserve">73. </w:t>
      </w:r>
      <w:r>
        <w:tab/>
        <w:t>The WHO Regional Office For Europe. The health and well-being of men in the WHO European Region: better health through a gender approach [Internet]. 2018 [cited 2019 Apr 13]. Available from: www.euro.who.int</w:t>
      </w:r>
    </w:p>
    <w:p w14:paraId="4B0D2B6F" w14:textId="77777777" w:rsidR="002410DF" w:rsidRDefault="002410DF">
      <w:pPr>
        <w:widowControl w:val="0"/>
        <w:autoSpaceDE w:val="0"/>
        <w:autoSpaceDN w:val="0"/>
        <w:adjustRightInd w:val="0"/>
        <w:spacing w:after="140" w:line="288" w:lineRule="auto"/>
        <w:ind w:left="640" w:hanging="640"/>
      </w:pPr>
      <w:r>
        <w:t xml:space="preserve">74. </w:t>
      </w:r>
      <w:r>
        <w:tab/>
        <w:t xml:space="preserve">Juel K, Christensen K. Are men seeking medical advice too late? Contacts to general practitioners and hospital admissions in Denmark 2005. J Public Health (Bangkok). 2008;30(1):111–3. </w:t>
      </w:r>
    </w:p>
    <w:p w14:paraId="53481E62" w14:textId="77777777" w:rsidR="002410DF" w:rsidRDefault="002410DF">
      <w:pPr>
        <w:widowControl w:val="0"/>
        <w:autoSpaceDE w:val="0"/>
        <w:autoSpaceDN w:val="0"/>
        <w:adjustRightInd w:val="0"/>
        <w:spacing w:after="140" w:line="288" w:lineRule="auto"/>
        <w:ind w:left="640" w:hanging="640"/>
      </w:pPr>
      <w:r>
        <w:t xml:space="preserve">75. </w:t>
      </w:r>
      <w:r>
        <w:tab/>
        <w:t xml:space="preserve">Wang Y, Hunt K, Nazareth I, Freemantle N, Petersen I. Do men consult less than women? An analysis of routinely collected UK general practice data. BMJ Open. 2013;3:1–7. </w:t>
      </w:r>
    </w:p>
    <w:p w14:paraId="10C2865F" w14:textId="77777777" w:rsidR="002410DF" w:rsidRDefault="002410DF">
      <w:pPr>
        <w:widowControl w:val="0"/>
        <w:autoSpaceDE w:val="0"/>
        <w:autoSpaceDN w:val="0"/>
        <w:adjustRightInd w:val="0"/>
        <w:spacing w:after="140" w:line="288" w:lineRule="auto"/>
        <w:ind w:left="640" w:hanging="640"/>
      </w:pPr>
      <w:r>
        <w:t xml:space="preserve">76. </w:t>
      </w:r>
      <w:r>
        <w:tab/>
        <w:t xml:space="preserve">NHS Digital. Hospital Admitted Patient Care Activity 2018-19 - NHS Digital </w:t>
      </w:r>
      <w:r>
        <w:lastRenderedPageBreak/>
        <w:t>[Internet]. 2019. Available from: https://digital.nhs.uk/data-and-information/publications/statistical/hospital-admitted-patient-care-activity/2018-19</w:t>
      </w:r>
    </w:p>
    <w:p w14:paraId="11A9AC27" w14:textId="77777777" w:rsidR="002410DF" w:rsidRDefault="002410DF">
      <w:pPr>
        <w:widowControl w:val="0"/>
        <w:autoSpaceDE w:val="0"/>
        <w:autoSpaceDN w:val="0"/>
        <w:adjustRightInd w:val="0"/>
        <w:spacing w:after="140" w:line="288" w:lineRule="auto"/>
        <w:ind w:left="640" w:hanging="640"/>
      </w:pPr>
      <w:r>
        <w:t xml:space="preserve">77. </w:t>
      </w:r>
      <w:r>
        <w:tab/>
        <w:t xml:space="preserve">Deeks A, Lombard C, Michelmore J, Teede H. The effects of gender and age on health related behaviors. BMC Public Health. 2009;9(213):1–8. </w:t>
      </w:r>
    </w:p>
    <w:p w14:paraId="353E0C24" w14:textId="77777777" w:rsidR="002410DF" w:rsidRDefault="002410DF">
      <w:pPr>
        <w:widowControl w:val="0"/>
        <w:autoSpaceDE w:val="0"/>
        <w:autoSpaceDN w:val="0"/>
        <w:adjustRightInd w:val="0"/>
        <w:spacing w:after="140" w:line="288" w:lineRule="auto"/>
        <w:ind w:left="640" w:hanging="640"/>
      </w:pPr>
      <w:r>
        <w:t xml:space="preserve">78. </w:t>
      </w:r>
      <w:r>
        <w:tab/>
        <w:t xml:space="preserve">Green CA, Pope CR. Gender, psychosocial factors and the use of medical services: A longitudinal analysis. Soc Sci Med. 1999;48(10):1363–72. </w:t>
      </w:r>
    </w:p>
    <w:p w14:paraId="28648EDB" w14:textId="77777777" w:rsidR="002410DF" w:rsidRDefault="002410DF">
      <w:pPr>
        <w:widowControl w:val="0"/>
        <w:autoSpaceDE w:val="0"/>
        <w:autoSpaceDN w:val="0"/>
        <w:adjustRightInd w:val="0"/>
        <w:spacing w:after="140" w:line="288" w:lineRule="auto"/>
        <w:ind w:left="640" w:hanging="640"/>
      </w:pPr>
      <w:r>
        <w:t xml:space="preserve">79. </w:t>
      </w:r>
      <w:r>
        <w:tab/>
        <w:t xml:space="preserve">Thompson AE, Anisimowicz Y, Miedema B, Hogg W, Wodchis WP, Aubrey-Bassler K. The influence of gender and other patient characteristics on health care-seeking behaviour: A QUALICOPC study. BMC Fam Pract. 2016;17(38):1–7. </w:t>
      </w:r>
    </w:p>
    <w:p w14:paraId="34C92FDE" w14:textId="77777777" w:rsidR="002410DF" w:rsidRDefault="002410DF">
      <w:pPr>
        <w:widowControl w:val="0"/>
        <w:autoSpaceDE w:val="0"/>
        <w:autoSpaceDN w:val="0"/>
        <w:adjustRightInd w:val="0"/>
        <w:spacing w:after="140" w:line="288" w:lineRule="auto"/>
        <w:ind w:left="640" w:hanging="640"/>
      </w:pPr>
      <w:r>
        <w:t xml:space="preserve">80. </w:t>
      </w:r>
      <w:r>
        <w:tab/>
        <w:t xml:space="preserve">Pinkhasov RM, Wong J, Kashanian J, Lee M, Samadi DB, Pinkhasov MM, et al. Are men shortchanged on health? Perspective on health care utilization and health risk behavior in men and women in the United States. Int J Clin Pract. 2010;64(4):475–87. </w:t>
      </w:r>
    </w:p>
    <w:p w14:paraId="253E15FE" w14:textId="77777777" w:rsidR="002410DF" w:rsidRDefault="002410DF">
      <w:pPr>
        <w:widowControl w:val="0"/>
        <w:autoSpaceDE w:val="0"/>
        <w:autoSpaceDN w:val="0"/>
        <w:adjustRightInd w:val="0"/>
        <w:spacing w:after="140" w:line="288" w:lineRule="auto"/>
        <w:ind w:left="640" w:hanging="640"/>
      </w:pPr>
      <w:r>
        <w:t xml:space="preserve">81. </w:t>
      </w:r>
      <w:r>
        <w:tab/>
        <w:t xml:space="preserve">Logan RFA, Patnick J, Nickerson C, Coleman L, Rutter MD, Von Wagner C. Outcomes of the Bowel Cancer Screening Programme (BCSP) in England after the first 1 million tests. Gut. 2012;61:1439–1446. </w:t>
      </w:r>
    </w:p>
    <w:p w14:paraId="59DE698B" w14:textId="77777777" w:rsidR="002410DF" w:rsidRDefault="002410DF">
      <w:pPr>
        <w:widowControl w:val="0"/>
        <w:autoSpaceDE w:val="0"/>
        <w:autoSpaceDN w:val="0"/>
        <w:adjustRightInd w:val="0"/>
        <w:spacing w:after="140" w:line="288" w:lineRule="auto"/>
        <w:ind w:left="640" w:hanging="640"/>
      </w:pPr>
      <w:r>
        <w:t xml:space="preserve">82. </w:t>
      </w:r>
      <w:r>
        <w:tab/>
        <w:t xml:space="preserve">Seidler ZE, Dawes AJ, Rice SM, Oliffe JL, Dhillon HM. The role of masculinity in men’s help-seeking for depression: A systematic review. Clin Psychol Rev. 2016;49:106–18. </w:t>
      </w:r>
    </w:p>
    <w:p w14:paraId="4483E325" w14:textId="77777777" w:rsidR="002410DF" w:rsidRDefault="002410DF">
      <w:pPr>
        <w:widowControl w:val="0"/>
        <w:autoSpaceDE w:val="0"/>
        <w:autoSpaceDN w:val="0"/>
        <w:adjustRightInd w:val="0"/>
        <w:spacing w:after="140" w:line="288" w:lineRule="auto"/>
        <w:ind w:left="640" w:hanging="640"/>
      </w:pPr>
      <w:r>
        <w:t xml:space="preserve">83. </w:t>
      </w:r>
      <w:r>
        <w:tab/>
        <w:t>WHO. Suicide worldwide in 2019: global health estimates [Internet]. 2021. Available from: https://www.who.int/publications/i/item/9789240026643</w:t>
      </w:r>
    </w:p>
    <w:p w14:paraId="12ADE0A1" w14:textId="77777777" w:rsidR="002410DF" w:rsidRDefault="002410DF">
      <w:pPr>
        <w:widowControl w:val="0"/>
        <w:autoSpaceDE w:val="0"/>
        <w:autoSpaceDN w:val="0"/>
        <w:adjustRightInd w:val="0"/>
        <w:spacing w:after="140" w:line="288" w:lineRule="auto"/>
        <w:ind w:left="640" w:hanging="640"/>
      </w:pPr>
      <w:r>
        <w:t xml:space="preserve">84. </w:t>
      </w:r>
      <w:r>
        <w:tab/>
        <w:t xml:space="preserve">Baker P, Shand T. Men’s health: Time for a new approach to policy and practice? J Glob Health. 2017;7(1):1–5. </w:t>
      </w:r>
    </w:p>
    <w:p w14:paraId="338F4054" w14:textId="77777777" w:rsidR="002410DF" w:rsidRDefault="002410DF">
      <w:pPr>
        <w:widowControl w:val="0"/>
        <w:autoSpaceDE w:val="0"/>
        <w:autoSpaceDN w:val="0"/>
        <w:adjustRightInd w:val="0"/>
        <w:spacing w:after="140" w:line="288" w:lineRule="auto"/>
        <w:ind w:left="640" w:hanging="640"/>
      </w:pPr>
      <w:r>
        <w:t xml:space="preserve">85. </w:t>
      </w:r>
      <w:r>
        <w:tab/>
        <w:t xml:space="preserve">Coles R, Watkins F, Swami V, Jones S, Woolf S, Stanistreet D. What men really want: A qualitative investigation of men’s health needs from the Halton and St Helens primary care trust men’s health promotion project. Br J Health Psychol. 2010;15(4):921–39. </w:t>
      </w:r>
    </w:p>
    <w:p w14:paraId="19A3A711" w14:textId="77777777" w:rsidR="002410DF" w:rsidRDefault="002410DF">
      <w:pPr>
        <w:widowControl w:val="0"/>
        <w:autoSpaceDE w:val="0"/>
        <w:autoSpaceDN w:val="0"/>
        <w:adjustRightInd w:val="0"/>
        <w:spacing w:after="140" w:line="288" w:lineRule="auto"/>
        <w:ind w:left="640" w:hanging="640"/>
      </w:pPr>
      <w:r>
        <w:t xml:space="preserve">86. </w:t>
      </w:r>
      <w:r>
        <w:tab/>
        <w:t xml:space="preserve">Gascoigne P, Whitear B. Making sense of testicular cancer symptoms: A qualitative study of the way in which men sought help from the health-care services. Eur J Oncol Nurs. 1999;3(2):62–9. </w:t>
      </w:r>
    </w:p>
    <w:p w14:paraId="364CF4C5" w14:textId="77777777" w:rsidR="002410DF" w:rsidRDefault="002410DF">
      <w:pPr>
        <w:widowControl w:val="0"/>
        <w:autoSpaceDE w:val="0"/>
        <w:autoSpaceDN w:val="0"/>
        <w:adjustRightInd w:val="0"/>
        <w:spacing w:after="140" w:line="288" w:lineRule="auto"/>
        <w:ind w:left="640" w:hanging="640"/>
      </w:pPr>
      <w:r>
        <w:t xml:space="preserve">87. </w:t>
      </w:r>
      <w:r>
        <w:tab/>
        <w:t xml:space="preserve">Hall JA, Roter DL, Katz NR. Meta-analysis of correlates of provider behavior in medical encounters. Med Care. 1988;26(7):657–75. </w:t>
      </w:r>
    </w:p>
    <w:p w14:paraId="4156E8E2" w14:textId="77777777" w:rsidR="002410DF" w:rsidRDefault="002410DF">
      <w:pPr>
        <w:widowControl w:val="0"/>
        <w:autoSpaceDE w:val="0"/>
        <w:autoSpaceDN w:val="0"/>
        <w:adjustRightInd w:val="0"/>
        <w:spacing w:after="140" w:line="288" w:lineRule="auto"/>
        <w:ind w:left="640" w:hanging="640"/>
      </w:pPr>
      <w:r>
        <w:t xml:space="preserve">88. </w:t>
      </w:r>
      <w:r>
        <w:tab/>
        <w:t xml:space="preserve">Verbrugge LM, Steiner RP. Physician treatment of men and women patients: Sex bias or appropriate care? Med Care. 1981;19(6):609-32. </w:t>
      </w:r>
    </w:p>
    <w:p w14:paraId="3E30EC3C" w14:textId="77777777" w:rsidR="002410DF" w:rsidRDefault="002410DF">
      <w:pPr>
        <w:widowControl w:val="0"/>
        <w:autoSpaceDE w:val="0"/>
        <w:autoSpaceDN w:val="0"/>
        <w:adjustRightInd w:val="0"/>
        <w:spacing w:after="140" w:line="288" w:lineRule="auto"/>
        <w:ind w:left="640" w:hanging="640"/>
      </w:pPr>
      <w:r>
        <w:t xml:space="preserve">89. </w:t>
      </w:r>
      <w:r>
        <w:tab/>
        <w:t xml:space="preserve">Misener TR, Fuller SG. Testicular versus breast and colorectal cancer screening. Early detection practices of primary care physicians. Cancer Pract. 1995;3(5):310–6. </w:t>
      </w:r>
    </w:p>
    <w:p w14:paraId="75E3943B" w14:textId="77777777" w:rsidR="002410DF" w:rsidRDefault="002410DF">
      <w:pPr>
        <w:widowControl w:val="0"/>
        <w:autoSpaceDE w:val="0"/>
        <w:autoSpaceDN w:val="0"/>
        <w:adjustRightInd w:val="0"/>
        <w:spacing w:after="140" w:line="288" w:lineRule="auto"/>
        <w:ind w:left="640" w:hanging="640"/>
      </w:pPr>
      <w:r>
        <w:t xml:space="preserve">90. </w:t>
      </w:r>
      <w:r>
        <w:tab/>
        <w:t xml:space="preserve">Patasius A, A.Krilaviciute, G.Smailyte. Prostate Cancer Screening with PSA: Ten </w:t>
      </w:r>
      <w:r>
        <w:lastRenderedPageBreak/>
        <w:t xml:space="preserve">Years’ Experience of Population Based Early Prostate Cancer Detection Programme in Lithuania. J Clin Med. 2020;9(12):1–9. </w:t>
      </w:r>
    </w:p>
    <w:p w14:paraId="36BAA4DA" w14:textId="77777777" w:rsidR="002410DF" w:rsidRDefault="002410DF">
      <w:pPr>
        <w:widowControl w:val="0"/>
        <w:autoSpaceDE w:val="0"/>
        <w:autoSpaceDN w:val="0"/>
        <w:adjustRightInd w:val="0"/>
        <w:spacing w:after="140" w:line="288" w:lineRule="auto"/>
        <w:ind w:left="640" w:hanging="640"/>
      </w:pPr>
      <w:r>
        <w:t xml:space="preserve">91. </w:t>
      </w:r>
      <w:r>
        <w:tab/>
        <w:t xml:space="preserve">Ahmed HU, Bosaily AE-S, Brown LC, Gabe R, Kaplan R, Parmar MK, et al. Diagnostic accuracy of multi-parametric MRI and TRUS biopsy in prostate cancer (PROMIS): a paired validating confirmatory study. Lancet. 2017;389(10071):815–22. </w:t>
      </w:r>
    </w:p>
    <w:p w14:paraId="31531E21" w14:textId="77777777" w:rsidR="002410DF" w:rsidRDefault="002410DF">
      <w:pPr>
        <w:widowControl w:val="0"/>
        <w:autoSpaceDE w:val="0"/>
        <w:autoSpaceDN w:val="0"/>
        <w:adjustRightInd w:val="0"/>
        <w:spacing w:after="140" w:line="288" w:lineRule="auto"/>
        <w:ind w:left="640" w:hanging="640"/>
      </w:pPr>
      <w:r>
        <w:t xml:space="preserve">92. </w:t>
      </w:r>
      <w:r>
        <w:tab/>
        <w:t xml:space="preserve">Kasivisvanathan V, Rannikko AS, Borghi M, Panebianco V, Mynderse LA, Vaarala MH, et al. MRI-Targeted or Standard Biopsy for Prostate-Cancer Diagnosis. N Engl J Med. 2018;378(19):1767–77. </w:t>
      </w:r>
    </w:p>
    <w:p w14:paraId="5CB7B725" w14:textId="77777777" w:rsidR="002410DF" w:rsidRDefault="002410DF">
      <w:pPr>
        <w:widowControl w:val="0"/>
        <w:autoSpaceDE w:val="0"/>
        <w:autoSpaceDN w:val="0"/>
        <w:adjustRightInd w:val="0"/>
        <w:spacing w:after="140" w:line="288" w:lineRule="auto"/>
        <w:ind w:left="640" w:hanging="640"/>
      </w:pPr>
      <w:r>
        <w:t xml:space="preserve">93. </w:t>
      </w:r>
      <w:r>
        <w:tab/>
        <w:t>EAU. White paper on prostate cancer [Internet]. 2020 [cited 2021 Sep 26]. Available from: https://www.europa-uomo.org/wp-content/uploads/2020/05/EAU_PCa-WhitePaper-FINAL-VERSION.pdf</w:t>
      </w:r>
    </w:p>
    <w:p w14:paraId="0EF9FA82" w14:textId="77777777" w:rsidR="002410DF" w:rsidRDefault="002410DF">
      <w:pPr>
        <w:widowControl w:val="0"/>
        <w:autoSpaceDE w:val="0"/>
        <w:autoSpaceDN w:val="0"/>
        <w:adjustRightInd w:val="0"/>
        <w:spacing w:after="140" w:line="288" w:lineRule="auto"/>
        <w:ind w:left="640" w:hanging="640"/>
      </w:pPr>
      <w:r>
        <w:t xml:space="preserve">94. </w:t>
      </w:r>
      <w:r>
        <w:tab/>
        <w:t xml:space="preserve">Sung H, Ferlay J, Siegel RL, Laversanne M, Soerjomataram I, Jemal A, et al. Global Cancer Statistics 2020: GLOBOCAN Estimates of Incidence and Mortality Worldwide for 36 Cancers in 185 Countries. CA Cancer J Clin. 2021;71(3):209–49. </w:t>
      </w:r>
    </w:p>
    <w:p w14:paraId="270C0E91" w14:textId="77777777" w:rsidR="002410DF" w:rsidRDefault="002410DF">
      <w:pPr>
        <w:widowControl w:val="0"/>
        <w:autoSpaceDE w:val="0"/>
        <w:autoSpaceDN w:val="0"/>
        <w:adjustRightInd w:val="0"/>
        <w:spacing w:after="140" w:line="288" w:lineRule="auto"/>
        <w:ind w:left="640" w:hanging="640"/>
      </w:pPr>
      <w:r>
        <w:t xml:space="preserve">95. </w:t>
      </w:r>
      <w:r>
        <w:tab/>
        <w:t xml:space="preserve">Dennis S, Williams A, Taggart J, Newall A, Denney-Wilson E, Zwar N, et al. Which providers can bridge the health literacy gap in lifestyle risk factor modification education: A systematic review and narrative synthesis. BMC Fam Pract. 2012;13(44):1–29. </w:t>
      </w:r>
    </w:p>
    <w:p w14:paraId="14979324" w14:textId="77777777" w:rsidR="002410DF" w:rsidRDefault="002410DF">
      <w:pPr>
        <w:widowControl w:val="0"/>
        <w:autoSpaceDE w:val="0"/>
        <w:autoSpaceDN w:val="0"/>
        <w:adjustRightInd w:val="0"/>
        <w:spacing w:after="140" w:line="288" w:lineRule="auto"/>
        <w:ind w:left="640" w:hanging="640"/>
      </w:pPr>
      <w:r>
        <w:t xml:space="preserve">96. </w:t>
      </w:r>
      <w:r>
        <w:tab/>
        <w:t xml:space="preserve">Nutbeam D, Kickbusch I. Advancing health literacy: A global challenge for the 21st century. Health Promot Int. 2000;15(3):183–184. </w:t>
      </w:r>
    </w:p>
    <w:p w14:paraId="15F483FA" w14:textId="77777777" w:rsidR="002410DF" w:rsidRDefault="002410DF">
      <w:pPr>
        <w:widowControl w:val="0"/>
        <w:autoSpaceDE w:val="0"/>
        <w:autoSpaceDN w:val="0"/>
        <w:adjustRightInd w:val="0"/>
        <w:spacing w:after="140" w:line="288" w:lineRule="auto"/>
        <w:ind w:left="640" w:hanging="640"/>
      </w:pPr>
      <w:r>
        <w:t xml:space="preserve">97. </w:t>
      </w:r>
      <w:r>
        <w:tab/>
        <w:t xml:space="preserve">Von Wagner C, Knight K, Steptoe A, Wardle J. Functional health literacy and health-promoting behaviour in a national sample of British adults. J Epidemiol Community Health. 2007;61(12):1086–90. </w:t>
      </w:r>
    </w:p>
    <w:p w14:paraId="6077D4A0" w14:textId="77777777" w:rsidR="002410DF" w:rsidRDefault="002410DF">
      <w:pPr>
        <w:widowControl w:val="0"/>
        <w:autoSpaceDE w:val="0"/>
        <w:autoSpaceDN w:val="0"/>
        <w:adjustRightInd w:val="0"/>
        <w:spacing w:after="140" w:line="288" w:lineRule="auto"/>
        <w:ind w:left="640" w:hanging="640"/>
      </w:pPr>
      <w:r>
        <w:t xml:space="preserve">98. </w:t>
      </w:r>
      <w:r>
        <w:tab/>
        <w:t xml:space="preserve">Robb K, Stubbings S, Ramirez A, Macleod U, Austoker J, Waller J, et al. Public awareness of cancer in Britain: A population-based survey of adults. Br J Cancer. 2009;101:18–23. </w:t>
      </w:r>
    </w:p>
    <w:p w14:paraId="7024F0EA" w14:textId="77777777" w:rsidR="002410DF" w:rsidRDefault="002410DF">
      <w:pPr>
        <w:widowControl w:val="0"/>
        <w:autoSpaceDE w:val="0"/>
        <w:autoSpaceDN w:val="0"/>
        <w:adjustRightInd w:val="0"/>
        <w:spacing w:after="140" w:line="288" w:lineRule="auto"/>
        <w:ind w:left="640" w:hanging="640"/>
      </w:pPr>
      <w:r>
        <w:t xml:space="preserve">99. </w:t>
      </w:r>
      <w:r>
        <w:tab/>
        <w:t xml:space="preserve">Wong YJ, Liu T, Klann EM. The intersection of race, ethnicity, and masculinities: Progress, problems, and prospects. In: The psychology of men and masculinities. 2017. p. 261–288. </w:t>
      </w:r>
    </w:p>
    <w:p w14:paraId="543B2556" w14:textId="77777777" w:rsidR="002410DF" w:rsidRDefault="002410DF">
      <w:pPr>
        <w:widowControl w:val="0"/>
        <w:autoSpaceDE w:val="0"/>
        <w:autoSpaceDN w:val="0"/>
        <w:adjustRightInd w:val="0"/>
        <w:spacing w:after="140" w:line="288" w:lineRule="auto"/>
        <w:ind w:left="640" w:hanging="640"/>
      </w:pPr>
      <w:r>
        <w:t xml:space="preserve">100. </w:t>
      </w:r>
      <w:r>
        <w:tab/>
        <w:t xml:space="preserve">Ragonese C, Barker G. Understanding masculinities to improve men’s health. Lancet. 2019;394(10194):198–9. </w:t>
      </w:r>
    </w:p>
    <w:p w14:paraId="7C143678" w14:textId="77777777" w:rsidR="002410DF" w:rsidRDefault="002410DF">
      <w:pPr>
        <w:widowControl w:val="0"/>
        <w:autoSpaceDE w:val="0"/>
        <w:autoSpaceDN w:val="0"/>
        <w:adjustRightInd w:val="0"/>
        <w:spacing w:after="140" w:line="288" w:lineRule="auto"/>
        <w:ind w:left="640" w:hanging="640"/>
      </w:pPr>
      <w:r>
        <w:t xml:space="preserve">101. </w:t>
      </w:r>
      <w:r>
        <w:tab/>
        <w:t xml:space="preserve">Griffith DM, Metzl JM, Gunter K. Considering intersections of race and gender in interventions that address US men’s health disparities. Public Health. 2011;125(7):417–23. </w:t>
      </w:r>
    </w:p>
    <w:p w14:paraId="2E7A9ED1" w14:textId="77777777" w:rsidR="002410DF" w:rsidRDefault="002410DF">
      <w:pPr>
        <w:widowControl w:val="0"/>
        <w:autoSpaceDE w:val="0"/>
        <w:autoSpaceDN w:val="0"/>
        <w:adjustRightInd w:val="0"/>
        <w:spacing w:after="140" w:line="288" w:lineRule="auto"/>
        <w:ind w:left="640" w:hanging="640"/>
      </w:pPr>
      <w:r>
        <w:t xml:space="preserve">102. </w:t>
      </w:r>
      <w:r>
        <w:tab/>
        <w:t xml:space="preserve">Griffith DM. Biopsychosocial Approaches to Men’s Health Disparities Research and Policy. Behav Med. 2016; </w:t>
      </w:r>
    </w:p>
    <w:p w14:paraId="312B9044" w14:textId="77777777" w:rsidR="002410DF" w:rsidRDefault="002410DF">
      <w:pPr>
        <w:widowControl w:val="0"/>
        <w:autoSpaceDE w:val="0"/>
        <w:autoSpaceDN w:val="0"/>
        <w:adjustRightInd w:val="0"/>
        <w:spacing w:after="140" w:line="288" w:lineRule="auto"/>
        <w:ind w:left="640" w:hanging="640"/>
      </w:pPr>
      <w:r>
        <w:lastRenderedPageBreak/>
        <w:t xml:space="preserve">103. </w:t>
      </w:r>
      <w:r>
        <w:tab/>
        <w:t xml:space="preserve">Griffith DM. An intersectional approach to Men’s Health. J Mens health. 2012;9(2):106–12. </w:t>
      </w:r>
    </w:p>
    <w:p w14:paraId="6F4A6075" w14:textId="77777777" w:rsidR="002410DF" w:rsidRDefault="002410DF">
      <w:pPr>
        <w:widowControl w:val="0"/>
        <w:autoSpaceDE w:val="0"/>
        <w:autoSpaceDN w:val="0"/>
        <w:adjustRightInd w:val="0"/>
        <w:spacing w:after="140" w:line="288" w:lineRule="auto"/>
        <w:ind w:left="640" w:hanging="640"/>
      </w:pPr>
      <w:r>
        <w:t xml:space="preserve">104. </w:t>
      </w:r>
      <w:r>
        <w:tab/>
        <w:t xml:space="preserve">Ferlatte O, Salway T, Trussler T, Oliffe JL, Gilbert M. Combining intersectionality and syndemic theory to advance understandings of health inequities among Canadian gay, bisexual and other men who have sex with men. Crit Public Health. 2018;28(5):509–21. </w:t>
      </w:r>
    </w:p>
    <w:p w14:paraId="13636DF4" w14:textId="77777777" w:rsidR="002410DF" w:rsidRDefault="002410DF">
      <w:pPr>
        <w:widowControl w:val="0"/>
        <w:autoSpaceDE w:val="0"/>
        <w:autoSpaceDN w:val="0"/>
        <w:adjustRightInd w:val="0"/>
        <w:spacing w:after="140" w:line="288" w:lineRule="auto"/>
        <w:ind w:left="640" w:hanging="640"/>
      </w:pPr>
      <w:r>
        <w:t xml:space="preserve">105. </w:t>
      </w:r>
      <w:r>
        <w:tab/>
        <w:t xml:space="preserve">Stall R, Mills TC, Williamson J, Hart T, Greenwood G, Paul J, et al. Association of Co-Occurring Psychosocial Health Problems and Increased Vulnerability to HIV/AIDS among Urban Men Who Have Sex with Men. Am J Public Health. 2003;93(6):939–942. </w:t>
      </w:r>
    </w:p>
    <w:p w14:paraId="687DF072" w14:textId="77777777" w:rsidR="002410DF" w:rsidRDefault="002410DF">
      <w:pPr>
        <w:widowControl w:val="0"/>
        <w:autoSpaceDE w:val="0"/>
        <w:autoSpaceDN w:val="0"/>
        <w:adjustRightInd w:val="0"/>
        <w:spacing w:after="140" w:line="288" w:lineRule="auto"/>
        <w:ind w:left="640" w:hanging="640"/>
      </w:pPr>
      <w:r>
        <w:t xml:space="preserve">106. </w:t>
      </w:r>
      <w:r>
        <w:tab/>
        <w:t xml:space="preserve">Ruggieri A, Anticoli S, D’ambrosio A, Giordani L, Viora M. Monographic section The influence of sex and gender on immunity, infection and vaccination. Ann Ist Super Sanità. 2016;52(2):198–204. </w:t>
      </w:r>
    </w:p>
    <w:p w14:paraId="427E3834" w14:textId="77777777" w:rsidR="002410DF" w:rsidRDefault="002410DF">
      <w:pPr>
        <w:widowControl w:val="0"/>
        <w:autoSpaceDE w:val="0"/>
        <w:autoSpaceDN w:val="0"/>
        <w:adjustRightInd w:val="0"/>
        <w:spacing w:after="140" w:line="288" w:lineRule="auto"/>
        <w:ind w:left="640" w:hanging="640"/>
      </w:pPr>
      <w:r>
        <w:t xml:space="preserve">107. </w:t>
      </w:r>
      <w:r>
        <w:tab/>
        <w:t xml:space="preserve">Berghöfer B, Frommer T, Haley G, Fink L, Bein G, Hackstein H. TLR7 Ligands Induce Higher IFN-α Production in Females. J Immunol. 2006;177(4):2088–96. </w:t>
      </w:r>
    </w:p>
    <w:p w14:paraId="7F3F0737" w14:textId="77777777" w:rsidR="002410DF" w:rsidRDefault="002410DF">
      <w:pPr>
        <w:widowControl w:val="0"/>
        <w:autoSpaceDE w:val="0"/>
        <w:autoSpaceDN w:val="0"/>
        <w:adjustRightInd w:val="0"/>
        <w:spacing w:after="140" w:line="288" w:lineRule="auto"/>
        <w:ind w:left="640" w:hanging="640"/>
      </w:pPr>
      <w:r>
        <w:t xml:space="preserve">108. </w:t>
      </w:r>
      <w:r>
        <w:tab/>
        <w:t xml:space="preserve">Villacres MC, Longmate J, Auge C, Diamond DJ. Predominant type 1 CMV-specific memory T-helper response in humans: Evidence for gender differences in cytokine secretion. Hum Immunol. 2004;65(5):476–85. </w:t>
      </w:r>
    </w:p>
    <w:p w14:paraId="3004D180" w14:textId="77777777" w:rsidR="002410DF" w:rsidRDefault="002410DF">
      <w:pPr>
        <w:widowControl w:val="0"/>
        <w:autoSpaceDE w:val="0"/>
        <w:autoSpaceDN w:val="0"/>
        <w:adjustRightInd w:val="0"/>
        <w:spacing w:after="140" w:line="288" w:lineRule="auto"/>
        <w:ind w:left="640" w:hanging="640"/>
      </w:pPr>
      <w:r>
        <w:t xml:space="preserve">109. </w:t>
      </w:r>
      <w:r>
        <w:tab/>
        <w:t xml:space="preserve">Abdullah M, Chai PS, Chong MY, Tohit ERM, Ramasamy R, Pei CP, et al. Gender effect on in vitro lymphocyte subset levels of healthy individuals. Cell Immunol. 2012;272(2):214–9. </w:t>
      </w:r>
    </w:p>
    <w:p w14:paraId="43E5F38A" w14:textId="77777777" w:rsidR="002410DF" w:rsidRDefault="002410DF">
      <w:pPr>
        <w:widowControl w:val="0"/>
        <w:autoSpaceDE w:val="0"/>
        <w:autoSpaceDN w:val="0"/>
        <w:adjustRightInd w:val="0"/>
        <w:spacing w:after="140" w:line="288" w:lineRule="auto"/>
        <w:ind w:left="640" w:hanging="640"/>
      </w:pPr>
      <w:r>
        <w:t xml:space="preserve">110. </w:t>
      </w:r>
      <w:r>
        <w:tab/>
        <w:t xml:space="preserve">Engler RJM, Nelson MR, Klote MM, VanRaden MJ, Huang CY, Cox NJ, et al. Half- vs full-dose trivalent inactivated influenza vaccine (2004-2005): Age, dose, and sex effects on immune responses. Arch Intern Med. 2008;168(22):2405–14. </w:t>
      </w:r>
    </w:p>
    <w:p w14:paraId="67BCDF61" w14:textId="77777777" w:rsidR="002410DF" w:rsidRDefault="002410DF">
      <w:pPr>
        <w:widowControl w:val="0"/>
        <w:autoSpaceDE w:val="0"/>
        <w:autoSpaceDN w:val="0"/>
        <w:adjustRightInd w:val="0"/>
        <w:spacing w:after="140" w:line="288" w:lineRule="auto"/>
        <w:ind w:left="640" w:hanging="640"/>
      </w:pPr>
      <w:r>
        <w:t xml:space="preserve">111. </w:t>
      </w:r>
      <w:r>
        <w:tab/>
        <w:t xml:space="preserve">Cook IF, Barr I, Hartel G, Pond D, Hampson AW. Reactogenicity and immunogenicity of an inactivated influenza vaccine administered by intramuscular or subcutaneous injection in elderly adults. Vaccine. 2006;24(13):2395–402. </w:t>
      </w:r>
    </w:p>
    <w:p w14:paraId="53D27BCE" w14:textId="77777777" w:rsidR="002410DF" w:rsidRDefault="002410DF">
      <w:pPr>
        <w:widowControl w:val="0"/>
        <w:autoSpaceDE w:val="0"/>
        <w:autoSpaceDN w:val="0"/>
        <w:adjustRightInd w:val="0"/>
        <w:spacing w:after="140" w:line="288" w:lineRule="auto"/>
        <w:ind w:left="640" w:hanging="640"/>
      </w:pPr>
      <w:r>
        <w:t xml:space="preserve">112. </w:t>
      </w:r>
      <w:r>
        <w:tab/>
        <w:t xml:space="preserve">Tanaka E, Sata M, Nakano H, Suzuki H, Tanikawa K. Antibody response to inactivated hepatitis A vaccine. Hepatol Res. 1997;9(2–3):103–12. </w:t>
      </w:r>
    </w:p>
    <w:p w14:paraId="4CE4796F" w14:textId="77777777" w:rsidR="002410DF" w:rsidRDefault="002410DF">
      <w:pPr>
        <w:widowControl w:val="0"/>
        <w:autoSpaceDE w:val="0"/>
        <w:autoSpaceDN w:val="0"/>
        <w:adjustRightInd w:val="0"/>
        <w:spacing w:after="140" w:line="288" w:lineRule="auto"/>
        <w:ind w:left="640" w:hanging="640"/>
      </w:pPr>
      <w:r>
        <w:t xml:space="preserve">113. </w:t>
      </w:r>
      <w:r>
        <w:tab/>
        <w:t xml:space="preserve">Kennedy RB, Ovsyannikova IG, Pankratz VS, Vierkant RA, Jacobson RM, Ryan MAK, et al. Gender effects on humoral immune responses to smallpox vaccine. Vaccine. 2009;27(25–26):3319–3323. </w:t>
      </w:r>
    </w:p>
    <w:p w14:paraId="74136ADE" w14:textId="77777777" w:rsidR="002410DF" w:rsidRDefault="002410DF">
      <w:pPr>
        <w:widowControl w:val="0"/>
        <w:autoSpaceDE w:val="0"/>
        <w:autoSpaceDN w:val="0"/>
        <w:adjustRightInd w:val="0"/>
        <w:spacing w:after="140" w:line="288" w:lineRule="auto"/>
        <w:ind w:left="640" w:hanging="640"/>
      </w:pPr>
      <w:r>
        <w:t xml:space="preserve">114. </w:t>
      </w:r>
      <w:r>
        <w:tab/>
        <w:t xml:space="preserve">Van Lunzen J, Altfeld M. Sex differences in infectious diseases-common but neglected. J Infect Dis. 2014;209(3):S79–S80. </w:t>
      </w:r>
    </w:p>
    <w:p w14:paraId="27F7B4CB" w14:textId="77777777" w:rsidR="002410DF" w:rsidRDefault="002410DF">
      <w:pPr>
        <w:widowControl w:val="0"/>
        <w:autoSpaceDE w:val="0"/>
        <w:autoSpaceDN w:val="0"/>
        <w:adjustRightInd w:val="0"/>
        <w:spacing w:after="140" w:line="288" w:lineRule="auto"/>
        <w:ind w:left="640" w:hanging="640"/>
      </w:pPr>
      <w:r>
        <w:t xml:space="preserve">115. </w:t>
      </w:r>
      <w:r>
        <w:tab/>
        <w:t xml:space="preserve">Gabriel G, Arck PC. Sex, immunity and influenza. J Infect Dis. 2014;209(3):S93–S99. </w:t>
      </w:r>
    </w:p>
    <w:p w14:paraId="64DFAA2F" w14:textId="77777777" w:rsidR="002410DF" w:rsidRDefault="002410DF">
      <w:pPr>
        <w:widowControl w:val="0"/>
        <w:autoSpaceDE w:val="0"/>
        <w:autoSpaceDN w:val="0"/>
        <w:adjustRightInd w:val="0"/>
        <w:spacing w:after="140" w:line="288" w:lineRule="auto"/>
        <w:ind w:left="640" w:hanging="640"/>
      </w:pPr>
      <w:r>
        <w:t xml:space="preserve">116. </w:t>
      </w:r>
      <w:r>
        <w:tab/>
        <w:t xml:space="preserve">Yu L, Quinn MT, Cross AR, Dinauer MC. Gp91phox is the heme binding subunit of </w:t>
      </w:r>
      <w:r>
        <w:lastRenderedPageBreak/>
        <w:t xml:space="preserve">the superoxide-generating NADPH oxidase. Proc Natl Acad Sci U S A. 1998;95(14):7993–8. </w:t>
      </w:r>
    </w:p>
    <w:p w14:paraId="7390B020" w14:textId="77777777" w:rsidR="002410DF" w:rsidRDefault="002410DF">
      <w:pPr>
        <w:widowControl w:val="0"/>
        <w:autoSpaceDE w:val="0"/>
        <w:autoSpaceDN w:val="0"/>
        <w:adjustRightInd w:val="0"/>
        <w:spacing w:after="140" w:line="288" w:lineRule="auto"/>
        <w:ind w:left="640" w:hanging="640"/>
      </w:pPr>
      <w:r>
        <w:t xml:space="preserve">117. </w:t>
      </w:r>
      <w:r>
        <w:tab/>
        <w:t xml:space="preserve">Banerjee ER, Henderson WR. Defining the molecular role of gp91phox in the immune manifestation of acute allergic asthma using a preclinical murine model. Clin Mol Allergy. 2012;10(1):1–14. </w:t>
      </w:r>
    </w:p>
    <w:p w14:paraId="10C1C0C7" w14:textId="77777777" w:rsidR="002410DF" w:rsidRDefault="002410DF">
      <w:pPr>
        <w:widowControl w:val="0"/>
        <w:autoSpaceDE w:val="0"/>
        <w:autoSpaceDN w:val="0"/>
        <w:adjustRightInd w:val="0"/>
        <w:spacing w:after="140" w:line="288" w:lineRule="auto"/>
        <w:ind w:left="640" w:hanging="640"/>
      </w:pPr>
      <w:r>
        <w:t xml:space="preserve">118. </w:t>
      </w:r>
      <w:r>
        <w:tab/>
        <w:t xml:space="preserve">Chandra R, Federici S, Németh ZH, Horváth B, Pacher P, Haskó G, et al. Female X-Chromosome Mosaicism for NOX2 Deficiency Presents Unique Inflammatory Phenotype and Improves Outcome in Polymicrobial Sepsis. J Immunol. 2011;186(11):6465–6473. </w:t>
      </w:r>
    </w:p>
    <w:p w14:paraId="740D3D39" w14:textId="77777777" w:rsidR="002410DF" w:rsidRDefault="002410DF">
      <w:pPr>
        <w:widowControl w:val="0"/>
        <w:autoSpaceDE w:val="0"/>
        <w:autoSpaceDN w:val="0"/>
        <w:adjustRightInd w:val="0"/>
        <w:spacing w:after="140" w:line="288" w:lineRule="auto"/>
        <w:ind w:left="640" w:hanging="640"/>
      </w:pPr>
      <w:r>
        <w:t xml:space="preserve">119. </w:t>
      </w:r>
      <w:r>
        <w:tab/>
        <w:t xml:space="preserve">Chandra R, Federici S, Bishwas T, Németh ZH, Deitch EA, Thomas JA, et al. IRAK1-dependent signaling mediates mortality in polymicrobial sepsis. Inflammation. 2013;36(6):1503–12. </w:t>
      </w:r>
    </w:p>
    <w:p w14:paraId="3AF2B6FB" w14:textId="77777777" w:rsidR="002410DF" w:rsidRDefault="002410DF">
      <w:pPr>
        <w:widowControl w:val="0"/>
        <w:autoSpaceDE w:val="0"/>
        <w:autoSpaceDN w:val="0"/>
        <w:adjustRightInd w:val="0"/>
        <w:spacing w:after="140" w:line="288" w:lineRule="auto"/>
        <w:ind w:left="640" w:hanging="640"/>
      </w:pPr>
      <w:r>
        <w:t xml:space="preserve">120. </w:t>
      </w:r>
      <w:r>
        <w:tab/>
        <w:t xml:space="preserve">Zhou P, Yang X Lou, Wang XG, Hu B, Zhang L, Zhang W, et al. A pneumonia outbreak associated with a new coronavirus of probable bat origin. Nature. 2020;579:270–3. </w:t>
      </w:r>
    </w:p>
    <w:p w14:paraId="0C629E04" w14:textId="77777777" w:rsidR="002410DF" w:rsidRDefault="002410DF">
      <w:pPr>
        <w:widowControl w:val="0"/>
        <w:autoSpaceDE w:val="0"/>
        <w:autoSpaceDN w:val="0"/>
        <w:adjustRightInd w:val="0"/>
        <w:spacing w:after="140" w:line="288" w:lineRule="auto"/>
        <w:ind w:left="640" w:hanging="640"/>
      </w:pPr>
      <w:r>
        <w:t xml:space="preserve">121. </w:t>
      </w:r>
      <w:r>
        <w:tab/>
        <w:t xml:space="preserve">Li W, Moore MJ, Vasllieva N, Sui J, Wong SK, Berne MA, et al. Angiotensin-converting enzyme 2 is a functional receptor for the SARS coronavirus. Nature. 2003;426:450–4. </w:t>
      </w:r>
    </w:p>
    <w:p w14:paraId="3E54C955" w14:textId="77777777" w:rsidR="002410DF" w:rsidRDefault="002410DF">
      <w:pPr>
        <w:widowControl w:val="0"/>
        <w:autoSpaceDE w:val="0"/>
        <w:autoSpaceDN w:val="0"/>
        <w:adjustRightInd w:val="0"/>
        <w:spacing w:after="140" w:line="288" w:lineRule="auto"/>
        <w:ind w:left="640" w:hanging="640"/>
      </w:pPr>
      <w:r>
        <w:t xml:space="preserve">122. </w:t>
      </w:r>
      <w:r>
        <w:tab/>
        <w:t xml:space="preserve">Hoffmann M, Kleine-Weber H, Schroeder S, Krüger N, Herrler T, Erichsen S, et al. SARS-CoV-2 Cell Entry Depends on ACE2 and TMPRSS2 and Is Blocked by a Clinically Proven Protease Inhibitor. Cell. 2020;181(2):271–80. </w:t>
      </w:r>
    </w:p>
    <w:p w14:paraId="55BC9F77" w14:textId="77777777" w:rsidR="002410DF" w:rsidRDefault="002410DF">
      <w:pPr>
        <w:widowControl w:val="0"/>
        <w:autoSpaceDE w:val="0"/>
        <w:autoSpaceDN w:val="0"/>
        <w:adjustRightInd w:val="0"/>
        <w:spacing w:after="140" w:line="288" w:lineRule="auto"/>
        <w:ind w:left="640" w:hanging="640"/>
      </w:pPr>
      <w:r>
        <w:t xml:space="preserve">123. </w:t>
      </w:r>
      <w:r>
        <w:tab/>
        <w:t xml:space="preserve">Sama IE, Ravera A, Santema BT, Van Goor H, Ter Maaten JM, Cleland JGF, et al. Circulating plasma concentrations of angiotensin-converting enzyme 2 in men and women with heart failure and effects of renin-angiotensin-aldosterone inhibitors. Eur Heart J. 2020;41(19):1810–7. </w:t>
      </w:r>
    </w:p>
    <w:p w14:paraId="403E6D0D" w14:textId="77777777" w:rsidR="002410DF" w:rsidRDefault="002410DF">
      <w:pPr>
        <w:widowControl w:val="0"/>
        <w:autoSpaceDE w:val="0"/>
        <w:autoSpaceDN w:val="0"/>
        <w:adjustRightInd w:val="0"/>
        <w:spacing w:after="140" w:line="288" w:lineRule="auto"/>
        <w:ind w:left="640" w:hanging="640"/>
      </w:pPr>
      <w:r>
        <w:t xml:space="preserve">124. </w:t>
      </w:r>
      <w:r>
        <w:tab/>
        <w:t xml:space="preserve">Zhao Y, Zhao Z, Wang Y, Zhou Y, Ma Y, Zuo W. Single-cell RNA expression profiling of ACE2, the putative receptor of Wuhan 2019-nCov doi: bioRxiv preprint. bioRxiv. 2020; </w:t>
      </w:r>
    </w:p>
    <w:p w14:paraId="35EA56E0" w14:textId="77777777" w:rsidR="002410DF" w:rsidRDefault="002410DF">
      <w:pPr>
        <w:widowControl w:val="0"/>
        <w:autoSpaceDE w:val="0"/>
        <w:autoSpaceDN w:val="0"/>
        <w:adjustRightInd w:val="0"/>
        <w:spacing w:after="140" w:line="288" w:lineRule="auto"/>
        <w:ind w:left="640" w:hanging="640"/>
      </w:pPr>
      <w:r>
        <w:t xml:space="preserve">125. </w:t>
      </w:r>
      <w:r>
        <w:tab/>
        <w:t xml:space="preserve">Cai G. Bulk and Single-Cell Transcriptomics Identify Tobacco-Use Disparity in Lung Gene Expression of ACE2, the Receptor of 2019-nCov. medRxiv. Preprints; 2020. </w:t>
      </w:r>
    </w:p>
    <w:p w14:paraId="7A13B054" w14:textId="77777777" w:rsidR="002410DF" w:rsidRDefault="002410DF">
      <w:pPr>
        <w:widowControl w:val="0"/>
        <w:autoSpaceDE w:val="0"/>
        <w:autoSpaceDN w:val="0"/>
        <w:adjustRightInd w:val="0"/>
        <w:spacing w:after="140" w:line="288" w:lineRule="auto"/>
        <w:ind w:left="640" w:hanging="640"/>
      </w:pPr>
      <w:r>
        <w:t xml:space="preserve">126. </w:t>
      </w:r>
      <w:r>
        <w:tab/>
        <w:t xml:space="preserve">Xudong X, Junzhu C, Xingxiang W, Furong Z, Yanrong L. Age- and gender-related difference of ACE2 expression in rat lung. Life Sci. 2006;78(19):2166–2171. </w:t>
      </w:r>
    </w:p>
    <w:p w14:paraId="6060885D" w14:textId="77777777" w:rsidR="002410DF" w:rsidRDefault="002410DF">
      <w:pPr>
        <w:widowControl w:val="0"/>
        <w:autoSpaceDE w:val="0"/>
        <w:autoSpaceDN w:val="0"/>
        <w:adjustRightInd w:val="0"/>
        <w:spacing w:after="140" w:line="288" w:lineRule="auto"/>
        <w:ind w:left="640" w:hanging="640"/>
      </w:pPr>
      <w:r>
        <w:t xml:space="preserve">127. </w:t>
      </w:r>
      <w:r>
        <w:tab/>
        <w:t xml:space="preserve">Dong Y, Mo X, Hu Y, Qi X, Jiang F, Jiang Z, et al. Epidemiology of COVID-19 Among Children in China. Pediatrics. 2020;145(6):1–12. </w:t>
      </w:r>
    </w:p>
    <w:p w14:paraId="725C4FBE" w14:textId="77777777" w:rsidR="002410DF" w:rsidRDefault="002410DF">
      <w:pPr>
        <w:widowControl w:val="0"/>
        <w:autoSpaceDE w:val="0"/>
        <w:autoSpaceDN w:val="0"/>
        <w:adjustRightInd w:val="0"/>
        <w:spacing w:after="140" w:line="288" w:lineRule="auto"/>
        <w:ind w:left="640" w:hanging="640"/>
      </w:pPr>
      <w:r>
        <w:t xml:space="preserve">128. </w:t>
      </w:r>
      <w:r>
        <w:tab/>
        <w:t xml:space="preserve">Guan W, Ni Z, Hu Y, Liang W, Ou C, He J, et al. Clinical Characteristics of Coronavirus Disease 2019 in China. N Engl J Med [Internet]. 2020 Apr 30 [cited 2020 May 3];382(18):1708–20. Available from: </w:t>
      </w:r>
      <w:r>
        <w:lastRenderedPageBreak/>
        <w:t>http://www.nejm.org/doi/10.1056/NEJMoa2002032</w:t>
      </w:r>
    </w:p>
    <w:p w14:paraId="5A6C24CE" w14:textId="77777777" w:rsidR="002410DF" w:rsidRDefault="002410DF">
      <w:pPr>
        <w:widowControl w:val="0"/>
        <w:autoSpaceDE w:val="0"/>
        <w:autoSpaceDN w:val="0"/>
        <w:adjustRightInd w:val="0"/>
        <w:spacing w:after="140" w:line="288" w:lineRule="auto"/>
        <w:ind w:left="640" w:hanging="640"/>
      </w:pPr>
      <w:r>
        <w:t xml:space="preserve">129. </w:t>
      </w:r>
      <w:r>
        <w:tab/>
        <w:t>World Development Indicators | The World Bank [Internet]. [cited 2020 May 9]. Available from: http://wdi.worldbank.org/table/2.17</w:t>
      </w:r>
    </w:p>
    <w:p w14:paraId="01CCEB8D" w14:textId="77777777" w:rsidR="002410DF" w:rsidRDefault="002410DF">
      <w:pPr>
        <w:widowControl w:val="0"/>
        <w:autoSpaceDE w:val="0"/>
        <w:autoSpaceDN w:val="0"/>
        <w:adjustRightInd w:val="0"/>
        <w:spacing w:after="140" w:line="288" w:lineRule="auto"/>
        <w:ind w:left="640" w:hanging="640"/>
      </w:pPr>
      <w:r>
        <w:t xml:space="preserve">130. </w:t>
      </w:r>
      <w:r>
        <w:tab/>
        <w:t xml:space="preserve">Wambier CG, Goren A, Vaño-Galván S, Ramos PM, Ossimetha A, Nau G, et al. Androgen sensitivity gateway to COVID-19 disease severity. Drug Dev Res. 2020;81(7):771–6. </w:t>
      </w:r>
    </w:p>
    <w:p w14:paraId="2D75253D" w14:textId="77777777" w:rsidR="002410DF" w:rsidRDefault="002410DF">
      <w:pPr>
        <w:widowControl w:val="0"/>
        <w:autoSpaceDE w:val="0"/>
        <w:autoSpaceDN w:val="0"/>
        <w:adjustRightInd w:val="0"/>
        <w:spacing w:after="140" w:line="288" w:lineRule="auto"/>
        <w:ind w:left="640" w:hanging="640"/>
      </w:pPr>
      <w:r>
        <w:t xml:space="preserve">131. </w:t>
      </w:r>
      <w:r>
        <w:tab/>
        <w:t xml:space="preserve">Lucas JM, Heinlein C, Kim T, Hernandez SA, Malik MS, True LD, et al. The androgen-regulated protease TMPRSS2 activates a proteolytic cascade involving components of the tumor microenvironment and promotes prostate cancer metastasis. Cancer Discov. 2014 Nov 1;4(11):1310–25. </w:t>
      </w:r>
    </w:p>
    <w:p w14:paraId="022264AA" w14:textId="77777777" w:rsidR="002410DF" w:rsidRDefault="002410DF">
      <w:pPr>
        <w:widowControl w:val="0"/>
        <w:autoSpaceDE w:val="0"/>
        <w:autoSpaceDN w:val="0"/>
        <w:adjustRightInd w:val="0"/>
        <w:spacing w:after="140" w:line="288" w:lineRule="auto"/>
        <w:ind w:left="640" w:hanging="640"/>
      </w:pPr>
      <w:r>
        <w:t xml:space="preserve">132. </w:t>
      </w:r>
      <w:r>
        <w:tab/>
        <w:t xml:space="preserve">Channappanavar R, Fett C, Mack M, Eyck PP Ten, Meyerholz DK, Perlman S. Sex-based differences in susceptibility to SARS-CoV infection. J Immunol. 2017;198(10):4046–4053. </w:t>
      </w:r>
    </w:p>
    <w:p w14:paraId="7C7C8D85" w14:textId="77777777" w:rsidR="002410DF" w:rsidRDefault="002410DF">
      <w:pPr>
        <w:widowControl w:val="0"/>
        <w:autoSpaceDE w:val="0"/>
        <w:autoSpaceDN w:val="0"/>
        <w:adjustRightInd w:val="0"/>
        <w:spacing w:after="140" w:line="288" w:lineRule="auto"/>
        <w:ind w:left="640" w:hanging="640"/>
      </w:pPr>
      <w:r>
        <w:t xml:space="preserve">133. </w:t>
      </w:r>
      <w:r>
        <w:tab/>
        <w:t xml:space="preserve">Klein SL, Flanagan KL. Sex differences in immune responses. Nat Rev Immunol. 2016;16:626–638. </w:t>
      </w:r>
    </w:p>
    <w:p w14:paraId="514E1743" w14:textId="77777777" w:rsidR="002410DF" w:rsidRDefault="002410DF">
      <w:pPr>
        <w:widowControl w:val="0"/>
        <w:autoSpaceDE w:val="0"/>
        <w:autoSpaceDN w:val="0"/>
        <w:adjustRightInd w:val="0"/>
        <w:spacing w:after="140" w:line="288" w:lineRule="auto"/>
        <w:ind w:left="640" w:hanging="640"/>
      </w:pPr>
      <w:r>
        <w:t xml:space="preserve">134. </w:t>
      </w:r>
      <w:r>
        <w:tab/>
        <w:t xml:space="preserve">Agostino P, Milano S, Barbera C, Di Bella G, La Rosa M, Ferlazzo V, et al. Sex hormones modulate inflammatory mediators produced by macrophages. Ann N Y Acad Sci. 1999;876(1):426–9. </w:t>
      </w:r>
    </w:p>
    <w:p w14:paraId="3BDF3E21" w14:textId="77777777" w:rsidR="002410DF" w:rsidRDefault="002410DF">
      <w:pPr>
        <w:widowControl w:val="0"/>
        <w:autoSpaceDE w:val="0"/>
        <w:autoSpaceDN w:val="0"/>
        <w:adjustRightInd w:val="0"/>
        <w:spacing w:after="140" w:line="288" w:lineRule="auto"/>
        <w:ind w:left="640" w:hanging="640"/>
      </w:pPr>
      <w:r>
        <w:t xml:space="preserve">135. </w:t>
      </w:r>
      <w:r>
        <w:tab/>
        <w:t xml:space="preserve">Iyer SS, Cheng G. Role of interleukin 10 transcriptional regulation in inflammation and autoimmune disease. Crit Rev Immunol. 2012;32(1):23–63. </w:t>
      </w:r>
    </w:p>
    <w:p w14:paraId="7E5F5B31" w14:textId="77777777" w:rsidR="002410DF" w:rsidRDefault="002410DF">
      <w:pPr>
        <w:widowControl w:val="0"/>
        <w:autoSpaceDE w:val="0"/>
        <w:autoSpaceDN w:val="0"/>
        <w:adjustRightInd w:val="0"/>
        <w:spacing w:after="140" w:line="288" w:lineRule="auto"/>
        <w:ind w:left="640" w:hanging="640"/>
      </w:pPr>
      <w:r>
        <w:t xml:space="preserve">136. </w:t>
      </w:r>
      <w:r>
        <w:tab/>
        <w:t xml:space="preserve">Capobianco MP, Cassiano GC, da Cruz Furini AA, Storti de Melo LM, Bonini Domingos CR, Dantas Machado RL. Human Interleukin 2 (IL-2) Promotion of Immune Regulation and Clinical Outcomes: A Review. J Cytokine Biol. 2016;1(2):1–4. </w:t>
      </w:r>
    </w:p>
    <w:p w14:paraId="2B3A5386" w14:textId="77777777" w:rsidR="002410DF" w:rsidRDefault="002410DF">
      <w:pPr>
        <w:widowControl w:val="0"/>
        <w:autoSpaceDE w:val="0"/>
        <w:autoSpaceDN w:val="0"/>
        <w:adjustRightInd w:val="0"/>
        <w:spacing w:after="140" w:line="288" w:lineRule="auto"/>
        <w:ind w:left="640" w:hanging="640"/>
      </w:pPr>
      <w:r>
        <w:t xml:space="preserve">137. </w:t>
      </w:r>
      <w:r>
        <w:tab/>
        <w:t xml:space="preserve">Musabak U, Bolu E, Ozata M, Oktenli C, Sengul A, Inal A, et al. Gonadotropin treatment restores in vitro interleukin-1β and tumour necrosis factor-α production by stimulated peripheral blood mononuclear cells from patients with idiopathic hypogonadotropic hypogonadism. Clin Exp Immunol. 2003;132(2):265–270. </w:t>
      </w:r>
    </w:p>
    <w:p w14:paraId="77A304BB" w14:textId="77777777" w:rsidR="002410DF" w:rsidRDefault="002410DF">
      <w:pPr>
        <w:widowControl w:val="0"/>
        <w:autoSpaceDE w:val="0"/>
        <w:autoSpaceDN w:val="0"/>
        <w:adjustRightInd w:val="0"/>
        <w:spacing w:after="140" w:line="288" w:lineRule="auto"/>
        <w:ind w:left="640" w:hanging="640"/>
      </w:pPr>
      <w:r>
        <w:t xml:space="preserve">138. </w:t>
      </w:r>
      <w:r>
        <w:tab/>
        <w:t xml:space="preserve">Malkin CJ, Pugh PJ, Jones RD, Kapoor D, Channer KS, Jones TH. The effect of testosterone replacement on endogenous inflammatory cytokines and lipid profiles in hypogonadal men. J Clin Endocrinol Metab. 2004;89(7):3313–8. </w:t>
      </w:r>
    </w:p>
    <w:p w14:paraId="43F97DF5" w14:textId="77777777" w:rsidR="002410DF" w:rsidRDefault="002410DF">
      <w:pPr>
        <w:widowControl w:val="0"/>
        <w:autoSpaceDE w:val="0"/>
        <w:autoSpaceDN w:val="0"/>
        <w:adjustRightInd w:val="0"/>
        <w:spacing w:after="140" w:line="288" w:lineRule="auto"/>
        <w:ind w:left="640" w:hanging="640"/>
      </w:pPr>
      <w:r>
        <w:t xml:space="preserve">139. </w:t>
      </w:r>
      <w:r>
        <w:tab/>
        <w:t xml:space="preserve">Han X, Lundberg P, Tanamachi B, Openshaw H, Longmate J, Cantin E. Gender Influences Herpes Simplex Virus Type 1 Infection in Normal and Gamma Interferon-Mutant Mice. J Virol. 2001;75(6):3048–52. </w:t>
      </w:r>
    </w:p>
    <w:p w14:paraId="5561FBF1" w14:textId="77777777" w:rsidR="002410DF" w:rsidRDefault="002410DF">
      <w:pPr>
        <w:widowControl w:val="0"/>
        <w:autoSpaceDE w:val="0"/>
        <w:autoSpaceDN w:val="0"/>
        <w:adjustRightInd w:val="0"/>
        <w:spacing w:after="140" w:line="288" w:lineRule="auto"/>
        <w:ind w:left="640" w:hanging="640"/>
      </w:pPr>
      <w:r>
        <w:t xml:space="preserve">140. </w:t>
      </w:r>
      <w:r>
        <w:tab/>
        <w:t xml:space="preserve">Robinson DP, Huber SA, Moussawi M, Roberts B, Teuscher C, Watkins R, et al. Sex chromosome complement contributes to sex differences in coxsackievirus B3 but not influenza A virus pathogenesis. Biol Sex Differ. 2011;2(8):1–11. </w:t>
      </w:r>
    </w:p>
    <w:p w14:paraId="2B0B2185" w14:textId="77777777" w:rsidR="002410DF" w:rsidRDefault="002410DF">
      <w:pPr>
        <w:widowControl w:val="0"/>
        <w:autoSpaceDE w:val="0"/>
        <w:autoSpaceDN w:val="0"/>
        <w:adjustRightInd w:val="0"/>
        <w:spacing w:after="140" w:line="288" w:lineRule="auto"/>
        <w:ind w:left="640" w:hanging="640"/>
      </w:pPr>
      <w:r>
        <w:lastRenderedPageBreak/>
        <w:t xml:space="preserve">141. </w:t>
      </w:r>
      <w:r>
        <w:tab/>
        <w:t xml:space="preserve">Wang Z, Xu X. scRNA-seq Profiling of Human Testes Reveals the Presence of ACE2 Receptor, a Target for SARS-CoV-2 Infection, in Spermatogonia, Leydig and Sertoli Cells. Cells. 2020 Feb 21;9(4):1–9. </w:t>
      </w:r>
    </w:p>
    <w:p w14:paraId="6511C467" w14:textId="77777777" w:rsidR="002410DF" w:rsidRDefault="002410DF">
      <w:pPr>
        <w:widowControl w:val="0"/>
        <w:autoSpaceDE w:val="0"/>
        <w:autoSpaceDN w:val="0"/>
        <w:adjustRightInd w:val="0"/>
        <w:spacing w:after="140" w:line="288" w:lineRule="auto"/>
        <w:ind w:left="640" w:hanging="640"/>
      </w:pPr>
      <w:r>
        <w:t xml:space="preserve">142. </w:t>
      </w:r>
      <w:r>
        <w:tab/>
        <w:t>Fan C, Li K, Ding Y, Lu WL, Wang J. ACE2 Expression in Kidney and Testis May Cause Kidney and Testis Damage After 2019-nCoV Infection [Internet]. medRxiv. 2020 [cited 2020 Sep 19]. Available from: https://doi.org/10.1101/2020.02.12.20022418</w:t>
      </w:r>
    </w:p>
    <w:p w14:paraId="75A8A27E" w14:textId="77777777" w:rsidR="002410DF" w:rsidRDefault="002410DF">
      <w:pPr>
        <w:widowControl w:val="0"/>
        <w:autoSpaceDE w:val="0"/>
        <w:autoSpaceDN w:val="0"/>
        <w:adjustRightInd w:val="0"/>
        <w:spacing w:after="140" w:line="288" w:lineRule="auto"/>
        <w:ind w:left="640" w:hanging="640"/>
      </w:pPr>
      <w:r>
        <w:t xml:space="preserve">143. </w:t>
      </w:r>
      <w:r>
        <w:tab/>
        <w:t>Ma L, Xie W, Li D, Shi L, Mao Y, Xiong Y, et al. Effect of SARS-CoV-2 infection upon male gonadal function: A single center-based study [Internet]. medRxiv. 2020 [cited 2020 May 3]. Available from: https://doi.org/10.1101/2020.03.21.20037267</w:t>
      </w:r>
    </w:p>
    <w:p w14:paraId="616EBE5F" w14:textId="77777777" w:rsidR="002410DF" w:rsidRDefault="002410DF">
      <w:pPr>
        <w:widowControl w:val="0"/>
        <w:autoSpaceDE w:val="0"/>
        <w:autoSpaceDN w:val="0"/>
        <w:adjustRightInd w:val="0"/>
        <w:spacing w:after="140" w:line="288" w:lineRule="auto"/>
        <w:ind w:left="640" w:hanging="640"/>
      </w:pPr>
      <w:r>
        <w:t xml:space="preserve">144. </w:t>
      </w:r>
      <w:r>
        <w:tab/>
        <w:t>Ruan Y, Hu B, Liu Z, Liu K, Jiang H, Li H, et al. No detection of SARS-CoV-2 from urine, expressed prostatic secretions, and semen in 74 recovered COVID-19 male patients: A perspective and urogenital evaluation. Andrology [Internet]. 2021 Jan 1 [cited 2021 Oct 16];9(1):99–106. Available from: https://onlinelibrary.wiley.com/doi/full/10.1111/andr.12939</w:t>
      </w:r>
    </w:p>
    <w:p w14:paraId="708A336D" w14:textId="77777777" w:rsidR="002410DF" w:rsidRDefault="002410DF">
      <w:pPr>
        <w:widowControl w:val="0"/>
        <w:autoSpaceDE w:val="0"/>
        <w:autoSpaceDN w:val="0"/>
        <w:adjustRightInd w:val="0"/>
        <w:spacing w:after="140" w:line="288" w:lineRule="auto"/>
        <w:ind w:left="640" w:hanging="640"/>
      </w:pPr>
      <w:r>
        <w:t xml:space="preserve">145. </w:t>
      </w:r>
      <w:r>
        <w:tab/>
        <w:t>World Health Organization Department of Reproductive Health and Research. WHO laboratory manual for the Examination and processing of human semen, fifth edition [Internet]. 2010 [cited 2019 Jun 16]. Available from: https://apps.who.int/iris/bitstream/handle/10665/44261/9789241547789_eng.pdf;jsessionid=F577E96867A29CC002AE25F470B4FFF3?sequence=1</w:t>
      </w:r>
    </w:p>
    <w:p w14:paraId="00E3D28A" w14:textId="77777777" w:rsidR="002410DF" w:rsidRDefault="002410DF">
      <w:pPr>
        <w:widowControl w:val="0"/>
        <w:autoSpaceDE w:val="0"/>
        <w:autoSpaceDN w:val="0"/>
        <w:adjustRightInd w:val="0"/>
        <w:spacing w:after="140" w:line="288" w:lineRule="auto"/>
        <w:ind w:left="640" w:hanging="640"/>
      </w:pPr>
      <w:r>
        <w:t xml:space="preserve">146. </w:t>
      </w:r>
      <w:r>
        <w:tab/>
        <w:t>Foundation TG. What We Do - Bill &amp; Melinda Gates Foundation [Internet]. [cited 2020 Sep 19]. Available from: https://www.gatesfoundation.org/What-We-Do</w:t>
      </w:r>
    </w:p>
    <w:p w14:paraId="3F10A803" w14:textId="77777777" w:rsidR="002410DF" w:rsidRDefault="002410DF">
      <w:pPr>
        <w:widowControl w:val="0"/>
        <w:autoSpaceDE w:val="0"/>
        <w:autoSpaceDN w:val="0"/>
        <w:adjustRightInd w:val="0"/>
        <w:spacing w:after="140" w:line="288" w:lineRule="auto"/>
        <w:ind w:left="640" w:hanging="640"/>
      </w:pPr>
      <w:r>
        <w:t xml:space="preserve">147. </w:t>
      </w:r>
      <w:r>
        <w:tab/>
        <w:t>Foundation TG. Gender Equality - Bill &amp; Melinda Gates Foundation [Internet]. [cited 2020 Sep 19]. Available from: https://www.gatesfoundation.org/What-We-Do/Global-Growth-and-Opportunity/Gender-Equality</w:t>
      </w:r>
    </w:p>
    <w:p w14:paraId="7D0A578D" w14:textId="77777777" w:rsidR="002410DF" w:rsidRDefault="002410DF">
      <w:pPr>
        <w:widowControl w:val="0"/>
        <w:autoSpaceDE w:val="0"/>
        <w:autoSpaceDN w:val="0"/>
        <w:adjustRightInd w:val="0"/>
        <w:spacing w:after="140" w:line="288" w:lineRule="auto"/>
        <w:ind w:left="640" w:hanging="640"/>
      </w:pPr>
      <w:r>
        <w:t xml:space="preserve">148. </w:t>
      </w:r>
      <w:r>
        <w:tab/>
        <w:t xml:space="preserve">Rovito MJ, Leonard B, Llamas R, Leone JE, Talton W, Fadich A, et al. A Call for Gender-Inclusive Global Health Strategies. Am J Mens Health. 2017;11(6):1804–8. </w:t>
      </w:r>
    </w:p>
    <w:p w14:paraId="10CDA713" w14:textId="77777777" w:rsidR="002410DF" w:rsidRDefault="002410DF">
      <w:pPr>
        <w:widowControl w:val="0"/>
        <w:autoSpaceDE w:val="0"/>
        <w:autoSpaceDN w:val="0"/>
        <w:adjustRightInd w:val="0"/>
        <w:spacing w:after="140" w:line="288" w:lineRule="auto"/>
        <w:ind w:left="640" w:hanging="640"/>
      </w:pPr>
      <w:r>
        <w:t xml:space="preserve">149. </w:t>
      </w:r>
      <w:r>
        <w:tab/>
        <w:t>WHO. WHO | What is the Global Strategy? [Internet]. 2020 [cited 2020 Sep 19]. Available from: https://www.who.int/life-course/partners/global-strategy/global-strategy-2016-2030/en/</w:t>
      </w:r>
    </w:p>
    <w:p w14:paraId="3C8F3847" w14:textId="77777777" w:rsidR="002410DF" w:rsidRDefault="002410DF">
      <w:pPr>
        <w:widowControl w:val="0"/>
        <w:autoSpaceDE w:val="0"/>
        <w:autoSpaceDN w:val="0"/>
        <w:adjustRightInd w:val="0"/>
        <w:spacing w:after="140" w:line="288" w:lineRule="auto"/>
        <w:ind w:left="640" w:hanging="640"/>
      </w:pPr>
      <w:r>
        <w:t xml:space="preserve">150. </w:t>
      </w:r>
      <w:r>
        <w:tab/>
        <w:t>Christakis NA, Allison PD. Mortality after the Hospitalization of a Spouse. N Engl J Med [Internet]. 2006 Feb 16 [cited 2020 Jan 28];354(7):719–30. Available from: http://www.nejm.org/doi/abs/10.1056/NEJMsa050196</w:t>
      </w:r>
    </w:p>
    <w:p w14:paraId="5D6ED45B" w14:textId="77777777" w:rsidR="002410DF" w:rsidRDefault="002410DF">
      <w:pPr>
        <w:widowControl w:val="0"/>
        <w:autoSpaceDE w:val="0"/>
        <w:autoSpaceDN w:val="0"/>
        <w:adjustRightInd w:val="0"/>
        <w:spacing w:after="140" w:line="288" w:lineRule="auto"/>
        <w:ind w:left="640" w:hanging="640"/>
      </w:pPr>
      <w:r>
        <w:t xml:space="preserve">151. </w:t>
      </w:r>
      <w:r>
        <w:tab/>
        <w:t xml:space="preserve">Corden P. Financial Implications of Death of a Partner. Full Research Report ESRC End of Award Report. 2008. </w:t>
      </w:r>
    </w:p>
    <w:p w14:paraId="7FD59BB8" w14:textId="77777777" w:rsidR="002410DF" w:rsidRDefault="002410DF">
      <w:pPr>
        <w:widowControl w:val="0"/>
        <w:autoSpaceDE w:val="0"/>
        <w:autoSpaceDN w:val="0"/>
        <w:adjustRightInd w:val="0"/>
        <w:spacing w:after="140" w:line="288" w:lineRule="auto"/>
        <w:ind w:left="640" w:hanging="640"/>
      </w:pPr>
      <w:r>
        <w:t xml:space="preserve">152. </w:t>
      </w:r>
      <w:r>
        <w:tab/>
        <w:t>Mohindra KS, Haddad S, Narayana D. Debt, shame, and survival: Becoming and living as widows in rural Kerala, India. BMC Int Health Hum Rights. 2012;12(28):1–</w:t>
      </w:r>
      <w:r>
        <w:lastRenderedPageBreak/>
        <w:t xml:space="preserve">13. </w:t>
      </w:r>
    </w:p>
    <w:p w14:paraId="40C3DAEE" w14:textId="77777777" w:rsidR="002410DF" w:rsidRDefault="002410DF">
      <w:pPr>
        <w:widowControl w:val="0"/>
        <w:autoSpaceDE w:val="0"/>
        <w:autoSpaceDN w:val="0"/>
        <w:adjustRightInd w:val="0"/>
        <w:spacing w:after="140" w:line="288" w:lineRule="auto"/>
        <w:ind w:left="640" w:hanging="640"/>
      </w:pPr>
      <w:r>
        <w:t xml:space="preserve">153. </w:t>
      </w:r>
      <w:r>
        <w:tab/>
        <w:t xml:space="preserve">Wyke S, Hunt K, Gray CM, Fenwick E, Bunn C, Donnan PT, et al. Football Fans in Training (FFIT): a randomized controlled trial of a gender sensitised weight loss and healthy living programme delivered to men aged 35-65 by Scottish Premier League (SPL) football clubs. Public Heal Res. 2015 Feb 11;3(2):1–130. </w:t>
      </w:r>
    </w:p>
    <w:p w14:paraId="34B2A451" w14:textId="77777777" w:rsidR="002410DF" w:rsidRDefault="002410DF">
      <w:pPr>
        <w:widowControl w:val="0"/>
        <w:autoSpaceDE w:val="0"/>
        <w:autoSpaceDN w:val="0"/>
        <w:adjustRightInd w:val="0"/>
        <w:spacing w:after="140" w:line="288" w:lineRule="auto"/>
        <w:ind w:left="640" w:hanging="640"/>
      </w:pPr>
      <w:r>
        <w:t xml:space="preserve">154. </w:t>
      </w:r>
      <w:r>
        <w:tab/>
        <w:t xml:space="preserve">Gray CM, Wyke S, Zhang R, Anderson AS, Barry S, Brennan G, et al. Long-term weight loss following a randomised controlled trial of a weight management programme for men delivered through professional football clubs: the Football Fans in Training follow-up study. Public Heal Res. 2018 Jul;6(9):1–114. </w:t>
      </w:r>
    </w:p>
    <w:p w14:paraId="445698AF" w14:textId="77777777" w:rsidR="002410DF" w:rsidRDefault="002410DF">
      <w:pPr>
        <w:widowControl w:val="0"/>
        <w:autoSpaceDE w:val="0"/>
        <w:autoSpaceDN w:val="0"/>
        <w:adjustRightInd w:val="0"/>
        <w:spacing w:after="140" w:line="288" w:lineRule="auto"/>
        <w:ind w:left="640" w:hanging="640"/>
      </w:pPr>
      <w:r>
        <w:t xml:space="preserve">155. </w:t>
      </w:r>
      <w:r>
        <w:tab/>
        <w:t xml:space="preserve">Russell N, Harding C, Chamberlain C, Johnston L. Implementing a “Men’s Health Pitstop” in the Riverina, South-west New South Wales. Aust J Rural Health. 2006;14(3):129–31. </w:t>
      </w:r>
    </w:p>
    <w:p w14:paraId="492C4292" w14:textId="77777777" w:rsidR="002410DF" w:rsidRDefault="002410DF">
      <w:pPr>
        <w:widowControl w:val="0"/>
        <w:autoSpaceDE w:val="0"/>
        <w:autoSpaceDN w:val="0"/>
        <w:adjustRightInd w:val="0"/>
        <w:spacing w:after="140" w:line="288" w:lineRule="auto"/>
        <w:ind w:left="640" w:hanging="640"/>
      </w:pPr>
      <w:r>
        <w:t xml:space="preserve">156. </w:t>
      </w:r>
      <w:r>
        <w:tab/>
        <w:t xml:space="preserve">Wood D, Minhas S. Science and society: The influence of charities in the field of men’s health. Nat Rev Urol. 2015;12:599–600. </w:t>
      </w:r>
    </w:p>
    <w:p w14:paraId="4202C271" w14:textId="77777777" w:rsidR="002410DF" w:rsidRDefault="002410DF">
      <w:pPr>
        <w:widowControl w:val="0"/>
        <w:autoSpaceDE w:val="0"/>
        <w:autoSpaceDN w:val="0"/>
        <w:adjustRightInd w:val="0"/>
        <w:spacing w:after="140" w:line="288" w:lineRule="auto"/>
        <w:ind w:left="640" w:hanging="640"/>
      </w:pPr>
      <w:r>
        <w:t xml:space="preserve">157. </w:t>
      </w:r>
      <w:r>
        <w:tab/>
        <w:t>Baker P. Review of the national men’s health policy and action plan 2008-2013 final report for the health service executive [Internet]. 2015 [cited 2020 Jan 29]. Available from: https://www.mhfi.org/policyreview2015.pdf</w:t>
      </w:r>
    </w:p>
    <w:p w14:paraId="7EEA3600" w14:textId="77777777" w:rsidR="002410DF" w:rsidRDefault="002410DF">
      <w:pPr>
        <w:widowControl w:val="0"/>
        <w:autoSpaceDE w:val="0"/>
        <w:autoSpaceDN w:val="0"/>
        <w:adjustRightInd w:val="0"/>
        <w:spacing w:after="140" w:line="288" w:lineRule="auto"/>
        <w:ind w:left="640" w:hanging="640"/>
      </w:pPr>
      <w:r>
        <w:t xml:space="preserve">158. </w:t>
      </w:r>
      <w:r>
        <w:tab/>
        <w:t>Evans DS, Walshe K, Gillen P. Farmers have heart project evaluation [Internet]. 2009. Available from: https://www.lenus.ie/bitstream/handle/10147/84216/farmershaveheartsrepf Jan 21.pdf?sequence=1&amp;isAllowed=y</w:t>
      </w:r>
    </w:p>
    <w:p w14:paraId="7A268CBE" w14:textId="77777777" w:rsidR="002410DF" w:rsidRDefault="002410DF">
      <w:pPr>
        <w:widowControl w:val="0"/>
        <w:autoSpaceDE w:val="0"/>
        <w:autoSpaceDN w:val="0"/>
        <w:adjustRightInd w:val="0"/>
        <w:spacing w:after="140" w:line="288" w:lineRule="auto"/>
        <w:ind w:left="640" w:hanging="640"/>
      </w:pPr>
      <w:r>
        <w:t xml:space="preserve">159. </w:t>
      </w:r>
      <w:r>
        <w:tab/>
        <w:t xml:space="preserve">Richardson N. Building Momentum, Gaining Traction: Ireland’s National Men’s Health Policy- 5 years on. NEW MALE Stud AN Int J. 2013;2(3):93–103. </w:t>
      </w:r>
    </w:p>
    <w:p w14:paraId="33F240D9" w14:textId="77777777" w:rsidR="002410DF" w:rsidRDefault="002410DF">
      <w:pPr>
        <w:widowControl w:val="0"/>
        <w:autoSpaceDE w:val="0"/>
        <w:autoSpaceDN w:val="0"/>
        <w:adjustRightInd w:val="0"/>
        <w:spacing w:after="140" w:line="288" w:lineRule="auto"/>
        <w:ind w:left="640" w:hanging="640"/>
      </w:pPr>
      <w:r>
        <w:t xml:space="preserve">160. </w:t>
      </w:r>
      <w:r>
        <w:tab/>
        <w:t>Clarke N, Sharp L, O’Leary E, Richardson N. A report on the excess burden of cancer among men in the republic of Ireland [Internet]. 2013. Available from: http://hdl.handle.net/10147/316719</w:t>
      </w:r>
    </w:p>
    <w:p w14:paraId="6FAE86FE" w14:textId="77777777" w:rsidR="002410DF" w:rsidRDefault="002410DF">
      <w:pPr>
        <w:widowControl w:val="0"/>
        <w:autoSpaceDE w:val="0"/>
        <w:autoSpaceDN w:val="0"/>
        <w:adjustRightInd w:val="0"/>
        <w:spacing w:after="140" w:line="288" w:lineRule="auto"/>
        <w:ind w:left="640" w:hanging="640"/>
      </w:pPr>
      <w:r>
        <w:t xml:space="preserve">161. </w:t>
      </w:r>
      <w:r>
        <w:tab/>
        <w:t>Richardson N, Clarke N, Fowler C. Men’s health in Ireland An Executive Summary Report on the All-Ireland Young Men and Suicide Project. 2013; Available from: www.mhfi.org</w:t>
      </w:r>
    </w:p>
    <w:p w14:paraId="157DA707" w14:textId="77777777" w:rsidR="002410DF" w:rsidRDefault="002410DF">
      <w:pPr>
        <w:widowControl w:val="0"/>
        <w:autoSpaceDE w:val="0"/>
        <w:autoSpaceDN w:val="0"/>
        <w:adjustRightInd w:val="0"/>
        <w:spacing w:after="140" w:line="288" w:lineRule="auto"/>
        <w:ind w:left="640" w:hanging="640"/>
      </w:pPr>
      <w:r>
        <w:t xml:space="preserve">162. </w:t>
      </w:r>
      <w:r>
        <w:tab/>
        <w:t xml:space="preserve">Murray M, Campbell C, Kendall L, Whitt-Glover MC, Watson KS. Perspectives from Project Brotherhood: Facilitating Engagement of African American Men in Research. Prog Community Heal Partnerships Res Educ Action. 2019;13(5):137–42. </w:t>
      </w:r>
    </w:p>
    <w:p w14:paraId="107D68A0" w14:textId="77777777" w:rsidR="002410DF" w:rsidRDefault="002410DF">
      <w:pPr>
        <w:widowControl w:val="0"/>
        <w:autoSpaceDE w:val="0"/>
        <w:autoSpaceDN w:val="0"/>
        <w:adjustRightInd w:val="0"/>
        <w:spacing w:after="140" w:line="288" w:lineRule="auto"/>
        <w:ind w:left="640" w:hanging="640"/>
      </w:pPr>
      <w:r>
        <w:t xml:space="preserve">163. </w:t>
      </w:r>
      <w:r>
        <w:tab/>
        <w:t>WHO. Preamble to the Constitution of the World Health Organization as adopted by the International Health Conference [Internet]. New York; 1946 [cited 2019 Mar 30]. Available from: https://www.who.int/governance/eb/who_constitution_en.pdf</w:t>
      </w:r>
    </w:p>
    <w:p w14:paraId="362374A1" w14:textId="77777777" w:rsidR="002410DF" w:rsidRDefault="002410DF">
      <w:pPr>
        <w:widowControl w:val="0"/>
        <w:autoSpaceDE w:val="0"/>
        <w:autoSpaceDN w:val="0"/>
        <w:adjustRightInd w:val="0"/>
        <w:spacing w:after="140" w:line="288" w:lineRule="auto"/>
        <w:ind w:left="640" w:hanging="640"/>
      </w:pPr>
      <w:r>
        <w:t xml:space="preserve">164. </w:t>
      </w:r>
      <w:r>
        <w:tab/>
        <w:t xml:space="preserve">Schwartz BG, Kloner RA. Cardiovascular Implications of Erectile Dysfunction. Circulation. 2011;123(21):609–11. </w:t>
      </w:r>
    </w:p>
    <w:p w14:paraId="093E084D" w14:textId="77777777" w:rsidR="002410DF" w:rsidRDefault="002410DF">
      <w:pPr>
        <w:widowControl w:val="0"/>
        <w:autoSpaceDE w:val="0"/>
        <w:autoSpaceDN w:val="0"/>
        <w:adjustRightInd w:val="0"/>
        <w:spacing w:after="140" w:line="288" w:lineRule="auto"/>
        <w:ind w:left="640" w:hanging="640"/>
      </w:pPr>
      <w:r>
        <w:lastRenderedPageBreak/>
        <w:t xml:space="preserve">165. </w:t>
      </w:r>
      <w:r>
        <w:tab/>
        <w:t xml:space="preserve">Vlachopoulos C V., Terentes-Printzios DG, Ioakeimidis NK, Aznaouridis KA, Stefanadis CI. Prediction of Cardiovascular Events and All-Cause Mortality With Erectile Dysfunction. Circ Cardiovasc Qual Outcomes. 2013;6(1):99–109. </w:t>
      </w:r>
    </w:p>
    <w:p w14:paraId="2BD13436" w14:textId="77777777" w:rsidR="002410DF" w:rsidRDefault="002410DF">
      <w:pPr>
        <w:widowControl w:val="0"/>
        <w:autoSpaceDE w:val="0"/>
        <w:autoSpaceDN w:val="0"/>
        <w:adjustRightInd w:val="0"/>
        <w:spacing w:after="140" w:line="288" w:lineRule="auto"/>
        <w:ind w:left="640" w:hanging="640"/>
      </w:pPr>
      <w:r>
        <w:t xml:space="preserve">166. </w:t>
      </w:r>
      <w:r>
        <w:tab/>
        <w:t xml:space="preserve">Johannes CB, Araujo AB, Feldman HA, Derby CA, Kleinman KP, Mckinlay JB. Incidence of erectile dysfunction in men 40 to 69 years old: longitudinal results from the Massachusetts male aging study. J Urol. 2000;163(2):460–3. </w:t>
      </w:r>
    </w:p>
    <w:p w14:paraId="13CCC4FA" w14:textId="77777777" w:rsidR="002410DF" w:rsidRDefault="002410DF">
      <w:pPr>
        <w:widowControl w:val="0"/>
        <w:autoSpaceDE w:val="0"/>
        <w:autoSpaceDN w:val="0"/>
        <w:adjustRightInd w:val="0"/>
        <w:spacing w:after="140" w:line="288" w:lineRule="auto"/>
        <w:ind w:left="640" w:hanging="640"/>
      </w:pPr>
      <w:r>
        <w:t xml:space="preserve">167. </w:t>
      </w:r>
      <w:r>
        <w:tab/>
        <w:t xml:space="preserve">Salonia A, Matloob R, Gallina A, Abdollah F, Saccà A, Briganti A, et al. Are Infertile Men Less Healthy than Fertile Men? Results of a Prospective Case-Control Survey. Eur Urol. 2009;56(6):1025–32. </w:t>
      </w:r>
    </w:p>
    <w:p w14:paraId="31AD57A1" w14:textId="77777777" w:rsidR="002410DF" w:rsidRDefault="002410DF">
      <w:pPr>
        <w:widowControl w:val="0"/>
        <w:autoSpaceDE w:val="0"/>
        <w:autoSpaceDN w:val="0"/>
        <w:adjustRightInd w:val="0"/>
        <w:spacing w:after="140" w:line="288" w:lineRule="auto"/>
        <w:ind w:left="640" w:hanging="640"/>
      </w:pPr>
      <w:r>
        <w:t xml:space="preserve">168. </w:t>
      </w:r>
      <w:r>
        <w:tab/>
        <w:t xml:space="preserve">Leisegang K, Udodong A, Bouic PJD, Henkel RR. Effect of the metabolic syndrome on male reproductive function: A case-controlled pilot study. Andrologia. 2014;46(2):167–76. </w:t>
      </w:r>
    </w:p>
    <w:p w14:paraId="620786CA" w14:textId="77777777" w:rsidR="002410DF" w:rsidRDefault="002410DF">
      <w:pPr>
        <w:widowControl w:val="0"/>
        <w:autoSpaceDE w:val="0"/>
        <w:autoSpaceDN w:val="0"/>
        <w:adjustRightInd w:val="0"/>
        <w:spacing w:after="140" w:line="288" w:lineRule="auto"/>
        <w:ind w:left="640" w:hanging="640"/>
      </w:pPr>
      <w:r>
        <w:t xml:space="preserve">169. </w:t>
      </w:r>
      <w:r>
        <w:tab/>
        <w:t xml:space="preserve">Eisenberg ML, Li S, Behr B, Cullen MR, Galusha D, Lamb DJ, et al. Semen quality, infertility and mortality in the USA. Hum Reprod. 2014;29(7):1567–74. </w:t>
      </w:r>
    </w:p>
    <w:p w14:paraId="55CAE247" w14:textId="77777777" w:rsidR="002410DF" w:rsidRDefault="002410DF">
      <w:pPr>
        <w:widowControl w:val="0"/>
        <w:autoSpaceDE w:val="0"/>
        <w:autoSpaceDN w:val="0"/>
        <w:adjustRightInd w:val="0"/>
        <w:spacing w:after="140" w:line="288" w:lineRule="auto"/>
        <w:ind w:left="640" w:hanging="640"/>
      </w:pPr>
      <w:r>
        <w:t xml:space="preserve">170. </w:t>
      </w:r>
      <w:r>
        <w:tab/>
        <w:t xml:space="preserve">Oh JY, Barrett-Connor E, Wedick NM, Wingard DL. Endogenous sex hormones and the development of type 2 diabetes in older men and women: The Rancho Bernardo Study. Diabetes Care. 2002;25(1):55–60. </w:t>
      </w:r>
    </w:p>
    <w:p w14:paraId="63579109" w14:textId="77777777" w:rsidR="002410DF" w:rsidRDefault="002410DF">
      <w:pPr>
        <w:widowControl w:val="0"/>
        <w:autoSpaceDE w:val="0"/>
        <w:autoSpaceDN w:val="0"/>
        <w:adjustRightInd w:val="0"/>
        <w:spacing w:after="140" w:line="288" w:lineRule="auto"/>
        <w:ind w:left="640" w:hanging="640"/>
      </w:pPr>
      <w:r>
        <w:t xml:space="preserve">171. </w:t>
      </w:r>
      <w:r>
        <w:tab/>
        <w:t xml:space="preserve">Jones TH, Arver S, Behre HM, Buvat J, Meuleman E, Moncada I, et al. Testosterone replacement in hypogonadal men with Type 2 diabetes and/or metabolic syndrome (the TIMES2 study). Diabetes Care. 2011;34(4):828–37. </w:t>
      </w:r>
    </w:p>
    <w:p w14:paraId="3163FEE8" w14:textId="77777777" w:rsidR="002410DF" w:rsidRDefault="002410DF">
      <w:pPr>
        <w:widowControl w:val="0"/>
        <w:autoSpaceDE w:val="0"/>
        <w:autoSpaceDN w:val="0"/>
        <w:adjustRightInd w:val="0"/>
        <w:spacing w:after="140" w:line="288" w:lineRule="auto"/>
        <w:ind w:left="640" w:hanging="640"/>
      </w:pPr>
      <w:r>
        <w:t xml:space="preserve">172. </w:t>
      </w:r>
      <w:r>
        <w:tab/>
        <w:t xml:space="preserve">Kupelian V, McVary KT, Kaplan SA, Hall SA, Link CL, Aiyer LP, et al. Association of Lower Urinary Tract Symptoms and the Metabolic Syndrome: Results From the Boston Area Community Health Survey. J Urol. 2009;189(1):107–14. </w:t>
      </w:r>
    </w:p>
    <w:p w14:paraId="6436CEB0" w14:textId="77777777" w:rsidR="002410DF" w:rsidRDefault="002410DF">
      <w:pPr>
        <w:widowControl w:val="0"/>
        <w:autoSpaceDE w:val="0"/>
        <w:autoSpaceDN w:val="0"/>
        <w:adjustRightInd w:val="0"/>
        <w:spacing w:after="140" w:line="288" w:lineRule="auto"/>
        <w:ind w:left="640" w:hanging="640"/>
      </w:pPr>
      <w:r>
        <w:t xml:space="preserve">173. </w:t>
      </w:r>
      <w:r>
        <w:tab/>
        <w:t xml:space="preserve">Pesonen JS, Cartwright R, Vernooij RWM, Aoki Y, Agarwal A, Mangera A, et al. The Impact of Nocturia on Mortality: A Systematic Review and Meta-Analysis. J Urol. 2020;203(3):486–95. </w:t>
      </w:r>
    </w:p>
    <w:p w14:paraId="25A42FEC" w14:textId="77777777" w:rsidR="002410DF" w:rsidRDefault="002410DF">
      <w:pPr>
        <w:widowControl w:val="0"/>
        <w:autoSpaceDE w:val="0"/>
        <w:autoSpaceDN w:val="0"/>
        <w:adjustRightInd w:val="0"/>
        <w:spacing w:after="140" w:line="288" w:lineRule="auto"/>
        <w:ind w:left="640" w:hanging="640"/>
      </w:pPr>
      <w:r>
        <w:t xml:space="preserve">174. </w:t>
      </w:r>
      <w:r>
        <w:tab/>
        <w:t>EAU Guidelines Committee. EAU guidelines on Sexual and Reproductive Health [Internet]. 2020. [cited 2020 Apr 27]. Available from: https://uroweb.org/wp-content/uploads/EAU-Guidelines-on-Sexual-and-Reproductive-Health-2020.pdf</w:t>
      </w:r>
    </w:p>
    <w:p w14:paraId="26CF3F7C" w14:textId="77777777" w:rsidR="002410DF" w:rsidRDefault="002410DF">
      <w:pPr>
        <w:widowControl w:val="0"/>
        <w:autoSpaceDE w:val="0"/>
        <w:autoSpaceDN w:val="0"/>
        <w:adjustRightInd w:val="0"/>
        <w:spacing w:after="140" w:line="288" w:lineRule="auto"/>
        <w:ind w:left="640" w:hanging="640"/>
      </w:pPr>
      <w:r>
        <w:t xml:space="preserve">175. </w:t>
      </w:r>
      <w:r>
        <w:tab/>
        <w:t xml:space="preserve">Pastuszak AW, Hyman DA, Yadav N, Godoy G, Lipshultz LI, Araujo AB, et al. Erectile dysfunction as a marker for cardiovascular disease diagnosis and intervention: A cost analysis. J Sex Med. 2015 Apr 1;12(4):975–84. </w:t>
      </w:r>
    </w:p>
    <w:p w14:paraId="77C34E36" w14:textId="77777777" w:rsidR="002410DF" w:rsidRDefault="002410DF">
      <w:pPr>
        <w:widowControl w:val="0"/>
        <w:autoSpaceDE w:val="0"/>
        <w:autoSpaceDN w:val="0"/>
        <w:adjustRightInd w:val="0"/>
        <w:spacing w:after="140" w:line="288" w:lineRule="auto"/>
        <w:ind w:left="640" w:hanging="640"/>
      </w:pPr>
      <w:r>
        <w:t xml:space="preserve">176. </w:t>
      </w:r>
      <w:r>
        <w:tab/>
        <w:t xml:space="preserve">Bray F, Ferlay J, Soerjomataram I, Siegel RL, Torre LA, Jemal A. Global cancer statistics 2018: GLOBOCAN estimates of incidence and mortality worldwide for 36 cancers in 185 countries. CA Cancer J Clin. 2018;68(6):394–424. </w:t>
      </w:r>
    </w:p>
    <w:p w14:paraId="1A9C697A" w14:textId="77777777" w:rsidR="002410DF" w:rsidRDefault="002410DF">
      <w:pPr>
        <w:widowControl w:val="0"/>
        <w:autoSpaceDE w:val="0"/>
        <w:autoSpaceDN w:val="0"/>
        <w:adjustRightInd w:val="0"/>
        <w:spacing w:after="140" w:line="288" w:lineRule="auto"/>
        <w:ind w:left="640" w:hanging="640"/>
      </w:pPr>
      <w:r>
        <w:t xml:space="preserve">177. </w:t>
      </w:r>
      <w:r>
        <w:tab/>
        <w:t xml:space="preserve">Tsilidis KK, Papadimitriou N, Capothanassi D, Bamia C, Benetou V, Jenab M, et al. Burden of Cancer in a Large Consortium of Prospective Cohorts in Europe. J Natl </w:t>
      </w:r>
      <w:r>
        <w:lastRenderedPageBreak/>
        <w:t xml:space="preserve">Cancer Inst. 2016;108(10):1–7. </w:t>
      </w:r>
    </w:p>
    <w:p w14:paraId="7D872A89" w14:textId="77777777" w:rsidR="002410DF" w:rsidRDefault="002410DF">
      <w:pPr>
        <w:widowControl w:val="0"/>
        <w:autoSpaceDE w:val="0"/>
        <w:autoSpaceDN w:val="0"/>
        <w:adjustRightInd w:val="0"/>
        <w:spacing w:after="140" w:line="288" w:lineRule="auto"/>
        <w:ind w:left="640" w:hanging="640"/>
      </w:pPr>
      <w:r>
        <w:t xml:space="preserve">178. </w:t>
      </w:r>
      <w:r>
        <w:tab/>
        <w:t xml:space="preserve">Eisenberg ML, Betts P, Herder D, Lamb DJ, Lipshultz LI. Increased risk of cancer among azoospermic men. Fertil Steril. 2013;100(3):681-685. </w:t>
      </w:r>
    </w:p>
    <w:p w14:paraId="4577B2F8" w14:textId="77777777" w:rsidR="002410DF" w:rsidRDefault="002410DF">
      <w:pPr>
        <w:widowControl w:val="0"/>
        <w:autoSpaceDE w:val="0"/>
        <w:autoSpaceDN w:val="0"/>
        <w:adjustRightInd w:val="0"/>
        <w:spacing w:after="140" w:line="288" w:lineRule="auto"/>
        <w:ind w:left="640" w:hanging="640"/>
      </w:pPr>
      <w:r>
        <w:t xml:space="preserve">179. </w:t>
      </w:r>
      <w:r>
        <w:tab/>
        <w:t xml:space="preserve">Jacobsen R, Bostofte E, Engholm G, Hansen J, Olsen JH, Skakkebæk NE, et al. Risk of testicular cancer in men with abnormal semen characteristics: Cohort study. Br Med J. 2000;321(7264):789–92. </w:t>
      </w:r>
    </w:p>
    <w:p w14:paraId="1C19AED6" w14:textId="77777777" w:rsidR="002410DF" w:rsidRDefault="002410DF">
      <w:pPr>
        <w:widowControl w:val="0"/>
        <w:autoSpaceDE w:val="0"/>
        <w:autoSpaceDN w:val="0"/>
        <w:adjustRightInd w:val="0"/>
        <w:spacing w:after="140" w:line="288" w:lineRule="auto"/>
        <w:ind w:left="640" w:hanging="640"/>
      </w:pPr>
      <w:r>
        <w:t xml:space="preserve">180. </w:t>
      </w:r>
      <w:r>
        <w:tab/>
        <w:t xml:space="preserve">Skakkebæk NE, Rajpert-De Meyts E, Main KM. Testicular dysgenesis syndrome: An increasingly common developmental disorder with environmental aspects. Hum Reprod. 2001;16(5):972–8. </w:t>
      </w:r>
    </w:p>
    <w:p w14:paraId="2054F9F2" w14:textId="77777777" w:rsidR="002410DF" w:rsidRDefault="002410DF">
      <w:pPr>
        <w:widowControl w:val="0"/>
        <w:autoSpaceDE w:val="0"/>
        <w:autoSpaceDN w:val="0"/>
        <w:adjustRightInd w:val="0"/>
        <w:spacing w:after="140" w:line="288" w:lineRule="auto"/>
        <w:ind w:left="640" w:hanging="640"/>
      </w:pPr>
      <w:r>
        <w:t xml:space="preserve">181. </w:t>
      </w:r>
      <w:r>
        <w:tab/>
        <w:t>Statistics O for N. Suicides in the UK: 2018 registrations - Office for National Statistics [Internet]. 2019 [cited 2020 Sep 19]. Available from: https://www.ons.gov.uk/releases/suicidesintheuk2018registrations</w:t>
      </w:r>
    </w:p>
    <w:p w14:paraId="77058736" w14:textId="77777777" w:rsidR="002410DF" w:rsidRDefault="002410DF">
      <w:pPr>
        <w:widowControl w:val="0"/>
        <w:autoSpaceDE w:val="0"/>
        <w:autoSpaceDN w:val="0"/>
        <w:adjustRightInd w:val="0"/>
        <w:spacing w:after="140" w:line="288" w:lineRule="auto"/>
        <w:ind w:left="640" w:hanging="640"/>
      </w:pPr>
      <w:r>
        <w:t xml:space="preserve">182. </w:t>
      </w:r>
      <w:r>
        <w:tab/>
        <w:t xml:space="preserve">Wasserman D, Cheng Q, Jiang G-X. Global suicide rates among young people aged 15-19. World Psychiatry. 2005;4(2):114–120. </w:t>
      </w:r>
    </w:p>
    <w:p w14:paraId="2A211BB4" w14:textId="77777777" w:rsidR="002410DF" w:rsidRDefault="002410DF">
      <w:pPr>
        <w:widowControl w:val="0"/>
        <w:autoSpaceDE w:val="0"/>
        <w:autoSpaceDN w:val="0"/>
        <w:adjustRightInd w:val="0"/>
        <w:spacing w:after="140" w:line="288" w:lineRule="auto"/>
        <w:ind w:left="640" w:hanging="640"/>
      </w:pPr>
      <w:r>
        <w:t xml:space="preserve">183. </w:t>
      </w:r>
      <w:r>
        <w:tab/>
        <w:t xml:space="preserve">Hawton K, Witt KG, Taylor Salisbury TL, Arensman E, Gunnell D, Hazell P, et al. Psychosocial interventions for self-harm in adults. Cochrane Database Syst Rev. 2016;5:1–237. </w:t>
      </w:r>
    </w:p>
    <w:p w14:paraId="5330903F" w14:textId="77777777" w:rsidR="002410DF" w:rsidRDefault="002410DF">
      <w:pPr>
        <w:widowControl w:val="0"/>
        <w:autoSpaceDE w:val="0"/>
        <w:autoSpaceDN w:val="0"/>
        <w:adjustRightInd w:val="0"/>
        <w:spacing w:after="140" w:line="288" w:lineRule="auto"/>
        <w:ind w:left="640" w:hanging="640"/>
      </w:pPr>
      <w:r>
        <w:t xml:space="preserve">184. </w:t>
      </w:r>
      <w:r>
        <w:tab/>
        <w:t xml:space="preserve">Clayton AH, El Haddad S, Iluonakhamhe JP, Ponce Martinez C, Schuck AE. Sexual dysfunction associated with major depressive disorder and antidepressant treatment. Expert Opin Drug Saf. 2014;13(10):1361–74. </w:t>
      </w:r>
    </w:p>
    <w:p w14:paraId="091AA226" w14:textId="77777777" w:rsidR="002410DF" w:rsidRDefault="002410DF">
      <w:pPr>
        <w:widowControl w:val="0"/>
        <w:autoSpaceDE w:val="0"/>
        <w:autoSpaceDN w:val="0"/>
        <w:adjustRightInd w:val="0"/>
        <w:spacing w:after="140" w:line="288" w:lineRule="auto"/>
        <w:ind w:left="640" w:hanging="640"/>
      </w:pPr>
      <w:r>
        <w:t xml:space="preserve">185. </w:t>
      </w:r>
      <w:r>
        <w:tab/>
        <w:t xml:space="preserve">King KE. Patient Satisfaction in a One-Stop Haematuria clinic and Urology Outpatients: A Comparison of Clinics. Int J Urol Nurs. 2016;10(3):127–36. </w:t>
      </w:r>
    </w:p>
    <w:p w14:paraId="5DCB3670" w14:textId="77777777" w:rsidR="002410DF" w:rsidRDefault="002410DF">
      <w:pPr>
        <w:widowControl w:val="0"/>
        <w:autoSpaceDE w:val="0"/>
        <w:autoSpaceDN w:val="0"/>
        <w:adjustRightInd w:val="0"/>
        <w:spacing w:after="140" w:line="288" w:lineRule="auto"/>
        <w:ind w:left="640" w:hanging="640"/>
      </w:pPr>
      <w:r>
        <w:t xml:space="preserve">186. </w:t>
      </w:r>
      <w:r>
        <w:tab/>
        <w:t xml:space="preserve">Gorman M, Coelho J, Gujral S, McKay A. One-Stop Clinic Utilization in Plastic Surgery: Our Local Experience and the Results of a UK-Wide National Survey. Plast Surg Int. 2015;2015:1–9. </w:t>
      </w:r>
    </w:p>
    <w:p w14:paraId="57F44E16" w14:textId="77777777" w:rsidR="002410DF" w:rsidRDefault="002410DF">
      <w:pPr>
        <w:widowControl w:val="0"/>
        <w:autoSpaceDE w:val="0"/>
        <w:autoSpaceDN w:val="0"/>
        <w:adjustRightInd w:val="0"/>
        <w:spacing w:after="140" w:line="288" w:lineRule="auto"/>
        <w:ind w:left="640" w:hanging="640"/>
      </w:pPr>
      <w:r>
        <w:t xml:space="preserve">187. </w:t>
      </w:r>
      <w:r>
        <w:tab/>
        <w:t xml:space="preserve">Naspro R, Da Pozzo LF. Urology in the time of corona. Nat Rev Urol. 2020;17:251–253. </w:t>
      </w:r>
    </w:p>
    <w:p w14:paraId="5264954E" w14:textId="77777777" w:rsidR="002410DF" w:rsidRDefault="002410DF">
      <w:pPr>
        <w:widowControl w:val="0"/>
        <w:autoSpaceDE w:val="0"/>
        <w:autoSpaceDN w:val="0"/>
        <w:adjustRightInd w:val="0"/>
        <w:spacing w:after="140" w:line="288" w:lineRule="auto"/>
        <w:ind w:left="640" w:hanging="640"/>
      </w:pPr>
      <w:r>
        <w:t xml:space="preserve">188. </w:t>
      </w:r>
      <w:r>
        <w:tab/>
        <w:t xml:space="preserve">Ribal MJ, Cornford P, Briganti A, Knoll T, Gravas S, Babjuk M, et al. European Association of Urology Guidelines Office Rapid Reaction Group: An Organisation-wide Collaborative Effort to Adapt the European Association of Urology Guidelines Recommendations to the Coronavirus Disease 2019 Era. Eur Urol. 2020;78(1):21–8. </w:t>
      </w:r>
    </w:p>
    <w:p w14:paraId="77C0C014" w14:textId="77777777" w:rsidR="002410DF" w:rsidRDefault="002410DF">
      <w:pPr>
        <w:widowControl w:val="0"/>
        <w:autoSpaceDE w:val="0"/>
        <w:autoSpaceDN w:val="0"/>
        <w:adjustRightInd w:val="0"/>
        <w:spacing w:after="140" w:line="288" w:lineRule="auto"/>
        <w:ind w:left="640" w:hanging="640"/>
      </w:pPr>
      <w:r>
        <w:t xml:space="preserve">189. </w:t>
      </w:r>
      <w:r>
        <w:tab/>
        <w:t xml:space="preserve">Teo CH, Ng CJ, Ho CCK, Tan HM. A consensus on men’s health status and policy in Asia: A Delphi survey. Public Health. 2015;129(1):60–7. </w:t>
      </w:r>
    </w:p>
    <w:p w14:paraId="3895AAF0" w14:textId="77777777" w:rsidR="002410DF" w:rsidRDefault="002410DF">
      <w:pPr>
        <w:widowControl w:val="0"/>
        <w:autoSpaceDE w:val="0"/>
        <w:autoSpaceDN w:val="0"/>
        <w:adjustRightInd w:val="0"/>
        <w:spacing w:after="140" w:line="288" w:lineRule="auto"/>
        <w:ind w:left="640" w:hanging="640"/>
      </w:pPr>
      <w:r>
        <w:t xml:space="preserve">190. </w:t>
      </w:r>
      <w:r>
        <w:tab/>
        <w:t xml:space="preserve">Rovito M, Leone J. Faith and Masculinity: A Discussion on Raising Awareness and Promoting Cancer Screening Among Latino Men. Californian J Health Promot. 2012;10:70–7. </w:t>
      </w:r>
    </w:p>
    <w:p w14:paraId="60CB93C6" w14:textId="77777777" w:rsidR="002410DF" w:rsidRDefault="002410DF">
      <w:pPr>
        <w:widowControl w:val="0"/>
        <w:autoSpaceDE w:val="0"/>
        <w:autoSpaceDN w:val="0"/>
        <w:adjustRightInd w:val="0"/>
        <w:spacing w:after="140" w:line="288" w:lineRule="auto"/>
        <w:ind w:left="640" w:hanging="640"/>
      </w:pPr>
      <w:r>
        <w:lastRenderedPageBreak/>
        <w:t xml:space="preserve">191. </w:t>
      </w:r>
      <w:r>
        <w:tab/>
        <w:t xml:space="preserve">Resnicow K, Kramish Campbell M, Carr C, McCarty F, Wang T, Periasamy S, et al. Body and soul: A dietary intervention conducted through African-American churches. Am J Prev Med. 2004;27(2):97–105. </w:t>
      </w:r>
    </w:p>
    <w:p w14:paraId="7CF103EB" w14:textId="77777777" w:rsidR="002410DF" w:rsidRDefault="002410DF">
      <w:pPr>
        <w:widowControl w:val="0"/>
        <w:autoSpaceDE w:val="0"/>
        <w:autoSpaceDN w:val="0"/>
        <w:adjustRightInd w:val="0"/>
        <w:spacing w:after="140" w:line="288" w:lineRule="auto"/>
        <w:ind w:left="640" w:hanging="640"/>
      </w:pPr>
      <w:r>
        <w:t xml:space="preserve">192. </w:t>
      </w:r>
      <w:r>
        <w:tab/>
        <w:t xml:space="preserve">Resnicow K, Jackson A, Wang T, De AK, McCarty F, Dudley WN, et al. A motivational interviewing intervention to increase fruit and vegetable intake through Black churches: Results of the eat for life trial. Am J Public Health. 2001;91(10):1686–93. </w:t>
      </w:r>
    </w:p>
    <w:p w14:paraId="45304B47" w14:textId="77777777" w:rsidR="002410DF" w:rsidRDefault="002410DF">
      <w:pPr>
        <w:widowControl w:val="0"/>
        <w:autoSpaceDE w:val="0"/>
        <w:autoSpaceDN w:val="0"/>
        <w:adjustRightInd w:val="0"/>
        <w:spacing w:after="140" w:line="288" w:lineRule="auto"/>
        <w:ind w:left="640" w:hanging="640"/>
      </w:pPr>
      <w:r>
        <w:t xml:space="preserve">193. </w:t>
      </w:r>
      <w:r>
        <w:tab/>
        <w:t xml:space="preserve">Sugimoto CR, Ahn YY, Smith E, Macaluso B, Larivière V. Factors affecting sex-related reporting in medical research: a cross-disciplinary bibliometric analysis. Lancet. 2019;393:550–559. </w:t>
      </w:r>
    </w:p>
    <w:p w14:paraId="68C4B4D6" w14:textId="77777777" w:rsidR="002410DF" w:rsidRDefault="002410DF">
      <w:pPr>
        <w:widowControl w:val="0"/>
        <w:autoSpaceDE w:val="0"/>
        <w:autoSpaceDN w:val="0"/>
        <w:adjustRightInd w:val="0"/>
        <w:spacing w:after="140" w:line="288" w:lineRule="auto"/>
        <w:ind w:left="640" w:hanging="640"/>
      </w:pPr>
      <w:r>
        <w:t xml:space="preserve">194. </w:t>
      </w:r>
      <w:r>
        <w:tab/>
        <w:t xml:space="preserve">Milner A, Shields M, King T. The Influence of Masculine Norms and Mental Health on Health Literacy Among Men: Evidence From the Ten to Men Study: https://doi.org/101177/1557988319873532. 2019;13(5):1–9. </w:t>
      </w:r>
    </w:p>
    <w:p w14:paraId="5D5A71F9" w14:textId="77777777" w:rsidR="002410DF" w:rsidRDefault="002410DF">
      <w:pPr>
        <w:widowControl w:val="0"/>
        <w:autoSpaceDE w:val="0"/>
        <w:autoSpaceDN w:val="0"/>
        <w:adjustRightInd w:val="0"/>
        <w:spacing w:after="140" w:line="288" w:lineRule="auto"/>
        <w:ind w:left="640" w:hanging="640"/>
      </w:pPr>
      <w:r>
        <w:t xml:space="preserve">195. </w:t>
      </w:r>
      <w:r>
        <w:tab/>
        <w:t xml:space="preserve">Short SE, Mollborn S. Social Determinants and Health Behaviors: Conceptual Frames and Empirical Advances. Curr Opin Psychol. 2015;5:78–84. </w:t>
      </w:r>
    </w:p>
    <w:p w14:paraId="71D33D70" w14:textId="77777777" w:rsidR="002410DF" w:rsidRDefault="002410DF">
      <w:pPr>
        <w:widowControl w:val="0"/>
        <w:autoSpaceDE w:val="0"/>
        <w:autoSpaceDN w:val="0"/>
        <w:adjustRightInd w:val="0"/>
        <w:spacing w:after="140" w:line="288" w:lineRule="auto"/>
        <w:ind w:left="640" w:hanging="640"/>
      </w:pPr>
      <w:r>
        <w:t xml:space="preserve">196. </w:t>
      </w:r>
      <w:r>
        <w:tab/>
        <w:t xml:space="preserve">Teo CH, Ng CJ, Lo SK, Lim CD, White A. A mobile web app to improve health screening uptake in men (Screenmen): Utility and usability evaluation study. JMIR mHealth uHealth. 2019;7(4):e10216. </w:t>
      </w:r>
    </w:p>
    <w:p w14:paraId="4FE8E5AD" w14:textId="77777777" w:rsidR="002410DF" w:rsidRDefault="002410DF">
      <w:pPr>
        <w:widowControl w:val="0"/>
        <w:autoSpaceDE w:val="0"/>
        <w:autoSpaceDN w:val="0"/>
        <w:adjustRightInd w:val="0"/>
        <w:spacing w:after="140" w:line="288" w:lineRule="auto"/>
        <w:ind w:left="640" w:hanging="640"/>
      </w:pPr>
      <w:r>
        <w:t xml:space="preserve">197. </w:t>
      </w:r>
      <w:r>
        <w:tab/>
        <w:t xml:space="preserve">Novara G, Checcucci E, Crestani A, Abrate A, Esperto F, Pavan N, et al. Telehealth in Urology: A Systematic Review of the Literature. How Much Can Telemedicine Be Useful During and After the COVID-19 Pandemic? Eur Urol. 2020;78(6):786–811. </w:t>
      </w:r>
    </w:p>
    <w:p w14:paraId="34BFFE95" w14:textId="77777777" w:rsidR="002410DF" w:rsidRDefault="002410DF">
      <w:pPr>
        <w:widowControl w:val="0"/>
        <w:autoSpaceDE w:val="0"/>
        <w:autoSpaceDN w:val="0"/>
        <w:adjustRightInd w:val="0"/>
        <w:spacing w:after="140" w:line="288" w:lineRule="auto"/>
        <w:ind w:left="640" w:hanging="640"/>
      </w:pPr>
      <w:r>
        <w:t xml:space="preserve">198. </w:t>
      </w:r>
      <w:r>
        <w:tab/>
        <w:t xml:space="preserve">Chandra R, Federici S, Németh ZH, Csóka B, Thomas JA, Donnelly R, et al. Cellular mosaicism for X-linked polymorphisms and IRAK1 expression presents a distinct phenotype and improves survival following sepsis. J Leukoc Biol. 2014;95(3):497–507. </w:t>
      </w:r>
    </w:p>
    <w:p w14:paraId="539853A4" w14:textId="77777777" w:rsidR="002410DF" w:rsidRDefault="002410DF" w:rsidP="004B0BC2">
      <w:pPr>
        <w:pStyle w:val="Smallprinthead"/>
        <w:rPr>
          <w:rFonts w:asciiTheme="minorHAnsi" w:hAnsiTheme="minorHAnsi"/>
          <w:sz w:val="22"/>
        </w:rPr>
      </w:pPr>
    </w:p>
    <w:p w14:paraId="0E10B886" w14:textId="77777777" w:rsidR="002410DF" w:rsidRDefault="002410DF" w:rsidP="004B0BC2">
      <w:pPr>
        <w:pStyle w:val="Smallprinthead"/>
        <w:rPr>
          <w:rFonts w:asciiTheme="minorHAnsi" w:hAnsiTheme="minorHAnsi"/>
          <w:sz w:val="22"/>
        </w:rPr>
      </w:pPr>
    </w:p>
    <w:p w14:paraId="00F9D54F" w14:textId="77777777" w:rsidR="002410DF" w:rsidRDefault="002410DF" w:rsidP="004B0BC2">
      <w:pPr>
        <w:pStyle w:val="Smallprinthead"/>
        <w:rPr>
          <w:rFonts w:asciiTheme="minorHAnsi" w:hAnsiTheme="minorHAnsi"/>
          <w:sz w:val="22"/>
        </w:rPr>
      </w:pPr>
    </w:p>
    <w:p w14:paraId="36D7C68F" w14:textId="77777777" w:rsidR="002410DF" w:rsidRDefault="002410DF" w:rsidP="004B0BC2">
      <w:pPr>
        <w:pStyle w:val="Smallprinthead"/>
        <w:rPr>
          <w:rFonts w:asciiTheme="minorHAnsi" w:hAnsiTheme="minorHAnsi"/>
          <w:sz w:val="22"/>
        </w:rPr>
      </w:pPr>
    </w:p>
    <w:p w14:paraId="22D432C3" w14:textId="77777777" w:rsidR="002410DF" w:rsidRDefault="002410DF" w:rsidP="004B0BC2">
      <w:pPr>
        <w:pStyle w:val="Smallprinthead"/>
        <w:rPr>
          <w:rFonts w:asciiTheme="minorHAnsi" w:hAnsiTheme="minorHAnsi"/>
          <w:sz w:val="22"/>
        </w:rPr>
      </w:pPr>
    </w:p>
    <w:p w14:paraId="074A74C4" w14:textId="77777777" w:rsidR="002410DF" w:rsidRDefault="002410DF" w:rsidP="004B0BC2">
      <w:pPr>
        <w:pStyle w:val="Smallprinthead"/>
        <w:rPr>
          <w:rFonts w:asciiTheme="minorHAnsi" w:hAnsiTheme="minorHAnsi"/>
          <w:sz w:val="22"/>
        </w:rPr>
      </w:pPr>
    </w:p>
    <w:p w14:paraId="16A812FA" w14:textId="77777777" w:rsidR="002410DF" w:rsidRDefault="002410DF" w:rsidP="004B0BC2">
      <w:pPr>
        <w:pStyle w:val="Smallprinthead"/>
        <w:rPr>
          <w:rFonts w:asciiTheme="minorHAnsi" w:hAnsiTheme="minorHAnsi"/>
          <w:sz w:val="22"/>
        </w:rPr>
      </w:pPr>
    </w:p>
    <w:p w14:paraId="2C02B648" w14:textId="00429DB0" w:rsidR="004B0BC2" w:rsidRPr="00500FBD" w:rsidRDefault="004B0BC2" w:rsidP="004B0BC2">
      <w:pPr>
        <w:pStyle w:val="Smallprinthead"/>
        <w:rPr>
          <w:rFonts w:asciiTheme="minorHAnsi" w:hAnsiTheme="minorHAnsi"/>
          <w:sz w:val="22"/>
        </w:rPr>
      </w:pPr>
      <w:r w:rsidRPr="00500FBD">
        <w:rPr>
          <w:rFonts w:asciiTheme="minorHAnsi" w:hAnsiTheme="minorHAnsi"/>
          <w:sz w:val="22"/>
        </w:rPr>
        <w:lastRenderedPageBreak/>
        <w:t>Acknowledgements</w:t>
      </w:r>
    </w:p>
    <w:p w14:paraId="4C22D890" w14:textId="33F4E5F0" w:rsidR="004B0BC2" w:rsidRPr="004B0BC2" w:rsidRDefault="004B0BC2" w:rsidP="004B0BC2">
      <w:pPr>
        <w:pStyle w:val="NoSpacing"/>
        <w:spacing w:line="480" w:lineRule="auto"/>
        <w:rPr>
          <w:rFonts w:eastAsia="Times New Roman" w:cstheme="minorHAnsi"/>
          <w:color w:val="2A2A2A"/>
          <w:sz w:val="22"/>
          <w:szCs w:val="22"/>
          <w:lang w:eastAsia="en-GB"/>
        </w:rPr>
      </w:pPr>
      <w:r w:rsidRPr="004B0BC2">
        <w:rPr>
          <w:rFonts w:eastAsia="Times New Roman" w:cstheme="minorHAnsi"/>
          <w:color w:val="2A2A2A"/>
          <w:sz w:val="22"/>
          <w:szCs w:val="22"/>
          <w:lang w:eastAsia="en-GB"/>
        </w:rPr>
        <w:br/>
      </w:r>
      <w:r>
        <w:rPr>
          <w:rFonts w:eastAsia="Times New Roman" w:cstheme="minorHAnsi"/>
          <w:color w:val="2A2A2A"/>
          <w:sz w:val="22"/>
          <w:szCs w:val="22"/>
          <w:lang w:eastAsia="en-GB"/>
        </w:rPr>
        <w:t>T.T. is</w:t>
      </w:r>
      <w:r w:rsidRPr="004B0BC2">
        <w:rPr>
          <w:rFonts w:eastAsia="Times New Roman" w:cstheme="minorHAnsi"/>
          <w:color w:val="2A2A2A"/>
          <w:sz w:val="22"/>
          <w:szCs w:val="22"/>
          <w:lang w:eastAsia="en-GB"/>
        </w:rPr>
        <w:t xml:space="preserve"> funded </w:t>
      </w:r>
      <w:r>
        <w:rPr>
          <w:rFonts w:eastAsia="Times New Roman" w:cstheme="minorHAnsi"/>
          <w:color w:val="2A2A2A"/>
          <w:sz w:val="22"/>
          <w:szCs w:val="22"/>
          <w:lang w:eastAsia="en-GB"/>
        </w:rPr>
        <w:t>by an</w:t>
      </w:r>
      <w:r w:rsidRPr="004B0BC2">
        <w:rPr>
          <w:rFonts w:eastAsia="Times New Roman" w:cstheme="minorHAnsi"/>
          <w:color w:val="2A2A2A"/>
          <w:sz w:val="22"/>
          <w:szCs w:val="22"/>
          <w:lang w:eastAsia="en-GB"/>
        </w:rPr>
        <w:t xml:space="preserve"> Imperial Private Services Fellowship</w:t>
      </w:r>
      <w:r>
        <w:rPr>
          <w:rFonts w:eastAsia="Times New Roman" w:cstheme="minorHAnsi"/>
          <w:color w:val="2A2A2A"/>
          <w:sz w:val="22"/>
          <w:szCs w:val="22"/>
          <w:lang w:eastAsia="en-GB"/>
        </w:rPr>
        <w:t>. C.N.J. is funded by a</w:t>
      </w:r>
      <w:r w:rsidRPr="004B0BC2">
        <w:rPr>
          <w:rFonts w:eastAsia="Times New Roman" w:cstheme="minorHAnsi"/>
          <w:color w:val="2A2A2A"/>
          <w:sz w:val="22"/>
          <w:szCs w:val="22"/>
          <w:lang w:eastAsia="en-GB"/>
        </w:rPr>
        <w:t xml:space="preserve"> NIHR Post-Doctoral Fellowship (C.N.J.). </w:t>
      </w:r>
      <w:r w:rsidRPr="004B0BC2">
        <w:rPr>
          <w:rFonts w:eastAsia="Times New Roman" w:cstheme="minorHAnsi"/>
          <w:color w:val="2A2A2A"/>
          <w:sz w:val="22"/>
          <w:szCs w:val="22"/>
          <w:lang w:eastAsia="en-GB"/>
        </w:rPr>
        <w:br/>
      </w:r>
    </w:p>
    <w:p w14:paraId="03201A73" w14:textId="298A5E27" w:rsidR="004B0BC2" w:rsidRPr="00500FBD" w:rsidRDefault="004B0BC2" w:rsidP="004B0BC2">
      <w:pPr>
        <w:pStyle w:val="Smallprinthead"/>
        <w:rPr>
          <w:rFonts w:asciiTheme="minorHAnsi" w:hAnsiTheme="minorHAnsi"/>
          <w:sz w:val="22"/>
        </w:rPr>
      </w:pPr>
      <w:r w:rsidRPr="00500FBD">
        <w:rPr>
          <w:rFonts w:asciiTheme="minorHAnsi" w:hAnsiTheme="minorHAnsi"/>
          <w:sz w:val="22"/>
        </w:rPr>
        <w:t>Author contributions</w:t>
      </w:r>
    </w:p>
    <w:p w14:paraId="75077E93" w14:textId="7F911A73" w:rsidR="004B0BC2" w:rsidRPr="00500FBD" w:rsidRDefault="0091625F" w:rsidP="004B0BC2">
      <w:pPr>
        <w:pStyle w:val="Smallprinttext"/>
        <w:rPr>
          <w:rFonts w:asciiTheme="minorHAnsi" w:hAnsiTheme="minorHAnsi"/>
          <w:b w:val="0"/>
          <w:sz w:val="22"/>
        </w:rPr>
      </w:pPr>
      <w:r>
        <w:rPr>
          <w:rFonts w:asciiTheme="minorHAnsi" w:hAnsiTheme="minorHAnsi"/>
          <w:b w:val="0"/>
          <w:sz w:val="22"/>
        </w:rPr>
        <w:t>T</w:t>
      </w:r>
      <w:r w:rsidR="004B0BC2" w:rsidRPr="00500FBD">
        <w:rPr>
          <w:rFonts w:asciiTheme="minorHAnsi" w:hAnsiTheme="minorHAnsi"/>
          <w:b w:val="0"/>
          <w:sz w:val="22"/>
        </w:rPr>
        <w:t>.</w:t>
      </w:r>
      <w:r>
        <w:rPr>
          <w:rFonts w:asciiTheme="minorHAnsi" w:hAnsiTheme="minorHAnsi"/>
          <w:b w:val="0"/>
          <w:sz w:val="22"/>
        </w:rPr>
        <w:t>T</w:t>
      </w:r>
      <w:r w:rsidR="004B0BC2" w:rsidRPr="00500FBD">
        <w:rPr>
          <w:rFonts w:asciiTheme="minorHAnsi" w:hAnsiTheme="minorHAnsi"/>
          <w:b w:val="0"/>
          <w:sz w:val="22"/>
        </w:rPr>
        <w:t xml:space="preserve">. </w:t>
      </w:r>
      <w:r>
        <w:rPr>
          <w:rFonts w:asciiTheme="minorHAnsi" w:hAnsiTheme="minorHAnsi"/>
          <w:b w:val="0"/>
          <w:sz w:val="22"/>
        </w:rPr>
        <w:t xml:space="preserve">and C.C.K. </w:t>
      </w:r>
      <w:r w:rsidR="004B0BC2" w:rsidRPr="00500FBD">
        <w:rPr>
          <w:rFonts w:asciiTheme="minorHAnsi" w:hAnsiTheme="minorHAnsi"/>
          <w:b w:val="0"/>
          <w:sz w:val="22"/>
        </w:rPr>
        <w:t>researched da</w:t>
      </w:r>
      <w:r w:rsidRPr="0091625F">
        <w:rPr>
          <w:rFonts w:asciiTheme="minorHAnsi" w:hAnsiTheme="minorHAnsi"/>
          <w:b w:val="0"/>
          <w:sz w:val="22"/>
        </w:rPr>
        <w:t>ta for the article. All authors</w:t>
      </w:r>
      <w:r w:rsidR="004B0BC2" w:rsidRPr="00500FBD">
        <w:rPr>
          <w:rFonts w:asciiTheme="minorHAnsi" w:hAnsiTheme="minorHAnsi"/>
          <w:b w:val="0"/>
          <w:sz w:val="22"/>
        </w:rPr>
        <w:t xml:space="preserve"> contributed substantially to discussion of the content. </w:t>
      </w:r>
      <w:r>
        <w:rPr>
          <w:rFonts w:asciiTheme="minorHAnsi" w:hAnsiTheme="minorHAnsi"/>
          <w:b w:val="0"/>
          <w:sz w:val="22"/>
        </w:rPr>
        <w:t>T.T.</w:t>
      </w:r>
      <w:r w:rsidR="004B0BC2" w:rsidRPr="00500FBD">
        <w:rPr>
          <w:rFonts w:asciiTheme="minorHAnsi" w:hAnsiTheme="minorHAnsi"/>
          <w:b w:val="0"/>
          <w:sz w:val="22"/>
        </w:rPr>
        <w:t>. wrote the article. All authors</w:t>
      </w:r>
      <w:r>
        <w:rPr>
          <w:rFonts w:asciiTheme="minorHAnsi" w:hAnsiTheme="minorHAnsi"/>
          <w:b w:val="0"/>
          <w:sz w:val="22"/>
        </w:rPr>
        <w:t xml:space="preserve"> </w:t>
      </w:r>
      <w:r w:rsidR="004B0BC2" w:rsidRPr="00500FBD">
        <w:rPr>
          <w:rFonts w:asciiTheme="minorHAnsi" w:hAnsiTheme="minorHAnsi"/>
          <w:b w:val="0"/>
          <w:sz w:val="22"/>
        </w:rPr>
        <w:t>reviewed and/or edited the manuscript before submission.</w:t>
      </w:r>
    </w:p>
    <w:p w14:paraId="17F75E44" w14:textId="409D06CF" w:rsidR="004B0BC2" w:rsidRPr="00500FBD" w:rsidRDefault="004B0BC2" w:rsidP="004B0BC2">
      <w:pPr>
        <w:pStyle w:val="Smallprinthead"/>
        <w:rPr>
          <w:rFonts w:asciiTheme="minorHAnsi" w:hAnsiTheme="minorHAnsi"/>
          <w:sz w:val="22"/>
        </w:rPr>
      </w:pPr>
      <w:r w:rsidRPr="00500FBD">
        <w:rPr>
          <w:rFonts w:asciiTheme="minorHAnsi" w:hAnsiTheme="minorHAnsi"/>
          <w:sz w:val="22"/>
        </w:rPr>
        <w:t>Competing interests</w:t>
      </w:r>
    </w:p>
    <w:p w14:paraId="7061C443" w14:textId="35B32C33" w:rsidR="004B0BC2" w:rsidRPr="00500FBD" w:rsidRDefault="004B0BC2" w:rsidP="004B0BC2">
      <w:pPr>
        <w:pStyle w:val="Smallprinttext"/>
        <w:rPr>
          <w:rFonts w:asciiTheme="minorHAnsi" w:hAnsiTheme="minorHAnsi"/>
          <w:b w:val="0"/>
          <w:sz w:val="22"/>
        </w:rPr>
      </w:pPr>
      <w:r w:rsidRPr="00500FBD">
        <w:rPr>
          <w:rFonts w:asciiTheme="minorHAnsi" w:hAnsiTheme="minorHAnsi"/>
          <w:b w:val="0"/>
          <w:color w:val="2A2A2A"/>
          <w:sz w:val="22"/>
        </w:rPr>
        <w:t xml:space="preserve">Both C.N.J. and S.M. hold investigator-led grants from LogixX Pharma Ltd. C.N.J has received a speaker fee for The Society for Endocrinology Debate sponsored by Besins Healthcare. </w:t>
      </w:r>
      <w:r w:rsidRPr="00500FBD">
        <w:rPr>
          <w:rFonts w:asciiTheme="minorHAnsi" w:hAnsiTheme="minorHAnsi"/>
          <w:b w:val="0"/>
          <w:sz w:val="22"/>
        </w:rPr>
        <w:t>The</w:t>
      </w:r>
      <w:r>
        <w:rPr>
          <w:rFonts w:asciiTheme="minorHAnsi" w:hAnsiTheme="minorHAnsi"/>
          <w:b w:val="0"/>
          <w:sz w:val="22"/>
        </w:rPr>
        <w:t xml:space="preserve"> other</w:t>
      </w:r>
      <w:r w:rsidRPr="00500FBD">
        <w:rPr>
          <w:rFonts w:asciiTheme="minorHAnsi" w:hAnsiTheme="minorHAnsi"/>
          <w:b w:val="0"/>
          <w:sz w:val="22"/>
        </w:rPr>
        <w:t xml:space="preserve"> authors declare no competing interests.</w:t>
      </w:r>
    </w:p>
    <w:p w14:paraId="02B5A038" w14:textId="415DDEA4" w:rsidR="004B0BC2" w:rsidRPr="00500FBD" w:rsidRDefault="004B0BC2" w:rsidP="004B0BC2">
      <w:pPr>
        <w:pStyle w:val="Smallprinthead"/>
        <w:rPr>
          <w:rFonts w:asciiTheme="minorHAnsi" w:hAnsiTheme="minorHAnsi"/>
          <w:sz w:val="22"/>
        </w:rPr>
      </w:pPr>
      <w:r w:rsidRPr="00500FBD">
        <w:rPr>
          <w:rFonts w:asciiTheme="minorHAnsi" w:hAnsiTheme="minorHAnsi"/>
          <w:sz w:val="22"/>
        </w:rPr>
        <w:t>Peer review information</w:t>
      </w:r>
    </w:p>
    <w:p w14:paraId="28E95CC3" w14:textId="6C3D8B94" w:rsidR="004B0BC2" w:rsidRPr="00500FBD" w:rsidRDefault="004B0BC2" w:rsidP="004B0BC2">
      <w:pPr>
        <w:pStyle w:val="Smallprinttext"/>
        <w:rPr>
          <w:rFonts w:asciiTheme="minorHAnsi" w:hAnsiTheme="minorHAnsi"/>
          <w:b w:val="0"/>
          <w:sz w:val="22"/>
        </w:rPr>
      </w:pPr>
      <w:r w:rsidRPr="00500FBD">
        <w:rPr>
          <w:rFonts w:asciiTheme="minorHAnsi" w:hAnsiTheme="minorHAnsi"/>
          <w:b w:val="0"/>
          <w:i/>
          <w:sz w:val="22"/>
        </w:rPr>
        <w:t>Nature Reviews XXX</w:t>
      </w:r>
      <w:r w:rsidRPr="00500FBD">
        <w:rPr>
          <w:rFonts w:asciiTheme="minorHAnsi" w:hAnsiTheme="minorHAnsi"/>
          <w:b w:val="0"/>
          <w:sz w:val="22"/>
        </w:rPr>
        <w:t xml:space="preserve"> thanks [Referee#1 name], [Referee#2 name] and the other, anonymous, reviewer(s) for their contribution to the peer review of this work.</w:t>
      </w:r>
    </w:p>
    <w:p w14:paraId="4088D9B7" w14:textId="4091C676" w:rsidR="004B0BC2" w:rsidRPr="00500FBD" w:rsidRDefault="004B0BC2" w:rsidP="004B0BC2">
      <w:pPr>
        <w:pStyle w:val="Smallprinthead"/>
        <w:rPr>
          <w:rFonts w:asciiTheme="minorHAnsi" w:hAnsiTheme="minorHAnsi"/>
          <w:sz w:val="22"/>
        </w:rPr>
      </w:pPr>
      <w:r w:rsidRPr="00500FBD">
        <w:rPr>
          <w:rFonts w:asciiTheme="minorHAnsi" w:hAnsiTheme="minorHAnsi"/>
          <w:sz w:val="22"/>
        </w:rPr>
        <w:t>Publisher's note</w:t>
      </w:r>
    </w:p>
    <w:p w14:paraId="0E3D3522" w14:textId="578D9F69" w:rsidR="004B0BC2" w:rsidRDefault="004B0BC2" w:rsidP="004B0BC2">
      <w:pPr>
        <w:pStyle w:val="Smallprinttext"/>
        <w:rPr>
          <w:rFonts w:asciiTheme="minorHAnsi" w:hAnsiTheme="minorHAnsi"/>
          <w:b w:val="0"/>
          <w:sz w:val="22"/>
        </w:rPr>
      </w:pPr>
      <w:r w:rsidRPr="00500FBD">
        <w:rPr>
          <w:rFonts w:asciiTheme="minorHAnsi" w:hAnsiTheme="minorHAnsi"/>
          <w:b w:val="0"/>
          <w:sz w:val="22"/>
        </w:rPr>
        <w:t>Springer Nature remains neutral with regard to jurisdictional claims in published maps and institutional affiliations.</w:t>
      </w:r>
    </w:p>
    <w:p w14:paraId="4B9C8DC7" w14:textId="77777777" w:rsidR="00C1304A" w:rsidRDefault="00C1304A" w:rsidP="004B0BC2">
      <w:pPr>
        <w:pStyle w:val="Smallprinttext"/>
        <w:rPr>
          <w:rFonts w:asciiTheme="minorHAnsi" w:hAnsiTheme="minorHAnsi"/>
          <w:b w:val="0"/>
          <w:sz w:val="22"/>
        </w:rPr>
      </w:pPr>
    </w:p>
    <w:p w14:paraId="6F2958E8" w14:textId="62F42782" w:rsidR="00C1304A" w:rsidRDefault="00C1304A" w:rsidP="004B0BC2">
      <w:pPr>
        <w:pStyle w:val="Smallprinttext"/>
        <w:rPr>
          <w:rFonts w:asciiTheme="minorHAnsi" w:hAnsiTheme="minorHAnsi"/>
          <w:b w:val="0"/>
          <w:sz w:val="22"/>
        </w:rPr>
      </w:pPr>
      <w:r>
        <w:rPr>
          <w:rFonts w:asciiTheme="minorHAnsi" w:hAnsiTheme="minorHAnsi"/>
          <w:b w:val="0"/>
          <w:sz w:val="22"/>
        </w:rPr>
        <w:t>Useful links</w:t>
      </w:r>
    </w:p>
    <w:p w14:paraId="2400676E" w14:textId="4E8BC43D" w:rsidR="00C1304A" w:rsidRPr="00500FBD" w:rsidRDefault="00C1304A" w:rsidP="004B0BC2">
      <w:pPr>
        <w:pStyle w:val="Smallprinttext"/>
        <w:rPr>
          <w:rFonts w:asciiTheme="minorHAnsi" w:hAnsiTheme="minorHAnsi"/>
          <w:b w:val="0"/>
          <w:sz w:val="22"/>
        </w:rPr>
      </w:pPr>
      <w:r w:rsidRPr="004B0BC2">
        <w:rPr>
          <w:rFonts w:asciiTheme="minorHAnsi" w:hAnsiTheme="minorHAnsi"/>
          <w:sz w:val="22"/>
        </w:rPr>
        <w:t>WHO guidelines</w:t>
      </w:r>
      <w:r>
        <w:rPr>
          <w:rFonts w:asciiTheme="minorHAnsi" w:hAnsiTheme="minorHAnsi"/>
          <w:sz w:val="22"/>
        </w:rPr>
        <w:t xml:space="preserve"> for clinical management of COVID-19 </w:t>
      </w:r>
      <w:r w:rsidRPr="00C1304A">
        <w:rPr>
          <w:rFonts w:asciiTheme="minorHAnsi" w:hAnsiTheme="minorHAnsi"/>
          <w:b w:val="0"/>
          <w:sz w:val="22"/>
        </w:rPr>
        <w:t>https://www.who.int/publications/i/item/</w:t>
      </w:r>
      <w:r>
        <w:rPr>
          <w:rFonts w:asciiTheme="minorHAnsi" w:hAnsiTheme="minorHAnsi"/>
          <w:b w:val="0"/>
          <w:sz w:val="22"/>
        </w:rPr>
        <w:t>clinical-management-of-covid-19</w:t>
      </w:r>
    </w:p>
    <w:p w14:paraId="0BF633A1" w14:textId="012B475D" w:rsidR="00BE17AE" w:rsidRDefault="00BE17AE" w:rsidP="00500FBD">
      <w:pPr>
        <w:pStyle w:val="Smallprinttext"/>
      </w:pPr>
    </w:p>
    <w:p w14:paraId="745D7693" w14:textId="409AE3A8" w:rsidR="006F6B02" w:rsidRDefault="006F6B02" w:rsidP="00500FBD">
      <w:pPr>
        <w:pStyle w:val="Smallprinttext"/>
      </w:pPr>
    </w:p>
    <w:p w14:paraId="111C8BF6" w14:textId="0F320D60" w:rsidR="006F6B02" w:rsidRDefault="006F6B02" w:rsidP="00500FBD">
      <w:pPr>
        <w:pStyle w:val="Smallprinttext"/>
      </w:pPr>
    </w:p>
    <w:p w14:paraId="0E37C769" w14:textId="0CE9CF14" w:rsidR="006F6B02" w:rsidRDefault="006F6B02" w:rsidP="00500FBD">
      <w:pPr>
        <w:pStyle w:val="Smallprinttext"/>
      </w:pPr>
    </w:p>
    <w:p w14:paraId="00B9F422" w14:textId="78D762DD" w:rsidR="006F6B02" w:rsidRDefault="006F6B02" w:rsidP="00500FBD">
      <w:pPr>
        <w:pStyle w:val="Smallprinttext"/>
      </w:pPr>
    </w:p>
    <w:p w14:paraId="79F8A00F" w14:textId="52215ADB" w:rsidR="006F6B02" w:rsidRDefault="006F6B02" w:rsidP="00500FBD">
      <w:pPr>
        <w:pStyle w:val="Smallprinttext"/>
      </w:pPr>
    </w:p>
    <w:p w14:paraId="64A763B1" w14:textId="04A858DE" w:rsidR="006F6B02" w:rsidRDefault="006F6B02" w:rsidP="00500FBD">
      <w:pPr>
        <w:pStyle w:val="Smallprinttext"/>
      </w:pPr>
    </w:p>
    <w:p w14:paraId="4965EEC6" w14:textId="66860F9F" w:rsidR="006F6B02" w:rsidRDefault="006F6B02" w:rsidP="00500FBD">
      <w:pPr>
        <w:pStyle w:val="Smallprinttext"/>
      </w:pPr>
    </w:p>
    <w:p w14:paraId="401243F8" w14:textId="17C64894" w:rsidR="006F6B02" w:rsidRDefault="006F6B02" w:rsidP="00500FBD">
      <w:pPr>
        <w:pStyle w:val="Smallprinttext"/>
      </w:pPr>
    </w:p>
    <w:p w14:paraId="2CDB142F" w14:textId="6BA20E50" w:rsidR="006F6B02" w:rsidRDefault="006F6B02" w:rsidP="00500FBD">
      <w:pPr>
        <w:pStyle w:val="Smallprinttext"/>
      </w:pPr>
    </w:p>
    <w:p w14:paraId="430BF897" w14:textId="3D4C977E" w:rsidR="006F6B02" w:rsidRDefault="006F6B02" w:rsidP="00500FBD">
      <w:pPr>
        <w:pStyle w:val="Smallprinttext"/>
      </w:pPr>
    </w:p>
    <w:p w14:paraId="3E5C800F" w14:textId="7DA99DA1" w:rsidR="006F6B02" w:rsidRDefault="006F6B02" w:rsidP="00500FBD">
      <w:pPr>
        <w:pStyle w:val="Smallprinttext"/>
      </w:pPr>
    </w:p>
    <w:p w14:paraId="6F11360D" w14:textId="025387A3" w:rsidR="006F6B02" w:rsidRDefault="006F6B02" w:rsidP="00500FBD">
      <w:pPr>
        <w:pStyle w:val="Smallprinttext"/>
      </w:pPr>
    </w:p>
    <w:p w14:paraId="598735E1" w14:textId="332AE563" w:rsidR="006F6B02" w:rsidRDefault="006F6B02" w:rsidP="00500FBD">
      <w:pPr>
        <w:pStyle w:val="Smallprinttext"/>
      </w:pPr>
    </w:p>
    <w:p w14:paraId="0FAEDFFC" w14:textId="42D371EE" w:rsidR="006F6B02" w:rsidRDefault="006F6B02" w:rsidP="00500FBD">
      <w:pPr>
        <w:pStyle w:val="Smallprinttext"/>
      </w:pPr>
    </w:p>
    <w:p w14:paraId="66541647" w14:textId="77777777" w:rsidR="006F6B02" w:rsidRPr="004B0BC2" w:rsidRDefault="006F6B02" w:rsidP="00500FBD">
      <w:pPr>
        <w:pStyle w:val="Smallprinttext"/>
      </w:pPr>
    </w:p>
    <w:sectPr w:rsidR="006F6B02" w:rsidRPr="004B0BC2" w:rsidSect="004B0B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6DCD" w14:textId="77777777" w:rsidR="00F85AFE" w:rsidRDefault="00F85AFE" w:rsidP="00F24B26">
      <w:r>
        <w:separator/>
      </w:r>
    </w:p>
  </w:endnote>
  <w:endnote w:type="continuationSeparator" w:id="0">
    <w:p w14:paraId="7DCE6DBB" w14:textId="77777777" w:rsidR="00F85AFE" w:rsidRDefault="00F85AFE" w:rsidP="00F24B26">
      <w:r>
        <w:continuationSeparator/>
      </w:r>
    </w:p>
  </w:endnote>
  <w:endnote w:type="continuationNotice" w:id="1">
    <w:p w14:paraId="10589FC8" w14:textId="77777777" w:rsidR="00F85AFE" w:rsidRDefault="00F8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MS ??">
    <w:altName w:val="Heiti TC Light"/>
    <w:panose1 w:val="020B0604020202020204"/>
    <w:charset w:val="80"/>
    <w:family w:val="auto"/>
    <w:pitch w:val="variable"/>
    <w:sig w:usb0="00000000" w:usb1="08070000" w:usb2="00000010" w:usb3="00000000" w:csb0="00020000" w:csb1="00000000"/>
  </w:font>
  <w:font w:name="ITC Symbol Std Medium">
    <w:altName w:val="Calibri"/>
    <w:panose1 w:val="020B0604020202020204"/>
    <w:charset w:val="00"/>
    <w:family w:val="swiss"/>
    <w:notTrueType/>
    <w:pitch w:val="variable"/>
    <w:sig w:usb0="800000AF" w:usb1="4000204A" w:usb2="00000000" w:usb3="00000000" w:csb0="00000001" w:csb1="00000000"/>
  </w:font>
  <w:font w:name="ITC Symbol Std Book">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 Pro">
    <w:altName w:val="Cambria"/>
    <w:panose1 w:val="020B0604020202020204"/>
    <w:charset w:val="00"/>
    <w:family w:val="roman"/>
    <w:notTrueType/>
    <w:pitch w:val="variable"/>
    <w:sig w:usb0="00000001" w:usb1="50006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CFB8" w14:textId="77777777" w:rsidR="00F85AFE" w:rsidRDefault="00F85AFE" w:rsidP="00F24B26">
      <w:r>
        <w:separator/>
      </w:r>
    </w:p>
  </w:footnote>
  <w:footnote w:type="continuationSeparator" w:id="0">
    <w:p w14:paraId="3273E0D0" w14:textId="77777777" w:rsidR="00F85AFE" w:rsidRDefault="00F85AFE" w:rsidP="00F24B26">
      <w:r>
        <w:continuationSeparator/>
      </w:r>
    </w:p>
  </w:footnote>
  <w:footnote w:type="continuationNotice" w:id="1">
    <w:p w14:paraId="4C27729B" w14:textId="77777777" w:rsidR="00F85AFE" w:rsidRDefault="00F85A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324"/>
    <w:multiLevelType w:val="multilevel"/>
    <w:tmpl w:val="1F9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D4544"/>
    <w:multiLevelType w:val="hybridMultilevel"/>
    <w:tmpl w:val="7AC65E86"/>
    <w:lvl w:ilvl="0" w:tplc="B2C83404">
      <w:start w:val="1"/>
      <w:numFmt w:val="decimal"/>
      <w:lvlText w:val="%1."/>
      <w:lvlJc w:val="left"/>
      <w:pPr>
        <w:ind w:left="644"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02BA4"/>
    <w:multiLevelType w:val="multilevel"/>
    <w:tmpl w:val="F93E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862CA"/>
    <w:multiLevelType w:val="multilevel"/>
    <w:tmpl w:val="5FE4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B613A"/>
    <w:multiLevelType w:val="hybridMultilevel"/>
    <w:tmpl w:val="62EEB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9F4213"/>
    <w:multiLevelType w:val="hybridMultilevel"/>
    <w:tmpl w:val="A2C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B3760"/>
    <w:multiLevelType w:val="multilevel"/>
    <w:tmpl w:val="1D6A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54783E"/>
    <w:multiLevelType w:val="multilevel"/>
    <w:tmpl w:val="6A4E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B20D59"/>
    <w:multiLevelType w:val="multilevel"/>
    <w:tmpl w:val="A610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842450">
    <w:abstractNumId w:val="3"/>
  </w:num>
  <w:num w:numId="2" w16cid:durableId="344671632">
    <w:abstractNumId w:val="1"/>
  </w:num>
  <w:num w:numId="3" w16cid:durableId="1644114540">
    <w:abstractNumId w:val="7"/>
  </w:num>
  <w:num w:numId="4" w16cid:durableId="475299207">
    <w:abstractNumId w:val="6"/>
  </w:num>
  <w:num w:numId="5" w16cid:durableId="259489646">
    <w:abstractNumId w:val="0"/>
  </w:num>
  <w:num w:numId="6" w16cid:durableId="1252082675">
    <w:abstractNumId w:val="8"/>
  </w:num>
  <w:num w:numId="7" w16cid:durableId="1888443848">
    <w:abstractNumId w:val="4"/>
  </w:num>
  <w:num w:numId="8" w16cid:durableId="437918776">
    <w:abstractNumId w:val="5"/>
  </w:num>
  <w:num w:numId="9" w16cid:durableId="46570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26"/>
    <w:rsid w:val="00002964"/>
    <w:rsid w:val="00003962"/>
    <w:rsid w:val="00003DFC"/>
    <w:rsid w:val="00005E49"/>
    <w:rsid w:val="00013348"/>
    <w:rsid w:val="000209F2"/>
    <w:rsid w:val="00020AB8"/>
    <w:rsid w:val="0002129B"/>
    <w:rsid w:val="000238AE"/>
    <w:rsid w:val="000242C7"/>
    <w:rsid w:val="00025072"/>
    <w:rsid w:val="000250B5"/>
    <w:rsid w:val="00032989"/>
    <w:rsid w:val="0003478C"/>
    <w:rsid w:val="00036D9A"/>
    <w:rsid w:val="0003792D"/>
    <w:rsid w:val="000417C4"/>
    <w:rsid w:val="00041997"/>
    <w:rsid w:val="00042522"/>
    <w:rsid w:val="00043362"/>
    <w:rsid w:val="00043DCB"/>
    <w:rsid w:val="00044329"/>
    <w:rsid w:val="0004678F"/>
    <w:rsid w:val="00053B36"/>
    <w:rsid w:val="000540C7"/>
    <w:rsid w:val="0005548F"/>
    <w:rsid w:val="00055A6D"/>
    <w:rsid w:val="000568AB"/>
    <w:rsid w:val="000606CD"/>
    <w:rsid w:val="000613F4"/>
    <w:rsid w:val="000679C0"/>
    <w:rsid w:val="00070B91"/>
    <w:rsid w:val="00075CA4"/>
    <w:rsid w:val="0007659F"/>
    <w:rsid w:val="0008267B"/>
    <w:rsid w:val="00083B85"/>
    <w:rsid w:val="000850B1"/>
    <w:rsid w:val="00086667"/>
    <w:rsid w:val="00086C02"/>
    <w:rsid w:val="000877FF"/>
    <w:rsid w:val="000917B8"/>
    <w:rsid w:val="00091A0A"/>
    <w:rsid w:val="00091F49"/>
    <w:rsid w:val="000920FD"/>
    <w:rsid w:val="0009412C"/>
    <w:rsid w:val="00094724"/>
    <w:rsid w:val="00095551"/>
    <w:rsid w:val="000A01A9"/>
    <w:rsid w:val="000A1F32"/>
    <w:rsid w:val="000A2FA4"/>
    <w:rsid w:val="000A5728"/>
    <w:rsid w:val="000A732C"/>
    <w:rsid w:val="000B12D8"/>
    <w:rsid w:val="000B1B19"/>
    <w:rsid w:val="000B24F7"/>
    <w:rsid w:val="000B4B93"/>
    <w:rsid w:val="000B5C79"/>
    <w:rsid w:val="000B7FA2"/>
    <w:rsid w:val="000C3540"/>
    <w:rsid w:val="000C44B5"/>
    <w:rsid w:val="000C6DC1"/>
    <w:rsid w:val="000D033E"/>
    <w:rsid w:val="000D2DAC"/>
    <w:rsid w:val="000D2F5E"/>
    <w:rsid w:val="000D6E0A"/>
    <w:rsid w:val="000E23FF"/>
    <w:rsid w:val="000E4196"/>
    <w:rsid w:val="000E493C"/>
    <w:rsid w:val="000E495A"/>
    <w:rsid w:val="000E4DF3"/>
    <w:rsid w:val="000F1E3F"/>
    <w:rsid w:val="000F1EDE"/>
    <w:rsid w:val="000F6065"/>
    <w:rsid w:val="000F62B6"/>
    <w:rsid w:val="000F7825"/>
    <w:rsid w:val="00100764"/>
    <w:rsid w:val="00104A08"/>
    <w:rsid w:val="00106E4C"/>
    <w:rsid w:val="00110F35"/>
    <w:rsid w:val="001118F9"/>
    <w:rsid w:val="0011499C"/>
    <w:rsid w:val="00114B3E"/>
    <w:rsid w:val="00117125"/>
    <w:rsid w:val="001177B6"/>
    <w:rsid w:val="001232F1"/>
    <w:rsid w:val="00125F24"/>
    <w:rsid w:val="00126F77"/>
    <w:rsid w:val="0012795B"/>
    <w:rsid w:val="001301C2"/>
    <w:rsid w:val="001304C8"/>
    <w:rsid w:val="001325EE"/>
    <w:rsid w:val="001344A6"/>
    <w:rsid w:val="00134517"/>
    <w:rsid w:val="00136252"/>
    <w:rsid w:val="00140997"/>
    <w:rsid w:val="00140B62"/>
    <w:rsid w:val="0014106F"/>
    <w:rsid w:val="001448B6"/>
    <w:rsid w:val="001516DC"/>
    <w:rsid w:val="00151DB9"/>
    <w:rsid w:val="00152F70"/>
    <w:rsid w:val="001546CC"/>
    <w:rsid w:val="0015589D"/>
    <w:rsid w:val="0015629A"/>
    <w:rsid w:val="00156AEF"/>
    <w:rsid w:val="001615EC"/>
    <w:rsid w:val="001649DA"/>
    <w:rsid w:val="00165FFA"/>
    <w:rsid w:val="0016702F"/>
    <w:rsid w:val="001674BF"/>
    <w:rsid w:val="00167D39"/>
    <w:rsid w:val="0017192F"/>
    <w:rsid w:val="001736E5"/>
    <w:rsid w:val="00175ABE"/>
    <w:rsid w:val="00176B73"/>
    <w:rsid w:val="00176BAF"/>
    <w:rsid w:val="001800B0"/>
    <w:rsid w:val="00182289"/>
    <w:rsid w:val="00185A8F"/>
    <w:rsid w:val="00190D8C"/>
    <w:rsid w:val="00190FE8"/>
    <w:rsid w:val="00191EEC"/>
    <w:rsid w:val="00193B38"/>
    <w:rsid w:val="001945C6"/>
    <w:rsid w:val="00194F76"/>
    <w:rsid w:val="00196C31"/>
    <w:rsid w:val="001A2A9C"/>
    <w:rsid w:val="001A2CAF"/>
    <w:rsid w:val="001B1861"/>
    <w:rsid w:val="001B3DB7"/>
    <w:rsid w:val="001B4680"/>
    <w:rsid w:val="001B5BF4"/>
    <w:rsid w:val="001B6015"/>
    <w:rsid w:val="001B753F"/>
    <w:rsid w:val="001C0FAD"/>
    <w:rsid w:val="001C22CE"/>
    <w:rsid w:val="001C26F0"/>
    <w:rsid w:val="001C5159"/>
    <w:rsid w:val="001C55D0"/>
    <w:rsid w:val="001C6580"/>
    <w:rsid w:val="001D6E6C"/>
    <w:rsid w:val="001D72DD"/>
    <w:rsid w:val="001E3168"/>
    <w:rsid w:val="001E3A77"/>
    <w:rsid w:val="001E5AD7"/>
    <w:rsid w:val="001E6373"/>
    <w:rsid w:val="001F0740"/>
    <w:rsid w:val="001F4B63"/>
    <w:rsid w:val="001F509D"/>
    <w:rsid w:val="002022A6"/>
    <w:rsid w:val="00202859"/>
    <w:rsid w:val="00202D76"/>
    <w:rsid w:val="0020515F"/>
    <w:rsid w:val="002066C6"/>
    <w:rsid w:val="002137D5"/>
    <w:rsid w:val="00215887"/>
    <w:rsid w:val="002176BD"/>
    <w:rsid w:val="002233A5"/>
    <w:rsid w:val="00227483"/>
    <w:rsid w:val="002276F7"/>
    <w:rsid w:val="00227ED3"/>
    <w:rsid w:val="00232F83"/>
    <w:rsid w:val="00233630"/>
    <w:rsid w:val="00234579"/>
    <w:rsid w:val="002376DD"/>
    <w:rsid w:val="0024049D"/>
    <w:rsid w:val="002404FF"/>
    <w:rsid w:val="002410DF"/>
    <w:rsid w:val="00241B23"/>
    <w:rsid w:val="002435C7"/>
    <w:rsid w:val="00247CAD"/>
    <w:rsid w:val="00251FF2"/>
    <w:rsid w:val="0025250C"/>
    <w:rsid w:val="002535B9"/>
    <w:rsid w:val="002536E2"/>
    <w:rsid w:val="00263190"/>
    <w:rsid w:val="00263937"/>
    <w:rsid w:val="00266448"/>
    <w:rsid w:val="00271A3B"/>
    <w:rsid w:val="00272182"/>
    <w:rsid w:val="00272F4D"/>
    <w:rsid w:val="0027331C"/>
    <w:rsid w:val="002737D5"/>
    <w:rsid w:val="0027386C"/>
    <w:rsid w:val="0027458E"/>
    <w:rsid w:val="00277C81"/>
    <w:rsid w:val="00281C77"/>
    <w:rsid w:val="00283611"/>
    <w:rsid w:val="00284198"/>
    <w:rsid w:val="00284957"/>
    <w:rsid w:val="00284E8D"/>
    <w:rsid w:val="00285946"/>
    <w:rsid w:val="00287A1A"/>
    <w:rsid w:val="002901A2"/>
    <w:rsid w:val="00292260"/>
    <w:rsid w:val="00292D72"/>
    <w:rsid w:val="002941B0"/>
    <w:rsid w:val="002977D0"/>
    <w:rsid w:val="002A6B86"/>
    <w:rsid w:val="002A6C32"/>
    <w:rsid w:val="002B173D"/>
    <w:rsid w:val="002B1BFC"/>
    <w:rsid w:val="002B3484"/>
    <w:rsid w:val="002B4791"/>
    <w:rsid w:val="002C021B"/>
    <w:rsid w:val="002C364A"/>
    <w:rsid w:val="002C3886"/>
    <w:rsid w:val="002C41F0"/>
    <w:rsid w:val="002C49A5"/>
    <w:rsid w:val="002C5979"/>
    <w:rsid w:val="002C7FD7"/>
    <w:rsid w:val="002D2331"/>
    <w:rsid w:val="002D3665"/>
    <w:rsid w:val="002D3751"/>
    <w:rsid w:val="002D6266"/>
    <w:rsid w:val="002D69B7"/>
    <w:rsid w:val="002D7EEC"/>
    <w:rsid w:val="002E3B25"/>
    <w:rsid w:val="002E4486"/>
    <w:rsid w:val="002E461E"/>
    <w:rsid w:val="002E4697"/>
    <w:rsid w:val="002F0BA9"/>
    <w:rsid w:val="002F11B8"/>
    <w:rsid w:val="002F2FF8"/>
    <w:rsid w:val="003017B2"/>
    <w:rsid w:val="00301EF9"/>
    <w:rsid w:val="00303FCE"/>
    <w:rsid w:val="00310BEC"/>
    <w:rsid w:val="003132DF"/>
    <w:rsid w:val="003141A8"/>
    <w:rsid w:val="00314E7D"/>
    <w:rsid w:val="00316A01"/>
    <w:rsid w:val="0032162E"/>
    <w:rsid w:val="003276FA"/>
    <w:rsid w:val="00327DEA"/>
    <w:rsid w:val="00327E17"/>
    <w:rsid w:val="00334841"/>
    <w:rsid w:val="00334B7D"/>
    <w:rsid w:val="00335334"/>
    <w:rsid w:val="003371B0"/>
    <w:rsid w:val="00343CD7"/>
    <w:rsid w:val="00344913"/>
    <w:rsid w:val="00344FC9"/>
    <w:rsid w:val="003461CC"/>
    <w:rsid w:val="00347263"/>
    <w:rsid w:val="003475DB"/>
    <w:rsid w:val="00351B98"/>
    <w:rsid w:val="003548FC"/>
    <w:rsid w:val="00356112"/>
    <w:rsid w:val="0035636E"/>
    <w:rsid w:val="003569DF"/>
    <w:rsid w:val="00356BFC"/>
    <w:rsid w:val="00360E02"/>
    <w:rsid w:val="0036238B"/>
    <w:rsid w:val="00363E46"/>
    <w:rsid w:val="00363FA0"/>
    <w:rsid w:val="0036406E"/>
    <w:rsid w:val="00364372"/>
    <w:rsid w:val="00367843"/>
    <w:rsid w:val="003702D4"/>
    <w:rsid w:val="00370BCB"/>
    <w:rsid w:val="003710C8"/>
    <w:rsid w:val="00373899"/>
    <w:rsid w:val="003751FF"/>
    <w:rsid w:val="003757BF"/>
    <w:rsid w:val="00383227"/>
    <w:rsid w:val="00385825"/>
    <w:rsid w:val="00385D45"/>
    <w:rsid w:val="00386209"/>
    <w:rsid w:val="0038648A"/>
    <w:rsid w:val="00391107"/>
    <w:rsid w:val="003919A5"/>
    <w:rsid w:val="0039499E"/>
    <w:rsid w:val="003A12AF"/>
    <w:rsid w:val="003A207B"/>
    <w:rsid w:val="003B6353"/>
    <w:rsid w:val="003C11E1"/>
    <w:rsid w:val="003C2B02"/>
    <w:rsid w:val="003C38B1"/>
    <w:rsid w:val="003C542E"/>
    <w:rsid w:val="003C7113"/>
    <w:rsid w:val="003D32B7"/>
    <w:rsid w:val="003D5028"/>
    <w:rsid w:val="003E1EF6"/>
    <w:rsid w:val="003E20EA"/>
    <w:rsid w:val="003E299D"/>
    <w:rsid w:val="003E771B"/>
    <w:rsid w:val="003F2D27"/>
    <w:rsid w:val="003F37BE"/>
    <w:rsid w:val="003F42AA"/>
    <w:rsid w:val="003F48E1"/>
    <w:rsid w:val="003F5F2A"/>
    <w:rsid w:val="004006FB"/>
    <w:rsid w:val="00405274"/>
    <w:rsid w:val="004052FD"/>
    <w:rsid w:val="00405315"/>
    <w:rsid w:val="004057D6"/>
    <w:rsid w:val="00405A28"/>
    <w:rsid w:val="0040669F"/>
    <w:rsid w:val="00406747"/>
    <w:rsid w:val="0040722F"/>
    <w:rsid w:val="00414ED0"/>
    <w:rsid w:val="004174B1"/>
    <w:rsid w:val="0042280A"/>
    <w:rsid w:val="004268A3"/>
    <w:rsid w:val="00427AC4"/>
    <w:rsid w:val="0043025C"/>
    <w:rsid w:val="0043196C"/>
    <w:rsid w:val="00433D48"/>
    <w:rsid w:val="00434714"/>
    <w:rsid w:val="004409CA"/>
    <w:rsid w:val="00440D3D"/>
    <w:rsid w:val="004466DA"/>
    <w:rsid w:val="00446D04"/>
    <w:rsid w:val="00452911"/>
    <w:rsid w:val="00455A93"/>
    <w:rsid w:val="00455ECD"/>
    <w:rsid w:val="00463625"/>
    <w:rsid w:val="00464863"/>
    <w:rsid w:val="00465F02"/>
    <w:rsid w:val="0047220A"/>
    <w:rsid w:val="00473742"/>
    <w:rsid w:val="00477009"/>
    <w:rsid w:val="0047731B"/>
    <w:rsid w:val="00480471"/>
    <w:rsid w:val="00485013"/>
    <w:rsid w:val="00485468"/>
    <w:rsid w:val="00487C7A"/>
    <w:rsid w:val="00491500"/>
    <w:rsid w:val="00497285"/>
    <w:rsid w:val="00497D4B"/>
    <w:rsid w:val="004A21E0"/>
    <w:rsid w:val="004A4ED7"/>
    <w:rsid w:val="004B0BC2"/>
    <w:rsid w:val="004B1FD2"/>
    <w:rsid w:val="004B56F0"/>
    <w:rsid w:val="004B6AE6"/>
    <w:rsid w:val="004C5912"/>
    <w:rsid w:val="004C5F90"/>
    <w:rsid w:val="004C6B7E"/>
    <w:rsid w:val="004C7E1A"/>
    <w:rsid w:val="004C7FB1"/>
    <w:rsid w:val="004D20B7"/>
    <w:rsid w:val="004D6819"/>
    <w:rsid w:val="004D6A51"/>
    <w:rsid w:val="004D6B67"/>
    <w:rsid w:val="004E00B9"/>
    <w:rsid w:val="004E032E"/>
    <w:rsid w:val="004E04ED"/>
    <w:rsid w:val="004E1B32"/>
    <w:rsid w:val="004E24A6"/>
    <w:rsid w:val="004E2C3D"/>
    <w:rsid w:val="004E2C8A"/>
    <w:rsid w:val="004E3CAB"/>
    <w:rsid w:val="004E5151"/>
    <w:rsid w:val="004E59BD"/>
    <w:rsid w:val="004E65E7"/>
    <w:rsid w:val="004E7C97"/>
    <w:rsid w:val="004F15C4"/>
    <w:rsid w:val="004F3220"/>
    <w:rsid w:val="00500DAA"/>
    <w:rsid w:val="00500FBD"/>
    <w:rsid w:val="0050266E"/>
    <w:rsid w:val="005033EA"/>
    <w:rsid w:val="0050475D"/>
    <w:rsid w:val="00510C4C"/>
    <w:rsid w:val="00512579"/>
    <w:rsid w:val="00512D1B"/>
    <w:rsid w:val="00515FCB"/>
    <w:rsid w:val="00521A7B"/>
    <w:rsid w:val="00522C48"/>
    <w:rsid w:val="00523CB7"/>
    <w:rsid w:val="00525CB3"/>
    <w:rsid w:val="0053080F"/>
    <w:rsid w:val="005326B1"/>
    <w:rsid w:val="00534D82"/>
    <w:rsid w:val="00540237"/>
    <w:rsid w:val="00541B1F"/>
    <w:rsid w:val="00541F60"/>
    <w:rsid w:val="00542681"/>
    <w:rsid w:val="00543F30"/>
    <w:rsid w:val="00544F05"/>
    <w:rsid w:val="00546B03"/>
    <w:rsid w:val="00547480"/>
    <w:rsid w:val="00547903"/>
    <w:rsid w:val="00551EAE"/>
    <w:rsid w:val="00552A3E"/>
    <w:rsid w:val="005570DF"/>
    <w:rsid w:val="00560543"/>
    <w:rsid w:val="00560663"/>
    <w:rsid w:val="00560F52"/>
    <w:rsid w:val="00562426"/>
    <w:rsid w:val="00564081"/>
    <w:rsid w:val="00566718"/>
    <w:rsid w:val="00567A8B"/>
    <w:rsid w:val="0057193A"/>
    <w:rsid w:val="00573F1F"/>
    <w:rsid w:val="00576377"/>
    <w:rsid w:val="00580C19"/>
    <w:rsid w:val="00581C03"/>
    <w:rsid w:val="00591068"/>
    <w:rsid w:val="0059684A"/>
    <w:rsid w:val="005971DB"/>
    <w:rsid w:val="00597635"/>
    <w:rsid w:val="005A0935"/>
    <w:rsid w:val="005A0F83"/>
    <w:rsid w:val="005A47AE"/>
    <w:rsid w:val="005A4D36"/>
    <w:rsid w:val="005A66E0"/>
    <w:rsid w:val="005A73AA"/>
    <w:rsid w:val="005A76C4"/>
    <w:rsid w:val="005B472A"/>
    <w:rsid w:val="005B5078"/>
    <w:rsid w:val="005B7768"/>
    <w:rsid w:val="005C040E"/>
    <w:rsid w:val="005C18F3"/>
    <w:rsid w:val="005C6ED1"/>
    <w:rsid w:val="005D4598"/>
    <w:rsid w:val="005D4784"/>
    <w:rsid w:val="005E0181"/>
    <w:rsid w:val="005E0493"/>
    <w:rsid w:val="005E129E"/>
    <w:rsid w:val="005E2CCC"/>
    <w:rsid w:val="005E33E4"/>
    <w:rsid w:val="005E38BC"/>
    <w:rsid w:val="005F1DF9"/>
    <w:rsid w:val="005F2083"/>
    <w:rsid w:val="005F2127"/>
    <w:rsid w:val="005F521C"/>
    <w:rsid w:val="005F55A4"/>
    <w:rsid w:val="005F629C"/>
    <w:rsid w:val="005F66D4"/>
    <w:rsid w:val="0060125F"/>
    <w:rsid w:val="006026E4"/>
    <w:rsid w:val="006079AB"/>
    <w:rsid w:val="00612A15"/>
    <w:rsid w:val="006131E8"/>
    <w:rsid w:val="00614CB9"/>
    <w:rsid w:val="00620968"/>
    <w:rsid w:val="00624028"/>
    <w:rsid w:val="006242DE"/>
    <w:rsid w:val="00625DD4"/>
    <w:rsid w:val="006269E8"/>
    <w:rsid w:val="006304AF"/>
    <w:rsid w:val="00630857"/>
    <w:rsid w:val="00630CAC"/>
    <w:rsid w:val="00630CF3"/>
    <w:rsid w:val="0063542E"/>
    <w:rsid w:val="006363C3"/>
    <w:rsid w:val="0064543E"/>
    <w:rsid w:val="00645482"/>
    <w:rsid w:val="006538CF"/>
    <w:rsid w:val="00653F08"/>
    <w:rsid w:val="006543D7"/>
    <w:rsid w:val="006546C8"/>
    <w:rsid w:val="00662630"/>
    <w:rsid w:val="006636B5"/>
    <w:rsid w:val="006644D5"/>
    <w:rsid w:val="00665567"/>
    <w:rsid w:val="00666AFB"/>
    <w:rsid w:val="0067060D"/>
    <w:rsid w:val="006710B3"/>
    <w:rsid w:val="006719C9"/>
    <w:rsid w:val="00671BDE"/>
    <w:rsid w:val="00671EC7"/>
    <w:rsid w:val="00671FB1"/>
    <w:rsid w:val="00672FA9"/>
    <w:rsid w:val="00674543"/>
    <w:rsid w:val="00676925"/>
    <w:rsid w:val="00677145"/>
    <w:rsid w:val="00682763"/>
    <w:rsid w:val="00683B68"/>
    <w:rsid w:val="006863D5"/>
    <w:rsid w:val="006870FD"/>
    <w:rsid w:val="00690CE1"/>
    <w:rsid w:val="00691B77"/>
    <w:rsid w:val="00693DD5"/>
    <w:rsid w:val="00695A0F"/>
    <w:rsid w:val="00697E5F"/>
    <w:rsid w:val="006A2298"/>
    <w:rsid w:val="006A26AE"/>
    <w:rsid w:val="006A2BF3"/>
    <w:rsid w:val="006A77B8"/>
    <w:rsid w:val="006B35BC"/>
    <w:rsid w:val="006B36D9"/>
    <w:rsid w:val="006B373E"/>
    <w:rsid w:val="006B4EC8"/>
    <w:rsid w:val="006B76BE"/>
    <w:rsid w:val="006B77C0"/>
    <w:rsid w:val="006C6897"/>
    <w:rsid w:val="006C6911"/>
    <w:rsid w:val="006C6A0B"/>
    <w:rsid w:val="006C6CE2"/>
    <w:rsid w:val="006C7CA1"/>
    <w:rsid w:val="006D12C9"/>
    <w:rsid w:val="006D18D2"/>
    <w:rsid w:val="006D3CA6"/>
    <w:rsid w:val="006E257C"/>
    <w:rsid w:val="006E2967"/>
    <w:rsid w:val="006E402D"/>
    <w:rsid w:val="006E541D"/>
    <w:rsid w:val="006E64D6"/>
    <w:rsid w:val="006E76F9"/>
    <w:rsid w:val="006F3017"/>
    <w:rsid w:val="006F38DD"/>
    <w:rsid w:val="006F43AA"/>
    <w:rsid w:val="006F4406"/>
    <w:rsid w:val="006F5AD9"/>
    <w:rsid w:val="006F6B02"/>
    <w:rsid w:val="007017CD"/>
    <w:rsid w:val="007017D0"/>
    <w:rsid w:val="00702EA6"/>
    <w:rsid w:val="00702F9F"/>
    <w:rsid w:val="00706975"/>
    <w:rsid w:val="00706AF6"/>
    <w:rsid w:val="007118AF"/>
    <w:rsid w:val="00712A68"/>
    <w:rsid w:val="00712B6E"/>
    <w:rsid w:val="00715C81"/>
    <w:rsid w:val="007215EB"/>
    <w:rsid w:val="00721789"/>
    <w:rsid w:val="00721ACC"/>
    <w:rsid w:val="007230AE"/>
    <w:rsid w:val="00726187"/>
    <w:rsid w:val="007267E6"/>
    <w:rsid w:val="00732DEF"/>
    <w:rsid w:val="00733C5B"/>
    <w:rsid w:val="00733F22"/>
    <w:rsid w:val="00742774"/>
    <w:rsid w:val="007463A0"/>
    <w:rsid w:val="007468DD"/>
    <w:rsid w:val="007523AA"/>
    <w:rsid w:val="00754C06"/>
    <w:rsid w:val="0075597F"/>
    <w:rsid w:val="007578B3"/>
    <w:rsid w:val="00757B75"/>
    <w:rsid w:val="00760C98"/>
    <w:rsid w:val="0076746B"/>
    <w:rsid w:val="0077274E"/>
    <w:rsid w:val="00773AF8"/>
    <w:rsid w:val="00777130"/>
    <w:rsid w:val="007803FF"/>
    <w:rsid w:val="0078155C"/>
    <w:rsid w:val="00782752"/>
    <w:rsid w:val="00783618"/>
    <w:rsid w:val="00785779"/>
    <w:rsid w:val="00790EBA"/>
    <w:rsid w:val="007928E1"/>
    <w:rsid w:val="00795B2A"/>
    <w:rsid w:val="00795BED"/>
    <w:rsid w:val="00796FC7"/>
    <w:rsid w:val="007A00E8"/>
    <w:rsid w:val="007A0A3B"/>
    <w:rsid w:val="007A1BE9"/>
    <w:rsid w:val="007A2D36"/>
    <w:rsid w:val="007A5202"/>
    <w:rsid w:val="007A6164"/>
    <w:rsid w:val="007A7030"/>
    <w:rsid w:val="007A7198"/>
    <w:rsid w:val="007B11D4"/>
    <w:rsid w:val="007B131A"/>
    <w:rsid w:val="007B3055"/>
    <w:rsid w:val="007B65D7"/>
    <w:rsid w:val="007C075F"/>
    <w:rsid w:val="007C2A56"/>
    <w:rsid w:val="007C3089"/>
    <w:rsid w:val="007C4145"/>
    <w:rsid w:val="007C4937"/>
    <w:rsid w:val="007C6B2C"/>
    <w:rsid w:val="007D1D58"/>
    <w:rsid w:val="007D23D7"/>
    <w:rsid w:val="007D2BEB"/>
    <w:rsid w:val="007D3ABD"/>
    <w:rsid w:val="007D40CB"/>
    <w:rsid w:val="007D457B"/>
    <w:rsid w:val="007D5C13"/>
    <w:rsid w:val="007D64C3"/>
    <w:rsid w:val="007D7997"/>
    <w:rsid w:val="007E05C3"/>
    <w:rsid w:val="007E26BF"/>
    <w:rsid w:val="007E3431"/>
    <w:rsid w:val="007E5816"/>
    <w:rsid w:val="007E597A"/>
    <w:rsid w:val="007F0792"/>
    <w:rsid w:val="007F0EB0"/>
    <w:rsid w:val="007F24DD"/>
    <w:rsid w:val="007F2526"/>
    <w:rsid w:val="007F645D"/>
    <w:rsid w:val="008025B4"/>
    <w:rsid w:val="00803208"/>
    <w:rsid w:val="0080373E"/>
    <w:rsid w:val="00805F8A"/>
    <w:rsid w:val="0080643D"/>
    <w:rsid w:val="00807771"/>
    <w:rsid w:val="00807F5E"/>
    <w:rsid w:val="008113F9"/>
    <w:rsid w:val="00814443"/>
    <w:rsid w:val="00814A48"/>
    <w:rsid w:val="0081548B"/>
    <w:rsid w:val="008248A1"/>
    <w:rsid w:val="008260B1"/>
    <w:rsid w:val="00827570"/>
    <w:rsid w:val="008279F6"/>
    <w:rsid w:val="00834959"/>
    <w:rsid w:val="00842AA1"/>
    <w:rsid w:val="00844322"/>
    <w:rsid w:val="0084439F"/>
    <w:rsid w:val="008448ED"/>
    <w:rsid w:val="00844EF8"/>
    <w:rsid w:val="00846AA3"/>
    <w:rsid w:val="008477F5"/>
    <w:rsid w:val="008514C5"/>
    <w:rsid w:val="00851874"/>
    <w:rsid w:val="008569E0"/>
    <w:rsid w:val="00862E4A"/>
    <w:rsid w:val="00865982"/>
    <w:rsid w:val="00865A78"/>
    <w:rsid w:val="00866A8E"/>
    <w:rsid w:val="0086780D"/>
    <w:rsid w:val="00870084"/>
    <w:rsid w:val="008706F3"/>
    <w:rsid w:val="008717DC"/>
    <w:rsid w:val="0087264F"/>
    <w:rsid w:val="00872CE7"/>
    <w:rsid w:val="00875FC4"/>
    <w:rsid w:val="008824FE"/>
    <w:rsid w:val="00882ED6"/>
    <w:rsid w:val="00883AC7"/>
    <w:rsid w:val="008843D6"/>
    <w:rsid w:val="00885870"/>
    <w:rsid w:val="00886570"/>
    <w:rsid w:val="008873DB"/>
    <w:rsid w:val="00887FB1"/>
    <w:rsid w:val="00897521"/>
    <w:rsid w:val="008A2CCC"/>
    <w:rsid w:val="008A2D20"/>
    <w:rsid w:val="008A3B78"/>
    <w:rsid w:val="008A404C"/>
    <w:rsid w:val="008A60BF"/>
    <w:rsid w:val="008A75E3"/>
    <w:rsid w:val="008B29D0"/>
    <w:rsid w:val="008B5DCC"/>
    <w:rsid w:val="008B62F7"/>
    <w:rsid w:val="008B6FCA"/>
    <w:rsid w:val="008B7227"/>
    <w:rsid w:val="008B72AE"/>
    <w:rsid w:val="008C0CC5"/>
    <w:rsid w:val="008C12BD"/>
    <w:rsid w:val="008C5613"/>
    <w:rsid w:val="008C5D6D"/>
    <w:rsid w:val="008C6BCD"/>
    <w:rsid w:val="008D1A0C"/>
    <w:rsid w:val="008D371B"/>
    <w:rsid w:val="008D5179"/>
    <w:rsid w:val="008D6853"/>
    <w:rsid w:val="008D7871"/>
    <w:rsid w:val="008E0D57"/>
    <w:rsid w:val="008E5281"/>
    <w:rsid w:val="008E5C5B"/>
    <w:rsid w:val="008E6290"/>
    <w:rsid w:val="008E7940"/>
    <w:rsid w:val="008E7AD5"/>
    <w:rsid w:val="008F0032"/>
    <w:rsid w:val="008F029A"/>
    <w:rsid w:val="008F0583"/>
    <w:rsid w:val="008F0953"/>
    <w:rsid w:val="008F45A5"/>
    <w:rsid w:val="008F59EA"/>
    <w:rsid w:val="008F6240"/>
    <w:rsid w:val="008F6F6F"/>
    <w:rsid w:val="0090014E"/>
    <w:rsid w:val="00900D98"/>
    <w:rsid w:val="009030A6"/>
    <w:rsid w:val="009049E6"/>
    <w:rsid w:val="00905598"/>
    <w:rsid w:val="00906747"/>
    <w:rsid w:val="00911C4E"/>
    <w:rsid w:val="009122B5"/>
    <w:rsid w:val="00912AE9"/>
    <w:rsid w:val="0091315E"/>
    <w:rsid w:val="0091625F"/>
    <w:rsid w:val="009203E7"/>
    <w:rsid w:val="00921464"/>
    <w:rsid w:val="00922F23"/>
    <w:rsid w:val="00923E39"/>
    <w:rsid w:val="00925A56"/>
    <w:rsid w:val="0092673D"/>
    <w:rsid w:val="00926805"/>
    <w:rsid w:val="009275FB"/>
    <w:rsid w:val="0093338C"/>
    <w:rsid w:val="00935342"/>
    <w:rsid w:val="00935B40"/>
    <w:rsid w:val="00943811"/>
    <w:rsid w:val="00943D9E"/>
    <w:rsid w:val="0094697F"/>
    <w:rsid w:val="0095128A"/>
    <w:rsid w:val="00952087"/>
    <w:rsid w:val="00952F69"/>
    <w:rsid w:val="00954DC5"/>
    <w:rsid w:val="00956AA2"/>
    <w:rsid w:val="00962B00"/>
    <w:rsid w:val="00963617"/>
    <w:rsid w:val="00963D21"/>
    <w:rsid w:val="009644D0"/>
    <w:rsid w:val="00964700"/>
    <w:rsid w:val="00966790"/>
    <w:rsid w:val="00971460"/>
    <w:rsid w:val="0097218F"/>
    <w:rsid w:val="00973287"/>
    <w:rsid w:val="00974D85"/>
    <w:rsid w:val="00975159"/>
    <w:rsid w:val="009758A4"/>
    <w:rsid w:val="00976644"/>
    <w:rsid w:val="00976C8C"/>
    <w:rsid w:val="009778BD"/>
    <w:rsid w:val="0098051E"/>
    <w:rsid w:val="009809DE"/>
    <w:rsid w:val="009845C6"/>
    <w:rsid w:val="00985A7A"/>
    <w:rsid w:val="009860AE"/>
    <w:rsid w:val="0098637C"/>
    <w:rsid w:val="00991A76"/>
    <w:rsid w:val="00993B47"/>
    <w:rsid w:val="009A1863"/>
    <w:rsid w:val="009A2753"/>
    <w:rsid w:val="009A421B"/>
    <w:rsid w:val="009A6051"/>
    <w:rsid w:val="009A7E12"/>
    <w:rsid w:val="009B09BF"/>
    <w:rsid w:val="009B0D10"/>
    <w:rsid w:val="009B219B"/>
    <w:rsid w:val="009B4587"/>
    <w:rsid w:val="009B5594"/>
    <w:rsid w:val="009B6979"/>
    <w:rsid w:val="009C28D5"/>
    <w:rsid w:val="009C6202"/>
    <w:rsid w:val="009D0021"/>
    <w:rsid w:val="009D086E"/>
    <w:rsid w:val="009D0A16"/>
    <w:rsid w:val="009D5C15"/>
    <w:rsid w:val="009D7862"/>
    <w:rsid w:val="009D7DE1"/>
    <w:rsid w:val="009E48E0"/>
    <w:rsid w:val="009E504D"/>
    <w:rsid w:val="009E61AF"/>
    <w:rsid w:val="009F23E3"/>
    <w:rsid w:val="009F2CEC"/>
    <w:rsid w:val="00A0026B"/>
    <w:rsid w:val="00A00B18"/>
    <w:rsid w:val="00A00F69"/>
    <w:rsid w:val="00A07309"/>
    <w:rsid w:val="00A141AB"/>
    <w:rsid w:val="00A14B64"/>
    <w:rsid w:val="00A204DF"/>
    <w:rsid w:val="00A21D95"/>
    <w:rsid w:val="00A22B1C"/>
    <w:rsid w:val="00A24B0E"/>
    <w:rsid w:val="00A301B3"/>
    <w:rsid w:val="00A321A7"/>
    <w:rsid w:val="00A33AB7"/>
    <w:rsid w:val="00A354CC"/>
    <w:rsid w:val="00A35B53"/>
    <w:rsid w:val="00A35BDF"/>
    <w:rsid w:val="00A370FE"/>
    <w:rsid w:val="00A408D6"/>
    <w:rsid w:val="00A42AA2"/>
    <w:rsid w:val="00A4519C"/>
    <w:rsid w:val="00A46683"/>
    <w:rsid w:val="00A46C87"/>
    <w:rsid w:val="00A4775F"/>
    <w:rsid w:val="00A479C4"/>
    <w:rsid w:val="00A50D4C"/>
    <w:rsid w:val="00A50E38"/>
    <w:rsid w:val="00A50F63"/>
    <w:rsid w:val="00A5272B"/>
    <w:rsid w:val="00A52AE0"/>
    <w:rsid w:val="00A53B32"/>
    <w:rsid w:val="00A55A3E"/>
    <w:rsid w:val="00A57033"/>
    <w:rsid w:val="00A70040"/>
    <w:rsid w:val="00A7099C"/>
    <w:rsid w:val="00A73305"/>
    <w:rsid w:val="00A73501"/>
    <w:rsid w:val="00A74609"/>
    <w:rsid w:val="00A805A0"/>
    <w:rsid w:val="00A80ED5"/>
    <w:rsid w:val="00A83B3F"/>
    <w:rsid w:val="00A83DA4"/>
    <w:rsid w:val="00A875ED"/>
    <w:rsid w:val="00A877F4"/>
    <w:rsid w:val="00A90266"/>
    <w:rsid w:val="00A92194"/>
    <w:rsid w:val="00A94111"/>
    <w:rsid w:val="00A94EA7"/>
    <w:rsid w:val="00A9567F"/>
    <w:rsid w:val="00AA18B9"/>
    <w:rsid w:val="00AA191B"/>
    <w:rsid w:val="00AA20BB"/>
    <w:rsid w:val="00AA32B1"/>
    <w:rsid w:val="00AA4EC6"/>
    <w:rsid w:val="00AA5A4C"/>
    <w:rsid w:val="00AA692A"/>
    <w:rsid w:val="00AA6FC9"/>
    <w:rsid w:val="00AA7C1E"/>
    <w:rsid w:val="00AB2198"/>
    <w:rsid w:val="00AB2980"/>
    <w:rsid w:val="00AB3BEC"/>
    <w:rsid w:val="00AB7E1C"/>
    <w:rsid w:val="00AC08F6"/>
    <w:rsid w:val="00AC1749"/>
    <w:rsid w:val="00AC19C7"/>
    <w:rsid w:val="00AC2631"/>
    <w:rsid w:val="00AC36A6"/>
    <w:rsid w:val="00AC4D96"/>
    <w:rsid w:val="00AC547C"/>
    <w:rsid w:val="00AD16BE"/>
    <w:rsid w:val="00AD4356"/>
    <w:rsid w:val="00AD44AA"/>
    <w:rsid w:val="00AD4DD6"/>
    <w:rsid w:val="00AD4F4D"/>
    <w:rsid w:val="00AD5110"/>
    <w:rsid w:val="00AD7F42"/>
    <w:rsid w:val="00AE019A"/>
    <w:rsid w:val="00AE081E"/>
    <w:rsid w:val="00AE0BD6"/>
    <w:rsid w:val="00AE1260"/>
    <w:rsid w:val="00AE136F"/>
    <w:rsid w:val="00AE2223"/>
    <w:rsid w:val="00AE2406"/>
    <w:rsid w:val="00AE2805"/>
    <w:rsid w:val="00AE2854"/>
    <w:rsid w:val="00AE2D4F"/>
    <w:rsid w:val="00AE49A8"/>
    <w:rsid w:val="00AE601E"/>
    <w:rsid w:val="00AE7ACC"/>
    <w:rsid w:val="00AE7B79"/>
    <w:rsid w:val="00AE7E37"/>
    <w:rsid w:val="00AF1849"/>
    <w:rsid w:val="00AF2A53"/>
    <w:rsid w:val="00AF2C66"/>
    <w:rsid w:val="00AF3FBF"/>
    <w:rsid w:val="00AF473F"/>
    <w:rsid w:val="00AF5925"/>
    <w:rsid w:val="00AF5E30"/>
    <w:rsid w:val="00B03108"/>
    <w:rsid w:val="00B04D70"/>
    <w:rsid w:val="00B06982"/>
    <w:rsid w:val="00B1022F"/>
    <w:rsid w:val="00B10247"/>
    <w:rsid w:val="00B12DE1"/>
    <w:rsid w:val="00B209C1"/>
    <w:rsid w:val="00B2675B"/>
    <w:rsid w:val="00B27A17"/>
    <w:rsid w:val="00B31047"/>
    <w:rsid w:val="00B31E99"/>
    <w:rsid w:val="00B33D37"/>
    <w:rsid w:val="00B34118"/>
    <w:rsid w:val="00B35999"/>
    <w:rsid w:val="00B41200"/>
    <w:rsid w:val="00B417AF"/>
    <w:rsid w:val="00B41E11"/>
    <w:rsid w:val="00B471C8"/>
    <w:rsid w:val="00B47AF7"/>
    <w:rsid w:val="00B50CF1"/>
    <w:rsid w:val="00B511E9"/>
    <w:rsid w:val="00B519F8"/>
    <w:rsid w:val="00B51BA8"/>
    <w:rsid w:val="00B52392"/>
    <w:rsid w:val="00B52855"/>
    <w:rsid w:val="00B53F78"/>
    <w:rsid w:val="00B5468B"/>
    <w:rsid w:val="00B55720"/>
    <w:rsid w:val="00B57309"/>
    <w:rsid w:val="00B5785D"/>
    <w:rsid w:val="00B63CE9"/>
    <w:rsid w:val="00B64274"/>
    <w:rsid w:val="00B64DBD"/>
    <w:rsid w:val="00B64EEE"/>
    <w:rsid w:val="00B65C3C"/>
    <w:rsid w:val="00B66369"/>
    <w:rsid w:val="00B66C1F"/>
    <w:rsid w:val="00B673C6"/>
    <w:rsid w:val="00B67858"/>
    <w:rsid w:val="00B713DE"/>
    <w:rsid w:val="00B71F9D"/>
    <w:rsid w:val="00B734A2"/>
    <w:rsid w:val="00B734D7"/>
    <w:rsid w:val="00B747C9"/>
    <w:rsid w:val="00B74858"/>
    <w:rsid w:val="00B77228"/>
    <w:rsid w:val="00B77C5E"/>
    <w:rsid w:val="00B77F9F"/>
    <w:rsid w:val="00B826B6"/>
    <w:rsid w:val="00B83723"/>
    <w:rsid w:val="00B84195"/>
    <w:rsid w:val="00B9433C"/>
    <w:rsid w:val="00B9511B"/>
    <w:rsid w:val="00B95D1F"/>
    <w:rsid w:val="00B97A21"/>
    <w:rsid w:val="00BA2330"/>
    <w:rsid w:val="00BA2925"/>
    <w:rsid w:val="00BA2B00"/>
    <w:rsid w:val="00BA3144"/>
    <w:rsid w:val="00BA5091"/>
    <w:rsid w:val="00BA5535"/>
    <w:rsid w:val="00BA6EE1"/>
    <w:rsid w:val="00BA7745"/>
    <w:rsid w:val="00BA7BEB"/>
    <w:rsid w:val="00BB1E0D"/>
    <w:rsid w:val="00BB44BC"/>
    <w:rsid w:val="00BB5F81"/>
    <w:rsid w:val="00BB7D65"/>
    <w:rsid w:val="00BC057B"/>
    <w:rsid w:val="00BC091B"/>
    <w:rsid w:val="00BC16F7"/>
    <w:rsid w:val="00BC4247"/>
    <w:rsid w:val="00BC757E"/>
    <w:rsid w:val="00BD1D63"/>
    <w:rsid w:val="00BD254A"/>
    <w:rsid w:val="00BD31A4"/>
    <w:rsid w:val="00BD3606"/>
    <w:rsid w:val="00BD4BC0"/>
    <w:rsid w:val="00BD5DE5"/>
    <w:rsid w:val="00BD681E"/>
    <w:rsid w:val="00BE1195"/>
    <w:rsid w:val="00BE12C6"/>
    <w:rsid w:val="00BE144A"/>
    <w:rsid w:val="00BE17AE"/>
    <w:rsid w:val="00BE18C4"/>
    <w:rsid w:val="00BE1D56"/>
    <w:rsid w:val="00BE2E33"/>
    <w:rsid w:val="00BE690D"/>
    <w:rsid w:val="00BE6E9C"/>
    <w:rsid w:val="00BE772D"/>
    <w:rsid w:val="00BF11FE"/>
    <w:rsid w:val="00BF4D5A"/>
    <w:rsid w:val="00BF57A7"/>
    <w:rsid w:val="00BF5FAC"/>
    <w:rsid w:val="00BF6F06"/>
    <w:rsid w:val="00C0119C"/>
    <w:rsid w:val="00C01978"/>
    <w:rsid w:val="00C02E07"/>
    <w:rsid w:val="00C0488D"/>
    <w:rsid w:val="00C116AA"/>
    <w:rsid w:val="00C12EFC"/>
    <w:rsid w:val="00C1304A"/>
    <w:rsid w:val="00C14A11"/>
    <w:rsid w:val="00C14E54"/>
    <w:rsid w:val="00C15BD5"/>
    <w:rsid w:val="00C1615A"/>
    <w:rsid w:val="00C17803"/>
    <w:rsid w:val="00C17996"/>
    <w:rsid w:val="00C17E8F"/>
    <w:rsid w:val="00C20D2D"/>
    <w:rsid w:val="00C2113A"/>
    <w:rsid w:val="00C22419"/>
    <w:rsid w:val="00C23396"/>
    <w:rsid w:val="00C23649"/>
    <w:rsid w:val="00C24401"/>
    <w:rsid w:val="00C24484"/>
    <w:rsid w:val="00C27D9F"/>
    <w:rsid w:val="00C30155"/>
    <w:rsid w:val="00C31108"/>
    <w:rsid w:val="00C325C6"/>
    <w:rsid w:val="00C33834"/>
    <w:rsid w:val="00C343A6"/>
    <w:rsid w:val="00C35232"/>
    <w:rsid w:val="00C372BF"/>
    <w:rsid w:val="00C405EB"/>
    <w:rsid w:val="00C40E8A"/>
    <w:rsid w:val="00C425AB"/>
    <w:rsid w:val="00C44D9D"/>
    <w:rsid w:val="00C478CC"/>
    <w:rsid w:val="00C55E03"/>
    <w:rsid w:val="00C574BB"/>
    <w:rsid w:val="00C61DB6"/>
    <w:rsid w:val="00C61FB9"/>
    <w:rsid w:val="00C62CA3"/>
    <w:rsid w:val="00C7076B"/>
    <w:rsid w:val="00C725B6"/>
    <w:rsid w:val="00C73AF1"/>
    <w:rsid w:val="00C75F3C"/>
    <w:rsid w:val="00C76D75"/>
    <w:rsid w:val="00C825E0"/>
    <w:rsid w:val="00C846AB"/>
    <w:rsid w:val="00C8484A"/>
    <w:rsid w:val="00C84914"/>
    <w:rsid w:val="00C84E4D"/>
    <w:rsid w:val="00C85CA2"/>
    <w:rsid w:val="00C868AB"/>
    <w:rsid w:val="00C91420"/>
    <w:rsid w:val="00C93AA9"/>
    <w:rsid w:val="00C94035"/>
    <w:rsid w:val="00C95E96"/>
    <w:rsid w:val="00C97E40"/>
    <w:rsid w:val="00CA220D"/>
    <w:rsid w:val="00CA3B35"/>
    <w:rsid w:val="00CA4094"/>
    <w:rsid w:val="00CA44B2"/>
    <w:rsid w:val="00CA48FD"/>
    <w:rsid w:val="00CA5427"/>
    <w:rsid w:val="00CA6627"/>
    <w:rsid w:val="00CA786A"/>
    <w:rsid w:val="00CB07E1"/>
    <w:rsid w:val="00CB1AEB"/>
    <w:rsid w:val="00CB5FDB"/>
    <w:rsid w:val="00CB7204"/>
    <w:rsid w:val="00CB7C9F"/>
    <w:rsid w:val="00CC51C2"/>
    <w:rsid w:val="00CC668C"/>
    <w:rsid w:val="00CD325C"/>
    <w:rsid w:val="00CD36A0"/>
    <w:rsid w:val="00CD413B"/>
    <w:rsid w:val="00CD48B4"/>
    <w:rsid w:val="00CD7469"/>
    <w:rsid w:val="00CE1B5D"/>
    <w:rsid w:val="00CE1E7B"/>
    <w:rsid w:val="00CE427E"/>
    <w:rsid w:val="00CE5674"/>
    <w:rsid w:val="00CE7AD4"/>
    <w:rsid w:val="00CF1F6B"/>
    <w:rsid w:val="00CF33BB"/>
    <w:rsid w:val="00CF4E48"/>
    <w:rsid w:val="00CF7BBA"/>
    <w:rsid w:val="00D0050D"/>
    <w:rsid w:val="00D01621"/>
    <w:rsid w:val="00D01E57"/>
    <w:rsid w:val="00D028FA"/>
    <w:rsid w:val="00D041DB"/>
    <w:rsid w:val="00D0432F"/>
    <w:rsid w:val="00D04AC3"/>
    <w:rsid w:val="00D04E15"/>
    <w:rsid w:val="00D065B6"/>
    <w:rsid w:val="00D069B8"/>
    <w:rsid w:val="00D07143"/>
    <w:rsid w:val="00D115F1"/>
    <w:rsid w:val="00D130A2"/>
    <w:rsid w:val="00D1406C"/>
    <w:rsid w:val="00D15635"/>
    <w:rsid w:val="00D16EB0"/>
    <w:rsid w:val="00D20967"/>
    <w:rsid w:val="00D272AD"/>
    <w:rsid w:val="00D315A8"/>
    <w:rsid w:val="00D32C67"/>
    <w:rsid w:val="00D33078"/>
    <w:rsid w:val="00D37D15"/>
    <w:rsid w:val="00D40F81"/>
    <w:rsid w:val="00D44BC5"/>
    <w:rsid w:val="00D44D63"/>
    <w:rsid w:val="00D45E45"/>
    <w:rsid w:val="00D47743"/>
    <w:rsid w:val="00D503F6"/>
    <w:rsid w:val="00D52865"/>
    <w:rsid w:val="00D54B07"/>
    <w:rsid w:val="00D60A53"/>
    <w:rsid w:val="00D60F8A"/>
    <w:rsid w:val="00D61595"/>
    <w:rsid w:val="00D65090"/>
    <w:rsid w:val="00D654A5"/>
    <w:rsid w:val="00D66387"/>
    <w:rsid w:val="00D72248"/>
    <w:rsid w:val="00D73F7A"/>
    <w:rsid w:val="00D74633"/>
    <w:rsid w:val="00D751CA"/>
    <w:rsid w:val="00D76B91"/>
    <w:rsid w:val="00D77BA4"/>
    <w:rsid w:val="00D8058A"/>
    <w:rsid w:val="00D8185F"/>
    <w:rsid w:val="00D81BEA"/>
    <w:rsid w:val="00D872C2"/>
    <w:rsid w:val="00D90E03"/>
    <w:rsid w:val="00D91E21"/>
    <w:rsid w:val="00D94F44"/>
    <w:rsid w:val="00D965D9"/>
    <w:rsid w:val="00D96ABD"/>
    <w:rsid w:val="00D974D5"/>
    <w:rsid w:val="00D97A01"/>
    <w:rsid w:val="00DA1CCA"/>
    <w:rsid w:val="00DA2286"/>
    <w:rsid w:val="00DA2F9E"/>
    <w:rsid w:val="00DA4278"/>
    <w:rsid w:val="00DA512D"/>
    <w:rsid w:val="00DA7B4A"/>
    <w:rsid w:val="00DA7D13"/>
    <w:rsid w:val="00DB32C8"/>
    <w:rsid w:val="00DB3D0C"/>
    <w:rsid w:val="00DB6CC7"/>
    <w:rsid w:val="00DC1580"/>
    <w:rsid w:val="00DC53AA"/>
    <w:rsid w:val="00DC59EB"/>
    <w:rsid w:val="00DC6909"/>
    <w:rsid w:val="00DC70CF"/>
    <w:rsid w:val="00DD0202"/>
    <w:rsid w:val="00DD0BC5"/>
    <w:rsid w:val="00DD15CE"/>
    <w:rsid w:val="00DD25AB"/>
    <w:rsid w:val="00DD397C"/>
    <w:rsid w:val="00DE2033"/>
    <w:rsid w:val="00DE298B"/>
    <w:rsid w:val="00DE7FD8"/>
    <w:rsid w:val="00DF31BD"/>
    <w:rsid w:val="00DF3379"/>
    <w:rsid w:val="00DF4D4C"/>
    <w:rsid w:val="00DF702C"/>
    <w:rsid w:val="00E007BE"/>
    <w:rsid w:val="00E00931"/>
    <w:rsid w:val="00E014C2"/>
    <w:rsid w:val="00E03A97"/>
    <w:rsid w:val="00E0482A"/>
    <w:rsid w:val="00E05444"/>
    <w:rsid w:val="00E111FA"/>
    <w:rsid w:val="00E14F8B"/>
    <w:rsid w:val="00E172D8"/>
    <w:rsid w:val="00E17B52"/>
    <w:rsid w:val="00E200BF"/>
    <w:rsid w:val="00E209E8"/>
    <w:rsid w:val="00E232C9"/>
    <w:rsid w:val="00E30370"/>
    <w:rsid w:val="00E322F9"/>
    <w:rsid w:val="00E325C5"/>
    <w:rsid w:val="00E332AC"/>
    <w:rsid w:val="00E339BD"/>
    <w:rsid w:val="00E4300B"/>
    <w:rsid w:val="00E55024"/>
    <w:rsid w:val="00E56DB6"/>
    <w:rsid w:val="00E6036A"/>
    <w:rsid w:val="00E6139F"/>
    <w:rsid w:val="00E644EB"/>
    <w:rsid w:val="00E64AC2"/>
    <w:rsid w:val="00E66C20"/>
    <w:rsid w:val="00E66EB6"/>
    <w:rsid w:val="00E67AEC"/>
    <w:rsid w:val="00E72F9B"/>
    <w:rsid w:val="00E735B9"/>
    <w:rsid w:val="00E74048"/>
    <w:rsid w:val="00E757BB"/>
    <w:rsid w:val="00E8286C"/>
    <w:rsid w:val="00E82922"/>
    <w:rsid w:val="00E8297F"/>
    <w:rsid w:val="00E829C4"/>
    <w:rsid w:val="00E84AE0"/>
    <w:rsid w:val="00E86119"/>
    <w:rsid w:val="00E86182"/>
    <w:rsid w:val="00E94483"/>
    <w:rsid w:val="00E946FD"/>
    <w:rsid w:val="00E94866"/>
    <w:rsid w:val="00E95380"/>
    <w:rsid w:val="00E95727"/>
    <w:rsid w:val="00E95AAE"/>
    <w:rsid w:val="00E960BC"/>
    <w:rsid w:val="00E9725E"/>
    <w:rsid w:val="00EA0B73"/>
    <w:rsid w:val="00EA2374"/>
    <w:rsid w:val="00EA3D6F"/>
    <w:rsid w:val="00EA4C5B"/>
    <w:rsid w:val="00EA703F"/>
    <w:rsid w:val="00EB06D9"/>
    <w:rsid w:val="00EB1758"/>
    <w:rsid w:val="00EB2319"/>
    <w:rsid w:val="00EB5077"/>
    <w:rsid w:val="00EB6906"/>
    <w:rsid w:val="00EB6B7D"/>
    <w:rsid w:val="00EC3A56"/>
    <w:rsid w:val="00EC45A2"/>
    <w:rsid w:val="00EC7236"/>
    <w:rsid w:val="00ED046D"/>
    <w:rsid w:val="00ED11BF"/>
    <w:rsid w:val="00ED1FBD"/>
    <w:rsid w:val="00ED2A6B"/>
    <w:rsid w:val="00ED3888"/>
    <w:rsid w:val="00ED3F90"/>
    <w:rsid w:val="00ED44C4"/>
    <w:rsid w:val="00EE0F89"/>
    <w:rsid w:val="00EE0FA5"/>
    <w:rsid w:val="00EE20C3"/>
    <w:rsid w:val="00EE2B05"/>
    <w:rsid w:val="00EE41A3"/>
    <w:rsid w:val="00EE66F9"/>
    <w:rsid w:val="00EF324C"/>
    <w:rsid w:val="00EF3A9D"/>
    <w:rsid w:val="00EF59BA"/>
    <w:rsid w:val="00EF611C"/>
    <w:rsid w:val="00F01362"/>
    <w:rsid w:val="00F026E4"/>
    <w:rsid w:val="00F03344"/>
    <w:rsid w:val="00F04C5C"/>
    <w:rsid w:val="00F0685E"/>
    <w:rsid w:val="00F0778A"/>
    <w:rsid w:val="00F11153"/>
    <w:rsid w:val="00F122F1"/>
    <w:rsid w:val="00F17842"/>
    <w:rsid w:val="00F202DC"/>
    <w:rsid w:val="00F2217B"/>
    <w:rsid w:val="00F2443B"/>
    <w:rsid w:val="00F247A1"/>
    <w:rsid w:val="00F247B7"/>
    <w:rsid w:val="00F24B26"/>
    <w:rsid w:val="00F25583"/>
    <w:rsid w:val="00F265C9"/>
    <w:rsid w:val="00F305A3"/>
    <w:rsid w:val="00F32CED"/>
    <w:rsid w:val="00F33C3E"/>
    <w:rsid w:val="00F378E6"/>
    <w:rsid w:val="00F37C11"/>
    <w:rsid w:val="00F4058E"/>
    <w:rsid w:val="00F40CFE"/>
    <w:rsid w:val="00F41420"/>
    <w:rsid w:val="00F46AC7"/>
    <w:rsid w:val="00F46C92"/>
    <w:rsid w:val="00F47054"/>
    <w:rsid w:val="00F474C3"/>
    <w:rsid w:val="00F47E38"/>
    <w:rsid w:val="00F51025"/>
    <w:rsid w:val="00F5159D"/>
    <w:rsid w:val="00F527EE"/>
    <w:rsid w:val="00F52BC6"/>
    <w:rsid w:val="00F52D6B"/>
    <w:rsid w:val="00F52DD7"/>
    <w:rsid w:val="00F532A8"/>
    <w:rsid w:val="00F54BD5"/>
    <w:rsid w:val="00F55E63"/>
    <w:rsid w:val="00F56CB9"/>
    <w:rsid w:val="00F57199"/>
    <w:rsid w:val="00F5730F"/>
    <w:rsid w:val="00F613AC"/>
    <w:rsid w:val="00F61570"/>
    <w:rsid w:val="00F622F7"/>
    <w:rsid w:val="00F62A96"/>
    <w:rsid w:val="00F634F9"/>
    <w:rsid w:val="00F6487C"/>
    <w:rsid w:val="00F64D4A"/>
    <w:rsid w:val="00F658DF"/>
    <w:rsid w:val="00F65EB8"/>
    <w:rsid w:val="00F67875"/>
    <w:rsid w:val="00F727CC"/>
    <w:rsid w:val="00F742F7"/>
    <w:rsid w:val="00F74341"/>
    <w:rsid w:val="00F75D61"/>
    <w:rsid w:val="00F7720E"/>
    <w:rsid w:val="00F80A0C"/>
    <w:rsid w:val="00F80BA7"/>
    <w:rsid w:val="00F816DC"/>
    <w:rsid w:val="00F8197E"/>
    <w:rsid w:val="00F819E1"/>
    <w:rsid w:val="00F8260D"/>
    <w:rsid w:val="00F85AFE"/>
    <w:rsid w:val="00F85CA6"/>
    <w:rsid w:val="00F86434"/>
    <w:rsid w:val="00F90842"/>
    <w:rsid w:val="00F92471"/>
    <w:rsid w:val="00F9406E"/>
    <w:rsid w:val="00F95063"/>
    <w:rsid w:val="00FA0B9C"/>
    <w:rsid w:val="00FA0CBF"/>
    <w:rsid w:val="00FA10A5"/>
    <w:rsid w:val="00FA11CD"/>
    <w:rsid w:val="00FA1E35"/>
    <w:rsid w:val="00FA28EB"/>
    <w:rsid w:val="00FA52DC"/>
    <w:rsid w:val="00FA587C"/>
    <w:rsid w:val="00FA6429"/>
    <w:rsid w:val="00FA7B4E"/>
    <w:rsid w:val="00FA7FCF"/>
    <w:rsid w:val="00FB2F4E"/>
    <w:rsid w:val="00FB5058"/>
    <w:rsid w:val="00FC0A1D"/>
    <w:rsid w:val="00FC1B97"/>
    <w:rsid w:val="00FC6023"/>
    <w:rsid w:val="00FC68F5"/>
    <w:rsid w:val="00FC71DB"/>
    <w:rsid w:val="00FC7C77"/>
    <w:rsid w:val="00FD053B"/>
    <w:rsid w:val="00FD2479"/>
    <w:rsid w:val="00FD6EB2"/>
    <w:rsid w:val="00FF407F"/>
    <w:rsid w:val="00FF59DF"/>
    <w:rsid w:val="00FF6C02"/>
    <w:rsid w:val="00FF726A"/>
    <w:rsid w:val="00FF74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7A87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5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34D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093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1B753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D872C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3CA6"/>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B26"/>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F24B26"/>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F24B26"/>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F24B26"/>
    <w:rPr>
      <w:sz w:val="20"/>
      <w:szCs w:val="20"/>
    </w:rPr>
  </w:style>
  <w:style w:type="character" w:styleId="EndnoteReference">
    <w:name w:val="endnote reference"/>
    <w:basedOn w:val="DefaultParagraphFont"/>
    <w:uiPriority w:val="99"/>
    <w:semiHidden/>
    <w:unhideWhenUsed/>
    <w:rsid w:val="00F24B26"/>
    <w:rPr>
      <w:vertAlign w:val="superscript"/>
    </w:rPr>
  </w:style>
  <w:style w:type="character" w:styleId="Hyperlink">
    <w:name w:val="Hyperlink"/>
    <w:basedOn w:val="DefaultParagraphFont"/>
    <w:uiPriority w:val="99"/>
    <w:unhideWhenUsed/>
    <w:rsid w:val="00F24B26"/>
    <w:rPr>
      <w:color w:val="0000FF"/>
      <w:u w:val="single"/>
    </w:rPr>
  </w:style>
  <w:style w:type="character" w:customStyle="1" w:styleId="Heading3Char">
    <w:name w:val="Heading 3 Char"/>
    <w:basedOn w:val="DefaultParagraphFont"/>
    <w:link w:val="Heading3"/>
    <w:uiPriority w:val="9"/>
    <w:rsid w:val="001B753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7192F"/>
    <w:pPr>
      <w:spacing w:before="100" w:beforeAutospacing="1" w:after="100" w:afterAutospacing="1"/>
    </w:pPr>
  </w:style>
  <w:style w:type="character" w:customStyle="1" w:styleId="ls0">
    <w:name w:val="ls0"/>
    <w:basedOn w:val="DefaultParagraphFont"/>
    <w:rsid w:val="000917B8"/>
  </w:style>
  <w:style w:type="character" w:customStyle="1" w:styleId="ws0">
    <w:name w:val="ws0"/>
    <w:basedOn w:val="DefaultParagraphFont"/>
    <w:rsid w:val="000917B8"/>
  </w:style>
  <w:style w:type="character" w:customStyle="1" w:styleId="ls2">
    <w:name w:val="ls2"/>
    <w:basedOn w:val="DefaultParagraphFont"/>
    <w:rsid w:val="000917B8"/>
  </w:style>
  <w:style w:type="paragraph" w:customStyle="1" w:styleId="p">
    <w:name w:val="p"/>
    <w:basedOn w:val="Normal"/>
    <w:rsid w:val="006D3CA6"/>
    <w:pPr>
      <w:spacing w:before="100" w:beforeAutospacing="1" w:after="100" w:afterAutospacing="1"/>
    </w:pPr>
  </w:style>
  <w:style w:type="character" w:styleId="Emphasis">
    <w:name w:val="Emphasis"/>
    <w:basedOn w:val="DefaultParagraphFont"/>
    <w:uiPriority w:val="20"/>
    <w:qFormat/>
    <w:rsid w:val="006D3CA6"/>
    <w:rPr>
      <w:i/>
      <w:iCs/>
    </w:rPr>
  </w:style>
  <w:style w:type="character" w:customStyle="1" w:styleId="Heading5Char">
    <w:name w:val="Heading 5 Char"/>
    <w:basedOn w:val="DefaultParagraphFont"/>
    <w:link w:val="Heading5"/>
    <w:uiPriority w:val="9"/>
    <w:semiHidden/>
    <w:rsid w:val="006D3CA6"/>
    <w:rPr>
      <w:rFonts w:asciiTheme="majorHAnsi" w:eastAsiaTheme="majorEastAsia" w:hAnsiTheme="majorHAnsi" w:cstheme="majorBidi"/>
      <w:color w:val="2F5496" w:themeColor="accent1" w:themeShade="BF"/>
    </w:rPr>
  </w:style>
  <w:style w:type="character" w:customStyle="1" w:styleId="highlight">
    <w:name w:val="highlight"/>
    <w:basedOn w:val="DefaultParagraphFont"/>
    <w:rsid w:val="00F57199"/>
  </w:style>
  <w:style w:type="paragraph" w:styleId="NoSpacing">
    <w:name w:val="No Spacing"/>
    <w:uiPriority w:val="1"/>
    <w:qFormat/>
    <w:rsid w:val="007523AA"/>
  </w:style>
  <w:style w:type="character" w:customStyle="1" w:styleId="Heading2Char">
    <w:name w:val="Heading 2 Char"/>
    <w:basedOn w:val="DefaultParagraphFont"/>
    <w:link w:val="Heading2"/>
    <w:uiPriority w:val="9"/>
    <w:semiHidden/>
    <w:rsid w:val="005A093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F5925"/>
    <w:rPr>
      <w:color w:val="954F72" w:themeColor="followedHyperlink"/>
      <w:u w:val="single"/>
    </w:rPr>
  </w:style>
  <w:style w:type="paragraph" w:styleId="Header">
    <w:name w:val="header"/>
    <w:basedOn w:val="Normal"/>
    <w:link w:val="HeaderChar"/>
    <w:uiPriority w:val="99"/>
    <w:unhideWhenUsed/>
    <w:rsid w:val="000D2DAC"/>
    <w:pPr>
      <w:tabs>
        <w:tab w:val="center" w:pos="4680"/>
        <w:tab w:val="right" w:pos="9360"/>
      </w:tabs>
    </w:pPr>
  </w:style>
  <w:style w:type="character" w:customStyle="1" w:styleId="HeaderChar">
    <w:name w:val="Header Char"/>
    <w:basedOn w:val="DefaultParagraphFont"/>
    <w:link w:val="Header"/>
    <w:uiPriority w:val="99"/>
    <w:rsid w:val="000D2DAC"/>
    <w:rPr>
      <w:rFonts w:ascii="Times New Roman" w:eastAsia="Times New Roman" w:hAnsi="Times New Roman" w:cs="Times New Roman"/>
      <w:lang w:eastAsia="en-GB"/>
    </w:rPr>
  </w:style>
  <w:style w:type="paragraph" w:styleId="Footer">
    <w:name w:val="footer"/>
    <w:basedOn w:val="Normal"/>
    <w:link w:val="FooterChar"/>
    <w:uiPriority w:val="99"/>
    <w:unhideWhenUsed/>
    <w:rsid w:val="000D2DAC"/>
    <w:pPr>
      <w:tabs>
        <w:tab w:val="center" w:pos="4680"/>
        <w:tab w:val="right" w:pos="9360"/>
      </w:tabs>
    </w:pPr>
  </w:style>
  <w:style w:type="character" w:customStyle="1" w:styleId="FooterChar">
    <w:name w:val="Footer Char"/>
    <w:basedOn w:val="DefaultParagraphFont"/>
    <w:link w:val="Footer"/>
    <w:uiPriority w:val="99"/>
    <w:rsid w:val="000D2DAC"/>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569E0"/>
    <w:rPr>
      <w:sz w:val="18"/>
      <w:szCs w:val="18"/>
    </w:rPr>
  </w:style>
  <w:style w:type="paragraph" w:styleId="CommentText">
    <w:name w:val="annotation text"/>
    <w:basedOn w:val="Normal"/>
    <w:link w:val="CommentTextChar"/>
    <w:uiPriority w:val="99"/>
    <w:unhideWhenUsed/>
    <w:rsid w:val="008569E0"/>
  </w:style>
  <w:style w:type="character" w:customStyle="1" w:styleId="CommentTextChar">
    <w:name w:val="Comment Text Char"/>
    <w:basedOn w:val="DefaultParagraphFont"/>
    <w:link w:val="CommentText"/>
    <w:uiPriority w:val="99"/>
    <w:rsid w:val="008569E0"/>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8569E0"/>
    <w:rPr>
      <w:b/>
      <w:bCs/>
      <w:sz w:val="20"/>
      <w:szCs w:val="20"/>
    </w:rPr>
  </w:style>
  <w:style w:type="character" w:customStyle="1" w:styleId="CommentSubjectChar">
    <w:name w:val="Comment Subject Char"/>
    <w:basedOn w:val="CommentTextChar"/>
    <w:link w:val="CommentSubject"/>
    <w:uiPriority w:val="99"/>
    <w:semiHidden/>
    <w:rsid w:val="008569E0"/>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1C55D0"/>
    <w:rPr>
      <w:sz w:val="20"/>
      <w:szCs w:val="20"/>
    </w:rPr>
  </w:style>
  <w:style w:type="character" w:customStyle="1" w:styleId="FootnoteTextChar">
    <w:name w:val="Footnote Text Char"/>
    <w:basedOn w:val="DefaultParagraphFont"/>
    <w:link w:val="FootnoteText"/>
    <w:uiPriority w:val="99"/>
    <w:semiHidden/>
    <w:rsid w:val="001C55D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C55D0"/>
    <w:rPr>
      <w:vertAlign w:val="superscript"/>
    </w:rPr>
  </w:style>
  <w:style w:type="paragraph" w:styleId="Revision">
    <w:name w:val="Revision"/>
    <w:hidden/>
    <w:uiPriority w:val="99"/>
    <w:semiHidden/>
    <w:rsid w:val="008B62F7"/>
    <w:rPr>
      <w:rFonts w:ascii="Times New Roman" w:eastAsia="Times New Roman" w:hAnsi="Times New Roman" w:cs="Times New Roman"/>
      <w:lang w:eastAsia="en-GB"/>
    </w:rPr>
  </w:style>
  <w:style w:type="paragraph" w:customStyle="1" w:styleId="ecxmsonormal">
    <w:name w:val="ecxmsonormal"/>
    <w:basedOn w:val="Normal"/>
    <w:uiPriority w:val="99"/>
    <w:rsid w:val="00882ED6"/>
    <w:pPr>
      <w:spacing w:before="100" w:beforeAutospacing="1" w:after="100" w:afterAutospacing="1"/>
    </w:pPr>
    <w:rPr>
      <w:rFonts w:eastAsia="MS ??"/>
    </w:rPr>
  </w:style>
  <w:style w:type="paragraph" w:styleId="ListParagraph">
    <w:name w:val="List Paragraph"/>
    <w:basedOn w:val="Normal"/>
    <w:uiPriority w:val="34"/>
    <w:qFormat/>
    <w:rsid w:val="00485468"/>
    <w:pPr>
      <w:ind w:left="720"/>
      <w:contextualSpacing/>
    </w:pPr>
  </w:style>
  <w:style w:type="paragraph" w:styleId="Caption">
    <w:name w:val="caption"/>
    <w:basedOn w:val="Normal"/>
    <w:next w:val="Normal"/>
    <w:uiPriority w:val="35"/>
    <w:unhideWhenUsed/>
    <w:qFormat/>
    <w:rsid w:val="008448ED"/>
    <w:pPr>
      <w:spacing w:after="200"/>
    </w:pPr>
    <w:rPr>
      <w:i/>
      <w:iCs/>
      <w:color w:val="44546A" w:themeColor="text2"/>
      <w:sz w:val="18"/>
      <w:szCs w:val="18"/>
    </w:rPr>
  </w:style>
  <w:style w:type="character" w:customStyle="1" w:styleId="Heading1Char">
    <w:name w:val="Heading 1 Char"/>
    <w:basedOn w:val="DefaultParagraphFont"/>
    <w:link w:val="Heading1"/>
    <w:uiPriority w:val="9"/>
    <w:rsid w:val="00534D82"/>
    <w:rPr>
      <w:rFonts w:asciiTheme="majorHAnsi" w:eastAsiaTheme="majorEastAsia" w:hAnsiTheme="majorHAnsi" w:cstheme="majorBidi"/>
      <w:color w:val="2F5496" w:themeColor="accent1" w:themeShade="BF"/>
      <w:sz w:val="32"/>
      <w:szCs w:val="32"/>
      <w:lang w:eastAsia="en-GB"/>
    </w:rPr>
  </w:style>
  <w:style w:type="paragraph" w:customStyle="1" w:styleId="f-body">
    <w:name w:val="f-body"/>
    <w:basedOn w:val="Normal"/>
    <w:rsid w:val="00534D82"/>
    <w:pPr>
      <w:spacing w:before="100" w:beforeAutospacing="1" w:after="100" w:afterAutospacing="1"/>
    </w:pPr>
  </w:style>
  <w:style w:type="character" w:customStyle="1" w:styleId="titledefault">
    <w:name w:val="title_default"/>
    <w:basedOn w:val="DefaultParagraphFont"/>
    <w:rsid w:val="003C2B02"/>
  </w:style>
  <w:style w:type="paragraph" w:customStyle="1" w:styleId="alabel">
    <w:name w:val="a_label"/>
    <w:basedOn w:val="Normal"/>
    <w:rsid w:val="003C2B02"/>
    <w:pPr>
      <w:spacing w:before="100" w:beforeAutospacing="1" w:after="100" w:afterAutospacing="1"/>
    </w:pPr>
  </w:style>
  <w:style w:type="character" w:customStyle="1" w:styleId="fulltext-bd">
    <w:name w:val="fulltext-bd"/>
    <w:basedOn w:val="DefaultParagraphFont"/>
    <w:rsid w:val="00A33AB7"/>
  </w:style>
  <w:style w:type="character" w:customStyle="1" w:styleId="fulltext-it">
    <w:name w:val="fulltext-it"/>
    <w:basedOn w:val="DefaultParagraphFont"/>
    <w:rsid w:val="00A33AB7"/>
  </w:style>
  <w:style w:type="character" w:customStyle="1" w:styleId="a">
    <w:name w:val="_"/>
    <w:basedOn w:val="DefaultParagraphFont"/>
    <w:rsid w:val="00EA3D6F"/>
  </w:style>
  <w:style w:type="character" w:customStyle="1" w:styleId="Heading4Char">
    <w:name w:val="Heading 4 Char"/>
    <w:basedOn w:val="DefaultParagraphFont"/>
    <w:link w:val="Heading4"/>
    <w:uiPriority w:val="9"/>
    <w:semiHidden/>
    <w:rsid w:val="00D872C2"/>
    <w:rPr>
      <w:rFonts w:asciiTheme="majorHAnsi" w:eastAsiaTheme="majorEastAsia" w:hAnsiTheme="majorHAnsi" w:cstheme="majorBidi"/>
      <w:i/>
      <w:iCs/>
      <w:color w:val="2F5496" w:themeColor="accent1" w:themeShade="BF"/>
      <w:lang w:eastAsia="en-GB"/>
    </w:rPr>
  </w:style>
  <w:style w:type="character" w:customStyle="1" w:styleId="figpopup-sensitive-area">
    <w:name w:val="figpopup-sensitive-area"/>
    <w:basedOn w:val="DefaultParagraphFont"/>
    <w:rsid w:val="00D872C2"/>
  </w:style>
  <w:style w:type="character" w:styleId="Strong">
    <w:name w:val="Strong"/>
    <w:basedOn w:val="DefaultParagraphFont"/>
    <w:uiPriority w:val="22"/>
    <w:qFormat/>
    <w:rsid w:val="00D872C2"/>
    <w:rPr>
      <w:b/>
      <w:bCs/>
    </w:rPr>
  </w:style>
  <w:style w:type="character" w:customStyle="1" w:styleId="ej-keyword">
    <w:name w:val="ej-keyword"/>
    <w:basedOn w:val="DefaultParagraphFont"/>
    <w:rsid w:val="0093338C"/>
  </w:style>
  <w:style w:type="paragraph" w:customStyle="1" w:styleId="c-author-listitem">
    <w:name w:val="c-author-list__item"/>
    <w:basedOn w:val="Normal"/>
    <w:rsid w:val="0093338C"/>
    <w:pPr>
      <w:spacing w:before="100" w:beforeAutospacing="1" w:after="100" w:afterAutospacing="1"/>
    </w:pPr>
  </w:style>
  <w:style w:type="paragraph" w:customStyle="1" w:styleId="c-article-info-details">
    <w:name w:val="c-article-info-details"/>
    <w:basedOn w:val="Normal"/>
    <w:rsid w:val="0093338C"/>
    <w:pPr>
      <w:spacing w:before="100" w:beforeAutospacing="1" w:after="100" w:afterAutospacing="1"/>
    </w:pPr>
  </w:style>
  <w:style w:type="character" w:customStyle="1" w:styleId="u-visually-hidden">
    <w:name w:val="u-visually-hidden"/>
    <w:basedOn w:val="DefaultParagraphFont"/>
    <w:rsid w:val="0093338C"/>
  </w:style>
  <w:style w:type="paragraph" w:customStyle="1" w:styleId="c-article-metrics-barcount">
    <w:name w:val="c-article-metrics-bar__count"/>
    <w:basedOn w:val="Normal"/>
    <w:rsid w:val="0093338C"/>
    <w:pPr>
      <w:spacing w:before="100" w:beforeAutospacing="1" w:after="100" w:afterAutospacing="1"/>
    </w:pPr>
  </w:style>
  <w:style w:type="character" w:customStyle="1" w:styleId="c-article-metrics-barlabel">
    <w:name w:val="c-article-metrics-bar__label"/>
    <w:basedOn w:val="DefaultParagraphFont"/>
    <w:rsid w:val="0093338C"/>
  </w:style>
  <w:style w:type="paragraph" w:customStyle="1" w:styleId="c-article-metrics-bardetails">
    <w:name w:val="c-article-metrics-bar__details"/>
    <w:basedOn w:val="Normal"/>
    <w:rsid w:val="0093338C"/>
    <w:pPr>
      <w:spacing w:before="100" w:beforeAutospacing="1" w:after="100" w:afterAutospacing="1"/>
    </w:pPr>
  </w:style>
  <w:style w:type="character" w:customStyle="1" w:styleId="UnresolvedMention1">
    <w:name w:val="Unresolved Mention1"/>
    <w:basedOn w:val="DefaultParagraphFont"/>
    <w:uiPriority w:val="99"/>
    <w:semiHidden/>
    <w:unhideWhenUsed/>
    <w:rsid w:val="0093338C"/>
    <w:rPr>
      <w:color w:val="605E5C"/>
      <w:shd w:val="clear" w:color="auto" w:fill="E1DFDD"/>
    </w:rPr>
  </w:style>
  <w:style w:type="character" w:customStyle="1" w:styleId="title-text">
    <w:name w:val="title-text"/>
    <w:basedOn w:val="DefaultParagraphFont"/>
    <w:rsid w:val="00334841"/>
  </w:style>
  <w:style w:type="character" w:customStyle="1" w:styleId="id-label">
    <w:name w:val="id-label"/>
    <w:basedOn w:val="DefaultParagraphFont"/>
    <w:rsid w:val="00ED44C4"/>
  </w:style>
  <w:style w:type="character" w:customStyle="1" w:styleId="c-bibliographic-informationvalue">
    <w:name w:val="c-bibliographic-information__value"/>
    <w:basedOn w:val="DefaultParagraphFont"/>
    <w:rsid w:val="00B41E11"/>
  </w:style>
  <w:style w:type="character" w:customStyle="1" w:styleId="identifier">
    <w:name w:val="identifier"/>
    <w:basedOn w:val="DefaultParagraphFont"/>
    <w:rsid w:val="009D0021"/>
  </w:style>
  <w:style w:type="character" w:styleId="LineNumber">
    <w:name w:val="line number"/>
    <w:basedOn w:val="DefaultParagraphFont"/>
    <w:uiPriority w:val="99"/>
    <w:semiHidden/>
    <w:unhideWhenUsed/>
    <w:rsid w:val="00AC36A6"/>
  </w:style>
  <w:style w:type="paragraph" w:customStyle="1" w:styleId="RGtext">
    <w:name w:val="*RGtext"/>
    <w:basedOn w:val="Normal"/>
    <w:link w:val="RGtextChar"/>
    <w:rsid w:val="00AC36A6"/>
    <w:pPr>
      <w:spacing w:before="120"/>
    </w:pPr>
    <w:rPr>
      <w:rFonts w:ascii="Calibri" w:hAnsi="Calibri"/>
      <w:color w:val="000000"/>
      <w:sz w:val="20"/>
      <w:szCs w:val="22"/>
      <w:lang w:eastAsia="en-US"/>
    </w:rPr>
  </w:style>
  <w:style w:type="character" w:customStyle="1" w:styleId="RGtextChar">
    <w:name w:val="*RGtext Char"/>
    <w:basedOn w:val="DefaultParagraphFont"/>
    <w:link w:val="RGtext"/>
    <w:rsid w:val="00AC36A6"/>
    <w:rPr>
      <w:rFonts w:ascii="Calibri" w:eastAsia="Times New Roman" w:hAnsi="Calibri" w:cs="Times New Roman"/>
      <w:color w:val="000000"/>
      <w:sz w:val="20"/>
      <w:szCs w:val="22"/>
    </w:rPr>
  </w:style>
  <w:style w:type="paragraph" w:customStyle="1" w:styleId="RGhead">
    <w:name w:val="*RGhead"/>
    <w:basedOn w:val="Normal"/>
    <w:link w:val="RGheadChar"/>
    <w:rsid w:val="00AC36A6"/>
    <w:pPr>
      <w:spacing w:before="240"/>
    </w:pPr>
    <w:rPr>
      <w:rFonts w:ascii="Calibri" w:hAnsi="Calibri"/>
      <w:b/>
      <w:color w:val="000000"/>
      <w:sz w:val="22"/>
      <w:szCs w:val="22"/>
      <w:lang w:eastAsia="en-US"/>
    </w:rPr>
  </w:style>
  <w:style w:type="character" w:customStyle="1" w:styleId="RGheadChar">
    <w:name w:val="*RGhead Char"/>
    <w:basedOn w:val="DefaultParagraphFont"/>
    <w:link w:val="RGhead"/>
    <w:rsid w:val="00AC36A6"/>
    <w:rPr>
      <w:rFonts w:ascii="Calibri" w:eastAsia="Times New Roman" w:hAnsi="Calibri" w:cs="Times New Roman"/>
      <w:b/>
      <w:color w:val="000000"/>
      <w:sz w:val="22"/>
      <w:szCs w:val="22"/>
    </w:rPr>
  </w:style>
  <w:style w:type="paragraph" w:customStyle="1" w:styleId="RGlist">
    <w:name w:val="*RGlist"/>
    <w:basedOn w:val="Normal"/>
    <w:link w:val="RGlistChar"/>
    <w:rsid w:val="00AC36A6"/>
    <w:pPr>
      <w:spacing w:before="60"/>
      <w:ind w:left="200" w:hanging="200"/>
    </w:pPr>
    <w:rPr>
      <w:rFonts w:ascii="Calibri" w:hAnsi="Calibri"/>
      <w:color w:val="000000"/>
      <w:sz w:val="20"/>
      <w:szCs w:val="22"/>
      <w:lang w:eastAsia="en-US"/>
    </w:rPr>
  </w:style>
  <w:style w:type="character" w:customStyle="1" w:styleId="RGlistChar">
    <w:name w:val="*RGlist Char"/>
    <w:basedOn w:val="DefaultParagraphFont"/>
    <w:link w:val="RGlist"/>
    <w:rsid w:val="00AC36A6"/>
    <w:rPr>
      <w:rFonts w:ascii="Calibri" w:eastAsia="Times New Roman" w:hAnsi="Calibri" w:cs="Times New Roman"/>
      <w:color w:val="000000"/>
      <w:sz w:val="20"/>
      <w:szCs w:val="22"/>
    </w:rPr>
  </w:style>
  <w:style w:type="character" w:customStyle="1" w:styleId="hgkelc">
    <w:name w:val="hgkelc"/>
    <w:basedOn w:val="DefaultParagraphFont"/>
    <w:rsid w:val="004B0BC2"/>
  </w:style>
  <w:style w:type="paragraph" w:customStyle="1" w:styleId="Smallprinttext">
    <w:name w:val="*Smallprint text"/>
    <w:basedOn w:val="Normal"/>
    <w:link w:val="SmallprinttextChar"/>
    <w:rsid w:val="004B0BC2"/>
    <w:pPr>
      <w:widowControl w:val="0"/>
      <w:autoSpaceDE w:val="0"/>
      <w:autoSpaceDN w:val="0"/>
      <w:adjustRightInd w:val="0"/>
      <w:spacing w:line="480" w:lineRule="auto"/>
    </w:pPr>
    <w:rPr>
      <w:rFonts w:ascii="ITC Symbol Std Medium" w:hAnsi="ITC Symbol Std Medium" w:cstheme="minorHAnsi"/>
      <w:b/>
      <w:bCs/>
      <w:sz w:val="12"/>
      <w:szCs w:val="22"/>
      <w:u w:val="single"/>
    </w:rPr>
  </w:style>
  <w:style w:type="character" w:customStyle="1" w:styleId="SmallprinttextChar">
    <w:name w:val="*Smallprint text Char"/>
    <w:basedOn w:val="DefaultParagraphFont"/>
    <w:link w:val="Smallprinttext"/>
    <w:rsid w:val="004B0BC2"/>
    <w:rPr>
      <w:rFonts w:ascii="ITC Symbol Std Medium" w:eastAsia="Times New Roman" w:hAnsi="ITC Symbol Std Medium" w:cstheme="minorHAnsi"/>
      <w:b/>
      <w:bCs/>
      <w:sz w:val="12"/>
      <w:szCs w:val="22"/>
      <w:u w:val="single"/>
      <w:lang w:eastAsia="en-GB"/>
    </w:rPr>
  </w:style>
  <w:style w:type="paragraph" w:customStyle="1" w:styleId="Smallprinthead">
    <w:name w:val="*Smallprint head"/>
    <w:basedOn w:val="Normal"/>
    <w:link w:val="SmallprintheadChar"/>
    <w:rsid w:val="004B0BC2"/>
    <w:pPr>
      <w:widowControl w:val="0"/>
      <w:autoSpaceDE w:val="0"/>
      <w:autoSpaceDN w:val="0"/>
      <w:adjustRightInd w:val="0"/>
      <w:spacing w:before="147" w:line="480" w:lineRule="auto"/>
    </w:pPr>
    <w:rPr>
      <w:rFonts w:ascii="ITC Symbol Std Book" w:hAnsi="ITC Symbol Std Book" w:cstheme="minorHAnsi"/>
      <w:b/>
      <w:bCs/>
      <w:sz w:val="13"/>
      <w:szCs w:val="22"/>
      <w:u w:val="single"/>
    </w:rPr>
  </w:style>
  <w:style w:type="character" w:customStyle="1" w:styleId="SmallprintheadChar">
    <w:name w:val="*Smallprint head Char"/>
    <w:basedOn w:val="DefaultParagraphFont"/>
    <w:link w:val="Smallprinthead"/>
    <w:rsid w:val="004B0BC2"/>
    <w:rPr>
      <w:rFonts w:ascii="ITC Symbol Std Book" w:eastAsia="Times New Roman" w:hAnsi="ITC Symbol Std Book" w:cstheme="minorHAnsi"/>
      <w:b/>
      <w:bCs/>
      <w:sz w:val="13"/>
      <w:szCs w:val="22"/>
      <w:u w:val="single"/>
      <w:lang w:eastAsia="en-GB"/>
    </w:rPr>
  </w:style>
  <w:style w:type="character" w:customStyle="1" w:styleId="UnresolvedMention2">
    <w:name w:val="Unresolved Mention2"/>
    <w:basedOn w:val="DefaultParagraphFont"/>
    <w:uiPriority w:val="99"/>
    <w:semiHidden/>
    <w:unhideWhenUsed/>
    <w:rsid w:val="007D1D58"/>
    <w:rPr>
      <w:color w:val="605E5C"/>
      <w:shd w:val="clear" w:color="auto" w:fill="E1DFDD"/>
    </w:rPr>
  </w:style>
  <w:style w:type="paragraph" w:customStyle="1" w:styleId="loaitem">
    <w:name w:val="loa__item"/>
    <w:basedOn w:val="Normal"/>
    <w:rsid w:val="00693D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57">
      <w:bodyDiv w:val="1"/>
      <w:marLeft w:val="0"/>
      <w:marRight w:val="0"/>
      <w:marTop w:val="0"/>
      <w:marBottom w:val="0"/>
      <w:divBdr>
        <w:top w:val="none" w:sz="0" w:space="0" w:color="auto"/>
        <w:left w:val="none" w:sz="0" w:space="0" w:color="auto"/>
        <w:bottom w:val="none" w:sz="0" w:space="0" w:color="auto"/>
        <w:right w:val="none" w:sz="0" w:space="0" w:color="auto"/>
      </w:divBdr>
    </w:div>
    <w:div w:id="21246175">
      <w:bodyDiv w:val="1"/>
      <w:marLeft w:val="0"/>
      <w:marRight w:val="0"/>
      <w:marTop w:val="0"/>
      <w:marBottom w:val="0"/>
      <w:divBdr>
        <w:top w:val="none" w:sz="0" w:space="0" w:color="auto"/>
        <w:left w:val="none" w:sz="0" w:space="0" w:color="auto"/>
        <w:bottom w:val="none" w:sz="0" w:space="0" w:color="auto"/>
        <w:right w:val="none" w:sz="0" w:space="0" w:color="auto"/>
      </w:divBdr>
    </w:div>
    <w:div w:id="23137082">
      <w:bodyDiv w:val="1"/>
      <w:marLeft w:val="0"/>
      <w:marRight w:val="0"/>
      <w:marTop w:val="0"/>
      <w:marBottom w:val="0"/>
      <w:divBdr>
        <w:top w:val="none" w:sz="0" w:space="0" w:color="auto"/>
        <w:left w:val="none" w:sz="0" w:space="0" w:color="auto"/>
        <w:bottom w:val="none" w:sz="0" w:space="0" w:color="auto"/>
        <w:right w:val="none" w:sz="0" w:space="0" w:color="auto"/>
      </w:divBdr>
    </w:div>
    <w:div w:id="26223810">
      <w:bodyDiv w:val="1"/>
      <w:marLeft w:val="0"/>
      <w:marRight w:val="0"/>
      <w:marTop w:val="0"/>
      <w:marBottom w:val="0"/>
      <w:divBdr>
        <w:top w:val="none" w:sz="0" w:space="0" w:color="auto"/>
        <w:left w:val="none" w:sz="0" w:space="0" w:color="auto"/>
        <w:bottom w:val="none" w:sz="0" w:space="0" w:color="auto"/>
        <w:right w:val="none" w:sz="0" w:space="0" w:color="auto"/>
      </w:divBdr>
    </w:div>
    <w:div w:id="30881842">
      <w:bodyDiv w:val="1"/>
      <w:marLeft w:val="0"/>
      <w:marRight w:val="0"/>
      <w:marTop w:val="0"/>
      <w:marBottom w:val="0"/>
      <w:divBdr>
        <w:top w:val="none" w:sz="0" w:space="0" w:color="auto"/>
        <w:left w:val="none" w:sz="0" w:space="0" w:color="auto"/>
        <w:bottom w:val="none" w:sz="0" w:space="0" w:color="auto"/>
        <w:right w:val="none" w:sz="0" w:space="0" w:color="auto"/>
      </w:divBdr>
    </w:div>
    <w:div w:id="35325019">
      <w:bodyDiv w:val="1"/>
      <w:marLeft w:val="0"/>
      <w:marRight w:val="0"/>
      <w:marTop w:val="0"/>
      <w:marBottom w:val="0"/>
      <w:divBdr>
        <w:top w:val="none" w:sz="0" w:space="0" w:color="auto"/>
        <w:left w:val="none" w:sz="0" w:space="0" w:color="auto"/>
        <w:bottom w:val="none" w:sz="0" w:space="0" w:color="auto"/>
        <w:right w:val="none" w:sz="0" w:space="0" w:color="auto"/>
      </w:divBdr>
    </w:div>
    <w:div w:id="37170379">
      <w:bodyDiv w:val="1"/>
      <w:marLeft w:val="0"/>
      <w:marRight w:val="0"/>
      <w:marTop w:val="0"/>
      <w:marBottom w:val="0"/>
      <w:divBdr>
        <w:top w:val="none" w:sz="0" w:space="0" w:color="auto"/>
        <w:left w:val="none" w:sz="0" w:space="0" w:color="auto"/>
        <w:bottom w:val="none" w:sz="0" w:space="0" w:color="auto"/>
        <w:right w:val="none" w:sz="0" w:space="0" w:color="auto"/>
      </w:divBdr>
    </w:div>
    <w:div w:id="38821725">
      <w:bodyDiv w:val="1"/>
      <w:marLeft w:val="0"/>
      <w:marRight w:val="0"/>
      <w:marTop w:val="0"/>
      <w:marBottom w:val="0"/>
      <w:divBdr>
        <w:top w:val="none" w:sz="0" w:space="0" w:color="auto"/>
        <w:left w:val="none" w:sz="0" w:space="0" w:color="auto"/>
        <w:bottom w:val="none" w:sz="0" w:space="0" w:color="auto"/>
        <w:right w:val="none" w:sz="0" w:space="0" w:color="auto"/>
      </w:divBdr>
    </w:div>
    <w:div w:id="40176946">
      <w:bodyDiv w:val="1"/>
      <w:marLeft w:val="0"/>
      <w:marRight w:val="0"/>
      <w:marTop w:val="0"/>
      <w:marBottom w:val="0"/>
      <w:divBdr>
        <w:top w:val="none" w:sz="0" w:space="0" w:color="auto"/>
        <w:left w:val="none" w:sz="0" w:space="0" w:color="auto"/>
        <w:bottom w:val="none" w:sz="0" w:space="0" w:color="auto"/>
        <w:right w:val="none" w:sz="0" w:space="0" w:color="auto"/>
      </w:divBdr>
    </w:div>
    <w:div w:id="41560476">
      <w:bodyDiv w:val="1"/>
      <w:marLeft w:val="0"/>
      <w:marRight w:val="0"/>
      <w:marTop w:val="0"/>
      <w:marBottom w:val="0"/>
      <w:divBdr>
        <w:top w:val="none" w:sz="0" w:space="0" w:color="auto"/>
        <w:left w:val="none" w:sz="0" w:space="0" w:color="auto"/>
        <w:bottom w:val="none" w:sz="0" w:space="0" w:color="auto"/>
        <w:right w:val="none" w:sz="0" w:space="0" w:color="auto"/>
      </w:divBdr>
    </w:div>
    <w:div w:id="46875757">
      <w:bodyDiv w:val="1"/>
      <w:marLeft w:val="0"/>
      <w:marRight w:val="0"/>
      <w:marTop w:val="0"/>
      <w:marBottom w:val="0"/>
      <w:divBdr>
        <w:top w:val="none" w:sz="0" w:space="0" w:color="auto"/>
        <w:left w:val="none" w:sz="0" w:space="0" w:color="auto"/>
        <w:bottom w:val="none" w:sz="0" w:space="0" w:color="auto"/>
        <w:right w:val="none" w:sz="0" w:space="0" w:color="auto"/>
      </w:divBdr>
    </w:div>
    <w:div w:id="49810141">
      <w:bodyDiv w:val="1"/>
      <w:marLeft w:val="0"/>
      <w:marRight w:val="0"/>
      <w:marTop w:val="0"/>
      <w:marBottom w:val="0"/>
      <w:divBdr>
        <w:top w:val="none" w:sz="0" w:space="0" w:color="auto"/>
        <w:left w:val="none" w:sz="0" w:space="0" w:color="auto"/>
        <w:bottom w:val="none" w:sz="0" w:space="0" w:color="auto"/>
        <w:right w:val="none" w:sz="0" w:space="0" w:color="auto"/>
      </w:divBdr>
    </w:div>
    <w:div w:id="55712337">
      <w:bodyDiv w:val="1"/>
      <w:marLeft w:val="0"/>
      <w:marRight w:val="0"/>
      <w:marTop w:val="0"/>
      <w:marBottom w:val="0"/>
      <w:divBdr>
        <w:top w:val="none" w:sz="0" w:space="0" w:color="auto"/>
        <w:left w:val="none" w:sz="0" w:space="0" w:color="auto"/>
        <w:bottom w:val="none" w:sz="0" w:space="0" w:color="auto"/>
        <w:right w:val="none" w:sz="0" w:space="0" w:color="auto"/>
      </w:divBdr>
    </w:div>
    <w:div w:id="61297121">
      <w:bodyDiv w:val="1"/>
      <w:marLeft w:val="0"/>
      <w:marRight w:val="0"/>
      <w:marTop w:val="0"/>
      <w:marBottom w:val="0"/>
      <w:divBdr>
        <w:top w:val="none" w:sz="0" w:space="0" w:color="auto"/>
        <w:left w:val="none" w:sz="0" w:space="0" w:color="auto"/>
        <w:bottom w:val="none" w:sz="0" w:space="0" w:color="auto"/>
        <w:right w:val="none" w:sz="0" w:space="0" w:color="auto"/>
      </w:divBdr>
    </w:div>
    <w:div w:id="62147953">
      <w:bodyDiv w:val="1"/>
      <w:marLeft w:val="0"/>
      <w:marRight w:val="0"/>
      <w:marTop w:val="0"/>
      <w:marBottom w:val="0"/>
      <w:divBdr>
        <w:top w:val="none" w:sz="0" w:space="0" w:color="auto"/>
        <w:left w:val="none" w:sz="0" w:space="0" w:color="auto"/>
        <w:bottom w:val="none" w:sz="0" w:space="0" w:color="auto"/>
        <w:right w:val="none" w:sz="0" w:space="0" w:color="auto"/>
      </w:divBdr>
    </w:div>
    <w:div w:id="71005802">
      <w:bodyDiv w:val="1"/>
      <w:marLeft w:val="0"/>
      <w:marRight w:val="0"/>
      <w:marTop w:val="0"/>
      <w:marBottom w:val="0"/>
      <w:divBdr>
        <w:top w:val="none" w:sz="0" w:space="0" w:color="auto"/>
        <w:left w:val="none" w:sz="0" w:space="0" w:color="auto"/>
        <w:bottom w:val="none" w:sz="0" w:space="0" w:color="auto"/>
        <w:right w:val="none" w:sz="0" w:space="0" w:color="auto"/>
      </w:divBdr>
    </w:div>
    <w:div w:id="72050891">
      <w:bodyDiv w:val="1"/>
      <w:marLeft w:val="0"/>
      <w:marRight w:val="0"/>
      <w:marTop w:val="0"/>
      <w:marBottom w:val="0"/>
      <w:divBdr>
        <w:top w:val="none" w:sz="0" w:space="0" w:color="auto"/>
        <w:left w:val="none" w:sz="0" w:space="0" w:color="auto"/>
        <w:bottom w:val="none" w:sz="0" w:space="0" w:color="auto"/>
        <w:right w:val="none" w:sz="0" w:space="0" w:color="auto"/>
      </w:divBdr>
    </w:div>
    <w:div w:id="72552503">
      <w:bodyDiv w:val="1"/>
      <w:marLeft w:val="0"/>
      <w:marRight w:val="0"/>
      <w:marTop w:val="0"/>
      <w:marBottom w:val="0"/>
      <w:divBdr>
        <w:top w:val="none" w:sz="0" w:space="0" w:color="auto"/>
        <w:left w:val="none" w:sz="0" w:space="0" w:color="auto"/>
        <w:bottom w:val="none" w:sz="0" w:space="0" w:color="auto"/>
        <w:right w:val="none" w:sz="0" w:space="0" w:color="auto"/>
      </w:divBdr>
      <w:divsChild>
        <w:div w:id="305091566">
          <w:marLeft w:val="0"/>
          <w:marRight w:val="0"/>
          <w:marTop w:val="0"/>
          <w:marBottom w:val="0"/>
          <w:divBdr>
            <w:top w:val="none" w:sz="0" w:space="0" w:color="auto"/>
            <w:left w:val="none" w:sz="0" w:space="0" w:color="auto"/>
            <w:bottom w:val="none" w:sz="0" w:space="0" w:color="auto"/>
            <w:right w:val="none" w:sz="0" w:space="0" w:color="auto"/>
          </w:divBdr>
        </w:div>
        <w:div w:id="799345612">
          <w:marLeft w:val="0"/>
          <w:marRight w:val="0"/>
          <w:marTop w:val="0"/>
          <w:marBottom w:val="0"/>
          <w:divBdr>
            <w:top w:val="none" w:sz="0" w:space="0" w:color="auto"/>
            <w:left w:val="none" w:sz="0" w:space="0" w:color="auto"/>
            <w:bottom w:val="none" w:sz="0" w:space="0" w:color="auto"/>
            <w:right w:val="none" w:sz="0" w:space="0" w:color="auto"/>
          </w:divBdr>
        </w:div>
      </w:divsChild>
    </w:div>
    <w:div w:id="74472170">
      <w:bodyDiv w:val="1"/>
      <w:marLeft w:val="0"/>
      <w:marRight w:val="0"/>
      <w:marTop w:val="0"/>
      <w:marBottom w:val="0"/>
      <w:divBdr>
        <w:top w:val="none" w:sz="0" w:space="0" w:color="auto"/>
        <w:left w:val="none" w:sz="0" w:space="0" w:color="auto"/>
        <w:bottom w:val="none" w:sz="0" w:space="0" w:color="auto"/>
        <w:right w:val="none" w:sz="0" w:space="0" w:color="auto"/>
      </w:divBdr>
    </w:div>
    <w:div w:id="75827046">
      <w:bodyDiv w:val="1"/>
      <w:marLeft w:val="0"/>
      <w:marRight w:val="0"/>
      <w:marTop w:val="0"/>
      <w:marBottom w:val="0"/>
      <w:divBdr>
        <w:top w:val="none" w:sz="0" w:space="0" w:color="auto"/>
        <w:left w:val="none" w:sz="0" w:space="0" w:color="auto"/>
        <w:bottom w:val="none" w:sz="0" w:space="0" w:color="auto"/>
        <w:right w:val="none" w:sz="0" w:space="0" w:color="auto"/>
      </w:divBdr>
    </w:div>
    <w:div w:id="81030231">
      <w:bodyDiv w:val="1"/>
      <w:marLeft w:val="0"/>
      <w:marRight w:val="0"/>
      <w:marTop w:val="0"/>
      <w:marBottom w:val="0"/>
      <w:divBdr>
        <w:top w:val="none" w:sz="0" w:space="0" w:color="auto"/>
        <w:left w:val="none" w:sz="0" w:space="0" w:color="auto"/>
        <w:bottom w:val="none" w:sz="0" w:space="0" w:color="auto"/>
        <w:right w:val="none" w:sz="0" w:space="0" w:color="auto"/>
      </w:divBdr>
    </w:div>
    <w:div w:id="91753106">
      <w:bodyDiv w:val="1"/>
      <w:marLeft w:val="0"/>
      <w:marRight w:val="0"/>
      <w:marTop w:val="0"/>
      <w:marBottom w:val="0"/>
      <w:divBdr>
        <w:top w:val="none" w:sz="0" w:space="0" w:color="auto"/>
        <w:left w:val="none" w:sz="0" w:space="0" w:color="auto"/>
        <w:bottom w:val="none" w:sz="0" w:space="0" w:color="auto"/>
        <w:right w:val="none" w:sz="0" w:space="0" w:color="auto"/>
      </w:divBdr>
    </w:div>
    <w:div w:id="94592318">
      <w:bodyDiv w:val="1"/>
      <w:marLeft w:val="0"/>
      <w:marRight w:val="0"/>
      <w:marTop w:val="0"/>
      <w:marBottom w:val="0"/>
      <w:divBdr>
        <w:top w:val="none" w:sz="0" w:space="0" w:color="auto"/>
        <w:left w:val="none" w:sz="0" w:space="0" w:color="auto"/>
        <w:bottom w:val="none" w:sz="0" w:space="0" w:color="auto"/>
        <w:right w:val="none" w:sz="0" w:space="0" w:color="auto"/>
      </w:divBdr>
      <w:divsChild>
        <w:div w:id="901139615">
          <w:marLeft w:val="0"/>
          <w:marRight w:val="0"/>
          <w:marTop w:val="0"/>
          <w:marBottom w:val="0"/>
          <w:divBdr>
            <w:top w:val="none" w:sz="0" w:space="0" w:color="auto"/>
            <w:left w:val="none" w:sz="0" w:space="0" w:color="auto"/>
            <w:bottom w:val="none" w:sz="0" w:space="0" w:color="auto"/>
            <w:right w:val="none" w:sz="0" w:space="0" w:color="auto"/>
          </w:divBdr>
        </w:div>
        <w:div w:id="2107723626">
          <w:marLeft w:val="0"/>
          <w:marRight w:val="0"/>
          <w:marTop w:val="0"/>
          <w:marBottom w:val="0"/>
          <w:divBdr>
            <w:top w:val="none" w:sz="0" w:space="0" w:color="auto"/>
            <w:left w:val="none" w:sz="0" w:space="0" w:color="auto"/>
            <w:bottom w:val="none" w:sz="0" w:space="0" w:color="auto"/>
            <w:right w:val="none" w:sz="0" w:space="0" w:color="auto"/>
          </w:divBdr>
        </w:div>
      </w:divsChild>
    </w:div>
    <w:div w:id="101805555">
      <w:bodyDiv w:val="1"/>
      <w:marLeft w:val="0"/>
      <w:marRight w:val="0"/>
      <w:marTop w:val="0"/>
      <w:marBottom w:val="0"/>
      <w:divBdr>
        <w:top w:val="none" w:sz="0" w:space="0" w:color="auto"/>
        <w:left w:val="none" w:sz="0" w:space="0" w:color="auto"/>
        <w:bottom w:val="none" w:sz="0" w:space="0" w:color="auto"/>
        <w:right w:val="none" w:sz="0" w:space="0" w:color="auto"/>
      </w:divBdr>
    </w:div>
    <w:div w:id="107237596">
      <w:bodyDiv w:val="1"/>
      <w:marLeft w:val="0"/>
      <w:marRight w:val="0"/>
      <w:marTop w:val="0"/>
      <w:marBottom w:val="0"/>
      <w:divBdr>
        <w:top w:val="none" w:sz="0" w:space="0" w:color="auto"/>
        <w:left w:val="none" w:sz="0" w:space="0" w:color="auto"/>
        <w:bottom w:val="none" w:sz="0" w:space="0" w:color="auto"/>
        <w:right w:val="none" w:sz="0" w:space="0" w:color="auto"/>
      </w:divBdr>
    </w:div>
    <w:div w:id="107282590">
      <w:bodyDiv w:val="1"/>
      <w:marLeft w:val="0"/>
      <w:marRight w:val="0"/>
      <w:marTop w:val="0"/>
      <w:marBottom w:val="0"/>
      <w:divBdr>
        <w:top w:val="none" w:sz="0" w:space="0" w:color="auto"/>
        <w:left w:val="none" w:sz="0" w:space="0" w:color="auto"/>
        <w:bottom w:val="none" w:sz="0" w:space="0" w:color="auto"/>
        <w:right w:val="none" w:sz="0" w:space="0" w:color="auto"/>
      </w:divBdr>
    </w:div>
    <w:div w:id="112988638">
      <w:bodyDiv w:val="1"/>
      <w:marLeft w:val="0"/>
      <w:marRight w:val="0"/>
      <w:marTop w:val="0"/>
      <w:marBottom w:val="0"/>
      <w:divBdr>
        <w:top w:val="none" w:sz="0" w:space="0" w:color="auto"/>
        <w:left w:val="none" w:sz="0" w:space="0" w:color="auto"/>
        <w:bottom w:val="none" w:sz="0" w:space="0" w:color="auto"/>
        <w:right w:val="none" w:sz="0" w:space="0" w:color="auto"/>
      </w:divBdr>
    </w:div>
    <w:div w:id="115490946">
      <w:bodyDiv w:val="1"/>
      <w:marLeft w:val="0"/>
      <w:marRight w:val="0"/>
      <w:marTop w:val="0"/>
      <w:marBottom w:val="0"/>
      <w:divBdr>
        <w:top w:val="none" w:sz="0" w:space="0" w:color="auto"/>
        <w:left w:val="none" w:sz="0" w:space="0" w:color="auto"/>
        <w:bottom w:val="none" w:sz="0" w:space="0" w:color="auto"/>
        <w:right w:val="none" w:sz="0" w:space="0" w:color="auto"/>
      </w:divBdr>
    </w:div>
    <w:div w:id="120075656">
      <w:bodyDiv w:val="1"/>
      <w:marLeft w:val="0"/>
      <w:marRight w:val="0"/>
      <w:marTop w:val="0"/>
      <w:marBottom w:val="0"/>
      <w:divBdr>
        <w:top w:val="none" w:sz="0" w:space="0" w:color="auto"/>
        <w:left w:val="none" w:sz="0" w:space="0" w:color="auto"/>
        <w:bottom w:val="none" w:sz="0" w:space="0" w:color="auto"/>
        <w:right w:val="none" w:sz="0" w:space="0" w:color="auto"/>
      </w:divBdr>
    </w:div>
    <w:div w:id="121508250">
      <w:bodyDiv w:val="1"/>
      <w:marLeft w:val="0"/>
      <w:marRight w:val="0"/>
      <w:marTop w:val="0"/>
      <w:marBottom w:val="0"/>
      <w:divBdr>
        <w:top w:val="none" w:sz="0" w:space="0" w:color="auto"/>
        <w:left w:val="none" w:sz="0" w:space="0" w:color="auto"/>
        <w:bottom w:val="none" w:sz="0" w:space="0" w:color="auto"/>
        <w:right w:val="none" w:sz="0" w:space="0" w:color="auto"/>
      </w:divBdr>
    </w:div>
    <w:div w:id="130247536">
      <w:bodyDiv w:val="1"/>
      <w:marLeft w:val="0"/>
      <w:marRight w:val="0"/>
      <w:marTop w:val="0"/>
      <w:marBottom w:val="0"/>
      <w:divBdr>
        <w:top w:val="none" w:sz="0" w:space="0" w:color="auto"/>
        <w:left w:val="none" w:sz="0" w:space="0" w:color="auto"/>
        <w:bottom w:val="none" w:sz="0" w:space="0" w:color="auto"/>
        <w:right w:val="none" w:sz="0" w:space="0" w:color="auto"/>
      </w:divBdr>
    </w:div>
    <w:div w:id="131947074">
      <w:bodyDiv w:val="1"/>
      <w:marLeft w:val="0"/>
      <w:marRight w:val="0"/>
      <w:marTop w:val="0"/>
      <w:marBottom w:val="0"/>
      <w:divBdr>
        <w:top w:val="none" w:sz="0" w:space="0" w:color="auto"/>
        <w:left w:val="none" w:sz="0" w:space="0" w:color="auto"/>
        <w:bottom w:val="none" w:sz="0" w:space="0" w:color="auto"/>
        <w:right w:val="none" w:sz="0" w:space="0" w:color="auto"/>
      </w:divBdr>
    </w:div>
    <w:div w:id="137036348">
      <w:bodyDiv w:val="1"/>
      <w:marLeft w:val="0"/>
      <w:marRight w:val="0"/>
      <w:marTop w:val="0"/>
      <w:marBottom w:val="0"/>
      <w:divBdr>
        <w:top w:val="none" w:sz="0" w:space="0" w:color="auto"/>
        <w:left w:val="none" w:sz="0" w:space="0" w:color="auto"/>
        <w:bottom w:val="none" w:sz="0" w:space="0" w:color="auto"/>
        <w:right w:val="none" w:sz="0" w:space="0" w:color="auto"/>
      </w:divBdr>
    </w:div>
    <w:div w:id="137305382">
      <w:bodyDiv w:val="1"/>
      <w:marLeft w:val="0"/>
      <w:marRight w:val="0"/>
      <w:marTop w:val="0"/>
      <w:marBottom w:val="0"/>
      <w:divBdr>
        <w:top w:val="none" w:sz="0" w:space="0" w:color="auto"/>
        <w:left w:val="none" w:sz="0" w:space="0" w:color="auto"/>
        <w:bottom w:val="none" w:sz="0" w:space="0" w:color="auto"/>
        <w:right w:val="none" w:sz="0" w:space="0" w:color="auto"/>
      </w:divBdr>
    </w:div>
    <w:div w:id="137385767">
      <w:bodyDiv w:val="1"/>
      <w:marLeft w:val="0"/>
      <w:marRight w:val="0"/>
      <w:marTop w:val="0"/>
      <w:marBottom w:val="0"/>
      <w:divBdr>
        <w:top w:val="none" w:sz="0" w:space="0" w:color="auto"/>
        <w:left w:val="none" w:sz="0" w:space="0" w:color="auto"/>
        <w:bottom w:val="none" w:sz="0" w:space="0" w:color="auto"/>
        <w:right w:val="none" w:sz="0" w:space="0" w:color="auto"/>
      </w:divBdr>
    </w:div>
    <w:div w:id="151676480">
      <w:bodyDiv w:val="1"/>
      <w:marLeft w:val="0"/>
      <w:marRight w:val="0"/>
      <w:marTop w:val="0"/>
      <w:marBottom w:val="0"/>
      <w:divBdr>
        <w:top w:val="none" w:sz="0" w:space="0" w:color="auto"/>
        <w:left w:val="none" w:sz="0" w:space="0" w:color="auto"/>
        <w:bottom w:val="none" w:sz="0" w:space="0" w:color="auto"/>
        <w:right w:val="none" w:sz="0" w:space="0" w:color="auto"/>
      </w:divBdr>
    </w:div>
    <w:div w:id="153646449">
      <w:bodyDiv w:val="1"/>
      <w:marLeft w:val="0"/>
      <w:marRight w:val="0"/>
      <w:marTop w:val="0"/>
      <w:marBottom w:val="0"/>
      <w:divBdr>
        <w:top w:val="none" w:sz="0" w:space="0" w:color="auto"/>
        <w:left w:val="none" w:sz="0" w:space="0" w:color="auto"/>
        <w:bottom w:val="none" w:sz="0" w:space="0" w:color="auto"/>
        <w:right w:val="none" w:sz="0" w:space="0" w:color="auto"/>
      </w:divBdr>
    </w:div>
    <w:div w:id="156045660">
      <w:bodyDiv w:val="1"/>
      <w:marLeft w:val="0"/>
      <w:marRight w:val="0"/>
      <w:marTop w:val="0"/>
      <w:marBottom w:val="0"/>
      <w:divBdr>
        <w:top w:val="none" w:sz="0" w:space="0" w:color="auto"/>
        <w:left w:val="none" w:sz="0" w:space="0" w:color="auto"/>
        <w:bottom w:val="none" w:sz="0" w:space="0" w:color="auto"/>
        <w:right w:val="none" w:sz="0" w:space="0" w:color="auto"/>
      </w:divBdr>
    </w:div>
    <w:div w:id="165361109">
      <w:bodyDiv w:val="1"/>
      <w:marLeft w:val="0"/>
      <w:marRight w:val="0"/>
      <w:marTop w:val="0"/>
      <w:marBottom w:val="0"/>
      <w:divBdr>
        <w:top w:val="none" w:sz="0" w:space="0" w:color="auto"/>
        <w:left w:val="none" w:sz="0" w:space="0" w:color="auto"/>
        <w:bottom w:val="none" w:sz="0" w:space="0" w:color="auto"/>
        <w:right w:val="none" w:sz="0" w:space="0" w:color="auto"/>
      </w:divBdr>
    </w:div>
    <w:div w:id="168566383">
      <w:bodyDiv w:val="1"/>
      <w:marLeft w:val="0"/>
      <w:marRight w:val="0"/>
      <w:marTop w:val="0"/>
      <w:marBottom w:val="0"/>
      <w:divBdr>
        <w:top w:val="none" w:sz="0" w:space="0" w:color="auto"/>
        <w:left w:val="none" w:sz="0" w:space="0" w:color="auto"/>
        <w:bottom w:val="none" w:sz="0" w:space="0" w:color="auto"/>
        <w:right w:val="none" w:sz="0" w:space="0" w:color="auto"/>
      </w:divBdr>
    </w:div>
    <w:div w:id="168955741">
      <w:bodyDiv w:val="1"/>
      <w:marLeft w:val="0"/>
      <w:marRight w:val="0"/>
      <w:marTop w:val="0"/>
      <w:marBottom w:val="0"/>
      <w:divBdr>
        <w:top w:val="none" w:sz="0" w:space="0" w:color="auto"/>
        <w:left w:val="none" w:sz="0" w:space="0" w:color="auto"/>
        <w:bottom w:val="none" w:sz="0" w:space="0" w:color="auto"/>
        <w:right w:val="none" w:sz="0" w:space="0" w:color="auto"/>
      </w:divBdr>
    </w:div>
    <w:div w:id="169226447">
      <w:bodyDiv w:val="1"/>
      <w:marLeft w:val="0"/>
      <w:marRight w:val="0"/>
      <w:marTop w:val="0"/>
      <w:marBottom w:val="0"/>
      <w:divBdr>
        <w:top w:val="none" w:sz="0" w:space="0" w:color="auto"/>
        <w:left w:val="none" w:sz="0" w:space="0" w:color="auto"/>
        <w:bottom w:val="none" w:sz="0" w:space="0" w:color="auto"/>
        <w:right w:val="none" w:sz="0" w:space="0" w:color="auto"/>
      </w:divBdr>
    </w:div>
    <w:div w:id="176895530">
      <w:bodyDiv w:val="1"/>
      <w:marLeft w:val="0"/>
      <w:marRight w:val="0"/>
      <w:marTop w:val="0"/>
      <w:marBottom w:val="0"/>
      <w:divBdr>
        <w:top w:val="none" w:sz="0" w:space="0" w:color="auto"/>
        <w:left w:val="none" w:sz="0" w:space="0" w:color="auto"/>
        <w:bottom w:val="none" w:sz="0" w:space="0" w:color="auto"/>
        <w:right w:val="none" w:sz="0" w:space="0" w:color="auto"/>
      </w:divBdr>
      <w:divsChild>
        <w:div w:id="1675568441">
          <w:marLeft w:val="0"/>
          <w:marRight w:val="0"/>
          <w:marTop w:val="0"/>
          <w:marBottom w:val="0"/>
          <w:divBdr>
            <w:top w:val="none" w:sz="0" w:space="0" w:color="auto"/>
            <w:left w:val="none" w:sz="0" w:space="0" w:color="auto"/>
            <w:bottom w:val="none" w:sz="0" w:space="0" w:color="auto"/>
            <w:right w:val="none" w:sz="0" w:space="0" w:color="auto"/>
          </w:divBdr>
        </w:div>
      </w:divsChild>
    </w:div>
    <w:div w:id="182861380">
      <w:bodyDiv w:val="1"/>
      <w:marLeft w:val="0"/>
      <w:marRight w:val="0"/>
      <w:marTop w:val="0"/>
      <w:marBottom w:val="0"/>
      <w:divBdr>
        <w:top w:val="none" w:sz="0" w:space="0" w:color="auto"/>
        <w:left w:val="none" w:sz="0" w:space="0" w:color="auto"/>
        <w:bottom w:val="none" w:sz="0" w:space="0" w:color="auto"/>
        <w:right w:val="none" w:sz="0" w:space="0" w:color="auto"/>
      </w:divBdr>
    </w:div>
    <w:div w:id="185094714">
      <w:bodyDiv w:val="1"/>
      <w:marLeft w:val="0"/>
      <w:marRight w:val="0"/>
      <w:marTop w:val="0"/>
      <w:marBottom w:val="0"/>
      <w:divBdr>
        <w:top w:val="none" w:sz="0" w:space="0" w:color="auto"/>
        <w:left w:val="none" w:sz="0" w:space="0" w:color="auto"/>
        <w:bottom w:val="none" w:sz="0" w:space="0" w:color="auto"/>
        <w:right w:val="none" w:sz="0" w:space="0" w:color="auto"/>
      </w:divBdr>
    </w:div>
    <w:div w:id="191380038">
      <w:bodyDiv w:val="1"/>
      <w:marLeft w:val="0"/>
      <w:marRight w:val="0"/>
      <w:marTop w:val="0"/>
      <w:marBottom w:val="0"/>
      <w:divBdr>
        <w:top w:val="none" w:sz="0" w:space="0" w:color="auto"/>
        <w:left w:val="none" w:sz="0" w:space="0" w:color="auto"/>
        <w:bottom w:val="none" w:sz="0" w:space="0" w:color="auto"/>
        <w:right w:val="none" w:sz="0" w:space="0" w:color="auto"/>
      </w:divBdr>
    </w:div>
    <w:div w:id="192113101">
      <w:bodyDiv w:val="1"/>
      <w:marLeft w:val="0"/>
      <w:marRight w:val="0"/>
      <w:marTop w:val="0"/>
      <w:marBottom w:val="0"/>
      <w:divBdr>
        <w:top w:val="none" w:sz="0" w:space="0" w:color="auto"/>
        <w:left w:val="none" w:sz="0" w:space="0" w:color="auto"/>
        <w:bottom w:val="none" w:sz="0" w:space="0" w:color="auto"/>
        <w:right w:val="none" w:sz="0" w:space="0" w:color="auto"/>
      </w:divBdr>
    </w:div>
    <w:div w:id="212931288">
      <w:bodyDiv w:val="1"/>
      <w:marLeft w:val="0"/>
      <w:marRight w:val="0"/>
      <w:marTop w:val="0"/>
      <w:marBottom w:val="0"/>
      <w:divBdr>
        <w:top w:val="none" w:sz="0" w:space="0" w:color="auto"/>
        <w:left w:val="none" w:sz="0" w:space="0" w:color="auto"/>
        <w:bottom w:val="none" w:sz="0" w:space="0" w:color="auto"/>
        <w:right w:val="none" w:sz="0" w:space="0" w:color="auto"/>
      </w:divBdr>
    </w:div>
    <w:div w:id="219025052">
      <w:bodyDiv w:val="1"/>
      <w:marLeft w:val="0"/>
      <w:marRight w:val="0"/>
      <w:marTop w:val="0"/>
      <w:marBottom w:val="0"/>
      <w:divBdr>
        <w:top w:val="none" w:sz="0" w:space="0" w:color="auto"/>
        <w:left w:val="none" w:sz="0" w:space="0" w:color="auto"/>
        <w:bottom w:val="none" w:sz="0" w:space="0" w:color="auto"/>
        <w:right w:val="none" w:sz="0" w:space="0" w:color="auto"/>
      </w:divBdr>
      <w:divsChild>
        <w:div w:id="933321841">
          <w:marLeft w:val="0"/>
          <w:marRight w:val="0"/>
          <w:marTop w:val="0"/>
          <w:marBottom w:val="0"/>
          <w:divBdr>
            <w:top w:val="none" w:sz="0" w:space="0" w:color="auto"/>
            <w:left w:val="none" w:sz="0" w:space="0" w:color="auto"/>
            <w:bottom w:val="none" w:sz="0" w:space="0" w:color="auto"/>
            <w:right w:val="none" w:sz="0" w:space="0" w:color="auto"/>
          </w:divBdr>
          <w:divsChild>
            <w:div w:id="865293162">
              <w:marLeft w:val="0"/>
              <w:marRight w:val="0"/>
              <w:marTop w:val="0"/>
              <w:marBottom w:val="0"/>
              <w:divBdr>
                <w:top w:val="none" w:sz="0" w:space="0" w:color="auto"/>
                <w:left w:val="none" w:sz="0" w:space="0" w:color="auto"/>
                <w:bottom w:val="none" w:sz="0" w:space="0" w:color="auto"/>
                <w:right w:val="none" w:sz="0" w:space="0" w:color="auto"/>
              </w:divBdr>
              <w:divsChild>
                <w:div w:id="29638097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66794408">
          <w:marLeft w:val="0"/>
          <w:marRight w:val="0"/>
          <w:marTop w:val="0"/>
          <w:marBottom w:val="600"/>
          <w:divBdr>
            <w:top w:val="none" w:sz="0" w:space="0" w:color="auto"/>
            <w:left w:val="none" w:sz="0" w:space="0" w:color="auto"/>
            <w:bottom w:val="none" w:sz="0" w:space="0" w:color="auto"/>
            <w:right w:val="none" w:sz="0" w:space="0" w:color="auto"/>
          </w:divBdr>
          <w:divsChild>
            <w:div w:id="480663067">
              <w:marLeft w:val="0"/>
              <w:marRight w:val="0"/>
              <w:marTop w:val="0"/>
              <w:marBottom w:val="0"/>
              <w:divBdr>
                <w:top w:val="none" w:sz="0" w:space="0" w:color="auto"/>
                <w:left w:val="none" w:sz="0" w:space="0" w:color="auto"/>
                <w:bottom w:val="none" w:sz="0" w:space="0" w:color="auto"/>
                <w:right w:val="none" w:sz="0" w:space="0" w:color="auto"/>
              </w:divBdr>
              <w:divsChild>
                <w:div w:id="569537541">
                  <w:marLeft w:val="0"/>
                  <w:marRight w:val="0"/>
                  <w:marTop w:val="0"/>
                  <w:marBottom w:val="0"/>
                  <w:divBdr>
                    <w:top w:val="none" w:sz="0" w:space="0" w:color="auto"/>
                    <w:left w:val="none" w:sz="0" w:space="0" w:color="auto"/>
                    <w:bottom w:val="none" w:sz="0" w:space="0" w:color="auto"/>
                    <w:right w:val="none" w:sz="0" w:space="0" w:color="auto"/>
                  </w:divBdr>
                  <w:divsChild>
                    <w:div w:id="21370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44893">
      <w:bodyDiv w:val="1"/>
      <w:marLeft w:val="0"/>
      <w:marRight w:val="0"/>
      <w:marTop w:val="0"/>
      <w:marBottom w:val="0"/>
      <w:divBdr>
        <w:top w:val="none" w:sz="0" w:space="0" w:color="auto"/>
        <w:left w:val="none" w:sz="0" w:space="0" w:color="auto"/>
        <w:bottom w:val="none" w:sz="0" w:space="0" w:color="auto"/>
        <w:right w:val="none" w:sz="0" w:space="0" w:color="auto"/>
      </w:divBdr>
    </w:div>
    <w:div w:id="249823758">
      <w:bodyDiv w:val="1"/>
      <w:marLeft w:val="0"/>
      <w:marRight w:val="0"/>
      <w:marTop w:val="0"/>
      <w:marBottom w:val="0"/>
      <w:divBdr>
        <w:top w:val="none" w:sz="0" w:space="0" w:color="auto"/>
        <w:left w:val="none" w:sz="0" w:space="0" w:color="auto"/>
        <w:bottom w:val="none" w:sz="0" w:space="0" w:color="auto"/>
        <w:right w:val="none" w:sz="0" w:space="0" w:color="auto"/>
      </w:divBdr>
    </w:div>
    <w:div w:id="252589233">
      <w:bodyDiv w:val="1"/>
      <w:marLeft w:val="0"/>
      <w:marRight w:val="0"/>
      <w:marTop w:val="0"/>
      <w:marBottom w:val="0"/>
      <w:divBdr>
        <w:top w:val="none" w:sz="0" w:space="0" w:color="auto"/>
        <w:left w:val="none" w:sz="0" w:space="0" w:color="auto"/>
        <w:bottom w:val="none" w:sz="0" w:space="0" w:color="auto"/>
        <w:right w:val="none" w:sz="0" w:space="0" w:color="auto"/>
      </w:divBdr>
    </w:div>
    <w:div w:id="252906204">
      <w:bodyDiv w:val="1"/>
      <w:marLeft w:val="0"/>
      <w:marRight w:val="0"/>
      <w:marTop w:val="0"/>
      <w:marBottom w:val="0"/>
      <w:divBdr>
        <w:top w:val="none" w:sz="0" w:space="0" w:color="auto"/>
        <w:left w:val="none" w:sz="0" w:space="0" w:color="auto"/>
        <w:bottom w:val="none" w:sz="0" w:space="0" w:color="auto"/>
        <w:right w:val="none" w:sz="0" w:space="0" w:color="auto"/>
      </w:divBdr>
    </w:div>
    <w:div w:id="253513014">
      <w:bodyDiv w:val="1"/>
      <w:marLeft w:val="0"/>
      <w:marRight w:val="0"/>
      <w:marTop w:val="0"/>
      <w:marBottom w:val="0"/>
      <w:divBdr>
        <w:top w:val="none" w:sz="0" w:space="0" w:color="auto"/>
        <w:left w:val="none" w:sz="0" w:space="0" w:color="auto"/>
        <w:bottom w:val="none" w:sz="0" w:space="0" w:color="auto"/>
        <w:right w:val="none" w:sz="0" w:space="0" w:color="auto"/>
      </w:divBdr>
    </w:div>
    <w:div w:id="264071510">
      <w:bodyDiv w:val="1"/>
      <w:marLeft w:val="0"/>
      <w:marRight w:val="0"/>
      <w:marTop w:val="0"/>
      <w:marBottom w:val="0"/>
      <w:divBdr>
        <w:top w:val="none" w:sz="0" w:space="0" w:color="auto"/>
        <w:left w:val="none" w:sz="0" w:space="0" w:color="auto"/>
        <w:bottom w:val="none" w:sz="0" w:space="0" w:color="auto"/>
        <w:right w:val="none" w:sz="0" w:space="0" w:color="auto"/>
      </w:divBdr>
    </w:div>
    <w:div w:id="265583435">
      <w:bodyDiv w:val="1"/>
      <w:marLeft w:val="0"/>
      <w:marRight w:val="0"/>
      <w:marTop w:val="0"/>
      <w:marBottom w:val="0"/>
      <w:divBdr>
        <w:top w:val="none" w:sz="0" w:space="0" w:color="auto"/>
        <w:left w:val="none" w:sz="0" w:space="0" w:color="auto"/>
        <w:bottom w:val="none" w:sz="0" w:space="0" w:color="auto"/>
        <w:right w:val="none" w:sz="0" w:space="0" w:color="auto"/>
      </w:divBdr>
    </w:div>
    <w:div w:id="271938668">
      <w:bodyDiv w:val="1"/>
      <w:marLeft w:val="0"/>
      <w:marRight w:val="0"/>
      <w:marTop w:val="0"/>
      <w:marBottom w:val="0"/>
      <w:divBdr>
        <w:top w:val="none" w:sz="0" w:space="0" w:color="auto"/>
        <w:left w:val="none" w:sz="0" w:space="0" w:color="auto"/>
        <w:bottom w:val="none" w:sz="0" w:space="0" w:color="auto"/>
        <w:right w:val="none" w:sz="0" w:space="0" w:color="auto"/>
      </w:divBdr>
    </w:div>
    <w:div w:id="275142603">
      <w:bodyDiv w:val="1"/>
      <w:marLeft w:val="0"/>
      <w:marRight w:val="0"/>
      <w:marTop w:val="0"/>
      <w:marBottom w:val="0"/>
      <w:divBdr>
        <w:top w:val="none" w:sz="0" w:space="0" w:color="auto"/>
        <w:left w:val="none" w:sz="0" w:space="0" w:color="auto"/>
        <w:bottom w:val="none" w:sz="0" w:space="0" w:color="auto"/>
        <w:right w:val="none" w:sz="0" w:space="0" w:color="auto"/>
      </w:divBdr>
    </w:div>
    <w:div w:id="287972008">
      <w:bodyDiv w:val="1"/>
      <w:marLeft w:val="0"/>
      <w:marRight w:val="0"/>
      <w:marTop w:val="0"/>
      <w:marBottom w:val="0"/>
      <w:divBdr>
        <w:top w:val="none" w:sz="0" w:space="0" w:color="auto"/>
        <w:left w:val="none" w:sz="0" w:space="0" w:color="auto"/>
        <w:bottom w:val="none" w:sz="0" w:space="0" w:color="auto"/>
        <w:right w:val="none" w:sz="0" w:space="0" w:color="auto"/>
      </w:divBdr>
    </w:div>
    <w:div w:id="292173309">
      <w:bodyDiv w:val="1"/>
      <w:marLeft w:val="0"/>
      <w:marRight w:val="0"/>
      <w:marTop w:val="0"/>
      <w:marBottom w:val="0"/>
      <w:divBdr>
        <w:top w:val="none" w:sz="0" w:space="0" w:color="auto"/>
        <w:left w:val="none" w:sz="0" w:space="0" w:color="auto"/>
        <w:bottom w:val="none" w:sz="0" w:space="0" w:color="auto"/>
        <w:right w:val="none" w:sz="0" w:space="0" w:color="auto"/>
      </w:divBdr>
    </w:div>
    <w:div w:id="313610829">
      <w:bodyDiv w:val="1"/>
      <w:marLeft w:val="0"/>
      <w:marRight w:val="0"/>
      <w:marTop w:val="0"/>
      <w:marBottom w:val="0"/>
      <w:divBdr>
        <w:top w:val="none" w:sz="0" w:space="0" w:color="auto"/>
        <w:left w:val="none" w:sz="0" w:space="0" w:color="auto"/>
        <w:bottom w:val="none" w:sz="0" w:space="0" w:color="auto"/>
        <w:right w:val="none" w:sz="0" w:space="0" w:color="auto"/>
      </w:divBdr>
    </w:div>
    <w:div w:id="326518856">
      <w:bodyDiv w:val="1"/>
      <w:marLeft w:val="0"/>
      <w:marRight w:val="0"/>
      <w:marTop w:val="0"/>
      <w:marBottom w:val="0"/>
      <w:divBdr>
        <w:top w:val="none" w:sz="0" w:space="0" w:color="auto"/>
        <w:left w:val="none" w:sz="0" w:space="0" w:color="auto"/>
        <w:bottom w:val="none" w:sz="0" w:space="0" w:color="auto"/>
        <w:right w:val="none" w:sz="0" w:space="0" w:color="auto"/>
      </w:divBdr>
    </w:div>
    <w:div w:id="329214868">
      <w:bodyDiv w:val="1"/>
      <w:marLeft w:val="0"/>
      <w:marRight w:val="0"/>
      <w:marTop w:val="0"/>
      <w:marBottom w:val="0"/>
      <w:divBdr>
        <w:top w:val="none" w:sz="0" w:space="0" w:color="auto"/>
        <w:left w:val="none" w:sz="0" w:space="0" w:color="auto"/>
        <w:bottom w:val="none" w:sz="0" w:space="0" w:color="auto"/>
        <w:right w:val="none" w:sz="0" w:space="0" w:color="auto"/>
      </w:divBdr>
    </w:div>
    <w:div w:id="331489542">
      <w:bodyDiv w:val="1"/>
      <w:marLeft w:val="0"/>
      <w:marRight w:val="0"/>
      <w:marTop w:val="0"/>
      <w:marBottom w:val="0"/>
      <w:divBdr>
        <w:top w:val="none" w:sz="0" w:space="0" w:color="auto"/>
        <w:left w:val="none" w:sz="0" w:space="0" w:color="auto"/>
        <w:bottom w:val="none" w:sz="0" w:space="0" w:color="auto"/>
        <w:right w:val="none" w:sz="0" w:space="0" w:color="auto"/>
      </w:divBdr>
    </w:div>
    <w:div w:id="332994211">
      <w:bodyDiv w:val="1"/>
      <w:marLeft w:val="0"/>
      <w:marRight w:val="0"/>
      <w:marTop w:val="0"/>
      <w:marBottom w:val="0"/>
      <w:divBdr>
        <w:top w:val="none" w:sz="0" w:space="0" w:color="auto"/>
        <w:left w:val="none" w:sz="0" w:space="0" w:color="auto"/>
        <w:bottom w:val="none" w:sz="0" w:space="0" w:color="auto"/>
        <w:right w:val="none" w:sz="0" w:space="0" w:color="auto"/>
      </w:divBdr>
    </w:div>
    <w:div w:id="340547223">
      <w:bodyDiv w:val="1"/>
      <w:marLeft w:val="0"/>
      <w:marRight w:val="0"/>
      <w:marTop w:val="0"/>
      <w:marBottom w:val="0"/>
      <w:divBdr>
        <w:top w:val="none" w:sz="0" w:space="0" w:color="auto"/>
        <w:left w:val="none" w:sz="0" w:space="0" w:color="auto"/>
        <w:bottom w:val="none" w:sz="0" w:space="0" w:color="auto"/>
        <w:right w:val="none" w:sz="0" w:space="0" w:color="auto"/>
      </w:divBdr>
    </w:div>
    <w:div w:id="344982774">
      <w:bodyDiv w:val="1"/>
      <w:marLeft w:val="0"/>
      <w:marRight w:val="0"/>
      <w:marTop w:val="0"/>
      <w:marBottom w:val="0"/>
      <w:divBdr>
        <w:top w:val="none" w:sz="0" w:space="0" w:color="auto"/>
        <w:left w:val="none" w:sz="0" w:space="0" w:color="auto"/>
        <w:bottom w:val="none" w:sz="0" w:space="0" w:color="auto"/>
        <w:right w:val="none" w:sz="0" w:space="0" w:color="auto"/>
      </w:divBdr>
    </w:div>
    <w:div w:id="348798454">
      <w:bodyDiv w:val="1"/>
      <w:marLeft w:val="0"/>
      <w:marRight w:val="0"/>
      <w:marTop w:val="0"/>
      <w:marBottom w:val="0"/>
      <w:divBdr>
        <w:top w:val="none" w:sz="0" w:space="0" w:color="auto"/>
        <w:left w:val="none" w:sz="0" w:space="0" w:color="auto"/>
        <w:bottom w:val="none" w:sz="0" w:space="0" w:color="auto"/>
        <w:right w:val="none" w:sz="0" w:space="0" w:color="auto"/>
      </w:divBdr>
    </w:div>
    <w:div w:id="352197179">
      <w:bodyDiv w:val="1"/>
      <w:marLeft w:val="0"/>
      <w:marRight w:val="0"/>
      <w:marTop w:val="0"/>
      <w:marBottom w:val="0"/>
      <w:divBdr>
        <w:top w:val="none" w:sz="0" w:space="0" w:color="auto"/>
        <w:left w:val="none" w:sz="0" w:space="0" w:color="auto"/>
        <w:bottom w:val="none" w:sz="0" w:space="0" w:color="auto"/>
        <w:right w:val="none" w:sz="0" w:space="0" w:color="auto"/>
      </w:divBdr>
    </w:div>
    <w:div w:id="391931755">
      <w:bodyDiv w:val="1"/>
      <w:marLeft w:val="0"/>
      <w:marRight w:val="0"/>
      <w:marTop w:val="0"/>
      <w:marBottom w:val="0"/>
      <w:divBdr>
        <w:top w:val="none" w:sz="0" w:space="0" w:color="auto"/>
        <w:left w:val="none" w:sz="0" w:space="0" w:color="auto"/>
        <w:bottom w:val="none" w:sz="0" w:space="0" w:color="auto"/>
        <w:right w:val="none" w:sz="0" w:space="0" w:color="auto"/>
      </w:divBdr>
    </w:div>
    <w:div w:id="392581934">
      <w:bodyDiv w:val="1"/>
      <w:marLeft w:val="0"/>
      <w:marRight w:val="0"/>
      <w:marTop w:val="0"/>
      <w:marBottom w:val="0"/>
      <w:divBdr>
        <w:top w:val="none" w:sz="0" w:space="0" w:color="auto"/>
        <w:left w:val="none" w:sz="0" w:space="0" w:color="auto"/>
        <w:bottom w:val="none" w:sz="0" w:space="0" w:color="auto"/>
        <w:right w:val="none" w:sz="0" w:space="0" w:color="auto"/>
      </w:divBdr>
    </w:div>
    <w:div w:id="405879398">
      <w:bodyDiv w:val="1"/>
      <w:marLeft w:val="0"/>
      <w:marRight w:val="0"/>
      <w:marTop w:val="0"/>
      <w:marBottom w:val="0"/>
      <w:divBdr>
        <w:top w:val="none" w:sz="0" w:space="0" w:color="auto"/>
        <w:left w:val="none" w:sz="0" w:space="0" w:color="auto"/>
        <w:bottom w:val="none" w:sz="0" w:space="0" w:color="auto"/>
        <w:right w:val="none" w:sz="0" w:space="0" w:color="auto"/>
      </w:divBdr>
    </w:div>
    <w:div w:id="406615067">
      <w:bodyDiv w:val="1"/>
      <w:marLeft w:val="0"/>
      <w:marRight w:val="0"/>
      <w:marTop w:val="0"/>
      <w:marBottom w:val="0"/>
      <w:divBdr>
        <w:top w:val="none" w:sz="0" w:space="0" w:color="auto"/>
        <w:left w:val="none" w:sz="0" w:space="0" w:color="auto"/>
        <w:bottom w:val="none" w:sz="0" w:space="0" w:color="auto"/>
        <w:right w:val="none" w:sz="0" w:space="0" w:color="auto"/>
      </w:divBdr>
    </w:div>
    <w:div w:id="407728726">
      <w:bodyDiv w:val="1"/>
      <w:marLeft w:val="0"/>
      <w:marRight w:val="0"/>
      <w:marTop w:val="0"/>
      <w:marBottom w:val="0"/>
      <w:divBdr>
        <w:top w:val="none" w:sz="0" w:space="0" w:color="auto"/>
        <w:left w:val="none" w:sz="0" w:space="0" w:color="auto"/>
        <w:bottom w:val="none" w:sz="0" w:space="0" w:color="auto"/>
        <w:right w:val="none" w:sz="0" w:space="0" w:color="auto"/>
      </w:divBdr>
    </w:div>
    <w:div w:id="417361126">
      <w:bodyDiv w:val="1"/>
      <w:marLeft w:val="0"/>
      <w:marRight w:val="0"/>
      <w:marTop w:val="0"/>
      <w:marBottom w:val="0"/>
      <w:divBdr>
        <w:top w:val="none" w:sz="0" w:space="0" w:color="auto"/>
        <w:left w:val="none" w:sz="0" w:space="0" w:color="auto"/>
        <w:bottom w:val="none" w:sz="0" w:space="0" w:color="auto"/>
        <w:right w:val="none" w:sz="0" w:space="0" w:color="auto"/>
      </w:divBdr>
    </w:div>
    <w:div w:id="417948824">
      <w:bodyDiv w:val="1"/>
      <w:marLeft w:val="0"/>
      <w:marRight w:val="0"/>
      <w:marTop w:val="0"/>
      <w:marBottom w:val="0"/>
      <w:divBdr>
        <w:top w:val="none" w:sz="0" w:space="0" w:color="auto"/>
        <w:left w:val="none" w:sz="0" w:space="0" w:color="auto"/>
        <w:bottom w:val="none" w:sz="0" w:space="0" w:color="auto"/>
        <w:right w:val="none" w:sz="0" w:space="0" w:color="auto"/>
      </w:divBdr>
    </w:div>
    <w:div w:id="420567062">
      <w:bodyDiv w:val="1"/>
      <w:marLeft w:val="0"/>
      <w:marRight w:val="0"/>
      <w:marTop w:val="0"/>
      <w:marBottom w:val="0"/>
      <w:divBdr>
        <w:top w:val="none" w:sz="0" w:space="0" w:color="auto"/>
        <w:left w:val="none" w:sz="0" w:space="0" w:color="auto"/>
        <w:bottom w:val="none" w:sz="0" w:space="0" w:color="auto"/>
        <w:right w:val="none" w:sz="0" w:space="0" w:color="auto"/>
      </w:divBdr>
    </w:div>
    <w:div w:id="424306725">
      <w:bodyDiv w:val="1"/>
      <w:marLeft w:val="0"/>
      <w:marRight w:val="0"/>
      <w:marTop w:val="0"/>
      <w:marBottom w:val="0"/>
      <w:divBdr>
        <w:top w:val="none" w:sz="0" w:space="0" w:color="auto"/>
        <w:left w:val="none" w:sz="0" w:space="0" w:color="auto"/>
        <w:bottom w:val="none" w:sz="0" w:space="0" w:color="auto"/>
        <w:right w:val="none" w:sz="0" w:space="0" w:color="auto"/>
      </w:divBdr>
    </w:div>
    <w:div w:id="427774886">
      <w:bodyDiv w:val="1"/>
      <w:marLeft w:val="0"/>
      <w:marRight w:val="0"/>
      <w:marTop w:val="0"/>
      <w:marBottom w:val="0"/>
      <w:divBdr>
        <w:top w:val="none" w:sz="0" w:space="0" w:color="auto"/>
        <w:left w:val="none" w:sz="0" w:space="0" w:color="auto"/>
        <w:bottom w:val="none" w:sz="0" w:space="0" w:color="auto"/>
        <w:right w:val="none" w:sz="0" w:space="0" w:color="auto"/>
      </w:divBdr>
    </w:div>
    <w:div w:id="428434073">
      <w:bodyDiv w:val="1"/>
      <w:marLeft w:val="0"/>
      <w:marRight w:val="0"/>
      <w:marTop w:val="0"/>
      <w:marBottom w:val="0"/>
      <w:divBdr>
        <w:top w:val="none" w:sz="0" w:space="0" w:color="auto"/>
        <w:left w:val="none" w:sz="0" w:space="0" w:color="auto"/>
        <w:bottom w:val="none" w:sz="0" w:space="0" w:color="auto"/>
        <w:right w:val="none" w:sz="0" w:space="0" w:color="auto"/>
      </w:divBdr>
    </w:div>
    <w:div w:id="435095964">
      <w:bodyDiv w:val="1"/>
      <w:marLeft w:val="0"/>
      <w:marRight w:val="0"/>
      <w:marTop w:val="0"/>
      <w:marBottom w:val="0"/>
      <w:divBdr>
        <w:top w:val="none" w:sz="0" w:space="0" w:color="auto"/>
        <w:left w:val="none" w:sz="0" w:space="0" w:color="auto"/>
        <w:bottom w:val="none" w:sz="0" w:space="0" w:color="auto"/>
        <w:right w:val="none" w:sz="0" w:space="0" w:color="auto"/>
      </w:divBdr>
    </w:div>
    <w:div w:id="441190977">
      <w:bodyDiv w:val="1"/>
      <w:marLeft w:val="0"/>
      <w:marRight w:val="0"/>
      <w:marTop w:val="0"/>
      <w:marBottom w:val="0"/>
      <w:divBdr>
        <w:top w:val="none" w:sz="0" w:space="0" w:color="auto"/>
        <w:left w:val="none" w:sz="0" w:space="0" w:color="auto"/>
        <w:bottom w:val="none" w:sz="0" w:space="0" w:color="auto"/>
        <w:right w:val="none" w:sz="0" w:space="0" w:color="auto"/>
      </w:divBdr>
    </w:div>
    <w:div w:id="443427759">
      <w:bodyDiv w:val="1"/>
      <w:marLeft w:val="0"/>
      <w:marRight w:val="0"/>
      <w:marTop w:val="0"/>
      <w:marBottom w:val="0"/>
      <w:divBdr>
        <w:top w:val="none" w:sz="0" w:space="0" w:color="auto"/>
        <w:left w:val="none" w:sz="0" w:space="0" w:color="auto"/>
        <w:bottom w:val="none" w:sz="0" w:space="0" w:color="auto"/>
        <w:right w:val="none" w:sz="0" w:space="0" w:color="auto"/>
      </w:divBdr>
    </w:div>
    <w:div w:id="443689765">
      <w:bodyDiv w:val="1"/>
      <w:marLeft w:val="0"/>
      <w:marRight w:val="0"/>
      <w:marTop w:val="0"/>
      <w:marBottom w:val="0"/>
      <w:divBdr>
        <w:top w:val="none" w:sz="0" w:space="0" w:color="auto"/>
        <w:left w:val="none" w:sz="0" w:space="0" w:color="auto"/>
        <w:bottom w:val="none" w:sz="0" w:space="0" w:color="auto"/>
        <w:right w:val="none" w:sz="0" w:space="0" w:color="auto"/>
      </w:divBdr>
    </w:div>
    <w:div w:id="451750218">
      <w:bodyDiv w:val="1"/>
      <w:marLeft w:val="0"/>
      <w:marRight w:val="0"/>
      <w:marTop w:val="0"/>
      <w:marBottom w:val="0"/>
      <w:divBdr>
        <w:top w:val="none" w:sz="0" w:space="0" w:color="auto"/>
        <w:left w:val="none" w:sz="0" w:space="0" w:color="auto"/>
        <w:bottom w:val="none" w:sz="0" w:space="0" w:color="auto"/>
        <w:right w:val="none" w:sz="0" w:space="0" w:color="auto"/>
      </w:divBdr>
    </w:div>
    <w:div w:id="453522387">
      <w:bodyDiv w:val="1"/>
      <w:marLeft w:val="0"/>
      <w:marRight w:val="0"/>
      <w:marTop w:val="0"/>
      <w:marBottom w:val="0"/>
      <w:divBdr>
        <w:top w:val="none" w:sz="0" w:space="0" w:color="auto"/>
        <w:left w:val="none" w:sz="0" w:space="0" w:color="auto"/>
        <w:bottom w:val="none" w:sz="0" w:space="0" w:color="auto"/>
        <w:right w:val="none" w:sz="0" w:space="0" w:color="auto"/>
      </w:divBdr>
    </w:div>
    <w:div w:id="454449828">
      <w:bodyDiv w:val="1"/>
      <w:marLeft w:val="0"/>
      <w:marRight w:val="0"/>
      <w:marTop w:val="0"/>
      <w:marBottom w:val="0"/>
      <w:divBdr>
        <w:top w:val="none" w:sz="0" w:space="0" w:color="auto"/>
        <w:left w:val="none" w:sz="0" w:space="0" w:color="auto"/>
        <w:bottom w:val="none" w:sz="0" w:space="0" w:color="auto"/>
        <w:right w:val="none" w:sz="0" w:space="0" w:color="auto"/>
      </w:divBdr>
    </w:div>
    <w:div w:id="463041271">
      <w:bodyDiv w:val="1"/>
      <w:marLeft w:val="0"/>
      <w:marRight w:val="0"/>
      <w:marTop w:val="0"/>
      <w:marBottom w:val="0"/>
      <w:divBdr>
        <w:top w:val="none" w:sz="0" w:space="0" w:color="auto"/>
        <w:left w:val="none" w:sz="0" w:space="0" w:color="auto"/>
        <w:bottom w:val="none" w:sz="0" w:space="0" w:color="auto"/>
        <w:right w:val="none" w:sz="0" w:space="0" w:color="auto"/>
      </w:divBdr>
    </w:div>
    <w:div w:id="467017418">
      <w:bodyDiv w:val="1"/>
      <w:marLeft w:val="0"/>
      <w:marRight w:val="0"/>
      <w:marTop w:val="0"/>
      <w:marBottom w:val="0"/>
      <w:divBdr>
        <w:top w:val="none" w:sz="0" w:space="0" w:color="auto"/>
        <w:left w:val="none" w:sz="0" w:space="0" w:color="auto"/>
        <w:bottom w:val="none" w:sz="0" w:space="0" w:color="auto"/>
        <w:right w:val="none" w:sz="0" w:space="0" w:color="auto"/>
      </w:divBdr>
    </w:div>
    <w:div w:id="469253708">
      <w:bodyDiv w:val="1"/>
      <w:marLeft w:val="0"/>
      <w:marRight w:val="0"/>
      <w:marTop w:val="0"/>
      <w:marBottom w:val="0"/>
      <w:divBdr>
        <w:top w:val="none" w:sz="0" w:space="0" w:color="auto"/>
        <w:left w:val="none" w:sz="0" w:space="0" w:color="auto"/>
        <w:bottom w:val="none" w:sz="0" w:space="0" w:color="auto"/>
        <w:right w:val="none" w:sz="0" w:space="0" w:color="auto"/>
      </w:divBdr>
    </w:div>
    <w:div w:id="476190423">
      <w:bodyDiv w:val="1"/>
      <w:marLeft w:val="0"/>
      <w:marRight w:val="0"/>
      <w:marTop w:val="0"/>
      <w:marBottom w:val="0"/>
      <w:divBdr>
        <w:top w:val="none" w:sz="0" w:space="0" w:color="auto"/>
        <w:left w:val="none" w:sz="0" w:space="0" w:color="auto"/>
        <w:bottom w:val="none" w:sz="0" w:space="0" w:color="auto"/>
        <w:right w:val="none" w:sz="0" w:space="0" w:color="auto"/>
      </w:divBdr>
    </w:div>
    <w:div w:id="478230819">
      <w:bodyDiv w:val="1"/>
      <w:marLeft w:val="0"/>
      <w:marRight w:val="0"/>
      <w:marTop w:val="0"/>
      <w:marBottom w:val="0"/>
      <w:divBdr>
        <w:top w:val="none" w:sz="0" w:space="0" w:color="auto"/>
        <w:left w:val="none" w:sz="0" w:space="0" w:color="auto"/>
        <w:bottom w:val="none" w:sz="0" w:space="0" w:color="auto"/>
        <w:right w:val="none" w:sz="0" w:space="0" w:color="auto"/>
      </w:divBdr>
    </w:div>
    <w:div w:id="483661074">
      <w:bodyDiv w:val="1"/>
      <w:marLeft w:val="0"/>
      <w:marRight w:val="0"/>
      <w:marTop w:val="0"/>
      <w:marBottom w:val="0"/>
      <w:divBdr>
        <w:top w:val="none" w:sz="0" w:space="0" w:color="auto"/>
        <w:left w:val="none" w:sz="0" w:space="0" w:color="auto"/>
        <w:bottom w:val="none" w:sz="0" w:space="0" w:color="auto"/>
        <w:right w:val="none" w:sz="0" w:space="0" w:color="auto"/>
      </w:divBdr>
    </w:div>
    <w:div w:id="507603846">
      <w:bodyDiv w:val="1"/>
      <w:marLeft w:val="0"/>
      <w:marRight w:val="0"/>
      <w:marTop w:val="0"/>
      <w:marBottom w:val="0"/>
      <w:divBdr>
        <w:top w:val="none" w:sz="0" w:space="0" w:color="auto"/>
        <w:left w:val="none" w:sz="0" w:space="0" w:color="auto"/>
        <w:bottom w:val="none" w:sz="0" w:space="0" w:color="auto"/>
        <w:right w:val="none" w:sz="0" w:space="0" w:color="auto"/>
      </w:divBdr>
    </w:div>
    <w:div w:id="512763595">
      <w:bodyDiv w:val="1"/>
      <w:marLeft w:val="0"/>
      <w:marRight w:val="0"/>
      <w:marTop w:val="0"/>
      <w:marBottom w:val="0"/>
      <w:divBdr>
        <w:top w:val="none" w:sz="0" w:space="0" w:color="auto"/>
        <w:left w:val="none" w:sz="0" w:space="0" w:color="auto"/>
        <w:bottom w:val="none" w:sz="0" w:space="0" w:color="auto"/>
        <w:right w:val="none" w:sz="0" w:space="0" w:color="auto"/>
      </w:divBdr>
    </w:div>
    <w:div w:id="521821078">
      <w:bodyDiv w:val="1"/>
      <w:marLeft w:val="0"/>
      <w:marRight w:val="0"/>
      <w:marTop w:val="0"/>
      <w:marBottom w:val="0"/>
      <w:divBdr>
        <w:top w:val="none" w:sz="0" w:space="0" w:color="auto"/>
        <w:left w:val="none" w:sz="0" w:space="0" w:color="auto"/>
        <w:bottom w:val="none" w:sz="0" w:space="0" w:color="auto"/>
        <w:right w:val="none" w:sz="0" w:space="0" w:color="auto"/>
      </w:divBdr>
    </w:div>
    <w:div w:id="522521627">
      <w:bodyDiv w:val="1"/>
      <w:marLeft w:val="0"/>
      <w:marRight w:val="0"/>
      <w:marTop w:val="0"/>
      <w:marBottom w:val="0"/>
      <w:divBdr>
        <w:top w:val="none" w:sz="0" w:space="0" w:color="auto"/>
        <w:left w:val="none" w:sz="0" w:space="0" w:color="auto"/>
        <w:bottom w:val="none" w:sz="0" w:space="0" w:color="auto"/>
        <w:right w:val="none" w:sz="0" w:space="0" w:color="auto"/>
      </w:divBdr>
    </w:div>
    <w:div w:id="531499166">
      <w:bodyDiv w:val="1"/>
      <w:marLeft w:val="0"/>
      <w:marRight w:val="0"/>
      <w:marTop w:val="0"/>
      <w:marBottom w:val="0"/>
      <w:divBdr>
        <w:top w:val="none" w:sz="0" w:space="0" w:color="auto"/>
        <w:left w:val="none" w:sz="0" w:space="0" w:color="auto"/>
        <w:bottom w:val="none" w:sz="0" w:space="0" w:color="auto"/>
        <w:right w:val="none" w:sz="0" w:space="0" w:color="auto"/>
      </w:divBdr>
    </w:div>
    <w:div w:id="531768763">
      <w:bodyDiv w:val="1"/>
      <w:marLeft w:val="0"/>
      <w:marRight w:val="0"/>
      <w:marTop w:val="0"/>
      <w:marBottom w:val="0"/>
      <w:divBdr>
        <w:top w:val="none" w:sz="0" w:space="0" w:color="auto"/>
        <w:left w:val="none" w:sz="0" w:space="0" w:color="auto"/>
        <w:bottom w:val="none" w:sz="0" w:space="0" w:color="auto"/>
        <w:right w:val="none" w:sz="0" w:space="0" w:color="auto"/>
      </w:divBdr>
    </w:div>
    <w:div w:id="543249878">
      <w:bodyDiv w:val="1"/>
      <w:marLeft w:val="0"/>
      <w:marRight w:val="0"/>
      <w:marTop w:val="0"/>
      <w:marBottom w:val="0"/>
      <w:divBdr>
        <w:top w:val="none" w:sz="0" w:space="0" w:color="auto"/>
        <w:left w:val="none" w:sz="0" w:space="0" w:color="auto"/>
        <w:bottom w:val="none" w:sz="0" w:space="0" w:color="auto"/>
        <w:right w:val="none" w:sz="0" w:space="0" w:color="auto"/>
      </w:divBdr>
    </w:div>
    <w:div w:id="547766826">
      <w:bodyDiv w:val="1"/>
      <w:marLeft w:val="0"/>
      <w:marRight w:val="0"/>
      <w:marTop w:val="0"/>
      <w:marBottom w:val="0"/>
      <w:divBdr>
        <w:top w:val="none" w:sz="0" w:space="0" w:color="auto"/>
        <w:left w:val="none" w:sz="0" w:space="0" w:color="auto"/>
        <w:bottom w:val="none" w:sz="0" w:space="0" w:color="auto"/>
        <w:right w:val="none" w:sz="0" w:space="0" w:color="auto"/>
      </w:divBdr>
    </w:div>
    <w:div w:id="552036959">
      <w:bodyDiv w:val="1"/>
      <w:marLeft w:val="0"/>
      <w:marRight w:val="0"/>
      <w:marTop w:val="0"/>
      <w:marBottom w:val="0"/>
      <w:divBdr>
        <w:top w:val="none" w:sz="0" w:space="0" w:color="auto"/>
        <w:left w:val="none" w:sz="0" w:space="0" w:color="auto"/>
        <w:bottom w:val="none" w:sz="0" w:space="0" w:color="auto"/>
        <w:right w:val="none" w:sz="0" w:space="0" w:color="auto"/>
      </w:divBdr>
    </w:div>
    <w:div w:id="567808844">
      <w:bodyDiv w:val="1"/>
      <w:marLeft w:val="0"/>
      <w:marRight w:val="0"/>
      <w:marTop w:val="0"/>
      <w:marBottom w:val="0"/>
      <w:divBdr>
        <w:top w:val="none" w:sz="0" w:space="0" w:color="auto"/>
        <w:left w:val="none" w:sz="0" w:space="0" w:color="auto"/>
        <w:bottom w:val="none" w:sz="0" w:space="0" w:color="auto"/>
        <w:right w:val="none" w:sz="0" w:space="0" w:color="auto"/>
      </w:divBdr>
    </w:div>
    <w:div w:id="585303429">
      <w:bodyDiv w:val="1"/>
      <w:marLeft w:val="0"/>
      <w:marRight w:val="0"/>
      <w:marTop w:val="0"/>
      <w:marBottom w:val="0"/>
      <w:divBdr>
        <w:top w:val="none" w:sz="0" w:space="0" w:color="auto"/>
        <w:left w:val="none" w:sz="0" w:space="0" w:color="auto"/>
        <w:bottom w:val="none" w:sz="0" w:space="0" w:color="auto"/>
        <w:right w:val="none" w:sz="0" w:space="0" w:color="auto"/>
      </w:divBdr>
    </w:div>
    <w:div w:id="595987013">
      <w:bodyDiv w:val="1"/>
      <w:marLeft w:val="0"/>
      <w:marRight w:val="0"/>
      <w:marTop w:val="0"/>
      <w:marBottom w:val="0"/>
      <w:divBdr>
        <w:top w:val="none" w:sz="0" w:space="0" w:color="auto"/>
        <w:left w:val="none" w:sz="0" w:space="0" w:color="auto"/>
        <w:bottom w:val="none" w:sz="0" w:space="0" w:color="auto"/>
        <w:right w:val="none" w:sz="0" w:space="0" w:color="auto"/>
      </w:divBdr>
    </w:div>
    <w:div w:id="599684407">
      <w:bodyDiv w:val="1"/>
      <w:marLeft w:val="0"/>
      <w:marRight w:val="0"/>
      <w:marTop w:val="0"/>
      <w:marBottom w:val="0"/>
      <w:divBdr>
        <w:top w:val="none" w:sz="0" w:space="0" w:color="auto"/>
        <w:left w:val="none" w:sz="0" w:space="0" w:color="auto"/>
        <w:bottom w:val="none" w:sz="0" w:space="0" w:color="auto"/>
        <w:right w:val="none" w:sz="0" w:space="0" w:color="auto"/>
      </w:divBdr>
    </w:div>
    <w:div w:id="620692574">
      <w:bodyDiv w:val="1"/>
      <w:marLeft w:val="0"/>
      <w:marRight w:val="0"/>
      <w:marTop w:val="0"/>
      <w:marBottom w:val="0"/>
      <w:divBdr>
        <w:top w:val="none" w:sz="0" w:space="0" w:color="auto"/>
        <w:left w:val="none" w:sz="0" w:space="0" w:color="auto"/>
        <w:bottom w:val="none" w:sz="0" w:space="0" w:color="auto"/>
        <w:right w:val="none" w:sz="0" w:space="0" w:color="auto"/>
      </w:divBdr>
    </w:div>
    <w:div w:id="628051748">
      <w:bodyDiv w:val="1"/>
      <w:marLeft w:val="0"/>
      <w:marRight w:val="0"/>
      <w:marTop w:val="0"/>
      <w:marBottom w:val="0"/>
      <w:divBdr>
        <w:top w:val="none" w:sz="0" w:space="0" w:color="auto"/>
        <w:left w:val="none" w:sz="0" w:space="0" w:color="auto"/>
        <w:bottom w:val="none" w:sz="0" w:space="0" w:color="auto"/>
        <w:right w:val="none" w:sz="0" w:space="0" w:color="auto"/>
      </w:divBdr>
    </w:div>
    <w:div w:id="628442079">
      <w:bodyDiv w:val="1"/>
      <w:marLeft w:val="0"/>
      <w:marRight w:val="0"/>
      <w:marTop w:val="0"/>
      <w:marBottom w:val="0"/>
      <w:divBdr>
        <w:top w:val="none" w:sz="0" w:space="0" w:color="auto"/>
        <w:left w:val="none" w:sz="0" w:space="0" w:color="auto"/>
        <w:bottom w:val="none" w:sz="0" w:space="0" w:color="auto"/>
        <w:right w:val="none" w:sz="0" w:space="0" w:color="auto"/>
      </w:divBdr>
    </w:div>
    <w:div w:id="628627765">
      <w:bodyDiv w:val="1"/>
      <w:marLeft w:val="0"/>
      <w:marRight w:val="0"/>
      <w:marTop w:val="0"/>
      <w:marBottom w:val="0"/>
      <w:divBdr>
        <w:top w:val="none" w:sz="0" w:space="0" w:color="auto"/>
        <w:left w:val="none" w:sz="0" w:space="0" w:color="auto"/>
        <w:bottom w:val="none" w:sz="0" w:space="0" w:color="auto"/>
        <w:right w:val="none" w:sz="0" w:space="0" w:color="auto"/>
      </w:divBdr>
    </w:div>
    <w:div w:id="642849989">
      <w:bodyDiv w:val="1"/>
      <w:marLeft w:val="0"/>
      <w:marRight w:val="0"/>
      <w:marTop w:val="0"/>
      <w:marBottom w:val="0"/>
      <w:divBdr>
        <w:top w:val="none" w:sz="0" w:space="0" w:color="auto"/>
        <w:left w:val="none" w:sz="0" w:space="0" w:color="auto"/>
        <w:bottom w:val="none" w:sz="0" w:space="0" w:color="auto"/>
        <w:right w:val="none" w:sz="0" w:space="0" w:color="auto"/>
      </w:divBdr>
    </w:div>
    <w:div w:id="655032647">
      <w:bodyDiv w:val="1"/>
      <w:marLeft w:val="0"/>
      <w:marRight w:val="0"/>
      <w:marTop w:val="0"/>
      <w:marBottom w:val="0"/>
      <w:divBdr>
        <w:top w:val="none" w:sz="0" w:space="0" w:color="auto"/>
        <w:left w:val="none" w:sz="0" w:space="0" w:color="auto"/>
        <w:bottom w:val="none" w:sz="0" w:space="0" w:color="auto"/>
        <w:right w:val="none" w:sz="0" w:space="0" w:color="auto"/>
      </w:divBdr>
    </w:div>
    <w:div w:id="659161802">
      <w:bodyDiv w:val="1"/>
      <w:marLeft w:val="0"/>
      <w:marRight w:val="0"/>
      <w:marTop w:val="0"/>
      <w:marBottom w:val="0"/>
      <w:divBdr>
        <w:top w:val="none" w:sz="0" w:space="0" w:color="auto"/>
        <w:left w:val="none" w:sz="0" w:space="0" w:color="auto"/>
        <w:bottom w:val="none" w:sz="0" w:space="0" w:color="auto"/>
        <w:right w:val="none" w:sz="0" w:space="0" w:color="auto"/>
      </w:divBdr>
    </w:div>
    <w:div w:id="659965058">
      <w:bodyDiv w:val="1"/>
      <w:marLeft w:val="0"/>
      <w:marRight w:val="0"/>
      <w:marTop w:val="0"/>
      <w:marBottom w:val="0"/>
      <w:divBdr>
        <w:top w:val="none" w:sz="0" w:space="0" w:color="auto"/>
        <w:left w:val="none" w:sz="0" w:space="0" w:color="auto"/>
        <w:bottom w:val="none" w:sz="0" w:space="0" w:color="auto"/>
        <w:right w:val="none" w:sz="0" w:space="0" w:color="auto"/>
      </w:divBdr>
    </w:div>
    <w:div w:id="680354514">
      <w:bodyDiv w:val="1"/>
      <w:marLeft w:val="0"/>
      <w:marRight w:val="0"/>
      <w:marTop w:val="0"/>
      <w:marBottom w:val="0"/>
      <w:divBdr>
        <w:top w:val="none" w:sz="0" w:space="0" w:color="auto"/>
        <w:left w:val="none" w:sz="0" w:space="0" w:color="auto"/>
        <w:bottom w:val="none" w:sz="0" w:space="0" w:color="auto"/>
        <w:right w:val="none" w:sz="0" w:space="0" w:color="auto"/>
      </w:divBdr>
    </w:div>
    <w:div w:id="680619685">
      <w:bodyDiv w:val="1"/>
      <w:marLeft w:val="0"/>
      <w:marRight w:val="0"/>
      <w:marTop w:val="0"/>
      <w:marBottom w:val="0"/>
      <w:divBdr>
        <w:top w:val="none" w:sz="0" w:space="0" w:color="auto"/>
        <w:left w:val="none" w:sz="0" w:space="0" w:color="auto"/>
        <w:bottom w:val="none" w:sz="0" w:space="0" w:color="auto"/>
        <w:right w:val="none" w:sz="0" w:space="0" w:color="auto"/>
      </w:divBdr>
    </w:div>
    <w:div w:id="682098917">
      <w:bodyDiv w:val="1"/>
      <w:marLeft w:val="0"/>
      <w:marRight w:val="0"/>
      <w:marTop w:val="0"/>
      <w:marBottom w:val="0"/>
      <w:divBdr>
        <w:top w:val="none" w:sz="0" w:space="0" w:color="auto"/>
        <w:left w:val="none" w:sz="0" w:space="0" w:color="auto"/>
        <w:bottom w:val="none" w:sz="0" w:space="0" w:color="auto"/>
        <w:right w:val="none" w:sz="0" w:space="0" w:color="auto"/>
      </w:divBdr>
    </w:div>
    <w:div w:id="686250336">
      <w:bodyDiv w:val="1"/>
      <w:marLeft w:val="0"/>
      <w:marRight w:val="0"/>
      <w:marTop w:val="0"/>
      <w:marBottom w:val="0"/>
      <w:divBdr>
        <w:top w:val="none" w:sz="0" w:space="0" w:color="auto"/>
        <w:left w:val="none" w:sz="0" w:space="0" w:color="auto"/>
        <w:bottom w:val="none" w:sz="0" w:space="0" w:color="auto"/>
        <w:right w:val="none" w:sz="0" w:space="0" w:color="auto"/>
      </w:divBdr>
    </w:div>
    <w:div w:id="686635069">
      <w:bodyDiv w:val="1"/>
      <w:marLeft w:val="0"/>
      <w:marRight w:val="0"/>
      <w:marTop w:val="0"/>
      <w:marBottom w:val="0"/>
      <w:divBdr>
        <w:top w:val="none" w:sz="0" w:space="0" w:color="auto"/>
        <w:left w:val="none" w:sz="0" w:space="0" w:color="auto"/>
        <w:bottom w:val="none" w:sz="0" w:space="0" w:color="auto"/>
        <w:right w:val="none" w:sz="0" w:space="0" w:color="auto"/>
      </w:divBdr>
    </w:div>
    <w:div w:id="700057557">
      <w:bodyDiv w:val="1"/>
      <w:marLeft w:val="0"/>
      <w:marRight w:val="0"/>
      <w:marTop w:val="0"/>
      <w:marBottom w:val="0"/>
      <w:divBdr>
        <w:top w:val="none" w:sz="0" w:space="0" w:color="auto"/>
        <w:left w:val="none" w:sz="0" w:space="0" w:color="auto"/>
        <w:bottom w:val="none" w:sz="0" w:space="0" w:color="auto"/>
        <w:right w:val="none" w:sz="0" w:space="0" w:color="auto"/>
      </w:divBdr>
    </w:div>
    <w:div w:id="712579154">
      <w:bodyDiv w:val="1"/>
      <w:marLeft w:val="0"/>
      <w:marRight w:val="0"/>
      <w:marTop w:val="0"/>
      <w:marBottom w:val="0"/>
      <w:divBdr>
        <w:top w:val="none" w:sz="0" w:space="0" w:color="auto"/>
        <w:left w:val="none" w:sz="0" w:space="0" w:color="auto"/>
        <w:bottom w:val="none" w:sz="0" w:space="0" w:color="auto"/>
        <w:right w:val="none" w:sz="0" w:space="0" w:color="auto"/>
      </w:divBdr>
    </w:div>
    <w:div w:id="715859270">
      <w:bodyDiv w:val="1"/>
      <w:marLeft w:val="0"/>
      <w:marRight w:val="0"/>
      <w:marTop w:val="0"/>
      <w:marBottom w:val="0"/>
      <w:divBdr>
        <w:top w:val="none" w:sz="0" w:space="0" w:color="auto"/>
        <w:left w:val="none" w:sz="0" w:space="0" w:color="auto"/>
        <w:bottom w:val="none" w:sz="0" w:space="0" w:color="auto"/>
        <w:right w:val="none" w:sz="0" w:space="0" w:color="auto"/>
      </w:divBdr>
    </w:div>
    <w:div w:id="723601793">
      <w:bodyDiv w:val="1"/>
      <w:marLeft w:val="0"/>
      <w:marRight w:val="0"/>
      <w:marTop w:val="0"/>
      <w:marBottom w:val="0"/>
      <w:divBdr>
        <w:top w:val="none" w:sz="0" w:space="0" w:color="auto"/>
        <w:left w:val="none" w:sz="0" w:space="0" w:color="auto"/>
        <w:bottom w:val="none" w:sz="0" w:space="0" w:color="auto"/>
        <w:right w:val="none" w:sz="0" w:space="0" w:color="auto"/>
      </w:divBdr>
    </w:div>
    <w:div w:id="728529965">
      <w:bodyDiv w:val="1"/>
      <w:marLeft w:val="0"/>
      <w:marRight w:val="0"/>
      <w:marTop w:val="0"/>
      <w:marBottom w:val="0"/>
      <w:divBdr>
        <w:top w:val="none" w:sz="0" w:space="0" w:color="auto"/>
        <w:left w:val="none" w:sz="0" w:space="0" w:color="auto"/>
        <w:bottom w:val="none" w:sz="0" w:space="0" w:color="auto"/>
        <w:right w:val="none" w:sz="0" w:space="0" w:color="auto"/>
      </w:divBdr>
    </w:div>
    <w:div w:id="739402828">
      <w:bodyDiv w:val="1"/>
      <w:marLeft w:val="0"/>
      <w:marRight w:val="0"/>
      <w:marTop w:val="0"/>
      <w:marBottom w:val="0"/>
      <w:divBdr>
        <w:top w:val="none" w:sz="0" w:space="0" w:color="auto"/>
        <w:left w:val="none" w:sz="0" w:space="0" w:color="auto"/>
        <w:bottom w:val="none" w:sz="0" w:space="0" w:color="auto"/>
        <w:right w:val="none" w:sz="0" w:space="0" w:color="auto"/>
      </w:divBdr>
    </w:div>
    <w:div w:id="748309295">
      <w:bodyDiv w:val="1"/>
      <w:marLeft w:val="0"/>
      <w:marRight w:val="0"/>
      <w:marTop w:val="0"/>
      <w:marBottom w:val="0"/>
      <w:divBdr>
        <w:top w:val="none" w:sz="0" w:space="0" w:color="auto"/>
        <w:left w:val="none" w:sz="0" w:space="0" w:color="auto"/>
        <w:bottom w:val="none" w:sz="0" w:space="0" w:color="auto"/>
        <w:right w:val="none" w:sz="0" w:space="0" w:color="auto"/>
      </w:divBdr>
    </w:div>
    <w:div w:id="757868124">
      <w:bodyDiv w:val="1"/>
      <w:marLeft w:val="0"/>
      <w:marRight w:val="0"/>
      <w:marTop w:val="0"/>
      <w:marBottom w:val="0"/>
      <w:divBdr>
        <w:top w:val="none" w:sz="0" w:space="0" w:color="auto"/>
        <w:left w:val="none" w:sz="0" w:space="0" w:color="auto"/>
        <w:bottom w:val="none" w:sz="0" w:space="0" w:color="auto"/>
        <w:right w:val="none" w:sz="0" w:space="0" w:color="auto"/>
      </w:divBdr>
    </w:div>
    <w:div w:id="762262373">
      <w:bodyDiv w:val="1"/>
      <w:marLeft w:val="0"/>
      <w:marRight w:val="0"/>
      <w:marTop w:val="0"/>
      <w:marBottom w:val="0"/>
      <w:divBdr>
        <w:top w:val="none" w:sz="0" w:space="0" w:color="auto"/>
        <w:left w:val="none" w:sz="0" w:space="0" w:color="auto"/>
        <w:bottom w:val="none" w:sz="0" w:space="0" w:color="auto"/>
        <w:right w:val="none" w:sz="0" w:space="0" w:color="auto"/>
      </w:divBdr>
    </w:div>
    <w:div w:id="762996357">
      <w:bodyDiv w:val="1"/>
      <w:marLeft w:val="0"/>
      <w:marRight w:val="0"/>
      <w:marTop w:val="0"/>
      <w:marBottom w:val="0"/>
      <w:divBdr>
        <w:top w:val="none" w:sz="0" w:space="0" w:color="auto"/>
        <w:left w:val="none" w:sz="0" w:space="0" w:color="auto"/>
        <w:bottom w:val="none" w:sz="0" w:space="0" w:color="auto"/>
        <w:right w:val="none" w:sz="0" w:space="0" w:color="auto"/>
      </w:divBdr>
    </w:div>
    <w:div w:id="763381371">
      <w:bodyDiv w:val="1"/>
      <w:marLeft w:val="0"/>
      <w:marRight w:val="0"/>
      <w:marTop w:val="0"/>
      <w:marBottom w:val="0"/>
      <w:divBdr>
        <w:top w:val="none" w:sz="0" w:space="0" w:color="auto"/>
        <w:left w:val="none" w:sz="0" w:space="0" w:color="auto"/>
        <w:bottom w:val="none" w:sz="0" w:space="0" w:color="auto"/>
        <w:right w:val="none" w:sz="0" w:space="0" w:color="auto"/>
      </w:divBdr>
    </w:div>
    <w:div w:id="765728972">
      <w:bodyDiv w:val="1"/>
      <w:marLeft w:val="0"/>
      <w:marRight w:val="0"/>
      <w:marTop w:val="0"/>
      <w:marBottom w:val="0"/>
      <w:divBdr>
        <w:top w:val="none" w:sz="0" w:space="0" w:color="auto"/>
        <w:left w:val="none" w:sz="0" w:space="0" w:color="auto"/>
        <w:bottom w:val="none" w:sz="0" w:space="0" w:color="auto"/>
        <w:right w:val="none" w:sz="0" w:space="0" w:color="auto"/>
      </w:divBdr>
    </w:div>
    <w:div w:id="768162387">
      <w:bodyDiv w:val="1"/>
      <w:marLeft w:val="0"/>
      <w:marRight w:val="0"/>
      <w:marTop w:val="0"/>
      <w:marBottom w:val="0"/>
      <w:divBdr>
        <w:top w:val="none" w:sz="0" w:space="0" w:color="auto"/>
        <w:left w:val="none" w:sz="0" w:space="0" w:color="auto"/>
        <w:bottom w:val="none" w:sz="0" w:space="0" w:color="auto"/>
        <w:right w:val="none" w:sz="0" w:space="0" w:color="auto"/>
      </w:divBdr>
    </w:div>
    <w:div w:id="772087763">
      <w:bodyDiv w:val="1"/>
      <w:marLeft w:val="0"/>
      <w:marRight w:val="0"/>
      <w:marTop w:val="0"/>
      <w:marBottom w:val="0"/>
      <w:divBdr>
        <w:top w:val="none" w:sz="0" w:space="0" w:color="auto"/>
        <w:left w:val="none" w:sz="0" w:space="0" w:color="auto"/>
        <w:bottom w:val="none" w:sz="0" w:space="0" w:color="auto"/>
        <w:right w:val="none" w:sz="0" w:space="0" w:color="auto"/>
      </w:divBdr>
    </w:div>
    <w:div w:id="772286729">
      <w:bodyDiv w:val="1"/>
      <w:marLeft w:val="0"/>
      <w:marRight w:val="0"/>
      <w:marTop w:val="0"/>
      <w:marBottom w:val="0"/>
      <w:divBdr>
        <w:top w:val="none" w:sz="0" w:space="0" w:color="auto"/>
        <w:left w:val="none" w:sz="0" w:space="0" w:color="auto"/>
        <w:bottom w:val="none" w:sz="0" w:space="0" w:color="auto"/>
        <w:right w:val="none" w:sz="0" w:space="0" w:color="auto"/>
      </w:divBdr>
    </w:div>
    <w:div w:id="783305936">
      <w:bodyDiv w:val="1"/>
      <w:marLeft w:val="0"/>
      <w:marRight w:val="0"/>
      <w:marTop w:val="0"/>
      <w:marBottom w:val="0"/>
      <w:divBdr>
        <w:top w:val="none" w:sz="0" w:space="0" w:color="auto"/>
        <w:left w:val="none" w:sz="0" w:space="0" w:color="auto"/>
        <w:bottom w:val="none" w:sz="0" w:space="0" w:color="auto"/>
        <w:right w:val="none" w:sz="0" w:space="0" w:color="auto"/>
      </w:divBdr>
    </w:div>
    <w:div w:id="793719745">
      <w:bodyDiv w:val="1"/>
      <w:marLeft w:val="0"/>
      <w:marRight w:val="0"/>
      <w:marTop w:val="0"/>
      <w:marBottom w:val="0"/>
      <w:divBdr>
        <w:top w:val="none" w:sz="0" w:space="0" w:color="auto"/>
        <w:left w:val="none" w:sz="0" w:space="0" w:color="auto"/>
        <w:bottom w:val="none" w:sz="0" w:space="0" w:color="auto"/>
        <w:right w:val="none" w:sz="0" w:space="0" w:color="auto"/>
      </w:divBdr>
    </w:div>
    <w:div w:id="796265372">
      <w:bodyDiv w:val="1"/>
      <w:marLeft w:val="0"/>
      <w:marRight w:val="0"/>
      <w:marTop w:val="0"/>
      <w:marBottom w:val="0"/>
      <w:divBdr>
        <w:top w:val="none" w:sz="0" w:space="0" w:color="auto"/>
        <w:left w:val="none" w:sz="0" w:space="0" w:color="auto"/>
        <w:bottom w:val="none" w:sz="0" w:space="0" w:color="auto"/>
        <w:right w:val="none" w:sz="0" w:space="0" w:color="auto"/>
      </w:divBdr>
    </w:div>
    <w:div w:id="796918348">
      <w:bodyDiv w:val="1"/>
      <w:marLeft w:val="0"/>
      <w:marRight w:val="0"/>
      <w:marTop w:val="0"/>
      <w:marBottom w:val="0"/>
      <w:divBdr>
        <w:top w:val="none" w:sz="0" w:space="0" w:color="auto"/>
        <w:left w:val="none" w:sz="0" w:space="0" w:color="auto"/>
        <w:bottom w:val="none" w:sz="0" w:space="0" w:color="auto"/>
        <w:right w:val="none" w:sz="0" w:space="0" w:color="auto"/>
      </w:divBdr>
    </w:div>
    <w:div w:id="797183382">
      <w:bodyDiv w:val="1"/>
      <w:marLeft w:val="0"/>
      <w:marRight w:val="0"/>
      <w:marTop w:val="0"/>
      <w:marBottom w:val="0"/>
      <w:divBdr>
        <w:top w:val="none" w:sz="0" w:space="0" w:color="auto"/>
        <w:left w:val="none" w:sz="0" w:space="0" w:color="auto"/>
        <w:bottom w:val="none" w:sz="0" w:space="0" w:color="auto"/>
        <w:right w:val="none" w:sz="0" w:space="0" w:color="auto"/>
      </w:divBdr>
    </w:div>
    <w:div w:id="802581316">
      <w:bodyDiv w:val="1"/>
      <w:marLeft w:val="0"/>
      <w:marRight w:val="0"/>
      <w:marTop w:val="0"/>
      <w:marBottom w:val="0"/>
      <w:divBdr>
        <w:top w:val="none" w:sz="0" w:space="0" w:color="auto"/>
        <w:left w:val="none" w:sz="0" w:space="0" w:color="auto"/>
        <w:bottom w:val="none" w:sz="0" w:space="0" w:color="auto"/>
        <w:right w:val="none" w:sz="0" w:space="0" w:color="auto"/>
      </w:divBdr>
    </w:div>
    <w:div w:id="805659692">
      <w:bodyDiv w:val="1"/>
      <w:marLeft w:val="0"/>
      <w:marRight w:val="0"/>
      <w:marTop w:val="0"/>
      <w:marBottom w:val="0"/>
      <w:divBdr>
        <w:top w:val="none" w:sz="0" w:space="0" w:color="auto"/>
        <w:left w:val="none" w:sz="0" w:space="0" w:color="auto"/>
        <w:bottom w:val="none" w:sz="0" w:space="0" w:color="auto"/>
        <w:right w:val="none" w:sz="0" w:space="0" w:color="auto"/>
      </w:divBdr>
    </w:div>
    <w:div w:id="817725317">
      <w:bodyDiv w:val="1"/>
      <w:marLeft w:val="0"/>
      <w:marRight w:val="0"/>
      <w:marTop w:val="0"/>
      <w:marBottom w:val="0"/>
      <w:divBdr>
        <w:top w:val="none" w:sz="0" w:space="0" w:color="auto"/>
        <w:left w:val="none" w:sz="0" w:space="0" w:color="auto"/>
        <w:bottom w:val="none" w:sz="0" w:space="0" w:color="auto"/>
        <w:right w:val="none" w:sz="0" w:space="0" w:color="auto"/>
      </w:divBdr>
    </w:div>
    <w:div w:id="820076232">
      <w:bodyDiv w:val="1"/>
      <w:marLeft w:val="0"/>
      <w:marRight w:val="0"/>
      <w:marTop w:val="0"/>
      <w:marBottom w:val="0"/>
      <w:divBdr>
        <w:top w:val="none" w:sz="0" w:space="0" w:color="auto"/>
        <w:left w:val="none" w:sz="0" w:space="0" w:color="auto"/>
        <w:bottom w:val="none" w:sz="0" w:space="0" w:color="auto"/>
        <w:right w:val="none" w:sz="0" w:space="0" w:color="auto"/>
      </w:divBdr>
    </w:div>
    <w:div w:id="823592066">
      <w:bodyDiv w:val="1"/>
      <w:marLeft w:val="0"/>
      <w:marRight w:val="0"/>
      <w:marTop w:val="0"/>
      <w:marBottom w:val="0"/>
      <w:divBdr>
        <w:top w:val="none" w:sz="0" w:space="0" w:color="auto"/>
        <w:left w:val="none" w:sz="0" w:space="0" w:color="auto"/>
        <w:bottom w:val="none" w:sz="0" w:space="0" w:color="auto"/>
        <w:right w:val="none" w:sz="0" w:space="0" w:color="auto"/>
      </w:divBdr>
    </w:div>
    <w:div w:id="828982043">
      <w:bodyDiv w:val="1"/>
      <w:marLeft w:val="0"/>
      <w:marRight w:val="0"/>
      <w:marTop w:val="0"/>
      <w:marBottom w:val="0"/>
      <w:divBdr>
        <w:top w:val="none" w:sz="0" w:space="0" w:color="auto"/>
        <w:left w:val="none" w:sz="0" w:space="0" w:color="auto"/>
        <w:bottom w:val="none" w:sz="0" w:space="0" w:color="auto"/>
        <w:right w:val="none" w:sz="0" w:space="0" w:color="auto"/>
      </w:divBdr>
    </w:div>
    <w:div w:id="830176242">
      <w:bodyDiv w:val="1"/>
      <w:marLeft w:val="0"/>
      <w:marRight w:val="0"/>
      <w:marTop w:val="0"/>
      <w:marBottom w:val="0"/>
      <w:divBdr>
        <w:top w:val="none" w:sz="0" w:space="0" w:color="auto"/>
        <w:left w:val="none" w:sz="0" w:space="0" w:color="auto"/>
        <w:bottom w:val="none" w:sz="0" w:space="0" w:color="auto"/>
        <w:right w:val="none" w:sz="0" w:space="0" w:color="auto"/>
      </w:divBdr>
    </w:div>
    <w:div w:id="831876625">
      <w:bodyDiv w:val="1"/>
      <w:marLeft w:val="0"/>
      <w:marRight w:val="0"/>
      <w:marTop w:val="0"/>
      <w:marBottom w:val="0"/>
      <w:divBdr>
        <w:top w:val="none" w:sz="0" w:space="0" w:color="auto"/>
        <w:left w:val="none" w:sz="0" w:space="0" w:color="auto"/>
        <w:bottom w:val="none" w:sz="0" w:space="0" w:color="auto"/>
        <w:right w:val="none" w:sz="0" w:space="0" w:color="auto"/>
      </w:divBdr>
    </w:div>
    <w:div w:id="833497960">
      <w:bodyDiv w:val="1"/>
      <w:marLeft w:val="0"/>
      <w:marRight w:val="0"/>
      <w:marTop w:val="0"/>
      <w:marBottom w:val="0"/>
      <w:divBdr>
        <w:top w:val="none" w:sz="0" w:space="0" w:color="auto"/>
        <w:left w:val="none" w:sz="0" w:space="0" w:color="auto"/>
        <w:bottom w:val="none" w:sz="0" w:space="0" w:color="auto"/>
        <w:right w:val="none" w:sz="0" w:space="0" w:color="auto"/>
      </w:divBdr>
    </w:div>
    <w:div w:id="841630379">
      <w:bodyDiv w:val="1"/>
      <w:marLeft w:val="0"/>
      <w:marRight w:val="0"/>
      <w:marTop w:val="0"/>
      <w:marBottom w:val="0"/>
      <w:divBdr>
        <w:top w:val="none" w:sz="0" w:space="0" w:color="auto"/>
        <w:left w:val="none" w:sz="0" w:space="0" w:color="auto"/>
        <w:bottom w:val="none" w:sz="0" w:space="0" w:color="auto"/>
        <w:right w:val="none" w:sz="0" w:space="0" w:color="auto"/>
      </w:divBdr>
    </w:div>
    <w:div w:id="846939267">
      <w:bodyDiv w:val="1"/>
      <w:marLeft w:val="0"/>
      <w:marRight w:val="0"/>
      <w:marTop w:val="0"/>
      <w:marBottom w:val="0"/>
      <w:divBdr>
        <w:top w:val="none" w:sz="0" w:space="0" w:color="auto"/>
        <w:left w:val="none" w:sz="0" w:space="0" w:color="auto"/>
        <w:bottom w:val="none" w:sz="0" w:space="0" w:color="auto"/>
        <w:right w:val="none" w:sz="0" w:space="0" w:color="auto"/>
      </w:divBdr>
    </w:div>
    <w:div w:id="849106010">
      <w:bodyDiv w:val="1"/>
      <w:marLeft w:val="0"/>
      <w:marRight w:val="0"/>
      <w:marTop w:val="0"/>
      <w:marBottom w:val="0"/>
      <w:divBdr>
        <w:top w:val="none" w:sz="0" w:space="0" w:color="auto"/>
        <w:left w:val="none" w:sz="0" w:space="0" w:color="auto"/>
        <w:bottom w:val="none" w:sz="0" w:space="0" w:color="auto"/>
        <w:right w:val="none" w:sz="0" w:space="0" w:color="auto"/>
      </w:divBdr>
    </w:div>
    <w:div w:id="853540995">
      <w:bodyDiv w:val="1"/>
      <w:marLeft w:val="0"/>
      <w:marRight w:val="0"/>
      <w:marTop w:val="0"/>
      <w:marBottom w:val="0"/>
      <w:divBdr>
        <w:top w:val="none" w:sz="0" w:space="0" w:color="auto"/>
        <w:left w:val="none" w:sz="0" w:space="0" w:color="auto"/>
        <w:bottom w:val="none" w:sz="0" w:space="0" w:color="auto"/>
        <w:right w:val="none" w:sz="0" w:space="0" w:color="auto"/>
      </w:divBdr>
    </w:div>
    <w:div w:id="857231249">
      <w:bodyDiv w:val="1"/>
      <w:marLeft w:val="0"/>
      <w:marRight w:val="0"/>
      <w:marTop w:val="0"/>
      <w:marBottom w:val="0"/>
      <w:divBdr>
        <w:top w:val="none" w:sz="0" w:space="0" w:color="auto"/>
        <w:left w:val="none" w:sz="0" w:space="0" w:color="auto"/>
        <w:bottom w:val="none" w:sz="0" w:space="0" w:color="auto"/>
        <w:right w:val="none" w:sz="0" w:space="0" w:color="auto"/>
      </w:divBdr>
    </w:div>
    <w:div w:id="858199590">
      <w:bodyDiv w:val="1"/>
      <w:marLeft w:val="0"/>
      <w:marRight w:val="0"/>
      <w:marTop w:val="0"/>
      <w:marBottom w:val="0"/>
      <w:divBdr>
        <w:top w:val="none" w:sz="0" w:space="0" w:color="auto"/>
        <w:left w:val="none" w:sz="0" w:space="0" w:color="auto"/>
        <w:bottom w:val="none" w:sz="0" w:space="0" w:color="auto"/>
        <w:right w:val="none" w:sz="0" w:space="0" w:color="auto"/>
      </w:divBdr>
    </w:div>
    <w:div w:id="863330048">
      <w:bodyDiv w:val="1"/>
      <w:marLeft w:val="0"/>
      <w:marRight w:val="0"/>
      <w:marTop w:val="0"/>
      <w:marBottom w:val="0"/>
      <w:divBdr>
        <w:top w:val="none" w:sz="0" w:space="0" w:color="auto"/>
        <w:left w:val="none" w:sz="0" w:space="0" w:color="auto"/>
        <w:bottom w:val="none" w:sz="0" w:space="0" w:color="auto"/>
        <w:right w:val="none" w:sz="0" w:space="0" w:color="auto"/>
      </w:divBdr>
    </w:div>
    <w:div w:id="872033918">
      <w:bodyDiv w:val="1"/>
      <w:marLeft w:val="0"/>
      <w:marRight w:val="0"/>
      <w:marTop w:val="0"/>
      <w:marBottom w:val="0"/>
      <w:divBdr>
        <w:top w:val="none" w:sz="0" w:space="0" w:color="auto"/>
        <w:left w:val="none" w:sz="0" w:space="0" w:color="auto"/>
        <w:bottom w:val="none" w:sz="0" w:space="0" w:color="auto"/>
        <w:right w:val="none" w:sz="0" w:space="0" w:color="auto"/>
      </w:divBdr>
    </w:div>
    <w:div w:id="874318643">
      <w:bodyDiv w:val="1"/>
      <w:marLeft w:val="0"/>
      <w:marRight w:val="0"/>
      <w:marTop w:val="0"/>
      <w:marBottom w:val="0"/>
      <w:divBdr>
        <w:top w:val="none" w:sz="0" w:space="0" w:color="auto"/>
        <w:left w:val="none" w:sz="0" w:space="0" w:color="auto"/>
        <w:bottom w:val="none" w:sz="0" w:space="0" w:color="auto"/>
        <w:right w:val="none" w:sz="0" w:space="0" w:color="auto"/>
      </w:divBdr>
    </w:div>
    <w:div w:id="874544536">
      <w:bodyDiv w:val="1"/>
      <w:marLeft w:val="0"/>
      <w:marRight w:val="0"/>
      <w:marTop w:val="0"/>
      <w:marBottom w:val="0"/>
      <w:divBdr>
        <w:top w:val="none" w:sz="0" w:space="0" w:color="auto"/>
        <w:left w:val="none" w:sz="0" w:space="0" w:color="auto"/>
        <w:bottom w:val="none" w:sz="0" w:space="0" w:color="auto"/>
        <w:right w:val="none" w:sz="0" w:space="0" w:color="auto"/>
      </w:divBdr>
    </w:div>
    <w:div w:id="878467745">
      <w:bodyDiv w:val="1"/>
      <w:marLeft w:val="0"/>
      <w:marRight w:val="0"/>
      <w:marTop w:val="0"/>
      <w:marBottom w:val="0"/>
      <w:divBdr>
        <w:top w:val="none" w:sz="0" w:space="0" w:color="auto"/>
        <w:left w:val="none" w:sz="0" w:space="0" w:color="auto"/>
        <w:bottom w:val="none" w:sz="0" w:space="0" w:color="auto"/>
        <w:right w:val="none" w:sz="0" w:space="0" w:color="auto"/>
      </w:divBdr>
    </w:div>
    <w:div w:id="891503036">
      <w:bodyDiv w:val="1"/>
      <w:marLeft w:val="0"/>
      <w:marRight w:val="0"/>
      <w:marTop w:val="0"/>
      <w:marBottom w:val="0"/>
      <w:divBdr>
        <w:top w:val="none" w:sz="0" w:space="0" w:color="auto"/>
        <w:left w:val="none" w:sz="0" w:space="0" w:color="auto"/>
        <w:bottom w:val="none" w:sz="0" w:space="0" w:color="auto"/>
        <w:right w:val="none" w:sz="0" w:space="0" w:color="auto"/>
      </w:divBdr>
    </w:div>
    <w:div w:id="903369336">
      <w:bodyDiv w:val="1"/>
      <w:marLeft w:val="0"/>
      <w:marRight w:val="0"/>
      <w:marTop w:val="0"/>
      <w:marBottom w:val="0"/>
      <w:divBdr>
        <w:top w:val="none" w:sz="0" w:space="0" w:color="auto"/>
        <w:left w:val="none" w:sz="0" w:space="0" w:color="auto"/>
        <w:bottom w:val="none" w:sz="0" w:space="0" w:color="auto"/>
        <w:right w:val="none" w:sz="0" w:space="0" w:color="auto"/>
      </w:divBdr>
    </w:div>
    <w:div w:id="904295638">
      <w:bodyDiv w:val="1"/>
      <w:marLeft w:val="0"/>
      <w:marRight w:val="0"/>
      <w:marTop w:val="0"/>
      <w:marBottom w:val="0"/>
      <w:divBdr>
        <w:top w:val="none" w:sz="0" w:space="0" w:color="auto"/>
        <w:left w:val="none" w:sz="0" w:space="0" w:color="auto"/>
        <w:bottom w:val="none" w:sz="0" w:space="0" w:color="auto"/>
        <w:right w:val="none" w:sz="0" w:space="0" w:color="auto"/>
      </w:divBdr>
    </w:div>
    <w:div w:id="907616944">
      <w:bodyDiv w:val="1"/>
      <w:marLeft w:val="0"/>
      <w:marRight w:val="0"/>
      <w:marTop w:val="0"/>
      <w:marBottom w:val="0"/>
      <w:divBdr>
        <w:top w:val="none" w:sz="0" w:space="0" w:color="auto"/>
        <w:left w:val="none" w:sz="0" w:space="0" w:color="auto"/>
        <w:bottom w:val="none" w:sz="0" w:space="0" w:color="auto"/>
        <w:right w:val="none" w:sz="0" w:space="0" w:color="auto"/>
      </w:divBdr>
    </w:div>
    <w:div w:id="927730252">
      <w:bodyDiv w:val="1"/>
      <w:marLeft w:val="0"/>
      <w:marRight w:val="0"/>
      <w:marTop w:val="0"/>
      <w:marBottom w:val="0"/>
      <w:divBdr>
        <w:top w:val="none" w:sz="0" w:space="0" w:color="auto"/>
        <w:left w:val="none" w:sz="0" w:space="0" w:color="auto"/>
        <w:bottom w:val="none" w:sz="0" w:space="0" w:color="auto"/>
        <w:right w:val="none" w:sz="0" w:space="0" w:color="auto"/>
      </w:divBdr>
    </w:div>
    <w:div w:id="930241048">
      <w:bodyDiv w:val="1"/>
      <w:marLeft w:val="0"/>
      <w:marRight w:val="0"/>
      <w:marTop w:val="0"/>
      <w:marBottom w:val="0"/>
      <w:divBdr>
        <w:top w:val="none" w:sz="0" w:space="0" w:color="auto"/>
        <w:left w:val="none" w:sz="0" w:space="0" w:color="auto"/>
        <w:bottom w:val="none" w:sz="0" w:space="0" w:color="auto"/>
        <w:right w:val="none" w:sz="0" w:space="0" w:color="auto"/>
      </w:divBdr>
      <w:divsChild>
        <w:div w:id="1467619615">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234660008">
              <w:marLeft w:val="0"/>
              <w:marRight w:val="0"/>
              <w:marTop w:val="0"/>
              <w:marBottom w:val="332"/>
              <w:divBdr>
                <w:top w:val="none" w:sz="0" w:space="0" w:color="auto"/>
                <w:left w:val="none" w:sz="0" w:space="0" w:color="auto"/>
                <w:bottom w:val="none" w:sz="0" w:space="0" w:color="auto"/>
                <w:right w:val="none" w:sz="0" w:space="0" w:color="auto"/>
              </w:divBdr>
            </w:div>
          </w:divsChild>
        </w:div>
      </w:divsChild>
    </w:div>
    <w:div w:id="932739956">
      <w:bodyDiv w:val="1"/>
      <w:marLeft w:val="0"/>
      <w:marRight w:val="0"/>
      <w:marTop w:val="0"/>
      <w:marBottom w:val="0"/>
      <w:divBdr>
        <w:top w:val="none" w:sz="0" w:space="0" w:color="auto"/>
        <w:left w:val="none" w:sz="0" w:space="0" w:color="auto"/>
        <w:bottom w:val="none" w:sz="0" w:space="0" w:color="auto"/>
        <w:right w:val="none" w:sz="0" w:space="0" w:color="auto"/>
      </w:divBdr>
    </w:div>
    <w:div w:id="943852033">
      <w:bodyDiv w:val="1"/>
      <w:marLeft w:val="0"/>
      <w:marRight w:val="0"/>
      <w:marTop w:val="0"/>
      <w:marBottom w:val="0"/>
      <w:divBdr>
        <w:top w:val="none" w:sz="0" w:space="0" w:color="auto"/>
        <w:left w:val="none" w:sz="0" w:space="0" w:color="auto"/>
        <w:bottom w:val="none" w:sz="0" w:space="0" w:color="auto"/>
        <w:right w:val="none" w:sz="0" w:space="0" w:color="auto"/>
      </w:divBdr>
    </w:div>
    <w:div w:id="946932637">
      <w:bodyDiv w:val="1"/>
      <w:marLeft w:val="0"/>
      <w:marRight w:val="0"/>
      <w:marTop w:val="0"/>
      <w:marBottom w:val="0"/>
      <w:divBdr>
        <w:top w:val="none" w:sz="0" w:space="0" w:color="auto"/>
        <w:left w:val="none" w:sz="0" w:space="0" w:color="auto"/>
        <w:bottom w:val="none" w:sz="0" w:space="0" w:color="auto"/>
        <w:right w:val="none" w:sz="0" w:space="0" w:color="auto"/>
      </w:divBdr>
      <w:divsChild>
        <w:div w:id="259334878">
          <w:marLeft w:val="0"/>
          <w:marRight w:val="0"/>
          <w:marTop w:val="0"/>
          <w:marBottom w:val="0"/>
          <w:divBdr>
            <w:top w:val="none" w:sz="0" w:space="0" w:color="auto"/>
            <w:left w:val="none" w:sz="0" w:space="0" w:color="auto"/>
            <w:bottom w:val="none" w:sz="0" w:space="0" w:color="auto"/>
            <w:right w:val="none" w:sz="0" w:space="0" w:color="auto"/>
          </w:divBdr>
        </w:div>
        <w:div w:id="546842099">
          <w:marLeft w:val="0"/>
          <w:marRight w:val="0"/>
          <w:marTop w:val="0"/>
          <w:marBottom w:val="0"/>
          <w:divBdr>
            <w:top w:val="none" w:sz="0" w:space="0" w:color="auto"/>
            <w:left w:val="none" w:sz="0" w:space="0" w:color="auto"/>
            <w:bottom w:val="none" w:sz="0" w:space="0" w:color="auto"/>
            <w:right w:val="none" w:sz="0" w:space="0" w:color="auto"/>
          </w:divBdr>
        </w:div>
        <w:div w:id="586965846">
          <w:marLeft w:val="0"/>
          <w:marRight w:val="0"/>
          <w:marTop w:val="0"/>
          <w:marBottom w:val="0"/>
          <w:divBdr>
            <w:top w:val="none" w:sz="0" w:space="0" w:color="auto"/>
            <w:left w:val="none" w:sz="0" w:space="0" w:color="auto"/>
            <w:bottom w:val="none" w:sz="0" w:space="0" w:color="auto"/>
            <w:right w:val="none" w:sz="0" w:space="0" w:color="auto"/>
          </w:divBdr>
        </w:div>
        <w:div w:id="704867451">
          <w:marLeft w:val="0"/>
          <w:marRight w:val="0"/>
          <w:marTop w:val="0"/>
          <w:marBottom w:val="0"/>
          <w:divBdr>
            <w:top w:val="none" w:sz="0" w:space="0" w:color="auto"/>
            <w:left w:val="none" w:sz="0" w:space="0" w:color="auto"/>
            <w:bottom w:val="none" w:sz="0" w:space="0" w:color="auto"/>
            <w:right w:val="none" w:sz="0" w:space="0" w:color="auto"/>
          </w:divBdr>
        </w:div>
        <w:div w:id="766267515">
          <w:marLeft w:val="0"/>
          <w:marRight w:val="0"/>
          <w:marTop w:val="0"/>
          <w:marBottom w:val="0"/>
          <w:divBdr>
            <w:top w:val="none" w:sz="0" w:space="0" w:color="auto"/>
            <w:left w:val="none" w:sz="0" w:space="0" w:color="auto"/>
            <w:bottom w:val="none" w:sz="0" w:space="0" w:color="auto"/>
            <w:right w:val="none" w:sz="0" w:space="0" w:color="auto"/>
          </w:divBdr>
        </w:div>
        <w:div w:id="875968413">
          <w:marLeft w:val="0"/>
          <w:marRight w:val="0"/>
          <w:marTop w:val="0"/>
          <w:marBottom w:val="0"/>
          <w:divBdr>
            <w:top w:val="none" w:sz="0" w:space="0" w:color="auto"/>
            <w:left w:val="none" w:sz="0" w:space="0" w:color="auto"/>
            <w:bottom w:val="none" w:sz="0" w:space="0" w:color="auto"/>
            <w:right w:val="none" w:sz="0" w:space="0" w:color="auto"/>
          </w:divBdr>
        </w:div>
        <w:div w:id="1324551987">
          <w:marLeft w:val="0"/>
          <w:marRight w:val="0"/>
          <w:marTop w:val="0"/>
          <w:marBottom w:val="0"/>
          <w:divBdr>
            <w:top w:val="none" w:sz="0" w:space="0" w:color="auto"/>
            <w:left w:val="none" w:sz="0" w:space="0" w:color="auto"/>
            <w:bottom w:val="none" w:sz="0" w:space="0" w:color="auto"/>
            <w:right w:val="none" w:sz="0" w:space="0" w:color="auto"/>
          </w:divBdr>
        </w:div>
        <w:div w:id="1408065578">
          <w:marLeft w:val="0"/>
          <w:marRight w:val="0"/>
          <w:marTop w:val="0"/>
          <w:marBottom w:val="0"/>
          <w:divBdr>
            <w:top w:val="none" w:sz="0" w:space="0" w:color="auto"/>
            <w:left w:val="none" w:sz="0" w:space="0" w:color="auto"/>
            <w:bottom w:val="none" w:sz="0" w:space="0" w:color="auto"/>
            <w:right w:val="none" w:sz="0" w:space="0" w:color="auto"/>
          </w:divBdr>
        </w:div>
        <w:div w:id="1518499409">
          <w:marLeft w:val="0"/>
          <w:marRight w:val="0"/>
          <w:marTop w:val="0"/>
          <w:marBottom w:val="0"/>
          <w:divBdr>
            <w:top w:val="none" w:sz="0" w:space="0" w:color="auto"/>
            <w:left w:val="none" w:sz="0" w:space="0" w:color="auto"/>
            <w:bottom w:val="none" w:sz="0" w:space="0" w:color="auto"/>
            <w:right w:val="none" w:sz="0" w:space="0" w:color="auto"/>
          </w:divBdr>
        </w:div>
        <w:div w:id="2059166495">
          <w:marLeft w:val="0"/>
          <w:marRight w:val="0"/>
          <w:marTop w:val="0"/>
          <w:marBottom w:val="0"/>
          <w:divBdr>
            <w:top w:val="none" w:sz="0" w:space="0" w:color="auto"/>
            <w:left w:val="none" w:sz="0" w:space="0" w:color="auto"/>
            <w:bottom w:val="none" w:sz="0" w:space="0" w:color="auto"/>
            <w:right w:val="none" w:sz="0" w:space="0" w:color="auto"/>
          </w:divBdr>
        </w:div>
      </w:divsChild>
    </w:div>
    <w:div w:id="952126526">
      <w:bodyDiv w:val="1"/>
      <w:marLeft w:val="0"/>
      <w:marRight w:val="0"/>
      <w:marTop w:val="0"/>
      <w:marBottom w:val="0"/>
      <w:divBdr>
        <w:top w:val="none" w:sz="0" w:space="0" w:color="auto"/>
        <w:left w:val="none" w:sz="0" w:space="0" w:color="auto"/>
        <w:bottom w:val="none" w:sz="0" w:space="0" w:color="auto"/>
        <w:right w:val="none" w:sz="0" w:space="0" w:color="auto"/>
      </w:divBdr>
    </w:div>
    <w:div w:id="954797095">
      <w:bodyDiv w:val="1"/>
      <w:marLeft w:val="0"/>
      <w:marRight w:val="0"/>
      <w:marTop w:val="0"/>
      <w:marBottom w:val="0"/>
      <w:divBdr>
        <w:top w:val="none" w:sz="0" w:space="0" w:color="auto"/>
        <w:left w:val="none" w:sz="0" w:space="0" w:color="auto"/>
        <w:bottom w:val="none" w:sz="0" w:space="0" w:color="auto"/>
        <w:right w:val="none" w:sz="0" w:space="0" w:color="auto"/>
      </w:divBdr>
    </w:div>
    <w:div w:id="959534391">
      <w:bodyDiv w:val="1"/>
      <w:marLeft w:val="0"/>
      <w:marRight w:val="0"/>
      <w:marTop w:val="0"/>
      <w:marBottom w:val="0"/>
      <w:divBdr>
        <w:top w:val="none" w:sz="0" w:space="0" w:color="auto"/>
        <w:left w:val="none" w:sz="0" w:space="0" w:color="auto"/>
        <w:bottom w:val="none" w:sz="0" w:space="0" w:color="auto"/>
        <w:right w:val="none" w:sz="0" w:space="0" w:color="auto"/>
      </w:divBdr>
    </w:div>
    <w:div w:id="972128192">
      <w:bodyDiv w:val="1"/>
      <w:marLeft w:val="0"/>
      <w:marRight w:val="0"/>
      <w:marTop w:val="0"/>
      <w:marBottom w:val="0"/>
      <w:divBdr>
        <w:top w:val="none" w:sz="0" w:space="0" w:color="auto"/>
        <w:left w:val="none" w:sz="0" w:space="0" w:color="auto"/>
        <w:bottom w:val="none" w:sz="0" w:space="0" w:color="auto"/>
        <w:right w:val="none" w:sz="0" w:space="0" w:color="auto"/>
      </w:divBdr>
    </w:div>
    <w:div w:id="980114256">
      <w:bodyDiv w:val="1"/>
      <w:marLeft w:val="0"/>
      <w:marRight w:val="0"/>
      <w:marTop w:val="0"/>
      <w:marBottom w:val="0"/>
      <w:divBdr>
        <w:top w:val="none" w:sz="0" w:space="0" w:color="auto"/>
        <w:left w:val="none" w:sz="0" w:space="0" w:color="auto"/>
        <w:bottom w:val="none" w:sz="0" w:space="0" w:color="auto"/>
        <w:right w:val="none" w:sz="0" w:space="0" w:color="auto"/>
      </w:divBdr>
    </w:div>
    <w:div w:id="989865755">
      <w:bodyDiv w:val="1"/>
      <w:marLeft w:val="0"/>
      <w:marRight w:val="0"/>
      <w:marTop w:val="0"/>
      <w:marBottom w:val="0"/>
      <w:divBdr>
        <w:top w:val="none" w:sz="0" w:space="0" w:color="auto"/>
        <w:left w:val="none" w:sz="0" w:space="0" w:color="auto"/>
        <w:bottom w:val="none" w:sz="0" w:space="0" w:color="auto"/>
        <w:right w:val="none" w:sz="0" w:space="0" w:color="auto"/>
      </w:divBdr>
    </w:div>
    <w:div w:id="990867296">
      <w:bodyDiv w:val="1"/>
      <w:marLeft w:val="0"/>
      <w:marRight w:val="0"/>
      <w:marTop w:val="0"/>
      <w:marBottom w:val="0"/>
      <w:divBdr>
        <w:top w:val="none" w:sz="0" w:space="0" w:color="auto"/>
        <w:left w:val="none" w:sz="0" w:space="0" w:color="auto"/>
        <w:bottom w:val="none" w:sz="0" w:space="0" w:color="auto"/>
        <w:right w:val="none" w:sz="0" w:space="0" w:color="auto"/>
      </w:divBdr>
    </w:div>
    <w:div w:id="993071937">
      <w:bodyDiv w:val="1"/>
      <w:marLeft w:val="0"/>
      <w:marRight w:val="0"/>
      <w:marTop w:val="0"/>
      <w:marBottom w:val="0"/>
      <w:divBdr>
        <w:top w:val="none" w:sz="0" w:space="0" w:color="auto"/>
        <w:left w:val="none" w:sz="0" w:space="0" w:color="auto"/>
        <w:bottom w:val="none" w:sz="0" w:space="0" w:color="auto"/>
        <w:right w:val="none" w:sz="0" w:space="0" w:color="auto"/>
      </w:divBdr>
    </w:div>
    <w:div w:id="995113341">
      <w:bodyDiv w:val="1"/>
      <w:marLeft w:val="0"/>
      <w:marRight w:val="0"/>
      <w:marTop w:val="0"/>
      <w:marBottom w:val="0"/>
      <w:divBdr>
        <w:top w:val="none" w:sz="0" w:space="0" w:color="auto"/>
        <w:left w:val="none" w:sz="0" w:space="0" w:color="auto"/>
        <w:bottom w:val="none" w:sz="0" w:space="0" w:color="auto"/>
        <w:right w:val="none" w:sz="0" w:space="0" w:color="auto"/>
      </w:divBdr>
    </w:div>
    <w:div w:id="1005475759">
      <w:bodyDiv w:val="1"/>
      <w:marLeft w:val="0"/>
      <w:marRight w:val="0"/>
      <w:marTop w:val="0"/>
      <w:marBottom w:val="0"/>
      <w:divBdr>
        <w:top w:val="none" w:sz="0" w:space="0" w:color="auto"/>
        <w:left w:val="none" w:sz="0" w:space="0" w:color="auto"/>
        <w:bottom w:val="none" w:sz="0" w:space="0" w:color="auto"/>
        <w:right w:val="none" w:sz="0" w:space="0" w:color="auto"/>
      </w:divBdr>
    </w:div>
    <w:div w:id="1007291252">
      <w:bodyDiv w:val="1"/>
      <w:marLeft w:val="0"/>
      <w:marRight w:val="0"/>
      <w:marTop w:val="0"/>
      <w:marBottom w:val="0"/>
      <w:divBdr>
        <w:top w:val="none" w:sz="0" w:space="0" w:color="auto"/>
        <w:left w:val="none" w:sz="0" w:space="0" w:color="auto"/>
        <w:bottom w:val="none" w:sz="0" w:space="0" w:color="auto"/>
        <w:right w:val="none" w:sz="0" w:space="0" w:color="auto"/>
      </w:divBdr>
    </w:div>
    <w:div w:id="1012757517">
      <w:bodyDiv w:val="1"/>
      <w:marLeft w:val="0"/>
      <w:marRight w:val="0"/>
      <w:marTop w:val="0"/>
      <w:marBottom w:val="0"/>
      <w:divBdr>
        <w:top w:val="none" w:sz="0" w:space="0" w:color="auto"/>
        <w:left w:val="none" w:sz="0" w:space="0" w:color="auto"/>
        <w:bottom w:val="none" w:sz="0" w:space="0" w:color="auto"/>
        <w:right w:val="none" w:sz="0" w:space="0" w:color="auto"/>
      </w:divBdr>
    </w:div>
    <w:div w:id="1018118753">
      <w:bodyDiv w:val="1"/>
      <w:marLeft w:val="0"/>
      <w:marRight w:val="0"/>
      <w:marTop w:val="0"/>
      <w:marBottom w:val="0"/>
      <w:divBdr>
        <w:top w:val="none" w:sz="0" w:space="0" w:color="auto"/>
        <w:left w:val="none" w:sz="0" w:space="0" w:color="auto"/>
        <w:bottom w:val="none" w:sz="0" w:space="0" w:color="auto"/>
        <w:right w:val="none" w:sz="0" w:space="0" w:color="auto"/>
      </w:divBdr>
    </w:div>
    <w:div w:id="1024481722">
      <w:bodyDiv w:val="1"/>
      <w:marLeft w:val="0"/>
      <w:marRight w:val="0"/>
      <w:marTop w:val="0"/>
      <w:marBottom w:val="0"/>
      <w:divBdr>
        <w:top w:val="none" w:sz="0" w:space="0" w:color="auto"/>
        <w:left w:val="none" w:sz="0" w:space="0" w:color="auto"/>
        <w:bottom w:val="none" w:sz="0" w:space="0" w:color="auto"/>
        <w:right w:val="none" w:sz="0" w:space="0" w:color="auto"/>
      </w:divBdr>
    </w:div>
    <w:div w:id="1033649998">
      <w:bodyDiv w:val="1"/>
      <w:marLeft w:val="0"/>
      <w:marRight w:val="0"/>
      <w:marTop w:val="0"/>
      <w:marBottom w:val="0"/>
      <w:divBdr>
        <w:top w:val="none" w:sz="0" w:space="0" w:color="auto"/>
        <w:left w:val="none" w:sz="0" w:space="0" w:color="auto"/>
        <w:bottom w:val="none" w:sz="0" w:space="0" w:color="auto"/>
        <w:right w:val="none" w:sz="0" w:space="0" w:color="auto"/>
      </w:divBdr>
    </w:div>
    <w:div w:id="1036463295">
      <w:bodyDiv w:val="1"/>
      <w:marLeft w:val="0"/>
      <w:marRight w:val="0"/>
      <w:marTop w:val="0"/>
      <w:marBottom w:val="0"/>
      <w:divBdr>
        <w:top w:val="none" w:sz="0" w:space="0" w:color="auto"/>
        <w:left w:val="none" w:sz="0" w:space="0" w:color="auto"/>
        <w:bottom w:val="none" w:sz="0" w:space="0" w:color="auto"/>
        <w:right w:val="none" w:sz="0" w:space="0" w:color="auto"/>
      </w:divBdr>
    </w:div>
    <w:div w:id="1043560599">
      <w:bodyDiv w:val="1"/>
      <w:marLeft w:val="0"/>
      <w:marRight w:val="0"/>
      <w:marTop w:val="0"/>
      <w:marBottom w:val="0"/>
      <w:divBdr>
        <w:top w:val="none" w:sz="0" w:space="0" w:color="auto"/>
        <w:left w:val="none" w:sz="0" w:space="0" w:color="auto"/>
        <w:bottom w:val="none" w:sz="0" w:space="0" w:color="auto"/>
        <w:right w:val="none" w:sz="0" w:space="0" w:color="auto"/>
      </w:divBdr>
    </w:div>
    <w:div w:id="1048800602">
      <w:bodyDiv w:val="1"/>
      <w:marLeft w:val="0"/>
      <w:marRight w:val="0"/>
      <w:marTop w:val="0"/>
      <w:marBottom w:val="0"/>
      <w:divBdr>
        <w:top w:val="none" w:sz="0" w:space="0" w:color="auto"/>
        <w:left w:val="none" w:sz="0" w:space="0" w:color="auto"/>
        <w:bottom w:val="none" w:sz="0" w:space="0" w:color="auto"/>
        <w:right w:val="none" w:sz="0" w:space="0" w:color="auto"/>
      </w:divBdr>
    </w:div>
    <w:div w:id="1049917398">
      <w:bodyDiv w:val="1"/>
      <w:marLeft w:val="0"/>
      <w:marRight w:val="0"/>
      <w:marTop w:val="0"/>
      <w:marBottom w:val="0"/>
      <w:divBdr>
        <w:top w:val="none" w:sz="0" w:space="0" w:color="auto"/>
        <w:left w:val="none" w:sz="0" w:space="0" w:color="auto"/>
        <w:bottom w:val="none" w:sz="0" w:space="0" w:color="auto"/>
        <w:right w:val="none" w:sz="0" w:space="0" w:color="auto"/>
      </w:divBdr>
    </w:div>
    <w:div w:id="1051340946">
      <w:bodyDiv w:val="1"/>
      <w:marLeft w:val="0"/>
      <w:marRight w:val="0"/>
      <w:marTop w:val="0"/>
      <w:marBottom w:val="0"/>
      <w:divBdr>
        <w:top w:val="none" w:sz="0" w:space="0" w:color="auto"/>
        <w:left w:val="none" w:sz="0" w:space="0" w:color="auto"/>
        <w:bottom w:val="none" w:sz="0" w:space="0" w:color="auto"/>
        <w:right w:val="none" w:sz="0" w:space="0" w:color="auto"/>
      </w:divBdr>
    </w:div>
    <w:div w:id="1052775532">
      <w:bodyDiv w:val="1"/>
      <w:marLeft w:val="0"/>
      <w:marRight w:val="0"/>
      <w:marTop w:val="0"/>
      <w:marBottom w:val="0"/>
      <w:divBdr>
        <w:top w:val="none" w:sz="0" w:space="0" w:color="auto"/>
        <w:left w:val="none" w:sz="0" w:space="0" w:color="auto"/>
        <w:bottom w:val="none" w:sz="0" w:space="0" w:color="auto"/>
        <w:right w:val="none" w:sz="0" w:space="0" w:color="auto"/>
      </w:divBdr>
    </w:div>
    <w:div w:id="1058675154">
      <w:bodyDiv w:val="1"/>
      <w:marLeft w:val="0"/>
      <w:marRight w:val="0"/>
      <w:marTop w:val="0"/>
      <w:marBottom w:val="0"/>
      <w:divBdr>
        <w:top w:val="none" w:sz="0" w:space="0" w:color="auto"/>
        <w:left w:val="none" w:sz="0" w:space="0" w:color="auto"/>
        <w:bottom w:val="none" w:sz="0" w:space="0" w:color="auto"/>
        <w:right w:val="none" w:sz="0" w:space="0" w:color="auto"/>
      </w:divBdr>
    </w:div>
    <w:div w:id="1060441824">
      <w:bodyDiv w:val="1"/>
      <w:marLeft w:val="0"/>
      <w:marRight w:val="0"/>
      <w:marTop w:val="0"/>
      <w:marBottom w:val="0"/>
      <w:divBdr>
        <w:top w:val="none" w:sz="0" w:space="0" w:color="auto"/>
        <w:left w:val="none" w:sz="0" w:space="0" w:color="auto"/>
        <w:bottom w:val="none" w:sz="0" w:space="0" w:color="auto"/>
        <w:right w:val="none" w:sz="0" w:space="0" w:color="auto"/>
      </w:divBdr>
    </w:div>
    <w:div w:id="1075010425">
      <w:bodyDiv w:val="1"/>
      <w:marLeft w:val="0"/>
      <w:marRight w:val="0"/>
      <w:marTop w:val="0"/>
      <w:marBottom w:val="0"/>
      <w:divBdr>
        <w:top w:val="none" w:sz="0" w:space="0" w:color="auto"/>
        <w:left w:val="none" w:sz="0" w:space="0" w:color="auto"/>
        <w:bottom w:val="none" w:sz="0" w:space="0" w:color="auto"/>
        <w:right w:val="none" w:sz="0" w:space="0" w:color="auto"/>
      </w:divBdr>
    </w:div>
    <w:div w:id="1078602097">
      <w:bodyDiv w:val="1"/>
      <w:marLeft w:val="0"/>
      <w:marRight w:val="0"/>
      <w:marTop w:val="0"/>
      <w:marBottom w:val="0"/>
      <w:divBdr>
        <w:top w:val="none" w:sz="0" w:space="0" w:color="auto"/>
        <w:left w:val="none" w:sz="0" w:space="0" w:color="auto"/>
        <w:bottom w:val="none" w:sz="0" w:space="0" w:color="auto"/>
        <w:right w:val="none" w:sz="0" w:space="0" w:color="auto"/>
      </w:divBdr>
    </w:div>
    <w:div w:id="1083530677">
      <w:bodyDiv w:val="1"/>
      <w:marLeft w:val="0"/>
      <w:marRight w:val="0"/>
      <w:marTop w:val="0"/>
      <w:marBottom w:val="0"/>
      <w:divBdr>
        <w:top w:val="none" w:sz="0" w:space="0" w:color="auto"/>
        <w:left w:val="none" w:sz="0" w:space="0" w:color="auto"/>
        <w:bottom w:val="none" w:sz="0" w:space="0" w:color="auto"/>
        <w:right w:val="none" w:sz="0" w:space="0" w:color="auto"/>
      </w:divBdr>
    </w:div>
    <w:div w:id="1086224733">
      <w:bodyDiv w:val="1"/>
      <w:marLeft w:val="0"/>
      <w:marRight w:val="0"/>
      <w:marTop w:val="0"/>
      <w:marBottom w:val="0"/>
      <w:divBdr>
        <w:top w:val="none" w:sz="0" w:space="0" w:color="auto"/>
        <w:left w:val="none" w:sz="0" w:space="0" w:color="auto"/>
        <w:bottom w:val="none" w:sz="0" w:space="0" w:color="auto"/>
        <w:right w:val="none" w:sz="0" w:space="0" w:color="auto"/>
      </w:divBdr>
    </w:div>
    <w:div w:id="1089042389">
      <w:bodyDiv w:val="1"/>
      <w:marLeft w:val="0"/>
      <w:marRight w:val="0"/>
      <w:marTop w:val="0"/>
      <w:marBottom w:val="0"/>
      <w:divBdr>
        <w:top w:val="none" w:sz="0" w:space="0" w:color="auto"/>
        <w:left w:val="none" w:sz="0" w:space="0" w:color="auto"/>
        <w:bottom w:val="none" w:sz="0" w:space="0" w:color="auto"/>
        <w:right w:val="none" w:sz="0" w:space="0" w:color="auto"/>
      </w:divBdr>
    </w:div>
    <w:div w:id="1090392257">
      <w:bodyDiv w:val="1"/>
      <w:marLeft w:val="0"/>
      <w:marRight w:val="0"/>
      <w:marTop w:val="0"/>
      <w:marBottom w:val="0"/>
      <w:divBdr>
        <w:top w:val="none" w:sz="0" w:space="0" w:color="auto"/>
        <w:left w:val="none" w:sz="0" w:space="0" w:color="auto"/>
        <w:bottom w:val="none" w:sz="0" w:space="0" w:color="auto"/>
        <w:right w:val="none" w:sz="0" w:space="0" w:color="auto"/>
      </w:divBdr>
    </w:div>
    <w:div w:id="1095321896">
      <w:bodyDiv w:val="1"/>
      <w:marLeft w:val="0"/>
      <w:marRight w:val="0"/>
      <w:marTop w:val="0"/>
      <w:marBottom w:val="0"/>
      <w:divBdr>
        <w:top w:val="none" w:sz="0" w:space="0" w:color="auto"/>
        <w:left w:val="none" w:sz="0" w:space="0" w:color="auto"/>
        <w:bottom w:val="none" w:sz="0" w:space="0" w:color="auto"/>
        <w:right w:val="none" w:sz="0" w:space="0" w:color="auto"/>
      </w:divBdr>
    </w:div>
    <w:div w:id="1095637190">
      <w:bodyDiv w:val="1"/>
      <w:marLeft w:val="0"/>
      <w:marRight w:val="0"/>
      <w:marTop w:val="0"/>
      <w:marBottom w:val="0"/>
      <w:divBdr>
        <w:top w:val="none" w:sz="0" w:space="0" w:color="auto"/>
        <w:left w:val="none" w:sz="0" w:space="0" w:color="auto"/>
        <w:bottom w:val="none" w:sz="0" w:space="0" w:color="auto"/>
        <w:right w:val="none" w:sz="0" w:space="0" w:color="auto"/>
      </w:divBdr>
    </w:div>
    <w:div w:id="1098016556">
      <w:bodyDiv w:val="1"/>
      <w:marLeft w:val="0"/>
      <w:marRight w:val="0"/>
      <w:marTop w:val="0"/>
      <w:marBottom w:val="0"/>
      <w:divBdr>
        <w:top w:val="none" w:sz="0" w:space="0" w:color="auto"/>
        <w:left w:val="none" w:sz="0" w:space="0" w:color="auto"/>
        <w:bottom w:val="none" w:sz="0" w:space="0" w:color="auto"/>
        <w:right w:val="none" w:sz="0" w:space="0" w:color="auto"/>
      </w:divBdr>
    </w:div>
    <w:div w:id="1098258336">
      <w:bodyDiv w:val="1"/>
      <w:marLeft w:val="0"/>
      <w:marRight w:val="0"/>
      <w:marTop w:val="0"/>
      <w:marBottom w:val="0"/>
      <w:divBdr>
        <w:top w:val="none" w:sz="0" w:space="0" w:color="auto"/>
        <w:left w:val="none" w:sz="0" w:space="0" w:color="auto"/>
        <w:bottom w:val="none" w:sz="0" w:space="0" w:color="auto"/>
        <w:right w:val="none" w:sz="0" w:space="0" w:color="auto"/>
      </w:divBdr>
    </w:div>
    <w:div w:id="1099180752">
      <w:bodyDiv w:val="1"/>
      <w:marLeft w:val="0"/>
      <w:marRight w:val="0"/>
      <w:marTop w:val="0"/>
      <w:marBottom w:val="0"/>
      <w:divBdr>
        <w:top w:val="none" w:sz="0" w:space="0" w:color="auto"/>
        <w:left w:val="none" w:sz="0" w:space="0" w:color="auto"/>
        <w:bottom w:val="none" w:sz="0" w:space="0" w:color="auto"/>
        <w:right w:val="none" w:sz="0" w:space="0" w:color="auto"/>
      </w:divBdr>
      <w:divsChild>
        <w:div w:id="408114854">
          <w:marLeft w:val="0"/>
          <w:marRight w:val="0"/>
          <w:marTop w:val="0"/>
          <w:marBottom w:val="0"/>
          <w:divBdr>
            <w:top w:val="none" w:sz="0" w:space="0" w:color="auto"/>
            <w:left w:val="none" w:sz="0" w:space="0" w:color="auto"/>
            <w:bottom w:val="none" w:sz="0" w:space="0" w:color="auto"/>
            <w:right w:val="none" w:sz="0" w:space="0" w:color="auto"/>
          </w:divBdr>
        </w:div>
        <w:div w:id="1953121455">
          <w:marLeft w:val="0"/>
          <w:marRight w:val="0"/>
          <w:marTop w:val="0"/>
          <w:marBottom w:val="0"/>
          <w:divBdr>
            <w:top w:val="none" w:sz="0" w:space="0" w:color="auto"/>
            <w:left w:val="none" w:sz="0" w:space="0" w:color="auto"/>
            <w:bottom w:val="none" w:sz="0" w:space="0" w:color="auto"/>
            <w:right w:val="none" w:sz="0" w:space="0" w:color="auto"/>
          </w:divBdr>
        </w:div>
      </w:divsChild>
    </w:div>
    <w:div w:id="1104498298">
      <w:bodyDiv w:val="1"/>
      <w:marLeft w:val="0"/>
      <w:marRight w:val="0"/>
      <w:marTop w:val="0"/>
      <w:marBottom w:val="0"/>
      <w:divBdr>
        <w:top w:val="none" w:sz="0" w:space="0" w:color="auto"/>
        <w:left w:val="none" w:sz="0" w:space="0" w:color="auto"/>
        <w:bottom w:val="none" w:sz="0" w:space="0" w:color="auto"/>
        <w:right w:val="none" w:sz="0" w:space="0" w:color="auto"/>
      </w:divBdr>
    </w:div>
    <w:div w:id="1109012694">
      <w:bodyDiv w:val="1"/>
      <w:marLeft w:val="0"/>
      <w:marRight w:val="0"/>
      <w:marTop w:val="0"/>
      <w:marBottom w:val="0"/>
      <w:divBdr>
        <w:top w:val="none" w:sz="0" w:space="0" w:color="auto"/>
        <w:left w:val="none" w:sz="0" w:space="0" w:color="auto"/>
        <w:bottom w:val="none" w:sz="0" w:space="0" w:color="auto"/>
        <w:right w:val="none" w:sz="0" w:space="0" w:color="auto"/>
      </w:divBdr>
      <w:divsChild>
        <w:div w:id="312609917">
          <w:marLeft w:val="0"/>
          <w:marRight w:val="0"/>
          <w:marTop w:val="0"/>
          <w:marBottom w:val="0"/>
          <w:divBdr>
            <w:top w:val="none" w:sz="0" w:space="0" w:color="auto"/>
            <w:left w:val="none" w:sz="0" w:space="0" w:color="auto"/>
            <w:bottom w:val="none" w:sz="0" w:space="0" w:color="auto"/>
            <w:right w:val="none" w:sz="0" w:space="0" w:color="auto"/>
          </w:divBdr>
        </w:div>
        <w:div w:id="439762830">
          <w:marLeft w:val="0"/>
          <w:marRight w:val="0"/>
          <w:marTop w:val="0"/>
          <w:marBottom w:val="0"/>
          <w:divBdr>
            <w:top w:val="none" w:sz="0" w:space="0" w:color="auto"/>
            <w:left w:val="none" w:sz="0" w:space="0" w:color="auto"/>
            <w:bottom w:val="none" w:sz="0" w:space="0" w:color="auto"/>
            <w:right w:val="none" w:sz="0" w:space="0" w:color="auto"/>
          </w:divBdr>
        </w:div>
        <w:div w:id="864828457">
          <w:marLeft w:val="0"/>
          <w:marRight w:val="0"/>
          <w:marTop w:val="0"/>
          <w:marBottom w:val="0"/>
          <w:divBdr>
            <w:top w:val="none" w:sz="0" w:space="0" w:color="auto"/>
            <w:left w:val="none" w:sz="0" w:space="0" w:color="auto"/>
            <w:bottom w:val="none" w:sz="0" w:space="0" w:color="auto"/>
            <w:right w:val="none" w:sz="0" w:space="0" w:color="auto"/>
          </w:divBdr>
        </w:div>
        <w:div w:id="1333723661">
          <w:marLeft w:val="0"/>
          <w:marRight w:val="0"/>
          <w:marTop w:val="0"/>
          <w:marBottom w:val="0"/>
          <w:divBdr>
            <w:top w:val="none" w:sz="0" w:space="0" w:color="auto"/>
            <w:left w:val="none" w:sz="0" w:space="0" w:color="auto"/>
            <w:bottom w:val="none" w:sz="0" w:space="0" w:color="auto"/>
            <w:right w:val="none" w:sz="0" w:space="0" w:color="auto"/>
          </w:divBdr>
        </w:div>
      </w:divsChild>
    </w:div>
    <w:div w:id="1109082408">
      <w:bodyDiv w:val="1"/>
      <w:marLeft w:val="0"/>
      <w:marRight w:val="0"/>
      <w:marTop w:val="0"/>
      <w:marBottom w:val="0"/>
      <w:divBdr>
        <w:top w:val="none" w:sz="0" w:space="0" w:color="auto"/>
        <w:left w:val="none" w:sz="0" w:space="0" w:color="auto"/>
        <w:bottom w:val="none" w:sz="0" w:space="0" w:color="auto"/>
        <w:right w:val="none" w:sz="0" w:space="0" w:color="auto"/>
      </w:divBdr>
    </w:div>
    <w:div w:id="1125124845">
      <w:bodyDiv w:val="1"/>
      <w:marLeft w:val="0"/>
      <w:marRight w:val="0"/>
      <w:marTop w:val="0"/>
      <w:marBottom w:val="0"/>
      <w:divBdr>
        <w:top w:val="none" w:sz="0" w:space="0" w:color="auto"/>
        <w:left w:val="none" w:sz="0" w:space="0" w:color="auto"/>
        <w:bottom w:val="none" w:sz="0" w:space="0" w:color="auto"/>
        <w:right w:val="none" w:sz="0" w:space="0" w:color="auto"/>
      </w:divBdr>
      <w:divsChild>
        <w:div w:id="147985911">
          <w:marLeft w:val="0"/>
          <w:marRight w:val="0"/>
          <w:marTop w:val="0"/>
          <w:marBottom w:val="0"/>
          <w:divBdr>
            <w:top w:val="none" w:sz="0" w:space="0" w:color="auto"/>
            <w:left w:val="none" w:sz="0" w:space="0" w:color="auto"/>
            <w:bottom w:val="none" w:sz="0" w:space="0" w:color="auto"/>
            <w:right w:val="none" w:sz="0" w:space="0" w:color="auto"/>
          </w:divBdr>
        </w:div>
        <w:div w:id="466552456">
          <w:marLeft w:val="0"/>
          <w:marRight w:val="0"/>
          <w:marTop w:val="0"/>
          <w:marBottom w:val="0"/>
          <w:divBdr>
            <w:top w:val="none" w:sz="0" w:space="0" w:color="auto"/>
            <w:left w:val="none" w:sz="0" w:space="0" w:color="auto"/>
            <w:bottom w:val="none" w:sz="0" w:space="0" w:color="auto"/>
            <w:right w:val="none" w:sz="0" w:space="0" w:color="auto"/>
          </w:divBdr>
        </w:div>
      </w:divsChild>
    </w:div>
    <w:div w:id="1136872074">
      <w:bodyDiv w:val="1"/>
      <w:marLeft w:val="0"/>
      <w:marRight w:val="0"/>
      <w:marTop w:val="0"/>
      <w:marBottom w:val="0"/>
      <w:divBdr>
        <w:top w:val="none" w:sz="0" w:space="0" w:color="auto"/>
        <w:left w:val="none" w:sz="0" w:space="0" w:color="auto"/>
        <w:bottom w:val="none" w:sz="0" w:space="0" w:color="auto"/>
        <w:right w:val="none" w:sz="0" w:space="0" w:color="auto"/>
      </w:divBdr>
    </w:div>
    <w:div w:id="1140419692">
      <w:bodyDiv w:val="1"/>
      <w:marLeft w:val="0"/>
      <w:marRight w:val="0"/>
      <w:marTop w:val="0"/>
      <w:marBottom w:val="0"/>
      <w:divBdr>
        <w:top w:val="none" w:sz="0" w:space="0" w:color="auto"/>
        <w:left w:val="none" w:sz="0" w:space="0" w:color="auto"/>
        <w:bottom w:val="none" w:sz="0" w:space="0" w:color="auto"/>
        <w:right w:val="none" w:sz="0" w:space="0" w:color="auto"/>
      </w:divBdr>
    </w:div>
    <w:div w:id="1146317224">
      <w:bodyDiv w:val="1"/>
      <w:marLeft w:val="0"/>
      <w:marRight w:val="0"/>
      <w:marTop w:val="0"/>
      <w:marBottom w:val="0"/>
      <w:divBdr>
        <w:top w:val="none" w:sz="0" w:space="0" w:color="auto"/>
        <w:left w:val="none" w:sz="0" w:space="0" w:color="auto"/>
        <w:bottom w:val="none" w:sz="0" w:space="0" w:color="auto"/>
        <w:right w:val="none" w:sz="0" w:space="0" w:color="auto"/>
      </w:divBdr>
    </w:div>
    <w:div w:id="1150244803">
      <w:bodyDiv w:val="1"/>
      <w:marLeft w:val="0"/>
      <w:marRight w:val="0"/>
      <w:marTop w:val="0"/>
      <w:marBottom w:val="0"/>
      <w:divBdr>
        <w:top w:val="none" w:sz="0" w:space="0" w:color="auto"/>
        <w:left w:val="none" w:sz="0" w:space="0" w:color="auto"/>
        <w:bottom w:val="none" w:sz="0" w:space="0" w:color="auto"/>
        <w:right w:val="none" w:sz="0" w:space="0" w:color="auto"/>
      </w:divBdr>
    </w:div>
    <w:div w:id="1150905283">
      <w:bodyDiv w:val="1"/>
      <w:marLeft w:val="0"/>
      <w:marRight w:val="0"/>
      <w:marTop w:val="0"/>
      <w:marBottom w:val="0"/>
      <w:divBdr>
        <w:top w:val="none" w:sz="0" w:space="0" w:color="auto"/>
        <w:left w:val="none" w:sz="0" w:space="0" w:color="auto"/>
        <w:bottom w:val="none" w:sz="0" w:space="0" w:color="auto"/>
        <w:right w:val="none" w:sz="0" w:space="0" w:color="auto"/>
      </w:divBdr>
    </w:div>
    <w:div w:id="1155142977">
      <w:bodyDiv w:val="1"/>
      <w:marLeft w:val="0"/>
      <w:marRight w:val="0"/>
      <w:marTop w:val="0"/>
      <w:marBottom w:val="0"/>
      <w:divBdr>
        <w:top w:val="none" w:sz="0" w:space="0" w:color="auto"/>
        <w:left w:val="none" w:sz="0" w:space="0" w:color="auto"/>
        <w:bottom w:val="none" w:sz="0" w:space="0" w:color="auto"/>
        <w:right w:val="none" w:sz="0" w:space="0" w:color="auto"/>
      </w:divBdr>
    </w:div>
    <w:div w:id="1160541978">
      <w:bodyDiv w:val="1"/>
      <w:marLeft w:val="0"/>
      <w:marRight w:val="0"/>
      <w:marTop w:val="0"/>
      <w:marBottom w:val="0"/>
      <w:divBdr>
        <w:top w:val="none" w:sz="0" w:space="0" w:color="auto"/>
        <w:left w:val="none" w:sz="0" w:space="0" w:color="auto"/>
        <w:bottom w:val="none" w:sz="0" w:space="0" w:color="auto"/>
        <w:right w:val="none" w:sz="0" w:space="0" w:color="auto"/>
      </w:divBdr>
    </w:div>
    <w:div w:id="1162426764">
      <w:bodyDiv w:val="1"/>
      <w:marLeft w:val="0"/>
      <w:marRight w:val="0"/>
      <w:marTop w:val="0"/>
      <w:marBottom w:val="0"/>
      <w:divBdr>
        <w:top w:val="none" w:sz="0" w:space="0" w:color="auto"/>
        <w:left w:val="none" w:sz="0" w:space="0" w:color="auto"/>
        <w:bottom w:val="none" w:sz="0" w:space="0" w:color="auto"/>
        <w:right w:val="none" w:sz="0" w:space="0" w:color="auto"/>
      </w:divBdr>
    </w:div>
    <w:div w:id="1165319436">
      <w:bodyDiv w:val="1"/>
      <w:marLeft w:val="0"/>
      <w:marRight w:val="0"/>
      <w:marTop w:val="0"/>
      <w:marBottom w:val="0"/>
      <w:divBdr>
        <w:top w:val="none" w:sz="0" w:space="0" w:color="auto"/>
        <w:left w:val="none" w:sz="0" w:space="0" w:color="auto"/>
        <w:bottom w:val="none" w:sz="0" w:space="0" w:color="auto"/>
        <w:right w:val="none" w:sz="0" w:space="0" w:color="auto"/>
      </w:divBdr>
    </w:div>
    <w:div w:id="1166094647">
      <w:bodyDiv w:val="1"/>
      <w:marLeft w:val="0"/>
      <w:marRight w:val="0"/>
      <w:marTop w:val="0"/>
      <w:marBottom w:val="0"/>
      <w:divBdr>
        <w:top w:val="none" w:sz="0" w:space="0" w:color="auto"/>
        <w:left w:val="none" w:sz="0" w:space="0" w:color="auto"/>
        <w:bottom w:val="none" w:sz="0" w:space="0" w:color="auto"/>
        <w:right w:val="none" w:sz="0" w:space="0" w:color="auto"/>
      </w:divBdr>
    </w:div>
    <w:div w:id="1167935590">
      <w:bodyDiv w:val="1"/>
      <w:marLeft w:val="0"/>
      <w:marRight w:val="0"/>
      <w:marTop w:val="0"/>
      <w:marBottom w:val="0"/>
      <w:divBdr>
        <w:top w:val="none" w:sz="0" w:space="0" w:color="auto"/>
        <w:left w:val="none" w:sz="0" w:space="0" w:color="auto"/>
        <w:bottom w:val="none" w:sz="0" w:space="0" w:color="auto"/>
        <w:right w:val="none" w:sz="0" w:space="0" w:color="auto"/>
      </w:divBdr>
    </w:div>
    <w:div w:id="1167944620">
      <w:bodyDiv w:val="1"/>
      <w:marLeft w:val="0"/>
      <w:marRight w:val="0"/>
      <w:marTop w:val="0"/>
      <w:marBottom w:val="0"/>
      <w:divBdr>
        <w:top w:val="none" w:sz="0" w:space="0" w:color="auto"/>
        <w:left w:val="none" w:sz="0" w:space="0" w:color="auto"/>
        <w:bottom w:val="none" w:sz="0" w:space="0" w:color="auto"/>
        <w:right w:val="none" w:sz="0" w:space="0" w:color="auto"/>
      </w:divBdr>
    </w:div>
    <w:div w:id="1178344519">
      <w:bodyDiv w:val="1"/>
      <w:marLeft w:val="0"/>
      <w:marRight w:val="0"/>
      <w:marTop w:val="0"/>
      <w:marBottom w:val="0"/>
      <w:divBdr>
        <w:top w:val="none" w:sz="0" w:space="0" w:color="auto"/>
        <w:left w:val="none" w:sz="0" w:space="0" w:color="auto"/>
        <w:bottom w:val="none" w:sz="0" w:space="0" w:color="auto"/>
        <w:right w:val="none" w:sz="0" w:space="0" w:color="auto"/>
      </w:divBdr>
    </w:div>
    <w:div w:id="1190725038">
      <w:bodyDiv w:val="1"/>
      <w:marLeft w:val="0"/>
      <w:marRight w:val="0"/>
      <w:marTop w:val="0"/>
      <w:marBottom w:val="0"/>
      <w:divBdr>
        <w:top w:val="none" w:sz="0" w:space="0" w:color="auto"/>
        <w:left w:val="none" w:sz="0" w:space="0" w:color="auto"/>
        <w:bottom w:val="none" w:sz="0" w:space="0" w:color="auto"/>
        <w:right w:val="none" w:sz="0" w:space="0" w:color="auto"/>
      </w:divBdr>
    </w:div>
    <w:div w:id="1192914508">
      <w:bodyDiv w:val="1"/>
      <w:marLeft w:val="0"/>
      <w:marRight w:val="0"/>
      <w:marTop w:val="0"/>
      <w:marBottom w:val="0"/>
      <w:divBdr>
        <w:top w:val="none" w:sz="0" w:space="0" w:color="auto"/>
        <w:left w:val="none" w:sz="0" w:space="0" w:color="auto"/>
        <w:bottom w:val="none" w:sz="0" w:space="0" w:color="auto"/>
        <w:right w:val="none" w:sz="0" w:space="0" w:color="auto"/>
      </w:divBdr>
    </w:div>
    <w:div w:id="1202746940">
      <w:bodyDiv w:val="1"/>
      <w:marLeft w:val="0"/>
      <w:marRight w:val="0"/>
      <w:marTop w:val="0"/>
      <w:marBottom w:val="0"/>
      <w:divBdr>
        <w:top w:val="none" w:sz="0" w:space="0" w:color="auto"/>
        <w:left w:val="none" w:sz="0" w:space="0" w:color="auto"/>
        <w:bottom w:val="none" w:sz="0" w:space="0" w:color="auto"/>
        <w:right w:val="none" w:sz="0" w:space="0" w:color="auto"/>
      </w:divBdr>
    </w:div>
    <w:div w:id="1220483699">
      <w:bodyDiv w:val="1"/>
      <w:marLeft w:val="0"/>
      <w:marRight w:val="0"/>
      <w:marTop w:val="0"/>
      <w:marBottom w:val="0"/>
      <w:divBdr>
        <w:top w:val="none" w:sz="0" w:space="0" w:color="auto"/>
        <w:left w:val="none" w:sz="0" w:space="0" w:color="auto"/>
        <w:bottom w:val="none" w:sz="0" w:space="0" w:color="auto"/>
        <w:right w:val="none" w:sz="0" w:space="0" w:color="auto"/>
      </w:divBdr>
    </w:div>
    <w:div w:id="1221670458">
      <w:bodyDiv w:val="1"/>
      <w:marLeft w:val="0"/>
      <w:marRight w:val="0"/>
      <w:marTop w:val="0"/>
      <w:marBottom w:val="0"/>
      <w:divBdr>
        <w:top w:val="none" w:sz="0" w:space="0" w:color="auto"/>
        <w:left w:val="none" w:sz="0" w:space="0" w:color="auto"/>
        <w:bottom w:val="none" w:sz="0" w:space="0" w:color="auto"/>
        <w:right w:val="none" w:sz="0" w:space="0" w:color="auto"/>
      </w:divBdr>
    </w:div>
    <w:div w:id="1223373322">
      <w:bodyDiv w:val="1"/>
      <w:marLeft w:val="0"/>
      <w:marRight w:val="0"/>
      <w:marTop w:val="0"/>
      <w:marBottom w:val="0"/>
      <w:divBdr>
        <w:top w:val="none" w:sz="0" w:space="0" w:color="auto"/>
        <w:left w:val="none" w:sz="0" w:space="0" w:color="auto"/>
        <w:bottom w:val="none" w:sz="0" w:space="0" w:color="auto"/>
        <w:right w:val="none" w:sz="0" w:space="0" w:color="auto"/>
      </w:divBdr>
    </w:div>
    <w:div w:id="1226255990">
      <w:bodyDiv w:val="1"/>
      <w:marLeft w:val="0"/>
      <w:marRight w:val="0"/>
      <w:marTop w:val="0"/>
      <w:marBottom w:val="0"/>
      <w:divBdr>
        <w:top w:val="none" w:sz="0" w:space="0" w:color="auto"/>
        <w:left w:val="none" w:sz="0" w:space="0" w:color="auto"/>
        <w:bottom w:val="none" w:sz="0" w:space="0" w:color="auto"/>
        <w:right w:val="none" w:sz="0" w:space="0" w:color="auto"/>
      </w:divBdr>
    </w:div>
    <w:div w:id="1227764988">
      <w:bodyDiv w:val="1"/>
      <w:marLeft w:val="0"/>
      <w:marRight w:val="0"/>
      <w:marTop w:val="0"/>
      <w:marBottom w:val="0"/>
      <w:divBdr>
        <w:top w:val="none" w:sz="0" w:space="0" w:color="auto"/>
        <w:left w:val="none" w:sz="0" w:space="0" w:color="auto"/>
        <w:bottom w:val="none" w:sz="0" w:space="0" w:color="auto"/>
        <w:right w:val="none" w:sz="0" w:space="0" w:color="auto"/>
      </w:divBdr>
    </w:div>
    <w:div w:id="1229537097">
      <w:bodyDiv w:val="1"/>
      <w:marLeft w:val="0"/>
      <w:marRight w:val="0"/>
      <w:marTop w:val="0"/>
      <w:marBottom w:val="0"/>
      <w:divBdr>
        <w:top w:val="none" w:sz="0" w:space="0" w:color="auto"/>
        <w:left w:val="none" w:sz="0" w:space="0" w:color="auto"/>
        <w:bottom w:val="none" w:sz="0" w:space="0" w:color="auto"/>
        <w:right w:val="none" w:sz="0" w:space="0" w:color="auto"/>
      </w:divBdr>
      <w:divsChild>
        <w:div w:id="1278873449">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841113630">
              <w:marLeft w:val="0"/>
              <w:marRight w:val="0"/>
              <w:marTop w:val="0"/>
              <w:marBottom w:val="332"/>
              <w:divBdr>
                <w:top w:val="none" w:sz="0" w:space="0" w:color="auto"/>
                <w:left w:val="none" w:sz="0" w:space="0" w:color="auto"/>
                <w:bottom w:val="none" w:sz="0" w:space="0" w:color="auto"/>
                <w:right w:val="none" w:sz="0" w:space="0" w:color="auto"/>
              </w:divBdr>
            </w:div>
          </w:divsChild>
        </w:div>
      </w:divsChild>
    </w:div>
    <w:div w:id="1244142196">
      <w:bodyDiv w:val="1"/>
      <w:marLeft w:val="0"/>
      <w:marRight w:val="0"/>
      <w:marTop w:val="0"/>
      <w:marBottom w:val="0"/>
      <w:divBdr>
        <w:top w:val="none" w:sz="0" w:space="0" w:color="auto"/>
        <w:left w:val="none" w:sz="0" w:space="0" w:color="auto"/>
        <w:bottom w:val="none" w:sz="0" w:space="0" w:color="auto"/>
        <w:right w:val="none" w:sz="0" w:space="0" w:color="auto"/>
      </w:divBdr>
    </w:div>
    <w:div w:id="1254436392">
      <w:bodyDiv w:val="1"/>
      <w:marLeft w:val="0"/>
      <w:marRight w:val="0"/>
      <w:marTop w:val="0"/>
      <w:marBottom w:val="0"/>
      <w:divBdr>
        <w:top w:val="none" w:sz="0" w:space="0" w:color="auto"/>
        <w:left w:val="none" w:sz="0" w:space="0" w:color="auto"/>
        <w:bottom w:val="none" w:sz="0" w:space="0" w:color="auto"/>
        <w:right w:val="none" w:sz="0" w:space="0" w:color="auto"/>
      </w:divBdr>
    </w:div>
    <w:div w:id="1258557680">
      <w:bodyDiv w:val="1"/>
      <w:marLeft w:val="0"/>
      <w:marRight w:val="0"/>
      <w:marTop w:val="0"/>
      <w:marBottom w:val="0"/>
      <w:divBdr>
        <w:top w:val="none" w:sz="0" w:space="0" w:color="auto"/>
        <w:left w:val="none" w:sz="0" w:space="0" w:color="auto"/>
        <w:bottom w:val="none" w:sz="0" w:space="0" w:color="auto"/>
        <w:right w:val="none" w:sz="0" w:space="0" w:color="auto"/>
      </w:divBdr>
    </w:div>
    <w:div w:id="1268391099">
      <w:bodyDiv w:val="1"/>
      <w:marLeft w:val="0"/>
      <w:marRight w:val="0"/>
      <w:marTop w:val="0"/>
      <w:marBottom w:val="0"/>
      <w:divBdr>
        <w:top w:val="none" w:sz="0" w:space="0" w:color="auto"/>
        <w:left w:val="none" w:sz="0" w:space="0" w:color="auto"/>
        <w:bottom w:val="none" w:sz="0" w:space="0" w:color="auto"/>
        <w:right w:val="none" w:sz="0" w:space="0" w:color="auto"/>
      </w:divBdr>
    </w:div>
    <w:div w:id="1270312056">
      <w:bodyDiv w:val="1"/>
      <w:marLeft w:val="0"/>
      <w:marRight w:val="0"/>
      <w:marTop w:val="0"/>
      <w:marBottom w:val="0"/>
      <w:divBdr>
        <w:top w:val="none" w:sz="0" w:space="0" w:color="auto"/>
        <w:left w:val="none" w:sz="0" w:space="0" w:color="auto"/>
        <w:bottom w:val="none" w:sz="0" w:space="0" w:color="auto"/>
        <w:right w:val="none" w:sz="0" w:space="0" w:color="auto"/>
      </w:divBdr>
    </w:div>
    <w:div w:id="1274289731">
      <w:bodyDiv w:val="1"/>
      <w:marLeft w:val="0"/>
      <w:marRight w:val="0"/>
      <w:marTop w:val="0"/>
      <w:marBottom w:val="0"/>
      <w:divBdr>
        <w:top w:val="none" w:sz="0" w:space="0" w:color="auto"/>
        <w:left w:val="none" w:sz="0" w:space="0" w:color="auto"/>
        <w:bottom w:val="none" w:sz="0" w:space="0" w:color="auto"/>
        <w:right w:val="none" w:sz="0" w:space="0" w:color="auto"/>
      </w:divBdr>
    </w:div>
    <w:div w:id="1276398917">
      <w:bodyDiv w:val="1"/>
      <w:marLeft w:val="0"/>
      <w:marRight w:val="0"/>
      <w:marTop w:val="0"/>
      <w:marBottom w:val="0"/>
      <w:divBdr>
        <w:top w:val="none" w:sz="0" w:space="0" w:color="auto"/>
        <w:left w:val="none" w:sz="0" w:space="0" w:color="auto"/>
        <w:bottom w:val="none" w:sz="0" w:space="0" w:color="auto"/>
        <w:right w:val="none" w:sz="0" w:space="0" w:color="auto"/>
      </w:divBdr>
    </w:div>
    <w:div w:id="1279722502">
      <w:bodyDiv w:val="1"/>
      <w:marLeft w:val="0"/>
      <w:marRight w:val="0"/>
      <w:marTop w:val="0"/>
      <w:marBottom w:val="0"/>
      <w:divBdr>
        <w:top w:val="none" w:sz="0" w:space="0" w:color="auto"/>
        <w:left w:val="none" w:sz="0" w:space="0" w:color="auto"/>
        <w:bottom w:val="none" w:sz="0" w:space="0" w:color="auto"/>
        <w:right w:val="none" w:sz="0" w:space="0" w:color="auto"/>
      </w:divBdr>
    </w:div>
    <w:div w:id="1288854821">
      <w:bodyDiv w:val="1"/>
      <w:marLeft w:val="0"/>
      <w:marRight w:val="0"/>
      <w:marTop w:val="0"/>
      <w:marBottom w:val="0"/>
      <w:divBdr>
        <w:top w:val="none" w:sz="0" w:space="0" w:color="auto"/>
        <w:left w:val="none" w:sz="0" w:space="0" w:color="auto"/>
        <w:bottom w:val="none" w:sz="0" w:space="0" w:color="auto"/>
        <w:right w:val="none" w:sz="0" w:space="0" w:color="auto"/>
      </w:divBdr>
    </w:div>
    <w:div w:id="1289165613">
      <w:bodyDiv w:val="1"/>
      <w:marLeft w:val="0"/>
      <w:marRight w:val="0"/>
      <w:marTop w:val="0"/>
      <w:marBottom w:val="0"/>
      <w:divBdr>
        <w:top w:val="none" w:sz="0" w:space="0" w:color="auto"/>
        <w:left w:val="none" w:sz="0" w:space="0" w:color="auto"/>
        <w:bottom w:val="none" w:sz="0" w:space="0" w:color="auto"/>
        <w:right w:val="none" w:sz="0" w:space="0" w:color="auto"/>
      </w:divBdr>
    </w:div>
    <w:div w:id="1294561997">
      <w:bodyDiv w:val="1"/>
      <w:marLeft w:val="0"/>
      <w:marRight w:val="0"/>
      <w:marTop w:val="0"/>
      <w:marBottom w:val="0"/>
      <w:divBdr>
        <w:top w:val="none" w:sz="0" w:space="0" w:color="auto"/>
        <w:left w:val="none" w:sz="0" w:space="0" w:color="auto"/>
        <w:bottom w:val="none" w:sz="0" w:space="0" w:color="auto"/>
        <w:right w:val="none" w:sz="0" w:space="0" w:color="auto"/>
      </w:divBdr>
      <w:divsChild>
        <w:div w:id="1831828858">
          <w:marLeft w:val="0"/>
          <w:marRight w:val="0"/>
          <w:marTop w:val="0"/>
          <w:marBottom w:val="0"/>
          <w:divBdr>
            <w:top w:val="none" w:sz="0" w:space="0" w:color="auto"/>
            <w:left w:val="none" w:sz="0" w:space="0" w:color="auto"/>
            <w:bottom w:val="none" w:sz="0" w:space="0" w:color="auto"/>
            <w:right w:val="none" w:sz="0" w:space="0" w:color="auto"/>
          </w:divBdr>
        </w:div>
        <w:div w:id="1350529072">
          <w:marLeft w:val="0"/>
          <w:marRight w:val="0"/>
          <w:marTop w:val="0"/>
          <w:marBottom w:val="0"/>
          <w:divBdr>
            <w:top w:val="none" w:sz="0" w:space="0" w:color="auto"/>
            <w:left w:val="none" w:sz="0" w:space="0" w:color="auto"/>
            <w:bottom w:val="none" w:sz="0" w:space="0" w:color="auto"/>
            <w:right w:val="none" w:sz="0" w:space="0" w:color="auto"/>
          </w:divBdr>
        </w:div>
        <w:div w:id="81147800">
          <w:marLeft w:val="0"/>
          <w:marRight w:val="0"/>
          <w:marTop w:val="0"/>
          <w:marBottom w:val="0"/>
          <w:divBdr>
            <w:top w:val="none" w:sz="0" w:space="0" w:color="auto"/>
            <w:left w:val="none" w:sz="0" w:space="0" w:color="auto"/>
            <w:bottom w:val="none" w:sz="0" w:space="0" w:color="auto"/>
            <w:right w:val="none" w:sz="0" w:space="0" w:color="auto"/>
          </w:divBdr>
        </w:div>
        <w:div w:id="1732463366">
          <w:marLeft w:val="0"/>
          <w:marRight w:val="0"/>
          <w:marTop w:val="0"/>
          <w:marBottom w:val="0"/>
          <w:divBdr>
            <w:top w:val="none" w:sz="0" w:space="0" w:color="auto"/>
            <w:left w:val="none" w:sz="0" w:space="0" w:color="auto"/>
            <w:bottom w:val="none" w:sz="0" w:space="0" w:color="auto"/>
            <w:right w:val="none" w:sz="0" w:space="0" w:color="auto"/>
          </w:divBdr>
        </w:div>
        <w:div w:id="1401830309">
          <w:marLeft w:val="0"/>
          <w:marRight w:val="0"/>
          <w:marTop w:val="0"/>
          <w:marBottom w:val="0"/>
          <w:divBdr>
            <w:top w:val="none" w:sz="0" w:space="0" w:color="auto"/>
            <w:left w:val="none" w:sz="0" w:space="0" w:color="auto"/>
            <w:bottom w:val="none" w:sz="0" w:space="0" w:color="auto"/>
            <w:right w:val="none" w:sz="0" w:space="0" w:color="auto"/>
          </w:divBdr>
        </w:div>
      </w:divsChild>
    </w:div>
    <w:div w:id="1313755646">
      <w:bodyDiv w:val="1"/>
      <w:marLeft w:val="0"/>
      <w:marRight w:val="0"/>
      <w:marTop w:val="0"/>
      <w:marBottom w:val="0"/>
      <w:divBdr>
        <w:top w:val="none" w:sz="0" w:space="0" w:color="auto"/>
        <w:left w:val="none" w:sz="0" w:space="0" w:color="auto"/>
        <w:bottom w:val="none" w:sz="0" w:space="0" w:color="auto"/>
        <w:right w:val="none" w:sz="0" w:space="0" w:color="auto"/>
      </w:divBdr>
    </w:div>
    <w:div w:id="1314484717">
      <w:bodyDiv w:val="1"/>
      <w:marLeft w:val="0"/>
      <w:marRight w:val="0"/>
      <w:marTop w:val="0"/>
      <w:marBottom w:val="0"/>
      <w:divBdr>
        <w:top w:val="none" w:sz="0" w:space="0" w:color="auto"/>
        <w:left w:val="none" w:sz="0" w:space="0" w:color="auto"/>
        <w:bottom w:val="none" w:sz="0" w:space="0" w:color="auto"/>
        <w:right w:val="none" w:sz="0" w:space="0" w:color="auto"/>
      </w:divBdr>
    </w:div>
    <w:div w:id="1316490313">
      <w:bodyDiv w:val="1"/>
      <w:marLeft w:val="0"/>
      <w:marRight w:val="0"/>
      <w:marTop w:val="0"/>
      <w:marBottom w:val="0"/>
      <w:divBdr>
        <w:top w:val="none" w:sz="0" w:space="0" w:color="auto"/>
        <w:left w:val="none" w:sz="0" w:space="0" w:color="auto"/>
        <w:bottom w:val="none" w:sz="0" w:space="0" w:color="auto"/>
        <w:right w:val="none" w:sz="0" w:space="0" w:color="auto"/>
      </w:divBdr>
    </w:div>
    <w:div w:id="1320111362">
      <w:bodyDiv w:val="1"/>
      <w:marLeft w:val="0"/>
      <w:marRight w:val="0"/>
      <w:marTop w:val="0"/>
      <w:marBottom w:val="0"/>
      <w:divBdr>
        <w:top w:val="none" w:sz="0" w:space="0" w:color="auto"/>
        <w:left w:val="none" w:sz="0" w:space="0" w:color="auto"/>
        <w:bottom w:val="none" w:sz="0" w:space="0" w:color="auto"/>
        <w:right w:val="none" w:sz="0" w:space="0" w:color="auto"/>
      </w:divBdr>
    </w:div>
    <w:div w:id="1321428159">
      <w:bodyDiv w:val="1"/>
      <w:marLeft w:val="0"/>
      <w:marRight w:val="0"/>
      <w:marTop w:val="0"/>
      <w:marBottom w:val="0"/>
      <w:divBdr>
        <w:top w:val="none" w:sz="0" w:space="0" w:color="auto"/>
        <w:left w:val="none" w:sz="0" w:space="0" w:color="auto"/>
        <w:bottom w:val="none" w:sz="0" w:space="0" w:color="auto"/>
        <w:right w:val="none" w:sz="0" w:space="0" w:color="auto"/>
      </w:divBdr>
      <w:divsChild>
        <w:div w:id="378937011">
          <w:marLeft w:val="0"/>
          <w:marRight w:val="0"/>
          <w:marTop w:val="0"/>
          <w:marBottom w:val="0"/>
          <w:divBdr>
            <w:top w:val="none" w:sz="0" w:space="0" w:color="auto"/>
            <w:left w:val="none" w:sz="0" w:space="0" w:color="auto"/>
            <w:bottom w:val="none" w:sz="0" w:space="0" w:color="auto"/>
            <w:right w:val="none" w:sz="0" w:space="0" w:color="auto"/>
          </w:divBdr>
        </w:div>
        <w:div w:id="472404114">
          <w:marLeft w:val="0"/>
          <w:marRight w:val="0"/>
          <w:marTop w:val="0"/>
          <w:marBottom w:val="0"/>
          <w:divBdr>
            <w:top w:val="none" w:sz="0" w:space="0" w:color="auto"/>
            <w:left w:val="none" w:sz="0" w:space="0" w:color="auto"/>
            <w:bottom w:val="none" w:sz="0" w:space="0" w:color="auto"/>
            <w:right w:val="none" w:sz="0" w:space="0" w:color="auto"/>
          </w:divBdr>
        </w:div>
        <w:div w:id="978534931">
          <w:marLeft w:val="0"/>
          <w:marRight w:val="0"/>
          <w:marTop w:val="0"/>
          <w:marBottom w:val="0"/>
          <w:divBdr>
            <w:top w:val="none" w:sz="0" w:space="0" w:color="auto"/>
            <w:left w:val="none" w:sz="0" w:space="0" w:color="auto"/>
            <w:bottom w:val="none" w:sz="0" w:space="0" w:color="auto"/>
            <w:right w:val="none" w:sz="0" w:space="0" w:color="auto"/>
          </w:divBdr>
        </w:div>
        <w:div w:id="2063870636">
          <w:marLeft w:val="0"/>
          <w:marRight w:val="0"/>
          <w:marTop w:val="0"/>
          <w:marBottom w:val="0"/>
          <w:divBdr>
            <w:top w:val="none" w:sz="0" w:space="0" w:color="auto"/>
            <w:left w:val="none" w:sz="0" w:space="0" w:color="auto"/>
            <w:bottom w:val="none" w:sz="0" w:space="0" w:color="auto"/>
            <w:right w:val="none" w:sz="0" w:space="0" w:color="auto"/>
          </w:divBdr>
        </w:div>
      </w:divsChild>
    </w:div>
    <w:div w:id="1321888605">
      <w:bodyDiv w:val="1"/>
      <w:marLeft w:val="0"/>
      <w:marRight w:val="0"/>
      <w:marTop w:val="0"/>
      <w:marBottom w:val="0"/>
      <w:divBdr>
        <w:top w:val="none" w:sz="0" w:space="0" w:color="auto"/>
        <w:left w:val="none" w:sz="0" w:space="0" w:color="auto"/>
        <w:bottom w:val="none" w:sz="0" w:space="0" w:color="auto"/>
        <w:right w:val="none" w:sz="0" w:space="0" w:color="auto"/>
      </w:divBdr>
    </w:div>
    <w:div w:id="1323699183">
      <w:bodyDiv w:val="1"/>
      <w:marLeft w:val="0"/>
      <w:marRight w:val="0"/>
      <w:marTop w:val="0"/>
      <w:marBottom w:val="0"/>
      <w:divBdr>
        <w:top w:val="none" w:sz="0" w:space="0" w:color="auto"/>
        <w:left w:val="none" w:sz="0" w:space="0" w:color="auto"/>
        <w:bottom w:val="none" w:sz="0" w:space="0" w:color="auto"/>
        <w:right w:val="none" w:sz="0" w:space="0" w:color="auto"/>
      </w:divBdr>
    </w:div>
    <w:div w:id="1328021627">
      <w:bodyDiv w:val="1"/>
      <w:marLeft w:val="0"/>
      <w:marRight w:val="0"/>
      <w:marTop w:val="0"/>
      <w:marBottom w:val="0"/>
      <w:divBdr>
        <w:top w:val="none" w:sz="0" w:space="0" w:color="auto"/>
        <w:left w:val="none" w:sz="0" w:space="0" w:color="auto"/>
        <w:bottom w:val="none" w:sz="0" w:space="0" w:color="auto"/>
        <w:right w:val="none" w:sz="0" w:space="0" w:color="auto"/>
      </w:divBdr>
    </w:div>
    <w:div w:id="1331181696">
      <w:bodyDiv w:val="1"/>
      <w:marLeft w:val="0"/>
      <w:marRight w:val="0"/>
      <w:marTop w:val="0"/>
      <w:marBottom w:val="0"/>
      <w:divBdr>
        <w:top w:val="none" w:sz="0" w:space="0" w:color="auto"/>
        <w:left w:val="none" w:sz="0" w:space="0" w:color="auto"/>
        <w:bottom w:val="none" w:sz="0" w:space="0" w:color="auto"/>
        <w:right w:val="none" w:sz="0" w:space="0" w:color="auto"/>
      </w:divBdr>
    </w:div>
    <w:div w:id="1345011559">
      <w:bodyDiv w:val="1"/>
      <w:marLeft w:val="0"/>
      <w:marRight w:val="0"/>
      <w:marTop w:val="0"/>
      <w:marBottom w:val="0"/>
      <w:divBdr>
        <w:top w:val="none" w:sz="0" w:space="0" w:color="auto"/>
        <w:left w:val="none" w:sz="0" w:space="0" w:color="auto"/>
        <w:bottom w:val="none" w:sz="0" w:space="0" w:color="auto"/>
        <w:right w:val="none" w:sz="0" w:space="0" w:color="auto"/>
      </w:divBdr>
    </w:div>
    <w:div w:id="1345397470">
      <w:bodyDiv w:val="1"/>
      <w:marLeft w:val="0"/>
      <w:marRight w:val="0"/>
      <w:marTop w:val="0"/>
      <w:marBottom w:val="0"/>
      <w:divBdr>
        <w:top w:val="none" w:sz="0" w:space="0" w:color="auto"/>
        <w:left w:val="none" w:sz="0" w:space="0" w:color="auto"/>
        <w:bottom w:val="none" w:sz="0" w:space="0" w:color="auto"/>
        <w:right w:val="none" w:sz="0" w:space="0" w:color="auto"/>
      </w:divBdr>
    </w:div>
    <w:div w:id="1352144698">
      <w:bodyDiv w:val="1"/>
      <w:marLeft w:val="0"/>
      <w:marRight w:val="0"/>
      <w:marTop w:val="0"/>
      <w:marBottom w:val="0"/>
      <w:divBdr>
        <w:top w:val="none" w:sz="0" w:space="0" w:color="auto"/>
        <w:left w:val="none" w:sz="0" w:space="0" w:color="auto"/>
        <w:bottom w:val="none" w:sz="0" w:space="0" w:color="auto"/>
        <w:right w:val="none" w:sz="0" w:space="0" w:color="auto"/>
      </w:divBdr>
    </w:div>
    <w:div w:id="1352222527">
      <w:bodyDiv w:val="1"/>
      <w:marLeft w:val="0"/>
      <w:marRight w:val="0"/>
      <w:marTop w:val="0"/>
      <w:marBottom w:val="0"/>
      <w:divBdr>
        <w:top w:val="none" w:sz="0" w:space="0" w:color="auto"/>
        <w:left w:val="none" w:sz="0" w:space="0" w:color="auto"/>
        <w:bottom w:val="none" w:sz="0" w:space="0" w:color="auto"/>
        <w:right w:val="none" w:sz="0" w:space="0" w:color="auto"/>
      </w:divBdr>
    </w:div>
    <w:div w:id="1357002383">
      <w:bodyDiv w:val="1"/>
      <w:marLeft w:val="0"/>
      <w:marRight w:val="0"/>
      <w:marTop w:val="0"/>
      <w:marBottom w:val="0"/>
      <w:divBdr>
        <w:top w:val="none" w:sz="0" w:space="0" w:color="auto"/>
        <w:left w:val="none" w:sz="0" w:space="0" w:color="auto"/>
        <w:bottom w:val="none" w:sz="0" w:space="0" w:color="auto"/>
        <w:right w:val="none" w:sz="0" w:space="0" w:color="auto"/>
      </w:divBdr>
    </w:div>
    <w:div w:id="1359626836">
      <w:bodyDiv w:val="1"/>
      <w:marLeft w:val="0"/>
      <w:marRight w:val="0"/>
      <w:marTop w:val="0"/>
      <w:marBottom w:val="0"/>
      <w:divBdr>
        <w:top w:val="none" w:sz="0" w:space="0" w:color="auto"/>
        <w:left w:val="none" w:sz="0" w:space="0" w:color="auto"/>
        <w:bottom w:val="none" w:sz="0" w:space="0" w:color="auto"/>
        <w:right w:val="none" w:sz="0" w:space="0" w:color="auto"/>
      </w:divBdr>
    </w:div>
    <w:div w:id="1360083936">
      <w:bodyDiv w:val="1"/>
      <w:marLeft w:val="0"/>
      <w:marRight w:val="0"/>
      <w:marTop w:val="0"/>
      <w:marBottom w:val="0"/>
      <w:divBdr>
        <w:top w:val="none" w:sz="0" w:space="0" w:color="auto"/>
        <w:left w:val="none" w:sz="0" w:space="0" w:color="auto"/>
        <w:bottom w:val="none" w:sz="0" w:space="0" w:color="auto"/>
        <w:right w:val="none" w:sz="0" w:space="0" w:color="auto"/>
      </w:divBdr>
    </w:div>
    <w:div w:id="1360158046">
      <w:bodyDiv w:val="1"/>
      <w:marLeft w:val="0"/>
      <w:marRight w:val="0"/>
      <w:marTop w:val="0"/>
      <w:marBottom w:val="0"/>
      <w:divBdr>
        <w:top w:val="none" w:sz="0" w:space="0" w:color="auto"/>
        <w:left w:val="none" w:sz="0" w:space="0" w:color="auto"/>
        <w:bottom w:val="none" w:sz="0" w:space="0" w:color="auto"/>
        <w:right w:val="none" w:sz="0" w:space="0" w:color="auto"/>
      </w:divBdr>
    </w:div>
    <w:div w:id="1361932606">
      <w:bodyDiv w:val="1"/>
      <w:marLeft w:val="0"/>
      <w:marRight w:val="0"/>
      <w:marTop w:val="0"/>
      <w:marBottom w:val="0"/>
      <w:divBdr>
        <w:top w:val="none" w:sz="0" w:space="0" w:color="auto"/>
        <w:left w:val="none" w:sz="0" w:space="0" w:color="auto"/>
        <w:bottom w:val="none" w:sz="0" w:space="0" w:color="auto"/>
        <w:right w:val="none" w:sz="0" w:space="0" w:color="auto"/>
      </w:divBdr>
    </w:div>
    <w:div w:id="1368993507">
      <w:bodyDiv w:val="1"/>
      <w:marLeft w:val="0"/>
      <w:marRight w:val="0"/>
      <w:marTop w:val="0"/>
      <w:marBottom w:val="0"/>
      <w:divBdr>
        <w:top w:val="none" w:sz="0" w:space="0" w:color="auto"/>
        <w:left w:val="none" w:sz="0" w:space="0" w:color="auto"/>
        <w:bottom w:val="none" w:sz="0" w:space="0" w:color="auto"/>
        <w:right w:val="none" w:sz="0" w:space="0" w:color="auto"/>
      </w:divBdr>
    </w:div>
    <w:div w:id="1371497372">
      <w:bodyDiv w:val="1"/>
      <w:marLeft w:val="0"/>
      <w:marRight w:val="0"/>
      <w:marTop w:val="0"/>
      <w:marBottom w:val="0"/>
      <w:divBdr>
        <w:top w:val="none" w:sz="0" w:space="0" w:color="auto"/>
        <w:left w:val="none" w:sz="0" w:space="0" w:color="auto"/>
        <w:bottom w:val="none" w:sz="0" w:space="0" w:color="auto"/>
        <w:right w:val="none" w:sz="0" w:space="0" w:color="auto"/>
      </w:divBdr>
    </w:div>
    <w:div w:id="1378236587">
      <w:bodyDiv w:val="1"/>
      <w:marLeft w:val="0"/>
      <w:marRight w:val="0"/>
      <w:marTop w:val="0"/>
      <w:marBottom w:val="0"/>
      <w:divBdr>
        <w:top w:val="none" w:sz="0" w:space="0" w:color="auto"/>
        <w:left w:val="none" w:sz="0" w:space="0" w:color="auto"/>
        <w:bottom w:val="none" w:sz="0" w:space="0" w:color="auto"/>
        <w:right w:val="none" w:sz="0" w:space="0" w:color="auto"/>
      </w:divBdr>
    </w:div>
    <w:div w:id="1385368540">
      <w:bodyDiv w:val="1"/>
      <w:marLeft w:val="0"/>
      <w:marRight w:val="0"/>
      <w:marTop w:val="0"/>
      <w:marBottom w:val="0"/>
      <w:divBdr>
        <w:top w:val="none" w:sz="0" w:space="0" w:color="auto"/>
        <w:left w:val="none" w:sz="0" w:space="0" w:color="auto"/>
        <w:bottom w:val="none" w:sz="0" w:space="0" w:color="auto"/>
        <w:right w:val="none" w:sz="0" w:space="0" w:color="auto"/>
      </w:divBdr>
    </w:div>
    <w:div w:id="1389068134">
      <w:bodyDiv w:val="1"/>
      <w:marLeft w:val="0"/>
      <w:marRight w:val="0"/>
      <w:marTop w:val="0"/>
      <w:marBottom w:val="0"/>
      <w:divBdr>
        <w:top w:val="none" w:sz="0" w:space="0" w:color="auto"/>
        <w:left w:val="none" w:sz="0" w:space="0" w:color="auto"/>
        <w:bottom w:val="none" w:sz="0" w:space="0" w:color="auto"/>
        <w:right w:val="none" w:sz="0" w:space="0" w:color="auto"/>
      </w:divBdr>
    </w:div>
    <w:div w:id="1393775505">
      <w:bodyDiv w:val="1"/>
      <w:marLeft w:val="0"/>
      <w:marRight w:val="0"/>
      <w:marTop w:val="0"/>
      <w:marBottom w:val="0"/>
      <w:divBdr>
        <w:top w:val="none" w:sz="0" w:space="0" w:color="auto"/>
        <w:left w:val="none" w:sz="0" w:space="0" w:color="auto"/>
        <w:bottom w:val="none" w:sz="0" w:space="0" w:color="auto"/>
        <w:right w:val="none" w:sz="0" w:space="0" w:color="auto"/>
      </w:divBdr>
    </w:div>
    <w:div w:id="1397893543">
      <w:bodyDiv w:val="1"/>
      <w:marLeft w:val="0"/>
      <w:marRight w:val="0"/>
      <w:marTop w:val="0"/>
      <w:marBottom w:val="0"/>
      <w:divBdr>
        <w:top w:val="none" w:sz="0" w:space="0" w:color="auto"/>
        <w:left w:val="none" w:sz="0" w:space="0" w:color="auto"/>
        <w:bottom w:val="none" w:sz="0" w:space="0" w:color="auto"/>
        <w:right w:val="none" w:sz="0" w:space="0" w:color="auto"/>
      </w:divBdr>
    </w:div>
    <w:div w:id="1416315444">
      <w:bodyDiv w:val="1"/>
      <w:marLeft w:val="0"/>
      <w:marRight w:val="0"/>
      <w:marTop w:val="0"/>
      <w:marBottom w:val="0"/>
      <w:divBdr>
        <w:top w:val="none" w:sz="0" w:space="0" w:color="auto"/>
        <w:left w:val="none" w:sz="0" w:space="0" w:color="auto"/>
        <w:bottom w:val="none" w:sz="0" w:space="0" w:color="auto"/>
        <w:right w:val="none" w:sz="0" w:space="0" w:color="auto"/>
      </w:divBdr>
    </w:div>
    <w:div w:id="1429423396">
      <w:bodyDiv w:val="1"/>
      <w:marLeft w:val="0"/>
      <w:marRight w:val="0"/>
      <w:marTop w:val="0"/>
      <w:marBottom w:val="0"/>
      <w:divBdr>
        <w:top w:val="none" w:sz="0" w:space="0" w:color="auto"/>
        <w:left w:val="none" w:sz="0" w:space="0" w:color="auto"/>
        <w:bottom w:val="none" w:sz="0" w:space="0" w:color="auto"/>
        <w:right w:val="none" w:sz="0" w:space="0" w:color="auto"/>
      </w:divBdr>
    </w:div>
    <w:div w:id="1430388846">
      <w:bodyDiv w:val="1"/>
      <w:marLeft w:val="0"/>
      <w:marRight w:val="0"/>
      <w:marTop w:val="0"/>
      <w:marBottom w:val="0"/>
      <w:divBdr>
        <w:top w:val="none" w:sz="0" w:space="0" w:color="auto"/>
        <w:left w:val="none" w:sz="0" w:space="0" w:color="auto"/>
        <w:bottom w:val="none" w:sz="0" w:space="0" w:color="auto"/>
        <w:right w:val="none" w:sz="0" w:space="0" w:color="auto"/>
      </w:divBdr>
    </w:div>
    <w:div w:id="1436362538">
      <w:bodyDiv w:val="1"/>
      <w:marLeft w:val="0"/>
      <w:marRight w:val="0"/>
      <w:marTop w:val="0"/>
      <w:marBottom w:val="0"/>
      <w:divBdr>
        <w:top w:val="none" w:sz="0" w:space="0" w:color="auto"/>
        <w:left w:val="none" w:sz="0" w:space="0" w:color="auto"/>
        <w:bottom w:val="none" w:sz="0" w:space="0" w:color="auto"/>
        <w:right w:val="none" w:sz="0" w:space="0" w:color="auto"/>
      </w:divBdr>
    </w:div>
    <w:div w:id="1438525300">
      <w:bodyDiv w:val="1"/>
      <w:marLeft w:val="0"/>
      <w:marRight w:val="0"/>
      <w:marTop w:val="0"/>
      <w:marBottom w:val="0"/>
      <w:divBdr>
        <w:top w:val="none" w:sz="0" w:space="0" w:color="auto"/>
        <w:left w:val="none" w:sz="0" w:space="0" w:color="auto"/>
        <w:bottom w:val="none" w:sz="0" w:space="0" w:color="auto"/>
        <w:right w:val="none" w:sz="0" w:space="0" w:color="auto"/>
      </w:divBdr>
    </w:div>
    <w:div w:id="1439595856">
      <w:bodyDiv w:val="1"/>
      <w:marLeft w:val="0"/>
      <w:marRight w:val="0"/>
      <w:marTop w:val="0"/>
      <w:marBottom w:val="0"/>
      <w:divBdr>
        <w:top w:val="none" w:sz="0" w:space="0" w:color="auto"/>
        <w:left w:val="none" w:sz="0" w:space="0" w:color="auto"/>
        <w:bottom w:val="none" w:sz="0" w:space="0" w:color="auto"/>
        <w:right w:val="none" w:sz="0" w:space="0" w:color="auto"/>
      </w:divBdr>
    </w:div>
    <w:div w:id="1442607912">
      <w:bodyDiv w:val="1"/>
      <w:marLeft w:val="0"/>
      <w:marRight w:val="0"/>
      <w:marTop w:val="0"/>
      <w:marBottom w:val="0"/>
      <w:divBdr>
        <w:top w:val="none" w:sz="0" w:space="0" w:color="auto"/>
        <w:left w:val="none" w:sz="0" w:space="0" w:color="auto"/>
        <w:bottom w:val="none" w:sz="0" w:space="0" w:color="auto"/>
        <w:right w:val="none" w:sz="0" w:space="0" w:color="auto"/>
      </w:divBdr>
    </w:div>
    <w:div w:id="1444348081">
      <w:bodyDiv w:val="1"/>
      <w:marLeft w:val="0"/>
      <w:marRight w:val="0"/>
      <w:marTop w:val="0"/>
      <w:marBottom w:val="0"/>
      <w:divBdr>
        <w:top w:val="none" w:sz="0" w:space="0" w:color="auto"/>
        <w:left w:val="none" w:sz="0" w:space="0" w:color="auto"/>
        <w:bottom w:val="none" w:sz="0" w:space="0" w:color="auto"/>
        <w:right w:val="none" w:sz="0" w:space="0" w:color="auto"/>
      </w:divBdr>
    </w:div>
    <w:div w:id="1446926072">
      <w:bodyDiv w:val="1"/>
      <w:marLeft w:val="0"/>
      <w:marRight w:val="0"/>
      <w:marTop w:val="0"/>
      <w:marBottom w:val="0"/>
      <w:divBdr>
        <w:top w:val="none" w:sz="0" w:space="0" w:color="auto"/>
        <w:left w:val="none" w:sz="0" w:space="0" w:color="auto"/>
        <w:bottom w:val="none" w:sz="0" w:space="0" w:color="auto"/>
        <w:right w:val="none" w:sz="0" w:space="0" w:color="auto"/>
      </w:divBdr>
    </w:div>
    <w:div w:id="1447651405">
      <w:bodyDiv w:val="1"/>
      <w:marLeft w:val="0"/>
      <w:marRight w:val="0"/>
      <w:marTop w:val="0"/>
      <w:marBottom w:val="0"/>
      <w:divBdr>
        <w:top w:val="none" w:sz="0" w:space="0" w:color="auto"/>
        <w:left w:val="none" w:sz="0" w:space="0" w:color="auto"/>
        <w:bottom w:val="none" w:sz="0" w:space="0" w:color="auto"/>
        <w:right w:val="none" w:sz="0" w:space="0" w:color="auto"/>
      </w:divBdr>
    </w:div>
    <w:div w:id="1449087502">
      <w:bodyDiv w:val="1"/>
      <w:marLeft w:val="0"/>
      <w:marRight w:val="0"/>
      <w:marTop w:val="0"/>
      <w:marBottom w:val="0"/>
      <w:divBdr>
        <w:top w:val="none" w:sz="0" w:space="0" w:color="auto"/>
        <w:left w:val="none" w:sz="0" w:space="0" w:color="auto"/>
        <w:bottom w:val="none" w:sz="0" w:space="0" w:color="auto"/>
        <w:right w:val="none" w:sz="0" w:space="0" w:color="auto"/>
      </w:divBdr>
    </w:div>
    <w:div w:id="1450317469">
      <w:bodyDiv w:val="1"/>
      <w:marLeft w:val="0"/>
      <w:marRight w:val="0"/>
      <w:marTop w:val="0"/>
      <w:marBottom w:val="0"/>
      <w:divBdr>
        <w:top w:val="none" w:sz="0" w:space="0" w:color="auto"/>
        <w:left w:val="none" w:sz="0" w:space="0" w:color="auto"/>
        <w:bottom w:val="none" w:sz="0" w:space="0" w:color="auto"/>
        <w:right w:val="none" w:sz="0" w:space="0" w:color="auto"/>
      </w:divBdr>
    </w:div>
    <w:div w:id="1450667173">
      <w:bodyDiv w:val="1"/>
      <w:marLeft w:val="0"/>
      <w:marRight w:val="0"/>
      <w:marTop w:val="0"/>
      <w:marBottom w:val="0"/>
      <w:divBdr>
        <w:top w:val="none" w:sz="0" w:space="0" w:color="auto"/>
        <w:left w:val="none" w:sz="0" w:space="0" w:color="auto"/>
        <w:bottom w:val="none" w:sz="0" w:space="0" w:color="auto"/>
        <w:right w:val="none" w:sz="0" w:space="0" w:color="auto"/>
      </w:divBdr>
    </w:div>
    <w:div w:id="1453013943">
      <w:bodyDiv w:val="1"/>
      <w:marLeft w:val="0"/>
      <w:marRight w:val="0"/>
      <w:marTop w:val="0"/>
      <w:marBottom w:val="0"/>
      <w:divBdr>
        <w:top w:val="none" w:sz="0" w:space="0" w:color="auto"/>
        <w:left w:val="none" w:sz="0" w:space="0" w:color="auto"/>
        <w:bottom w:val="none" w:sz="0" w:space="0" w:color="auto"/>
        <w:right w:val="none" w:sz="0" w:space="0" w:color="auto"/>
      </w:divBdr>
    </w:div>
    <w:div w:id="1454639710">
      <w:bodyDiv w:val="1"/>
      <w:marLeft w:val="0"/>
      <w:marRight w:val="0"/>
      <w:marTop w:val="0"/>
      <w:marBottom w:val="0"/>
      <w:divBdr>
        <w:top w:val="none" w:sz="0" w:space="0" w:color="auto"/>
        <w:left w:val="none" w:sz="0" w:space="0" w:color="auto"/>
        <w:bottom w:val="none" w:sz="0" w:space="0" w:color="auto"/>
        <w:right w:val="none" w:sz="0" w:space="0" w:color="auto"/>
      </w:divBdr>
    </w:div>
    <w:div w:id="1475027829">
      <w:bodyDiv w:val="1"/>
      <w:marLeft w:val="0"/>
      <w:marRight w:val="0"/>
      <w:marTop w:val="0"/>
      <w:marBottom w:val="0"/>
      <w:divBdr>
        <w:top w:val="none" w:sz="0" w:space="0" w:color="auto"/>
        <w:left w:val="none" w:sz="0" w:space="0" w:color="auto"/>
        <w:bottom w:val="none" w:sz="0" w:space="0" w:color="auto"/>
        <w:right w:val="none" w:sz="0" w:space="0" w:color="auto"/>
      </w:divBdr>
    </w:div>
    <w:div w:id="1475753238">
      <w:bodyDiv w:val="1"/>
      <w:marLeft w:val="0"/>
      <w:marRight w:val="0"/>
      <w:marTop w:val="0"/>
      <w:marBottom w:val="0"/>
      <w:divBdr>
        <w:top w:val="none" w:sz="0" w:space="0" w:color="auto"/>
        <w:left w:val="none" w:sz="0" w:space="0" w:color="auto"/>
        <w:bottom w:val="none" w:sz="0" w:space="0" w:color="auto"/>
        <w:right w:val="none" w:sz="0" w:space="0" w:color="auto"/>
      </w:divBdr>
    </w:div>
    <w:div w:id="1477841230">
      <w:bodyDiv w:val="1"/>
      <w:marLeft w:val="0"/>
      <w:marRight w:val="0"/>
      <w:marTop w:val="0"/>
      <w:marBottom w:val="0"/>
      <w:divBdr>
        <w:top w:val="none" w:sz="0" w:space="0" w:color="auto"/>
        <w:left w:val="none" w:sz="0" w:space="0" w:color="auto"/>
        <w:bottom w:val="none" w:sz="0" w:space="0" w:color="auto"/>
        <w:right w:val="none" w:sz="0" w:space="0" w:color="auto"/>
      </w:divBdr>
    </w:div>
    <w:div w:id="1481731604">
      <w:bodyDiv w:val="1"/>
      <w:marLeft w:val="0"/>
      <w:marRight w:val="0"/>
      <w:marTop w:val="0"/>
      <w:marBottom w:val="0"/>
      <w:divBdr>
        <w:top w:val="none" w:sz="0" w:space="0" w:color="auto"/>
        <w:left w:val="none" w:sz="0" w:space="0" w:color="auto"/>
        <w:bottom w:val="none" w:sz="0" w:space="0" w:color="auto"/>
        <w:right w:val="none" w:sz="0" w:space="0" w:color="auto"/>
      </w:divBdr>
    </w:div>
    <w:div w:id="1491142038">
      <w:bodyDiv w:val="1"/>
      <w:marLeft w:val="0"/>
      <w:marRight w:val="0"/>
      <w:marTop w:val="0"/>
      <w:marBottom w:val="0"/>
      <w:divBdr>
        <w:top w:val="none" w:sz="0" w:space="0" w:color="auto"/>
        <w:left w:val="none" w:sz="0" w:space="0" w:color="auto"/>
        <w:bottom w:val="none" w:sz="0" w:space="0" w:color="auto"/>
        <w:right w:val="none" w:sz="0" w:space="0" w:color="auto"/>
      </w:divBdr>
    </w:div>
    <w:div w:id="1494686180">
      <w:bodyDiv w:val="1"/>
      <w:marLeft w:val="0"/>
      <w:marRight w:val="0"/>
      <w:marTop w:val="0"/>
      <w:marBottom w:val="0"/>
      <w:divBdr>
        <w:top w:val="none" w:sz="0" w:space="0" w:color="auto"/>
        <w:left w:val="none" w:sz="0" w:space="0" w:color="auto"/>
        <w:bottom w:val="none" w:sz="0" w:space="0" w:color="auto"/>
        <w:right w:val="none" w:sz="0" w:space="0" w:color="auto"/>
      </w:divBdr>
    </w:div>
    <w:div w:id="1501702539">
      <w:bodyDiv w:val="1"/>
      <w:marLeft w:val="0"/>
      <w:marRight w:val="0"/>
      <w:marTop w:val="0"/>
      <w:marBottom w:val="0"/>
      <w:divBdr>
        <w:top w:val="none" w:sz="0" w:space="0" w:color="auto"/>
        <w:left w:val="none" w:sz="0" w:space="0" w:color="auto"/>
        <w:bottom w:val="none" w:sz="0" w:space="0" w:color="auto"/>
        <w:right w:val="none" w:sz="0" w:space="0" w:color="auto"/>
      </w:divBdr>
    </w:div>
    <w:div w:id="1504471794">
      <w:bodyDiv w:val="1"/>
      <w:marLeft w:val="0"/>
      <w:marRight w:val="0"/>
      <w:marTop w:val="0"/>
      <w:marBottom w:val="0"/>
      <w:divBdr>
        <w:top w:val="none" w:sz="0" w:space="0" w:color="auto"/>
        <w:left w:val="none" w:sz="0" w:space="0" w:color="auto"/>
        <w:bottom w:val="none" w:sz="0" w:space="0" w:color="auto"/>
        <w:right w:val="none" w:sz="0" w:space="0" w:color="auto"/>
      </w:divBdr>
    </w:div>
    <w:div w:id="1527476703">
      <w:bodyDiv w:val="1"/>
      <w:marLeft w:val="0"/>
      <w:marRight w:val="0"/>
      <w:marTop w:val="0"/>
      <w:marBottom w:val="0"/>
      <w:divBdr>
        <w:top w:val="none" w:sz="0" w:space="0" w:color="auto"/>
        <w:left w:val="none" w:sz="0" w:space="0" w:color="auto"/>
        <w:bottom w:val="none" w:sz="0" w:space="0" w:color="auto"/>
        <w:right w:val="none" w:sz="0" w:space="0" w:color="auto"/>
      </w:divBdr>
    </w:div>
    <w:div w:id="1534415207">
      <w:bodyDiv w:val="1"/>
      <w:marLeft w:val="0"/>
      <w:marRight w:val="0"/>
      <w:marTop w:val="0"/>
      <w:marBottom w:val="0"/>
      <w:divBdr>
        <w:top w:val="none" w:sz="0" w:space="0" w:color="auto"/>
        <w:left w:val="none" w:sz="0" w:space="0" w:color="auto"/>
        <w:bottom w:val="none" w:sz="0" w:space="0" w:color="auto"/>
        <w:right w:val="none" w:sz="0" w:space="0" w:color="auto"/>
      </w:divBdr>
    </w:div>
    <w:div w:id="1534923584">
      <w:bodyDiv w:val="1"/>
      <w:marLeft w:val="0"/>
      <w:marRight w:val="0"/>
      <w:marTop w:val="0"/>
      <w:marBottom w:val="0"/>
      <w:divBdr>
        <w:top w:val="none" w:sz="0" w:space="0" w:color="auto"/>
        <w:left w:val="none" w:sz="0" w:space="0" w:color="auto"/>
        <w:bottom w:val="none" w:sz="0" w:space="0" w:color="auto"/>
        <w:right w:val="none" w:sz="0" w:space="0" w:color="auto"/>
      </w:divBdr>
    </w:div>
    <w:div w:id="1548451037">
      <w:bodyDiv w:val="1"/>
      <w:marLeft w:val="0"/>
      <w:marRight w:val="0"/>
      <w:marTop w:val="0"/>
      <w:marBottom w:val="0"/>
      <w:divBdr>
        <w:top w:val="none" w:sz="0" w:space="0" w:color="auto"/>
        <w:left w:val="none" w:sz="0" w:space="0" w:color="auto"/>
        <w:bottom w:val="none" w:sz="0" w:space="0" w:color="auto"/>
        <w:right w:val="none" w:sz="0" w:space="0" w:color="auto"/>
      </w:divBdr>
    </w:div>
    <w:div w:id="1552502548">
      <w:bodyDiv w:val="1"/>
      <w:marLeft w:val="0"/>
      <w:marRight w:val="0"/>
      <w:marTop w:val="0"/>
      <w:marBottom w:val="0"/>
      <w:divBdr>
        <w:top w:val="none" w:sz="0" w:space="0" w:color="auto"/>
        <w:left w:val="none" w:sz="0" w:space="0" w:color="auto"/>
        <w:bottom w:val="none" w:sz="0" w:space="0" w:color="auto"/>
        <w:right w:val="none" w:sz="0" w:space="0" w:color="auto"/>
      </w:divBdr>
    </w:div>
    <w:div w:id="1556621626">
      <w:bodyDiv w:val="1"/>
      <w:marLeft w:val="0"/>
      <w:marRight w:val="0"/>
      <w:marTop w:val="0"/>
      <w:marBottom w:val="0"/>
      <w:divBdr>
        <w:top w:val="none" w:sz="0" w:space="0" w:color="auto"/>
        <w:left w:val="none" w:sz="0" w:space="0" w:color="auto"/>
        <w:bottom w:val="none" w:sz="0" w:space="0" w:color="auto"/>
        <w:right w:val="none" w:sz="0" w:space="0" w:color="auto"/>
      </w:divBdr>
    </w:div>
    <w:div w:id="1560365393">
      <w:bodyDiv w:val="1"/>
      <w:marLeft w:val="0"/>
      <w:marRight w:val="0"/>
      <w:marTop w:val="0"/>
      <w:marBottom w:val="0"/>
      <w:divBdr>
        <w:top w:val="none" w:sz="0" w:space="0" w:color="auto"/>
        <w:left w:val="none" w:sz="0" w:space="0" w:color="auto"/>
        <w:bottom w:val="none" w:sz="0" w:space="0" w:color="auto"/>
        <w:right w:val="none" w:sz="0" w:space="0" w:color="auto"/>
      </w:divBdr>
    </w:div>
    <w:div w:id="1581404583">
      <w:bodyDiv w:val="1"/>
      <w:marLeft w:val="0"/>
      <w:marRight w:val="0"/>
      <w:marTop w:val="0"/>
      <w:marBottom w:val="0"/>
      <w:divBdr>
        <w:top w:val="none" w:sz="0" w:space="0" w:color="auto"/>
        <w:left w:val="none" w:sz="0" w:space="0" w:color="auto"/>
        <w:bottom w:val="none" w:sz="0" w:space="0" w:color="auto"/>
        <w:right w:val="none" w:sz="0" w:space="0" w:color="auto"/>
      </w:divBdr>
    </w:div>
    <w:div w:id="1581522647">
      <w:bodyDiv w:val="1"/>
      <w:marLeft w:val="0"/>
      <w:marRight w:val="0"/>
      <w:marTop w:val="0"/>
      <w:marBottom w:val="0"/>
      <w:divBdr>
        <w:top w:val="none" w:sz="0" w:space="0" w:color="auto"/>
        <w:left w:val="none" w:sz="0" w:space="0" w:color="auto"/>
        <w:bottom w:val="none" w:sz="0" w:space="0" w:color="auto"/>
        <w:right w:val="none" w:sz="0" w:space="0" w:color="auto"/>
      </w:divBdr>
    </w:div>
    <w:div w:id="1587877962">
      <w:bodyDiv w:val="1"/>
      <w:marLeft w:val="0"/>
      <w:marRight w:val="0"/>
      <w:marTop w:val="0"/>
      <w:marBottom w:val="0"/>
      <w:divBdr>
        <w:top w:val="none" w:sz="0" w:space="0" w:color="auto"/>
        <w:left w:val="none" w:sz="0" w:space="0" w:color="auto"/>
        <w:bottom w:val="none" w:sz="0" w:space="0" w:color="auto"/>
        <w:right w:val="none" w:sz="0" w:space="0" w:color="auto"/>
      </w:divBdr>
    </w:div>
    <w:div w:id="1590769594">
      <w:bodyDiv w:val="1"/>
      <w:marLeft w:val="0"/>
      <w:marRight w:val="0"/>
      <w:marTop w:val="0"/>
      <w:marBottom w:val="0"/>
      <w:divBdr>
        <w:top w:val="none" w:sz="0" w:space="0" w:color="auto"/>
        <w:left w:val="none" w:sz="0" w:space="0" w:color="auto"/>
        <w:bottom w:val="none" w:sz="0" w:space="0" w:color="auto"/>
        <w:right w:val="none" w:sz="0" w:space="0" w:color="auto"/>
      </w:divBdr>
    </w:div>
    <w:div w:id="1592274033">
      <w:bodyDiv w:val="1"/>
      <w:marLeft w:val="0"/>
      <w:marRight w:val="0"/>
      <w:marTop w:val="0"/>
      <w:marBottom w:val="0"/>
      <w:divBdr>
        <w:top w:val="none" w:sz="0" w:space="0" w:color="auto"/>
        <w:left w:val="none" w:sz="0" w:space="0" w:color="auto"/>
        <w:bottom w:val="none" w:sz="0" w:space="0" w:color="auto"/>
        <w:right w:val="none" w:sz="0" w:space="0" w:color="auto"/>
      </w:divBdr>
    </w:div>
    <w:div w:id="1602955270">
      <w:bodyDiv w:val="1"/>
      <w:marLeft w:val="0"/>
      <w:marRight w:val="0"/>
      <w:marTop w:val="0"/>
      <w:marBottom w:val="0"/>
      <w:divBdr>
        <w:top w:val="none" w:sz="0" w:space="0" w:color="auto"/>
        <w:left w:val="none" w:sz="0" w:space="0" w:color="auto"/>
        <w:bottom w:val="none" w:sz="0" w:space="0" w:color="auto"/>
        <w:right w:val="none" w:sz="0" w:space="0" w:color="auto"/>
      </w:divBdr>
    </w:div>
    <w:div w:id="1605726631">
      <w:bodyDiv w:val="1"/>
      <w:marLeft w:val="0"/>
      <w:marRight w:val="0"/>
      <w:marTop w:val="0"/>
      <w:marBottom w:val="0"/>
      <w:divBdr>
        <w:top w:val="none" w:sz="0" w:space="0" w:color="auto"/>
        <w:left w:val="none" w:sz="0" w:space="0" w:color="auto"/>
        <w:bottom w:val="none" w:sz="0" w:space="0" w:color="auto"/>
        <w:right w:val="none" w:sz="0" w:space="0" w:color="auto"/>
      </w:divBdr>
    </w:div>
    <w:div w:id="1613976017">
      <w:bodyDiv w:val="1"/>
      <w:marLeft w:val="0"/>
      <w:marRight w:val="0"/>
      <w:marTop w:val="0"/>
      <w:marBottom w:val="0"/>
      <w:divBdr>
        <w:top w:val="none" w:sz="0" w:space="0" w:color="auto"/>
        <w:left w:val="none" w:sz="0" w:space="0" w:color="auto"/>
        <w:bottom w:val="none" w:sz="0" w:space="0" w:color="auto"/>
        <w:right w:val="none" w:sz="0" w:space="0" w:color="auto"/>
      </w:divBdr>
    </w:div>
    <w:div w:id="1614558657">
      <w:bodyDiv w:val="1"/>
      <w:marLeft w:val="0"/>
      <w:marRight w:val="0"/>
      <w:marTop w:val="0"/>
      <w:marBottom w:val="0"/>
      <w:divBdr>
        <w:top w:val="none" w:sz="0" w:space="0" w:color="auto"/>
        <w:left w:val="none" w:sz="0" w:space="0" w:color="auto"/>
        <w:bottom w:val="none" w:sz="0" w:space="0" w:color="auto"/>
        <w:right w:val="none" w:sz="0" w:space="0" w:color="auto"/>
      </w:divBdr>
    </w:div>
    <w:div w:id="1614626712">
      <w:bodyDiv w:val="1"/>
      <w:marLeft w:val="0"/>
      <w:marRight w:val="0"/>
      <w:marTop w:val="0"/>
      <w:marBottom w:val="0"/>
      <w:divBdr>
        <w:top w:val="none" w:sz="0" w:space="0" w:color="auto"/>
        <w:left w:val="none" w:sz="0" w:space="0" w:color="auto"/>
        <w:bottom w:val="none" w:sz="0" w:space="0" w:color="auto"/>
        <w:right w:val="none" w:sz="0" w:space="0" w:color="auto"/>
      </w:divBdr>
    </w:div>
    <w:div w:id="1623226475">
      <w:bodyDiv w:val="1"/>
      <w:marLeft w:val="0"/>
      <w:marRight w:val="0"/>
      <w:marTop w:val="0"/>
      <w:marBottom w:val="0"/>
      <w:divBdr>
        <w:top w:val="none" w:sz="0" w:space="0" w:color="auto"/>
        <w:left w:val="none" w:sz="0" w:space="0" w:color="auto"/>
        <w:bottom w:val="none" w:sz="0" w:space="0" w:color="auto"/>
        <w:right w:val="none" w:sz="0" w:space="0" w:color="auto"/>
      </w:divBdr>
    </w:div>
    <w:div w:id="1625190529">
      <w:bodyDiv w:val="1"/>
      <w:marLeft w:val="0"/>
      <w:marRight w:val="0"/>
      <w:marTop w:val="0"/>
      <w:marBottom w:val="0"/>
      <w:divBdr>
        <w:top w:val="none" w:sz="0" w:space="0" w:color="auto"/>
        <w:left w:val="none" w:sz="0" w:space="0" w:color="auto"/>
        <w:bottom w:val="none" w:sz="0" w:space="0" w:color="auto"/>
        <w:right w:val="none" w:sz="0" w:space="0" w:color="auto"/>
      </w:divBdr>
    </w:div>
    <w:div w:id="1634797320">
      <w:bodyDiv w:val="1"/>
      <w:marLeft w:val="0"/>
      <w:marRight w:val="0"/>
      <w:marTop w:val="0"/>
      <w:marBottom w:val="0"/>
      <w:divBdr>
        <w:top w:val="none" w:sz="0" w:space="0" w:color="auto"/>
        <w:left w:val="none" w:sz="0" w:space="0" w:color="auto"/>
        <w:bottom w:val="none" w:sz="0" w:space="0" w:color="auto"/>
        <w:right w:val="none" w:sz="0" w:space="0" w:color="auto"/>
      </w:divBdr>
    </w:div>
    <w:div w:id="1642420277">
      <w:bodyDiv w:val="1"/>
      <w:marLeft w:val="0"/>
      <w:marRight w:val="0"/>
      <w:marTop w:val="0"/>
      <w:marBottom w:val="0"/>
      <w:divBdr>
        <w:top w:val="none" w:sz="0" w:space="0" w:color="auto"/>
        <w:left w:val="none" w:sz="0" w:space="0" w:color="auto"/>
        <w:bottom w:val="none" w:sz="0" w:space="0" w:color="auto"/>
        <w:right w:val="none" w:sz="0" w:space="0" w:color="auto"/>
      </w:divBdr>
    </w:div>
    <w:div w:id="1642999610">
      <w:bodyDiv w:val="1"/>
      <w:marLeft w:val="0"/>
      <w:marRight w:val="0"/>
      <w:marTop w:val="0"/>
      <w:marBottom w:val="0"/>
      <w:divBdr>
        <w:top w:val="none" w:sz="0" w:space="0" w:color="auto"/>
        <w:left w:val="none" w:sz="0" w:space="0" w:color="auto"/>
        <w:bottom w:val="none" w:sz="0" w:space="0" w:color="auto"/>
        <w:right w:val="none" w:sz="0" w:space="0" w:color="auto"/>
      </w:divBdr>
    </w:div>
    <w:div w:id="1646929295">
      <w:bodyDiv w:val="1"/>
      <w:marLeft w:val="0"/>
      <w:marRight w:val="0"/>
      <w:marTop w:val="0"/>
      <w:marBottom w:val="0"/>
      <w:divBdr>
        <w:top w:val="none" w:sz="0" w:space="0" w:color="auto"/>
        <w:left w:val="none" w:sz="0" w:space="0" w:color="auto"/>
        <w:bottom w:val="none" w:sz="0" w:space="0" w:color="auto"/>
        <w:right w:val="none" w:sz="0" w:space="0" w:color="auto"/>
      </w:divBdr>
    </w:div>
    <w:div w:id="1656909629">
      <w:bodyDiv w:val="1"/>
      <w:marLeft w:val="0"/>
      <w:marRight w:val="0"/>
      <w:marTop w:val="0"/>
      <w:marBottom w:val="0"/>
      <w:divBdr>
        <w:top w:val="none" w:sz="0" w:space="0" w:color="auto"/>
        <w:left w:val="none" w:sz="0" w:space="0" w:color="auto"/>
        <w:bottom w:val="none" w:sz="0" w:space="0" w:color="auto"/>
        <w:right w:val="none" w:sz="0" w:space="0" w:color="auto"/>
      </w:divBdr>
    </w:div>
    <w:div w:id="1657150031">
      <w:bodyDiv w:val="1"/>
      <w:marLeft w:val="0"/>
      <w:marRight w:val="0"/>
      <w:marTop w:val="0"/>
      <w:marBottom w:val="0"/>
      <w:divBdr>
        <w:top w:val="none" w:sz="0" w:space="0" w:color="auto"/>
        <w:left w:val="none" w:sz="0" w:space="0" w:color="auto"/>
        <w:bottom w:val="none" w:sz="0" w:space="0" w:color="auto"/>
        <w:right w:val="none" w:sz="0" w:space="0" w:color="auto"/>
      </w:divBdr>
    </w:div>
    <w:div w:id="1659649846">
      <w:bodyDiv w:val="1"/>
      <w:marLeft w:val="0"/>
      <w:marRight w:val="0"/>
      <w:marTop w:val="0"/>
      <w:marBottom w:val="0"/>
      <w:divBdr>
        <w:top w:val="none" w:sz="0" w:space="0" w:color="auto"/>
        <w:left w:val="none" w:sz="0" w:space="0" w:color="auto"/>
        <w:bottom w:val="none" w:sz="0" w:space="0" w:color="auto"/>
        <w:right w:val="none" w:sz="0" w:space="0" w:color="auto"/>
      </w:divBdr>
    </w:div>
    <w:div w:id="1661738259">
      <w:bodyDiv w:val="1"/>
      <w:marLeft w:val="0"/>
      <w:marRight w:val="0"/>
      <w:marTop w:val="0"/>
      <w:marBottom w:val="0"/>
      <w:divBdr>
        <w:top w:val="none" w:sz="0" w:space="0" w:color="auto"/>
        <w:left w:val="none" w:sz="0" w:space="0" w:color="auto"/>
        <w:bottom w:val="none" w:sz="0" w:space="0" w:color="auto"/>
        <w:right w:val="none" w:sz="0" w:space="0" w:color="auto"/>
      </w:divBdr>
    </w:div>
    <w:div w:id="1663850041">
      <w:bodyDiv w:val="1"/>
      <w:marLeft w:val="0"/>
      <w:marRight w:val="0"/>
      <w:marTop w:val="0"/>
      <w:marBottom w:val="0"/>
      <w:divBdr>
        <w:top w:val="none" w:sz="0" w:space="0" w:color="auto"/>
        <w:left w:val="none" w:sz="0" w:space="0" w:color="auto"/>
        <w:bottom w:val="none" w:sz="0" w:space="0" w:color="auto"/>
        <w:right w:val="none" w:sz="0" w:space="0" w:color="auto"/>
      </w:divBdr>
    </w:div>
    <w:div w:id="1665475551">
      <w:bodyDiv w:val="1"/>
      <w:marLeft w:val="0"/>
      <w:marRight w:val="0"/>
      <w:marTop w:val="0"/>
      <w:marBottom w:val="0"/>
      <w:divBdr>
        <w:top w:val="none" w:sz="0" w:space="0" w:color="auto"/>
        <w:left w:val="none" w:sz="0" w:space="0" w:color="auto"/>
        <w:bottom w:val="none" w:sz="0" w:space="0" w:color="auto"/>
        <w:right w:val="none" w:sz="0" w:space="0" w:color="auto"/>
      </w:divBdr>
    </w:div>
    <w:div w:id="1669362440">
      <w:bodyDiv w:val="1"/>
      <w:marLeft w:val="0"/>
      <w:marRight w:val="0"/>
      <w:marTop w:val="0"/>
      <w:marBottom w:val="0"/>
      <w:divBdr>
        <w:top w:val="none" w:sz="0" w:space="0" w:color="auto"/>
        <w:left w:val="none" w:sz="0" w:space="0" w:color="auto"/>
        <w:bottom w:val="none" w:sz="0" w:space="0" w:color="auto"/>
        <w:right w:val="none" w:sz="0" w:space="0" w:color="auto"/>
      </w:divBdr>
    </w:div>
    <w:div w:id="1676035164">
      <w:bodyDiv w:val="1"/>
      <w:marLeft w:val="0"/>
      <w:marRight w:val="0"/>
      <w:marTop w:val="0"/>
      <w:marBottom w:val="0"/>
      <w:divBdr>
        <w:top w:val="none" w:sz="0" w:space="0" w:color="auto"/>
        <w:left w:val="none" w:sz="0" w:space="0" w:color="auto"/>
        <w:bottom w:val="none" w:sz="0" w:space="0" w:color="auto"/>
        <w:right w:val="none" w:sz="0" w:space="0" w:color="auto"/>
      </w:divBdr>
    </w:div>
    <w:div w:id="1677074802">
      <w:bodyDiv w:val="1"/>
      <w:marLeft w:val="0"/>
      <w:marRight w:val="0"/>
      <w:marTop w:val="0"/>
      <w:marBottom w:val="0"/>
      <w:divBdr>
        <w:top w:val="none" w:sz="0" w:space="0" w:color="auto"/>
        <w:left w:val="none" w:sz="0" w:space="0" w:color="auto"/>
        <w:bottom w:val="none" w:sz="0" w:space="0" w:color="auto"/>
        <w:right w:val="none" w:sz="0" w:space="0" w:color="auto"/>
      </w:divBdr>
    </w:div>
    <w:div w:id="1678389118">
      <w:bodyDiv w:val="1"/>
      <w:marLeft w:val="0"/>
      <w:marRight w:val="0"/>
      <w:marTop w:val="0"/>
      <w:marBottom w:val="0"/>
      <w:divBdr>
        <w:top w:val="none" w:sz="0" w:space="0" w:color="auto"/>
        <w:left w:val="none" w:sz="0" w:space="0" w:color="auto"/>
        <w:bottom w:val="none" w:sz="0" w:space="0" w:color="auto"/>
        <w:right w:val="none" w:sz="0" w:space="0" w:color="auto"/>
      </w:divBdr>
    </w:div>
    <w:div w:id="1697384348">
      <w:bodyDiv w:val="1"/>
      <w:marLeft w:val="0"/>
      <w:marRight w:val="0"/>
      <w:marTop w:val="0"/>
      <w:marBottom w:val="0"/>
      <w:divBdr>
        <w:top w:val="none" w:sz="0" w:space="0" w:color="auto"/>
        <w:left w:val="none" w:sz="0" w:space="0" w:color="auto"/>
        <w:bottom w:val="none" w:sz="0" w:space="0" w:color="auto"/>
        <w:right w:val="none" w:sz="0" w:space="0" w:color="auto"/>
      </w:divBdr>
    </w:div>
    <w:div w:id="1697808373">
      <w:bodyDiv w:val="1"/>
      <w:marLeft w:val="0"/>
      <w:marRight w:val="0"/>
      <w:marTop w:val="0"/>
      <w:marBottom w:val="0"/>
      <w:divBdr>
        <w:top w:val="none" w:sz="0" w:space="0" w:color="auto"/>
        <w:left w:val="none" w:sz="0" w:space="0" w:color="auto"/>
        <w:bottom w:val="none" w:sz="0" w:space="0" w:color="auto"/>
        <w:right w:val="none" w:sz="0" w:space="0" w:color="auto"/>
      </w:divBdr>
    </w:div>
    <w:div w:id="1698508384">
      <w:bodyDiv w:val="1"/>
      <w:marLeft w:val="0"/>
      <w:marRight w:val="0"/>
      <w:marTop w:val="0"/>
      <w:marBottom w:val="0"/>
      <w:divBdr>
        <w:top w:val="none" w:sz="0" w:space="0" w:color="auto"/>
        <w:left w:val="none" w:sz="0" w:space="0" w:color="auto"/>
        <w:bottom w:val="none" w:sz="0" w:space="0" w:color="auto"/>
        <w:right w:val="none" w:sz="0" w:space="0" w:color="auto"/>
      </w:divBdr>
    </w:div>
    <w:div w:id="1723211592">
      <w:bodyDiv w:val="1"/>
      <w:marLeft w:val="0"/>
      <w:marRight w:val="0"/>
      <w:marTop w:val="0"/>
      <w:marBottom w:val="0"/>
      <w:divBdr>
        <w:top w:val="none" w:sz="0" w:space="0" w:color="auto"/>
        <w:left w:val="none" w:sz="0" w:space="0" w:color="auto"/>
        <w:bottom w:val="none" w:sz="0" w:space="0" w:color="auto"/>
        <w:right w:val="none" w:sz="0" w:space="0" w:color="auto"/>
      </w:divBdr>
    </w:div>
    <w:div w:id="1725449498">
      <w:bodyDiv w:val="1"/>
      <w:marLeft w:val="0"/>
      <w:marRight w:val="0"/>
      <w:marTop w:val="0"/>
      <w:marBottom w:val="0"/>
      <w:divBdr>
        <w:top w:val="none" w:sz="0" w:space="0" w:color="auto"/>
        <w:left w:val="none" w:sz="0" w:space="0" w:color="auto"/>
        <w:bottom w:val="none" w:sz="0" w:space="0" w:color="auto"/>
        <w:right w:val="none" w:sz="0" w:space="0" w:color="auto"/>
      </w:divBdr>
    </w:div>
    <w:div w:id="1730300493">
      <w:bodyDiv w:val="1"/>
      <w:marLeft w:val="0"/>
      <w:marRight w:val="0"/>
      <w:marTop w:val="0"/>
      <w:marBottom w:val="0"/>
      <w:divBdr>
        <w:top w:val="none" w:sz="0" w:space="0" w:color="auto"/>
        <w:left w:val="none" w:sz="0" w:space="0" w:color="auto"/>
        <w:bottom w:val="none" w:sz="0" w:space="0" w:color="auto"/>
        <w:right w:val="none" w:sz="0" w:space="0" w:color="auto"/>
      </w:divBdr>
    </w:div>
    <w:div w:id="1737127674">
      <w:bodyDiv w:val="1"/>
      <w:marLeft w:val="0"/>
      <w:marRight w:val="0"/>
      <w:marTop w:val="0"/>
      <w:marBottom w:val="0"/>
      <w:divBdr>
        <w:top w:val="none" w:sz="0" w:space="0" w:color="auto"/>
        <w:left w:val="none" w:sz="0" w:space="0" w:color="auto"/>
        <w:bottom w:val="none" w:sz="0" w:space="0" w:color="auto"/>
        <w:right w:val="none" w:sz="0" w:space="0" w:color="auto"/>
      </w:divBdr>
    </w:div>
    <w:div w:id="1741126752">
      <w:bodyDiv w:val="1"/>
      <w:marLeft w:val="0"/>
      <w:marRight w:val="0"/>
      <w:marTop w:val="0"/>
      <w:marBottom w:val="0"/>
      <w:divBdr>
        <w:top w:val="none" w:sz="0" w:space="0" w:color="auto"/>
        <w:left w:val="none" w:sz="0" w:space="0" w:color="auto"/>
        <w:bottom w:val="none" w:sz="0" w:space="0" w:color="auto"/>
        <w:right w:val="none" w:sz="0" w:space="0" w:color="auto"/>
      </w:divBdr>
    </w:div>
    <w:div w:id="1750807658">
      <w:bodyDiv w:val="1"/>
      <w:marLeft w:val="0"/>
      <w:marRight w:val="0"/>
      <w:marTop w:val="0"/>
      <w:marBottom w:val="0"/>
      <w:divBdr>
        <w:top w:val="none" w:sz="0" w:space="0" w:color="auto"/>
        <w:left w:val="none" w:sz="0" w:space="0" w:color="auto"/>
        <w:bottom w:val="none" w:sz="0" w:space="0" w:color="auto"/>
        <w:right w:val="none" w:sz="0" w:space="0" w:color="auto"/>
      </w:divBdr>
    </w:div>
    <w:div w:id="1759790330">
      <w:bodyDiv w:val="1"/>
      <w:marLeft w:val="0"/>
      <w:marRight w:val="0"/>
      <w:marTop w:val="0"/>
      <w:marBottom w:val="0"/>
      <w:divBdr>
        <w:top w:val="none" w:sz="0" w:space="0" w:color="auto"/>
        <w:left w:val="none" w:sz="0" w:space="0" w:color="auto"/>
        <w:bottom w:val="none" w:sz="0" w:space="0" w:color="auto"/>
        <w:right w:val="none" w:sz="0" w:space="0" w:color="auto"/>
      </w:divBdr>
    </w:div>
    <w:div w:id="1765153727">
      <w:bodyDiv w:val="1"/>
      <w:marLeft w:val="0"/>
      <w:marRight w:val="0"/>
      <w:marTop w:val="0"/>
      <w:marBottom w:val="0"/>
      <w:divBdr>
        <w:top w:val="none" w:sz="0" w:space="0" w:color="auto"/>
        <w:left w:val="none" w:sz="0" w:space="0" w:color="auto"/>
        <w:bottom w:val="none" w:sz="0" w:space="0" w:color="auto"/>
        <w:right w:val="none" w:sz="0" w:space="0" w:color="auto"/>
      </w:divBdr>
    </w:div>
    <w:div w:id="1767842446">
      <w:bodyDiv w:val="1"/>
      <w:marLeft w:val="0"/>
      <w:marRight w:val="0"/>
      <w:marTop w:val="0"/>
      <w:marBottom w:val="0"/>
      <w:divBdr>
        <w:top w:val="none" w:sz="0" w:space="0" w:color="auto"/>
        <w:left w:val="none" w:sz="0" w:space="0" w:color="auto"/>
        <w:bottom w:val="none" w:sz="0" w:space="0" w:color="auto"/>
        <w:right w:val="none" w:sz="0" w:space="0" w:color="auto"/>
      </w:divBdr>
    </w:div>
    <w:div w:id="1770660753">
      <w:bodyDiv w:val="1"/>
      <w:marLeft w:val="0"/>
      <w:marRight w:val="0"/>
      <w:marTop w:val="0"/>
      <w:marBottom w:val="0"/>
      <w:divBdr>
        <w:top w:val="none" w:sz="0" w:space="0" w:color="auto"/>
        <w:left w:val="none" w:sz="0" w:space="0" w:color="auto"/>
        <w:bottom w:val="none" w:sz="0" w:space="0" w:color="auto"/>
        <w:right w:val="none" w:sz="0" w:space="0" w:color="auto"/>
      </w:divBdr>
    </w:div>
    <w:div w:id="1776094205">
      <w:bodyDiv w:val="1"/>
      <w:marLeft w:val="0"/>
      <w:marRight w:val="0"/>
      <w:marTop w:val="0"/>
      <w:marBottom w:val="0"/>
      <w:divBdr>
        <w:top w:val="none" w:sz="0" w:space="0" w:color="auto"/>
        <w:left w:val="none" w:sz="0" w:space="0" w:color="auto"/>
        <w:bottom w:val="none" w:sz="0" w:space="0" w:color="auto"/>
        <w:right w:val="none" w:sz="0" w:space="0" w:color="auto"/>
      </w:divBdr>
    </w:div>
    <w:div w:id="1783497699">
      <w:bodyDiv w:val="1"/>
      <w:marLeft w:val="0"/>
      <w:marRight w:val="0"/>
      <w:marTop w:val="0"/>
      <w:marBottom w:val="0"/>
      <w:divBdr>
        <w:top w:val="none" w:sz="0" w:space="0" w:color="auto"/>
        <w:left w:val="none" w:sz="0" w:space="0" w:color="auto"/>
        <w:bottom w:val="none" w:sz="0" w:space="0" w:color="auto"/>
        <w:right w:val="none" w:sz="0" w:space="0" w:color="auto"/>
      </w:divBdr>
    </w:div>
    <w:div w:id="1785345458">
      <w:bodyDiv w:val="1"/>
      <w:marLeft w:val="0"/>
      <w:marRight w:val="0"/>
      <w:marTop w:val="0"/>
      <w:marBottom w:val="0"/>
      <w:divBdr>
        <w:top w:val="none" w:sz="0" w:space="0" w:color="auto"/>
        <w:left w:val="none" w:sz="0" w:space="0" w:color="auto"/>
        <w:bottom w:val="none" w:sz="0" w:space="0" w:color="auto"/>
        <w:right w:val="none" w:sz="0" w:space="0" w:color="auto"/>
      </w:divBdr>
    </w:div>
    <w:div w:id="1795828255">
      <w:bodyDiv w:val="1"/>
      <w:marLeft w:val="0"/>
      <w:marRight w:val="0"/>
      <w:marTop w:val="0"/>
      <w:marBottom w:val="0"/>
      <w:divBdr>
        <w:top w:val="none" w:sz="0" w:space="0" w:color="auto"/>
        <w:left w:val="none" w:sz="0" w:space="0" w:color="auto"/>
        <w:bottom w:val="none" w:sz="0" w:space="0" w:color="auto"/>
        <w:right w:val="none" w:sz="0" w:space="0" w:color="auto"/>
      </w:divBdr>
    </w:div>
    <w:div w:id="1797093020">
      <w:bodyDiv w:val="1"/>
      <w:marLeft w:val="0"/>
      <w:marRight w:val="0"/>
      <w:marTop w:val="0"/>
      <w:marBottom w:val="0"/>
      <w:divBdr>
        <w:top w:val="none" w:sz="0" w:space="0" w:color="auto"/>
        <w:left w:val="none" w:sz="0" w:space="0" w:color="auto"/>
        <w:bottom w:val="none" w:sz="0" w:space="0" w:color="auto"/>
        <w:right w:val="none" w:sz="0" w:space="0" w:color="auto"/>
      </w:divBdr>
    </w:div>
    <w:div w:id="1811828499">
      <w:bodyDiv w:val="1"/>
      <w:marLeft w:val="0"/>
      <w:marRight w:val="0"/>
      <w:marTop w:val="0"/>
      <w:marBottom w:val="0"/>
      <w:divBdr>
        <w:top w:val="none" w:sz="0" w:space="0" w:color="auto"/>
        <w:left w:val="none" w:sz="0" w:space="0" w:color="auto"/>
        <w:bottom w:val="none" w:sz="0" w:space="0" w:color="auto"/>
        <w:right w:val="none" w:sz="0" w:space="0" w:color="auto"/>
      </w:divBdr>
    </w:div>
    <w:div w:id="1825009354">
      <w:bodyDiv w:val="1"/>
      <w:marLeft w:val="0"/>
      <w:marRight w:val="0"/>
      <w:marTop w:val="0"/>
      <w:marBottom w:val="0"/>
      <w:divBdr>
        <w:top w:val="none" w:sz="0" w:space="0" w:color="auto"/>
        <w:left w:val="none" w:sz="0" w:space="0" w:color="auto"/>
        <w:bottom w:val="none" w:sz="0" w:space="0" w:color="auto"/>
        <w:right w:val="none" w:sz="0" w:space="0" w:color="auto"/>
      </w:divBdr>
      <w:divsChild>
        <w:div w:id="897088362">
          <w:marLeft w:val="0"/>
          <w:marRight w:val="0"/>
          <w:marTop w:val="0"/>
          <w:marBottom w:val="0"/>
          <w:divBdr>
            <w:top w:val="none" w:sz="0" w:space="0" w:color="auto"/>
            <w:left w:val="none" w:sz="0" w:space="0" w:color="auto"/>
            <w:bottom w:val="none" w:sz="0" w:space="0" w:color="auto"/>
            <w:right w:val="none" w:sz="0" w:space="0" w:color="auto"/>
          </w:divBdr>
        </w:div>
        <w:div w:id="1042247142">
          <w:marLeft w:val="0"/>
          <w:marRight w:val="0"/>
          <w:marTop w:val="0"/>
          <w:marBottom w:val="0"/>
          <w:divBdr>
            <w:top w:val="none" w:sz="0" w:space="0" w:color="auto"/>
            <w:left w:val="none" w:sz="0" w:space="0" w:color="auto"/>
            <w:bottom w:val="none" w:sz="0" w:space="0" w:color="auto"/>
            <w:right w:val="none" w:sz="0" w:space="0" w:color="auto"/>
          </w:divBdr>
        </w:div>
        <w:div w:id="1063454440">
          <w:marLeft w:val="0"/>
          <w:marRight w:val="0"/>
          <w:marTop w:val="0"/>
          <w:marBottom w:val="0"/>
          <w:divBdr>
            <w:top w:val="none" w:sz="0" w:space="0" w:color="auto"/>
            <w:left w:val="none" w:sz="0" w:space="0" w:color="auto"/>
            <w:bottom w:val="none" w:sz="0" w:space="0" w:color="auto"/>
            <w:right w:val="none" w:sz="0" w:space="0" w:color="auto"/>
          </w:divBdr>
        </w:div>
        <w:div w:id="1122266238">
          <w:marLeft w:val="0"/>
          <w:marRight w:val="0"/>
          <w:marTop w:val="0"/>
          <w:marBottom w:val="0"/>
          <w:divBdr>
            <w:top w:val="none" w:sz="0" w:space="0" w:color="auto"/>
            <w:left w:val="none" w:sz="0" w:space="0" w:color="auto"/>
            <w:bottom w:val="none" w:sz="0" w:space="0" w:color="auto"/>
            <w:right w:val="none" w:sz="0" w:space="0" w:color="auto"/>
          </w:divBdr>
        </w:div>
      </w:divsChild>
    </w:div>
    <w:div w:id="1828865632">
      <w:bodyDiv w:val="1"/>
      <w:marLeft w:val="0"/>
      <w:marRight w:val="0"/>
      <w:marTop w:val="0"/>
      <w:marBottom w:val="0"/>
      <w:divBdr>
        <w:top w:val="none" w:sz="0" w:space="0" w:color="auto"/>
        <w:left w:val="none" w:sz="0" w:space="0" w:color="auto"/>
        <w:bottom w:val="none" w:sz="0" w:space="0" w:color="auto"/>
        <w:right w:val="none" w:sz="0" w:space="0" w:color="auto"/>
      </w:divBdr>
    </w:div>
    <w:div w:id="1832404508">
      <w:bodyDiv w:val="1"/>
      <w:marLeft w:val="0"/>
      <w:marRight w:val="0"/>
      <w:marTop w:val="0"/>
      <w:marBottom w:val="0"/>
      <w:divBdr>
        <w:top w:val="none" w:sz="0" w:space="0" w:color="auto"/>
        <w:left w:val="none" w:sz="0" w:space="0" w:color="auto"/>
        <w:bottom w:val="none" w:sz="0" w:space="0" w:color="auto"/>
        <w:right w:val="none" w:sz="0" w:space="0" w:color="auto"/>
      </w:divBdr>
    </w:div>
    <w:div w:id="1836144914">
      <w:bodyDiv w:val="1"/>
      <w:marLeft w:val="0"/>
      <w:marRight w:val="0"/>
      <w:marTop w:val="0"/>
      <w:marBottom w:val="0"/>
      <w:divBdr>
        <w:top w:val="none" w:sz="0" w:space="0" w:color="auto"/>
        <w:left w:val="none" w:sz="0" w:space="0" w:color="auto"/>
        <w:bottom w:val="none" w:sz="0" w:space="0" w:color="auto"/>
        <w:right w:val="none" w:sz="0" w:space="0" w:color="auto"/>
      </w:divBdr>
    </w:div>
    <w:div w:id="1852333848">
      <w:bodyDiv w:val="1"/>
      <w:marLeft w:val="0"/>
      <w:marRight w:val="0"/>
      <w:marTop w:val="0"/>
      <w:marBottom w:val="0"/>
      <w:divBdr>
        <w:top w:val="none" w:sz="0" w:space="0" w:color="auto"/>
        <w:left w:val="none" w:sz="0" w:space="0" w:color="auto"/>
        <w:bottom w:val="none" w:sz="0" w:space="0" w:color="auto"/>
        <w:right w:val="none" w:sz="0" w:space="0" w:color="auto"/>
      </w:divBdr>
    </w:div>
    <w:div w:id="1857114882">
      <w:bodyDiv w:val="1"/>
      <w:marLeft w:val="0"/>
      <w:marRight w:val="0"/>
      <w:marTop w:val="0"/>
      <w:marBottom w:val="0"/>
      <w:divBdr>
        <w:top w:val="none" w:sz="0" w:space="0" w:color="auto"/>
        <w:left w:val="none" w:sz="0" w:space="0" w:color="auto"/>
        <w:bottom w:val="none" w:sz="0" w:space="0" w:color="auto"/>
        <w:right w:val="none" w:sz="0" w:space="0" w:color="auto"/>
      </w:divBdr>
    </w:div>
    <w:div w:id="1857883847">
      <w:bodyDiv w:val="1"/>
      <w:marLeft w:val="0"/>
      <w:marRight w:val="0"/>
      <w:marTop w:val="0"/>
      <w:marBottom w:val="0"/>
      <w:divBdr>
        <w:top w:val="none" w:sz="0" w:space="0" w:color="auto"/>
        <w:left w:val="none" w:sz="0" w:space="0" w:color="auto"/>
        <w:bottom w:val="none" w:sz="0" w:space="0" w:color="auto"/>
        <w:right w:val="none" w:sz="0" w:space="0" w:color="auto"/>
      </w:divBdr>
    </w:div>
    <w:div w:id="1875538357">
      <w:bodyDiv w:val="1"/>
      <w:marLeft w:val="0"/>
      <w:marRight w:val="0"/>
      <w:marTop w:val="0"/>
      <w:marBottom w:val="0"/>
      <w:divBdr>
        <w:top w:val="none" w:sz="0" w:space="0" w:color="auto"/>
        <w:left w:val="none" w:sz="0" w:space="0" w:color="auto"/>
        <w:bottom w:val="none" w:sz="0" w:space="0" w:color="auto"/>
        <w:right w:val="none" w:sz="0" w:space="0" w:color="auto"/>
      </w:divBdr>
    </w:div>
    <w:div w:id="1880236081">
      <w:bodyDiv w:val="1"/>
      <w:marLeft w:val="0"/>
      <w:marRight w:val="0"/>
      <w:marTop w:val="0"/>
      <w:marBottom w:val="0"/>
      <w:divBdr>
        <w:top w:val="none" w:sz="0" w:space="0" w:color="auto"/>
        <w:left w:val="none" w:sz="0" w:space="0" w:color="auto"/>
        <w:bottom w:val="none" w:sz="0" w:space="0" w:color="auto"/>
        <w:right w:val="none" w:sz="0" w:space="0" w:color="auto"/>
      </w:divBdr>
    </w:div>
    <w:div w:id="1881552714">
      <w:bodyDiv w:val="1"/>
      <w:marLeft w:val="0"/>
      <w:marRight w:val="0"/>
      <w:marTop w:val="0"/>
      <w:marBottom w:val="0"/>
      <w:divBdr>
        <w:top w:val="none" w:sz="0" w:space="0" w:color="auto"/>
        <w:left w:val="none" w:sz="0" w:space="0" w:color="auto"/>
        <w:bottom w:val="none" w:sz="0" w:space="0" w:color="auto"/>
        <w:right w:val="none" w:sz="0" w:space="0" w:color="auto"/>
      </w:divBdr>
    </w:div>
    <w:div w:id="1886599107">
      <w:bodyDiv w:val="1"/>
      <w:marLeft w:val="0"/>
      <w:marRight w:val="0"/>
      <w:marTop w:val="0"/>
      <w:marBottom w:val="0"/>
      <w:divBdr>
        <w:top w:val="none" w:sz="0" w:space="0" w:color="auto"/>
        <w:left w:val="none" w:sz="0" w:space="0" w:color="auto"/>
        <w:bottom w:val="none" w:sz="0" w:space="0" w:color="auto"/>
        <w:right w:val="none" w:sz="0" w:space="0" w:color="auto"/>
      </w:divBdr>
    </w:div>
    <w:div w:id="1889948287">
      <w:bodyDiv w:val="1"/>
      <w:marLeft w:val="0"/>
      <w:marRight w:val="0"/>
      <w:marTop w:val="0"/>
      <w:marBottom w:val="0"/>
      <w:divBdr>
        <w:top w:val="none" w:sz="0" w:space="0" w:color="auto"/>
        <w:left w:val="none" w:sz="0" w:space="0" w:color="auto"/>
        <w:bottom w:val="none" w:sz="0" w:space="0" w:color="auto"/>
        <w:right w:val="none" w:sz="0" w:space="0" w:color="auto"/>
      </w:divBdr>
    </w:div>
    <w:div w:id="1891526298">
      <w:bodyDiv w:val="1"/>
      <w:marLeft w:val="0"/>
      <w:marRight w:val="0"/>
      <w:marTop w:val="0"/>
      <w:marBottom w:val="0"/>
      <w:divBdr>
        <w:top w:val="none" w:sz="0" w:space="0" w:color="auto"/>
        <w:left w:val="none" w:sz="0" w:space="0" w:color="auto"/>
        <w:bottom w:val="none" w:sz="0" w:space="0" w:color="auto"/>
        <w:right w:val="none" w:sz="0" w:space="0" w:color="auto"/>
      </w:divBdr>
    </w:div>
    <w:div w:id="1893078988">
      <w:bodyDiv w:val="1"/>
      <w:marLeft w:val="0"/>
      <w:marRight w:val="0"/>
      <w:marTop w:val="0"/>
      <w:marBottom w:val="0"/>
      <w:divBdr>
        <w:top w:val="none" w:sz="0" w:space="0" w:color="auto"/>
        <w:left w:val="none" w:sz="0" w:space="0" w:color="auto"/>
        <w:bottom w:val="none" w:sz="0" w:space="0" w:color="auto"/>
        <w:right w:val="none" w:sz="0" w:space="0" w:color="auto"/>
      </w:divBdr>
    </w:div>
    <w:div w:id="1896889793">
      <w:bodyDiv w:val="1"/>
      <w:marLeft w:val="0"/>
      <w:marRight w:val="0"/>
      <w:marTop w:val="0"/>
      <w:marBottom w:val="0"/>
      <w:divBdr>
        <w:top w:val="none" w:sz="0" w:space="0" w:color="auto"/>
        <w:left w:val="none" w:sz="0" w:space="0" w:color="auto"/>
        <w:bottom w:val="none" w:sz="0" w:space="0" w:color="auto"/>
        <w:right w:val="none" w:sz="0" w:space="0" w:color="auto"/>
      </w:divBdr>
    </w:div>
    <w:div w:id="1897543522">
      <w:bodyDiv w:val="1"/>
      <w:marLeft w:val="0"/>
      <w:marRight w:val="0"/>
      <w:marTop w:val="0"/>
      <w:marBottom w:val="0"/>
      <w:divBdr>
        <w:top w:val="none" w:sz="0" w:space="0" w:color="auto"/>
        <w:left w:val="none" w:sz="0" w:space="0" w:color="auto"/>
        <w:bottom w:val="none" w:sz="0" w:space="0" w:color="auto"/>
        <w:right w:val="none" w:sz="0" w:space="0" w:color="auto"/>
      </w:divBdr>
    </w:div>
    <w:div w:id="1900895949">
      <w:bodyDiv w:val="1"/>
      <w:marLeft w:val="0"/>
      <w:marRight w:val="0"/>
      <w:marTop w:val="0"/>
      <w:marBottom w:val="0"/>
      <w:divBdr>
        <w:top w:val="none" w:sz="0" w:space="0" w:color="auto"/>
        <w:left w:val="none" w:sz="0" w:space="0" w:color="auto"/>
        <w:bottom w:val="none" w:sz="0" w:space="0" w:color="auto"/>
        <w:right w:val="none" w:sz="0" w:space="0" w:color="auto"/>
      </w:divBdr>
    </w:div>
    <w:div w:id="1901285806">
      <w:bodyDiv w:val="1"/>
      <w:marLeft w:val="0"/>
      <w:marRight w:val="0"/>
      <w:marTop w:val="0"/>
      <w:marBottom w:val="0"/>
      <w:divBdr>
        <w:top w:val="none" w:sz="0" w:space="0" w:color="auto"/>
        <w:left w:val="none" w:sz="0" w:space="0" w:color="auto"/>
        <w:bottom w:val="none" w:sz="0" w:space="0" w:color="auto"/>
        <w:right w:val="none" w:sz="0" w:space="0" w:color="auto"/>
      </w:divBdr>
    </w:div>
    <w:div w:id="1906142651">
      <w:bodyDiv w:val="1"/>
      <w:marLeft w:val="0"/>
      <w:marRight w:val="0"/>
      <w:marTop w:val="0"/>
      <w:marBottom w:val="0"/>
      <w:divBdr>
        <w:top w:val="none" w:sz="0" w:space="0" w:color="auto"/>
        <w:left w:val="none" w:sz="0" w:space="0" w:color="auto"/>
        <w:bottom w:val="none" w:sz="0" w:space="0" w:color="auto"/>
        <w:right w:val="none" w:sz="0" w:space="0" w:color="auto"/>
      </w:divBdr>
    </w:div>
    <w:div w:id="1906839474">
      <w:bodyDiv w:val="1"/>
      <w:marLeft w:val="0"/>
      <w:marRight w:val="0"/>
      <w:marTop w:val="0"/>
      <w:marBottom w:val="0"/>
      <w:divBdr>
        <w:top w:val="none" w:sz="0" w:space="0" w:color="auto"/>
        <w:left w:val="none" w:sz="0" w:space="0" w:color="auto"/>
        <w:bottom w:val="none" w:sz="0" w:space="0" w:color="auto"/>
        <w:right w:val="none" w:sz="0" w:space="0" w:color="auto"/>
      </w:divBdr>
    </w:div>
    <w:div w:id="1908957365">
      <w:bodyDiv w:val="1"/>
      <w:marLeft w:val="0"/>
      <w:marRight w:val="0"/>
      <w:marTop w:val="0"/>
      <w:marBottom w:val="0"/>
      <w:divBdr>
        <w:top w:val="none" w:sz="0" w:space="0" w:color="auto"/>
        <w:left w:val="none" w:sz="0" w:space="0" w:color="auto"/>
        <w:bottom w:val="none" w:sz="0" w:space="0" w:color="auto"/>
        <w:right w:val="none" w:sz="0" w:space="0" w:color="auto"/>
      </w:divBdr>
    </w:div>
    <w:div w:id="1924291005">
      <w:bodyDiv w:val="1"/>
      <w:marLeft w:val="0"/>
      <w:marRight w:val="0"/>
      <w:marTop w:val="0"/>
      <w:marBottom w:val="0"/>
      <w:divBdr>
        <w:top w:val="none" w:sz="0" w:space="0" w:color="auto"/>
        <w:left w:val="none" w:sz="0" w:space="0" w:color="auto"/>
        <w:bottom w:val="none" w:sz="0" w:space="0" w:color="auto"/>
        <w:right w:val="none" w:sz="0" w:space="0" w:color="auto"/>
      </w:divBdr>
    </w:div>
    <w:div w:id="1928032726">
      <w:bodyDiv w:val="1"/>
      <w:marLeft w:val="0"/>
      <w:marRight w:val="0"/>
      <w:marTop w:val="0"/>
      <w:marBottom w:val="0"/>
      <w:divBdr>
        <w:top w:val="none" w:sz="0" w:space="0" w:color="auto"/>
        <w:left w:val="none" w:sz="0" w:space="0" w:color="auto"/>
        <w:bottom w:val="none" w:sz="0" w:space="0" w:color="auto"/>
        <w:right w:val="none" w:sz="0" w:space="0" w:color="auto"/>
      </w:divBdr>
    </w:div>
    <w:div w:id="1934246199">
      <w:bodyDiv w:val="1"/>
      <w:marLeft w:val="0"/>
      <w:marRight w:val="0"/>
      <w:marTop w:val="0"/>
      <w:marBottom w:val="0"/>
      <w:divBdr>
        <w:top w:val="none" w:sz="0" w:space="0" w:color="auto"/>
        <w:left w:val="none" w:sz="0" w:space="0" w:color="auto"/>
        <w:bottom w:val="none" w:sz="0" w:space="0" w:color="auto"/>
        <w:right w:val="none" w:sz="0" w:space="0" w:color="auto"/>
      </w:divBdr>
    </w:div>
    <w:div w:id="1934626362">
      <w:bodyDiv w:val="1"/>
      <w:marLeft w:val="0"/>
      <w:marRight w:val="0"/>
      <w:marTop w:val="0"/>
      <w:marBottom w:val="0"/>
      <w:divBdr>
        <w:top w:val="none" w:sz="0" w:space="0" w:color="auto"/>
        <w:left w:val="none" w:sz="0" w:space="0" w:color="auto"/>
        <w:bottom w:val="none" w:sz="0" w:space="0" w:color="auto"/>
        <w:right w:val="none" w:sz="0" w:space="0" w:color="auto"/>
      </w:divBdr>
    </w:div>
    <w:div w:id="1941836992">
      <w:bodyDiv w:val="1"/>
      <w:marLeft w:val="0"/>
      <w:marRight w:val="0"/>
      <w:marTop w:val="0"/>
      <w:marBottom w:val="0"/>
      <w:divBdr>
        <w:top w:val="none" w:sz="0" w:space="0" w:color="auto"/>
        <w:left w:val="none" w:sz="0" w:space="0" w:color="auto"/>
        <w:bottom w:val="none" w:sz="0" w:space="0" w:color="auto"/>
        <w:right w:val="none" w:sz="0" w:space="0" w:color="auto"/>
      </w:divBdr>
    </w:div>
    <w:div w:id="1944606948">
      <w:bodyDiv w:val="1"/>
      <w:marLeft w:val="0"/>
      <w:marRight w:val="0"/>
      <w:marTop w:val="0"/>
      <w:marBottom w:val="0"/>
      <w:divBdr>
        <w:top w:val="none" w:sz="0" w:space="0" w:color="auto"/>
        <w:left w:val="none" w:sz="0" w:space="0" w:color="auto"/>
        <w:bottom w:val="none" w:sz="0" w:space="0" w:color="auto"/>
        <w:right w:val="none" w:sz="0" w:space="0" w:color="auto"/>
      </w:divBdr>
    </w:div>
    <w:div w:id="1954707989">
      <w:bodyDiv w:val="1"/>
      <w:marLeft w:val="0"/>
      <w:marRight w:val="0"/>
      <w:marTop w:val="0"/>
      <w:marBottom w:val="0"/>
      <w:divBdr>
        <w:top w:val="none" w:sz="0" w:space="0" w:color="auto"/>
        <w:left w:val="none" w:sz="0" w:space="0" w:color="auto"/>
        <w:bottom w:val="none" w:sz="0" w:space="0" w:color="auto"/>
        <w:right w:val="none" w:sz="0" w:space="0" w:color="auto"/>
      </w:divBdr>
    </w:div>
    <w:div w:id="1954820209">
      <w:bodyDiv w:val="1"/>
      <w:marLeft w:val="0"/>
      <w:marRight w:val="0"/>
      <w:marTop w:val="0"/>
      <w:marBottom w:val="0"/>
      <w:divBdr>
        <w:top w:val="none" w:sz="0" w:space="0" w:color="auto"/>
        <w:left w:val="none" w:sz="0" w:space="0" w:color="auto"/>
        <w:bottom w:val="none" w:sz="0" w:space="0" w:color="auto"/>
        <w:right w:val="none" w:sz="0" w:space="0" w:color="auto"/>
      </w:divBdr>
    </w:div>
    <w:div w:id="1955404059">
      <w:bodyDiv w:val="1"/>
      <w:marLeft w:val="0"/>
      <w:marRight w:val="0"/>
      <w:marTop w:val="0"/>
      <w:marBottom w:val="0"/>
      <w:divBdr>
        <w:top w:val="none" w:sz="0" w:space="0" w:color="auto"/>
        <w:left w:val="none" w:sz="0" w:space="0" w:color="auto"/>
        <w:bottom w:val="none" w:sz="0" w:space="0" w:color="auto"/>
        <w:right w:val="none" w:sz="0" w:space="0" w:color="auto"/>
      </w:divBdr>
    </w:div>
    <w:div w:id="1964539133">
      <w:bodyDiv w:val="1"/>
      <w:marLeft w:val="0"/>
      <w:marRight w:val="0"/>
      <w:marTop w:val="0"/>
      <w:marBottom w:val="0"/>
      <w:divBdr>
        <w:top w:val="none" w:sz="0" w:space="0" w:color="auto"/>
        <w:left w:val="none" w:sz="0" w:space="0" w:color="auto"/>
        <w:bottom w:val="none" w:sz="0" w:space="0" w:color="auto"/>
        <w:right w:val="none" w:sz="0" w:space="0" w:color="auto"/>
      </w:divBdr>
    </w:div>
    <w:div w:id="1968703347">
      <w:bodyDiv w:val="1"/>
      <w:marLeft w:val="0"/>
      <w:marRight w:val="0"/>
      <w:marTop w:val="0"/>
      <w:marBottom w:val="0"/>
      <w:divBdr>
        <w:top w:val="none" w:sz="0" w:space="0" w:color="auto"/>
        <w:left w:val="none" w:sz="0" w:space="0" w:color="auto"/>
        <w:bottom w:val="none" w:sz="0" w:space="0" w:color="auto"/>
        <w:right w:val="none" w:sz="0" w:space="0" w:color="auto"/>
      </w:divBdr>
    </w:div>
    <w:div w:id="1971931539">
      <w:bodyDiv w:val="1"/>
      <w:marLeft w:val="0"/>
      <w:marRight w:val="0"/>
      <w:marTop w:val="0"/>
      <w:marBottom w:val="0"/>
      <w:divBdr>
        <w:top w:val="none" w:sz="0" w:space="0" w:color="auto"/>
        <w:left w:val="none" w:sz="0" w:space="0" w:color="auto"/>
        <w:bottom w:val="none" w:sz="0" w:space="0" w:color="auto"/>
        <w:right w:val="none" w:sz="0" w:space="0" w:color="auto"/>
      </w:divBdr>
    </w:div>
    <w:div w:id="1977490280">
      <w:bodyDiv w:val="1"/>
      <w:marLeft w:val="0"/>
      <w:marRight w:val="0"/>
      <w:marTop w:val="0"/>
      <w:marBottom w:val="0"/>
      <w:divBdr>
        <w:top w:val="none" w:sz="0" w:space="0" w:color="auto"/>
        <w:left w:val="none" w:sz="0" w:space="0" w:color="auto"/>
        <w:bottom w:val="none" w:sz="0" w:space="0" w:color="auto"/>
        <w:right w:val="none" w:sz="0" w:space="0" w:color="auto"/>
      </w:divBdr>
    </w:div>
    <w:div w:id="1980642915">
      <w:bodyDiv w:val="1"/>
      <w:marLeft w:val="0"/>
      <w:marRight w:val="0"/>
      <w:marTop w:val="0"/>
      <w:marBottom w:val="0"/>
      <w:divBdr>
        <w:top w:val="none" w:sz="0" w:space="0" w:color="auto"/>
        <w:left w:val="none" w:sz="0" w:space="0" w:color="auto"/>
        <w:bottom w:val="none" w:sz="0" w:space="0" w:color="auto"/>
        <w:right w:val="none" w:sz="0" w:space="0" w:color="auto"/>
      </w:divBdr>
    </w:div>
    <w:div w:id="1987931740">
      <w:bodyDiv w:val="1"/>
      <w:marLeft w:val="0"/>
      <w:marRight w:val="0"/>
      <w:marTop w:val="0"/>
      <w:marBottom w:val="0"/>
      <w:divBdr>
        <w:top w:val="none" w:sz="0" w:space="0" w:color="auto"/>
        <w:left w:val="none" w:sz="0" w:space="0" w:color="auto"/>
        <w:bottom w:val="none" w:sz="0" w:space="0" w:color="auto"/>
        <w:right w:val="none" w:sz="0" w:space="0" w:color="auto"/>
      </w:divBdr>
    </w:div>
    <w:div w:id="1998921823">
      <w:bodyDiv w:val="1"/>
      <w:marLeft w:val="0"/>
      <w:marRight w:val="0"/>
      <w:marTop w:val="0"/>
      <w:marBottom w:val="0"/>
      <w:divBdr>
        <w:top w:val="none" w:sz="0" w:space="0" w:color="auto"/>
        <w:left w:val="none" w:sz="0" w:space="0" w:color="auto"/>
        <w:bottom w:val="none" w:sz="0" w:space="0" w:color="auto"/>
        <w:right w:val="none" w:sz="0" w:space="0" w:color="auto"/>
      </w:divBdr>
    </w:div>
    <w:div w:id="2001426936">
      <w:bodyDiv w:val="1"/>
      <w:marLeft w:val="0"/>
      <w:marRight w:val="0"/>
      <w:marTop w:val="0"/>
      <w:marBottom w:val="0"/>
      <w:divBdr>
        <w:top w:val="none" w:sz="0" w:space="0" w:color="auto"/>
        <w:left w:val="none" w:sz="0" w:space="0" w:color="auto"/>
        <w:bottom w:val="none" w:sz="0" w:space="0" w:color="auto"/>
        <w:right w:val="none" w:sz="0" w:space="0" w:color="auto"/>
      </w:divBdr>
    </w:div>
    <w:div w:id="2006737676">
      <w:bodyDiv w:val="1"/>
      <w:marLeft w:val="0"/>
      <w:marRight w:val="0"/>
      <w:marTop w:val="0"/>
      <w:marBottom w:val="0"/>
      <w:divBdr>
        <w:top w:val="none" w:sz="0" w:space="0" w:color="auto"/>
        <w:left w:val="none" w:sz="0" w:space="0" w:color="auto"/>
        <w:bottom w:val="none" w:sz="0" w:space="0" w:color="auto"/>
        <w:right w:val="none" w:sz="0" w:space="0" w:color="auto"/>
      </w:divBdr>
    </w:div>
    <w:div w:id="2017538758">
      <w:bodyDiv w:val="1"/>
      <w:marLeft w:val="0"/>
      <w:marRight w:val="0"/>
      <w:marTop w:val="0"/>
      <w:marBottom w:val="0"/>
      <w:divBdr>
        <w:top w:val="none" w:sz="0" w:space="0" w:color="auto"/>
        <w:left w:val="none" w:sz="0" w:space="0" w:color="auto"/>
        <w:bottom w:val="none" w:sz="0" w:space="0" w:color="auto"/>
        <w:right w:val="none" w:sz="0" w:space="0" w:color="auto"/>
      </w:divBdr>
    </w:div>
    <w:div w:id="2019892625">
      <w:bodyDiv w:val="1"/>
      <w:marLeft w:val="0"/>
      <w:marRight w:val="0"/>
      <w:marTop w:val="0"/>
      <w:marBottom w:val="0"/>
      <w:divBdr>
        <w:top w:val="none" w:sz="0" w:space="0" w:color="auto"/>
        <w:left w:val="none" w:sz="0" w:space="0" w:color="auto"/>
        <w:bottom w:val="none" w:sz="0" w:space="0" w:color="auto"/>
        <w:right w:val="none" w:sz="0" w:space="0" w:color="auto"/>
      </w:divBdr>
    </w:div>
    <w:div w:id="2032799327">
      <w:bodyDiv w:val="1"/>
      <w:marLeft w:val="0"/>
      <w:marRight w:val="0"/>
      <w:marTop w:val="0"/>
      <w:marBottom w:val="0"/>
      <w:divBdr>
        <w:top w:val="none" w:sz="0" w:space="0" w:color="auto"/>
        <w:left w:val="none" w:sz="0" w:space="0" w:color="auto"/>
        <w:bottom w:val="none" w:sz="0" w:space="0" w:color="auto"/>
        <w:right w:val="none" w:sz="0" w:space="0" w:color="auto"/>
      </w:divBdr>
    </w:div>
    <w:div w:id="2052219305">
      <w:bodyDiv w:val="1"/>
      <w:marLeft w:val="0"/>
      <w:marRight w:val="0"/>
      <w:marTop w:val="0"/>
      <w:marBottom w:val="0"/>
      <w:divBdr>
        <w:top w:val="none" w:sz="0" w:space="0" w:color="auto"/>
        <w:left w:val="none" w:sz="0" w:space="0" w:color="auto"/>
        <w:bottom w:val="none" w:sz="0" w:space="0" w:color="auto"/>
        <w:right w:val="none" w:sz="0" w:space="0" w:color="auto"/>
      </w:divBdr>
    </w:div>
    <w:div w:id="2054499845">
      <w:bodyDiv w:val="1"/>
      <w:marLeft w:val="0"/>
      <w:marRight w:val="0"/>
      <w:marTop w:val="0"/>
      <w:marBottom w:val="0"/>
      <w:divBdr>
        <w:top w:val="none" w:sz="0" w:space="0" w:color="auto"/>
        <w:left w:val="none" w:sz="0" w:space="0" w:color="auto"/>
        <w:bottom w:val="none" w:sz="0" w:space="0" w:color="auto"/>
        <w:right w:val="none" w:sz="0" w:space="0" w:color="auto"/>
      </w:divBdr>
    </w:div>
    <w:div w:id="2055809825">
      <w:bodyDiv w:val="1"/>
      <w:marLeft w:val="0"/>
      <w:marRight w:val="0"/>
      <w:marTop w:val="0"/>
      <w:marBottom w:val="0"/>
      <w:divBdr>
        <w:top w:val="none" w:sz="0" w:space="0" w:color="auto"/>
        <w:left w:val="none" w:sz="0" w:space="0" w:color="auto"/>
        <w:bottom w:val="none" w:sz="0" w:space="0" w:color="auto"/>
        <w:right w:val="none" w:sz="0" w:space="0" w:color="auto"/>
      </w:divBdr>
    </w:div>
    <w:div w:id="2059275952">
      <w:bodyDiv w:val="1"/>
      <w:marLeft w:val="0"/>
      <w:marRight w:val="0"/>
      <w:marTop w:val="0"/>
      <w:marBottom w:val="0"/>
      <w:divBdr>
        <w:top w:val="none" w:sz="0" w:space="0" w:color="auto"/>
        <w:left w:val="none" w:sz="0" w:space="0" w:color="auto"/>
        <w:bottom w:val="none" w:sz="0" w:space="0" w:color="auto"/>
        <w:right w:val="none" w:sz="0" w:space="0" w:color="auto"/>
      </w:divBdr>
    </w:div>
    <w:div w:id="2059812752">
      <w:bodyDiv w:val="1"/>
      <w:marLeft w:val="0"/>
      <w:marRight w:val="0"/>
      <w:marTop w:val="0"/>
      <w:marBottom w:val="0"/>
      <w:divBdr>
        <w:top w:val="none" w:sz="0" w:space="0" w:color="auto"/>
        <w:left w:val="none" w:sz="0" w:space="0" w:color="auto"/>
        <w:bottom w:val="none" w:sz="0" w:space="0" w:color="auto"/>
        <w:right w:val="none" w:sz="0" w:space="0" w:color="auto"/>
      </w:divBdr>
    </w:div>
    <w:div w:id="2062364360">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67603868">
      <w:bodyDiv w:val="1"/>
      <w:marLeft w:val="0"/>
      <w:marRight w:val="0"/>
      <w:marTop w:val="0"/>
      <w:marBottom w:val="0"/>
      <w:divBdr>
        <w:top w:val="none" w:sz="0" w:space="0" w:color="auto"/>
        <w:left w:val="none" w:sz="0" w:space="0" w:color="auto"/>
        <w:bottom w:val="none" w:sz="0" w:space="0" w:color="auto"/>
        <w:right w:val="none" w:sz="0" w:space="0" w:color="auto"/>
      </w:divBdr>
    </w:div>
    <w:div w:id="2075859610">
      <w:bodyDiv w:val="1"/>
      <w:marLeft w:val="0"/>
      <w:marRight w:val="0"/>
      <w:marTop w:val="0"/>
      <w:marBottom w:val="0"/>
      <w:divBdr>
        <w:top w:val="none" w:sz="0" w:space="0" w:color="auto"/>
        <w:left w:val="none" w:sz="0" w:space="0" w:color="auto"/>
        <w:bottom w:val="none" w:sz="0" w:space="0" w:color="auto"/>
        <w:right w:val="none" w:sz="0" w:space="0" w:color="auto"/>
      </w:divBdr>
    </w:div>
    <w:div w:id="2088454307">
      <w:bodyDiv w:val="1"/>
      <w:marLeft w:val="0"/>
      <w:marRight w:val="0"/>
      <w:marTop w:val="0"/>
      <w:marBottom w:val="0"/>
      <w:divBdr>
        <w:top w:val="none" w:sz="0" w:space="0" w:color="auto"/>
        <w:left w:val="none" w:sz="0" w:space="0" w:color="auto"/>
        <w:bottom w:val="none" w:sz="0" w:space="0" w:color="auto"/>
        <w:right w:val="none" w:sz="0" w:space="0" w:color="auto"/>
      </w:divBdr>
    </w:div>
    <w:div w:id="2101900983">
      <w:bodyDiv w:val="1"/>
      <w:marLeft w:val="0"/>
      <w:marRight w:val="0"/>
      <w:marTop w:val="0"/>
      <w:marBottom w:val="0"/>
      <w:divBdr>
        <w:top w:val="none" w:sz="0" w:space="0" w:color="auto"/>
        <w:left w:val="none" w:sz="0" w:space="0" w:color="auto"/>
        <w:bottom w:val="none" w:sz="0" w:space="0" w:color="auto"/>
        <w:right w:val="none" w:sz="0" w:space="0" w:color="auto"/>
      </w:divBdr>
    </w:div>
    <w:div w:id="2118019232">
      <w:bodyDiv w:val="1"/>
      <w:marLeft w:val="0"/>
      <w:marRight w:val="0"/>
      <w:marTop w:val="0"/>
      <w:marBottom w:val="0"/>
      <w:divBdr>
        <w:top w:val="none" w:sz="0" w:space="0" w:color="auto"/>
        <w:left w:val="none" w:sz="0" w:space="0" w:color="auto"/>
        <w:bottom w:val="none" w:sz="0" w:space="0" w:color="auto"/>
        <w:right w:val="none" w:sz="0" w:space="0" w:color="auto"/>
      </w:divBdr>
    </w:div>
    <w:div w:id="2118720025">
      <w:bodyDiv w:val="1"/>
      <w:marLeft w:val="0"/>
      <w:marRight w:val="0"/>
      <w:marTop w:val="0"/>
      <w:marBottom w:val="0"/>
      <w:divBdr>
        <w:top w:val="none" w:sz="0" w:space="0" w:color="auto"/>
        <w:left w:val="none" w:sz="0" w:space="0" w:color="auto"/>
        <w:bottom w:val="none" w:sz="0" w:space="0" w:color="auto"/>
        <w:right w:val="none" w:sz="0" w:space="0" w:color="auto"/>
      </w:divBdr>
    </w:div>
    <w:div w:id="213478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health5050.org/covid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882C-A627-45A1-B365-F9BD0408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135182</Words>
  <Characters>770543</Characters>
  <Application>Microsoft Office Word</Application>
  <DocSecurity>0</DocSecurity>
  <Lines>6421</Lines>
  <Paragraphs>1807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2022-08-01T09:08:00Z</dcterms:created>
  <dcterms:modified xsi:type="dcterms:W3CDTF">2022-08-01T09:08:00Z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0680fb00-2d6a-3d94-a90d-d6bef9368dbc</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http://www.zotero.org/styles/elsevier-harvard</vt:lpwstr>
  </property>
  <property fmtid="{D5CDD505-2E9C-101B-9397-08002B2CF9AE}" pid="12" name="Mendeley Recent Style Name 3_1">
    <vt:lpwstr>Elsevier - Harvard (with titles)</vt:lpwstr>
  </property>
  <property fmtid="{D5CDD505-2E9C-101B-9397-08002B2CF9AE}" pid="13" name="Mendeley Recent Style Id 4_1">
    <vt:lpwstr>http://www.zotero.org/styles/elsevier-harvard2</vt:lpwstr>
  </property>
  <property fmtid="{D5CDD505-2E9C-101B-9397-08002B2CF9AE}" pid="14" name="Mendeley Recent Style Name 4_1">
    <vt:lpwstr>Elsevier - Harvard 2</vt:lpwstr>
  </property>
  <property fmtid="{D5CDD505-2E9C-101B-9397-08002B2CF9AE}" pid="15" name="Mendeley Recent Style Id 5_1">
    <vt:lpwstr>http://www.zotero.org/styles/harvard-educational-review</vt:lpwstr>
  </property>
  <property fmtid="{D5CDD505-2E9C-101B-9397-08002B2CF9AE}" pid="16" name="Mendeley Recent Style Name 5_1">
    <vt:lpwstr>Harvard Educational Review</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