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660AA" w14:textId="77777777" w:rsidR="004A1D09" w:rsidRPr="00F47229" w:rsidRDefault="004A1D09" w:rsidP="004A1D09">
      <w:pPr>
        <w:pStyle w:val="Kop1"/>
      </w:pPr>
      <w:r w:rsidRPr="00F47229">
        <w:t>Extending the scope of a secondary prevention risk tool across Europe and beyond: the updated and geographically recalibrated SMART2 algorithm</w:t>
      </w:r>
    </w:p>
    <w:p w14:paraId="2490987B" w14:textId="751CFEA5" w:rsidR="004A1D09" w:rsidRDefault="004A1D09" w:rsidP="004A1D09"/>
    <w:p w14:paraId="746207C9" w14:textId="7215AC6A" w:rsidR="004A1D09" w:rsidRDefault="004A1D09" w:rsidP="004A1D09"/>
    <w:p w14:paraId="44844875" w14:textId="37C70CB7" w:rsidR="004A1D09" w:rsidRDefault="004A1D09" w:rsidP="004A1D09"/>
    <w:p w14:paraId="6A3F9F18" w14:textId="33FFFE7C" w:rsidR="004A1D09" w:rsidRDefault="004A1D09" w:rsidP="004A1D09"/>
    <w:p w14:paraId="7ED2A4D9" w14:textId="77777777" w:rsidR="004A1D09" w:rsidRDefault="004A1D09" w:rsidP="004A1D09"/>
    <w:p w14:paraId="198C3773" w14:textId="3501E3E5" w:rsidR="004A1D09" w:rsidRDefault="004A1D09" w:rsidP="004A1D09">
      <w:pPr>
        <w:pStyle w:val="Geenafstand"/>
      </w:pPr>
      <w:r>
        <w:t>Online Supplement</w:t>
      </w:r>
    </w:p>
    <w:p w14:paraId="67E61213" w14:textId="77777777" w:rsidR="004A1D09" w:rsidRDefault="004A1D09" w:rsidP="004A1D09"/>
    <w:p w14:paraId="72CFF523" w14:textId="77777777" w:rsidR="004A1D09" w:rsidRDefault="004A1D09">
      <w:pPr>
        <w:spacing w:after="200" w:line="276" w:lineRule="auto"/>
        <w:jc w:val="left"/>
        <w:rPr>
          <w:b/>
        </w:rPr>
      </w:pPr>
      <w:r>
        <w:br w:type="page"/>
      </w:r>
    </w:p>
    <w:p w14:paraId="733EDF7C" w14:textId="35395072" w:rsidR="00CE19B7" w:rsidRPr="004A1D09" w:rsidRDefault="00CE19B7" w:rsidP="004A1D09">
      <w:pPr>
        <w:pStyle w:val="Kop1"/>
      </w:pPr>
      <w:r w:rsidRPr="00F47229">
        <w:lastRenderedPageBreak/>
        <w:t xml:space="preserve">Supplementary </w:t>
      </w:r>
      <w:r w:rsidR="00D808DB" w:rsidRPr="00F47229">
        <w:t>M</w:t>
      </w:r>
      <w:r w:rsidRPr="00F47229">
        <w:t>ethods</w:t>
      </w:r>
    </w:p>
    <w:p w14:paraId="269A7CE0" w14:textId="259DFDDE" w:rsidR="001A7AB6" w:rsidRPr="00F47229" w:rsidRDefault="001A7AB6" w:rsidP="006B1A86">
      <w:pPr>
        <w:pStyle w:val="Kop2"/>
      </w:pPr>
      <w:r w:rsidRPr="00F47229">
        <w:t>External validation cohorts</w:t>
      </w:r>
    </w:p>
    <w:p w14:paraId="31F5F6D0" w14:textId="52B065EC" w:rsidR="00AF5BDF" w:rsidRDefault="001A7AB6" w:rsidP="008D58CE">
      <w:pPr>
        <w:jc w:val="left"/>
      </w:pPr>
      <w:r w:rsidRPr="00F47229">
        <w:t xml:space="preserve">In the international, prospective REACH </w:t>
      </w:r>
      <w:r w:rsidR="00C45CF4" w:rsidRPr="00F47229">
        <w:t>R</w:t>
      </w:r>
      <w:r w:rsidRPr="00F47229">
        <w:t xml:space="preserve">egistry, participants were enrolled between 2003 and 2004 from physician outpatient practices in several regions, including Western and Eastern Europe. Participants were followed for a maximum of 4 years for the occurrence of </w:t>
      </w:r>
      <w:r w:rsidR="00091818" w:rsidRPr="00F47229">
        <w:t>CVD</w:t>
      </w:r>
      <w:r w:rsidRPr="00F47229">
        <w:t xml:space="preserve"> e</w:t>
      </w:r>
      <w:r w:rsidR="00C45CF4" w:rsidRPr="00F47229">
        <w:t>vents and mortality. The REACH R</w:t>
      </w:r>
      <w:r w:rsidRPr="00F47229">
        <w:t>egistry was used before to assess geographical differences in the risk of recurrent cardiovascular disease.</w:t>
      </w:r>
      <w:r w:rsidRPr="00F47229">
        <w:fldChar w:fldCharType="begin" w:fldLock="1"/>
      </w:r>
      <w:r w:rsidR="00BC2FCB">
        <w:instrText>ADDIN CSL_CITATION {"citationItems":[{"id":"ITEM-1","itemData":{"DOI":"10.1002/clc.22721","ISSN":"0160-9289","PMID":"28520087","abstract":"Background: Patients with symptomatic peripheral artery disease (PAD) are at high risk of ischemic events. However, data about predictors of this risk are limited. Hypothesis: We analyzed baseline characteristics and 4-year follow-up of patients enrolled in the international REduction of Atherothrombosis for Continued Health (REACH) Registry with symptomatic PAD and no history of stroke/transient ischemic attack to describe annual rates of recurrent ischemic events globally and geographically. Methods: The primary outcome was systemic ischemic events (composite of cardiovascular death, myocardial infarction, or stroke) at 4 years. The secondary outcome was limb ischemic events (composite of lower limb amputation, peripheral bypass graft, and percutaneous intervention for PAD) at 2 years. Multivariate analysis identified risk factors associated with recurrent ischemic events. Results: The primary endpoint rate reached 4.7% during the first year and increased continuously (by 4%–5% each year) to 17.6% by year 4, driven mainly by cardiovascular mortality (11.1% at year 4). Japan experienced lower adjusted ischemic rates (P &lt; 0.01) vs North America. Renal impairment (P &lt; 0.01), congestive heart failure (P &lt; 0.01), history of diabetes (P &lt; 0.01), history of myocardial infarction (P = 0.01), vascular disease (single or poly, P &lt; 0.01), and older age (P &lt; 0.01) were associated with increased risk of systemic ischemic events, whereas statin use was associated with lower risk (P = 0.03). The limb ischemic event rate was 5.7% at 2 years. Conclusions: Four-year systemic ischemic risk in patients with PAD and no history of stroke or transient ischemic attack remains high, and was mainly driven by cardiovascular mortality.","author":[{"dropping-particle":"","family":"Abtan","given":"Jérémie","non-dropping-particle":"","parse-names":false,"suffix":""},{"dropping-particle":"","family":"Bhatt","given":"Deepak L.","non-dropping-particle":"","parse-names":false,"suffix":""},{"dropping-particle":"","family":"Elbez","given":"Yedid","non-dropping-particle":"","parse-names":false,"suffix":""},{"dropping-particle":"","family":"Sorbets","given":"Emmanuel","non-dropping-particle":"","parse-names":false,"suffix":""},{"dropping-particle":"","family":"Eagle","given":"Kim","non-dropping-particle":"","parse-names":false,"suffix":""},{"dropping-particle":"","family":"Reid","given":"Christopher M.","non-dropping-particle":"","parse-names":false,"suffix":""},{"dropping-particle":"","family":"Baumgartner","given":"Iris","non-dropping-particle":"","parse-names":false,"suffix":""},{"dropping-particle":"","family":"Wu","given":"David","non-dropping-particle":"","parse-names":false,"suffix":""},{"dropping-particle":"","family":"Hanson","given":"Mary E.","non-dropping-particle":"","parse-names":false,"suffix":""},{"dropping-particle":"","family":"Hannachi","given":"Hakima","non-dropping-particle":"","parse-names":false,"suffix":""},{"dropping-particle":"","family":"Singhal","given":"Puneet K.","non-dropping-particle":"","parse-names":false,"suffix":""},{"dropping-particle":"","family":"Steg","given":"Philippe Gabriel","non-dropping-particle":"","parse-names":false,"suffix":""},{"dropping-particle":"","family":"Ducrocq","given":"Gregory","non-dropping-particle":"","parse-names":false,"suffix":""}],"container-title":"Clinical Cardiology","id":"ITEM-1","issue":"9","issued":{"date-parts":[["2017","9","18"]]},"page":"710-718","title":"Geographic variation and risk factors for systemic and limb ischemic events in patients with symptomatic peripheral artery disease: Insights from the &lt;scp&gt;REACH&lt;/scp&gt; Registry","type":"article-journal","volume":"40"},"uris":["http://www.mendeley.com/documents/?uuid=b1d8476f-ab15-4ec4-bed3-848bb04bf13c"]}],"mendeley":{"formattedCitation":"&lt;sup&gt;1&lt;/sup&gt;","plainTextFormattedCitation":"1","previouslyFormattedCitation":"&lt;sup&gt;34&lt;/sup&gt;"},"properties":{"noteIndex":0},"schema":"https://github.com/citation-style-language/schema/raw/master/csl-citation.json"}</w:instrText>
      </w:r>
      <w:r w:rsidRPr="00F47229">
        <w:fldChar w:fldCharType="separate"/>
      </w:r>
      <w:r w:rsidR="00BC2FCB" w:rsidRPr="00BC2FCB">
        <w:rPr>
          <w:noProof/>
          <w:vertAlign w:val="superscript"/>
        </w:rPr>
        <w:t>1</w:t>
      </w:r>
      <w:r w:rsidRPr="00F47229">
        <w:fldChar w:fldCharType="end"/>
      </w:r>
      <w:r w:rsidRPr="00F47229">
        <w:t xml:space="preserve"> </w:t>
      </w:r>
      <w:r w:rsidR="003E4A16" w:rsidRPr="00F47229">
        <w:t xml:space="preserve">For European regions, the countries were reclassified to the risk regions as used for the SCORE2 project based on standardized CVD mortality rates. Asian and Middle Eastern REACH regions were </w:t>
      </w:r>
      <w:r w:rsidR="00802523" w:rsidRPr="00F47229">
        <w:t>merged</w:t>
      </w:r>
      <w:r w:rsidR="003E4A16" w:rsidRPr="00F47229">
        <w:t xml:space="preserve"> as the number of included Middle Eastern individuals was low and the rates for Asia and </w:t>
      </w:r>
      <w:r w:rsidR="00802523" w:rsidRPr="00F47229">
        <w:t xml:space="preserve">the </w:t>
      </w:r>
      <w:r w:rsidR="003E4A16" w:rsidRPr="00F47229">
        <w:t>Mi</w:t>
      </w:r>
      <w:r w:rsidR="00AF5BDF">
        <w:t>ddle East were very comparable.</w:t>
      </w:r>
    </w:p>
    <w:p w14:paraId="5443033F" w14:textId="0DC580FC" w:rsidR="00AF5BDF" w:rsidRDefault="00AF5BDF" w:rsidP="008D58CE">
      <w:pPr>
        <w:jc w:val="left"/>
      </w:pPr>
      <w:r w:rsidRPr="00F47229">
        <w:t>Bialystok PLUS/Polaspire included patients in 2016–2018 who were previously hospitalized for acute coronary event or elective percutaneous revascularisation procedure and were followed for a median time of 3 years. Patients were included in the study 12-18 months after the coronary event. Follow-up was performed through return visits at 1 and 3 years after baseline or by linkage to national mortality registers.</w:t>
      </w:r>
    </w:p>
    <w:p w14:paraId="73EE51AE" w14:textId="3E4BF090" w:rsidR="00AF5BDF" w:rsidRDefault="001A7AB6" w:rsidP="008D58CE">
      <w:pPr>
        <w:jc w:val="left"/>
      </w:pPr>
      <w:r w:rsidRPr="00F47229">
        <w:t xml:space="preserve">The Estonian </w:t>
      </w:r>
      <w:r w:rsidR="00C94F4C" w:rsidRPr="00F47229">
        <w:t>B</w:t>
      </w:r>
      <w:r w:rsidRPr="00F47229">
        <w:t xml:space="preserve">iobank is a population-based study from the Estonian Genome Center at the University of Tartu. From this </w:t>
      </w:r>
      <w:r w:rsidR="00C94F4C" w:rsidRPr="00F47229">
        <w:t>B</w:t>
      </w:r>
      <w:r w:rsidRPr="00F47229">
        <w:t>iobank, al</w:t>
      </w:r>
      <w:r w:rsidR="00802523" w:rsidRPr="00F47229">
        <w:t xml:space="preserve">l patients were included with </w:t>
      </w:r>
      <w:r w:rsidR="000A1F31" w:rsidRPr="00F47229">
        <w:t>established ASCVD</w:t>
      </w:r>
      <w:r w:rsidRPr="00F47229">
        <w:t xml:space="preserve"> prior to inclusion. </w:t>
      </w:r>
      <w:r w:rsidR="00AF5BDF" w:rsidRPr="00AF5BDF">
        <w:t>All biobank participants have signed a broad informed consent form and the study was carried out under ethical approval 1.1-12/624 from the Estonian Committee on Bioethics and Human Research (Estonian Ministry of Social Affairs) and data release N05 from the EstBB. Data analyzes in Estonian dataset were carried out in part in the High-Performance Computing Center of University of Tartu.</w:t>
      </w:r>
    </w:p>
    <w:p w14:paraId="5ABB480D" w14:textId="77777777" w:rsidR="00AF5BDF" w:rsidRDefault="001A7AB6" w:rsidP="008D58CE">
      <w:pPr>
        <w:jc w:val="left"/>
      </w:pPr>
      <w:r w:rsidRPr="00F47229">
        <w:t>In BACS/BAMI, patients were included when admitted at four hospitals in the area of Madrid with either non-ST elevation acute coronary syndrome or ST elevation myocardial infarction between 2006 and 2010.</w:t>
      </w:r>
      <w:r w:rsidR="001469A5" w:rsidRPr="00F47229">
        <w:t xml:space="preserve"> Follow-up for the current study started at this first follow-up visit, 6-12 months after inclusion event</w:t>
      </w:r>
      <w:r w:rsidR="00F10B65" w:rsidRPr="00F47229">
        <w:t>s</w:t>
      </w:r>
      <w:r w:rsidR="001469A5" w:rsidRPr="00F47229">
        <w:t>.</w:t>
      </w:r>
    </w:p>
    <w:p w14:paraId="692282D3" w14:textId="77777777" w:rsidR="00AF5BDF" w:rsidRDefault="000E2DB0" w:rsidP="008D58CE">
      <w:pPr>
        <w:jc w:val="left"/>
      </w:pPr>
      <w:r w:rsidRPr="00F47229">
        <w:t>S</w:t>
      </w:r>
      <w:r w:rsidRPr="00F47229">
        <w:rPr>
          <w:rFonts w:eastAsia="Times New Roman"/>
          <w:color w:val="000000"/>
          <w:lang w:eastAsia="sv-SE"/>
        </w:rPr>
        <w:t xml:space="preserve">WEDEHEART is a large Swedish nationwide myocardial infarction quality registry </w:t>
      </w:r>
      <w:r w:rsidR="00D32736" w:rsidRPr="00F47229">
        <w:rPr>
          <w:rFonts w:eastAsia="Times New Roman"/>
          <w:color w:val="000000"/>
          <w:lang w:eastAsia="sv-SE"/>
        </w:rPr>
        <w:t>including all patients treated at coronary care units in Sweden</w:t>
      </w:r>
      <w:r w:rsidR="00F10B65" w:rsidRPr="00F47229">
        <w:rPr>
          <w:rFonts w:eastAsia="Times New Roman"/>
          <w:color w:val="000000"/>
          <w:lang w:eastAsia="sv-SE"/>
        </w:rPr>
        <w:t>,</w:t>
      </w:r>
      <w:r w:rsidR="00D32736" w:rsidRPr="00F47229">
        <w:rPr>
          <w:rFonts w:eastAsia="Times New Roman"/>
          <w:color w:val="000000"/>
          <w:lang w:eastAsia="sv-SE"/>
        </w:rPr>
        <w:t xml:space="preserve"> as well as data on all patients </w:t>
      </w:r>
      <w:r w:rsidR="001A7AB6" w:rsidRPr="00F47229">
        <w:t xml:space="preserve">undergoing coronary </w:t>
      </w:r>
      <w:r w:rsidR="00766B87" w:rsidRPr="00F47229">
        <w:lastRenderedPageBreak/>
        <w:t>revascularization (</w:t>
      </w:r>
      <w:r w:rsidR="001A7AB6" w:rsidRPr="00F47229">
        <w:t xml:space="preserve">angiography/angioplasty </w:t>
      </w:r>
      <w:r w:rsidR="00766B87" w:rsidRPr="00F47229">
        <w:t>and coronary bypass grafting)</w:t>
      </w:r>
      <w:r w:rsidR="001A7AB6" w:rsidRPr="00F47229">
        <w:t>. Follow-up information was obtained by linkage to national registries.</w:t>
      </w:r>
      <w:r w:rsidR="00030444" w:rsidRPr="00F47229">
        <w:t xml:space="preserve"> For the current study</w:t>
      </w:r>
      <w:r w:rsidR="001A0469" w:rsidRPr="00F47229">
        <w:t>, all individuals with myocardial were included</w:t>
      </w:r>
      <w:r w:rsidR="008736AD" w:rsidRPr="00F47229">
        <w:t xml:space="preserve"> who had their follow-up visit between 31/01/2005 and 31/12/2016</w:t>
      </w:r>
      <w:r w:rsidR="001A0469" w:rsidRPr="00F47229">
        <w:t>. R</w:t>
      </w:r>
      <w:r w:rsidR="00030444" w:rsidRPr="00F47229">
        <w:t xml:space="preserve">isk factor measurements were used from the follow-up visit 6-10 weeks after </w:t>
      </w:r>
      <w:r w:rsidR="001A0469" w:rsidRPr="00F47229">
        <w:t>this</w:t>
      </w:r>
      <w:r w:rsidR="00030444" w:rsidRPr="00F47229">
        <w:t xml:space="preserve"> event – f</w:t>
      </w:r>
      <w:r w:rsidR="00AF5BDF">
        <w:t>ollow-up started at this point.</w:t>
      </w:r>
    </w:p>
    <w:p w14:paraId="314C173B" w14:textId="77777777" w:rsidR="00AF5BDF" w:rsidRDefault="008D58CE" w:rsidP="008D58CE">
      <w:pPr>
        <w:jc w:val="left"/>
      </w:pPr>
      <w:r w:rsidRPr="00F47229">
        <w:t>Nor-COAST is a</w:t>
      </w:r>
      <w:r w:rsidR="00F10B65" w:rsidRPr="00F47229">
        <w:t xml:space="preserve"> </w:t>
      </w:r>
      <w:r w:rsidRPr="00F47229">
        <w:t>multicentre (</w:t>
      </w:r>
      <w:r w:rsidR="00802523" w:rsidRPr="00F47229">
        <w:t>5</w:t>
      </w:r>
      <w:r w:rsidRPr="00F47229">
        <w:t xml:space="preserve"> centres, all in Norway), prospective, cohort study, consecutively including patients with acute stroke between 2015 and 2017. Patients have follow-up visits at 3 and 18 months, and at 3 years. Patients with ischemic stroke were included from 3 months post</w:t>
      </w:r>
      <w:r w:rsidR="00F10B65" w:rsidRPr="00F47229">
        <w:t>-</w:t>
      </w:r>
      <w:r w:rsidRPr="00F47229">
        <w:t>stroke – at which point follow-up started for the current study. Follow-up information was obtained by linkage to national registries for cardiovascular disease and mortality.</w:t>
      </w:r>
    </w:p>
    <w:p w14:paraId="5D8054DE" w14:textId="669305A2" w:rsidR="001A7AB6" w:rsidRPr="00F47229" w:rsidRDefault="005D6B72" w:rsidP="008D58CE">
      <w:pPr>
        <w:jc w:val="left"/>
      </w:pPr>
      <w:r w:rsidRPr="005D6B72">
        <w:t>The Clinical Practice Research Datalink (CPRD) GOLD database is a UK repository containing longitudinal individual primary care patient data collected from 1987 onwards. Over time, 966 primary care centres have contributed data for &gt;20 million patients, with 407 practices actively contributing data for &gt;3 million patients currently. The age, sex and ethnicity distributions of the patient sample broadly reflect those of the general UK population, and linked Hospital Episode Statistics hospital admissions data from English hospitals and Office for National Statistics mortality data, are available. The primary care data are collected during routine general practice activities. The bulk of UK cardiovascular disease prevention work is undertaken in primary care, and (as for other common medical conditions) general practitioners are incentivised to use standard coding procedures to record this activity. The database has previously been used in both derivation and validation of cardiovascular risk prediction tools. For the current study, individuals were eligible to enter the cohort from January</w:t>
      </w:r>
      <w:r w:rsidR="00343AF4">
        <w:t xml:space="preserve"> </w:t>
      </w:r>
      <w:r w:rsidR="00343AF4" w:rsidRPr="005D6B72">
        <w:t>1</w:t>
      </w:r>
      <w:r w:rsidR="00343AF4" w:rsidRPr="00343AF4">
        <w:rPr>
          <w:vertAlign w:val="superscript"/>
        </w:rPr>
        <w:t>st</w:t>
      </w:r>
      <w:r w:rsidRPr="005D6B72">
        <w:t xml:space="preserve"> 2000 onwards, once they had been registered with the relevant general practice for at least one year (to allow routine reporting to be established), were aged &gt;40 (and &lt;80) years, and were at least six months post their first record of an ASCVD diagnosis</w:t>
      </w:r>
      <w:r>
        <w:t>.</w:t>
      </w:r>
    </w:p>
    <w:p w14:paraId="7E8E0FE8" w14:textId="130CBF1D" w:rsidR="001A7AB6" w:rsidRPr="00F47229" w:rsidRDefault="001A7AB6" w:rsidP="006B1A86"/>
    <w:p w14:paraId="6B0C6A23" w14:textId="1FD368A5" w:rsidR="006764B3" w:rsidRPr="00F47229" w:rsidRDefault="006764B3" w:rsidP="006B1A86">
      <w:pPr>
        <w:pStyle w:val="Kop2"/>
      </w:pPr>
      <w:r w:rsidRPr="00F47229">
        <w:t>Recalibration regions</w:t>
      </w:r>
    </w:p>
    <w:p w14:paraId="020EC325" w14:textId="607F36E4" w:rsidR="001A7AB6" w:rsidRPr="00F47229" w:rsidRDefault="00D94B72" w:rsidP="006B1A86">
      <w:r w:rsidRPr="00F47229">
        <w:lastRenderedPageBreak/>
        <w:t>European</w:t>
      </w:r>
      <w:r w:rsidR="006764B3" w:rsidRPr="00F47229">
        <w:t xml:space="preserve"> regions were grouped on the most recent</w:t>
      </w:r>
      <w:r w:rsidR="00802523" w:rsidRPr="00F47229">
        <w:t>ly available (assessed July 2020)</w:t>
      </w:r>
      <w:r w:rsidR="006764B3" w:rsidRPr="00F47229">
        <w:t xml:space="preserve"> age- and sex-standardized overall cardiovascular mortality rates per 100,000 (ICD chapters 9, I00-I99, </w:t>
      </w:r>
      <w:r w:rsidR="00D808DB" w:rsidRPr="00F47229">
        <w:t>S</w:t>
      </w:r>
      <w:r w:rsidR="006764B3" w:rsidRPr="00F47229">
        <w:t xml:space="preserve">upplementary </w:t>
      </w:r>
      <w:r w:rsidR="00D808DB" w:rsidRPr="00F47229">
        <w:t>F</w:t>
      </w:r>
      <w:r w:rsidR="006764B3" w:rsidRPr="00F47229">
        <w:t>igure 1)</w:t>
      </w:r>
      <w:r w:rsidR="006764B3" w:rsidRPr="00F47229">
        <w:fldChar w:fldCharType="begin" w:fldLock="1"/>
      </w:r>
      <w:r w:rsidR="00BC2FCB">
        <w:instrText>ADDIN CSL_CITATION {"citationItems":[{"id":"ITEM-1","itemData":{"URL":"https://apps.who.int/healthinfo/statistics/mortality/whodpms/","abstract":"Grouping: ASDR per 100 000 - Total deaths, ICD chapter 9 (Diseases of the circulatory system), both sexes Recalibration: All mortality included in SCORE endpoint","accessed":{"date-parts":[["2020","5","7"]]},"author":[{"dropping-particle":"","family":"World Health Organization","given":"","non-dropping-particle":"","parse-names":false,"suffix":""}],"id":"ITEM-1","issued":{"date-parts":[["0"]]},"title":"WHO Mortality Database","type":"webpage"},"uris":["http://www.mendeley.com/documents/?uuid=75f43cc6-f4d4-4609-95ea-d8fbebf0858a"]}],"mendeley":{"formattedCitation":"&lt;sup&gt;2&lt;/sup&gt;","plainTextFormattedCitation":"2","previouslyFormattedCitation":"&lt;sup&gt;35&lt;/sup&gt;"},"properties":{"noteIndex":0},"schema":"https://github.com/citation-style-language/schema/raw/master/csl-citation.json"}</w:instrText>
      </w:r>
      <w:r w:rsidR="006764B3" w:rsidRPr="00F47229">
        <w:fldChar w:fldCharType="separate"/>
      </w:r>
      <w:r w:rsidR="00BC2FCB" w:rsidRPr="00BC2FCB">
        <w:rPr>
          <w:noProof/>
          <w:vertAlign w:val="superscript"/>
        </w:rPr>
        <w:t>2</w:t>
      </w:r>
      <w:r w:rsidR="006764B3" w:rsidRPr="00F47229">
        <w:fldChar w:fldCharType="end"/>
      </w:r>
      <w:r w:rsidR="006764B3" w:rsidRPr="00F47229">
        <w:t xml:space="preserve"> as follows: low risk (≤100 CVD deaths per 100,000), moderate risk (</w:t>
      </w:r>
      <w:r w:rsidR="007232B4" w:rsidRPr="00F47229">
        <w:t>&gt;</w:t>
      </w:r>
      <w:r w:rsidR="006764B3" w:rsidRPr="00F47229">
        <w:t>100-150 CVD deaths per 100,000), high risk (</w:t>
      </w:r>
      <w:r w:rsidR="007232B4" w:rsidRPr="00F47229">
        <w:t>&gt;</w:t>
      </w:r>
      <w:r w:rsidR="006764B3" w:rsidRPr="00F47229">
        <w:t>150-300 CVD deaths per 100,000), and very high risk (&gt;300 CVD deaths per 100,000).</w:t>
      </w:r>
      <w:r w:rsidR="00CD7FE2" w:rsidRPr="00F47229">
        <w:t xml:space="preserve"> These rates were obtained from the WHO CVD mortality database</w:t>
      </w:r>
      <w:r w:rsidR="00CD7FE2" w:rsidRPr="00F47229">
        <w:fldChar w:fldCharType="begin" w:fldLock="1"/>
      </w:r>
      <w:r w:rsidR="00BC2FCB">
        <w:instrText>ADDIN CSL_CITATION {"citationItems":[{"id":"ITEM-1","itemData":{"URL":"https://apps.who.int/healthinfo/statistics/mortality/whodpms/","abstract":"Grouping: ASDR per 100 000 - Total deaths, ICD chapter 9 (Diseases of the circulatory system), both sexes Recalibration: All mortality included in SCORE endpoint","accessed":{"date-parts":[["2020","5","7"]]},"author":[{"dropping-particle":"","family":"World Health Organization","given":"","non-dropping-particle":"","parse-names":false,"suffix":""}],"id":"ITEM-1","issued":{"date-parts":[["0"]]},"title":"WHO Mortality Database","type":"webpage"},"uris":["http://www.mendeley.com/documents/?uuid=75f43cc6-f4d4-4609-95ea-d8fbebf0858a"]}],"mendeley":{"formattedCitation":"&lt;sup&gt;2&lt;/sup&gt;","plainTextFormattedCitation":"2","previouslyFormattedCitation":"&lt;sup&gt;35&lt;/sup&gt;"},"properties":{"noteIndex":0},"schema":"https://github.com/citation-style-language/schema/raw/master/csl-citation.json"}</w:instrText>
      </w:r>
      <w:r w:rsidR="00CD7FE2" w:rsidRPr="00F47229">
        <w:fldChar w:fldCharType="separate"/>
      </w:r>
      <w:r w:rsidR="00BC2FCB" w:rsidRPr="00BC2FCB">
        <w:rPr>
          <w:noProof/>
          <w:vertAlign w:val="superscript"/>
        </w:rPr>
        <w:t>2</w:t>
      </w:r>
      <w:r w:rsidR="00CD7FE2" w:rsidRPr="00F47229">
        <w:fldChar w:fldCharType="end"/>
      </w:r>
      <w:r w:rsidR="00CD7FE2" w:rsidRPr="00F47229">
        <w:t xml:space="preserve"> to which they were provided by all individual countries.</w:t>
      </w:r>
    </w:p>
    <w:p w14:paraId="52A76626" w14:textId="369CAC46" w:rsidR="000E56F6" w:rsidRPr="00F47229" w:rsidRDefault="000E56F6" w:rsidP="006B1A86"/>
    <w:p w14:paraId="09A60367" w14:textId="0B611C70" w:rsidR="00CE19B7" w:rsidRPr="00F47229" w:rsidRDefault="00CE19B7" w:rsidP="006B1A86">
      <w:pPr>
        <w:pStyle w:val="Kop2"/>
      </w:pPr>
      <w:r w:rsidRPr="00F47229">
        <w:t>Missing data</w:t>
      </w:r>
    </w:p>
    <w:p w14:paraId="4430BA9C" w14:textId="1AFFFE85" w:rsidR="002D7D6E" w:rsidRPr="00F47229" w:rsidRDefault="002D7D6E" w:rsidP="002D7D6E">
      <w:r w:rsidRPr="00F47229">
        <w:t>Because complete case analysis may lead to loss of statistical power and possible bias,</w:t>
      </w:r>
      <w:r w:rsidRPr="00F47229">
        <w:fldChar w:fldCharType="begin" w:fldLock="1"/>
      </w:r>
      <w:r w:rsidR="00BC2FCB">
        <w:instrText>ADDIN CSL_CITATION {"citationItems":[{"id":"ITEM-1","itemData":{"DOI":"10.1016/j.jclinepi.2006.01.014","ISSN":"08954356","abstract":"In most situations, simple techniques for handling missing data (such as complete case analysis, overall mean imputation, and the missing-indicator method) produce biased results, whereas imputation techniques yield valid results without complicating the analysis once the imputations are carried out. Imputation techniques are based on the idea that any subject in a study sample can be replaced by a new randomly chosen subject from the same source population. Imputation of missing data on a variable is replacing that missing by a value that is drawn from an estimate of the distribution of this variable. In single imputation, only one estimate is used. In multiple imputation, various estimates are used, reflecting the uncertainty in the estimation of this distribution. Under the general conditions of so-called missing at random and missing completely at random, both single and multiple imputations result in unbiased estimates of study associations. But single imputation results in too small estimated standard errors, whereas multiple imputation results in correctly estimated standard errors and confidence intervals. In this article we explain why all this is the case, and use a simple simulation study to demonstrate our explanations. We also explain and illustrate why two frequently used methods to handle missing data, i.e., overall mean imputation and the missing-indicator method, almost always result in biased estimates. © 2006 Elsevier Inc. All rights reserved.","author":[{"dropping-particle":"","family":"Donders","given":"A. Rogier T.","non-dropping-particle":"","parse-names":false,"suffix":""},{"dropping-particle":"","family":"Heijden","given":"Geert J.M.G.","non-dropping-particle":"van der","parse-names":false,"suffix":""},{"dropping-particle":"","family":"Stijnen","given":"Theo","non-dropping-particle":"","parse-names":false,"suffix":""},{"dropping-particle":"","family":"Moons","given":"Karel G.M.","non-dropping-particle":"","parse-names":false,"suffix":""}],"container-title":"Journal of Clinical Epidemiology","id":"ITEM-1","issue":"10","issued":{"date-parts":[["2006","10"]]},"page":"1087-1091","title":"Review: A gentle introduction to imputation of missing values","type":"article-journal","volume":"59"},"uris":["http://www.mendeley.com/documents/?uuid=092222b1-130c-4d8a-a17f-deed38504863"]}],"mendeley":{"formattedCitation":"&lt;sup&gt;3&lt;/sup&gt;","plainTextFormattedCitation":"3","previouslyFormattedCitation":"&lt;sup&gt;36&lt;/sup&gt;"},"properties":{"noteIndex":0},"schema":"https://github.com/citation-style-language/schema/raw/master/csl-citation.json"}</w:instrText>
      </w:r>
      <w:r w:rsidRPr="00F47229">
        <w:fldChar w:fldCharType="separate"/>
      </w:r>
      <w:r w:rsidR="00BC2FCB" w:rsidRPr="00BC2FCB">
        <w:rPr>
          <w:noProof/>
          <w:vertAlign w:val="superscript"/>
        </w:rPr>
        <w:t>3</w:t>
      </w:r>
      <w:r w:rsidRPr="00F47229">
        <w:fldChar w:fldCharType="end"/>
      </w:r>
      <w:r w:rsidRPr="00F47229">
        <w:t xml:space="preserve"> values of the following variables in the derivation data were imputed by single regression imputation</w:t>
      </w:r>
      <w:r w:rsidR="00802523" w:rsidRPr="00F47229">
        <w:t xml:space="preserve"> using predictive mean matching</w:t>
      </w:r>
      <w:r w:rsidRPr="00F47229">
        <w:t>: smoking status (n=32, 0.4%), creatinin</w:t>
      </w:r>
      <w:r w:rsidR="0038492D" w:rsidRPr="00F47229">
        <w:t>e</w:t>
      </w:r>
      <w:r w:rsidRPr="00F47229">
        <w:t xml:space="preserve"> (n=31, 0.3%), </w:t>
      </w:r>
      <w:r w:rsidR="007232B4" w:rsidRPr="00F47229">
        <w:t>hs</w:t>
      </w:r>
      <w:r w:rsidRPr="00F47229">
        <w:t xml:space="preserve">CRP (n=250, 3.2%), SBP (n=18, 0.2%), </w:t>
      </w:r>
      <w:r w:rsidR="008C7FA3" w:rsidRPr="00F47229">
        <w:t>H</w:t>
      </w:r>
      <w:r w:rsidR="00FF3F21" w:rsidRPr="00F47229">
        <w:t>DL-c</w:t>
      </w:r>
      <w:r w:rsidR="000745CC" w:rsidRPr="00F47229">
        <w:t xml:space="preserve"> </w:t>
      </w:r>
      <w:r w:rsidRPr="00F47229">
        <w:t>(n=80, 1.0%)</w:t>
      </w:r>
      <w:r w:rsidR="00FA1E54" w:rsidRPr="00F47229">
        <w:t>,</w:t>
      </w:r>
      <w:r w:rsidRPr="00F47229">
        <w:t xml:space="preserve"> </w:t>
      </w:r>
      <w:r w:rsidR="00FA1E54" w:rsidRPr="00F47229">
        <w:t xml:space="preserve">and </w:t>
      </w:r>
      <w:r w:rsidRPr="00F47229">
        <w:t xml:space="preserve">total cholesterol (n=34, 0.4%). </w:t>
      </w:r>
    </w:p>
    <w:p w14:paraId="2E5685D0" w14:textId="6C1AD143" w:rsidR="000E56F6" w:rsidRPr="00F47229" w:rsidRDefault="00E73812" w:rsidP="002D7D6E">
      <w:r w:rsidRPr="00F47229">
        <w:t xml:space="preserve">Different approaches were used for sporadically and systematically missing data. Ideally, </w:t>
      </w:r>
      <w:r w:rsidR="001A7AB6" w:rsidRPr="00F47229">
        <w:t>s</w:t>
      </w:r>
      <w:r w:rsidR="00CE19B7" w:rsidRPr="00F47229">
        <w:t xml:space="preserve">ystematically missing variables were handled using multilevel multiple imputation </w:t>
      </w:r>
      <w:r w:rsidR="007232B4" w:rsidRPr="00F47229">
        <w:t xml:space="preserve">with </w:t>
      </w:r>
      <w:r w:rsidR="00CE19B7" w:rsidRPr="00F47229">
        <w:t xml:space="preserve">fully conditional specification </w:t>
      </w:r>
      <w:r w:rsidR="007232B4" w:rsidRPr="00F47229">
        <w:t>via</w:t>
      </w:r>
      <w:r w:rsidR="00CE19B7" w:rsidRPr="00F47229">
        <w:t xml:space="preserve"> the </w:t>
      </w:r>
      <w:r w:rsidR="008D58CE" w:rsidRPr="00F47229">
        <w:t>mitml</w:t>
      </w:r>
      <w:r w:rsidR="00CE19B7" w:rsidRPr="00F47229">
        <w:t>-impute package in R (5 imputed datasets)</w:t>
      </w:r>
      <w:r w:rsidR="00F10B65" w:rsidRPr="00F47229">
        <w:t>.</w:t>
      </w:r>
      <w:r w:rsidRPr="00F47229">
        <w:t xml:space="preserve"> </w:t>
      </w:r>
      <w:r w:rsidR="00F10B65" w:rsidRPr="00F47229">
        <w:t>However</w:t>
      </w:r>
      <w:r w:rsidRPr="00F47229">
        <w:t>, as this required the data being transferred to be combined with the other datasets, this was only poss</w:t>
      </w:r>
      <w:r w:rsidR="00C45CF4" w:rsidRPr="00F47229">
        <w:t>ible for the REACH R</w:t>
      </w:r>
      <w:r w:rsidR="00B84E57" w:rsidRPr="00F47229">
        <w:t>egistry (HDL-c</w:t>
      </w:r>
      <w:r w:rsidRPr="00F47229">
        <w:t xml:space="preserve">, </w:t>
      </w:r>
      <w:r w:rsidR="005D6091" w:rsidRPr="00F47229">
        <w:t>hs</w:t>
      </w:r>
      <w:r w:rsidRPr="00F47229">
        <w:t>CRP, years since first CVD diagnosis)</w:t>
      </w:r>
      <w:r w:rsidR="00CE19B7" w:rsidRPr="00F47229">
        <w:t>.</w:t>
      </w:r>
      <w:r w:rsidRPr="00F47229">
        <w:t xml:space="preserve"> For systematically missing data in other cohorts (</w:t>
      </w:r>
      <w:r w:rsidR="00A30301" w:rsidRPr="00F47229">
        <w:t>Nor-COAST</w:t>
      </w:r>
      <w:r w:rsidRPr="00F47229">
        <w:t>: AAA) the mean of this variable in the derivation data was used</w:t>
      </w:r>
      <w:r w:rsidR="0064098A" w:rsidRPr="00F47229">
        <w:t>, or with systematically missing aspirin treatment data (Estonian Biobank, CPRD) it was assumed all individuals used aspirin or equivalent treatment.</w:t>
      </w:r>
      <w:r w:rsidRPr="00F47229">
        <w:t xml:space="preserve"> Whereas this approach may lead to biased results in studies assessing variable associations, the effect on </w:t>
      </w:r>
      <w:r w:rsidR="00A82A78" w:rsidRPr="00F47229">
        <w:t>goodness-of-fit is limited (assuming roughly similar prevalence of systematic missing risk factors</w:t>
      </w:r>
      <w:r w:rsidR="000A1F31" w:rsidRPr="00F47229">
        <w:t xml:space="preserve"> in derivation and validation data</w:t>
      </w:r>
      <w:r w:rsidR="00A82A78" w:rsidRPr="00F47229">
        <w:t>)</w:t>
      </w:r>
      <w:r w:rsidR="00CD32D7" w:rsidRPr="00F47229">
        <w:t>,</w:t>
      </w:r>
      <w:r w:rsidR="00A82A78" w:rsidRPr="00F47229">
        <w:t xml:space="preserve"> and the approach should lead to a conservative estimate of the C-statistic (as not all model parameters are available for risk stratificat</w:t>
      </w:r>
      <w:r w:rsidR="00802523" w:rsidRPr="00F47229">
        <w:t>ion, discrimination decreases).</w:t>
      </w:r>
      <w:r w:rsidR="00FA1371" w:rsidRPr="00F47229">
        <w:t xml:space="preserve"> </w:t>
      </w:r>
      <w:r w:rsidR="002D7D6E" w:rsidRPr="00F47229">
        <w:t>In cohorts with only s</w:t>
      </w:r>
      <w:r w:rsidR="00FA1371" w:rsidRPr="00F47229">
        <w:t xml:space="preserve">poradically missing </w:t>
      </w:r>
      <w:r w:rsidR="002D7D6E" w:rsidRPr="00F47229">
        <w:t xml:space="preserve">data, </w:t>
      </w:r>
      <w:r w:rsidR="00802523" w:rsidRPr="00F47229">
        <w:t xml:space="preserve">these were imputed as in the derivation process using single imputation based on predictive mean matching </w:t>
      </w:r>
      <w:r w:rsidR="00FA1371" w:rsidRPr="00F47229">
        <w:t xml:space="preserve">(R-package </w:t>
      </w:r>
      <w:r w:rsidR="00FA1E54" w:rsidRPr="00F47229">
        <w:t>aregImpute</w:t>
      </w:r>
      <w:r w:rsidR="00FA1371" w:rsidRPr="00F47229">
        <w:t>).</w:t>
      </w:r>
    </w:p>
    <w:p w14:paraId="5C3D8EB0" w14:textId="77777777" w:rsidR="000E56F6" w:rsidRPr="00F47229" w:rsidRDefault="000E56F6" w:rsidP="002D7D6E"/>
    <w:p w14:paraId="53FFED99" w14:textId="77777777" w:rsidR="000E56F6" w:rsidRPr="00F47229" w:rsidRDefault="000E56F6" w:rsidP="000A1F31">
      <w:pPr>
        <w:pStyle w:val="Kop2"/>
      </w:pPr>
      <w:r w:rsidRPr="00F47229">
        <w:lastRenderedPageBreak/>
        <w:t>Sensitivity analyses</w:t>
      </w:r>
    </w:p>
    <w:p w14:paraId="54A56BE0" w14:textId="73371093" w:rsidR="00C300C9" w:rsidRPr="00F47229" w:rsidRDefault="001020D4" w:rsidP="001020D4">
      <w:r w:rsidRPr="00F47229">
        <w:t xml:space="preserve">Sensitivity analyses were performed to evaluate several aspects in model derivation. First, to evaluate the potential benefit of separate model derivation for men and women, the </w:t>
      </w:r>
      <w:r w:rsidR="00C300C9" w:rsidRPr="00F47229">
        <w:t xml:space="preserve">whole model derivation process was repeated separately </w:t>
      </w:r>
      <w:r w:rsidRPr="00F47229">
        <w:t>for both sexe</w:t>
      </w:r>
      <w:r w:rsidR="00C300C9" w:rsidRPr="00F47229">
        <w:t xml:space="preserve">s. </w:t>
      </w:r>
      <w:r w:rsidR="001314F6" w:rsidRPr="00F47229">
        <w:t xml:space="preserve">The model was then recalibrated separately for both sexes in the </w:t>
      </w:r>
      <w:r w:rsidR="00C300C9" w:rsidRPr="00F47229">
        <w:t xml:space="preserve">REACH Registry Western Europe </w:t>
      </w:r>
      <w:r w:rsidR="001314F6" w:rsidRPr="00F47229">
        <w:t>(all countries in the low or moderate risk region) similar to the recalibration methodology used for the main model. M</w:t>
      </w:r>
      <w:r w:rsidR="00C300C9" w:rsidRPr="00F47229">
        <w:t xml:space="preserve">odel performance was assessed in terms of discrimination, both separately for both sexes and using the complete population. </w:t>
      </w:r>
    </w:p>
    <w:p w14:paraId="5B45BEBE" w14:textId="4FE2D015" w:rsidR="00BC2FCB" w:rsidRDefault="001314F6" w:rsidP="001020D4">
      <w:r w:rsidRPr="00F47229">
        <w:t xml:space="preserve">The second sensitivity analyses </w:t>
      </w:r>
      <w:r w:rsidR="00EA1C76" w:rsidRPr="00F47229">
        <w:t>were</w:t>
      </w:r>
      <w:r w:rsidRPr="00F47229">
        <w:t xml:space="preserve"> similar to the first, but this time derivation and recalibration was performed separate for the different locations of established </w:t>
      </w:r>
      <w:r w:rsidR="000A1F31" w:rsidRPr="00F47229">
        <w:t>AS</w:t>
      </w:r>
      <w:r w:rsidRPr="00F47229">
        <w:t>CVD (CAD, CevD, and PAD/AAA separately). Individuals with polyvascular disease contributed to the derivation or recalibration of multiple models (i.e. a subject with both CAD and PAD in UCC-SMART contributed to both the derivation of the CAD-specific and the PAD/AAA-specific model).</w:t>
      </w:r>
      <w:r w:rsidR="000A1F31" w:rsidRPr="00F47229">
        <w:t xml:space="preserve"> Individual risk predictions for those with polyva</w:t>
      </w:r>
      <w:r w:rsidR="0092646F" w:rsidRPr="00F47229">
        <w:t>s</w:t>
      </w:r>
      <w:r w:rsidR="000A1F31" w:rsidRPr="00F47229">
        <w:t>cular disease were calculated by taking the mean of the disease-specific predicted risks (so this individual with CAD and PAD</w:t>
      </w:r>
      <w:r w:rsidRPr="00F47229">
        <w:t xml:space="preserve"> </w:t>
      </w:r>
      <w:r w:rsidR="000A1F31" w:rsidRPr="00F47229">
        <w:t xml:space="preserve">would have two predicted risks: one from the CAD model and one from the PAD/AAA model, the final individual predicted risk is the mean of those two). </w:t>
      </w:r>
      <w:r w:rsidRPr="00F47229">
        <w:t xml:space="preserve">Model performance was assessed in terms of discrimination, both separately for </w:t>
      </w:r>
      <w:r w:rsidR="000A1F31" w:rsidRPr="00F47229">
        <w:t>AS</w:t>
      </w:r>
      <w:r w:rsidRPr="00F47229">
        <w:t>CVD locations and in the complete population.</w:t>
      </w:r>
    </w:p>
    <w:p w14:paraId="4B5582CE" w14:textId="4B57CE19" w:rsidR="00BC2FCB" w:rsidRDefault="00BC2FCB" w:rsidP="00BC2FCB">
      <w:pPr>
        <w:pStyle w:val="Kop1"/>
      </w:pPr>
      <w:r>
        <w:br w:type="page"/>
      </w:r>
      <w:r>
        <w:lastRenderedPageBreak/>
        <w:t>References</w:t>
      </w:r>
    </w:p>
    <w:p w14:paraId="6B7A6AC4" w14:textId="501E6EE0" w:rsidR="00BC2FCB" w:rsidRPr="00BC2FCB" w:rsidRDefault="00BC2FCB" w:rsidP="00BC2FCB">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Pr="00BC2FCB">
        <w:rPr>
          <w:noProof/>
          <w:szCs w:val="24"/>
        </w:rPr>
        <w:t xml:space="preserve">1. </w:t>
      </w:r>
      <w:r w:rsidRPr="00BC2FCB">
        <w:rPr>
          <w:noProof/>
          <w:szCs w:val="24"/>
        </w:rPr>
        <w:tab/>
        <w:t xml:space="preserve">Abtan J, Bhatt DL, Elbez Y, et al. Geographic variation and risk factors for systemic and limb ischemic events in patients with symptomatic peripheral artery disease: Insights from the &lt;scp&gt;REACH&lt;/scp&gt; Registry. </w:t>
      </w:r>
      <w:r w:rsidRPr="00BC2FCB">
        <w:rPr>
          <w:i/>
          <w:iCs/>
          <w:noProof/>
          <w:szCs w:val="24"/>
        </w:rPr>
        <w:t>Clin Cardiol</w:t>
      </w:r>
      <w:r w:rsidRPr="00BC2FCB">
        <w:rPr>
          <w:noProof/>
          <w:szCs w:val="24"/>
        </w:rPr>
        <w:t>. 2017;40(9):710-718. doi:10.1002/clc.22721</w:t>
      </w:r>
    </w:p>
    <w:p w14:paraId="525EDB69" w14:textId="77777777" w:rsidR="00BC2FCB" w:rsidRPr="00BC2FCB" w:rsidRDefault="00BC2FCB" w:rsidP="00BC2FCB">
      <w:pPr>
        <w:widowControl w:val="0"/>
        <w:autoSpaceDE w:val="0"/>
        <w:autoSpaceDN w:val="0"/>
        <w:adjustRightInd w:val="0"/>
        <w:ind w:left="640" w:hanging="640"/>
        <w:rPr>
          <w:noProof/>
          <w:szCs w:val="24"/>
        </w:rPr>
      </w:pPr>
      <w:r w:rsidRPr="00BC2FCB">
        <w:rPr>
          <w:noProof/>
          <w:szCs w:val="24"/>
        </w:rPr>
        <w:t xml:space="preserve">2. </w:t>
      </w:r>
      <w:r w:rsidRPr="00BC2FCB">
        <w:rPr>
          <w:noProof/>
          <w:szCs w:val="24"/>
        </w:rPr>
        <w:tab/>
        <w:t>World Health Organization. WHO Mortality Database. Accessed May 7, 2020. https://apps.who.int/healthinfo/statistics/mortality/whodpms/</w:t>
      </w:r>
    </w:p>
    <w:p w14:paraId="1C142EE0" w14:textId="77777777" w:rsidR="00BC2FCB" w:rsidRPr="00BC2FCB" w:rsidRDefault="00BC2FCB" w:rsidP="00BC2FCB">
      <w:pPr>
        <w:widowControl w:val="0"/>
        <w:autoSpaceDE w:val="0"/>
        <w:autoSpaceDN w:val="0"/>
        <w:adjustRightInd w:val="0"/>
        <w:ind w:left="640" w:hanging="640"/>
        <w:rPr>
          <w:noProof/>
        </w:rPr>
      </w:pPr>
      <w:r w:rsidRPr="005D6B72">
        <w:rPr>
          <w:noProof/>
          <w:szCs w:val="24"/>
          <w:lang w:val="nl-NL"/>
        </w:rPr>
        <w:t xml:space="preserve">3. </w:t>
      </w:r>
      <w:r w:rsidRPr="005D6B72">
        <w:rPr>
          <w:noProof/>
          <w:szCs w:val="24"/>
          <w:lang w:val="nl-NL"/>
        </w:rPr>
        <w:tab/>
        <w:t xml:space="preserve">Donders ART, van der Heijden GJMG, Stijnen T, Moons KGM. </w:t>
      </w:r>
      <w:r w:rsidRPr="00BC2FCB">
        <w:rPr>
          <w:noProof/>
          <w:szCs w:val="24"/>
        </w:rPr>
        <w:t xml:space="preserve">Review: A gentle introduction to imputation of missing values. </w:t>
      </w:r>
      <w:r w:rsidRPr="00BC2FCB">
        <w:rPr>
          <w:i/>
          <w:iCs/>
          <w:noProof/>
          <w:szCs w:val="24"/>
        </w:rPr>
        <w:t>J Clin Epidemiol</w:t>
      </w:r>
      <w:r w:rsidRPr="00BC2FCB">
        <w:rPr>
          <w:noProof/>
          <w:szCs w:val="24"/>
        </w:rPr>
        <w:t>. 2006;59(10):1087-1091. doi:10.1016/j.jclinepi.2006.01.014</w:t>
      </w:r>
    </w:p>
    <w:p w14:paraId="0F01B754" w14:textId="4713728D" w:rsidR="001314F6" w:rsidRPr="00F47229" w:rsidRDefault="00BC2FCB" w:rsidP="001020D4">
      <w:r>
        <w:fldChar w:fldCharType="end"/>
      </w:r>
    </w:p>
    <w:p w14:paraId="3F8FA130" w14:textId="6DA4528D" w:rsidR="00CE19B7" w:rsidRPr="00F47229" w:rsidRDefault="00CE19B7">
      <w:r w:rsidRPr="00F47229">
        <w:br w:type="page"/>
      </w:r>
      <w:r w:rsidR="00E73812" w:rsidRPr="00F47229">
        <w:lastRenderedPageBreak/>
        <w:t xml:space="preserve"> </w:t>
      </w:r>
    </w:p>
    <w:p w14:paraId="5F714EB0" w14:textId="3F149A78" w:rsidR="00750F20" w:rsidRPr="00F47229" w:rsidRDefault="00CE19B7" w:rsidP="006B1A86">
      <w:pPr>
        <w:pStyle w:val="Kop1"/>
        <w:rPr>
          <w:b w:val="0"/>
        </w:rPr>
      </w:pPr>
      <w:r w:rsidRPr="00F47229">
        <w:t xml:space="preserve">Supplementary </w:t>
      </w:r>
      <w:r w:rsidR="0097261F" w:rsidRPr="00F47229">
        <w:t>F</w:t>
      </w:r>
      <w:r w:rsidRPr="00F47229">
        <w:t xml:space="preserve">igure </w:t>
      </w:r>
      <w:r w:rsidR="00592B14" w:rsidRPr="00F47229">
        <w:t>1</w:t>
      </w:r>
      <w:r w:rsidR="00553726" w:rsidRPr="00F47229">
        <w:t xml:space="preserve">: </w:t>
      </w:r>
      <w:r w:rsidR="00E20953" w:rsidRPr="00F47229">
        <w:rPr>
          <w:b w:val="0"/>
        </w:rPr>
        <w:t>European r</w:t>
      </w:r>
      <w:r w:rsidR="00553726" w:rsidRPr="00F47229">
        <w:rPr>
          <w:b w:val="0"/>
        </w:rPr>
        <w:t>isk regions</w:t>
      </w:r>
      <w:r w:rsidR="00BC79F8" w:rsidRPr="00F47229">
        <w:rPr>
          <w:b w:val="0"/>
        </w:rPr>
        <w:t xml:space="preserve"> – similar to SCORE2 risk regions</w:t>
      </w:r>
    </w:p>
    <w:p w14:paraId="7284C1A5" w14:textId="77777777" w:rsidR="00592B14" w:rsidRPr="00F47229" w:rsidRDefault="00592B14" w:rsidP="00592B14">
      <w:pPr>
        <w:rPr>
          <w:lang w:val="en-GB"/>
        </w:rPr>
      </w:pPr>
      <w:r w:rsidRPr="00F47229">
        <w:rPr>
          <w:noProof/>
          <w:lang w:val="nl-NL" w:eastAsia="nl-NL"/>
        </w:rPr>
        <w:drawing>
          <wp:inline distT="0" distB="0" distL="0" distR="0" wp14:anchorId="795B6361" wp14:editId="42008250">
            <wp:extent cx="5727700" cy="3089910"/>
            <wp:effectExtent l="0" t="0" r="6350" b="0"/>
            <wp:docPr id="5" name="Afbeelding 5" descr="cid:image006.jpg@01D6AE08.06A8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6AE08.06A8694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27700" cy="3089910"/>
                    </a:xfrm>
                    <a:prstGeom prst="rect">
                      <a:avLst/>
                    </a:prstGeom>
                    <a:noFill/>
                    <a:ln>
                      <a:noFill/>
                    </a:ln>
                  </pic:spPr>
                </pic:pic>
              </a:graphicData>
            </a:graphic>
          </wp:inline>
        </w:drawing>
      </w:r>
    </w:p>
    <w:p w14:paraId="12014CDB" w14:textId="7C1417EA" w:rsidR="00553726" w:rsidRPr="00F47229" w:rsidRDefault="00592B14" w:rsidP="00592B14">
      <w:r w:rsidRPr="00F47229">
        <w:rPr>
          <w:lang w:val="en-GB"/>
        </w:rPr>
        <w:t>Risk regions based on most recently available age- and sex-standardized overall cardiovascular</w:t>
      </w:r>
      <w:r w:rsidR="000A1F31" w:rsidRPr="00F47229">
        <w:rPr>
          <w:lang w:val="en-GB"/>
        </w:rPr>
        <w:t xml:space="preserve"> disease (CVD)</w:t>
      </w:r>
      <w:r w:rsidRPr="00F47229">
        <w:rPr>
          <w:lang w:val="en-GB"/>
        </w:rPr>
        <w:t xml:space="preserve"> mortality rates per 100,000: low risk (≤100 CVD deaths per 100,000), moderate risk (100 to &lt;150 CVD deaths per 100,000), high risk (150 to &lt;300 CVD deaths per 100,000), and very high risk (</w:t>
      </w:r>
      <m:oMath>
        <m:r>
          <w:rPr>
            <w:rFonts w:ascii="Cambria Math" w:hAnsi="Cambria Math"/>
            <w:lang w:val="en-GB"/>
          </w:rPr>
          <m:t>≥</m:t>
        </m:r>
      </m:oMath>
      <w:r w:rsidRPr="00F47229">
        <w:rPr>
          <w:lang w:val="en-GB"/>
        </w:rPr>
        <w:t>300 CVD deaths per 100,000).</w:t>
      </w:r>
      <w:r w:rsidR="00BD1DBB" w:rsidRPr="00F47229">
        <w:rPr>
          <w:lang w:val="en-GB"/>
        </w:rPr>
        <w:t xml:space="preserve"> Estimates are obtained from </w:t>
      </w:r>
      <w:r w:rsidR="00967FA1" w:rsidRPr="00F47229">
        <w:rPr>
          <w:lang w:val="en-GB"/>
        </w:rPr>
        <w:t xml:space="preserve">the </w:t>
      </w:r>
      <w:r w:rsidR="00BD1DBB" w:rsidRPr="00F47229">
        <w:rPr>
          <w:lang w:val="en-GB"/>
        </w:rPr>
        <w:t>WHO cause specific mortality database</w:t>
      </w:r>
      <w:r w:rsidR="0038492D" w:rsidRPr="00F47229">
        <w:rPr>
          <w:lang w:val="en-GB"/>
        </w:rPr>
        <w:t xml:space="preserve"> (2020)</w:t>
      </w:r>
      <w:r w:rsidR="00BD1DBB" w:rsidRPr="00F47229">
        <w:rPr>
          <w:lang w:val="en-GB"/>
        </w:rPr>
        <w:t>.</w:t>
      </w:r>
      <w:r w:rsidR="004D5AFA" w:rsidRPr="00F47229">
        <w:rPr>
          <w:lang w:val="en-GB"/>
        </w:rPr>
        <w:fldChar w:fldCharType="begin" w:fldLock="1"/>
      </w:r>
      <w:r w:rsidR="00BC2FCB">
        <w:rPr>
          <w:lang w:val="en-GB"/>
        </w:rPr>
        <w:instrText>ADDIN CSL_CITATION {"citationItems":[{"id":"ITEM-1","itemData":{"URL":"https://apps.who.int/healthinfo/statistics/mortality/whodpms/","abstract":"Grouping: ASDR per 100 000 - Total deaths, ICD chapter 9 (Diseases of the circulatory system), both sexes Recalibration: All mortality included in SCORE endpoint","accessed":{"date-parts":[["2020","5","7"]]},"author":[{"dropping-particle":"","family":"World Health Organization","given":"","non-dropping-particle":"","parse-names":false,"suffix":""}],"id":"ITEM-1","issued":{"date-parts":[["0"]]},"title":"WHO Mortality Database","type":"webpage"},"uris":["http://www.mendeley.com/documents/?uuid=75f43cc6-f4d4-4609-95ea-d8fbebf0858a"]}],"mendeley":{"formattedCitation":"&lt;sup&gt;2&lt;/sup&gt;","plainTextFormattedCitation":"2","previouslyFormattedCitation":"&lt;sup&gt;35&lt;/sup&gt;"},"properties":{"noteIndex":0},"schema":"https://github.com/citation-style-language/schema/raw/master/csl-citation.json"}</w:instrText>
      </w:r>
      <w:r w:rsidR="004D5AFA" w:rsidRPr="00F47229">
        <w:rPr>
          <w:lang w:val="en-GB"/>
        </w:rPr>
        <w:fldChar w:fldCharType="separate"/>
      </w:r>
      <w:r w:rsidR="00BC2FCB" w:rsidRPr="00BC2FCB">
        <w:rPr>
          <w:noProof/>
          <w:vertAlign w:val="superscript"/>
          <w:lang w:val="en-GB"/>
        </w:rPr>
        <w:t>2</w:t>
      </w:r>
      <w:r w:rsidR="004D5AFA" w:rsidRPr="00F47229">
        <w:rPr>
          <w:lang w:val="en-GB"/>
        </w:rPr>
        <w:fldChar w:fldCharType="end"/>
      </w:r>
    </w:p>
    <w:p w14:paraId="611A4B3F" w14:textId="6311B2DD" w:rsidR="00280964" w:rsidRPr="00F47229" w:rsidRDefault="008626E7" w:rsidP="006B1A86">
      <w:r w:rsidRPr="00F47229">
        <w:br w:type="page"/>
      </w:r>
    </w:p>
    <w:p w14:paraId="18E96B75" w14:textId="27632419" w:rsidR="007D03B4" w:rsidRPr="007D03B4" w:rsidRDefault="007D03B4" w:rsidP="007D03B4">
      <w:pPr>
        <w:pStyle w:val="Kop1"/>
      </w:pPr>
      <w:r w:rsidRPr="007D03B4">
        <w:rPr>
          <w:rStyle w:val="Kop1Char"/>
          <w:b/>
        </w:rPr>
        <w:lastRenderedPageBreak/>
        <w:t>Supplementary Figure 2</w:t>
      </w:r>
      <w:r w:rsidRPr="007D03B4">
        <w:t xml:space="preserve">: </w:t>
      </w:r>
      <w:r w:rsidRPr="007D03B4">
        <w:rPr>
          <w:b w:val="0"/>
        </w:rPr>
        <w:t>Pooled discrimination results per region</w:t>
      </w:r>
    </w:p>
    <w:p w14:paraId="264AC1E9" w14:textId="7C1A95B3" w:rsidR="00280964" w:rsidRPr="00F47229" w:rsidRDefault="00AD30CE">
      <w:pPr>
        <w:spacing w:after="200" w:line="276" w:lineRule="auto"/>
        <w:jc w:val="left"/>
      </w:pPr>
      <w:r w:rsidRPr="00AD30CE">
        <w:rPr>
          <w:noProof/>
          <w:lang w:val="nl-NL" w:eastAsia="nl-NL"/>
        </w:rPr>
        <w:drawing>
          <wp:inline distT="0" distB="0" distL="0" distR="0" wp14:anchorId="250AC71F" wp14:editId="39C956FA">
            <wp:extent cx="5486400" cy="7772400"/>
            <wp:effectExtent l="0" t="0" r="0" b="0"/>
            <wp:docPr id="10" name="Afbeelding 10" descr="O:\Vascular Medicine Research\18-XXX_MALE\C_PersonalData\SMART regional update\Output\forestplots_pooledwest_2021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ascular Medicine Research\18-XXX_MALE\C_PersonalData\SMART regional update\Output\forestplots_pooledwest_202112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772400"/>
                    </a:xfrm>
                    <a:prstGeom prst="rect">
                      <a:avLst/>
                    </a:prstGeom>
                    <a:noFill/>
                    <a:ln>
                      <a:noFill/>
                    </a:ln>
                  </pic:spPr>
                </pic:pic>
              </a:graphicData>
            </a:graphic>
          </wp:inline>
        </w:drawing>
      </w:r>
      <w:r w:rsidRPr="00AD30CE">
        <w:t xml:space="preserve"> </w:t>
      </w:r>
      <w:r w:rsidR="00280964" w:rsidRPr="00F47229">
        <w:br w:type="page"/>
      </w:r>
    </w:p>
    <w:p w14:paraId="202F7451" w14:textId="364F5C3E" w:rsidR="0051170C" w:rsidRPr="00F47229" w:rsidRDefault="0051170C" w:rsidP="0051170C">
      <w:pPr>
        <w:pStyle w:val="Kop1"/>
        <w:rPr>
          <w:b w:val="0"/>
        </w:rPr>
      </w:pPr>
      <w:r w:rsidRPr="00F47229">
        <w:rPr>
          <w:rStyle w:val="Kop1Char"/>
          <w:b/>
        </w:rPr>
        <w:lastRenderedPageBreak/>
        <w:t>Supplementary Figure 3:</w:t>
      </w:r>
      <w:r w:rsidRPr="00F47229">
        <w:t xml:space="preserve"> </w:t>
      </w:r>
      <w:r>
        <w:rPr>
          <w:b w:val="0"/>
        </w:rPr>
        <w:t>Calibration of the SMART2 risk score before recalibration in Western Europe</w:t>
      </w:r>
    </w:p>
    <w:p w14:paraId="2587DCBE" w14:textId="4FD7C977" w:rsidR="0051170C" w:rsidRDefault="001D6DFF">
      <w:pPr>
        <w:spacing w:after="200" w:line="276" w:lineRule="auto"/>
        <w:jc w:val="left"/>
        <w:rPr>
          <w:rStyle w:val="Kop1Char"/>
          <w:b w:val="0"/>
        </w:rPr>
      </w:pPr>
      <w:r w:rsidRPr="001D6DFF">
        <w:rPr>
          <w:rStyle w:val="Kop1Char"/>
          <w:b w:val="0"/>
          <w:noProof/>
          <w:lang w:val="nl-NL" w:eastAsia="nl-NL"/>
        </w:rPr>
        <w:drawing>
          <wp:inline distT="0" distB="0" distL="0" distR="0" wp14:anchorId="74E20FF5" wp14:editId="79A26C12">
            <wp:extent cx="5058770" cy="7588155"/>
            <wp:effectExtent l="0" t="0" r="8890" b="0"/>
            <wp:docPr id="12" name="Afbeelding 12" descr="O:\Vascular Medicine Research\18-XXX_MALE\C_PersonalData\SMART regional update\Output\calibrationplot_westeu_uncalibrated_202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ascular Medicine Research\18-XXX_MALE\C_PersonalData\SMART regional update\Output\calibrationplot_westeu_uncalibrated_202111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9424" cy="7589136"/>
                    </a:xfrm>
                    <a:prstGeom prst="rect">
                      <a:avLst/>
                    </a:prstGeom>
                    <a:noFill/>
                    <a:ln>
                      <a:noFill/>
                    </a:ln>
                  </pic:spPr>
                </pic:pic>
              </a:graphicData>
            </a:graphic>
          </wp:inline>
        </w:drawing>
      </w:r>
    </w:p>
    <w:p w14:paraId="3D384819" w14:textId="77777777" w:rsidR="0051170C" w:rsidRDefault="0051170C">
      <w:pPr>
        <w:spacing w:after="200" w:line="276" w:lineRule="auto"/>
        <w:jc w:val="left"/>
        <w:rPr>
          <w:rStyle w:val="Kop1Char"/>
          <w:b w:val="0"/>
        </w:rPr>
      </w:pPr>
      <w:r>
        <w:rPr>
          <w:rStyle w:val="Kop1Char"/>
          <w:b w:val="0"/>
        </w:rPr>
        <w:br w:type="page"/>
      </w:r>
    </w:p>
    <w:p w14:paraId="08C10178" w14:textId="37D1CFD9" w:rsidR="0051170C" w:rsidRPr="00F47229" w:rsidRDefault="0051170C" w:rsidP="0051170C">
      <w:pPr>
        <w:pStyle w:val="Kop1"/>
        <w:rPr>
          <w:b w:val="0"/>
        </w:rPr>
      </w:pPr>
      <w:r w:rsidRPr="00F47229">
        <w:rPr>
          <w:rStyle w:val="Kop1Char"/>
          <w:b/>
        </w:rPr>
        <w:lastRenderedPageBreak/>
        <w:t xml:space="preserve">Supplementary Figure </w:t>
      </w:r>
      <w:r>
        <w:rPr>
          <w:rStyle w:val="Kop1Char"/>
          <w:b/>
        </w:rPr>
        <w:t>4</w:t>
      </w:r>
      <w:r w:rsidRPr="00F47229">
        <w:rPr>
          <w:rStyle w:val="Kop1Char"/>
          <w:b/>
        </w:rPr>
        <w:t>:</w:t>
      </w:r>
      <w:r w:rsidRPr="00F47229">
        <w:t xml:space="preserve"> </w:t>
      </w:r>
      <w:r>
        <w:rPr>
          <w:b w:val="0"/>
        </w:rPr>
        <w:t>Calibration of the SMART2 risk score before recalibration in Eastern Europe</w:t>
      </w:r>
    </w:p>
    <w:p w14:paraId="5707C45F" w14:textId="0A5E918F" w:rsidR="0051170C" w:rsidRDefault="001D6DFF">
      <w:pPr>
        <w:spacing w:after="200" w:line="276" w:lineRule="auto"/>
        <w:jc w:val="left"/>
        <w:rPr>
          <w:rStyle w:val="Kop1Char"/>
          <w:b w:val="0"/>
        </w:rPr>
      </w:pPr>
      <w:bookmarkStart w:id="0" w:name="_GoBack"/>
      <w:bookmarkEnd w:id="0"/>
      <w:r w:rsidRPr="001D6DFF">
        <w:rPr>
          <w:rStyle w:val="Kop1Char"/>
          <w:b w:val="0"/>
          <w:noProof/>
          <w:lang w:val="nl-NL" w:eastAsia="nl-NL"/>
        </w:rPr>
        <w:drawing>
          <wp:inline distT="0" distB="0" distL="0" distR="0" wp14:anchorId="18375D49" wp14:editId="0602B552">
            <wp:extent cx="5008728" cy="4909113"/>
            <wp:effectExtent l="0" t="0" r="1905" b="6350"/>
            <wp:docPr id="13" name="Afbeelding 13" descr="O:\Vascular Medicine Research\18-XXX_MALE\C_PersonalData\SMART regional update\Output\calibrationplot_easteu_uncalibrated_202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ascular Medicine Research\18-XXX_MALE\C_PersonalData\SMART regional update\Output\calibrationplot_easteu_uncalibrated_2021111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4659"/>
                    <a:stretch/>
                  </pic:blipFill>
                  <pic:spPr bwMode="auto">
                    <a:xfrm>
                      <a:off x="0" y="0"/>
                      <a:ext cx="5010964" cy="4911304"/>
                    </a:xfrm>
                    <a:prstGeom prst="rect">
                      <a:avLst/>
                    </a:prstGeom>
                    <a:noFill/>
                    <a:ln>
                      <a:noFill/>
                    </a:ln>
                    <a:extLst>
                      <a:ext uri="{53640926-AAD7-44D8-BBD7-CCE9431645EC}">
                        <a14:shadowObscured xmlns:a14="http://schemas.microsoft.com/office/drawing/2010/main"/>
                      </a:ext>
                    </a:extLst>
                  </pic:spPr>
                </pic:pic>
              </a:graphicData>
            </a:graphic>
          </wp:inline>
        </w:drawing>
      </w:r>
      <w:r w:rsidR="0051170C">
        <w:rPr>
          <w:rStyle w:val="Kop1Char"/>
          <w:b w:val="0"/>
        </w:rPr>
        <w:br w:type="page"/>
      </w:r>
    </w:p>
    <w:p w14:paraId="534BCFE0" w14:textId="61187E90" w:rsidR="0051170C" w:rsidRPr="00F47229" w:rsidRDefault="0051170C" w:rsidP="0051170C">
      <w:pPr>
        <w:pStyle w:val="Kop1"/>
        <w:rPr>
          <w:b w:val="0"/>
        </w:rPr>
      </w:pPr>
      <w:r w:rsidRPr="00F47229">
        <w:rPr>
          <w:rStyle w:val="Kop1Char"/>
          <w:b/>
        </w:rPr>
        <w:lastRenderedPageBreak/>
        <w:t xml:space="preserve">Supplementary Figure </w:t>
      </w:r>
      <w:r>
        <w:rPr>
          <w:rStyle w:val="Kop1Char"/>
          <w:b/>
        </w:rPr>
        <w:t>5</w:t>
      </w:r>
      <w:r w:rsidRPr="00F47229">
        <w:rPr>
          <w:rStyle w:val="Kop1Char"/>
          <w:b/>
        </w:rPr>
        <w:t>:</w:t>
      </w:r>
      <w:r w:rsidRPr="00F47229">
        <w:t xml:space="preserve"> </w:t>
      </w:r>
      <w:r>
        <w:rPr>
          <w:b w:val="0"/>
        </w:rPr>
        <w:t>Calibration of the SMART2 risk score before recalibration in the Non-European external validation cohorts</w:t>
      </w:r>
    </w:p>
    <w:p w14:paraId="143C66C4" w14:textId="46E98765" w:rsidR="0051170C" w:rsidRDefault="001D6DFF">
      <w:pPr>
        <w:spacing w:after="200" w:line="276" w:lineRule="auto"/>
        <w:jc w:val="left"/>
        <w:rPr>
          <w:rStyle w:val="Kop1Char"/>
        </w:rPr>
      </w:pPr>
      <w:r w:rsidRPr="001D6DFF">
        <w:rPr>
          <w:rStyle w:val="Kop1Char"/>
          <w:b w:val="0"/>
          <w:noProof/>
          <w:lang w:val="nl-NL" w:eastAsia="nl-NL"/>
        </w:rPr>
        <w:drawing>
          <wp:inline distT="0" distB="0" distL="0" distR="0" wp14:anchorId="1BE65887" wp14:editId="54C5AD9D">
            <wp:extent cx="4876800" cy="7315200"/>
            <wp:effectExtent l="0" t="0" r="0" b="0"/>
            <wp:docPr id="11" name="Afbeelding 11" descr="O:\Vascular Medicine Research\18-XXX_MALE\C_PersonalData\SMART regional update\Output\calibrationplot_noneu_uncalibrated_202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ascular Medicine Research\18-XXX_MALE\C_PersonalData\SMART regional update\Output\calibrationplot_noneu_uncalibrated_202111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7315200"/>
                    </a:xfrm>
                    <a:prstGeom prst="rect">
                      <a:avLst/>
                    </a:prstGeom>
                    <a:noFill/>
                    <a:ln>
                      <a:noFill/>
                    </a:ln>
                  </pic:spPr>
                </pic:pic>
              </a:graphicData>
            </a:graphic>
          </wp:inline>
        </w:drawing>
      </w:r>
      <w:r w:rsidR="0051170C">
        <w:rPr>
          <w:rStyle w:val="Kop1Char"/>
          <w:b w:val="0"/>
        </w:rPr>
        <w:br w:type="page"/>
      </w:r>
    </w:p>
    <w:p w14:paraId="63559469" w14:textId="7A7A7583" w:rsidR="00365E18" w:rsidRPr="00F47229" w:rsidRDefault="0051170C" w:rsidP="00365E18">
      <w:pPr>
        <w:pStyle w:val="Kop1"/>
        <w:rPr>
          <w:b w:val="0"/>
        </w:rPr>
      </w:pPr>
      <w:r>
        <w:rPr>
          <w:rStyle w:val="Kop1Char"/>
          <w:b/>
        </w:rPr>
        <w:lastRenderedPageBreak/>
        <w:t>Supplementary Figure 6</w:t>
      </w:r>
      <w:r w:rsidR="00365E18" w:rsidRPr="00F47229">
        <w:rPr>
          <w:rStyle w:val="Kop1Char"/>
          <w:b/>
        </w:rPr>
        <w:t>:</w:t>
      </w:r>
      <w:r w:rsidR="00365E18" w:rsidRPr="00F47229">
        <w:t xml:space="preserve"> </w:t>
      </w:r>
      <w:r w:rsidR="00365E18" w:rsidRPr="00F47229">
        <w:rPr>
          <w:b w:val="0"/>
        </w:rPr>
        <w:t>Net benefit of treatment intensification based on the SMART2 algorithm</w:t>
      </w:r>
    </w:p>
    <w:p w14:paraId="189736D6" w14:textId="72FE0022" w:rsidR="00365E18" w:rsidRPr="00F47229" w:rsidRDefault="00D16484" w:rsidP="00365E18">
      <w:r w:rsidRPr="00D16484">
        <w:rPr>
          <w:noProof/>
          <w:lang w:val="nl-NL" w:eastAsia="nl-NL"/>
        </w:rPr>
        <w:drawing>
          <wp:inline distT="0" distB="0" distL="0" distR="0" wp14:anchorId="5D07F214" wp14:editId="0F06CDC4">
            <wp:extent cx="5943600" cy="2971800"/>
            <wp:effectExtent l="0" t="0" r="0" b="0"/>
            <wp:docPr id="8" name="Afbeelding 8" descr="O:\Vascular Medicine Research\18-XXX_MALE\C_PersonalData\SMART regional update\Output\DCA_2021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ascular Medicine Research\18-XXX_MALE\C_PersonalData\SMART regional update\Output\DCA_202109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9F64632" w14:textId="6A9C03DC" w:rsidR="00365E18" w:rsidRPr="00F47229" w:rsidRDefault="00365E18" w:rsidP="00365E18">
      <w:pPr>
        <w:rPr>
          <w:rStyle w:val="Kop1Char"/>
        </w:rPr>
      </w:pPr>
      <w:r w:rsidRPr="00F47229">
        <w:t xml:space="preserve">Results from the decision curve analyses in all cohorts with at least 10 years maximum follow-up. Each </w:t>
      </w:r>
      <w:r w:rsidRPr="00F47229">
        <w:rPr>
          <w:rStyle w:val="Kop1Char"/>
          <w:b w:val="0"/>
        </w:rPr>
        <w:t>panel displays the net benefit of treatment intensification based on the SMART2 model (dashed line) against the treat all (gray line) and treat none (black line) approaches.</w:t>
      </w:r>
      <w:r w:rsidRPr="00F47229">
        <w:rPr>
          <w:rStyle w:val="Kop1Char"/>
          <w:b w:val="0"/>
        </w:rPr>
        <w:br w:type="page"/>
      </w:r>
    </w:p>
    <w:p w14:paraId="135E2BD1" w14:textId="693B8F9C" w:rsidR="00280964" w:rsidRPr="00F47229" w:rsidRDefault="00280964" w:rsidP="00280964">
      <w:pPr>
        <w:pStyle w:val="Kop1"/>
        <w:rPr>
          <w:b w:val="0"/>
        </w:rPr>
      </w:pPr>
      <w:r w:rsidRPr="00F47229">
        <w:rPr>
          <w:rStyle w:val="Kop1Char"/>
          <w:b/>
        </w:rPr>
        <w:lastRenderedPageBreak/>
        <w:t xml:space="preserve">Supplementary </w:t>
      </w:r>
      <w:r w:rsidR="00967FA1" w:rsidRPr="00F47229">
        <w:rPr>
          <w:rStyle w:val="Kop1Char"/>
          <w:b/>
        </w:rPr>
        <w:t>F</w:t>
      </w:r>
      <w:r w:rsidRPr="00F47229">
        <w:rPr>
          <w:rStyle w:val="Kop1Char"/>
          <w:b/>
        </w:rPr>
        <w:t xml:space="preserve">igure </w:t>
      </w:r>
      <w:r w:rsidR="0051170C">
        <w:rPr>
          <w:rStyle w:val="Kop1Char"/>
          <w:b/>
        </w:rPr>
        <w:t>7</w:t>
      </w:r>
      <w:r w:rsidRPr="00F47229">
        <w:rPr>
          <w:rStyle w:val="Kop1Char"/>
          <w:b/>
        </w:rPr>
        <w:t>:</w:t>
      </w:r>
      <w:r w:rsidRPr="00F47229">
        <w:t xml:space="preserve"> </w:t>
      </w:r>
      <w:r w:rsidRPr="00F47229">
        <w:rPr>
          <w:b w:val="0"/>
        </w:rPr>
        <w:t xml:space="preserve">Illustration of the SMART2 risk score recalibrated to the different European regions </w:t>
      </w:r>
    </w:p>
    <w:p w14:paraId="4FD7A4ED" w14:textId="54CC71E3" w:rsidR="00280964" w:rsidRPr="00F47229" w:rsidRDefault="00D16484" w:rsidP="006B1A86">
      <w:r w:rsidRPr="00D16484">
        <w:rPr>
          <w:noProof/>
          <w:lang w:val="nl-NL" w:eastAsia="nl-NL"/>
        </w:rPr>
        <w:drawing>
          <wp:inline distT="0" distB="0" distL="0" distR="0" wp14:anchorId="76983F30" wp14:editId="6DCF393A">
            <wp:extent cx="5943600" cy="5943600"/>
            <wp:effectExtent l="0" t="0" r="5715" b="5715"/>
            <wp:docPr id="6" name="Afbeelding 6" descr="O:\Vascular Medicine Research\18-XXX_MALE\C_PersonalData\SMART regional update\Output\proportiontreated_2021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ascular Medicine Research\18-XXX_MALE\C_PersonalData\SMART regional update\Output\proportiontreated_2021050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6BCC79B" w14:textId="21BE9601" w:rsidR="00D255DB" w:rsidRPr="00F47229" w:rsidRDefault="00280964">
      <w:pPr>
        <w:spacing w:after="200" w:line="276" w:lineRule="auto"/>
        <w:jc w:val="left"/>
      </w:pPr>
      <w:r w:rsidRPr="00F47229">
        <w:t xml:space="preserve">Expected proportion of individuals above the 20 and 40% </w:t>
      </w:r>
      <w:r w:rsidR="00567241">
        <w:t xml:space="preserve">10 year </w:t>
      </w:r>
      <w:r w:rsidRPr="00F47229">
        <w:t>risk thresholds in every risk region in Europe. Results were based on a simulation in UCC-SMART (n=8</w:t>
      </w:r>
      <w:r w:rsidR="00FA1E54" w:rsidRPr="00F47229">
        <w:t>,</w:t>
      </w:r>
      <w:r w:rsidRPr="00F47229">
        <w:t>355) assuming equal risk factor distributions across regions.</w:t>
      </w:r>
      <w:r w:rsidR="00D94B72" w:rsidRPr="00F47229">
        <w:br w:type="page"/>
      </w:r>
    </w:p>
    <w:p w14:paraId="5C968F6B" w14:textId="294AE2C4" w:rsidR="0023591C" w:rsidRDefault="0023591C" w:rsidP="0023591C">
      <w:pPr>
        <w:pStyle w:val="Kop1"/>
      </w:pPr>
      <w:r w:rsidRPr="00F47229">
        <w:rPr>
          <w:rStyle w:val="Kop1Char"/>
          <w:b/>
        </w:rPr>
        <w:lastRenderedPageBreak/>
        <w:t>Supplementary Table 1:</w:t>
      </w:r>
      <w:r w:rsidRPr="00F47229">
        <w:t xml:space="preserve"> </w:t>
      </w:r>
      <w:r>
        <w:rPr>
          <w:b w:val="0"/>
        </w:rPr>
        <w:t>Endpoint definitions</w:t>
      </w:r>
    </w:p>
    <w:tbl>
      <w:tblPr>
        <w:tblStyle w:val="Tabelraster1"/>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701"/>
      </w:tblGrid>
      <w:tr w:rsidR="0023591C" w:rsidRPr="0023591C" w14:paraId="02244EBE" w14:textId="77777777" w:rsidTr="0023591C">
        <w:tc>
          <w:tcPr>
            <w:tcW w:w="7650" w:type="dxa"/>
            <w:gridSpan w:val="2"/>
            <w:tcBorders>
              <w:top w:val="single" w:sz="4" w:space="0" w:color="auto"/>
            </w:tcBorders>
            <w:vAlign w:val="bottom"/>
          </w:tcPr>
          <w:p w14:paraId="2F91A99A" w14:textId="57A0405D" w:rsidR="0023591C" w:rsidRPr="0023591C" w:rsidRDefault="0023591C" w:rsidP="0023591C">
            <w:pPr>
              <w:spacing w:line="276" w:lineRule="auto"/>
              <w:rPr>
                <w:bCs/>
                <w:lang w:val="en-GB" w:eastAsia="nl-NL"/>
              </w:rPr>
            </w:pPr>
            <w:r w:rsidRPr="0023591C">
              <w:rPr>
                <w:b/>
                <w:lang w:val="en-GB" w:eastAsia="nl-NL"/>
              </w:rPr>
              <w:t>Fatal cardiovascular disease</w:t>
            </w:r>
          </w:p>
        </w:tc>
      </w:tr>
      <w:tr w:rsidR="0023591C" w:rsidRPr="0023591C" w14:paraId="56B9D164" w14:textId="77777777" w:rsidTr="0023591C">
        <w:tc>
          <w:tcPr>
            <w:tcW w:w="5949" w:type="dxa"/>
            <w:vAlign w:val="bottom"/>
          </w:tcPr>
          <w:p w14:paraId="22018654" w14:textId="77777777" w:rsidR="0023591C" w:rsidRPr="0023591C" w:rsidRDefault="0023591C" w:rsidP="0023591C">
            <w:pPr>
              <w:spacing w:line="276" w:lineRule="auto"/>
              <w:rPr>
                <w:lang w:val="en-GB" w:eastAsia="nl-NL"/>
              </w:rPr>
            </w:pPr>
            <w:r w:rsidRPr="0023591C">
              <w:rPr>
                <w:lang w:val="en-GB" w:eastAsia="nl-NL"/>
              </w:rPr>
              <w:t>Endpoints included</w:t>
            </w:r>
          </w:p>
        </w:tc>
        <w:tc>
          <w:tcPr>
            <w:tcW w:w="1701" w:type="dxa"/>
            <w:vAlign w:val="bottom"/>
          </w:tcPr>
          <w:p w14:paraId="2F8B09C0" w14:textId="77777777" w:rsidR="0023591C" w:rsidRPr="0023591C" w:rsidRDefault="0023591C" w:rsidP="0023591C">
            <w:pPr>
              <w:spacing w:line="276" w:lineRule="auto"/>
              <w:rPr>
                <w:bCs/>
                <w:lang w:val="en-GB" w:eastAsia="nl-NL"/>
              </w:rPr>
            </w:pPr>
            <w:r w:rsidRPr="0023591C">
              <w:rPr>
                <w:bCs/>
                <w:lang w:val="en-GB" w:eastAsia="nl-NL"/>
              </w:rPr>
              <w:t>ICD10-codes</w:t>
            </w:r>
          </w:p>
        </w:tc>
      </w:tr>
      <w:tr w:rsidR="0023591C" w:rsidRPr="0023591C" w14:paraId="6B0F84A7" w14:textId="77777777" w:rsidTr="0023591C">
        <w:tc>
          <w:tcPr>
            <w:tcW w:w="5949" w:type="dxa"/>
            <w:vAlign w:val="center"/>
          </w:tcPr>
          <w:p w14:paraId="31A2C39E" w14:textId="77777777" w:rsidR="0023591C" w:rsidRPr="0023591C" w:rsidRDefault="0023591C" w:rsidP="0023591C">
            <w:pPr>
              <w:spacing w:line="276" w:lineRule="auto"/>
              <w:rPr>
                <w:lang w:val="en-GB" w:eastAsia="nl-NL"/>
              </w:rPr>
            </w:pPr>
            <w:r w:rsidRPr="0023591C">
              <w:rPr>
                <w:lang w:val="en-GB" w:eastAsia="nl-NL"/>
              </w:rPr>
              <w:t>Hypertensive disease</w:t>
            </w:r>
          </w:p>
        </w:tc>
        <w:tc>
          <w:tcPr>
            <w:tcW w:w="1701" w:type="dxa"/>
            <w:vAlign w:val="bottom"/>
          </w:tcPr>
          <w:p w14:paraId="4C375984" w14:textId="77777777" w:rsidR="0023591C" w:rsidRPr="0023591C" w:rsidRDefault="0023591C" w:rsidP="0023591C">
            <w:pPr>
              <w:spacing w:line="276" w:lineRule="auto"/>
              <w:rPr>
                <w:lang w:val="en-GB"/>
              </w:rPr>
            </w:pPr>
            <w:r w:rsidRPr="0023591C">
              <w:rPr>
                <w:lang w:val="en-GB"/>
              </w:rPr>
              <w:t>I10-16</w:t>
            </w:r>
          </w:p>
        </w:tc>
      </w:tr>
      <w:tr w:rsidR="0023591C" w:rsidRPr="0023591C" w14:paraId="1FD37EE8" w14:textId="77777777" w:rsidTr="0023591C">
        <w:tc>
          <w:tcPr>
            <w:tcW w:w="5949" w:type="dxa"/>
            <w:vAlign w:val="center"/>
          </w:tcPr>
          <w:p w14:paraId="4D60FE05" w14:textId="77777777" w:rsidR="0023591C" w:rsidRPr="0023591C" w:rsidRDefault="0023591C" w:rsidP="0023591C">
            <w:pPr>
              <w:spacing w:line="276" w:lineRule="auto"/>
              <w:rPr>
                <w:lang w:val="en-GB" w:eastAsia="nl-NL"/>
              </w:rPr>
            </w:pPr>
            <w:r w:rsidRPr="0023591C">
              <w:rPr>
                <w:lang w:val="en-GB" w:eastAsia="nl-NL"/>
              </w:rPr>
              <w:t>Ischemic heart disease</w:t>
            </w:r>
          </w:p>
        </w:tc>
        <w:tc>
          <w:tcPr>
            <w:tcW w:w="1701" w:type="dxa"/>
            <w:vAlign w:val="bottom"/>
          </w:tcPr>
          <w:p w14:paraId="1CFDE042" w14:textId="77777777" w:rsidR="0023591C" w:rsidRPr="0023591C" w:rsidRDefault="0023591C" w:rsidP="0023591C">
            <w:pPr>
              <w:spacing w:line="276" w:lineRule="auto"/>
              <w:rPr>
                <w:lang w:val="en-GB"/>
              </w:rPr>
            </w:pPr>
            <w:r w:rsidRPr="0023591C">
              <w:rPr>
                <w:lang w:val="en-GB"/>
              </w:rPr>
              <w:t>I20-25</w:t>
            </w:r>
          </w:p>
        </w:tc>
      </w:tr>
      <w:tr w:rsidR="0023591C" w:rsidRPr="0023591C" w14:paraId="314460E4" w14:textId="77777777" w:rsidTr="0023591C">
        <w:tc>
          <w:tcPr>
            <w:tcW w:w="5949" w:type="dxa"/>
            <w:vAlign w:val="center"/>
          </w:tcPr>
          <w:p w14:paraId="0FB85B82" w14:textId="77777777" w:rsidR="0023591C" w:rsidRPr="0023591C" w:rsidRDefault="0023591C" w:rsidP="0023591C">
            <w:pPr>
              <w:spacing w:line="276" w:lineRule="auto"/>
              <w:rPr>
                <w:lang w:val="en-GB" w:eastAsia="nl-NL"/>
              </w:rPr>
            </w:pPr>
            <w:r w:rsidRPr="0023591C">
              <w:rPr>
                <w:lang w:val="en-GB" w:eastAsia="nl-NL"/>
              </w:rPr>
              <w:t>Arrhythmias, heart failure</w:t>
            </w:r>
          </w:p>
        </w:tc>
        <w:tc>
          <w:tcPr>
            <w:tcW w:w="1701" w:type="dxa"/>
            <w:vAlign w:val="bottom"/>
          </w:tcPr>
          <w:p w14:paraId="2E9B39CF" w14:textId="77777777" w:rsidR="0023591C" w:rsidRPr="0023591C" w:rsidRDefault="0023591C" w:rsidP="0023591C">
            <w:pPr>
              <w:spacing w:line="276" w:lineRule="auto"/>
              <w:rPr>
                <w:lang w:val="en-GB"/>
              </w:rPr>
            </w:pPr>
            <w:r w:rsidRPr="0023591C">
              <w:rPr>
                <w:lang w:val="en-GB"/>
              </w:rPr>
              <w:t>I46-52</w:t>
            </w:r>
          </w:p>
        </w:tc>
      </w:tr>
      <w:tr w:rsidR="0023591C" w:rsidRPr="0023591C" w14:paraId="596B46CA" w14:textId="77777777" w:rsidTr="0023591C">
        <w:tc>
          <w:tcPr>
            <w:tcW w:w="5949" w:type="dxa"/>
            <w:vAlign w:val="center"/>
          </w:tcPr>
          <w:p w14:paraId="2745C593" w14:textId="77777777" w:rsidR="0023591C" w:rsidRPr="0023591C" w:rsidRDefault="0023591C" w:rsidP="0023591C">
            <w:pPr>
              <w:spacing w:line="276" w:lineRule="auto"/>
              <w:rPr>
                <w:lang w:val="en-GB" w:eastAsia="nl-NL"/>
              </w:rPr>
            </w:pPr>
            <w:r w:rsidRPr="0023591C">
              <w:rPr>
                <w:lang w:val="en-GB" w:eastAsia="nl-NL"/>
              </w:rPr>
              <w:t>Cerebrovascular disease</w:t>
            </w:r>
          </w:p>
        </w:tc>
        <w:tc>
          <w:tcPr>
            <w:tcW w:w="1701" w:type="dxa"/>
            <w:vAlign w:val="bottom"/>
          </w:tcPr>
          <w:p w14:paraId="3AB95B77" w14:textId="77777777" w:rsidR="0023591C" w:rsidRPr="0023591C" w:rsidRDefault="0023591C" w:rsidP="0023591C">
            <w:pPr>
              <w:spacing w:line="276" w:lineRule="auto"/>
              <w:rPr>
                <w:lang w:val="en-GB"/>
              </w:rPr>
            </w:pPr>
            <w:r w:rsidRPr="0023591C">
              <w:rPr>
                <w:lang w:val="en-GB"/>
              </w:rPr>
              <w:t>I60-69</w:t>
            </w:r>
          </w:p>
        </w:tc>
      </w:tr>
      <w:tr w:rsidR="0023591C" w:rsidRPr="0023591C" w14:paraId="319FB18D" w14:textId="77777777" w:rsidTr="0023591C">
        <w:tc>
          <w:tcPr>
            <w:tcW w:w="5949" w:type="dxa"/>
            <w:vAlign w:val="center"/>
          </w:tcPr>
          <w:p w14:paraId="0387A940" w14:textId="77777777" w:rsidR="0023591C" w:rsidRPr="0023591C" w:rsidRDefault="0023591C" w:rsidP="0023591C">
            <w:pPr>
              <w:spacing w:line="276" w:lineRule="auto"/>
              <w:rPr>
                <w:lang w:val="en-GB" w:eastAsia="nl-NL"/>
              </w:rPr>
            </w:pPr>
            <w:r w:rsidRPr="0023591C">
              <w:rPr>
                <w:lang w:val="en-GB" w:eastAsia="nl-NL"/>
              </w:rPr>
              <w:t>Atherosclerosis/AAA</w:t>
            </w:r>
          </w:p>
        </w:tc>
        <w:tc>
          <w:tcPr>
            <w:tcW w:w="1701" w:type="dxa"/>
            <w:vAlign w:val="bottom"/>
          </w:tcPr>
          <w:p w14:paraId="0674A504" w14:textId="77777777" w:rsidR="0023591C" w:rsidRPr="0023591C" w:rsidRDefault="0023591C" w:rsidP="0023591C">
            <w:pPr>
              <w:spacing w:line="276" w:lineRule="auto"/>
              <w:rPr>
                <w:lang w:val="en-GB"/>
              </w:rPr>
            </w:pPr>
            <w:r w:rsidRPr="0023591C">
              <w:rPr>
                <w:lang w:val="en-GB"/>
              </w:rPr>
              <w:t>I70-73</w:t>
            </w:r>
          </w:p>
        </w:tc>
      </w:tr>
      <w:tr w:rsidR="0023591C" w:rsidRPr="0023591C" w14:paraId="5F09FB52" w14:textId="77777777" w:rsidTr="0023591C">
        <w:tc>
          <w:tcPr>
            <w:tcW w:w="5949" w:type="dxa"/>
            <w:vAlign w:val="center"/>
          </w:tcPr>
          <w:p w14:paraId="566B2D3C" w14:textId="77777777" w:rsidR="0023591C" w:rsidRPr="0023591C" w:rsidRDefault="0023591C" w:rsidP="0023591C">
            <w:pPr>
              <w:spacing w:line="276" w:lineRule="auto"/>
              <w:rPr>
                <w:lang w:val="en-GB" w:eastAsia="nl-NL"/>
              </w:rPr>
            </w:pPr>
            <w:r w:rsidRPr="0023591C">
              <w:rPr>
                <w:lang w:val="en-GB" w:eastAsia="nl-NL"/>
              </w:rPr>
              <w:t>Sudden death and death within 24h of symptom onset</w:t>
            </w:r>
          </w:p>
        </w:tc>
        <w:tc>
          <w:tcPr>
            <w:tcW w:w="1701" w:type="dxa"/>
            <w:vAlign w:val="bottom"/>
          </w:tcPr>
          <w:p w14:paraId="68B34DC8" w14:textId="77777777" w:rsidR="0023591C" w:rsidRPr="0023591C" w:rsidRDefault="0023591C" w:rsidP="0023591C">
            <w:pPr>
              <w:spacing w:line="276" w:lineRule="auto"/>
              <w:rPr>
                <w:lang w:val="en-GB"/>
              </w:rPr>
            </w:pPr>
            <w:r w:rsidRPr="0023591C">
              <w:rPr>
                <w:lang w:val="en-GB"/>
              </w:rPr>
              <w:t>R96.0-96.1</w:t>
            </w:r>
          </w:p>
        </w:tc>
      </w:tr>
      <w:tr w:rsidR="00B8253C" w:rsidRPr="0023591C" w14:paraId="51D59454" w14:textId="77777777" w:rsidTr="003C6CC1">
        <w:tc>
          <w:tcPr>
            <w:tcW w:w="5949" w:type="dxa"/>
          </w:tcPr>
          <w:p w14:paraId="5B227F78" w14:textId="77777777" w:rsidR="00B8253C" w:rsidRDefault="00B8253C" w:rsidP="00B8253C">
            <w:pPr>
              <w:spacing w:line="276" w:lineRule="auto"/>
              <w:rPr>
                <w:i/>
                <w:lang w:val="en-GB"/>
              </w:rPr>
            </w:pPr>
          </w:p>
        </w:tc>
        <w:tc>
          <w:tcPr>
            <w:tcW w:w="1701" w:type="dxa"/>
          </w:tcPr>
          <w:p w14:paraId="55810625" w14:textId="77777777" w:rsidR="00B8253C" w:rsidRPr="0023591C" w:rsidRDefault="00B8253C" w:rsidP="00B8253C">
            <w:pPr>
              <w:spacing w:line="276" w:lineRule="auto"/>
              <w:rPr>
                <w:lang w:val="en-GB"/>
              </w:rPr>
            </w:pPr>
          </w:p>
        </w:tc>
      </w:tr>
      <w:tr w:rsidR="00B8253C" w:rsidRPr="0023591C" w14:paraId="2C0E3453" w14:textId="77777777" w:rsidTr="003C6CC1">
        <w:tc>
          <w:tcPr>
            <w:tcW w:w="5949" w:type="dxa"/>
          </w:tcPr>
          <w:p w14:paraId="1CFB65AA" w14:textId="00CF395F" w:rsidR="00B8253C" w:rsidRPr="0023591C" w:rsidRDefault="00B8253C" w:rsidP="00B8253C">
            <w:pPr>
              <w:spacing w:line="276" w:lineRule="auto"/>
              <w:rPr>
                <w:lang w:val="en-GB" w:eastAsia="nl-NL"/>
              </w:rPr>
            </w:pPr>
            <w:r>
              <w:rPr>
                <w:i/>
                <w:lang w:val="en-GB"/>
              </w:rPr>
              <w:t>Excluding the following</w:t>
            </w:r>
          </w:p>
        </w:tc>
        <w:tc>
          <w:tcPr>
            <w:tcW w:w="1701" w:type="dxa"/>
          </w:tcPr>
          <w:p w14:paraId="7377DB4F" w14:textId="77777777" w:rsidR="00B8253C" w:rsidRPr="0023591C" w:rsidRDefault="00B8253C" w:rsidP="00B8253C">
            <w:pPr>
              <w:spacing w:line="276" w:lineRule="auto"/>
              <w:rPr>
                <w:lang w:val="en-GB"/>
              </w:rPr>
            </w:pPr>
          </w:p>
        </w:tc>
      </w:tr>
      <w:tr w:rsidR="00B8253C" w:rsidRPr="0023591C" w14:paraId="7BB9E632" w14:textId="77777777" w:rsidTr="0023591C">
        <w:tc>
          <w:tcPr>
            <w:tcW w:w="5949" w:type="dxa"/>
            <w:vAlign w:val="center"/>
          </w:tcPr>
          <w:p w14:paraId="0F08E168" w14:textId="77777777" w:rsidR="00B8253C" w:rsidRPr="0023591C" w:rsidRDefault="00B8253C" w:rsidP="00B8253C">
            <w:pPr>
              <w:spacing w:line="276" w:lineRule="auto"/>
              <w:rPr>
                <w:lang w:val="en-GB" w:eastAsia="nl-NL"/>
              </w:rPr>
            </w:pPr>
            <w:r w:rsidRPr="0023591C">
              <w:rPr>
                <w:lang w:val="en-GB" w:eastAsia="nl-NL"/>
              </w:rPr>
              <w:t>Myocarditis, unspecified</w:t>
            </w:r>
          </w:p>
        </w:tc>
        <w:tc>
          <w:tcPr>
            <w:tcW w:w="1701" w:type="dxa"/>
            <w:vAlign w:val="bottom"/>
          </w:tcPr>
          <w:p w14:paraId="62BC0D73" w14:textId="77777777" w:rsidR="00B8253C" w:rsidRPr="0023591C" w:rsidRDefault="00B8253C" w:rsidP="00B8253C">
            <w:pPr>
              <w:spacing w:line="276" w:lineRule="auto"/>
              <w:rPr>
                <w:lang w:val="en-GB"/>
              </w:rPr>
            </w:pPr>
            <w:r w:rsidRPr="0023591C">
              <w:rPr>
                <w:lang w:val="en-GB"/>
              </w:rPr>
              <w:t>I51.4</w:t>
            </w:r>
          </w:p>
        </w:tc>
      </w:tr>
      <w:tr w:rsidR="00B8253C" w:rsidRPr="0023591C" w14:paraId="155753AC" w14:textId="77777777" w:rsidTr="0023591C">
        <w:tc>
          <w:tcPr>
            <w:tcW w:w="5949" w:type="dxa"/>
            <w:vAlign w:val="center"/>
          </w:tcPr>
          <w:p w14:paraId="25C0FE5B" w14:textId="77777777" w:rsidR="00B8253C" w:rsidRPr="0023591C" w:rsidRDefault="00B8253C" w:rsidP="00B8253C">
            <w:pPr>
              <w:spacing w:line="276" w:lineRule="auto"/>
              <w:rPr>
                <w:lang w:val="en-GB" w:eastAsia="nl-NL"/>
              </w:rPr>
            </w:pPr>
            <w:r w:rsidRPr="0023591C">
              <w:rPr>
                <w:lang w:val="en-GB" w:eastAsia="nl-NL"/>
              </w:rPr>
              <w:t>Subarachnoid haemorrhage</w:t>
            </w:r>
          </w:p>
        </w:tc>
        <w:tc>
          <w:tcPr>
            <w:tcW w:w="1701" w:type="dxa"/>
            <w:vAlign w:val="bottom"/>
          </w:tcPr>
          <w:p w14:paraId="77EABC00" w14:textId="77777777" w:rsidR="00B8253C" w:rsidRPr="0023591C" w:rsidRDefault="00B8253C" w:rsidP="00B8253C">
            <w:pPr>
              <w:spacing w:line="276" w:lineRule="auto"/>
              <w:rPr>
                <w:lang w:val="en-GB"/>
              </w:rPr>
            </w:pPr>
            <w:r w:rsidRPr="0023591C">
              <w:rPr>
                <w:lang w:val="en-GB"/>
              </w:rPr>
              <w:t>I60</w:t>
            </w:r>
          </w:p>
        </w:tc>
      </w:tr>
      <w:tr w:rsidR="00B8253C" w:rsidRPr="0023591C" w14:paraId="39D68DAB" w14:textId="77777777" w:rsidTr="0023591C">
        <w:tc>
          <w:tcPr>
            <w:tcW w:w="5949" w:type="dxa"/>
            <w:vAlign w:val="center"/>
          </w:tcPr>
          <w:p w14:paraId="5231A72E" w14:textId="77777777" w:rsidR="00B8253C" w:rsidRPr="0023591C" w:rsidRDefault="00B8253C" w:rsidP="00B8253C">
            <w:pPr>
              <w:spacing w:line="276" w:lineRule="auto"/>
              <w:rPr>
                <w:lang w:val="en-GB" w:eastAsia="nl-NL"/>
              </w:rPr>
            </w:pPr>
            <w:r w:rsidRPr="0023591C">
              <w:rPr>
                <w:lang w:val="en-GB" w:eastAsia="nl-NL"/>
              </w:rPr>
              <w:t xml:space="preserve">Subdural haemorrhage </w:t>
            </w:r>
          </w:p>
        </w:tc>
        <w:tc>
          <w:tcPr>
            <w:tcW w:w="1701" w:type="dxa"/>
            <w:vAlign w:val="bottom"/>
          </w:tcPr>
          <w:p w14:paraId="55E77B4F" w14:textId="77777777" w:rsidR="00B8253C" w:rsidRPr="0023591C" w:rsidRDefault="00B8253C" w:rsidP="00B8253C">
            <w:pPr>
              <w:spacing w:line="276" w:lineRule="auto"/>
              <w:rPr>
                <w:lang w:val="en-GB"/>
              </w:rPr>
            </w:pPr>
            <w:r w:rsidRPr="0023591C">
              <w:rPr>
                <w:lang w:val="en-GB"/>
              </w:rPr>
              <w:t>I62</w:t>
            </w:r>
          </w:p>
        </w:tc>
      </w:tr>
      <w:tr w:rsidR="00B8253C" w:rsidRPr="0023591C" w14:paraId="39A5CB9F" w14:textId="77777777" w:rsidTr="0023591C">
        <w:tc>
          <w:tcPr>
            <w:tcW w:w="5949" w:type="dxa"/>
            <w:vAlign w:val="center"/>
          </w:tcPr>
          <w:p w14:paraId="7705B368" w14:textId="77777777" w:rsidR="00B8253C" w:rsidRPr="0023591C" w:rsidRDefault="00B8253C" w:rsidP="00B8253C">
            <w:pPr>
              <w:spacing w:line="276" w:lineRule="auto"/>
              <w:rPr>
                <w:lang w:val="en-GB" w:eastAsia="nl-NL"/>
              </w:rPr>
            </w:pPr>
            <w:r w:rsidRPr="0023591C">
              <w:rPr>
                <w:lang w:val="en-GB" w:eastAsia="nl-NL"/>
              </w:rPr>
              <w:t>Cerebral aneurysm</w:t>
            </w:r>
          </w:p>
        </w:tc>
        <w:tc>
          <w:tcPr>
            <w:tcW w:w="1701" w:type="dxa"/>
            <w:vAlign w:val="bottom"/>
          </w:tcPr>
          <w:p w14:paraId="30C09844" w14:textId="77777777" w:rsidR="00B8253C" w:rsidRPr="0023591C" w:rsidRDefault="00B8253C" w:rsidP="00B8253C">
            <w:pPr>
              <w:spacing w:line="276" w:lineRule="auto"/>
              <w:rPr>
                <w:lang w:val="en-GB"/>
              </w:rPr>
            </w:pPr>
            <w:r w:rsidRPr="0023591C">
              <w:rPr>
                <w:lang w:val="en-GB"/>
              </w:rPr>
              <w:t>I67.1</w:t>
            </w:r>
          </w:p>
        </w:tc>
      </w:tr>
      <w:tr w:rsidR="00B8253C" w:rsidRPr="0023591C" w14:paraId="02FFD321" w14:textId="77777777" w:rsidTr="0023591C">
        <w:tc>
          <w:tcPr>
            <w:tcW w:w="5949" w:type="dxa"/>
            <w:vAlign w:val="center"/>
          </w:tcPr>
          <w:p w14:paraId="28816FC0" w14:textId="77777777" w:rsidR="00B8253C" w:rsidRPr="0023591C" w:rsidRDefault="00B8253C" w:rsidP="00B8253C">
            <w:pPr>
              <w:spacing w:line="276" w:lineRule="auto"/>
              <w:rPr>
                <w:lang w:val="en-GB" w:eastAsia="nl-NL"/>
              </w:rPr>
            </w:pPr>
            <w:r w:rsidRPr="0023591C">
              <w:rPr>
                <w:lang w:val="en-GB" w:eastAsia="nl-NL"/>
              </w:rPr>
              <w:t>Cerebral arteritis</w:t>
            </w:r>
          </w:p>
        </w:tc>
        <w:tc>
          <w:tcPr>
            <w:tcW w:w="1701" w:type="dxa"/>
            <w:vAlign w:val="bottom"/>
          </w:tcPr>
          <w:p w14:paraId="08A8DC30" w14:textId="77777777" w:rsidR="00B8253C" w:rsidRPr="0023591C" w:rsidRDefault="00B8253C" w:rsidP="00B8253C">
            <w:pPr>
              <w:spacing w:line="276" w:lineRule="auto"/>
              <w:rPr>
                <w:lang w:val="en-GB"/>
              </w:rPr>
            </w:pPr>
            <w:r w:rsidRPr="0023591C">
              <w:rPr>
                <w:lang w:val="en-GB"/>
              </w:rPr>
              <w:t>I68.2</w:t>
            </w:r>
          </w:p>
        </w:tc>
      </w:tr>
      <w:tr w:rsidR="00B8253C" w:rsidRPr="0023591C" w14:paraId="6816731B" w14:textId="77777777" w:rsidTr="0023591C">
        <w:tc>
          <w:tcPr>
            <w:tcW w:w="5949" w:type="dxa"/>
            <w:vAlign w:val="center"/>
          </w:tcPr>
          <w:p w14:paraId="2B5343EC" w14:textId="77777777" w:rsidR="00B8253C" w:rsidRPr="0023591C" w:rsidRDefault="00B8253C" w:rsidP="00B8253C">
            <w:pPr>
              <w:spacing w:line="276" w:lineRule="auto"/>
              <w:rPr>
                <w:lang w:val="en-GB" w:eastAsia="nl-NL"/>
              </w:rPr>
            </w:pPr>
            <w:r w:rsidRPr="0023591C">
              <w:rPr>
                <w:lang w:val="en-GB" w:eastAsia="nl-NL"/>
              </w:rPr>
              <w:t>Moyamoya</w:t>
            </w:r>
          </w:p>
        </w:tc>
        <w:tc>
          <w:tcPr>
            <w:tcW w:w="1701" w:type="dxa"/>
            <w:vAlign w:val="bottom"/>
          </w:tcPr>
          <w:p w14:paraId="346191A6" w14:textId="77777777" w:rsidR="00B8253C" w:rsidRPr="0023591C" w:rsidRDefault="00B8253C" w:rsidP="00B8253C">
            <w:pPr>
              <w:spacing w:line="276" w:lineRule="auto"/>
              <w:rPr>
                <w:lang w:val="en-GB"/>
              </w:rPr>
            </w:pPr>
            <w:r w:rsidRPr="0023591C">
              <w:rPr>
                <w:lang w:val="en-GB"/>
              </w:rPr>
              <w:t>I67.5</w:t>
            </w:r>
          </w:p>
        </w:tc>
      </w:tr>
      <w:tr w:rsidR="00B8253C" w:rsidRPr="0023591C" w14:paraId="4C856736" w14:textId="77777777" w:rsidTr="0023591C">
        <w:tc>
          <w:tcPr>
            <w:tcW w:w="5949" w:type="dxa"/>
            <w:vAlign w:val="center"/>
          </w:tcPr>
          <w:p w14:paraId="404AB138" w14:textId="77777777" w:rsidR="00B8253C" w:rsidRPr="0023591C" w:rsidRDefault="00B8253C" w:rsidP="00B8253C">
            <w:pPr>
              <w:spacing w:line="276" w:lineRule="auto"/>
              <w:rPr>
                <w:lang w:val="en-GB" w:eastAsia="nl-NL"/>
              </w:rPr>
            </w:pPr>
          </w:p>
        </w:tc>
        <w:tc>
          <w:tcPr>
            <w:tcW w:w="1701" w:type="dxa"/>
            <w:vAlign w:val="bottom"/>
          </w:tcPr>
          <w:p w14:paraId="0C7D8617" w14:textId="77777777" w:rsidR="00B8253C" w:rsidRPr="0023591C" w:rsidRDefault="00B8253C" w:rsidP="00B8253C">
            <w:pPr>
              <w:spacing w:line="276" w:lineRule="auto"/>
              <w:rPr>
                <w:lang w:val="en-GB" w:eastAsia="nl-NL"/>
              </w:rPr>
            </w:pPr>
          </w:p>
        </w:tc>
      </w:tr>
      <w:tr w:rsidR="00B8253C" w:rsidRPr="0023591C" w14:paraId="31A3836B" w14:textId="77777777" w:rsidTr="0023591C">
        <w:tc>
          <w:tcPr>
            <w:tcW w:w="5949" w:type="dxa"/>
          </w:tcPr>
          <w:p w14:paraId="4EF0F361" w14:textId="77564514" w:rsidR="00B8253C" w:rsidRPr="0023591C" w:rsidRDefault="00B8253C" w:rsidP="00B8253C">
            <w:pPr>
              <w:spacing w:line="276" w:lineRule="auto"/>
              <w:rPr>
                <w:b/>
                <w:lang w:val="en-GB"/>
              </w:rPr>
            </w:pPr>
            <w:r>
              <w:rPr>
                <w:b/>
                <w:lang w:val="en-GB"/>
              </w:rPr>
              <w:t>Non-f</w:t>
            </w:r>
            <w:r w:rsidRPr="0023591C">
              <w:rPr>
                <w:b/>
                <w:lang w:val="en-GB"/>
              </w:rPr>
              <w:t>atal events</w:t>
            </w:r>
          </w:p>
        </w:tc>
        <w:tc>
          <w:tcPr>
            <w:tcW w:w="1701" w:type="dxa"/>
          </w:tcPr>
          <w:p w14:paraId="0CB5B312" w14:textId="77777777" w:rsidR="00B8253C" w:rsidRPr="0023591C" w:rsidRDefault="00B8253C" w:rsidP="00B8253C">
            <w:pPr>
              <w:spacing w:line="276" w:lineRule="auto"/>
              <w:rPr>
                <w:lang w:val="en-GB"/>
              </w:rPr>
            </w:pPr>
          </w:p>
        </w:tc>
      </w:tr>
      <w:tr w:rsidR="00B8253C" w:rsidRPr="0023591C" w14:paraId="2EA89E75" w14:textId="77777777" w:rsidTr="0023591C">
        <w:tc>
          <w:tcPr>
            <w:tcW w:w="5949" w:type="dxa"/>
          </w:tcPr>
          <w:p w14:paraId="6D948DE0" w14:textId="77777777" w:rsidR="00B8253C" w:rsidRPr="0023591C" w:rsidRDefault="00B8253C" w:rsidP="00B8253C">
            <w:pPr>
              <w:spacing w:line="276" w:lineRule="auto"/>
              <w:rPr>
                <w:lang w:val="en-GB"/>
              </w:rPr>
            </w:pPr>
            <w:r w:rsidRPr="0023591C">
              <w:rPr>
                <w:lang w:val="en-GB"/>
              </w:rPr>
              <w:t>Non-fatal myocardial infarction</w:t>
            </w:r>
          </w:p>
        </w:tc>
        <w:tc>
          <w:tcPr>
            <w:tcW w:w="1701" w:type="dxa"/>
          </w:tcPr>
          <w:p w14:paraId="7713C57B" w14:textId="77777777" w:rsidR="00B8253C" w:rsidRPr="0023591C" w:rsidRDefault="00B8253C" w:rsidP="00B8253C">
            <w:pPr>
              <w:spacing w:line="276" w:lineRule="auto"/>
              <w:rPr>
                <w:lang w:val="en-GB"/>
              </w:rPr>
            </w:pPr>
            <w:r w:rsidRPr="0023591C">
              <w:rPr>
                <w:lang w:val="en-GB"/>
              </w:rPr>
              <w:t>I21-I23</w:t>
            </w:r>
          </w:p>
        </w:tc>
      </w:tr>
      <w:tr w:rsidR="00B8253C" w:rsidRPr="0023591C" w14:paraId="2DC22079" w14:textId="77777777" w:rsidTr="0023591C">
        <w:tc>
          <w:tcPr>
            <w:tcW w:w="5949" w:type="dxa"/>
          </w:tcPr>
          <w:p w14:paraId="15D3CC78" w14:textId="77777777" w:rsidR="00B8253C" w:rsidRPr="0023591C" w:rsidRDefault="00B8253C" w:rsidP="00B8253C">
            <w:pPr>
              <w:spacing w:line="276" w:lineRule="auto"/>
              <w:rPr>
                <w:lang w:val="en-GB"/>
              </w:rPr>
            </w:pPr>
            <w:r w:rsidRPr="0023591C">
              <w:rPr>
                <w:lang w:val="en-GB"/>
              </w:rPr>
              <w:t>Non-fatal stroke</w:t>
            </w:r>
          </w:p>
        </w:tc>
        <w:tc>
          <w:tcPr>
            <w:tcW w:w="1701" w:type="dxa"/>
          </w:tcPr>
          <w:p w14:paraId="7957C286" w14:textId="77777777" w:rsidR="00B8253C" w:rsidRPr="0023591C" w:rsidRDefault="00B8253C" w:rsidP="00B8253C">
            <w:pPr>
              <w:spacing w:line="276" w:lineRule="auto"/>
              <w:rPr>
                <w:lang w:val="en-GB"/>
              </w:rPr>
            </w:pPr>
            <w:r w:rsidRPr="0023591C">
              <w:rPr>
                <w:lang w:val="en-GB"/>
              </w:rPr>
              <w:t>I60-69</w:t>
            </w:r>
          </w:p>
        </w:tc>
      </w:tr>
      <w:tr w:rsidR="00B8253C" w:rsidRPr="0023591C" w14:paraId="5D0F50B7" w14:textId="77777777" w:rsidTr="0023591C">
        <w:tc>
          <w:tcPr>
            <w:tcW w:w="5949" w:type="dxa"/>
          </w:tcPr>
          <w:p w14:paraId="7089A5AF" w14:textId="77777777" w:rsidR="00B8253C" w:rsidRDefault="00B8253C" w:rsidP="00B8253C">
            <w:pPr>
              <w:spacing w:line="276" w:lineRule="auto"/>
              <w:rPr>
                <w:i/>
                <w:lang w:val="en-GB"/>
              </w:rPr>
            </w:pPr>
          </w:p>
        </w:tc>
        <w:tc>
          <w:tcPr>
            <w:tcW w:w="1701" w:type="dxa"/>
          </w:tcPr>
          <w:p w14:paraId="6BA6120C" w14:textId="77777777" w:rsidR="00B8253C" w:rsidRPr="0023591C" w:rsidRDefault="00B8253C" w:rsidP="00B8253C">
            <w:pPr>
              <w:spacing w:line="276" w:lineRule="auto"/>
              <w:rPr>
                <w:lang w:val="en-GB"/>
              </w:rPr>
            </w:pPr>
          </w:p>
        </w:tc>
      </w:tr>
      <w:tr w:rsidR="00B8253C" w:rsidRPr="0023591C" w14:paraId="6380EB65" w14:textId="77777777" w:rsidTr="0023591C">
        <w:tc>
          <w:tcPr>
            <w:tcW w:w="5949" w:type="dxa"/>
          </w:tcPr>
          <w:p w14:paraId="0B648BD7" w14:textId="56204FBD" w:rsidR="00B8253C" w:rsidRPr="0023591C" w:rsidRDefault="00B8253C" w:rsidP="00B8253C">
            <w:pPr>
              <w:spacing w:line="276" w:lineRule="auto"/>
              <w:rPr>
                <w:i/>
                <w:lang w:val="en-GB"/>
              </w:rPr>
            </w:pPr>
            <w:r>
              <w:rPr>
                <w:i/>
                <w:lang w:val="en-GB"/>
              </w:rPr>
              <w:t>Excluding the following</w:t>
            </w:r>
          </w:p>
        </w:tc>
        <w:tc>
          <w:tcPr>
            <w:tcW w:w="1701" w:type="dxa"/>
          </w:tcPr>
          <w:p w14:paraId="2B556E54" w14:textId="77777777" w:rsidR="00B8253C" w:rsidRPr="0023591C" w:rsidRDefault="00B8253C" w:rsidP="00B8253C">
            <w:pPr>
              <w:spacing w:line="276" w:lineRule="auto"/>
              <w:rPr>
                <w:lang w:val="en-GB"/>
              </w:rPr>
            </w:pPr>
          </w:p>
        </w:tc>
      </w:tr>
      <w:tr w:rsidR="00B8253C" w:rsidRPr="0023591C" w14:paraId="1BA2662D" w14:textId="77777777" w:rsidTr="0023591C">
        <w:tc>
          <w:tcPr>
            <w:tcW w:w="5949" w:type="dxa"/>
            <w:vAlign w:val="center"/>
          </w:tcPr>
          <w:p w14:paraId="1FF41E45" w14:textId="77777777" w:rsidR="00B8253C" w:rsidRPr="0023591C" w:rsidRDefault="00B8253C" w:rsidP="00B8253C">
            <w:pPr>
              <w:spacing w:line="276" w:lineRule="auto"/>
              <w:rPr>
                <w:lang w:val="en-GB"/>
              </w:rPr>
            </w:pPr>
            <w:r w:rsidRPr="0023591C">
              <w:rPr>
                <w:lang w:val="en-GB"/>
              </w:rPr>
              <w:t>Subarachnoid hemorrhage</w:t>
            </w:r>
          </w:p>
        </w:tc>
        <w:tc>
          <w:tcPr>
            <w:tcW w:w="1701" w:type="dxa"/>
            <w:vAlign w:val="bottom"/>
          </w:tcPr>
          <w:p w14:paraId="733A0884" w14:textId="77777777" w:rsidR="00B8253C" w:rsidRPr="0023591C" w:rsidRDefault="00B8253C" w:rsidP="00B8253C">
            <w:pPr>
              <w:spacing w:line="276" w:lineRule="auto"/>
              <w:rPr>
                <w:lang w:val="en-GB"/>
              </w:rPr>
            </w:pPr>
            <w:r w:rsidRPr="0023591C">
              <w:rPr>
                <w:lang w:val="en-GB"/>
              </w:rPr>
              <w:t>I60</w:t>
            </w:r>
          </w:p>
        </w:tc>
      </w:tr>
      <w:tr w:rsidR="00B8253C" w:rsidRPr="0023591C" w14:paraId="235555FC" w14:textId="77777777" w:rsidTr="0023591C">
        <w:tc>
          <w:tcPr>
            <w:tcW w:w="5949" w:type="dxa"/>
            <w:vAlign w:val="center"/>
          </w:tcPr>
          <w:p w14:paraId="403686F1" w14:textId="77777777" w:rsidR="00B8253C" w:rsidRPr="0023591C" w:rsidRDefault="00B8253C" w:rsidP="00B8253C">
            <w:pPr>
              <w:spacing w:line="276" w:lineRule="auto"/>
              <w:rPr>
                <w:lang w:val="en-GB"/>
              </w:rPr>
            </w:pPr>
            <w:r w:rsidRPr="0023591C">
              <w:rPr>
                <w:lang w:val="en-GB"/>
              </w:rPr>
              <w:t xml:space="preserve">Subdural hemorrhage </w:t>
            </w:r>
          </w:p>
        </w:tc>
        <w:tc>
          <w:tcPr>
            <w:tcW w:w="1701" w:type="dxa"/>
            <w:vAlign w:val="bottom"/>
          </w:tcPr>
          <w:p w14:paraId="06E3A70B" w14:textId="77777777" w:rsidR="00B8253C" w:rsidRPr="0023591C" w:rsidRDefault="00B8253C" w:rsidP="00B8253C">
            <w:pPr>
              <w:spacing w:line="276" w:lineRule="auto"/>
              <w:rPr>
                <w:lang w:val="en-GB"/>
              </w:rPr>
            </w:pPr>
            <w:r w:rsidRPr="0023591C">
              <w:rPr>
                <w:lang w:val="en-GB"/>
              </w:rPr>
              <w:t>I62</w:t>
            </w:r>
          </w:p>
        </w:tc>
      </w:tr>
      <w:tr w:rsidR="00B8253C" w:rsidRPr="0023591C" w14:paraId="7F2BF268" w14:textId="77777777" w:rsidTr="0023591C">
        <w:tc>
          <w:tcPr>
            <w:tcW w:w="5949" w:type="dxa"/>
            <w:vAlign w:val="center"/>
          </w:tcPr>
          <w:p w14:paraId="1BD07B04" w14:textId="77777777" w:rsidR="00B8253C" w:rsidRPr="0023591C" w:rsidRDefault="00B8253C" w:rsidP="00B8253C">
            <w:pPr>
              <w:spacing w:line="276" w:lineRule="auto"/>
              <w:rPr>
                <w:lang w:val="en-GB"/>
              </w:rPr>
            </w:pPr>
            <w:r w:rsidRPr="0023591C">
              <w:rPr>
                <w:lang w:val="en-GB"/>
              </w:rPr>
              <w:t>Cerebral aneurysm</w:t>
            </w:r>
          </w:p>
        </w:tc>
        <w:tc>
          <w:tcPr>
            <w:tcW w:w="1701" w:type="dxa"/>
            <w:vAlign w:val="bottom"/>
          </w:tcPr>
          <w:p w14:paraId="280C1375" w14:textId="77777777" w:rsidR="00B8253C" w:rsidRPr="0023591C" w:rsidRDefault="00B8253C" w:rsidP="00B8253C">
            <w:pPr>
              <w:spacing w:line="276" w:lineRule="auto"/>
              <w:rPr>
                <w:lang w:val="en-GB"/>
              </w:rPr>
            </w:pPr>
            <w:r w:rsidRPr="0023591C">
              <w:rPr>
                <w:lang w:val="en-GB"/>
              </w:rPr>
              <w:t>I67.1</w:t>
            </w:r>
          </w:p>
        </w:tc>
      </w:tr>
      <w:tr w:rsidR="00B8253C" w:rsidRPr="0023591C" w14:paraId="455C6D15" w14:textId="77777777" w:rsidTr="0023591C">
        <w:tc>
          <w:tcPr>
            <w:tcW w:w="5949" w:type="dxa"/>
            <w:vAlign w:val="center"/>
          </w:tcPr>
          <w:p w14:paraId="53FF76FE" w14:textId="77777777" w:rsidR="00B8253C" w:rsidRPr="0023591C" w:rsidRDefault="00B8253C" w:rsidP="00B8253C">
            <w:pPr>
              <w:spacing w:line="276" w:lineRule="auto"/>
              <w:rPr>
                <w:lang w:val="en-GB"/>
              </w:rPr>
            </w:pPr>
            <w:r w:rsidRPr="0023591C">
              <w:rPr>
                <w:lang w:val="en-GB"/>
              </w:rPr>
              <w:t>Cerebral arteritis</w:t>
            </w:r>
          </w:p>
        </w:tc>
        <w:tc>
          <w:tcPr>
            <w:tcW w:w="1701" w:type="dxa"/>
            <w:vAlign w:val="bottom"/>
          </w:tcPr>
          <w:p w14:paraId="0A84C7D1" w14:textId="77777777" w:rsidR="00B8253C" w:rsidRPr="0023591C" w:rsidRDefault="00B8253C" w:rsidP="00B8253C">
            <w:pPr>
              <w:spacing w:line="276" w:lineRule="auto"/>
              <w:rPr>
                <w:lang w:val="en-GB"/>
              </w:rPr>
            </w:pPr>
            <w:r w:rsidRPr="0023591C">
              <w:rPr>
                <w:lang w:val="en-GB"/>
              </w:rPr>
              <w:t>I68.2</w:t>
            </w:r>
          </w:p>
        </w:tc>
      </w:tr>
      <w:tr w:rsidR="00B8253C" w:rsidRPr="0023591C" w14:paraId="3C202276" w14:textId="77777777" w:rsidTr="0023591C">
        <w:tc>
          <w:tcPr>
            <w:tcW w:w="5949" w:type="dxa"/>
            <w:tcBorders>
              <w:bottom w:val="single" w:sz="4" w:space="0" w:color="auto"/>
            </w:tcBorders>
            <w:vAlign w:val="center"/>
          </w:tcPr>
          <w:p w14:paraId="05D18B5C" w14:textId="77777777" w:rsidR="00B8253C" w:rsidRPr="0023591C" w:rsidRDefault="00B8253C" w:rsidP="00B8253C">
            <w:pPr>
              <w:spacing w:line="276" w:lineRule="auto"/>
              <w:rPr>
                <w:lang w:val="en-GB"/>
              </w:rPr>
            </w:pPr>
            <w:r w:rsidRPr="0023591C">
              <w:rPr>
                <w:lang w:val="en-GB"/>
              </w:rPr>
              <w:t>Moyamoya</w:t>
            </w:r>
          </w:p>
        </w:tc>
        <w:tc>
          <w:tcPr>
            <w:tcW w:w="1701" w:type="dxa"/>
            <w:tcBorders>
              <w:bottom w:val="single" w:sz="4" w:space="0" w:color="auto"/>
            </w:tcBorders>
            <w:vAlign w:val="bottom"/>
          </w:tcPr>
          <w:p w14:paraId="52DBFBE6" w14:textId="77777777" w:rsidR="00B8253C" w:rsidRPr="0023591C" w:rsidRDefault="00B8253C" w:rsidP="00B8253C">
            <w:pPr>
              <w:spacing w:line="276" w:lineRule="auto"/>
              <w:rPr>
                <w:lang w:val="en-GB"/>
              </w:rPr>
            </w:pPr>
            <w:r w:rsidRPr="0023591C">
              <w:rPr>
                <w:lang w:val="en-GB"/>
              </w:rPr>
              <w:t>I67.5</w:t>
            </w:r>
          </w:p>
        </w:tc>
      </w:tr>
    </w:tbl>
    <w:p w14:paraId="4D07F049" w14:textId="1973004F" w:rsidR="0023591C" w:rsidRPr="00F47229" w:rsidRDefault="0023591C">
      <w:pPr>
        <w:spacing w:after="200" w:line="276" w:lineRule="auto"/>
        <w:jc w:val="left"/>
        <w:sectPr w:rsidR="0023591C" w:rsidRPr="00F47229" w:rsidSect="00793335">
          <w:footerReference w:type="default" r:id="rId16"/>
          <w:pgSz w:w="12240" w:h="15840"/>
          <w:pgMar w:top="1440" w:right="1440" w:bottom="1440" w:left="1440" w:header="720" w:footer="720" w:gutter="0"/>
          <w:cols w:space="720"/>
          <w:docGrid w:linePitch="360"/>
        </w:sectPr>
      </w:pPr>
      <w:r>
        <w:t>Endpoint</w:t>
      </w:r>
      <w:r w:rsidR="00B8253C">
        <w:t xml:space="preserve"> definitions depend on cohort availability but where ideally defined as stated above</w:t>
      </w:r>
    </w:p>
    <w:p w14:paraId="0B8DEE99" w14:textId="1F0058DD" w:rsidR="00D255DB" w:rsidRPr="00F47229" w:rsidRDefault="00D255DB">
      <w:pPr>
        <w:spacing w:after="200" w:line="276" w:lineRule="auto"/>
        <w:jc w:val="left"/>
      </w:pPr>
    </w:p>
    <w:p w14:paraId="1EB437E1" w14:textId="3804FD9E" w:rsidR="00321200" w:rsidRPr="00F47229" w:rsidRDefault="00321200" w:rsidP="00321200">
      <w:pPr>
        <w:pStyle w:val="Kop1"/>
      </w:pPr>
      <w:r w:rsidRPr="00F47229">
        <w:rPr>
          <w:rStyle w:val="Kop1Char"/>
          <w:b/>
        </w:rPr>
        <w:t xml:space="preserve">Supplementary Table </w:t>
      </w:r>
      <w:r w:rsidR="00A10985">
        <w:rPr>
          <w:rStyle w:val="Kop1Char"/>
          <w:b/>
        </w:rPr>
        <w:t>2</w:t>
      </w:r>
      <w:r w:rsidRPr="00F47229">
        <w:rPr>
          <w:rStyle w:val="Kop1Char"/>
          <w:b/>
        </w:rPr>
        <w:t>:</w:t>
      </w:r>
      <w:r w:rsidRPr="00F47229">
        <w:t xml:space="preserve"> </w:t>
      </w:r>
      <w:r w:rsidRPr="00F47229">
        <w:rPr>
          <w:b w:val="0"/>
        </w:rPr>
        <w:t>Model parameters and prediction algorithm</w:t>
      </w:r>
    </w:p>
    <w:tbl>
      <w:tblPr>
        <w:tblW w:w="9612" w:type="dxa"/>
        <w:tblCellMar>
          <w:left w:w="70" w:type="dxa"/>
          <w:right w:w="70" w:type="dxa"/>
        </w:tblCellMar>
        <w:tblLook w:val="04A0" w:firstRow="1" w:lastRow="0" w:firstColumn="1" w:lastColumn="0" w:noHBand="0" w:noVBand="1"/>
      </w:tblPr>
      <w:tblGrid>
        <w:gridCol w:w="2956"/>
        <w:gridCol w:w="1006"/>
        <w:gridCol w:w="1435"/>
        <w:gridCol w:w="1047"/>
        <w:gridCol w:w="2162"/>
        <w:gridCol w:w="1006"/>
      </w:tblGrid>
      <w:tr w:rsidR="00321200" w:rsidRPr="00F47229" w14:paraId="1020CA79" w14:textId="77777777" w:rsidTr="00080DB4">
        <w:trPr>
          <w:trHeight w:val="331"/>
        </w:trPr>
        <w:tc>
          <w:tcPr>
            <w:tcW w:w="2956" w:type="dxa"/>
            <w:tcBorders>
              <w:top w:val="single" w:sz="4" w:space="0" w:color="auto"/>
              <w:left w:val="nil"/>
              <w:bottom w:val="nil"/>
              <w:right w:val="nil"/>
            </w:tcBorders>
            <w:shd w:val="clear" w:color="auto" w:fill="auto"/>
            <w:noWrap/>
            <w:vAlign w:val="bottom"/>
            <w:hideMark/>
          </w:tcPr>
          <w:p w14:paraId="02D06D56"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Coeficients</w:t>
            </w:r>
          </w:p>
        </w:tc>
        <w:tc>
          <w:tcPr>
            <w:tcW w:w="1006" w:type="dxa"/>
            <w:tcBorders>
              <w:top w:val="single" w:sz="4" w:space="0" w:color="auto"/>
              <w:left w:val="nil"/>
              <w:bottom w:val="nil"/>
              <w:right w:val="nil"/>
            </w:tcBorders>
            <w:shd w:val="clear" w:color="auto" w:fill="auto"/>
            <w:noWrap/>
            <w:vAlign w:val="bottom"/>
            <w:hideMark/>
          </w:tcPr>
          <w:p w14:paraId="10FF315F"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 </w:t>
            </w:r>
          </w:p>
        </w:tc>
        <w:tc>
          <w:tcPr>
            <w:tcW w:w="2482" w:type="dxa"/>
            <w:gridSpan w:val="2"/>
            <w:tcBorders>
              <w:top w:val="single" w:sz="4" w:space="0" w:color="auto"/>
              <w:left w:val="nil"/>
              <w:bottom w:val="nil"/>
              <w:right w:val="nil"/>
            </w:tcBorders>
            <w:shd w:val="clear" w:color="auto" w:fill="auto"/>
            <w:noWrap/>
            <w:vAlign w:val="bottom"/>
            <w:hideMark/>
          </w:tcPr>
          <w:p w14:paraId="2915B4AD" w14:textId="150BD593" w:rsidR="00321200" w:rsidRPr="00F47229" w:rsidRDefault="00321200" w:rsidP="00CD192F">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 xml:space="preserve">Yearly baseline </w:t>
            </w:r>
            <w:r w:rsidR="00CD192F" w:rsidRPr="00F47229">
              <w:rPr>
                <w:rFonts w:eastAsia="Times New Roman"/>
                <w:b/>
                <w:bCs/>
                <w:color w:val="000000"/>
                <w:sz w:val="16"/>
                <w:szCs w:val="20"/>
                <w:lang w:val="nl-NL" w:eastAsia="nl-NL"/>
              </w:rPr>
              <w:t>risks</w:t>
            </w:r>
          </w:p>
        </w:tc>
        <w:tc>
          <w:tcPr>
            <w:tcW w:w="2162" w:type="dxa"/>
            <w:tcBorders>
              <w:top w:val="single" w:sz="4" w:space="0" w:color="auto"/>
              <w:left w:val="nil"/>
              <w:bottom w:val="nil"/>
              <w:right w:val="nil"/>
            </w:tcBorders>
            <w:shd w:val="clear" w:color="auto" w:fill="auto"/>
            <w:noWrap/>
            <w:vAlign w:val="bottom"/>
            <w:hideMark/>
          </w:tcPr>
          <w:p w14:paraId="40C10CF1"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Expected-observed ratio</w:t>
            </w:r>
          </w:p>
        </w:tc>
        <w:tc>
          <w:tcPr>
            <w:tcW w:w="1006" w:type="dxa"/>
            <w:tcBorders>
              <w:top w:val="single" w:sz="4" w:space="0" w:color="auto"/>
              <w:left w:val="nil"/>
              <w:bottom w:val="nil"/>
              <w:right w:val="nil"/>
            </w:tcBorders>
            <w:shd w:val="clear" w:color="auto" w:fill="auto"/>
            <w:noWrap/>
            <w:vAlign w:val="bottom"/>
            <w:hideMark/>
          </w:tcPr>
          <w:p w14:paraId="491A46F4"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 </w:t>
            </w:r>
          </w:p>
        </w:tc>
      </w:tr>
      <w:tr w:rsidR="00321200" w:rsidRPr="00F47229" w14:paraId="6B7F73BE" w14:textId="77777777" w:rsidTr="00080DB4">
        <w:trPr>
          <w:trHeight w:val="331"/>
        </w:trPr>
        <w:tc>
          <w:tcPr>
            <w:tcW w:w="2956" w:type="dxa"/>
            <w:tcBorders>
              <w:top w:val="nil"/>
              <w:left w:val="nil"/>
              <w:bottom w:val="nil"/>
              <w:right w:val="nil"/>
            </w:tcBorders>
            <w:shd w:val="clear" w:color="auto" w:fill="auto"/>
            <w:noWrap/>
            <w:vAlign w:val="bottom"/>
            <w:hideMark/>
          </w:tcPr>
          <w:p w14:paraId="5504308A"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Predictor</w:t>
            </w:r>
          </w:p>
        </w:tc>
        <w:tc>
          <w:tcPr>
            <w:tcW w:w="1006" w:type="dxa"/>
            <w:tcBorders>
              <w:top w:val="nil"/>
              <w:left w:val="nil"/>
              <w:bottom w:val="nil"/>
              <w:right w:val="nil"/>
            </w:tcBorders>
            <w:shd w:val="clear" w:color="auto" w:fill="auto"/>
            <w:noWrap/>
            <w:vAlign w:val="bottom"/>
            <w:hideMark/>
          </w:tcPr>
          <w:p w14:paraId="1CC6FAE6"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Beta</w:t>
            </w:r>
          </w:p>
        </w:tc>
        <w:tc>
          <w:tcPr>
            <w:tcW w:w="1435" w:type="dxa"/>
            <w:tcBorders>
              <w:top w:val="nil"/>
              <w:left w:val="nil"/>
              <w:bottom w:val="nil"/>
              <w:right w:val="nil"/>
            </w:tcBorders>
            <w:shd w:val="clear" w:color="auto" w:fill="auto"/>
            <w:noWrap/>
            <w:vAlign w:val="bottom"/>
            <w:hideMark/>
          </w:tcPr>
          <w:p w14:paraId="1893F817"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Year of follow-up</w:t>
            </w:r>
          </w:p>
        </w:tc>
        <w:tc>
          <w:tcPr>
            <w:tcW w:w="1047" w:type="dxa"/>
            <w:tcBorders>
              <w:top w:val="nil"/>
              <w:left w:val="nil"/>
              <w:bottom w:val="nil"/>
              <w:right w:val="nil"/>
            </w:tcBorders>
            <w:shd w:val="clear" w:color="auto" w:fill="auto"/>
            <w:noWrap/>
            <w:vAlign w:val="bottom"/>
            <w:hideMark/>
          </w:tcPr>
          <w:p w14:paraId="7FA1361C"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Baseline risk</w:t>
            </w:r>
          </w:p>
        </w:tc>
        <w:tc>
          <w:tcPr>
            <w:tcW w:w="2162" w:type="dxa"/>
            <w:tcBorders>
              <w:top w:val="nil"/>
              <w:left w:val="nil"/>
              <w:bottom w:val="nil"/>
              <w:right w:val="nil"/>
            </w:tcBorders>
            <w:shd w:val="clear" w:color="auto" w:fill="auto"/>
            <w:noWrap/>
            <w:vAlign w:val="bottom"/>
            <w:hideMark/>
          </w:tcPr>
          <w:p w14:paraId="66A5D35F"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Risk region</w:t>
            </w:r>
          </w:p>
        </w:tc>
        <w:tc>
          <w:tcPr>
            <w:tcW w:w="1006" w:type="dxa"/>
            <w:tcBorders>
              <w:top w:val="nil"/>
              <w:left w:val="nil"/>
              <w:bottom w:val="nil"/>
              <w:right w:val="nil"/>
            </w:tcBorders>
            <w:shd w:val="clear" w:color="auto" w:fill="auto"/>
            <w:noWrap/>
            <w:vAlign w:val="bottom"/>
            <w:hideMark/>
          </w:tcPr>
          <w:p w14:paraId="02AABF74"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Ratio</w:t>
            </w:r>
          </w:p>
        </w:tc>
      </w:tr>
      <w:tr w:rsidR="00321200" w:rsidRPr="00F47229" w14:paraId="68E388C9" w14:textId="77777777" w:rsidTr="00080DB4">
        <w:trPr>
          <w:trHeight w:val="331"/>
        </w:trPr>
        <w:tc>
          <w:tcPr>
            <w:tcW w:w="2956" w:type="dxa"/>
            <w:tcBorders>
              <w:top w:val="nil"/>
              <w:left w:val="nil"/>
              <w:bottom w:val="nil"/>
              <w:right w:val="nil"/>
            </w:tcBorders>
            <w:shd w:val="clear" w:color="auto" w:fill="auto"/>
            <w:noWrap/>
            <w:vAlign w:val="bottom"/>
            <w:hideMark/>
          </w:tcPr>
          <w:p w14:paraId="13883F7B" w14:textId="4440F538" w:rsidR="00321200" w:rsidRPr="00F47229" w:rsidRDefault="0038492D"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Abdominal aortic aneurysm</w:t>
            </w:r>
          </w:p>
        </w:tc>
        <w:tc>
          <w:tcPr>
            <w:tcW w:w="1006" w:type="dxa"/>
            <w:tcBorders>
              <w:top w:val="nil"/>
              <w:left w:val="nil"/>
              <w:bottom w:val="nil"/>
              <w:right w:val="nil"/>
            </w:tcBorders>
            <w:shd w:val="clear" w:color="auto" w:fill="auto"/>
            <w:noWrap/>
            <w:vAlign w:val="bottom"/>
            <w:hideMark/>
          </w:tcPr>
          <w:p w14:paraId="6CF81B0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0.330356631</w:t>
            </w:r>
          </w:p>
        </w:tc>
        <w:tc>
          <w:tcPr>
            <w:tcW w:w="1435" w:type="dxa"/>
            <w:tcBorders>
              <w:top w:val="nil"/>
              <w:left w:val="nil"/>
              <w:bottom w:val="nil"/>
              <w:right w:val="nil"/>
            </w:tcBorders>
            <w:shd w:val="clear" w:color="auto" w:fill="auto"/>
            <w:noWrap/>
            <w:vAlign w:val="bottom"/>
            <w:hideMark/>
          </w:tcPr>
          <w:p w14:paraId="053221CF"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1</w:t>
            </w:r>
          </w:p>
        </w:tc>
        <w:tc>
          <w:tcPr>
            <w:tcW w:w="1047" w:type="dxa"/>
            <w:tcBorders>
              <w:top w:val="nil"/>
              <w:left w:val="nil"/>
              <w:bottom w:val="nil"/>
              <w:right w:val="nil"/>
            </w:tcBorders>
            <w:shd w:val="clear" w:color="auto" w:fill="auto"/>
            <w:noWrap/>
            <w:vAlign w:val="bottom"/>
            <w:hideMark/>
          </w:tcPr>
          <w:p w14:paraId="6F47A74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0.020867965</w:t>
            </w:r>
          </w:p>
        </w:tc>
        <w:tc>
          <w:tcPr>
            <w:tcW w:w="2162" w:type="dxa"/>
            <w:tcBorders>
              <w:top w:val="nil"/>
              <w:left w:val="nil"/>
              <w:bottom w:val="nil"/>
              <w:right w:val="nil"/>
            </w:tcBorders>
            <w:shd w:val="clear" w:color="auto" w:fill="auto"/>
            <w:noWrap/>
            <w:vAlign w:val="bottom"/>
            <w:hideMark/>
          </w:tcPr>
          <w:p w14:paraId="2AE9985A"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Europe, low risk</w:t>
            </w:r>
          </w:p>
        </w:tc>
        <w:tc>
          <w:tcPr>
            <w:tcW w:w="1006" w:type="dxa"/>
            <w:tcBorders>
              <w:top w:val="nil"/>
              <w:left w:val="nil"/>
              <w:bottom w:val="nil"/>
              <w:right w:val="nil"/>
            </w:tcBorders>
            <w:shd w:val="clear" w:color="auto" w:fill="auto"/>
            <w:noWrap/>
            <w:vAlign w:val="bottom"/>
            <w:hideMark/>
          </w:tcPr>
          <w:p w14:paraId="5E867FD9" w14:textId="0CE8865D" w:rsidR="00321200" w:rsidRPr="00F47229" w:rsidRDefault="00E14179" w:rsidP="00E20953">
            <w:pPr>
              <w:spacing w:line="240" w:lineRule="auto"/>
              <w:jc w:val="right"/>
              <w:rPr>
                <w:rFonts w:eastAsia="Times New Roman"/>
                <w:color w:val="000000"/>
                <w:sz w:val="16"/>
                <w:szCs w:val="20"/>
                <w:lang w:val="nl-NL" w:eastAsia="nl-NL"/>
              </w:rPr>
            </w:pPr>
            <w:r w:rsidRPr="00E14179">
              <w:rPr>
                <w:rFonts w:eastAsia="Times New Roman"/>
                <w:color w:val="000000"/>
                <w:sz w:val="16"/>
                <w:szCs w:val="20"/>
                <w:lang w:val="nl-NL" w:eastAsia="nl-NL"/>
              </w:rPr>
              <w:t>0.81590</w:t>
            </w:r>
          </w:p>
        </w:tc>
      </w:tr>
      <w:tr w:rsidR="00321200" w:rsidRPr="00F47229" w14:paraId="6671F014" w14:textId="77777777" w:rsidTr="00080DB4">
        <w:trPr>
          <w:trHeight w:val="331"/>
        </w:trPr>
        <w:tc>
          <w:tcPr>
            <w:tcW w:w="2956" w:type="dxa"/>
            <w:tcBorders>
              <w:top w:val="nil"/>
              <w:left w:val="nil"/>
              <w:bottom w:val="nil"/>
              <w:right w:val="nil"/>
            </w:tcBorders>
            <w:shd w:val="clear" w:color="auto" w:fill="auto"/>
            <w:noWrap/>
            <w:vAlign w:val="bottom"/>
            <w:hideMark/>
          </w:tcPr>
          <w:p w14:paraId="7C0388DE"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Age, years</w:t>
            </w:r>
          </w:p>
        </w:tc>
        <w:tc>
          <w:tcPr>
            <w:tcW w:w="1006" w:type="dxa"/>
            <w:tcBorders>
              <w:top w:val="nil"/>
              <w:left w:val="nil"/>
              <w:bottom w:val="nil"/>
              <w:right w:val="nil"/>
            </w:tcBorders>
            <w:shd w:val="clear" w:color="auto" w:fill="auto"/>
            <w:noWrap/>
            <w:vAlign w:val="bottom"/>
            <w:hideMark/>
          </w:tcPr>
          <w:p w14:paraId="2EA6A48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-0.03496022</w:t>
            </w:r>
          </w:p>
        </w:tc>
        <w:tc>
          <w:tcPr>
            <w:tcW w:w="1435" w:type="dxa"/>
            <w:tcBorders>
              <w:top w:val="nil"/>
              <w:left w:val="nil"/>
              <w:bottom w:val="nil"/>
              <w:right w:val="nil"/>
            </w:tcBorders>
            <w:shd w:val="clear" w:color="auto" w:fill="auto"/>
            <w:noWrap/>
            <w:vAlign w:val="bottom"/>
            <w:hideMark/>
          </w:tcPr>
          <w:p w14:paraId="4A02E73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2</w:t>
            </w:r>
          </w:p>
        </w:tc>
        <w:tc>
          <w:tcPr>
            <w:tcW w:w="1047" w:type="dxa"/>
            <w:tcBorders>
              <w:top w:val="nil"/>
              <w:left w:val="nil"/>
              <w:bottom w:val="nil"/>
              <w:right w:val="nil"/>
            </w:tcBorders>
            <w:shd w:val="clear" w:color="auto" w:fill="auto"/>
            <w:noWrap/>
            <w:vAlign w:val="bottom"/>
            <w:hideMark/>
          </w:tcPr>
          <w:p w14:paraId="6C6D4C2C"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0.03481669</w:t>
            </w:r>
          </w:p>
        </w:tc>
        <w:tc>
          <w:tcPr>
            <w:tcW w:w="2162" w:type="dxa"/>
            <w:tcBorders>
              <w:top w:val="nil"/>
              <w:left w:val="nil"/>
              <w:bottom w:val="nil"/>
              <w:right w:val="nil"/>
            </w:tcBorders>
            <w:shd w:val="clear" w:color="auto" w:fill="auto"/>
            <w:noWrap/>
            <w:vAlign w:val="bottom"/>
            <w:hideMark/>
          </w:tcPr>
          <w:p w14:paraId="3810255A"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Europe, moderate risk</w:t>
            </w:r>
          </w:p>
        </w:tc>
        <w:tc>
          <w:tcPr>
            <w:tcW w:w="1006" w:type="dxa"/>
            <w:tcBorders>
              <w:top w:val="nil"/>
              <w:left w:val="nil"/>
              <w:bottom w:val="nil"/>
              <w:right w:val="nil"/>
            </w:tcBorders>
            <w:shd w:val="clear" w:color="auto" w:fill="auto"/>
            <w:noWrap/>
            <w:vAlign w:val="bottom"/>
            <w:hideMark/>
          </w:tcPr>
          <w:p w14:paraId="5E75C0CA"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0.6973285</w:t>
            </w:r>
          </w:p>
        </w:tc>
      </w:tr>
      <w:tr w:rsidR="00321200" w:rsidRPr="00F47229" w14:paraId="1EBD5FFC" w14:textId="77777777" w:rsidTr="00080DB4">
        <w:trPr>
          <w:trHeight w:val="331"/>
        </w:trPr>
        <w:tc>
          <w:tcPr>
            <w:tcW w:w="2956" w:type="dxa"/>
            <w:tcBorders>
              <w:top w:val="nil"/>
              <w:left w:val="nil"/>
              <w:bottom w:val="nil"/>
              <w:right w:val="nil"/>
            </w:tcBorders>
            <w:shd w:val="clear" w:color="auto" w:fill="auto"/>
            <w:noWrap/>
            <w:vAlign w:val="bottom"/>
            <w:hideMark/>
          </w:tcPr>
          <w:p w14:paraId="3C142248"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Age squared, years</w:t>
            </w:r>
          </w:p>
        </w:tc>
        <w:tc>
          <w:tcPr>
            <w:tcW w:w="1006" w:type="dxa"/>
            <w:tcBorders>
              <w:top w:val="nil"/>
              <w:left w:val="nil"/>
              <w:bottom w:val="nil"/>
              <w:right w:val="nil"/>
            </w:tcBorders>
            <w:shd w:val="clear" w:color="auto" w:fill="auto"/>
            <w:noWrap/>
            <w:vAlign w:val="bottom"/>
            <w:hideMark/>
          </w:tcPr>
          <w:p w14:paraId="6B73F706"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0.000551072</w:t>
            </w:r>
          </w:p>
        </w:tc>
        <w:tc>
          <w:tcPr>
            <w:tcW w:w="1435" w:type="dxa"/>
            <w:tcBorders>
              <w:top w:val="nil"/>
              <w:left w:val="nil"/>
              <w:bottom w:val="nil"/>
              <w:right w:val="nil"/>
            </w:tcBorders>
            <w:shd w:val="clear" w:color="auto" w:fill="auto"/>
            <w:noWrap/>
            <w:vAlign w:val="bottom"/>
            <w:hideMark/>
          </w:tcPr>
          <w:p w14:paraId="5AD89D56"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3</w:t>
            </w:r>
          </w:p>
        </w:tc>
        <w:tc>
          <w:tcPr>
            <w:tcW w:w="1047" w:type="dxa"/>
            <w:tcBorders>
              <w:top w:val="nil"/>
              <w:left w:val="nil"/>
              <w:bottom w:val="nil"/>
              <w:right w:val="nil"/>
            </w:tcBorders>
            <w:shd w:val="clear" w:color="auto" w:fill="auto"/>
            <w:noWrap/>
            <w:vAlign w:val="bottom"/>
            <w:hideMark/>
          </w:tcPr>
          <w:p w14:paraId="4318C555"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0.047574783</w:t>
            </w:r>
          </w:p>
        </w:tc>
        <w:tc>
          <w:tcPr>
            <w:tcW w:w="2162" w:type="dxa"/>
            <w:tcBorders>
              <w:top w:val="nil"/>
              <w:left w:val="nil"/>
              <w:bottom w:val="nil"/>
              <w:right w:val="nil"/>
            </w:tcBorders>
            <w:shd w:val="clear" w:color="auto" w:fill="auto"/>
            <w:noWrap/>
            <w:vAlign w:val="bottom"/>
            <w:hideMark/>
          </w:tcPr>
          <w:p w14:paraId="28572699"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Europe, high risk</w:t>
            </w:r>
          </w:p>
        </w:tc>
        <w:tc>
          <w:tcPr>
            <w:tcW w:w="1006" w:type="dxa"/>
            <w:tcBorders>
              <w:top w:val="nil"/>
              <w:left w:val="nil"/>
              <w:bottom w:val="nil"/>
              <w:right w:val="nil"/>
            </w:tcBorders>
            <w:shd w:val="clear" w:color="auto" w:fill="auto"/>
            <w:noWrap/>
            <w:vAlign w:val="bottom"/>
            <w:hideMark/>
          </w:tcPr>
          <w:p w14:paraId="32707175" w14:textId="5BD28B0A" w:rsidR="00321200" w:rsidRPr="00F47229" w:rsidRDefault="0081573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0.5085825</w:t>
            </w:r>
          </w:p>
        </w:tc>
      </w:tr>
      <w:tr w:rsidR="00321200" w:rsidRPr="00F47229" w14:paraId="7D4BDE55" w14:textId="77777777" w:rsidTr="00080DB4">
        <w:trPr>
          <w:trHeight w:val="331"/>
        </w:trPr>
        <w:tc>
          <w:tcPr>
            <w:tcW w:w="2956" w:type="dxa"/>
            <w:tcBorders>
              <w:top w:val="nil"/>
              <w:left w:val="nil"/>
              <w:bottom w:val="nil"/>
              <w:right w:val="nil"/>
            </w:tcBorders>
            <w:shd w:val="clear" w:color="auto" w:fill="auto"/>
            <w:noWrap/>
            <w:vAlign w:val="bottom"/>
            <w:hideMark/>
          </w:tcPr>
          <w:p w14:paraId="62180F27"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Aspirin or equivalent</w:t>
            </w:r>
          </w:p>
        </w:tc>
        <w:tc>
          <w:tcPr>
            <w:tcW w:w="1006" w:type="dxa"/>
            <w:tcBorders>
              <w:top w:val="nil"/>
              <w:left w:val="nil"/>
              <w:bottom w:val="nil"/>
              <w:right w:val="nil"/>
            </w:tcBorders>
            <w:shd w:val="clear" w:color="auto" w:fill="auto"/>
            <w:noWrap/>
            <w:vAlign w:val="bottom"/>
            <w:hideMark/>
          </w:tcPr>
          <w:p w14:paraId="500A2562"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-0.21072103</w:t>
            </w:r>
          </w:p>
        </w:tc>
        <w:tc>
          <w:tcPr>
            <w:tcW w:w="1435" w:type="dxa"/>
            <w:tcBorders>
              <w:top w:val="nil"/>
              <w:left w:val="nil"/>
              <w:bottom w:val="nil"/>
              <w:right w:val="nil"/>
            </w:tcBorders>
            <w:shd w:val="clear" w:color="auto" w:fill="auto"/>
            <w:noWrap/>
            <w:vAlign w:val="bottom"/>
            <w:hideMark/>
          </w:tcPr>
          <w:p w14:paraId="3048EEC1"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4</w:t>
            </w:r>
          </w:p>
        </w:tc>
        <w:tc>
          <w:tcPr>
            <w:tcW w:w="1047" w:type="dxa"/>
            <w:tcBorders>
              <w:top w:val="nil"/>
              <w:left w:val="nil"/>
              <w:bottom w:val="nil"/>
              <w:right w:val="nil"/>
            </w:tcBorders>
            <w:shd w:val="clear" w:color="auto" w:fill="auto"/>
            <w:noWrap/>
            <w:vAlign w:val="bottom"/>
            <w:hideMark/>
          </w:tcPr>
          <w:p w14:paraId="78FC26E5"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0.06257936</w:t>
            </w:r>
          </w:p>
        </w:tc>
        <w:tc>
          <w:tcPr>
            <w:tcW w:w="2162" w:type="dxa"/>
            <w:tcBorders>
              <w:top w:val="nil"/>
              <w:left w:val="nil"/>
              <w:bottom w:val="nil"/>
              <w:right w:val="nil"/>
            </w:tcBorders>
            <w:shd w:val="clear" w:color="auto" w:fill="auto"/>
            <w:noWrap/>
            <w:vAlign w:val="bottom"/>
            <w:hideMark/>
          </w:tcPr>
          <w:p w14:paraId="7C6D15A6"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Europe, very high risk</w:t>
            </w:r>
          </w:p>
        </w:tc>
        <w:tc>
          <w:tcPr>
            <w:tcW w:w="1006" w:type="dxa"/>
            <w:tcBorders>
              <w:top w:val="nil"/>
              <w:left w:val="nil"/>
              <w:bottom w:val="nil"/>
              <w:right w:val="nil"/>
            </w:tcBorders>
            <w:shd w:val="clear" w:color="auto" w:fill="auto"/>
            <w:noWrap/>
            <w:vAlign w:val="bottom"/>
            <w:hideMark/>
          </w:tcPr>
          <w:p w14:paraId="7FE4883F" w14:textId="7F33968A" w:rsidR="00321200" w:rsidRPr="00F47229" w:rsidRDefault="006F0EB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0.2285371</w:t>
            </w:r>
          </w:p>
        </w:tc>
      </w:tr>
      <w:tr w:rsidR="00321200" w:rsidRPr="00F47229" w14:paraId="0D6B60F9" w14:textId="77777777" w:rsidTr="00080DB4">
        <w:trPr>
          <w:trHeight w:val="331"/>
        </w:trPr>
        <w:tc>
          <w:tcPr>
            <w:tcW w:w="2956" w:type="dxa"/>
            <w:tcBorders>
              <w:top w:val="nil"/>
              <w:left w:val="nil"/>
              <w:bottom w:val="nil"/>
              <w:right w:val="nil"/>
            </w:tcBorders>
            <w:shd w:val="clear" w:color="auto" w:fill="auto"/>
            <w:noWrap/>
            <w:vAlign w:val="bottom"/>
            <w:hideMark/>
          </w:tcPr>
          <w:p w14:paraId="629D500C" w14:textId="76FCED93" w:rsidR="00321200" w:rsidRPr="00F47229" w:rsidRDefault="0038492D"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Coronary artery disease</w:t>
            </w:r>
          </w:p>
        </w:tc>
        <w:tc>
          <w:tcPr>
            <w:tcW w:w="1006" w:type="dxa"/>
            <w:tcBorders>
              <w:top w:val="nil"/>
              <w:left w:val="nil"/>
              <w:bottom w:val="nil"/>
              <w:right w:val="nil"/>
            </w:tcBorders>
            <w:shd w:val="clear" w:color="auto" w:fill="auto"/>
            <w:noWrap/>
            <w:vAlign w:val="bottom"/>
            <w:hideMark/>
          </w:tcPr>
          <w:p w14:paraId="4814CF3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0.294701954</w:t>
            </w:r>
          </w:p>
        </w:tc>
        <w:tc>
          <w:tcPr>
            <w:tcW w:w="1435" w:type="dxa"/>
            <w:tcBorders>
              <w:top w:val="nil"/>
              <w:left w:val="nil"/>
              <w:bottom w:val="nil"/>
              <w:right w:val="nil"/>
            </w:tcBorders>
            <w:shd w:val="clear" w:color="auto" w:fill="auto"/>
            <w:noWrap/>
            <w:vAlign w:val="bottom"/>
            <w:hideMark/>
          </w:tcPr>
          <w:p w14:paraId="615EA901"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5</w:t>
            </w:r>
          </w:p>
        </w:tc>
        <w:tc>
          <w:tcPr>
            <w:tcW w:w="1047" w:type="dxa"/>
            <w:tcBorders>
              <w:top w:val="nil"/>
              <w:left w:val="nil"/>
              <w:bottom w:val="nil"/>
              <w:right w:val="nil"/>
            </w:tcBorders>
            <w:shd w:val="clear" w:color="auto" w:fill="auto"/>
            <w:noWrap/>
            <w:vAlign w:val="bottom"/>
            <w:hideMark/>
          </w:tcPr>
          <w:p w14:paraId="07866967"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0.07887031</w:t>
            </w:r>
          </w:p>
        </w:tc>
        <w:tc>
          <w:tcPr>
            <w:tcW w:w="2162" w:type="dxa"/>
            <w:tcBorders>
              <w:top w:val="nil"/>
              <w:left w:val="nil"/>
              <w:bottom w:val="nil"/>
              <w:right w:val="nil"/>
            </w:tcBorders>
            <w:shd w:val="clear" w:color="auto" w:fill="auto"/>
            <w:noWrap/>
            <w:vAlign w:val="bottom"/>
            <w:hideMark/>
          </w:tcPr>
          <w:p w14:paraId="4A864652"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Asia</w:t>
            </w:r>
          </w:p>
        </w:tc>
        <w:tc>
          <w:tcPr>
            <w:tcW w:w="1006" w:type="dxa"/>
            <w:tcBorders>
              <w:top w:val="nil"/>
              <w:left w:val="nil"/>
              <w:bottom w:val="nil"/>
              <w:right w:val="nil"/>
            </w:tcBorders>
            <w:shd w:val="clear" w:color="auto" w:fill="auto"/>
            <w:noWrap/>
            <w:vAlign w:val="bottom"/>
            <w:hideMark/>
          </w:tcPr>
          <w:p w14:paraId="1C449095" w14:textId="7923316D" w:rsidR="00321200" w:rsidRPr="00F47229" w:rsidRDefault="006F0EB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0.4043255</w:t>
            </w:r>
          </w:p>
        </w:tc>
      </w:tr>
      <w:tr w:rsidR="00321200" w:rsidRPr="00F47229" w14:paraId="6830503F" w14:textId="77777777" w:rsidTr="00080DB4">
        <w:trPr>
          <w:trHeight w:val="331"/>
        </w:trPr>
        <w:tc>
          <w:tcPr>
            <w:tcW w:w="2956" w:type="dxa"/>
            <w:tcBorders>
              <w:top w:val="nil"/>
              <w:left w:val="nil"/>
              <w:bottom w:val="nil"/>
              <w:right w:val="nil"/>
            </w:tcBorders>
            <w:shd w:val="clear" w:color="auto" w:fill="auto"/>
            <w:noWrap/>
            <w:vAlign w:val="bottom"/>
            <w:hideMark/>
          </w:tcPr>
          <w:p w14:paraId="6B73F6D0"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eGFR (CKDEPI)</w:t>
            </w:r>
          </w:p>
        </w:tc>
        <w:tc>
          <w:tcPr>
            <w:tcW w:w="1006" w:type="dxa"/>
            <w:tcBorders>
              <w:top w:val="nil"/>
              <w:left w:val="nil"/>
              <w:bottom w:val="nil"/>
              <w:right w:val="nil"/>
            </w:tcBorders>
            <w:shd w:val="clear" w:color="auto" w:fill="auto"/>
            <w:noWrap/>
            <w:vAlign w:val="bottom"/>
            <w:hideMark/>
          </w:tcPr>
          <w:p w14:paraId="5AD078E8"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-0.03967521</w:t>
            </w:r>
          </w:p>
        </w:tc>
        <w:tc>
          <w:tcPr>
            <w:tcW w:w="1435" w:type="dxa"/>
            <w:tcBorders>
              <w:top w:val="nil"/>
              <w:left w:val="nil"/>
              <w:bottom w:val="nil"/>
              <w:right w:val="nil"/>
            </w:tcBorders>
            <w:shd w:val="clear" w:color="auto" w:fill="auto"/>
            <w:noWrap/>
            <w:vAlign w:val="bottom"/>
            <w:hideMark/>
          </w:tcPr>
          <w:p w14:paraId="0ABB3320"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6</w:t>
            </w:r>
          </w:p>
        </w:tc>
        <w:tc>
          <w:tcPr>
            <w:tcW w:w="1047" w:type="dxa"/>
            <w:tcBorders>
              <w:top w:val="nil"/>
              <w:left w:val="nil"/>
              <w:bottom w:val="nil"/>
              <w:right w:val="nil"/>
            </w:tcBorders>
            <w:shd w:val="clear" w:color="auto" w:fill="auto"/>
            <w:noWrap/>
            <w:vAlign w:val="bottom"/>
            <w:hideMark/>
          </w:tcPr>
          <w:p w14:paraId="4AA51A1B"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0.094891922</w:t>
            </w:r>
          </w:p>
        </w:tc>
        <w:tc>
          <w:tcPr>
            <w:tcW w:w="2162" w:type="dxa"/>
            <w:tcBorders>
              <w:top w:val="nil"/>
              <w:left w:val="nil"/>
              <w:bottom w:val="nil"/>
              <w:right w:val="nil"/>
            </w:tcBorders>
            <w:shd w:val="clear" w:color="auto" w:fill="auto"/>
            <w:noWrap/>
            <w:vAlign w:val="bottom"/>
            <w:hideMark/>
          </w:tcPr>
          <w:p w14:paraId="3AE76296"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Australia</w:t>
            </w:r>
          </w:p>
        </w:tc>
        <w:tc>
          <w:tcPr>
            <w:tcW w:w="1006" w:type="dxa"/>
            <w:tcBorders>
              <w:top w:val="nil"/>
              <w:left w:val="nil"/>
              <w:bottom w:val="nil"/>
              <w:right w:val="nil"/>
            </w:tcBorders>
            <w:shd w:val="clear" w:color="auto" w:fill="auto"/>
            <w:noWrap/>
            <w:vAlign w:val="bottom"/>
            <w:hideMark/>
          </w:tcPr>
          <w:p w14:paraId="59BDFA18" w14:textId="562C2832" w:rsidR="00321200" w:rsidRPr="00F47229" w:rsidRDefault="006F0EB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1.0040808</w:t>
            </w:r>
          </w:p>
        </w:tc>
      </w:tr>
      <w:tr w:rsidR="00321200" w:rsidRPr="00F47229" w14:paraId="371B4E24" w14:textId="77777777" w:rsidTr="00080DB4">
        <w:trPr>
          <w:trHeight w:val="331"/>
        </w:trPr>
        <w:tc>
          <w:tcPr>
            <w:tcW w:w="2956" w:type="dxa"/>
            <w:tcBorders>
              <w:top w:val="nil"/>
              <w:left w:val="nil"/>
              <w:bottom w:val="nil"/>
              <w:right w:val="nil"/>
            </w:tcBorders>
            <w:shd w:val="clear" w:color="auto" w:fill="auto"/>
            <w:noWrap/>
            <w:vAlign w:val="bottom"/>
            <w:hideMark/>
          </w:tcPr>
          <w:p w14:paraId="20835F73"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eGFR squared (CKDEPI)</w:t>
            </w:r>
          </w:p>
        </w:tc>
        <w:tc>
          <w:tcPr>
            <w:tcW w:w="1006" w:type="dxa"/>
            <w:tcBorders>
              <w:top w:val="nil"/>
              <w:left w:val="nil"/>
              <w:bottom w:val="nil"/>
              <w:right w:val="nil"/>
            </w:tcBorders>
            <w:shd w:val="clear" w:color="auto" w:fill="auto"/>
            <w:noWrap/>
            <w:vAlign w:val="bottom"/>
            <w:hideMark/>
          </w:tcPr>
          <w:p w14:paraId="6AF17B18"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0.000218613</w:t>
            </w:r>
          </w:p>
        </w:tc>
        <w:tc>
          <w:tcPr>
            <w:tcW w:w="1435" w:type="dxa"/>
            <w:tcBorders>
              <w:top w:val="nil"/>
              <w:left w:val="nil"/>
              <w:bottom w:val="nil"/>
              <w:right w:val="nil"/>
            </w:tcBorders>
            <w:shd w:val="clear" w:color="auto" w:fill="auto"/>
            <w:noWrap/>
            <w:vAlign w:val="bottom"/>
            <w:hideMark/>
          </w:tcPr>
          <w:p w14:paraId="4D0C2A06"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7</w:t>
            </w:r>
          </w:p>
        </w:tc>
        <w:tc>
          <w:tcPr>
            <w:tcW w:w="1047" w:type="dxa"/>
            <w:tcBorders>
              <w:top w:val="nil"/>
              <w:left w:val="nil"/>
              <w:bottom w:val="nil"/>
              <w:right w:val="nil"/>
            </w:tcBorders>
            <w:shd w:val="clear" w:color="auto" w:fill="auto"/>
            <w:noWrap/>
            <w:vAlign w:val="bottom"/>
            <w:hideMark/>
          </w:tcPr>
          <w:p w14:paraId="66B50E01"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0.112217969</w:t>
            </w:r>
          </w:p>
        </w:tc>
        <w:tc>
          <w:tcPr>
            <w:tcW w:w="2162" w:type="dxa"/>
            <w:tcBorders>
              <w:top w:val="nil"/>
              <w:left w:val="nil"/>
              <w:bottom w:val="nil"/>
              <w:right w:val="nil"/>
            </w:tcBorders>
            <w:shd w:val="clear" w:color="auto" w:fill="auto"/>
            <w:noWrap/>
            <w:vAlign w:val="bottom"/>
            <w:hideMark/>
          </w:tcPr>
          <w:p w14:paraId="4AE736CC"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Japan</w:t>
            </w:r>
          </w:p>
        </w:tc>
        <w:tc>
          <w:tcPr>
            <w:tcW w:w="1006" w:type="dxa"/>
            <w:tcBorders>
              <w:top w:val="nil"/>
              <w:left w:val="nil"/>
              <w:bottom w:val="nil"/>
              <w:right w:val="nil"/>
            </w:tcBorders>
            <w:shd w:val="clear" w:color="auto" w:fill="auto"/>
            <w:noWrap/>
            <w:vAlign w:val="bottom"/>
            <w:hideMark/>
          </w:tcPr>
          <w:p w14:paraId="232E024F" w14:textId="770EDAE8" w:rsidR="00321200" w:rsidRPr="00F47229" w:rsidRDefault="006F0EB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0.8825678</w:t>
            </w:r>
          </w:p>
        </w:tc>
      </w:tr>
      <w:tr w:rsidR="00321200" w:rsidRPr="00F47229" w14:paraId="13DB7EDF" w14:textId="77777777" w:rsidTr="00080DB4">
        <w:trPr>
          <w:trHeight w:val="331"/>
        </w:trPr>
        <w:tc>
          <w:tcPr>
            <w:tcW w:w="2956" w:type="dxa"/>
            <w:tcBorders>
              <w:top w:val="nil"/>
              <w:left w:val="nil"/>
              <w:bottom w:val="nil"/>
              <w:right w:val="nil"/>
            </w:tcBorders>
            <w:shd w:val="clear" w:color="auto" w:fill="auto"/>
            <w:noWrap/>
            <w:vAlign w:val="bottom"/>
            <w:hideMark/>
          </w:tcPr>
          <w:p w14:paraId="2D9192D2"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hsCRP (log)</w:t>
            </w:r>
          </w:p>
        </w:tc>
        <w:tc>
          <w:tcPr>
            <w:tcW w:w="1006" w:type="dxa"/>
            <w:tcBorders>
              <w:top w:val="nil"/>
              <w:left w:val="nil"/>
              <w:bottom w:val="nil"/>
              <w:right w:val="nil"/>
            </w:tcBorders>
            <w:shd w:val="clear" w:color="auto" w:fill="auto"/>
            <w:noWrap/>
            <w:vAlign w:val="bottom"/>
            <w:hideMark/>
          </w:tcPr>
          <w:p w14:paraId="44BA50AA"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0.151760173</w:t>
            </w:r>
          </w:p>
        </w:tc>
        <w:tc>
          <w:tcPr>
            <w:tcW w:w="1435" w:type="dxa"/>
            <w:tcBorders>
              <w:top w:val="nil"/>
              <w:left w:val="nil"/>
              <w:bottom w:val="nil"/>
              <w:right w:val="nil"/>
            </w:tcBorders>
            <w:shd w:val="clear" w:color="auto" w:fill="auto"/>
            <w:noWrap/>
            <w:vAlign w:val="bottom"/>
            <w:hideMark/>
          </w:tcPr>
          <w:p w14:paraId="3AB56373"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8</w:t>
            </w:r>
          </w:p>
        </w:tc>
        <w:tc>
          <w:tcPr>
            <w:tcW w:w="1047" w:type="dxa"/>
            <w:tcBorders>
              <w:top w:val="nil"/>
              <w:left w:val="nil"/>
              <w:bottom w:val="nil"/>
              <w:right w:val="nil"/>
            </w:tcBorders>
            <w:shd w:val="clear" w:color="auto" w:fill="auto"/>
            <w:noWrap/>
            <w:vAlign w:val="bottom"/>
            <w:hideMark/>
          </w:tcPr>
          <w:p w14:paraId="5BB4F683"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0.129898521</w:t>
            </w:r>
          </w:p>
        </w:tc>
        <w:tc>
          <w:tcPr>
            <w:tcW w:w="2162" w:type="dxa"/>
            <w:tcBorders>
              <w:top w:val="nil"/>
              <w:left w:val="nil"/>
              <w:bottom w:val="nil"/>
              <w:right w:val="nil"/>
            </w:tcBorders>
            <w:shd w:val="clear" w:color="auto" w:fill="auto"/>
            <w:noWrap/>
            <w:vAlign w:val="bottom"/>
            <w:hideMark/>
          </w:tcPr>
          <w:p w14:paraId="4861E139"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North America</w:t>
            </w:r>
          </w:p>
        </w:tc>
        <w:tc>
          <w:tcPr>
            <w:tcW w:w="1006" w:type="dxa"/>
            <w:tcBorders>
              <w:top w:val="nil"/>
              <w:left w:val="nil"/>
              <w:bottom w:val="nil"/>
              <w:right w:val="nil"/>
            </w:tcBorders>
            <w:shd w:val="clear" w:color="auto" w:fill="auto"/>
            <w:noWrap/>
            <w:vAlign w:val="bottom"/>
            <w:hideMark/>
          </w:tcPr>
          <w:p w14:paraId="6E0A152E" w14:textId="0FF0E0D5" w:rsidR="00321200" w:rsidRPr="00F47229" w:rsidRDefault="006F0EB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0.4714961</w:t>
            </w:r>
          </w:p>
        </w:tc>
      </w:tr>
      <w:tr w:rsidR="00321200" w:rsidRPr="00F47229" w14:paraId="16E4F131" w14:textId="77777777" w:rsidTr="00080DB4">
        <w:trPr>
          <w:trHeight w:val="331"/>
        </w:trPr>
        <w:tc>
          <w:tcPr>
            <w:tcW w:w="2956" w:type="dxa"/>
            <w:tcBorders>
              <w:top w:val="nil"/>
              <w:left w:val="nil"/>
              <w:bottom w:val="nil"/>
              <w:right w:val="nil"/>
            </w:tcBorders>
            <w:shd w:val="clear" w:color="auto" w:fill="auto"/>
            <w:noWrap/>
            <w:vAlign w:val="bottom"/>
            <w:hideMark/>
          </w:tcPr>
          <w:p w14:paraId="669EFFE9"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Current smoking</w:t>
            </w:r>
          </w:p>
        </w:tc>
        <w:tc>
          <w:tcPr>
            <w:tcW w:w="1006" w:type="dxa"/>
            <w:tcBorders>
              <w:top w:val="nil"/>
              <w:left w:val="nil"/>
              <w:bottom w:val="nil"/>
              <w:right w:val="nil"/>
            </w:tcBorders>
            <w:shd w:val="clear" w:color="auto" w:fill="auto"/>
            <w:noWrap/>
            <w:vAlign w:val="bottom"/>
            <w:hideMark/>
          </w:tcPr>
          <w:p w14:paraId="7CCC71BF"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0.345583271</w:t>
            </w:r>
          </w:p>
        </w:tc>
        <w:tc>
          <w:tcPr>
            <w:tcW w:w="1435" w:type="dxa"/>
            <w:tcBorders>
              <w:top w:val="nil"/>
              <w:left w:val="nil"/>
              <w:bottom w:val="nil"/>
              <w:right w:val="nil"/>
            </w:tcBorders>
            <w:shd w:val="clear" w:color="auto" w:fill="auto"/>
            <w:noWrap/>
            <w:vAlign w:val="bottom"/>
            <w:hideMark/>
          </w:tcPr>
          <w:p w14:paraId="4A34A000"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9</w:t>
            </w:r>
          </w:p>
        </w:tc>
        <w:tc>
          <w:tcPr>
            <w:tcW w:w="1047" w:type="dxa"/>
            <w:tcBorders>
              <w:top w:val="nil"/>
              <w:left w:val="nil"/>
              <w:bottom w:val="nil"/>
              <w:right w:val="nil"/>
            </w:tcBorders>
            <w:shd w:val="clear" w:color="auto" w:fill="auto"/>
            <w:noWrap/>
            <w:vAlign w:val="bottom"/>
            <w:hideMark/>
          </w:tcPr>
          <w:p w14:paraId="5FEB0454"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0.149001544</w:t>
            </w:r>
          </w:p>
        </w:tc>
        <w:tc>
          <w:tcPr>
            <w:tcW w:w="2162" w:type="dxa"/>
            <w:tcBorders>
              <w:top w:val="nil"/>
              <w:left w:val="nil"/>
              <w:bottom w:val="nil"/>
              <w:right w:val="nil"/>
            </w:tcBorders>
            <w:shd w:val="clear" w:color="auto" w:fill="auto"/>
            <w:noWrap/>
            <w:vAlign w:val="bottom"/>
            <w:hideMark/>
          </w:tcPr>
          <w:p w14:paraId="5611ECAC"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Latin America</w:t>
            </w:r>
          </w:p>
        </w:tc>
        <w:tc>
          <w:tcPr>
            <w:tcW w:w="1006" w:type="dxa"/>
            <w:tcBorders>
              <w:top w:val="nil"/>
              <w:left w:val="nil"/>
              <w:bottom w:val="nil"/>
              <w:right w:val="nil"/>
            </w:tcBorders>
            <w:shd w:val="clear" w:color="auto" w:fill="auto"/>
            <w:noWrap/>
            <w:vAlign w:val="bottom"/>
            <w:hideMark/>
          </w:tcPr>
          <w:p w14:paraId="08B15A61" w14:textId="26EE0A3F" w:rsidR="00321200" w:rsidRPr="00F47229" w:rsidRDefault="006F0EB9"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0.5075670</w:t>
            </w:r>
          </w:p>
        </w:tc>
      </w:tr>
      <w:tr w:rsidR="00321200" w:rsidRPr="00F47229" w14:paraId="37E785E1" w14:textId="77777777" w:rsidTr="00080DB4">
        <w:trPr>
          <w:trHeight w:val="331"/>
        </w:trPr>
        <w:tc>
          <w:tcPr>
            <w:tcW w:w="2956" w:type="dxa"/>
            <w:tcBorders>
              <w:top w:val="nil"/>
              <w:left w:val="nil"/>
              <w:bottom w:val="nil"/>
              <w:right w:val="nil"/>
            </w:tcBorders>
            <w:shd w:val="clear" w:color="auto" w:fill="auto"/>
            <w:noWrap/>
            <w:vAlign w:val="bottom"/>
            <w:hideMark/>
          </w:tcPr>
          <w:p w14:paraId="68058FE2" w14:textId="7375CD0B" w:rsidR="00321200" w:rsidRPr="00F47229" w:rsidRDefault="0038492D"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Cerebrovascular disease</w:t>
            </w:r>
          </w:p>
        </w:tc>
        <w:tc>
          <w:tcPr>
            <w:tcW w:w="1006" w:type="dxa"/>
            <w:tcBorders>
              <w:top w:val="nil"/>
              <w:left w:val="nil"/>
              <w:bottom w:val="nil"/>
              <w:right w:val="nil"/>
            </w:tcBorders>
            <w:shd w:val="clear" w:color="auto" w:fill="auto"/>
            <w:noWrap/>
            <w:vAlign w:val="bottom"/>
            <w:hideMark/>
          </w:tcPr>
          <w:p w14:paraId="386DBBF3"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0.34831786</w:t>
            </w:r>
          </w:p>
        </w:tc>
        <w:tc>
          <w:tcPr>
            <w:tcW w:w="1435" w:type="dxa"/>
            <w:tcBorders>
              <w:top w:val="nil"/>
              <w:left w:val="nil"/>
              <w:bottom w:val="nil"/>
              <w:right w:val="nil"/>
            </w:tcBorders>
            <w:shd w:val="clear" w:color="auto" w:fill="auto"/>
            <w:noWrap/>
            <w:vAlign w:val="bottom"/>
            <w:hideMark/>
          </w:tcPr>
          <w:p w14:paraId="64D033DD"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10</w:t>
            </w:r>
          </w:p>
        </w:tc>
        <w:tc>
          <w:tcPr>
            <w:tcW w:w="1047" w:type="dxa"/>
            <w:tcBorders>
              <w:top w:val="nil"/>
              <w:left w:val="nil"/>
              <w:bottom w:val="nil"/>
              <w:right w:val="nil"/>
            </w:tcBorders>
            <w:shd w:val="clear" w:color="auto" w:fill="auto"/>
            <w:noWrap/>
            <w:vAlign w:val="bottom"/>
            <w:hideMark/>
          </w:tcPr>
          <w:p w14:paraId="22629647"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0.165822797</w:t>
            </w:r>
          </w:p>
        </w:tc>
        <w:tc>
          <w:tcPr>
            <w:tcW w:w="2162" w:type="dxa"/>
            <w:tcBorders>
              <w:top w:val="nil"/>
              <w:left w:val="nil"/>
              <w:bottom w:val="nil"/>
              <w:right w:val="nil"/>
            </w:tcBorders>
            <w:shd w:val="clear" w:color="auto" w:fill="auto"/>
            <w:noWrap/>
            <w:vAlign w:val="bottom"/>
            <w:hideMark/>
          </w:tcPr>
          <w:p w14:paraId="3B2BF856" w14:textId="77777777" w:rsidR="00321200" w:rsidRPr="00F47229" w:rsidRDefault="00321200" w:rsidP="00E20953">
            <w:pPr>
              <w:spacing w:line="240" w:lineRule="auto"/>
              <w:jc w:val="right"/>
              <w:rPr>
                <w:rFonts w:eastAsia="Times New Roman"/>
                <w:color w:val="000000"/>
                <w:sz w:val="16"/>
                <w:szCs w:val="20"/>
                <w:lang w:val="nl-NL" w:eastAsia="nl-NL"/>
              </w:rPr>
            </w:pPr>
          </w:p>
        </w:tc>
        <w:tc>
          <w:tcPr>
            <w:tcW w:w="1006" w:type="dxa"/>
            <w:tcBorders>
              <w:top w:val="nil"/>
              <w:left w:val="nil"/>
              <w:bottom w:val="nil"/>
              <w:right w:val="nil"/>
            </w:tcBorders>
            <w:shd w:val="clear" w:color="auto" w:fill="auto"/>
            <w:noWrap/>
            <w:vAlign w:val="bottom"/>
            <w:hideMark/>
          </w:tcPr>
          <w:p w14:paraId="20E2CD37" w14:textId="77777777" w:rsidR="00321200" w:rsidRPr="00F47229" w:rsidRDefault="00321200" w:rsidP="00E20953">
            <w:pPr>
              <w:spacing w:line="240" w:lineRule="auto"/>
              <w:jc w:val="left"/>
              <w:rPr>
                <w:rFonts w:eastAsia="Times New Roman"/>
                <w:sz w:val="16"/>
                <w:szCs w:val="20"/>
                <w:lang w:val="nl-NL" w:eastAsia="nl-NL"/>
              </w:rPr>
            </w:pPr>
          </w:p>
        </w:tc>
      </w:tr>
      <w:tr w:rsidR="00321200" w:rsidRPr="00F47229" w14:paraId="2847DE44" w14:textId="77777777" w:rsidTr="00080DB4">
        <w:trPr>
          <w:trHeight w:val="331"/>
        </w:trPr>
        <w:tc>
          <w:tcPr>
            <w:tcW w:w="2956" w:type="dxa"/>
            <w:tcBorders>
              <w:top w:val="nil"/>
              <w:left w:val="nil"/>
              <w:bottom w:val="nil"/>
              <w:right w:val="nil"/>
            </w:tcBorders>
            <w:shd w:val="clear" w:color="auto" w:fill="auto"/>
            <w:noWrap/>
            <w:vAlign w:val="bottom"/>
            <w:hideMark/>
          </w:tcPr>
          <w:p w14:paraId="4807ECD8"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Diabetes Mellitus</w:t>
            </w:r>
          </w:p>
        </w:tc>
        <w:tc>
          <w:tcPr>
            <w:tcW w:w="1006" w:type="dxa"/>
            <w:tcBorders>
              <w:top w:val="nil"/>
              <w:left w:val="nil"/>
              <w:bottom w:val="nil"/>
              <w:right w:val="nil"/>
            </w:tcBorders>
            <w:shd w:val="clear" w:color="auto" w:fill="auto"/>
            <w:noWrap/>
            <w:vAlign w:val="bottom"/>
            <w:hideMark/>
          </w:tcPr>
          <w:p w14:paraId="7315E7B8"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0.318170659</w:t>
            </w:r>
          </w:p>
        </w:tc>
        <w:tc>
          <w:tcPr>
            <w:tcW w:w="1435" w:type="dxa"/>
            <w:tcBorders>
              <w:top w:val="nil"/>
              <w:left w:val="nil"/>
              <w:bottom w:val="nil"/>
              <w:right w:val="nil"/>
            </w:tcBorders>
            <w:shd w:val="clear" w:color="auto" w:fill="auto"/>
            <w:noWrap/>
            <w:vAlign w:val="bottom"/>
            <w:hideMark/>
          </w:tcPr>
          <w:p w14:paraId="2A676219" w14:textId="77777777" w:rsidR="00321200" w:rsidRPr="00F47229" w:rsidRDefault="00321200" w:rsidP="00E20953">
            <w:pPr>
              <w:spacing w:line="240" w:lineRule="auto"/>
              <w:jc w:val="right"/>
              <w:rPr>
                <w:rFonts w:eastAsia="Times New Roman"/>
                <w:color w:val="000000"/>
                <w:sz w:val="16"/>
                <w:szCs w:val="20"/>
                <w:lang w:val="nl-NL" w:eastAsia="nl-NL"/>
              </w:rPr>
            </w:pPr>
          </w:p>
        </w:tc>
        <w:tc>
          <w:tcPr>
            <w:tcW w:w="1047" w:type="dxa"/>
            <w:tcBorders>
              <w:top w:val="nil"/>
              <w:left w:val="nil"/>
              <w:bottom w:val="nil"/>
              <w:right w:val="nil"/>
            </w:tcBorders>
            <w:shd w:val="clear" w:color="auto" w:fill="auto"/>
            <w:noWrap/>
            <w:vAlign w:val="bottom"/>
            <w:hideMark/>
          </w:tcPr>
          <w:p w14:paraId="5B2B346B" w14:textId="77777777" w:rsidR="00321200" w:rsidRPr="00F47229" w:rsidRDefault="00321200" w:rsidP="00E20953">
            <w:pPr>
              <w:spacing w:line="240" w:lineRule="auto"/>
              <w:jc w:val="left"/>
              <w:rPr>
                <w:rFonts w:eastAsia="Times New Roman"/>
                <w:sz w:val="16"/>
                <w:szCs w:val="20"/>
                <w:lang w:val="nl-NL" w:eastAsia="nl-NL"/>
              </w:rPr>
            </w:pPr>
          </w:p>
        </w:tc>
        <w:tc>
          <w:tcPr>
            <w:tcW w:w="2162" w:type="dxa"/>
            <w:tcBorders>
              <w:top w:val="nil"/>
              <w:left w:val="nil"/>
              <w:bottom w:val="nil"/>
              <w:right w:val="nil"/>
            </w:tcBorders>
            <w:shd w:val="clear" w:color="auto" w:fill="auto"/>
            <w:noWrap/>
            <w:vAlign w:val="bottom"/>
            <w:hideMark/>
          </w:tcPr>
          <w:p w14:paraId="2386D6D2" w14:textId="77777777" w:rsidR="00321200" w:rsidRPr="00F47229" w:rsidRDefault="00321200" w:rsidP="00E20953">
            <w:pPr>
              <w:spacing w:line="240" w:lineRule="auto"/>
              <w:jc w:val="left"/>
              <w:rPr>
                <w:rFonts w:eastAsia="Times New Roman"/>
                <w:sz w:val="16"/>
                <w:szCs w:val="20"/>
                <w:lang w:val="nl-NL" w:eastAsia="nl-NL"/>
              </w:rPr>
            </w:pPr>
          </w:p>
        </w:tc>
        <w:tc>
          <w:tcPr>
            <w:tcW w:w="1006" w:type="dxa"/>
            <w:tcBorders>
              <w:top w:val="nil"/>
              <w:left w:val="nil"/>
              <w:bottom w:val="nil"/>
              <w:right w:val="nil"/>
            </w:tcBorders>
            <w:shd w:val="clear" w:color="auto" w:fill="auto"/>
            <w:noWrap/>
            <w:vAlign w:val="bottom"/>
            <w:hideMark/>
          </w:tcPr>
          <w:p w14:paraId="06EC09FD" w14:textId="77777777" w:rsidR="00321200" w:rsidRPr="00F47229" w:rsidRDefault="00321200" w:rsidP="00E20953">
            <w:pPr>
              <w:spacing w:line="240" w:lineRule="auto"/>
              <w:jc w:val="left"/>
              <w:rPr>
                <w:rFonts w:eastAsia="Times New Roman"/>
                <w:sz w:val="16"/>
                <w:szCs w:val="20"/>
                <w:lang w:val="nl-NL" w:eastAsia="nl-NL"/>
              </w:rPr>
            </w:pPr>
          </w:p>
        </w:tc>
      </w:tr>
      <w:tr w:rsidR="00321200" w:rsidRPr="00F47229" w14:paraId="42D425C2" w14:textId="77777777" w:rsidTr="00080DB4">
        <w:trPr>
          <w:trHeight w:val="331"/>
        </w:trPr>
        <w:tc>
          <w:tcPr>
            <w:tcW w:w="2956" w:type="dxa"/>
            <w:tcBorders>
              <w:top w:val="nil"/>
              <w:left w:val="nil"/>
              <w:bottom w:val="nil"/>
              <w:right w:val="nil"/>
            </w:tcBorders>
            <w:shd w:val="clear" w:color="auto" w:fill="auto"/>
            <w:noWrap/>
            <w:vAlign w:val="bottom"/>
            <w:hideMark/>
          </w:tcPr>
          <w:p w14:paraId="6826A8BF"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Non HDL-c (log)</w:t>
            </w:r>
          </w:p>
        </w:tc>
        <w:tc>
          <w:tcPr>
            <w:tcW w:w="1006" w:type="dxa"/>
            <w:tcBorders>
              <w:top w:val="nil"/>
              <w:left w:val="nil"/>
              <w:bottom w:val="nil"/>
              <w:right w:val="nil"/>
            </w:tcBorders>
            <w:shd w:val="clear" w:color="auto" w:fill="auto"/>
            <w:noWrap/>
            <w:vAlign w:val="bottom"/>
            <w:hideMark/>
          </w:tcPr>
          <w:p w14:paraId="2E24A39F"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0.540364249</w:t>
            </w:r>
          </w:p>
        </w:tc>
        <w:tc>
          <w:tcPr>
            <w:tcW w:w="1435" w:type="dxa"/>
            <w:tcBorders>
              <w:top w:val="nil"/>
              <w:left w:val="nil"/>
              <w:bottom w:val="nil"/>
              <w:right w:val="nil"/>
            </w:tcBorders>
            <w:shd w:val="clear" w:color="auto" w:fill="auto"/>
            <w:noWrap/>
            <w:vAlign w:val="bottom"/>
            <w:hideMark/>
          </w:tcPr>
          <w:p w14:paraId="4EA5C462" w14:textId="77777777" w:rsidR="00321200" w:rsidRPr="00F47229" w:rsidRDefault="00321200" w:rsidP="00E20953">
            <w:pPr>
              <w:spacing w:line="240" w:lineRule="auto"/>
              <w:jc w:val="right"/>
              <w:rPr>
                <w:rFonts w:eastAsia="Times New Roman"/>
                <w:color w:val="000000"/>
                <w:sz w:val="16"/>
                <w:szCs w:val="20"/>
                <w:lang w:val="nl-NL" w:eastAsia="nl-NL"/>
              </w:rPr>
            </w:pPr>
          </w:p>
        </w:tc>
        <w:tc>
          <w:tcPr>
            <w:tcW w:w="1047" w:type="dxa"/>
            <w:tcBorders>
              <w:top w:val="nil"/>
              <w:left w:val="nil"/>
              <w:bottom w:val="nil"/>
              <w:right w:val="nil"/>
            </w:tcBorders>
            <w:shd w:val="clear" w:color="auto" w:fill="auto"/>
            <w:noWrap/>
            <w:vAlign w:val="bottom"/>
            <w:hideMark/>
          </w:tcPr>
          <w:p w14:paraId="486BB13A" w14:textId="77777777" w:rsidR="00321200" w:rsidRPr="00F47229" w:rsidRDefault="00321200" w:rsidP="00E20953">
            <w:pPr>
              <w:spacing w:line="240" w:lineRule="auto"/>
              <w:jc w:val="left"/>
              <w:rPr>
                <w:rFonts w:eastAsia="Times New Roman"/>
                <w:sz w:val="16"/>
                <w:szCs w:val="20"/>
                <w:lang w:val="nl-NL" w:eastAsia="nl-NL"/>
              </w:rPr>
            </w:pPr>
          </w:p>
        </w:tc>
        <w:tc>
          <w:tcPr>
            <w:tcW w:w="2162" w:type="dxa"/>
            <w:tcBorders>
              <w:top w:val="nil"/>
              <w:left w:val="nil"/>
              <w:bottom w:val="nil"/>
              <w:right w:val="nil"/>
            </w:tcBorders>
            <w:shd w:val="clear" w:color="auto" w:fill="auto"/>
            <w:noWrap/>
            <w:vAlign w:val="bottom"/>
            <w:hideMark/>
          </w:tcPr>
          <w:p w14:paraId="667ADECD" w14:textId="77777777" w:rsidR="00321200" w:rsidRPr="00F47229" w:rsidRDefault="00321200" w:rsidP="00E20953">
            <w:pPr>
              <w:spacing w:line="240" w:lineRule="auto"/>
              <w:jc w:val="left"/>
              <w:rPr>
                <w:rFonts w:eastAsia="Times New Roman"/>
                <w:b/>
                <w:bCs/>
                <w:color w:val="000000"/>
                <w:sz w:val="16"/>
                <w:szCs w:val="20"/>
                <w:lang w:val="nl-NL" w:eastAsia="nl-NL"/>
              </w:rPr>
            </w:pPr>
            <w:r w:rsidRPr="00F47229">
              <w:rPr>
                <w:rFonts w:eastAsia="Times New Roman"/>
                <w:b/>
                <w:bCs/>
                <w:color w:val="000000"/>
                <w:sz w:val="16"/>
                <w:szCs w:val="20"/>
                <w:lang w:val="nl-NL" w:eastAsia="nl-NL"/>
              </w:rPr>
              <w:t>Mean linear predictor</w:t>
            </w:r>
          </w:p>
        </w:tc>
        <w:tc>
          <w:tcPr>
            <w:tcW w:w="1006" w:type="dxa"/>
            <w:tcBorders>
              <w:top w:val="nil"/>
              <w:left w:val="nil"/>
              <w:bottom w:val="nil"/>
              <w:right w:val="nil"/>
            </w:tcBorders>
            <w:shd w:val="clear" w:color="auto" w:fill="auto"/>
            <w:noWrap/>
            <w:vAlign w:val="bottom"/>
            <w:hideMark/>
          </w:tcPr>
          <w:p w14:paraId="12C24B6C"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-0.0463729</w:t>
            </w:r>
          </w:p>
        </w:tc>
      </w:tr>
      <w:tr w:rsidR="00321200" w:rsidRPr="00F47229" w14:paraId="220C952F" w14:textId="77777777" w:rsidTr="00080DB4">
        <w:trPr>
          <w:trHeight w:val="331"/>
        </w:trPr>
        <w:tc>
          <w:tcPr>
            <w:tcW w:w="2956" w:type="dxa"/>
            <w:tcBorders>
              <w:top w:val="nil"/>
              <w:left w:val="nil"/>
              <w:bottom w:val="nil"/>
              <w:right w:val="nil"/>
            </w:tcBorders>
            <w:shd w:val="clear" w:color="auto" w:fill="auto"/>
            <w:noWrap/>
            <w:vAlign w:val="bottom"/>
            <w:hideMark/>
          </w:tcPr>
          <w:p w14:paraId="5FB94DCE" w14:textId="6C880E9C" w:rsidR="00321200" w:rsidRPr="00F47229" w:rsidRDefault="0038492D"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Peripherial artery disease</w:t>
            </w:r>
          </w:p>
        </w:tc>
        <w:tc>
          <w:tcPr>
            <w:tcW w:w="1006" w:type="dxa"/>
            <w:tcBorders>
              <w:top w:val="nil"/>
              <w:left w:val="nil"/>
              <w:bottom w:val="nil"/>
              <w:right w:val="nil"/>
            </w:tcBorders>
            <w:shd w:val="clear" w:color="auto" w:fill="auto"/>
            <w:noWrap/>
            <w:vAlign w:val="bottom"/>
            <w:hideMark/>
          </w:tcPr>
          <w:p w14:paraId="62EAB8DE"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0.22446658</w:t>
            </w:r>
          </w:p>
        </w:tc>
        <w:tc>
          <w:tcPr>
            <w:tcW w:w="1435" w:type="dxa"/>
            <w:tcBorders>
              <w:top w:val="nil"/>
              <w:left w:val="nil"/>
              <w:bottom w:val="nil"/>
              <w:right w:val="nil"/>
            </w:tcBorders>
            <w:shd w:val="clear" w:color="auto" w:fill="auto"/>
            <w:noWrap/>
            <w:vAlign w:val="bottom"/>
            <w:hideMark/>
          </w:tcPr>
          <w:p w14:paraId="61C2FF1A" w14:textId="77777777" w:rsidR="00321200" w:rsidRPr="00F47229" w:rsidRDefault="00321200" w:rsidP="00E20953">
            <w:pPr>
              <w:spacing w:line="240" w:lineRule="auto"/>
              <w:jc w:val="right"/>
              <w:rPr>
                <w:rFonts w:eastAsia="Times New Roman"/>
                <w:color w:val="000000"/>
                <w:sz w:val="16"/>
                <w:szCs w:val="20"/>
                <w:lang w:val="nl-NL" w:eastAsia="nl-NL"/>
              </w:rPr>
            </w:pPr>
          </w:p>
        </w:tc>
        <w:tc>
          <w:tcPr>
            <w:tcW w:w="1047" w:type="dxa"/>
            <w:tcBorders>
              <w:top w:val="nil"/>
              <w:left w:val="nil"/>
              <w:bottom w:val="nil"/>
              <w:right w:val="nil"/>
            </w:tcBorders>
            <w:shd w:val="clear" w:color="auto" w:fill="auto"/>
            <w:noWrap/>
            <w:vAlign w:val="bottom"/>
            <w:hideMark/>
          </w:tcPr>
          <w:p w14:paraId="10C17C36" w14:textId="77777777" w:rsidR="00321200" w:rsidRPr="00F47229" w:rsidRDefault="00321200" w:rsidP="00E20953">
            <w:pPr>
              <w:spacing w:line="240" w:lineRule="auto"/>
              <w:jc w:val="left"/>
              <w:rPr>
                <w:rFonts w:eastAsia="Times New Roman"/>
                <w:sz w:val="16"/>
                <w:szCs w:val="20"/>
                <w:lang w:val="nl-NL" w:eastAsia="nl-NL"/>
              </w:rPr>
            </w:pPr>
          </w:p>
        </w:tc>
        <w:tc>
          <w:tcPr>
            <w:tcW w:w="2162" w:type="dxa"/>
            <w:tcBorders>
              <w:top w:val="nil"/>
              <w:left w:val="nil"/>
              <w:bottom w:val="nil"/>
              <w:right w:val="nil"/>
            </w:tcBorders>
            <w:shd w:val="clear" w:color="auto" w:fill="auto"/>
            <w:noWrap/>
            <w:vAlign w:val="bottom"/>
            <w:hideMark/>
          </w:tcPr>
          <w:p w14:paraId="69C6EF71" w14:textId="77777777" w:rsidR="00321200" w:rsidRPr="00F47229" w:rsidRDefault="00321200" w:rsidP="00E20953">
            <w:pPr>
              <w:spacing w:line="240" w:lineRule="auto"/>
              <w:jc w:val="left"/>
              <w:rPr>
                <w:rFonts w:eastAsia="Times New Roman"/>
                <w:sz w:val="16"/>
                <w:szCs w:val="20"/>
                <w:lang w:val="nl-NL" w:eastAsia="nl-NL"/>
              </w:rPr>
            </w:pPr>
          </w:p>
        </w:tc>
        <w:tc>
          <w:tcPr>
            <w:tcW w:w="1006" w:type="dxa"/>
            <w:tcBorders>
              <w:top w:val="nil"/>
              <w:left w:val="nil"/>
              <w:bottom w:val="nil"/>
              <w:right w:val="nil"/>
            </w:tcBorders>
            <w:shd w:val="clear" w:color="auto" w:fill="auto"/>
            <w:noWrap/>
            <w:vAlign w:val="bottom"/>
            <w:hideMark/>
          </w:tcPr>
          <w:p w14:paraId="0FDCBB5D" w14:textId="77777777" w:rsidR="00321200" w:rsidRPr="00F47229" w:rsidRDefault="00321200" w:rsidP="00E20953">
            <w:pPr>
              <w:spacing w:line="240" w:lineRule="auto"/>
              <w:jc w:val="left"/>
              <w:rPr>
                <w:rFonts w:eastAsia="Times New Roman"/>
                <w:sz w:val="16"/>
                <w:szCs w:val="20"/>
                <w:lang w:val="nl-NL" w:eastAsia="nl-NL"/>
              </w:rPr>
            </w:pPr>
          </w:p>
        </w:tc>
      </w:tr>
      <w:tr w:rsidR="00321200" w:rsidRPr="00F47229" w14:paraId="21B6ADEF" w14:textId="77777777" w:rsidTr="00080DB4">
        <w:trPr>
          <w:trHeight w:val="331"/>
        </w:trPr>
        <w:tc>
          <w:tcPr>
            <w:tcW w:w="2956" w:type="dxa"/>
            <w:tcBorders>
              <w:top w:val="nil"/>
              <w:left w:val="nil"/>
              <w:bottom w:val="nil"/>
              <w:right w:val="nil"/>
            </w:tcBorders>
            <w:shd w:val="clear" w:color="auto" w:fill="auto"/>
            <w:noWrap/>
            <w:vAlign w:val="bottom"/>
            <w:hideMark/>
          </w:tcPr>
          <w:p w14:paraId="57C400F8" w14:textId="5899DA83" w:rsidR="00321200" w:rsidRPr="00F47229" w:rsidRDefault="0038492D" w:rsidP="0038492D">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Systolic blood pressure</w:t>
            </w:r>
          </w:p>
        </w:tc>
        <w:tc>
          <w:tcPr>
            <w:tcW w:w="1006" w:type="dxa"/>
            <w:tcBorders>
              <w:top w:val="nil"/>
              <w:left w:val="nil"/>
              <w:bottom w:val="nil"/>
              <w:right w:val="nil"/>
            </w:tcBorders>
            <w:shd w:val="clear" w:color="auto" w:fill="auto"/>
            <w:noWrap/>
            <w:vAlign w:val="bottom"/>
            <w:hideMark/>
          </w:tcPr>
          <w:p w14:paraId="1565FC38"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0.018913154</w:t>
            </w:r>
          </w:p>
        </w:tc>
        <w:tc>
          <w:tcPr>
            <w:tcW w:w="1435" w:type="dxa"/>
            <w:tcBorders>
              <w:top w:val="nil"/>
              <w:left w:val="nil"/>
              <w:bottom w:val="nil"/>
              <w:right w:val="nil"/>
            </w:tcBorders>
            <w:shd w:val="clear" w:color="auto" w:fill="auto"/>
            <w:noWrap/>
            <w:vAlign w:val="bottom"/>
            <w:hideMark/>
          </w:tcPr>
          <w:p w14:paraId="0489A6D2" w14:textId="77777777" w:rsidR="00321200" w:rsidRPr="00F47229" w:rsidRDefault="00321200" w:rsidP="00E20953">
            <w:pPr>
              <w:spacing w:line="240" w:lineRule="auto"/>
              <w:jc w:val="left"/>
              <w:rPr>
                <w:rFonts w:ascii="Segoe UI" w:eastAsia="Times New Roman" w:hAnsi="Segoe UI" w:cs="Segoe UI"/>
                <w:color w:val="000000"/>
                <w:sz w:val="16"/>
                <w:lang w:val="nl-NL" w:eastAsia="nl-NL"/>
              </w:rPr>
            </w:pPr>
          </w:p>
          <w:p w14:paraId="56DC06D0" w14:textId="77777777" w:rsidR="00321200" w:rsidRPr="00F47229" w:rsidRDefault="00321200" w:rsidP="00E20953">
            <w:pPr>
              <w:spacing w:line="240" w:lineRule="auto"/>
              <w:jc w:val="left"/>
              <w:rPr>
                <w:rFonts w:ascii="Segoe UI" w:eastAsia="Times New Roman" w:hAnsi="Segoe UI" w:cs="Segoe UI"/>
                <w:color w:val="000000"/>
                <w:sz w:val="16"/>
                <w:lang w:val="nl-NL" w:eastAsia="nl-NL"/>
              </w:rPr>
            </w:pPr>
          </w:p>
        </w:tc>
        <w:tc>
          <w:tcPr>
            <w:tcW w:w="3209" w:type="dxa"/>
            <w:gridSpan w:val="2"/>
            <w:tcBorders>
              <w:top w:val="nil"/>
              <w:left w:val="nil"/>
              <w:bottom w:val="nil"/>
              <w:right w:val="nil"/>
            </w:tcBorders>
            <w:shd w:val="clear" w:color="auto" w:fill="auto"/>
            <w:noWrap/>
            <w:vAlign w:val="bottom"/>
            <w:hideMark/>
          </w:tcPr>
          <w:p w14:paraId="51FE31E7" w14:textId="77777777" w:rsidR="00321200" w:rsidRPr="00F47229" w:rsidRDefault="00321200" w:rsidP="00E20953">
            <w:pPr>
              <w:spacing w:line="240" w:lineRule="auto"/>
              <w:jc w:val="left"/>
              <w:rPr>
                <w:rFonts w:eastAsia="Times New Roman"/>
                <w:b/>
                <w:bCs/>
                <w:color w:val="000000"/>
                <w:sz w:val="16"/>
                <w:szCs w:val="20"/>
                <w:lang w:eastAsia="nl-NL"/>
              </w:rPr>
            </w:pPr>
            <w:r w:rsidRPr="00F47229">
              <w:rPr>
                <w:rFonts w:eastAsia="Times New Roman"/>
                <w:b/>
                <w:bCs/>
                <w:color w:val="000000"/>
                <w:sz w:val="16"/>
                <w:szCs w:val="20"/>
                <w:lang w:eastAsia="nl-NL"/>
              </w:rPr>
              <w:t>Formula to calculate individual risks</w:t>
            </w:r>
          </w:p>
        </w:tc>
        <w:tc>
          <w:tcPr>
            <w:tcW w:w="1006" w:type="dxa"/>
            <w:tcBorders>
              <w:top w:val="nil"/>
              <w:left w:val="nil"/>
              <w:bottom w:val="nil"/>
              <w:right w:val="nil"/>
            </w:tcBorders>
            <w:shd w:val="clear" w:color="auto" w:fill="auto"/>
            <w:noWrap/>
            <w:vAlign w:val="bottom"/>
            <w:hideMark/>
          </w:tcPr>
          <w:p w14:paraId="1FCD4AAE" w14:textId="77777777" w:rsidR="00321200" w:rsidRPr="00F47229" w:rsidRDefault="00321200" w:rsidP="00E20953">
            <w:pPr>
              <w:spacing w:line="240" w:lineRule="auto"/>
              <w:jc w:val="left"/>
              <w:rPr>
                <w:rFonts w:eastAsia="Times New Roman"/>
                <w:b/>
                <w:bCs/>
                <w:color w:val="000000"/>
                <w:sz w:val="16"/>
                <w:szCs w:val="20"/>
                <w:lang w:eastAsia="nl-NL"/>
              </w:rPr>
            </w:pPr>
          </w:p>
        </w:tc>
      </w:tr>
      <w:tr w:rsidR="00321200" w:rsidRPr="00F47229" w14:paraId="10E473D5" w14:textId="77777777" w:rsidTr="00080DB4">
        <w:trPr>
          <w:trHeight w:val="331"/>
        </w:trPr>
        <w:tc>
          <w:tcPr>
            <w:tcW w:w="2956" w:type="dxa"/>
            <w:tcBorders>
              <w:top w:val="nil"/>
              <w:left w:val="nil"/>
              <w:bottom w:val="nil"/>
              <w:right w:val="nil"/>
            </w:tcBorders>
            <w:shd w:val="clear" w:color="auto" w:fill="auto"/>
            <w:noWrap/>
            <w:vAlign w:val="bottom"/>
            <w:hideMark/>
          </w:tcPr>
          <w:p w14:paraId="783B708E"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Male sex</w:t>
            </w:r>
          </w:p>
        </w:tc>
        <w:tc>
          <w:tcPr>
            <w:tcW w:w="1006" w:type="dxa"/>
            <w:tcBorders>
              <w:top w:val="nil"/>
              <w:left w:val="nil"/>
              <w:bottom w:val="nil"/>
              <w:right w:val="nil"/>
            </w:tcBorders>
            <w:shd w:val="clear" w:color="auto" w:fill="auto"/>
            <w:noWrap/>
            <w:vAlign w:val="bottom"/>
            <w:hideMark/>
          </w:tcPr>
          <w:p w14:paraId="1B59E36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0.287658743</w:t>
            </w:r>
          </w:p>
        </w:tc>
        <w:tc>
          <w:tcPr>
            <w:tcW w:w="1435" w:type="dxa"/>
            <w:tcBorders>
              <w:top w:val="nil"/>
              <w:left w:val="nil"/>
              <w:bottom w:val="nil"/>
              <w:right w:val="nil"/>
            </w:tcBorders>
            <w:shd w:val="clear" w:color="auto" w:fill="auto"/>
            <w:noWrap/>
            <w:vAlign w:val="bottom"/>
            <w:hideMark/>
          </w:tcPr>
          <w:p w14:paraId="6275F54E" w14:textId="77777777" w:rsidR="00321200" w:rsidRPr="00F47229" w:rsidRDefault="00321200" w:rsidP="00E20953">
            <w:pPr>
              <w:spacing w:line="240" w:lineRule="auto"/>
              <w:jc w:val="right"/>
              <w:rPr>
                <w:rFonts w:eastAsia="Times New Roman"/>
                <w:color w:val="000000"/>
                <w:sz w:val="16"/>
                <w:szCs w:val="20"/>
                <w:lang w:val="nl-NL" w:eastAsia="nl-NL"/>
              </w:rPr>
            </w:pPr>
          </w:p>
        </w:tc>
        <w:tc>
          <w:tcPr>
            <w:tcW w:w="1047" w:type="dxa"/>
            <w:tcBorders>
              <w:top w:val="nil"/>
              <w:left w:val="nil"/>
              <w:bottom w:val="nil"/>
              <w:right w:val="nil"/>
            </w:tcBorders>
            <w:shd w:val="clear" w:color="auto" w:fill="auto"/>
            <w:noWrap/>
            <w:vAlign w:val="bottom"/>
            <w:hideMark/>
          </w:tcPr>
          <w:p w14:paraId="62509A15" w14:textId="77777777" w:rsidR="00321200" w:rsidRPr="00F47229" w:rsidRDefault="00321200" w:rsidP="00E20953">
            <w:pPr>
              <w:spacing w:line="240" w:lineRule="auto"/>
              <w:jc w:val="left"/>
              <w:rPr>
                <w:rFonts w:eastAsia="Times New Roman"/>
                <w:sz w:val="16"/>
                <w:szCs w:val="20"/>
                <w:lang w:val="nl-NL" w:eastAsia="nl-NL"/>
              </w:rPr>
            </w:pPr>
          </w:p>
        </w:tc>
        <w:tc>
          <w:tcPr>
            <w:tcW w:w="2162" w:type="dxa"/>
            <w:tcBorders>
              <w:top w:val="nil"/>
              <w:left w:val="nil"/>
              <w:bottom w:val="nil"/>
              <w:right w:val="nil"/>
            </w:tcBorders>
            <w:shd w:val="clear" w:color="auto" w:fill="auto"/>
            <w:noWrap/>
            <w:vAlign w:val="bottom"/>
            <w:hideMark/>
          </w:tcPr>
          <w:p w14:paraId="49341549" w14:textId="77777777" w:rsidR="00321200" w:rsidRPr="00F47229" w:rsidRDefault="00321200" w:rsidP="00E20953">
            <w:pPr>
              <w:spacing w:line="240" w:lineRule="auto"/>
              <w:jc w:val="left"/>
              <w:rPr>
                <w:rFonts w:eastAsia="Times New Roman"/>
                <w:sz w:val="16"/>
                <w:szCs w:val="20"/>
                <w:lang w:val="nl-NL" w:eastAsia="nl-NL"/>
              </w:rPr>
            </w:pPr>
          </w:p>
        </w:tc>
        <w:tc>
          <w:tcPr>
            <w:tcW w:w="1006" w:type="dxa"/>
            <w:tcBorders>
              <w:top w:val="nil"/>
              <w:left w:val="nil"/>
              <w:bottom w:val="nil"/>
              <w:right w:val="nil"/>
            </w:tcBorders>
            <w:shd w:val="clear" w:color="auto" w:fill="auto"/>
            <w:noWrap/>
            <w:vAlign w:val="bottom"/>
            <w:hideMark/>
          </w:tcPr>
          <w:p w14:paraId="6E215C72" w14:textId="77777777" w:rsidR="00321200" w:rsidRPr="00F47229" w:rsidRDefault="00321200" w:rsidP="00E20953">
            <w:pPr>
              <w:spacing w:line="240" w:lineRule="auto"/>
              <w:jc w:val="left"/>
              <w:rPr>
                <w:rFonts w:eastAsia="Times New Roman"/>
                <w:sz w:val="16"/>
                <w:szCs w:val="20"/>
                <w:lang w:val="nl-NL" w:eastAsia="nl-NL"/>
              </w:rPr>
            </w:pPr>
          </w:p>
        </w:tc>
      </w:tr>
      <w:tr w:rsidR="00321200" w:rsidRPr="00F47229" w14:paraId="6581E78A" w14:textId="77777777" w:rsidTr="00080DB4">
        <w:trPr>
          <w:trHeight w:val="331"/>
        </w:trPr>
        <w:tc>
          <w:tcPr>
            <w:tcW w:w="2956" w:type="dxa"/>
            <w:tcBorders>
              <w:top w:val="nil"/>
              <w:left w:val="nil"/>
              <w:bottom w:val="nil"/>
              <w:right w:val="nil"/>
            </w:tcBorders>
            <w:shd w:val="clear" w:color="auto" w:fill="auto"/>
            <w:noWrap/>
            <w:vAlign w:val="bottom"/>
            <w:hideMark/>
          </w:tcPr>
          <w:p w14:paraId="273C73F1" w14:textId="16CFF0C8" w:rsidR="00321200" w:rsidRPr="00F47229" w:rsidRDefault="00321200" w:rsidP="00E20953">
            <w:pPr>
              <w:spacing w:line="240" w:lineRule="auto"/>
              <w:jc w:val="left"/>
              <w:rPr>
                <w:rFonts w:eastAsia="Times New Roman"/>
                <w:color w:val="000000"/>
                <w:sz w:val="16"/>
                <w:szCs w:val="20"/>
                <w:lang w:eastAsia="nl-NL"/>
              </w:rPr>
            </w:pPr>
            <w:r w:rsidRPr="00F47229">
              <w:rPr>
                <w:rFonts w:eastAsia="Times New Roman"/>
                <w:color w:val="000000"/>
                <w:sz w:val="16"/>
                <w:szCs w:val="20"/>
                <w:lang w:eastAsia="nl-NL"/>
              </w:rPr>
              <w:t xml:space="preserve">Years since first </w:t>
            </w:r>
            <w:r w:rsidR="0038492D" w:rsidRPr="00F47229">
              <w:rPr>
                <w:rFonts w:eastAsia="Times New Roman"/>
                <w:color w:val="000000"/>
                <w:sz w:val="16"/>
                <w:szCs w:val="20"/>
                <w:lang w:eastAsia="nl-NL"/>
              </w:rPr>
              <w:t>AS</w:t>
            </w:r>
            <w:r w:rsidRPr="00F47229">
              <w:rPr>
                <w:rFonts w:eastAsia="Times New Roman"/>
                <w:color w:val="000000"/>
                <w:sz w:val="16"/>
                <w:szCs w:val="20"/>
                <w:lang w:eastAsia="nl-NL"/>
              </w:rPr>
              <w:t>CVD diagnosis</w:t>
            </w:r>
          </w:p>
        </w:tc>
        <w:tc>
          <w:tcPr>
            <w:tcW w:w="1006" w:type="dxa"/>
            <w:tcBorders>
              <w:top w:val="nil"/>
              <w:left w:val="nil"/>
              <w:bottom w:val="nil"/>
              <w:right w:val="nil"/>
            </w:tcBorders>
            <w:shd w:val="clear" w:color="auto" w:fill="auto"/>
            <w:noWrap/>
            <w:vAlign w:val="bottom"/>
            <w:hideMark/>
          </w:tcPr>
          <w:p w14:paraId="5538BBEB"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0.047699585</w:t>
            </w:r>
          </w:p>
        </w:tc>
        <w:tc>
          <w:tcPr>
            <w:tcW w:w="1435" w:type="dxa"/>
            <w:tcBorders>
              <w:top w:val="nil"/>
              <w:left w:val="nil"/>
              <w:bottom w:val="nil"/>
              <w:right w:val="nil"/>
            </w:tcBorders>
            <w:shd w:val="clear" w:color="auto" w:fill="auto"/>
            <w:noWrap/>
            <w:vAlign w:val="bottom"/>
            <w:hideMark/>
          </w:tcPr>
          <w:p w14:paraId="7C8DF844" w14:textId="77777777" w:rsidR="00321200" w:rsidRPr="00F47229" w:rsidRDefault="00321200" w:rsidP="00E20953">
            <w:pPr>
              <w:spacing w:line="240" w:lineRule="auto"/>
              <w:jc w:val="right"/>
              <w:rPr>
                <w:rFonts w:eastAsia="Times New Roman"/>
                <w:color w:val="000000"/>
                <w:sz w:val="16"/>
                <w:szCs w:val="20"/>
                <w:lang w:val="nl-NL" w:eastAsia="nl-NL"/>
              </w:rPr>
            </w:pPr>
          </w:p>
        </w:tc>
        <w:tc>
          <w:tcPr>
            <w:tcW w:w="1047" w:type="dxa"/>
            <w:tcBorders>
              <w:top w:val="nil"/>
              <w:left w:val="nil"/>
              <w:bottom w:val="nil"/>
              <w:right w:val="nil"/>
            </w:tcBorders>
            <w:shd w:val="clear" w:color="auto" w:fill="auto"/>
            <w:noWrap/>
            <w:vAlign w:val="bottom"/>
            <w:hideMark/>
          </w:tcPr>
          <w:p w14:paraId="6D7A36FF" w14:textId="77777777" w:rsidR="00321200" w:rsidRPr="00F47229" w:rsidRDefault="00321200" w:rsidP="00E20953">
            <w:pPr>
              <w:spacing w:line="240" w:lineRule="auto"/>
              <w:jc w:val="left"/>
              <w:rPr>
                <w:rFonts w:eastAsia="Times New Roman"/>
                <w:sz w:val="16"/>
                <w:szCs w:val="20"/>
                <w:lang w:val="nl-NL" w:eastAsia="nl-NL"/>
              </w:rPr>
            </w:pPr>
            <w:r w:rsidRPr="00F47229">
              <w:rPr>
                <w:noProof/>
                <w:sz w:val="16"/>
                <w:lang w:val="nl-NL" w:eastAsia="nl-NL"/>
              </w:rPr>
              <mc:AlternateContent>
                <mc:Choice Requires="wps">
                  <w:drawing>
                    <wp:anchor distT="0" distB="0" distL="114300" distR="114300" simplePos="0" relativeHeight="251663360" behindDoc="0" locked="0" layoutInCell="1" allowOverlap="1" wp14:anchorId="08972927" wp14:editId="2A126136">
                      <wp:simplePos x="0" y="0"/>
                      <wp:positionH relativeFrom="column">
                        <wp:posOffset>-855345</wp:posOffset>
                      </wp:positionH>
                      <wp:positionV relativeFrom="paragraph">
                        <wp:posOffset>145415</wp:posOffset>
                      </wp:positionV>
                      <wp:extent cx="4587875" cy="206375"/>
                      <wp:effectExtent l="0" t="0" r="0" b="0"/>
                      <wp:wrapNone/>
                      <wp:docPr id="4" name="Tekstvak 1"/>
                      <wp:cNvGraphicFramePr/>
                      <a:graphic xmlns:a="http://schemas.openxmlformats.org/drawingml/2006/main">
                        <a:graphicData uri="http://schemas.microsoft.com/office/word/2010/wordprocessingShape">
                          <wps:wsp>
                            <wps:cNvSpPr txBox="1"/>
                            <wps:spPr>
                              <a:xfrm>
                                <a:off x="0" y="0"/>
                                <a:ext cx="4587875" cy="2063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0DBE14" w14:textId="280B94BC" w:rsidR="0026452D" w:rsidRDefault="00A632A2" w:rsidP="00321200">
                                  <w:pPr>
                                    <w:pStyle w:val="Norma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CVDrisk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=1 -</m:t>
                                      </m:r>
                                      <m:sSup>
                                        <m:sSupPr>
                                          <m:ctrlPr>
                                            <w:rPr>
                                              <w:rFonts w:ascii="Cambria Math" w:eastAsiaTheme="minorEastAsia" w:hAnsi="Cambria Math" w:cstheme="minorBidi"/>
                                              <w:i/>
                                              <w:iCs/>
                                              <w:color w:val="000000" w:themeColor="text1"/>
                                              <w:sz w:val="22"/>
                                              <w:szCs w:val="22"/>
                                            </w:rPr>
                                          </m:ctrlPr>
                                        </m:sSup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(1-baserisk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exp(</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 -</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mean</m:t>
                                              </m:r>
                                            </m:sub>
                                          </m:sSub>
                                          <m:r>
                                            <w:rPr>
                                              <w:rFonts w:ascii="Cambria Math" w:hAnsi="Cambria Math" w:cstheme="minorBidi"/>
                                              <w:color w:val="000000" w:themeColor="text1"/>
                                              <w:sz w:val="22"/>
                                              <w:szCs w:val="22"/>
                                            </w:rPr>
                                            <m:t> -</m:t>
                                          </m:r>
                                          <m:func>
                                            <m:funcPr>
                                              <m:ctrlPr>
                                                <w:rPr>
                                                  <w:rFonts w:ascii="Cambria Math" w:eastAsiaTheme="minorEastAsia"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log</m:t>
                                              </m:r>
                                            </m:fName>
                                            <m:e>
                                              <m:d>
                                                <m:dPr>
                                                  <m:ctrlPr>
                                                    <w:rPr>
                                                      <w:rFonts w:ascii="Cambria Math" w:eastAsiaTheme="minorEastAsia" w:hAnsi="Cambria Math" w:cstheme="minorBidi"/>
                                                      <w:i/>
                                                      <w:iCs/>
                                                      <w:color w:val="000000" w:themeColor="text1"/>
                                                      <w:sz w:val="22"/>
                                                      <w:szCs w:val="22"/>
                                                    </w:rPr>
                                                  </m:ctrlPr>
                                                </m:d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ratio</m:t>
                                                      </m:r>
                                                    </m:e>
                                                    <m:sub>
                                                      <m:r>
                                                        <w:rPr>
                                                          <w:rFonts w:ascii="Cambria Math" w:hAnsi="Cambria Math" w:cstheme="minorBidi"/>
                                                          <w:color w:val="000000" w:themeColor="text1"/>
                                                          <w:sz w:val="22"/>
                                                          <w:szCs w:val="22"/>
                                                        </w:rPr>
                                                        <m:t>region</m:t>
                                                      </m:r>
                                                    </m:sub>
                                                  </m:sSub>
                                                  <m:r>
                                                    <w:rPr>
                                                      <w:rFonts w:ascii="Cambria Math" w:hAnsi="Cambria Math" w:cstheme="minorBidi"/>
                                                      <w:color w:val="000000" w:themeColor="text1"/>
                                                      <w:sz w:val="22"/>
                                                      <w:szCs w:val="22"/>
                                                    </w:rPr>
                                                    <m:t> </m:t>
                                                  </m:r>
                                                </m:e>
                                              </m:d>
                                            </m:e>
                                          </m:func>
                                          <m:r>
                                            <w:rPr>
                                              <w:rFonts w:ascii="Cambria Math" w:hAnsi="Cambria Math" w:cstheme="minorBidi"/>
                                              <w:color w:val="000000" w:themeColor="text1"/>
                                              <w:sz w:val="22"/>
                                              <w:szCs w:val="22"/>
                                            </w:rPr>
                                            <m:t>)</m:t>
                                          </m:r>
                                        </m:sup>
                                      </m:sSup>
                                    </m:oMath>
                                  </m:oMathPara>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type w14:anchorId="08972927" id="_x0000_t202" coordsize="21600,21600" o:spt="202" path="m,l,21600r21600,l21600,xe">
                      <v:stroke joinstyle="miter"/>
                      <v:path gradientshapeok="t" o:connecttype="rect"/>
                    </v:shapetype>
                    <v:shape id="Tekstvak 1" o:spid="_x0000_s1026" type="#_x0000_t202" style="position:absolute;margin-left:-67.35pt;margin-top:11.45pt;width:361.2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" filled="f" stroked="f">
                      <v:textbox style="mso-fit-shape-to-text:t" inset="0,0,0,0">
                        <w:txbxContent>
                          <w:p w14:paraId="7B0DBE14" w14:textId="280B94BC" w:rsidR="0026452D" w:rsidRDefault="00647156" w:rsidP="00321200">
                            <w:pPr>
                              <w:pStyle w:val="Norma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CVDrisk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=1 -</m:t>
                                </m:r>
                                <m:sSup>
                                  <m:sSupPr>
                                    <m:ctrlPr>
                                      <w:rPr>
                                        <w:rFonts w:ascii="Cambria Math" w:eastAsiaTheme="minorEastAsia" w:hAnsi="Cambria Math" w:cstheme="minorBidi"/>
                                        <w:i/>
                                        <w:iCs/>
                                        <w:color w:val="000000" w:themeColor="text1"/>
                                        <w:sz w:val="22"/>
                                        <w:szCs w:val="22"/>
                                      </w:rPr>
                                    </m:ctrlPr>
                                  </m:sSup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(1-baserisk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exp(</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 -</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mean</m:t>
                                        </m:r>
                                      </m:sub>
                                    </m:sSub>
                                    <m:r>
                                      <w:rPr>
                                        <w:rFonts w:ascii="Cambria Math" w:hAnsi="Cambria Math" w:cstheme="minorBidi"/>
                                        <w:color w:val="000000" w:themeColor="text1"/>
                                        <w:sz w:val="22"/>
                                        <w:szCs w:val="22"/>
                                      </w:rPr>
                                      <m:t> -</m:t>
                                    </m:r>
                                    <m:func>
                                      <m:funcPr>
                                        <m:ctrlPr>
                                          <w:rPr>
                                            <w:rFonts w:ascii="Cambria Math" w:eastAsiaTheme="minorEastAsia"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log</m:t>
                                        </m:r>
                                      </m:fName>
                                      <m:e>
                                        <m:d>
                                          <m:dPr>
                                            <m:ctrlPr>
                                              <w:rPr>
                                                <w:rFonts w:ascii="Cambria Math" w:eastAsiaTheme="minorEastAsia" w:hAnsi="Cambria Math" w:cstheme="minorBidi"/>
                                                <w:i/>
                                                <w:iCs/>
                                                <w:color w:val="000000" w:themeColor="text1"/>
                                                <w:sz w:val="22"/>
                                                <w:szCs w:val="22"/>
                                              </w:rPr>
                                            </m:ctrlPr>
                                          </m:d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ratio</m:t>
                                                </m:r>
                                              </m:e>
                                              <m:sub>
                                                <m:r>
                                                  <w:rPr>
                                                    <w:rFonts w:ascii="Cambria Math" w:hAnsi="Cambria Math" w:cstheme="minorBidi"/>
                                                    <w:color w:val="000000" w:themeColor="text1"/>
                                                    <w:sz w:val="22"/>
                                                    <w:szCs w:val="22"/>
                                                  </w:rPr>
                                                  <m:t>region</m:t>
                                                </m:r>
                                              </m:sub>
                                            </m:sSub>
                                            <m:r>
                                              <w:rPr>
                                                <w:rFonts w:ascii="Cambria Math" w:hAnsi="Cambria Math" w:cstheme="minorBidi"/>
                                                <w:color w:val="000000" w:themeColor="text1"/>
                                                <w:sz w:val="22"/>
                                                <w:szCs w:val="22"/>
                                              </w:rPr>
                                              <m:t> </m:t>
                                            </m:r>
                                          </m:e>
                                        </m:d>
                                      </m:e>
                                    </m:func>
                                    <m:r>
                                      <w:rPr>
                                        <w:rFonts w:ascii="Cambria Math" w:hAnsi="Cambria Math" w:cstheme="minorBidi"/>
                                        <w:color w:val="000000" w:themeColor="text1"/>
                                        <w:sz w:val="22"/>
                                        <w:szCs w:val="22"/>
                                      </w:rPr>
                                      <m:t>)</m:t>
                                    </m:r>
                                  </m:sup>
                                </m:sSup>
                              </m:oMath>
                            </m:oMathPara>
                          </w:p>
                        </w:txbxContent>
                      </v:textbox>
                    </v:shape>
                  </w:pict>
                </mc:Fallback>
              </mc:AlternateContent>
            </w:r>
          </w:p>
        </w:tc>
        <w:tc>
          <w:tcPr>
            <w:tcW w:w="2162" w:type="dxa"/>
            <w:tcBorders>
              <w:top w:val="nil"/>
              <w:left w:val="nil"/>
              <w:bottom w:val="nil"/>
              <w:right w:val="nil"/>
            </w:tcBorders>
            <w:shd w:val="clear" w:color="auto" w:fill="auto"/>
            <w:noWrap/>
            <w:vAlign w:val="bottom"/>
            <w:hideMark/>
          </w:tcPr>
          <w:p w14:paraId="049CBCDE" w14:textId="77777777" w:rsidR="00321200" w:rsidRPr="00F47229" w:rsidRDefault="00321200" w:rsidP="00E20953">
            <w:pPr>
              <w:spacing w:line="240" w:lineRule="auto"/>
              <w:jc w:val="left"/>
              <w:rPr>
                <w:rFonts w:eastAsia="Times New Roman"/>
                <w:sz w:val="16"/>
                <w:szCs w:val="20"/>
                <w:lang w:val="nl-NL" w:eastAsia="nl-NL"/>
              </w:rPr>
            </w:pPr>
            <w:r w:rsidRPr="00F47229">
              <w:rPr>
                <w:rFonts w:ascii="Segoe UI" w:eastAsia="Times New Roman" w:hAnsi="Segoe UI" w:cs="Segoe UI"/>
                <w:noProof/>
                <w:color w:val="000000"/>
                <w:sz w:val="16"/>
                <w:lang w:val="nl-NL" w:eastAsia="nl-NL"/>
              </w:rPr>
              <mc:AlternateContent>
                <mc:Choice Requires="wps">
                  <w:drawing>
                    <wp:anchor distT="0" distB="0" distL="114300" distR="114300" simplePos="0" relativeHeight="251662336" behindDoc="0" locked="0" layoutInCell="1" allowOverlap="1" wp14:anchorId="1E281642" wp14:editId="02EA99F4">
                      <wp:simplePos x="0" y="0"/>
                      <wp:positionH relativeFrom="column">
                        <wp:posOffset>-1869440</wp:posOffset>
                      </wp:positionH>
                      <wp:positionV relativeFrom="paragraph">
                        <wp:posOffset>-361315</wp:posOffset>
                      </wp:positionV>
                      <wp:extent cx="4591050" cy="419100"/>
                      <wp:effectExtent l="0" t="0" r="0" b="0"/>
                      <wp:wrapNone/>
                      <wp:docPr id="3" name="Tekstvak 3"/>
                      <wp:cNvGraphicFramePr/>
                      <a:graphic xmlns:a="http://schemas.openxmlformats.org/drawingml/2006/main">
                        <a:graphicData uri="http://schemas.microsoft.com/office/word/2010/wordprocessingShape">
                          <wps:wsp>
                            <wps:cNvSpPr txBox="1"/>
                            <wps:spPr>
                              <a:xfrm>
                                <a:off x="0" y="0"/>
                                <a:ext cx="4591050" cy="4191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293F877" w14:textId="77777777" w:rsidR="0026452D" w:rsidRDefault="00A632A2" w:rsidP="00321200">
                                  <w:pPr>
                                    <w:pStyle w:val="Norma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m:t>
                                      </m:r>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Coef *individual risk factors</m:t>
                                          </m:r>
                                        </m:e>
                                      </m:nary>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E281642" id="Tekstvak 3" o:spid="_x0000_s1027" type="#_x0000_t202" style="position:absolute;margin-left:-147.2pt;margin-top:-28.45pt;width:361.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" filled="f" stroked="f">
                      <v:textbox style="mso-fit-shape-to-text:t" inset="0,0,0,0">
                        <w:txbxContent>
                          <w:p w14:paraId="5293F877" w14:textId="77777777" w:rsidR="0026452D" w:rsidRDefault="00647156" w:rsidP="00321200">
                            <w:pPr>
                              <w:pStyle w:val="Normaalweb"/>
                              <w:spacing w:before="0" w:beforeAutospacing="0" w:after="0" w:afterAutospacing="0"/>
                            </w:pPr>
                            <m:oMathPara>
                              <m:oMathParaPr>
                                <m:jc m:val="centerGroup"/>
                              </m:oMathParaPr>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m:t>
                                </m:r>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Coef *individual risk factors</m:t>
                                    </m:r>
                                  </m:e>
                                </m:nary>
                              </m:oMath>
                            </m:oMathPara>
                          </w:p>
                        </w:txbxContent>
                      </v:textbox>
                    </v:shape>
                  </w:pict>
                </mc:Fallback>
              </mc:AlternateContent>
            </w:r>
          </w:p>
        </w:tc>
        <w:tc>
          <w:tcPr>
            <w:tcW w:w="1006" w:type="dxa"/>
            <w:tcBorders>
              <w:top w:val="nil"/>
              <w:left w:val="nil"/>
              <w:bottom w:val="nil"/>
              <w:right w:val="nil"/>
            </w:tcBorders>
            <w:shd w:val="clear" w:color="auto" w:fill="auto"/>
            <w:noWrap/>
            <w:vAlign w:val="bottom"/>
            <w:hideMark/>
          </w:tcPr>
          <w:p w14:paraId="0C06373D" w14:textId="77777777" w:rsidR="00321200" w:rsidRPr="00F47229" w:rsidRDefault="00321200" w:rsidP="00E20953">
            <w:pPr>
              <w:spacing w:line="240" w:lineRule="auto"/>
              <w:jc w:val="left"/>
              <w:rPr>
                <w:rFonts w:eastAsia="Times New Roman"/>
                <w:sz w:val="16"/>
                <w:szCs w:val="20"/>
                <w:lang w:val="nl-NL" w:eastAsia="nl-NL"/>
              </w:rPr>
            </w:pPr>
          </w:p>
        </w:tc>
      </w:tr>
      <w:tr w:rsidR="00321200" w:rsidRPr="00F47229" w14:paraId="782C3752" w14:textId="77777777" w:rsidTr="00080DB4">
        <w:trPr>
          <w:trHeight w:val="331"/>
        </w:trPr>
        <w:tc>
          <w:tcPr>
            <w:tcW w:w="2956" w:type="dxa"/>
            <w:tcBorders>
              <w:top w:val="nil"/>
              <w:left w:val="nil"/>
              <w:bottom w:val="single" w:sz="4" w:space="0" w:color="auto"/>
              <w:right w:val="nil"/>
            </w:tcBorders>
            <w:shd w:val="clear" w:color="auto" w:fill="auto"/>
            <w:noWrap/>
            <w:vAlign w:val="bottom"/>
            <w:hideMark/>
          </w:tcPr>
          <w:p w14:paraId="439C84CE" w14:textId="4B998104" w:rsidR="00321200" w:rsidRPr="00F47229" w:rsidRDefault="00321200" w:rsidP="00E20953">
            <w:pPr>
              <w:spacing w:line="240" w:lineRule="auto"/>
              <w:jc w:val="left"/>
              <w:rPr>
                <w:rFonts w:eastAsia="Times New Roman"/>
                <w:color w:val="000000"/>
                <w:sz w:val="16"/>
                <w:szCs w:val="20"/>
                <w:lang w:eastAsia="nl-NL"/>
              </w:rPr>
            </w:pPr>
            <w:r w:rsidRPr="00F47229">
              <w:rPr>
                <w:rFonts w:eastAsia="Times New Roman"/>
                <w:color w:val="000000"/>
                <w:sz w:val="16"/>
                <w:szCs w:val="20"/>
                <w:lang w:eastAsia="nl-NL"/>
              </w:rPr>
              <w:t xml:space="preserve">Years since first </w:t>
            </w:r>
            <w:r w:rsidR="0038492D" w:rsidRPr="00F47229">
              <w:rPr>
                <w:rFonts w:eastAsia="Times New Roman"/>
                <w:color w:val="000000"/>
                <w:sz w:val="16"/>
                <w:szCs w:val="20"/>
                <w:lang w:eastAsia="nl-NL"/>
              </w:rPr>
              <w:t>AS</w:t>
            </w:r>
            <w:r w:rsidRPr="00F47229">
              <w:rPr>
                <w:rFonts w:eastAsia="Times New Roman"/>
                <w:color w:val="000000"/>
                <w:sz w:val="16"/>
                <w:szCs w:val="20"/>
                <w:lang w:eastAsia="nl-NL"/>
              </w:rPr>
              <w:t>CVD diagnosis, squared</w:t>
            </w:r>
          </w:p>
        </w:tc>
        <w:tc>
          <w:tcPr>
            <w:tcW w:w="1006" w:type="dxa"/>
            <w:tcBorders>
              <w:top w:val="nil"/>
              <w:left w:val="nil"/>
              <w:bottom w:val="single" w:sz="4" w:space="0" w:color="auto"/>
              <w:right w:val="nil"/>
            </w:tcBorders>
            <w:shd w:val="clear" w:color="auto" w:fill="auto"/>
            <w:noWrap/>
            <w:vAlign w:val="bottom"/>
            <w:hideMark/>
          </w:tcPr>
          <w:p w14:paraId="669FAD59" w14:textId="77777777" w:rsidR="00321200" w:rsidRPr="00F47229" w:rsidRDefault="00321200" w:rsidP="00E20953">
            <w:pPr>
              <w:spacing w:line="240" w:lineRule="auto"/>
              <w:jc w:val="right"/>
              <w:rPr>
                <w:rFonts w:eastAsia="Times New Roman"/>
                <w:color w:val="000000"/>
                <w:sz w:val="16"/>
                <w:szCs w:val="20"/>
                <w:lang w:val="nl-NL" w:eastAsia="nl-NL"/>
              </w:rPr>
            </w:pPr>
            <w:r w:rsidRPr="00F47229">
              <w:rPr>
                <w:rFonts w:eastAsia="Times New Roman"/>
                <w:color w:val="000000"/>
                <w:sz w:val="16"/>
                <w:szCs w:val="20"/>
                <w:lang w:val="nl-NL" w:eastAsia="nl-NL"/>
              </w:rPr>
              <w:t>-0.00164973</w:t>
            </w:r>
          </w:p>
        </w:tc>
        <w:tc>
          <w:tcPr>
            <w:tcW w:w="1435" w:type="dxa"/>
            <w:tcBorders>
              <w:top w:val="nil"/>
              <w:left w:val="nil"/>
              <w:bottom w:val="single" w:sz="4" w:space="0" w:color="auto"/>
              <w:right w:val="nil"/>
            </w:tcBorders>
            <w:shd w:val="clear" w:color="auto" w:fill="auto"/>
            <w:noWrap/>
            <w:vAlign w:val="bottom"/>
            <w:hideMark/>
          </w:tcPr>
          <w:p w14:paraId="16CA195C"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 </w:t>
            </w:r>
          </w:p>
        </w:tc>
        <w:tc>
          <w:tcPr>
            <w:tcW w:w="1047" w:type="dxa"/>
            <w:tcBorders>
              <w:top w:val="nil"/>
              <w:left w:val="nil"/>
              <w:bottom w:val="single" w:sz="4" w:space="0" w:color="auto"/>
              <w:right w:val="nil"/>
            </w:tcBorders>
            <w:shd w:val="clear" w:color="auto" w:fill="auto"/>
            <w:noWrap/>
            <w:vAlign w:val="bottom"/>
            <w:hideMark/>
          </w:tcPr>
          <w:p w14:paraId="623B92B8"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 </w:t>
            </w:r>
          </w:p>
        </w:tc>
        <w:tc>
          <w:tcPr>
            <w:tcW w:w="2162" w:type="dxa"/>
            <w:tcBorders>
              <w:top w:val="nil"/>
              <w:left w:val="nil"/>
              <w:bottom w:val="single" w:sz="4" w:space="0" w:color="auto"/>
              <w:right w:val="nil"/>
            </w:tcBorders>
            <w:shd w:val="clear" w:color="auto" w:fill="auto"/>
            <w:noWrap/>
            <w:vAlign w:val="bottom"/>
            <w:hideMark/>
          </w:tcPr>
          <w:p w14:paraId="227894CE"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 </w:t>
            </w:r>
          </w:p>
        </w:tc>
        <w:tc>
          <w:tcPr>
            <w:tcW w:w="1006" w:type="dxa"/>
            <w:tcBorders>
              <w:top w:val="nil"/>
              <w:left w:val="nil"/>
              <w:bottom w:val="single" w:sz="4" w:space="0" w:color="auto"/>
              <w:right w:val="nil"/>
            </w:tcBorders>
            <w:shd w:val="clear" w:color="auto" w:fill="auto"/>
            <w:noWrap/>
            <w:vAlign w:val="bottom"/>
            <w:hideMark/>
          </w:tcPr>
          <w:p w14:paraId="06F17543" w14:textId="77777777" w:rsidR="00321200" w:rsidRPr="00F47229" w:rsidRDefault="00321200" w:rsidP="00E20953">
            <w:pPr>
              <w:spacing w:line="240" w:lineRule="auto"/>
              <w:jc w:val="left"/>
              <w:rPr>
                <w:rFonts w:eastAsia="Times New Roman"/>
                <w:color w:val="000000"/>
                <w:sz w:val="16"/>
                <w:szCs w:val="20"/>
                <w:lang w:val="nl-NL" w:eastAsia="nl-NL"/>
              </w:rPr>
            </w:pPr>
            <w:r w:rsidRPr="00F47229">
              <w:rPr>
                <w:rFonts w:eastAsia="Times New Roman"/>
                <w:color w:val="000000"/>
                <w:sz w:val="16"/>
                <w:szCs w:val="20"/>
                <w:lang w:val="nl-NL" w:eastAsia="nl-NL"/>
              </w:rPr>
              <w:t> </w:t>
            </w:r>
          </w:p>
        </w:tc>
      </w:tr>
    </w:tbl>
    <w:p w14:paraId="1CC2FDDE" w14:textId="4262F5CE" w:rsidR="000A5C7B" w:rsidRPr="00F47229" w:rsidRDefault="00CD192F" w:rsidP="00321200">
      <w:pPr>
        <w:spacing w:after="200" w:line="276" w:lineRule="auto"/>
        <w:jc w:val="left"/>
        <w:rPr>
          <w:b/>
        </w:rPr>
      </w:pPr>
      <w:r w:rsidRPr="00F47229">
        <w:t>All model parameters required for individual predictions. For prediction on horizons shorter than 10 years, the yearly baseline risks of the respective years can be used in the formula.</w:t>
      </w:r>
      <w:r w:rsidR="0038492D" w:rsidRPr="00F47229">
        <w:t xml:space="preserve"> ASCVD = Atherosclerotic cardiovascular disease. hsCRP = High-sensitivity C-reactive protein, HDL = high density lipoprotein, eGFR = Estimated glomular filtration rate, LP = linear predictor</w:t>
      </w:r>
      <w:r w:rsidR="004D5AFA" w:rsidRPr="00F47229">
        <w:t xml:space="preserve">, </w:t>
      </w:r>
      <w:r w:rsidR="004D5AFA" w:rsidRPr="00F47229">
        <w:rPr>
          <w:i/>
          <w:vertAlign w:val="subscript"/>
        </w:rPr>
        <w:t>i</w:t>
      </w:r>
      <w:r w:rsidR="004D5AFA" w:rsidRPr="00F47229">
        <w:t xml:space="preserve"> = individual</w:t>
      </w:r>
      <w:r w:rsidR="0038492D" w:rsidRPr="00F47229">
        <w:t>.</w:t>
      </w:r>
    </w:p>
    <w:p w14:paraId="6E8D36EF" w14:textId="6EDDCA88" w:rsidR="009F6A57" w:rsidRPr="00F47229" w:rsidRDefault="009F6A57">
      <w:pPr>
        <w:spacing w:after="200" w:line="276" w:lineRule="auto"/>
        <w:jc w:val="left"/>
        <w:rPr>
          <w:b/>
        </w:rPr>
      </w:pPr>
      <w:r w:rsidRPr="00F47229">
        <w:rPr>
          <w:b/>
        </w:rPr>
        <w:br w:type="page"/>
      </w:r>
    </w:p>
    <w:p w14:paraId="49FBF800" w14:textId="4D8F5394" w:rsidR="006F78C8" w:rsidRDefault="006F78C8" w:rsidP="006F78C8">
      <w:pPr>
        <w:pStyle w:val="Kop1"/>
        <w:rPr>
          <w:rStyle w:val="Kop1Char"/>
        </w:rPr>
      </w:pPr>
      <w:r w:rsidRPr="00F47229">
        <w:rPr>
          <w:rStyle w:val="Kop1Char"/>
          <w:b/>
          <w:sz w:val="20"/>
          <w:szCs w:val="20"/>
        </w:rPr>
        <w:lastRenderedPageBreak/>
        <w:t xml:space="preserve">Supplementary Table </w:t>
      </w:r>
      <w:r w:rsidR="00A10985">
        <w:rPr>
          <w:rStyle w:val="Kop1Char"/>
          <w:b/>
          <w:sz w:val="20"/>
          <w:szCs w:val="20"/>
        </w:rPr>
        <w:t>3</w:t>
      </w:r>
      <w:r w:rsidRPr="00F47229">
        <w:rPr>
          <w:rStyle w:val="Kop1Char"/>
          <w:b/>
          <w:sz w:val="20"/>
          <w:szCs w:val="20"/>
        </w:rPr>
        <w:t>:</w:t>
      </w:r>
      <w:r w:rsidRPr="00F47229">
        <w:rPr>
          <w:sz w:val="20"/>
          <w:szCs w:val="20"/>
        </w:rPr>
        <w:t xml:space="preserve"> </w:t>
      </w:r>
      <w:r>
        <w:rPr>
          <w:rStyle w:val="Kop1Char"/>
        </w:rPr>
        <w:t>Summary of recalibration procedure</w:t>
      </w:r>
    </w:p>
    <w:tbl>
      <w:tblPr>
        <w:tblStyle w:val="Tabelraster"/>
        <w:tblW w:w="0" w:type="auto"/>
        <w:tblLook w:val="04A0" w:firstRow="1" w:lastRow="0" w:firstColumn="1" w:lastColumn="0" w:noHBand="0" w:noVBand="1"/>
      </w:tblPr>
      <w:tblGrid>
        <w:gridCol w:w="11335"/>
      </w:tblGrid>
      <w:tr w:rsidR="006F78C8" w14:paraId="50DA8343" w14:textId="77777777" w:rsidTr="00E14179">
        <w:trPr>
          <w:trHeight w:val="2039"/>
        </w:trPr>
        <w:tc>
          <w:tcPr>
            <w:tcW w:w="11335" w:type="dxa"/>
          </w:tcPr>
          <w:p w14:paraId="57ACA463" w14:textId="77777777" w:rsidR="006F78C8" w:rsidRPr="006F78C8" w:rsidRDefault="006F78C8" w:rsidP="006F78C8">
            <w:pPr>
              <w:rPr>
                <w:b/>
              </w:rPr>
            </w:pPr>
            <w:r>
              <w:rPr>
                <w:b/>
              </w:rPr>
              <w:t>Step 1: calculate crude SMART2 risk</w:t>
            </w:r>
          </w:p>
          <w:p w14:paraId="026EC283" w14:textId="4195D145" w:rsidR="006F78C8" w:rsidRPr="006F78C8" w:rsidRDefault="006F78C8" w:rsidP="00E14179">
            <w:pPr>
              <w:rPr>
                <w:rFonts w:eastAsiaTheme="minorEastAsia"/>
                <w:iCs/>
                <w:color w:val="000000" w:themeColor="text1"/>
              </w:rPr>
            </w:pPr>
            <w:r w:rsidRPr="006F78C8">
              <w:t xml:space="preserve">First, the </w:t>
            </w:r>
            <w:r>
              <w:t>non-recalibrated</w:t>
            </w:r>
            <w:r w:rsidRPr="006F78C8">
              <w:t xml:space="preserve"> SMART2 </w:t>
            </w:r>
            <w:r>
              <w:t xml:space="preserve">10 year </w:t>
            </w:r>
            <w:r w:rsidRPr="006F78C8">
              <w:t>risk is predicted for all</w:t>
            </w:r>
            <w:r>
              <w:t xml:space="preserve"> individuals in the data source. The mean of all these individual predicted risks is the ‘expected’ incidence.</w:t>
            </w:r>
          </w:p>
          <w:p w14:paraId="07803DDB" w14:textId="0398C04E" w:rsidR="006F78C8" w:rsidRPr="00E14179" w:rsidRDefault="00A632A2" w:rsidP="006F78C8">
            <w:pPr>
              <w:pStyle w:val="Normaalweb"/>
              <w:spacing w:before="0" w:beforeAutospacing="0" w:after="0" w:afterAutospacing="0"/>
              <w:rPr>
                <w:rFonts w:eastAsiaTheme="minorEastAsia"/>
                <w:iCs/>
                <w:color w:val="000000" w:themeColor="text1"/>
                <w:sz w:val="22"/>
                <w:szCs w:val="22"/>
              </w:rPr>
            </w:pPr>
            <m:oMathPara>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CVDrisk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=1 -</m:t>
                </m:r>
                <m:sSup>
                  <m:sSupPr>
                    <m:ctrlPr>
                      <w:rPr>
                        <w:rFonts w:ascii="Cambria Math" w:eastAsiaTheme="minorEastAsia" w:hAnsi="Cambria Math" w:cstheme="minorBidi"/>
                        <w:i/>
                        <w:iCs/>
                        <w:color w:val="000000" w:themeColor="text1"/>
                        <w:sz w:val="22"/>
                        <w:szCs w:val="22"/>
                      </w:rPr>
                    </m:ctrlPr>
                  </m:sSup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(1-baserisk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m:t>
                    </m:r>
                  </m:e>
                  <m:sup>
                    <m:func>
                      <m:funcPr>
                        <m:ctrlPr>
                          <w:rPr>
                            <w:rFonts w:ascii="Cambria Math" w:hAnsi="Cambria Math" w:cstheme="minorBidi"/>
                            <w:color w:val="000000" w:themeColor="text1"/>
                            <w:sz w:val="22"/>
                            <w:szCs w:val="22"/>
                          </w:rPr>
                        </m:ctrlPr>
                      </m:funcPr>
                      <m:fName>
                        <m:r>
                          <m:rPr>
                            <m:sty m:val="p"/>
                          </m:rPr>
                          <w:rPr>
                            <w:rFonts w:ascii="Cambria Math" w:hAnsi="Cambria Math" w:cstheme="minorBidi"/>
                            <w:color w:val="000000" w:themeColor="text1"/>
                            <w:sz w:val="22"/>
                            <w:szCs w:val="22"/>
                          </w:rPr>
                          <m:t>exp</m:t>
                        </m:r>
                      </m:fName>
                      <m:e>
                        <m:d>
                          <m:dPr>
                            <m:ctrlPr>
                              <w:rPr>
                                <w:rFonts w:ascii="Cambria Math" w:hAnsi="Cambria Math" w:cstheme="minorBidi"/>
                                <w:i/>
                                <w:color w:val="000000" w:themeColor="text1"/>
                                <w:sz w:val="22"/>
                                <w:szCs w:val="22"/>
                              </w:rPr>
                            </m:ctrlPr>
                          </m:d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 -</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mean</m:t>
                                </m:r>
                              </m:sub>
                            </m:sSub>
                          </m:e>
                        </m:d>
                      </m:e>
                    </m:func>
                  </m:sup>
                </m:sSup>
              </m:oMath>
            </m:oMathPara>
          </w:p>
        </w:tc>
      </w:tr>
      <w:tr w:rsidR="006F78C8" w14:paraId="78D869B7" w14:textId="77777777" w:rsidTr="00E14179">
        <w:trPr>
          <w:trHeight w:val="1519"/>
        </w:trPr>
        <w:tc>
          <w:tcPr>
            <w:tcW w:w="11335" w:type="dxa"/>
          </w:tcPr>
          <w:p w14:paraId="7606FAB3" w14:textId="77777777" w:rsidR="006F78C8" w:rsidRDefault="006F78C8" w:rsidP="006F78C8">
            <w:pPr>
              <w:rPr>
                <w:b/>
              </w:rPr>
            </w:pPr>
            <w:r>
              <w:rPr>
                <w:b/>
              </w:rPr>
              <w:t>Step 2: calculate cumulative incidence</w:t>
            </w:r>
          </w:p>
          <w:p w14:paraId="16DA88F0" w14:textId="6EB98349" w:rsidR="006F78C8" w:rsidRPr="006F78C8" w:rsidRDefault="006F78C8" w:rsidP="006F78C8">
            <w:r>
              <w:t xml:space="preserve">In the data source, the cumulative incidence at 10 years is obtained, taking into account competing risks (R function </w:t>
            </w:r>
            <w:r>
              <w:rPr>
                <w:i/>
              </w:rPr>
              <w:t>cuminc, cmprsk package</w:t>
            </w:r>
            <w:r w:rsidRPr="006F78C8">
              <w:t>)</w:t>
            </w:r>
            <w:r>
              <w:t>. This is the ‘observed’ incidence in the cohort.</w:t>
            </w:r>
          </w:p>
        </w:tc>
      </w:tr>
      <w:tr w:rsidR="006F78C8" w14:paraId="30A82683" w14:textId="77777777" w:rsidTr="00E14179">
        <w:trPr>
          <w:trHeight w:val="1059"/>
        </w:trPr>
        <w:tc>
          <w:tcPr>
            <w:tcW w:w="11335" w:type="dxa"/>
          </w:tcPr>
          <w:p w14:paraId="2221C0DF" w14:textId="1174B368" w:rsidR="006F78C8" w:rsidRDefault="006F78C8" w:rsidP="006F78C8">
            <w:pPr>
              <w:rPr>
                <w:b/>
              </w:rPr>
            </w:pPr>
            <w:r w:rsidRPr="006F78C8">
              <w:rPr>
                <w:b/>
              </w:rPr>
              <w:t>Step 3: Expected-observed ratio</w:t>
            </w:r>
          </w:p>
          <w:p w14:paraId="35C40223" w14:textId="77777777" w:rsidR="006F78C8" w:rsidRDefault="006F78C8" w:rsidP="006F78C8">
            <w:r>
              <w:t>Above metrics are combined in the expected-observed ratio.</w:t>
            </w:r>
          </w:p>
          <w:p w14:paraId="1DA7625A" w14:textId="77777777" w:rsidR="006F78C8" w:rsidRPr="006F78C8" w:rsidRDefault="006F78C8" w:rsidP="006F78C8">
            <w:pPr>
              <w:rPr>
                <w:rFonts w:eastAsiaTheme="minorEastAsia"/>
                <w:iCs/>
                <w:color w:val="000000" w:themeColor="text1"/>
              </w:rPr>
            </w:pPr>
            <m:oMathPara>
              <m:oMath>
                <m:r>
                  <w:rPr>
                    <w:rFonts w:ascii="Cambria Math" w:eastAsiaTheme="minorEastAsia" w:hAnsi="Cambria Math" w:cstheme="minorBidi"/>
                    <w:color w:val="000000" w:themeColor="text1"/>
                  </w:rPr>
                  <m:t>EO</m:t>
                </m:r>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ratio</m:t>
                    </m:r>
                  </m:e>
                  <m:sub>
                    <m:r>
                      <w:rPr>
                        <w:rFonts w:ascii="Cambria Math" w:hAnsi="Cambria Math" w:cstheme="minorBidi"/>
                        <w:color w:val="000000" w:themeColor="text1"/>
                      </w:rPr>
                      <m:t>region</m:t>
                    </m:r>
                  </m:sub>
                </m:sSub>
                <m:r>
                  <w:rPr>
                    <w:rFonts w:ascii="Cambria Math" w:eastAsiaTheme="minorEastAsia" w:hAnsi="Cambria Math" w:cstheme="minorBidi"/>
                    <w:color w:val="000000" w:themeColor="text1"/>
                  </w:rPr>
                  <m:t>=</m:t>
                </m:r>
                <m:f>
                  <m:fPr>
                    <m:ctrlPr>
                      <w:rPr>
                        <w:rFonts w:ascii="Cambria Math" w:eastAsiaTheme="minorEastAsia" w:hAnsi="Cambria Math" w:cstheme="minorBidi"/>
                        <w:i/>
                        <w:iCs/>
                        <w:color w:val="000000" w:themeColor="text1"/>
                      </w:rPr>
                    </m:ctrlPr>
                  </m:fPr>
                  <m:num>
                    <m:r>
                      <w:rPr>
                        <w:rFonts w:ascii="Cambria Math" w:eastAsiaTheme="minorEastAsia" w:hAnsi="Cambria Math" w:cstheme="minorBidi"/>
                        <w:color w:val="000000" w:themeColor="text1"/>
                      </w:rPr>
                      <m:t>mean</m:t>
                    </m:r>
                    <m:d>
                      <m:dPr>
                        <m:ctrlPr>
                          <w:rPr>
                            <w:rFonts w:ascii="Cambria Math" w:eastAsiaTheme="minorEastAsia" w:hAnsi="Cambria Math" w:cstheme="minorBidi"/>
                            <w:i/>
                            <w:iCs/>
                            <w:color w:val="000000" w:themeColor="text1"/>
                          </w:rPr>
                        </m:ctrlPr>
                      </m:dPr>
                      <m:e>
                        <m:sSub>
                          <m:sSubPr>
                            <m:ctrlPr>
                              <w:rPr>
                                <w:rFonts w:ascii="Cambria Math" w:eastAsiaTheme="minorEastAsia" w:hAnsi="Cambria Math" w:cstheme="minorBidi"/>
                                <w:i/>
                                <w:iCs/>
                                <w:color w:val="000000" w:themeColor="text1"/>
                              </w:rPr>
                            </m:ctrlPr>
                          </m:sSubPr>
                          <m:e>
                            <m:r>
                              <w:rPr>
                                <w:rFonts w:ascii="Cambria Math" w:hAnsi="Cambria Math" w:cstheme="minorBidi"/>
                                <w:color w:val="000000" w:themeColor="text1"/>
                              </w:rPr>
                              <m:t>CVDrisk</m:t>
                            </m:r>
                          </m:e>
                          <m:sub>
                            <m:r>
                              <w:rPr>
                                <w:rFonts w:ascii="Cambria Math" w:hAnsi="Cambria Math" w:cstheme="minorBidi"/>
                                <w:color w:val="000000" w:themeColor="text1"/>
                              </w:rPr>
                              <m:t>10</m:t>
                            </m:r>
                          </m:sub>
                        </m:sSub>
                      </m:e>
                    </m:d>
                    <m:ctrlPr>
                      <w:rPr>
                        <w:rFonts w:ascii="Cambria Math" w:hAnsi="Cambria Math"/>
                        <w:b/>
                        <w:i/>
                      </w:rPr>
                    </m:ctrlPr>
                  </m:num>
                  <m:den>
                    <m:sSub>
                      <m:sSubPr>
                        <m:ctrlPr>
                          <w:rPr>
                            <w:rFonts w:ascii="Cambria Math" w:hAnsi="Cambria Math"/>
                            <w:i/>
                          </w:rPr>
                        </m:ctrlPr>
                      </m:sSubPr>
                      <m:e>
                        <m:r>
                          <w:rPr>
                            <w:rFonts w:ascii="Cambria Math" w:hAnsi="Cambria Math"/>
                          </w:rPr>
                          <m:t>Cum.inc</m:t>
                        </m:r>
                      </m:e>
                      <m:sub>
                        <m:r>
                          <w:rPr>
                            <w:rFonts w:ascii="Cambria Math" w:hAnsi="Cambria Math"/>
                          </w:rPr>
                          <m:t>10</m:t>
                        </m:r>
                      </m:sub>
                    </m:sSub>
                  </m:den>
                </m:f>
              </m:oMath>
            </m:oMathPara>
          </w:p>
          <w:p w14:paraId="676CD4CE" w14:textId="1A975972" w:rsidR="006F78C8" w:rsidRPr="006F78C8" w:rsidRDefault="006F78C8" w:rsidP="006F78C8">
            <w:pPr>
              <w:rPr>
                <w:b/>
              </w:rPr>
            </w:pPr>
            <w:r>
              <w:rPr>
                <w:rFonts w:eastAsiaTheme="minorEastAsia"/>
                <w:iCs/>
                <w:color w:val="000000" w:themeColor="text1"/>
              </w:rPr>
              <w:t>For the high risk region, there was no cohort as large and minimally selected as CPRD (low risk region) or SWEDEHEART (moderate risk region). Therefore, the expected-observed ratios from the individual cohorts were averaged to get a regional recalibration factor.</w:t>
            </w:r>
          </w:p>
        </w:tc>
      </w:tr>
      <w:tr w:rsidR="006F78C8" w14:paraId="23C7CEFF" w14:textId="77777777" w:rsidTr="00E14179">
        <w:trPr>
          <w:trHeight w:val="1079"/>
        </w:trPr>
        <w:tc>
          <w:tcPr>
            <w:tcW w:w="11335" w:type="dxa"/>
          </w:tcPr>
          <w:p w14:paraId="25266076" w14:textId="0E9971E1" w:rsidR="006F78C8" w:rsidRDefault="006F78C8" w:rsidP="006F78C8">
            <w:pPr>
              <w:rPr>
                <w:b/>
              </w:rPr>
            </w:pPr>
            <w:r w:rsidRPr="006F78C8">
              <w:rPr>
                <w:b/>
              </w:rPr>
              <w:t>Step 4: Calculate recalibrated SMART2 risks</w:t>
            </w:r>
          </w:p>
          <w:p w14:paraId="2FB28E8B" w14:textId="4E575018" w:rsidR="00E14179" w:rsidRPr="00E14179" w:rsidRDefault="00E14179" w:rsidP="006F78C8">
            <w:r>
              <w:t>Individual recalibrated risks can be calculated by using the natural logarithm of the expected observed ratio.</w:t>
            </w:r>
          </w:p>
          <w:p w14:paraId="4C4F645C" w14:textId="5C1FDDF6" w:rsidR="006F78C8" w:rsidRPr="006F78C8" w:rsidRDefault="00A632A2" w:rsidP="006F78C8">
            <w:pPr>
              <w:pStyle w:val="Normaalweb"/>
              <w:spacing w:before="0" w:beforeAutospacing="0" w:after="0" w:afterAutospacing="0"/>
              <w:rPr>
                <w:rFonts w:eastAsiaTheme="minorEastAsia"/>
                <w:iCs/>
                <w:color w:val="000000" w:themeColor="text1"/>
                <w:sz w:val="22"/>
                <w:szCs w:val="22"/>
              </w:rPr>
            </w:pPr>
            <m:oMathPara>
              <m:oMath>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CVDrisk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=1 -</m:t>
                </m:r>
                <m:sSup>
                  <m:sSupPr>
                    <m:ctrlPr>
                      <w:rPr>
                        <w:rFonts w:ascii="Cambria Math" w:eastAsiaTheme="minorEastAsia" w:hAnsi="Cambria Math" w:cstheme="minorBidi"/>
                        <w:i/>
                        <w:iCs/>
                        <w:color w:val="000000" w:themeColor="text1"/>
                        <w:sz w:val="22"/>
                        <w:szCs w:val="22"/>
                      </w:rPr>
                    </m:ctrlPr>
                  </m:sSup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(1-baserisk</m:t>
                        </m:r>
                      </m:e>
                      <m:sub>
                        <m:r>
                          <w:rPr>
                            <w:rFonts w:ascii="Cambria Math" w:hAnsi="Cambria Math" w:cstheme="minorBidi"/>
                            <w:color w:val="000000" w:themeColor="text1"/>
                            <w:sz w:val="22"/>
                            <w:szCs w:val="22"/>
                          </w:rPr>
                          <m:t>10</m:t>
                        </m:r>
                      </m:sub>
                    </m:sSub>
                    <m:r>
                      <w:rPr>
                        <w:rFonts w:ascii="Cambria Math" w:hAnsi="Cambria Math" w:cstheme="minorBidi"/>
                        <w:color w:val="000000" w:themeColor="text1"/>
                        <w:sz w:val="22"/>
                        <w:szCs w:val="22"/>
                      </w:rPr>
                      <m:t>)</m:t>
                    </m:r>
                  </m:e>
                  <m:sup>
                    <m:func>
                      <m:funcPr>
                        <m:ctrlPr>
                          <w:rPr>
                            <w:rFonts w:ascii="Cambria Math" w:hAnsi="Cambria Math" w:cstheme="minorBidi"/>
                            <w:color w:val="000000" w:themeColor="text1"/>
                            <w:sz w:val="22"/>
                            <w:szCs w:val="22"/>
                          </w:rPr>
                        </m:ctrlPr>
                      </m:funcPr>
                      <m:fName>
                        <m:r>
                          <m:rPr>
                            <m:sty m:val="p"/>
                          </m:rPr>
                          <w:rPr>
                            <w:rFonts w:ascii="Cambria Math" w:hAnsi="Cambria Math" w:cstheme="minorBidi"/>
                            <w:color w:val="000000" w:themeColor="text1"/>
                            <w:sz w:val="22"/>
                            <w:szCs w:val="22"/>
                          </w:rPr>
                          <m:t>exp</m:t>
                        </m:r>
                      </m:fName>
                      <m:e>
                        <m:d>
                          <m:dPr>
                            <m:ctrlPr>
                              <w:rPr>
                                <w:rFonts w:ascii="Cambria Math" w:hAnsi="Cambria Math" w:cstheme="minorBidi"/>
                                <w:i/>
                                <w:color w:val="000000" w:themeColor="text1"/>
                                <w:sz w:val="22"/>
                                <w:szCs w:val="22"/>
                              </w:rPr>
                            </m:ctrlPr>
                          </m:dPr>
                          <m:e>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i</m:t>
                                </m:r>
                              </m:sub>
                            </m:sSub>
                            <m:r>
                              <w:rPr>
                                <w:rFonts w:ascii="Cambria Math" w:hAnsi="Cambria Math" w:cstheme="minorBidi"/>
                                <w:color w:val="000000" w:themeColor="text1"/>
                                <w:sz w:val="22"/>
                                <w:szCs w:val="22"/>
                              </w:rPr>
                              <m:t> -</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LP</m:t>
                                </m:r>
                              </m:e>
                              <m:sub>
                                <m:r>
                                  <w:rPr>
                                    <w:rFonts w:ascii="Cambria Math" w:hAnsi="Cambria Math" w:cstheme="minorBidi"/>
                                    <w:color w:val="000000" w:themeColor="text1"/>
                                    <w:sz w:val="22"/>
                                    <w:szCs w:val="22"/>
                                  </w:rPr>
                                  <m:t>mean</m:t>
                                </m:r>
                              </m:sub>
                            </m:sSub>
                            <m:r>
                              <w:rPr>
                                <w:rFonts w:ascii="Cambria Math" w:hAnsi="Cambria Math" w:cstheme="minorBidi"/>
                                <w:color w:val="000000" w:themeColor="text1"/>
                                <w:sz w:val="22"/>
                                <w:szCs w:val="22"/>
                              </w:rPr>
                              <m:t> -</m:t>
                            </m:r>
                            <m:func>
                              <m:funcPr>
                                <m:ctrlPr>
                                  <w:rPr>
                                    <w:rFonts w:ascii="Cambria Math" w:eastAsiaTheme="minorEastAsia" w:hAnsi="Cambria Math" w:cstheme="minorBidi"/>
                                    <w:i/>
                                    <w:iCs/>
                                    <w:color w:val="000000" w:themeColor="text1"/>
                                    <w:sz w:val="22"/>
                                    <w:szCs w:val="22"/>
                                  </w:rPr>
                                </m:ctrlPr>
                              </m:funcPr>
                              <m:fName>
                                <m:r>
                                  <m:rPr>
                                    <m:sty m:val="p"/>
                                  </m:rPr>
                                  <w:rPr>
                                    <w:rFonts w:ascii="Cambria Math" w:hAnsi="Cambria Math" w:cstheme="minorBidi"/>
                                    <w:color w:val="000000" w:themeColor="text1"/>
                                    <w:sz w:val="22"/>
                                    <w:szCs w:val="22"/>
                                  </w:rPr>
                                  <m:t>ln</m:t>
                                </m:r>
                              </m:fName>
                              <m:e>
                                <m:d>
                                  <m:dPr>
                                    <m:ctrlPr>
                                      <w:rPr>
                                        <w:rFonts w:ascii="Cambria Math" w:eastAsiaTheme="minorEastAsia" w:hAnsi="Cambria Math" w:cstheme="minorBidi"/>
                                        <w:i/>
                                        <w:iCs/>
                                        <w:color w:val="000000" w:themeColor="text1"/>
                                        <w:sz w:val="22"/>
                                        <w:szCs w:val="22"/>
                                      </w:rPr>
                                    </m:ctrlPr>
                                  </m:dPr>
                                  <m:e>
                                    <m:r>
                                      <w:rPr>
                                        <w:rFonts w:ascii="Cambria Math" w:eastAsiaTheme="minorEastAsia" w:hAnsi="Cambria Math" w:cstheme="minorBidi"/>
                                        <w:color w:val="000000" w:themeColor="text1"/>
                                        <w:sz w:val="22"/>
                                        <w:szCs w:val="22"/>
                                      </w:rPr>
                                      <m:t>EO</m:t>
                                    </m:r>
                                    <m:sSub>
                                      <m:sSubPr>
                                        <m:ctrlPr>
                                          <w:rPr>
                                            <w:rFonts w:ascii="Cambria Math" w:eastAsiaTheme="minorEastAsia" w:hAnsi="Cambria Math" w:cstheme="minorBidi"/>
                                            <w:i/>
                                            <w:iCs/>
                                            <w:color w:val="000000" w:themeColor="text1"/>
                                            <w:sz w:val="22"/>
                                            <w:szCs w:val="22"/>
                                          </w:rPr>
                                        </m:ctrlPr>
                                      </m:sSubPr>
                                      <m:e>
                                        <m:r>
                                          <w:rPr>
                                            <w:rFonts w:ascii="Cambria Math" w:hAnsi="Cambria Math" w:cstheme="minorBidi"/>
                                            <w:color w:val="000000" w:themeColor="text1"/>
                                            <w:sz w:val="22"/>
                                            <w:szCs w:val="22"/>
                                          </w:rPr>
                                          <m:t>ratio</m:t>
                                        </m:r>
                                      </m:e>
                                      <m:sub>
                                        <m:r>
                                          <w:rPr>
                                            <w:rFonts w:ascii="Cambria Math" w:hAnsi="Cambria Math" w:cstheme="minorBidi"/>
                                            <w:color w:val="000000" w:themeColor="text1"/>
                                            <w:sz w:val="22"/>
                                            <w:szCs w:val="22"/>
                                          </w:rPr>
                                          <m:t>region</m:t>
                                        </m:r>
                                      </m:sub>
                                    </m:sSub>
                                    <m:r>
                                      <w:rPr>
                                        <w:rFonts w:ascii="Cambria Math" w:hAnsi="Cambria Math" w:cstheme="minorBidi"/>
                                        <w:color w:val="000000" w:themeColor="text1"/>
                                        <w:sz w:val="22"/>
                                        <w:szCs w:val="22"/>
                                      </w:rPr>
                                      <m:t> </m:t>
                                    </m:r>
                                  </m:e>
                                </m:d>
                              </m:e>
                            </m:func>
                          </m:e>
                        </m:d>
                      </m:e>
                    </m:func>
                  </m:sup>
                </m:sSup>
              </m:oMath>
            </m:oMathPara>
          </w:p>
          <w:p w14:paraId="014DC76B" w14:textId="51E3B2E6" w:rsidR="006F78C8" w:rsidRPr="006F78C8" w:rsidRDefault="006F78C8" w:rsidP="006F78C8">
            <w:pPr>
              <w:pStyle w:val="Normaalweb"/>
              <w:spacing w:before="0" w:after="0"/>
              <w:rPr>
                <w:b/>
              </w:rPr>
            </w:pPr>
          </w:p>
        </w:tc>
      </w:tr>
    </w:tbl>
    <w:p w14:paraId="0EA5C2A1" w14:textId="695BDAD3" w:rsidR="00E14179" w:rsidRPr="00F47229" w:rsidRDefault="00E14179" w:rsidP="00E14179">
      <w:pPr>
        <w:pStyle w:val="Kop1"/>
        <w:rPr>
          <w:b w:val="0"/>
          <w:sz w:val="20"/>
          <w:szCs w:val="20"/>
        </w:rPr>
      </w:pPr>
      <w:r w:rsidRPr="00F47229">
        <w:rPr>
          <w:rStyle w:val="Kop1Char"/>
          <w:b/>
          <w:sz w:val="20"/>
          <w:szCs w:val="20"/>
        </w:rPr>
        <w:lastRenderedPageBreak/>
        <w:t xml:space="preserve">Supplementary Table </w:t>
      </w:r>
      <w:r w:rsidR="00A10985">
        <w:rPr>
          <w:rStyle w:val="Kop1Char"/>
          <w:b/>
          <w:sz w:val="20"/>
          <w:szCs w:val="20"/>
        </w:rPr>
        <w:t>4</w:t>
      </w:r>
      <w:r w:rsidRPr="00F47229">
        <w:rPr>
          <w:rStyle w:val="Kop1Char"/>
          <w:b/>
          <w:sz w:val="20"/>
          <w:szCs w:val="20"/>
        </w:rPr>
        <w:t>:</w:t>
      </w:r>
      <w:r w:rsidRPr="00F47229">
        <w:rPr>
          <w:sz w:val="20"/>
          <w:szCs w:val="20"/>
        </w:rPr>
        <w:t xml:space="preserve"> </w:t>
      </w:r>
      <w:r w:rsidRPr="00F47229">
        <w:rPr>
          <w:rStyle w:val="Kop1Char"/>
        </w:rPr>
        <w:t>Discriminative model performance with sex-specific or established ASCVD location-specific model derivation</w:t>
      </w:r>
    </w:p>
    <w:tbl>
      <w:tblPr>
        <w:tblW w:w="10660" w:type="dxa"/>
        <w:tblCellMar>
          <w:left w:w="0" w:type="dxa"/>
          <w:right w:w="0" w:type="dxa"/>
        </w:tblCellMar>
        <w:tblLook w:val="04A0" w:firstRow="1" w:lastRow="0" w:firstColumn="1" w:lastColumn="0" w:noHBand="0" w:noVBand="1"/>
      </w:tblPr>
      <w:tblGrid>
        <w:gridCol w:w="5120"/>
        <w:gridCol w:w="2460"/>
        <w:gridCol w:w="3080"/>
      </w:tblGrid>
      <w:tr w:rsidR="00E14179" w:rsidRPr="00F47229" w14:paraId="65C4BF66" w14:textId="77777777" w:rsidTr="00EC326E">
        <w:trPr>
          <w:trHeight w:val="693"/>
        </w:trPr>
        <w:tc>
          <w:tcPr>
            <w:tcW w:w="51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8284AD2" w14:textId="77777777" w:rsidR="00E14179" w:rsidRPr="00F47229" w:rsidRDefault="00E14179" w:rsidP="00EC326E">
            <w:pPr>
              <w:pStyle w:val="Normaalweb"/>
              <w:spacing w:before="0" w:beforeAutospacing="0" w:after="0" w:afterAutospacing="0" w:line="480" w:lineRule="auto"/>
              <w:rPr>
                <w:sz w:val="20"/>
                <w:szCs w:val="20"/>
                <w:lang w:val="en-GB"/>
              </w:rPr>
            </w:pPr>
            <w:r w:rsidRPr="00F47229">
              <w:rPr>
                <w:b/>
                <w:bCs/>
                <w:color w:val="000000" w:themeColor="text1"/>
                <w:sz w:val="20"/>
                <w:szCs w:val="20"/>
                <w:lang w:val="en-GB"/>
              </w:rPr>
              <w:t>REACH Western Europe (n=12,882)</w:t>
            </w:r>
          </w:p>
        </w:tc>
        <w:tc>
          <w:tcPr>
            <w:tcW w:w="5540" w:type="dxa"/>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CCB13D6" w14:textId="77777777" w:rsidR="00E14179" w:rsidRPr="00F47229" w:rsidRDefault="00E14179" w:rsidP="00EC326E">
            <w:pPr>
              <w:pStyle w:val="Normaalweb"/>
              <w:spacing w:before="0" w:beforeAutospacing="0" w:after="0" w:afterAutospacing="0" w:line="480" w:lineRule="auto"/>
              <w:jc w:val="center"/>
              <w:rPr>
                <w:sz w:val="20"/>
                <w:szCs w:val="20"/>
              </w:rPr>
            </w:pPr>
            <w:r w:rsidRPr="00F47229">
              <w:rPr>
                <w:b/>
                <w:bCs/>
                <w:color w:val="000000" w:themeColor="text1"/>
                <w:sz w:val="20"/>
                <w:szCs w:val="20"/>
                <w:lang w:val="en-GB"/>
              </w:rPr>
              <w:t>C-statistic (95%CI)</w:t>
            </w:r>
          </w:p>
        </w:tc>
      </w:tr>
      <w:tr w:rsidR="00E14179" w:rsidRPr="00F47229" w14:paraId="5B06CEE1"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hideMark/>
          </w:tcPr>
          <w:p w14:paraId="47EF90E8" w14:textId="77777777" w:rsidR="00E14179" w:rsidRPr="00F47229" w:rsidRDefault="00E14179" w:rsidP="00EC326E">
            <w:pPr>
              <w:pStyle w:val="Normaalweb"/>
              <w:spacing w:before="0" w:beforeAutospacing="0" w:after="0" w:afterAutospacing="0" w:line="480" w:lineRule="auto"/>
              <w:rPr>
                <w:sz w:val="20"/>
                <w:szCs w:val="20"/>
              </w:rPr>
            </w:pPr>
            <w:r w:rsidRPr="00F47229">
              <w:rPr>
                <w:b/>
                <w:bCs/>
                <w:color w:val="000000" w:themeColor="text1"/>
                <w:sz w:val="20"/>
                <w:szCs w:val="20"/>
                <w:lang w:val="en-GB"/>
              </w:rPr>
              <w:t> </w:t>
            </w:r>
          </w:p>
        </w:tc>
        <w:tc>
          <w:tcPr>
            <w:tcW w:w="24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C9700DA" w14:textId="77777777" w:rsidR="00E14179" w:rsidRPr="00F47229" w:rsidRDefault="00E14179" w:rsidP="00EC326E">
            <w:pPr>
              <w:pStyle w:val="Normaalweb"/>
              <w:spacing w:before="0" w:beforeAutospacing="0" w:after="0" w:afterAutospacing="0" w:line="480" w:lineRule="auto"/>
              <w:jc w:val="center"/>
              <w:rPr>
                <w:sz w:val="20"/>
                <w:szCs w:val="20"/>
              </w:rPr>
            </w:pPr>
            <w:r w:rsidRPr="00F47229">
              <w:rPr>
                <w:color w:val="000000" w:themeColor="text1"/>
                <w:sz w:val="20"/>
                <w:szCs w:val="20"/>
                <w:lang w:val="en-GB"/>
              </w:rPr>
              <w:t>Overall derivation</w:t>
            </w:r>
          </w:p>
        </w:tc>
        <w:tc>
          <w:tcPr>
            <w:tcW w:w="30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8088C9A" w14:textId="77777777" w:rsidR="00E14179" w:rsidRPr="00F47229" w:rsidRDefault="00E14179" w:rsidP="00EC326E">
            <w:pPr>
              <w:pStyle w:val="Normaalweb"/>
              <w:spacing w:before="0" w:beforeAutospacing="0" w:after="0" w:afterAutospacing="0" w:line="480" w:lineRule="auto"/>
              <w:jc w:val="center"/>
              <w:rPr>
                <w:sz w:val="20"/>
                <w:szCs w:val="20"/>
              </w:rPr>
            </w:pPr>
            <w:r w:rsidRPr="00F47229">
              <w:rPr>
                <w:color w:val="000000" w:themeColor="text1"/>
                <w:sz w:val="20"/>
                <w:szCs w:val="20"/>
                <w:lang w:val="en-GB"/>
              </w:rPr>
              <w:t>Sex-specific derivation</w:t>
            </w:r>
          </w:p>
        </w:tc>
      </w:tr>
      <w:tr w:rsidR="00E14179" w:rsidRPr="00F47229" w14:paraId="64681FE3"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hideMark/>
          </w:tcPr>
          <w:p w14:paraId="2F3B6CE6" w14:textId="77777777" w:rsidR="00E14179" w:rsidRPr="00F47229" w:rsidRDefault="00E14179" w:rsidP="00EC326E">
            <w:pPr>
              <w:pStyle w:val="Normaalweb"/>
              <w:spacing w:before="0" w:beforeAutospacing="0" w:after="0" w:afterAutospacing="0" w:line="480" w:lineRule="auto"/>
              <w:rPr>
                <w:sz w:val="20"/>
                <w:szCs w:val="20"/>
              </w:rPr>
            </w:pPr>
            <w:r w:rsidRPr="00F47229">
              <w:rPr>
                <w:b/>
                <w:bCs/>
                <w:color w:val="000000" w:themeColor="text1"/>
                <w:sz w:val="20"/>
                <w:szCs w:val="20"/>
                <w:lang w:val="en-GB"/>
              </w:rPr>
              <w:t>Total population</w:t>
            </w:r>
          </w:p>
        </w:tc>
        <w:tc>
          <w:tcPr>
            <w:tcW w:w="2460" w:type="dxa"/>
            <w:tcBorders>
              <w:top w:val="nil"/>
              <w:left w:val="nil"/>
              <w:bottom w:val="nil"/>
              <w:right w:val="nil"/>
            </w:tcBorders>
            <w:shd w:val="clear" w:color="auto" w:fill="auto"/>
            <w:tcMar>
              <w:top w:w="15" w:type="dxa"/>
              <w:left w:w="108" w:type="dxa"/>
              <w:bottom w:w="0" w:type="dxa"/>
              <w:right w:w="108" w:type="dxa"/>
            </w:tcMar>
            <w:hideMark/>
          </w:tcPr>
          <w:p w14:paraId="15CD8142" w14:textId="77777777" w:rsidR="00E14179" w:rsidRPr="00F47229" w:rsidRDefault="00E14179" w:rsidP="00EC326E">
            <w:pPr>
              <w:pStyle w:val="Normaalweb"/>
              <w:spacing w:before="0" w:beforeAutospacing="0" w:after="0" w:afterAutospacing="0" w:line="480" w:lineRule="auto"/>
              <w:jc w:val="center"/>
              <w:rPr>
                <w:sz w:val="20"/>
                <w:szCs w:val="20"/>
              </w:rPr>
            </w:pPr>
            <w:r w:rsidRPr="00F47229">
              <w:rPr>
                <w:color w:val="000000" w:themeColor="text1"/>
                <w:sz w:val="20"/>
                <w:szCs w:val="20"/>
              </w:rPr>
              <w:t>0.644 (0.629-0.659)</w:t>
            </w:r>
          </w:p>
        </w:tc>
        <w:tc>
          <w:tcPr>
            <w:tcW w:w="3080" w:type="dxa"/>
            <w:tcBorders>
              <w:top w:val="nil"/>
              <w:left w:val="nil"/>
              <w:bottom w:val="nil"/>
              <w:right w:val="nil"/>
            </w:tcBorders>
            <w:shd w:val="clear" w:color="auto" w:fill="auto"/>
            <w:tcMar>
              <w:top w:w="15" w:type="dxa"/>
              <w:left w:w="108" w:type="dxa"/>
              <w:bottom w:w="0" w:type="dxa"/>
              <w:right w:w="108" w:type="dxa"/>
            </w:tcMar>
            <w:hideMark/>
          </w:tcPr>
          <w:p w14:paraId="07E48251" w14:textId="77777777" w:rsidR="00E14179" w:rsidRPr="00F47229" w:rsidRDefault="00E14179" w:rsidP="00EC326E">
            <w:pPr>
              <w:pStyle w:val="Normaalweb"/>
              <w:spacing w:before="0" w:beforeAutospacing="0" w:after="0" w:afterAutospacing="0" w:line="480" w:lineRule="auto"/>
              <w:jc w:val="center"/>
              <w:rPr>
                <w:sz w:val="20"/>
                <w:szCs w:val="20"/>
              </w:rPr>
            </w:pPr>
            <w:r w:rsidRPr="00F47229">
              <w:rPr>
                <w:color w:val="000000" w:themeColor="text1"/>
                <w:sz w:val="20"/>
                <w:szCs w:val="20"/>
              </w:rPr>
              <w:t>0.642 (0.627-0.658)</w:t>
            </w:r>
          </w:p>
        </w:tc>
      </w:tr>
      <w:tr w:rsidR="00E14179" w:rsidRPr="00F47229" w14:paraId="5E1F4E16"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hideMark/>
          </w:tcPr>
          <w:p w14:paraId="099C25BA" w14:textId="77777777" w:rsidR="00E14179" w:rsidRPr="00F47229" w:rsidRDefault="00E14179" w:rsidP="00EC326E">
            <w:pPr>
              <w:pStyle w:val="Normaalweb"/>
              <w:spacing w:before="0" w:beforeAutospacing="0" w:after="0" w:afterAutospacing="0" w:line="480" w:lineRule="auto"/>
              <w:rPr>
                <w:sz w:val="20"/>
                <w:szCs w:val="20"/>
              </w:rPr>
            </w:pPr>
            <w:r w:rsidRPr="00F47229">
              <w:rPr>
                <w:b/>
                <w:bCs/>
                <w:color w:val="000000" w:themeColor="text1"/>
                <w:sz w:val="20"/>
                <w:szCs w:val="20"/>
                <w:lang w:val="en-GB"/>
              </w:rPr>
              <w:t>Men only</w:t>
            </w:r>
          </w:p>
        </w:tc>
        <w:tc>
          <w:tcPr>
            <w:tcW w:w="2460" w:type="dxa"/>
            <w:tcBorders>
              <w:top w:val="nil"/>
              <w:left w:val="nil"/>
              <w:bottom w:val="nil"/>
              <w:right w:val="nil"/>
            </w:tcBorders>
            <w:shd w:val="clear" w:color="auto" w:fill="auto"/>
            <w:tcMar>
              <w:top w:w="15" w:type="dxa"/>
              <w:left w:w="108" w:type="dxa"/>
              <w:bottom w:w="0" w:type="dxa"/>
              <w:right w:w="108" w:type="dxa"/>
            </w:tcMar>
            <w:hideMark/>
          </w:tcPr>
          <w:p w14:paraId="46601761" w14:textId="77777777" w:rsidR="00E14179" w:rsidRPr="00F47229" w:rsidRDefault="00E14179" w:rsidP="00EC326E">
            <w:pPr>
              <w:pStyle w:val="Normaalweb"/>
              <w:spacing w:before="0" w:beforeAutospacing="0" w:after="0" w:afterAutospacing="0" w:line="480" w:lineRule="auto"/>
              <w:jc w:val="center"/>
              <w:rPr>
                <w:sz w:val="20"/>
                <w:szCs w:val="20"/>
                <w:lang w:val="en-US"/>
              </w:rPr>
            </w:pPr>
            <w:r w:rsidRPr="00F47229">
              <w:rPr>
                <w:color w:val="000000" w:themeColor="text1"/>
                <w:sz w:val="20"/>
                <w:szCs w:val="20"/>
                <w:lang w:val="en-US"/>
              </w:rPr>
              <w:t>0.646 (0.629-0.662)</w:t>
            </w:r>
          </w:p>
        </w:tc>
        <w:tc>
          <w:tcPr>
            <w:tcW w:w="3080" w:type="dxa"/>
            <w:tcBorders>
              <w:top w:val="nil"/>
              <w:left w:val="nil"/>
              <w:bottom w:val="nil"/>
              <w:right w:val="nil"/>
            </w:tcBorders>
            <w:shd w:val="clear" w:color="auto" w:fill="auto"/>
            <w:tcMar>
              <w:top w:w="15" w:type="dxa"/>
              <w:left w:w="108" w:type="dxa"/>
              <w:bottom w:w="0" w:type="dxa"/>
              <w:right w:w="108" w:type="dxa"/>
            </w:tcMar>
            <w:hideMark/>
          </w:tcPr>
          <w:p w14:paraId="6F6DB0AA" w14:textId="77777777" w:rsidR="00E14179" w:rsidRPr="00F47229" w:rsidRDefault="00E14179" w:rsidP="00EC326E">
            <w:pPr>
              <w:pStyle w:val="Normaalweb"/>
              <w:spacing w:before="0" w:beforeAutospacing="0" w:after="0" w:afterAutospacing="0" w:line="480" w:lineRule="auto"/>
              <w:jc w:val="center"/>
              <w:rPr>
                <w:sz w:val="20"/>
                <w:szCs w:val="20"/>
                <w:lang w:val="en-US"/>
              </w:rPr>
            </w:pPr>
            <w:r w:rsidRPr="00F47229">
              <w:rPr>
                <w:color w:val="000000" w:themeColor="text1"/>
                <w:sz w:val="20"/>
                <w:szCs w:val="20"/>
                <w:lang w:val="en-US"/>
              </w:rPr>
              <w:t>0.645 (0.629-0.662)</w:t>
            </w:r>
          </w:p>
        </w:tc>
      </w:tr>
      <w:tr w:rsidR="00E14179" w:rsidRPr="00F47229" w14:paraId="46F4E536"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hideMark/>
          </w:tcPr>
          <w:p w14:paraId="72038438" w14:textId="77777777" w:rsidR="00E14179" w:rsidRPr="00F47229" w:rsidRDefault="00E14179" w:rsidP="00EC326E">
            <w:pPr>
              <w:pStyle w:val="Normaalweb"/>
              <w:spacing w:before="0" w:beforeAutospacing="0" w:after="0" w:afterAutospacing="0" w:line="480" w:lineRule="auto"/>
              <w:rPr>
                <w:sz w:val="20"/>
                <w:szCs w:val="20"/>
                <w:lang w:val="en-US"/>
              </w:rPr>
            </w:pPr>
            <w:r w:rsidRPr="00F47229">
              <w:rPr>
                <w:b/>
                <w:bCs/>
                <w:color w:val="000000" w:themeColor="text1"/>
                <w:sz w:val="20"/>
                <w:szCs w:val="20"/>
                <w:lang w:val="en-GB"/>
              </w:rPr>
              <w:t>Women only</w:t>
            </w:r>
          </w:p>
        </w:tc>
        <w:tc>
          <w:tcPr>
            <w:tcW w:w="24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0BF45D92" w14:textId="77777777" w:rsidR="00E14179" w:rsidRPr="00F47229" w:rsidRDefault="00E14179" w:rsidP="00EC326E">
            <w:pPr>
              <w:pStyle w:val="Normaalweb"/>
              <w:spacing w:before="0" w:beforeAutospacing="0" w:after="0" w:afterAutospacing="0" w:line="480" w:lineRule="auto"/>
              <w:jc w:val="center"/>
              <w:rPr>
                <w:sz w:val="20"/>
                <w:szCs w:val="20"/>
                <w:lang w:val="en-US"/>
              </w:rPr>
            </w:pPr>
            <w:r w:rsidRPr="00F47229">
              <w:rPr>
                <w:color w:val="000000" w:themeColor="text1"/>
                <w:sz w:val="20"/>
                <w:szCs w:val="20"/>
                <w:lang w:val="en-US"/>
              </w:rPr>
              <w:t>0.643 (0.623-0.662)</w:t>
            </w:r>
          </w:p>
        </w:tc>
        <w:tc>
          <w:tcPr>
            <w:tcW w:w="3080" w:type="dxa"/>
            <w:tcBorders>
              <w:top w:val="nil"/>
              <w:left w:val="nil"/>
              <w:bottom w:val="single" w:sz="4" w:space="0" w:color="auto"/>
              <w:right w:val="nil"/>
            </w:tcBorders>
            <w:shd w:val="clear" w:color="auto" w:fill="auto"/>
            <w:tcMar>
              <w:top w:w="15" w:type="dxa"/>
              <w:left w:w="108" w:type="dxa"/>
              <w:bottom w:w="0" w:type="dxa"/>
              <w:right w:w="108" w:type="dxa"/>
            </w:tcMar>
            <w:hideMark/>
          </w:tcPr>
          <w:p w14:paraId="38B65C04" w14:textId="77777777" w:rsidR="00E14179" w:rsidRPr="00F47229" w:rsidRDefault="00E14179" w:rsidP="00EC326E">
            <w:pPr>
              <w:pStyle w:val="Normaalweb"/>
              <w:spacing w:before="0" w:beforeAutospacing="0" w:after="0" w:afterAutospacing="0" w:line="480" w:lineRule="auto"/>
              <w:jc w:val="center"/>
              <w:rPr>
                <w:sz w:val="20"/>
                <w:szCs w:val="20"/>
                <w:lang w:val="en-US"/>
              </w:rPr>
            </w:pPr>
            <w:r w:rsidRPr="00F47229">
              <w:rPr>
                <w:color w:val="000000" w:themeColor="text1"/>
                <w:sz w:val="20"/>
                <w:szCs w:val="20"/>
                <w:lang w:val="en-US"/>
              </w:rPr>
              <w:t>0.639 (0.620-0.658)</w:t>
            </w:r>
          </w:p>
        </w:tc>
      </w:tr>
      <w:tr w:rsidR="00E14179" w:rsidRPr="00F47229" w14:paraId="36983E28"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tcPr>
          <w:p w14:paraId="3C0A27B4" w14:textId="77777777" w:rsidR="00E14179" w:rsidRPr="00F47229" w:rsidRDefault="00E14179" w:rsidP="00EC326E">
            <w:pPr>
              <w:pStyle w:val="Normaalweb"/>
              <w:spacing w:before="0" w:beforeAutospacing="0" w:after="0" w:afterAutospacing="0" w:line="480" w:lineRule="auto"/>
              <w:rPr>
                <w:b/>
                <w:bCs/>
                <w:color w:val="000000" w:themeColor="text1"/>
                <w:sz w:val="20"/>
                <w:szCs w:val="20"/>
                <w:lang w:val="en-GB"/>
              </w:rPr>
            </w:pPr>
            <w:r w:rsidRPr="00F47229">
              <w:rPr>
                <w:b/>
                <w:bCs/>
                <w:color w:val="000000" w:themeColor="text1"/>
                <w:sz w:val="20"/>
                <w:szCs w:val="20"/>
                <w:lang w:val="en-GB"/>
              </w:rPr>
              <w:t> </w:t>
            </w:r>
          </w:p>
        </w:tc>
        <w:tc>
          <w:tcPr>
            <w:tcW w:w="2460" w:type="dxa"/>
            <w:tcBorders>
              <w:top w:val="single" w:sz="4" w:space="0" w:color="auto"/>
              <w:left w:val="nil"/>
              <w:right w:val="nil"/>
            </w:tcBorders>
            <w:shd w:val="clear" w:color="auto" w:fill="auto"/>
            <w:tcMar>
              <w:top w:w="15" w:type="dxa"/>
              <w:left w:w="108" w:type="dxa"/>
              <w:bottom w:w="0" w:type="dxa"/>
              <w:right w:w="108" w:type="dxa"/>
            </w:tcMar>
          </w:tcPr>
          <w:p w14:paraId="6CA1EB1F"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lang w:val="en-GB"/>
              </w:rPr>
            </w:pPr>
            <w:r w:rsidRPr="00F47229">
              <w:rPr>
                <w:color w:val="000000" w:themeColor="text1"/>
                <w:sz w:val="20"/>
                <w:szCs w:val="20"/>
                <w:lang w:val="en-GB"/>
              </w:rPr>
              <w:t>Overall derivation</w:t>
            </w:r>
          </w:p>
        </w:tc>
        <w:tc>
          <w:tcPr>
            <w:tcW w:w="3080" w:type="dxa"/>
            <w:tcBorders>
              <w:top w:val="single" w:sz="4" w:space="0" w:color="auto"/>
              <w:left w:val="nil"/>
              <w:right w:val="nil"/>
            </w:tcBorders>
            <w:shd w:val="clear" w:color="auto" w:fill="auto"/>
            <w:tcMar>
              <w:top w:w="15" w:type="dxa"/>
              <w:left w:w="108" w:type="dxa"/>
              <w:bottom w:w="0" w:type="dxa"/>
              <w:right w:w="108" w:type="dxa"/>
            </w:tcMar>
          </w:tcPr>
          <w:p w14:paraId="1AC5F016"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lang w:val="en-GB"/>
              </w:rPr>
            </w:pPr>
            <w:r w:rsidRPr="00F47229">
              <w:rPr>
                <w:color w:val="000000" w:themeColor="text1"/>
                <w:sz w:val="20"/>
                <w:szCs w:val="20"/>
                <w:lang w:val="en-GB"/>
              </w:rPr>
              <w:t>Location-specific derivation</w:t>
            </w:r>
          </w:p>
        </w:tc>
      </w:tr>
      <w:tr w:rsidR="00E14179" w:rsidRPr="00F47229" w14:paraId="6BD13BFD"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tcPr>
          <w:p w14:paraId="099546EC" w14:textId="77777777" w:rsidR="00E14179" w:rsidRPr="00F47229" w:rsidRDefault="00E14179" w:rsidP="00EC326E">
            <w:pPr>
              <w:pStyle w:val="Normaalweb"/>
              <w:spacing w:before="0" w:beforeAutospacing="0" w:after="0" w:afterAutospacing="0" w:line="480" w:lineRule="auto"/>
              <w:rPr>
                <w:b/>
                <w:bCs/>
                <w:color w:val="000000" w:themeColor="text1"/>
                <w:sz w:val="20"/>
                <w:szCs w:val="20"/>
                <w:lang w:val="en-GB"/>
              </w:rPr>
            </w:pPr>
            <w:r w:rsidRPr="00F47229">
              <w:rPr>
                <w:b/>
                <w:bCs/>
                <w:color w:val="000000" w:themeColor="text1"/>
                <w:sz w:val="20"/>
                <w:szCs w:val="20"/>
                <w:lang w:val="en-GB"/>
              </w:rPr>
              <w:t>Total population</w:t>
            </w:r>
          </w:p>
        </w:tc>
        <w:tc>
          <w:tcPr>
            <w:tcW w:w="2460" w:type="dxa"/>
            <w:tcBorders>
              <w:left w:val="nil"/>
              <w:bottom w:val="nil"/>
              <w:right w:val="nil"/>
            </w:tcBorders>
            <w:shd w:val="clear" w:color="auto" w:fill="auto"/>
            <w:tcMar>
              <w:top w:w="15" w:type="dxa"/>
              <w:left w:w="108" w:type="dxa"/>
              <w:bottom w:w="0" w:type="dxa"/>
              <w:right w:w="108" w:type="dxa"/>
            </w:tcMar>
          </w:tcPr>
          <w:p w14:paraId="3ECE7CAA"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0.644 (0.629-0.659)</w:t>
            </w:r>
          </w:p>
        </w:tc>
        <w:tc>
          <w:tcPr>
            <w:tcW w:w="3080" w:type="dxa"/>
            <w:tcBorders>
              <w:left w:val="nil"/>
              <w:bottom w:val="nil"/>
              <w:right w:val="nil"/>
            </w:tcBorders>
            <w:shd w:val="clear" w:color="auto" w:fill="auto"/>
            <w:tcMar>
              <w:top w:w="15" w:type="dxa"/>
              <w:left w:w="108" w:type="dxa"/>
              <w:bottom w:w="0" w:type="dxa"/>
              <w:right w:w="108" w:type="dxa"/>
            </w:tcMar>
          </w:tcPr>
          <w:p w14:paraId="129150B0"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0.645 (0.630-0.660)</w:t>
            </w:r>
          </w:p>
        </w:tc>
      </w:tr>
      <w:tr w:rsidR="00E14179" w:rsidRPr="00F47229" w14:paraId="3832A30D" w14:textId="77777777" w:rsidTr="00EC326E">
        <w:trPr>
          <w:trHeight w:val="693"/>
        </w:trPr>
        <w:tc>
          <w:tcPr>
            <w:tcW w:w="5120" w:type="dxa"/>
            <w:tcBorders>
              <w:top w:val="nil"/>
              <w:left w:val="nil"/>
              <w:bottom w:val="nil"/>
              <w:right w:val="nil"/>
            </w:tcBorders>
            <w:shd w:val="clear" w:color="auto" w:fill="auto"/>
            <w:tcMar>
              <w:top w:w="15" w:type="dxa"/>
              <w:left w:w="108" w:type="dxa"/>
              <w:bottom w:w="0" w:type="dxa"/>
              <w:right w:w="108" w:type="dxa"/>
            </w:tcMar>
          </w:tcPr>
          <w:p w14:paraId="54F740C3" w14:textId="77777777" w:rsidR="00E14179" w:rsidRPr="00F47229" w:rsidRDefault="00E14179" w:rsidP="00EC326E">
            <w:pPr>
              <w:pStyle w:val="Normaalweb"/>
              <w:spacing w:before="0" w:beforeAutospacing="0" w:after="0" w:afterAutospacing="0" w:line="480" w:lineRule="auto"/>
              <w:rPr>
                <w:b/>
                <w:bCs/>
                <w:color w:val="000000" w:themeColor="text1"/>
                <w:sz w:val="20"/>
                <w:szCs w:val="20"/>
                <w:lang w:val="en-GB"/>
              </w:rPr>
            </w:pPr>
            <w:r w:rsidRPr="00F47229">
              <w:rPr>
                <w:b/>
                <w:bCs/>
                <w:color w:val="000000" w:themeColor="text1"/>
                <w:sz w:val="20"/>
                <w:szCs w:val="20"/>
                <w:lang w:val="en-GB"/>
              </w:rPr>
              <w:t>CAD patients only</w:t>
            </w:r>
          </w:p>
        </w:tc>
        <w:tc>
          <w:tcPr>
            <w:tcW w:w="2460" w:type="dxa"/>
            <w:tcBorders>
              <w:top w:val="nil"/>
              <w:left w:val="nil"/>
              <w:bottom w:val="nil"/>
              <w:right w:val="nil"/>
            </w:tcBorders>
            <w:shd w:val="clear" w:color="auto" w:fill="auto"/>
            <w:tcMar>
              <w:top w:w="15" w:type="dxa"/>
              <w:left w:w="108" w:type="dxa"/>
              <w:bottom w:w="0" w:type="dxa"/>
              <w:right w:w="108" w:type="dxa"/>
            </w:tcMar>
          </w:tcPr>
          <w:p w14:paraId="2C7C4964"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0.663 (0.645-0.681)</w:t>
            </w:r>
          </w:p>
        </w:tc>
        <w:tc>
          <w:tcPr>
            <w:tcW w:w="3080" w:type="dxa"/>
            <w:tcBorders>
              <w:top w:val="nil"/>
              <w:left w:val="nil"/>
              <w:bottom w:val="nil"/>
              <w:right w:val="nil"/>
            </w:tcBorders>
            <w:shd w:val="clear" w:color="auto" w:fill="auto"/>
            <w:tcMar>
              <w:top w:w="15" w:type="dxa"/>
              <w:left w:w="108" w:type="dxa"/>
              <w:bottom w:w="0" w:type="dxa"/>
              <w:right w:w="108" w:type="dxa"/>
            </w:tcMar>
          </w:tcPr>
          <w:p w14:paraId="37183EEC"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0.661 (0.643-0.679)</w:t>
            </w:r>
          </w:p>
        </w:tc>
      </w:tr>
      <w:tr w:rsidR="00E14179" w:rsidRPr="00F47229" w14:paraId="057D6817" w14:textId="77777777" w:rsidTr="00EC326E">
        <w:trPr>
          <w:trHeight w:val="693"/>
        </w:trPr>
        <w:tc>
          <w:tcPr>
            <w:tcW w:w="5120" w:type="dxa"/>
            <w:tcBorders>
              <w:top w:val="nil"/>
              <w:left w:val="nil"/>
              <w:right w:val="nil"/>
            </w:tcBorders>
            <w:shd w:val="clear" w:color="auto" w:fill="auto"/>
            <w:tcMar>
              <w:top w:w="15" w:type="dxa"/>
              <w:left w:w="108" w:type="dxa"/>
              <w:bottom w:w="0" w:type="dxa"/>
              <w:right w:w="108" w:type="dxa"/>
            </w:tcMar>
          </w:tcPr>
          <w:p w14:paraId="09A5EFDC" w14:textId="77777777" w:rsidR="00E14179" w:rsidRPr="00F47229" w:rsidRDefault="00E14179" w:rsidP="00EC326E">
            <w:pPr>
              <w:pStyle w:val="Normaalweb"/>
              <w:spacing w:before="0" w:beforeAutospacing="0" w:after="0" w:afterAutospacing="0" w:line="480" w:lineRule="auto"/>
              <w:rPr>
                <w:b/>
                <w:bCs/>
                <w:color w:val="000000" w:themeColor="text1"/>
                <w:sz w:val="20"/>
                <w:szCs w:val="20"/>
                <w:lang w:val="en-GB"/>
              </w:rPr>
            </w:pPr>
            <w:r w:rsidRPr="00F47229">
              <w:rPr>
                <w:b/>
                <w:bCs/>
                <w:color w:val="000000" w:themeColor="text1"/>
                <w:sz w:val="20"/>
                <w:szCs w:val="20"/>
                <w:lang w:val="en-GB"/>
              </w:rPr>
              <w:t>CeVD patients only</w:t>
            </w:r>
          </w:p>
        </w:tc>
        <w:tc>
          <w:tcPr>
            <w:tcW w:w="2460" w:type="dxa"/>
            <w:tcBorders>
              <w:top w:val="nil"/>
              <w:left w:val="nil"/>
              <w:right w:val="nil"/>
            </w:tcBorders>
            <w:shd w:val="clear" w:color="auto" w:fill="auto"/>
            <w:tcMar>
              <w:top w:w="15" w:type="dxa"/>
              <w:left w:w="108" w:type="dxa"/>
              <w:bottom w:w="0" w:type="dxa"/>
              <w:right w:w="108" w:type="dxa"/>
            </w:tcMar>
          </w:tcPr>
          <w:p w14:paraId="3DEF7EFF"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0.650 (0.609-0.690)</w:t>
            </w:r>
          </w:p>
        </w:tc>
        <w:tc>
          <w:tcPr>
            <w:tcW w:w="3080" w:type="dxa"/>
            <w:tcBorders>
              <w:top w:val="nil"/>
              <w:left w:val="nil"/>
              <w:right w:val="nil"/>
            </w:tcBorders>
            <w:shd w:val="clear" w:color="auto" w:fill="auto"/>
            <w:tcMar>
              <w:top w:w="15" w:type="dxa"/>
              <w:left w:w="108" w:type="dxa"/>
              <w:bottom w:w="0" w:type="dxa"/>
              <w:right w:w="108" w:type="dxa"/>
            </w:tcMar>
          </w:tcPr>
          <w:p w14:paraId="27E7DFB2"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0.650 (0.609-0.690)</w:t>
            </w:r>
          </w:p>
        </w:tc>
      </w:tr>
      <w:tr w:rsidR="00E14179" w:rsidRPr="00F47229" w14:paraId="1A8D4172" w14:textId="77777777" w:rsidTr="00EC326E">
        <w:trPr>
          <w:trHeight w:val="693"/>
        </w:trPr>
        <w:tc>
          <w:tcPr>
            <w:tcW w:w="5120" w:type="dxa"/>
            <w:tcBorders>
              <w:top w:val="nil"/>
              <w:left w:val="nil"/>
              <w:bottom w:val="single" w:sz="4" w:space="0" w:color="auto"/>
              <w:right w:val="nil"/>
            </w:tcBorders>
            <w:shd w:val="clear" w:color="auto" w:fill="auto"/>
            <w:tcMar>
              <w:top w:w="15" w:type="dxa"/>
              <w:left w:w="108" w:type="dxa"/>
              <w:bottom w:w="0" w:type="dxa"/>
              <w:right w:w="108" w:type="dxa"/>
            </w:tcMar>
          </w:tcPr>
          <w:p w14:paraId="370EE537" w14:textId="77777777" w:rsidR="00E14179" w:rsidRPr="00F47229" w:rsidRDefault="00E14179" w:rsidP="00EC326E">
            <w:pPr>
              <w:pStyle w:val="Normaalweb"/>
              <w:spacing w:before="0" w:beforeAutospacing="0" w:after="0" w:afterAutospacing="0" w:line="480" w:lineRule="auto"/>
              <w:rPr>
                <w:b/>
                <w:bCs/>
                <w:color w:val="000000" w:themeColor="text1"/>
                <w:sz w:val="20"/>
                <w:szCs w:val="20"/>
                <w:lang w:val="en-GB"/>
              </w:rPr>
            </w:pPr>
            <w:r w:rsidRPr="00F47229">
              <w:rPr>
                <w:b/>
                <w:bCs/>
                <w:color w:val="000000" w:themeColor="text1"/>
                <w:sz w:val="20"/>
                <w:szCs w:val="20"/>
                <w:lang w:val="en-GB"/>
              </w:rPr>
              <w:t>PAD/AAA patients only</w:t>
            </w:r>
          </w:p>
        </w:tc>
        <w:tc>
          <w:tcPr>
            <w:tcW w:w="2460" w:type="dxa"/>
            <w:tcBorders>
              <w:top w:val="nil"/>
              <w:left w:val="nil"/>
              <w:bottom w:val="single" w:sz="4" w:space="0" w:color="auto"/>
              <w:right w:val="nil"/>
            </w:tcBorders>
            <w:shd w:val="clear" w:color="auto" w:fill="auto"/>
            <w:tcMar>
              <w:top w:w="15" w:type="dxa"/>
              <w:left w:w="108" w:type="dxa"/>
              <w:bottom w:w="0" w:type="dxa"/>
              <w:right w:w="108" w:type="dxa"/>
            </w:tcMar>
          </w:tcPr>
          <w:p w14:paraId="517C44EC"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0.635 (0.606-0.664)</w:t>
            </w:r>
          </w:p>
        </w:tc>
        <w:tc>
          <w:tcPr>
            <w:tcW w:w="3080" w:type="dxa"/>
            <w:tcBorders>
              <w:top w:val="nil"/>
              <w:left w:val="nil"/>
              <w:bottom w:val="single" w:sz="4" w:space="0" w:color="auto"/>
              <w:right w:val="nil"/>
            </w:tcBorders>
            <w:shd w:val="clear" w:color="auto" w:fill="auto"/>
            <w:tcMar>
              <w:top w:w="15" w:type="dxa"/>
              <w:left w:w="108" w:type="dxa"/>
              <w:bottom w:w="0" w:type="dxa"/>
              <w:right w:w="108" w:type="dxa"/>
            </w:tcMar>
          </w:tcPr>
          <w:p w14:paraId="276CF8B0" w14:textId="77777777" w:rsidR="00E14179" w:rsidRPr="00F47229" w:rsidRDefault="00E14179" w:rsidP="00EC326E">
            <w:pPr>
              <w:pStyle w:val="Normaalweb"/>
              <w:spacing w:before="0" w:beforeAutospacing="0" w:after="0" w:afterAutospacing="0" w:line="480" w:lineRule="auto"/>
              <w:jc w:val="center"/>
              <w:rPr>
                <w:color w:val="000000" w:themeColor="text1"/>
                <w:sz w:val="20"/>
                <w:szCs w:val="20"/>
              </w:rPr>
            </w:pPr>
            <w:r w:rsidRPr="00F47229">
              <w:rPr>
                <w:color w:val="000000" w:themeColor="text1"/>
                <w:sz w:val="20"/>
                <w:szCs w:val="20"/>
              </w:rPr>
              <w:t>0.634 (0.604-0.663)</w:t>
            </w:r>
          </w:p>
        </w:tc>
      </w:tr>
    </w:tbl>
    <w:p w14:paraId="12695146" w14:textId="25D61A06" w:rsidR="000A5C7B" w:rsidRPr="003C2890" w:rsidRDefault="00E14179" w:rsidP="003C2890">
      <w:r w:rsidRPr="00F47229">
        <w:rPr>
          <w:sz w:val="20"/>
          <w:szCs w:val="20"/>
        </w:rPr>
        <w:t xml:space="preserve"> </w:t>
      </w:r>
      <w:r w:rsidRPr="00F47229">
        <w:t>External model performance in terms of discrimination when repeating model derivation and validation separately for both sexes (top) and locations of established ASCVD (bottom) in comparison to using the whole dataset. CAD = coronary artery disease, CeVD = cerebrovascular disease, PAD = peripheral artery disease, AAA = abdominal aortic aneurysm.</w:t>
      </w:r>
    </w:p>
    <w:sectPr w:rsidR="000A5C7B" w:rsidRPr="003C2890" w:rsidSect="0079333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57730" w14:textId="77777777" w:rsidR="0026452D" w:rsidRDefault="0026452D" w:rsidP="006B1A86">
      <w:r>
        <w:separator/>
      </w:r>
    </w:p>
  </w:endnote>
  <w:endnote w:type="continuationSeparator" w:id="0">
    <w:p w14:paraId="62E58948" w14:textId="77777777" w:rsidR="0026452D" w:rsidRDefault="0026452D" w:rsidP="006B1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764455"/>
      <w:docPartObj>
        <w:docPartGallery w:val="Page Numbers (Bottom of Page)"/>
        <w:docPartUnique/>
      </w:docPartObj>
    </w:sdtPr>
    <w:sdtEndPr/>
    <w:sdtContent>
      <w:p w14:paraId="548DCCBC" w14:textId="48A87097" w:rsidR="0026452D" w:rsidRDefault="0026452D">
        <w:pPr>
          <w:pStyle w:val="Voettekst"/>
          <w:jc w:val="right"/>
        </w:pPr>
        <w:r>
          <w:fldChar w:fldCharType="begin"/>
        </w:r>
        <w:r>
          <w:instrText>PAGE   \* MERGEFORMAT</w:instrText>
        </w:r>
        <w:r>
          <w:fldChar w:fldCharType="separate"/>
        </w:r>
        <w:r w:rsidR="00A632A2" w:rsidRPr="00A632A2">
          <w:rPr>
            <w:noProof/>
            <w:lang w:val="nl-NL"/>
          </w:rPr>
          <w:t>11</w:t>
        </w:r>
        <w:r>
          <w:fldChar w:fldCharType="end"/>
        </w:r>
      </w:p>
    </w:sdtContent>
  </w:sdt>
  <w:p w14:paraId="3D77D6B4" w14:textId="77777777" w:rsidR="0026452D" w:rsidRDefault="0026452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48DD0" w14:textId="77777777" w:rsidR="0026452D" w:rsidRDefault="0026452D" w:rsidP="006B1A86">
      <w:r>
        <w:separator/>
      </w:r>
    </w:p>
  </w:footnote>
  <w:footnote w:type="continuationSeparator" w:id="0">
    <w:p w14:paraId="4A3649CA" w14:textId="77777777" w:rsidR="0026452D" w:rsidRDefault="0026452D" w:rsidP="006B1A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0986"/>
    <w:multiLevelType w:val="hybridMultilevel"/>
    <w:tmpl w:val="531CB184"/>
    <w:lvl w:ilvl="0" w:tplc="C8108358">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470BEE"/>
    <w:multiLevelType w:val="hybridMultilevel"/>
    <w:tmpl w:val="FBE888B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3B304E"/>
    <w:multiLevelType w:val="hybridMultilevel"/>
    <w:tmpl w:val="7A826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B76684"/>
    <w:multiLevelType w:val="hybridMultilevel"/>
    <w:tmpl w:val="C116F0E8"/>
    <w:lvl w:ilvl="0" w:tplc="76564342">
      <w:numFmt w:val="bullet"/>
      <w:lvlText w:val="-"/>
      <w:lvlJc w:val="left"/>
      <w:pPr>
        <w:ind w:left="720" w:hanging="360"/>
      </w:pPr>
      <w:rPr>
        <w:rFonts w:ascii="Segoe UI" w:eastAsiaTheme="minorHAns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7B0551"/>
    <w:multiLevelType w:val="hybridMultilevel"/>
    <w:tmpl w:val="30906EC6"/>
    <w:lvl w:ilvl="0" w:tplc="90E4DF26">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0A3C61"/>
    <w:multiLevelType w:val="hybridMultilevel"/>
    <w:tmpl w:val="30720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5FC6AEF"/>
    <w:multiLevelType w:val="hybridMultilevel"/>
    <w:tmpl w:val="BB74F226"/>
    <w:lvl w:ilvl="0" w:tplc="3E1ABD5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8A342A"/>
    <w:multiLevelType w:val="hybridMultilevel"/>
    <w:tmpl w:val="64080A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E83A86"/>
    <w:multiLevelType w:val="hybridMultilevel"/>
    <w:tmpl w:val="29700504"/>
    <w:lvl w:ilvl="0" w:tplc="4238DE9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CC33B34"/>
    <w:multiLevelType w:val="hybridMultilevel"/>
    <w:tmpl w:val="0AE8A49A"/>
    <w:lvl w:ilvl="0" w:tplc="BE4849D6">
      <w:start w:val="1"/>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54E7457"/>
    <w:multiLevelType w:val="hybridMultilevel"/>
    <w:tmpl w:val="F15E436A"/>
    <w:lvl w:ilvl="0" w:tplc="CCF0B9F8">
      <w:numFmt w:val="bullet"/>
      <w:lvlText w:val="-"/>
      <w:lvlJc w:val="left"/>
      <w:pPr>
        <w:ind w:left="720" w:hanging="360"/>
      </w:pPr>
      <w:rPr>
        <w:rFonts w:ascii="Times New Roman" w:eastAsiaTheme="minorHAnsi" w:hAnsi="Times New Roman"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10"/>
  </w:num>
  <w:num w:numId="6">
    <w:abstractNumId w:val="4"/>
  </w:num>
  <w:num w:numId="7">
    <w:abstractNumId w:val="0"/>
  </w:num>
  <w:num w:numId="8">
    <w:abstractNumId w:val="9"/>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66E"/>
    <w:rsid w:val="00001736"/>
    <w:rsid w:val="00003113"/>
    <w:rsid w:val="00004000"/>
    <w:rsid w:val="00007580"/>
    <w:rsid w:val="000076F9"/>
    <w:rsid w:val="00022D89"/>
    <w:rsid w:val="000232D1"/>
    <w:rsid w:val="00030444"/>
    <w:rsid w:val="000318EE"/>
    <w:rsid w:val="00032440"/>
    <w:rsid w:val="00037AAF"/>
    <w:rsid w:val="00040105"/>
    <w:rsid w:val="00042EDA"/>
    <w:rsid w:val="000444F8"/>
    <w:rsid w:val="000464B2"/>
    <w:rsid w:val="000471CF"/>
    <w:rsid w:val="00047B92"/>
    <w:rsid w:val="000505FB"/>
    <w:rsid w:val="00051621"/>
    <w:rsid w:val="00054A36"/>
    <w:rsid w:val="00056E70"/>
    <w:rsid w:val="0006015C"/>
    <w:rsid w:val="00070928"/>
    <w:rsid w:val="00073617"/>
    <w:rsid w:val="000745CC"/>
    <w:rsid w:val="00075988"/>
    <w:rsid w:val="00080DB4"/>
    <w:rsid w:val="000843BE"/>
    <w:rsid w:val="00084436"/>
    <w:rsid w:val="00086464"/>
    <w:rsid w:val="00091193"/>
    <w:rsid w:val="00091818"/>
    <w:rsid w:val="00091CC0"/>
    <w:rsid w:val="00091D22"/>
    <w:rsid w:val="000926F6"/>
    <w:rsid w:val="0009403F"/>
    <w:rsid w:val="0009603E"/>
    <w:rsid w:val="000A1F31"/>
    <w:rsid w:val="000A3922"/>
    <w:rsid w:val="000A5C7B"/>
    <w:rsid w:val="000A5DAB"/>
    <w:rsid w:val="000B0CEC"/>
    <w:rsid w:val="000B6CC5"/>
    <w:rsid w:val="000C15AD"/>
    <w:rsid w:val="000C3682"/>
    <w:rsid w:val="000C3DE0"/>
    <w:rsid w:val="000C5075"/>
    <w:rsid w:val="000D17AE"/>
    <w:rsid w:val="000D1E75"/>
    <w:rsid w:val="000D4512"/>
    <w:rsid w:val="000D52C4"/>
    <w:rsid w:val="000E1DF3"/>
    <w:rsid w:val="000E2DB0"/>
    <w:rsid w:val="000E2E7E"/>
    <w:rsid w:val="000E56F6"/>
    <w:rsid w:val="000E59BD"/>
    <w:rsid w:val="000F00CA"/>
    <w:rsid w:val="000F0416"/>
    <w:rsid w:val="000F3189"/>
    <w:rsid w:val="000F5CC3"/>
    <w:rsid w:val="001020D4"/>
    <w:rsid w:val="00102AB3"/>
    <w:rsid w:val="0011501C"/>
    <w:rsid w:val="00120FD0"/>
    <w:rsid w:val="001314F6"/>
    <w:rsid w:val="00135B2E"/>
    <w:rsid w:val="00137084"/>
    <w:rsid w:val="00140086"/>
    <w:rsid w:val="00140B6A"/>
    <w:rsid w:val="001421A3"/>
    <w:rsid w:val="00143345"/>
    <w:rsid w:val="00143A41"/>
    <w:rsid w:val="001464FE"/>
    <w:rsid w:val="00146726"/>
    <w:rsid w:val="001469A5"/>
    <w:rsid w:val="00146DF1"/>
    <w:rsid w:val="00151256"/>
    <w:rsid w:val="00160654"/>
    <w:rsid w:val="00163250"/>
    <w:rsid w:val="00165C25"/>
    <w:rsid w:val="00172213"/>
    <w:rsid w:val="00177F06"/>
    <w:rsid w:val="00180FA1"/>
    <w:rsid w:val="001834B6"/>
    <w:rsid w:val="001838BD"/>
    <w:rsid w:val="001858F2"/>
    <w:rsid w:val="001921E9"/>
    <w:rsid w:val="0019348E"/>
    <w:rsid w:val="00193A87"/>
    <w:rsid w:val="001A0469"/>
    <w:rsid w:val="001A2664"/>
    <w:rsid w:val="001A5291"/>
    <w:rsid w:val="001A7AB6"/>
    <w:rsid w:val="001B2325"/>
    <w:rsid w:val="001C2D58"/>
    <w:rsid w:val="001C4983"/>
    <w:rsid w:val="001C5CE0"/>
    <w:rsid w:val="001C729B"/>
    <w:rsid w:val="001D043D"/>
    <w:rsid w:val="001D6DFF"/>
    <w:rsid w:val="001E3702"/>
    <w:rsid w:val="001E61DD"/>
    <w:rsid w:val="001F2883"/>
    <w:rsid w:val="001F2AF3"/>
    <w:rsid w:val="001F3694"/>
    <w:rsid w:val="001F4AA0"/>
    <w:rsid w:val="001F718C"/>
    <w:rsid w:val="00200A2C"/>
    <w:rsid w:val="002010AB"/>
    <w:rsid w:val="00204577"/>
    <w:rsid w:val="0020599C"/>
    <w:rsid w:val="00211934"/>
    <w:rsid w:val="00213564"/>
    <w:rsid w:val="00213B06"/>
    <w:rsid w:val="00214459"/>
    <w:rsid w:val="00227C40"/>
    <w:rsid w:val="002319FD"/>
    <w:rsid w:val="00231E75"/>
    <w:rsid w:val="00231F56"/>
    <w:rsid w:val="0023263C"/>
    <w:rsid w:val="002353AD"/>
    <w:rsid w:val="0023591C"/>
    <w:rsid w:val="0024132B"/>
    <w:rsid w:val="00243158"/>
    <w:rsid w:val="00243BC8"/>
    <w:rsid w:val="00243CA8"/>
    <w:rsid w:val="00246A2E"/>
    <w:rsid w:val="002504EB"/>
    <w:rsid w:val="00251772"/>
    <w:rsid w:val="0026452D"/>
    <w:rsid w:val="00265225"/>
    <w:rsid w:val="002654A2"/>
    <w:rsid w:val="00266A7C"/>
    <w:rsid w:val="00266CD9"/>
    <w:rsid w:val="0027234D"/>
    <w:rsid w:val="0027379E"/>
    <w:rsid w:val="00274163"/>
    <w:rsid w:val="00280964"/>
    <w:rsid w:val="00281A9D"/>
    <w:rsid w:val="002824EB"/>
    <w:rsid w:val="00284304"/>
    <w:rsid w:val="00287748"/>
    <w:rsid w:val="002932C2"/>
    <w:rsid w:val="002A69AE"/>
    <w:rsid w:val="002A7564"/>
    <w:rsid w:val="002B1073"/>
    <w:rsid w:val="002B3268"/>
    <w:rsid w:val="002B5BEB"/>
    <w:rsid w:val="002B6770"/>
    <w:rsid w:val="002C1A2E"/>
    <w:rsid w:val="002C6606"/>
    <w:rsid w:val="002D0BD1"/>
    <w:rsid w:val="002D237E"/>
    <w:rsid w:val="002D2BD4"/>
    <w:rsid w:val="002D396E"/>
    <w:rsid w:val="002D3A48"/>
    <w:rsid w:val="002D3EE5"/>
    <w:rsid w:val="002D45B1"/>
    <w:rsid w:val="002D74B4"/>
    <w:rsid w:val="002D7D6E"/>
    <w:rsid w:val="002E190B"/>
    <w:rsid w:val="002E5484"/>
    <w:rsid w:val="002E594F"/>
    <w:rsid w:val="002E66AB"/>
    <w:rsid w:val="002F0F93"/>
    <w:rsid w:val="002F2C5F"/>
    <w:rsid w:val="00301376"/>
    <w:rsid w:val="003115E9"/>
    <w:rsid w:val="00313842"/>
    <w:rsid w:val="00321200"/>
    <w:rsid w:val="00323AB5"/>
    <w:rsid w:val="003249ED"/>
    <w:rsid w:val="00327570"/>
    <w:rsid w:val="00333B59"/>
    <w:rsid w:val="00336D0C"/>
    <w:rsid w:val="00337A12"/>
    <w:rsid w:val="00337F3E"/>
    <w:rsid w:val="00341D9F"/>
    <w:rsid w:val="00343AF4"/>
    <w:rsid w:val="00344CA0"/>
    <w:rsid w:val="0034570B"/>
    <w:rsid w:val="003464B9"/>
    <w:rsid w:val="00352ACD"/>
    <w:rsid w:val="00353362"/>
    <w:rsid w:val="00356216"/>
    <w:rsid w:val="00356A38"/>
    <w:rsid w:val="00356B3E"/>
    <w:rsid w:val="003579C9"/>
    <w:rsid w:val="003602B7"/>
    <w:rsid w:val="00365231"/>
    <w:rsid w:val="00365E18"/>
    <w:rsid w:val="003668E0"/>
    <w:rsid w:val="00371456"/>
    <w:rsid w:val="00371B4C"/>
    <w:rsid w:val="003762E0"/>
    <w:rsid w:val="00376941"/>
    <w:rsid w:val="0038492D"/>
    <w:rsid w:val="00386381"/>
    <w:rsid w:val="00390F44"/>
    <w:rsid w:val="003A0F9A"/>
    <w:rsid w:val="003A19FB"/>
    <w:rsid w:val="003A44FB"/>
    <w:rsid w:val="003B457C"/>
    <w:rsid w:val="003C1248"/>
    <w:rsid w:val="003C2890"/>
    <w:rsid w:val="003D6723"/>
    <w:rsid w:val="003E0ABC"/>
    <w:rsid w:val="003E3AB1"/>
    <w:rsid w:val="003E4618"/>
    <w:rsid w:val="003E4A16"/>
    <w:rsid w:val="003E5123"/>
    <w:rsid w:val="003E52FA"/>
    <w:rsid w:val="003E6816"/>
    <w:rsid w:val="003E68DB"/>
    <w:rsid w:val="003F0720"/>
    <w:rsid w:val="003F6235"/>
    <w:rsid w:val="003F7611"/>
    <w:rsid w:val="00400E41"/>
    <w:rsid w:val="00403BCA"/>
    <w:rsid w:val="00404CF3"/>
    <w:rsid w:val="00405284"/>
    <w:rsid w:val="00411923"/>
    <w:rsid w:val="00412313"/>
    <w:rsid w:val="00416078"/>
    <w:rsid w:val="00420E5E"/>
    <w:rsid w:val="00454A33"/>
    <w:rsid w:val="00456DF9"/>
    <w:rsid w:val="0046629F"/>
    <w:rsid w:val="00466D64"/>
    <w:rsid w:val="00467DC8"/>
    <w:rsid w:val="00470497"/>
    <w:rsid w:val="004719BA"/>
    <w:rsid w:val="004748F0"/>
    <w:rsid w:val="00474DCF"/>
    <w:rsid w:val="00475724"/>
    <w:rsid w:val="004763D5"/>
    <w:rsid w:val="00477709"/>
    <w:rsid w:val="0047787B"/>
    <w:rsid w:val="00477DDC"/>
    <w:rsid w:val="00483F0E"/>
    <w:rsid w:val="00487BF7"/>
    <w:rsid w:val="00491C60"/>
    <w:rsid w:val="004A1D09"/>
    <w:rsid w:val="004A2762"/>
    <w:rsid w:val="004A4F8F"/>
    <w:rsid w:val="004A5259"/>
    <w:rsid w:val="004B02CA"/>
    <w:rsid w:val="004B084F"/>
    <w:rsid w:val="004C002C"/>
    <w:rsid w:val="004C0207"/>
    <w:rsid w:val="004C1C33"/>
    <w:rsid w:val="004C4445"/>
    <w:rsid w:val="004D507F"/>
    <w:rsid w:val="004D56FB"/>
    <w:rsid w:val="004D5AFA"/>
    <w:rsid w:val="004D7D4F"/>
    <w:rsid w:val="004E024E"/>
    <w:rsid w:val="004F0DAD"/>
    <w:rsid w:val="004F3732"/>
    <w:rsid w:val="004F474E"/>
    <w:rsid w:val="004F59A3"/>
    <w:rsid w:val="004F69A5"/>
    <w:rsid w:val="0050271F"/>
    <w:rsid w:val="005036CA"/>
    <w:rsid w:val="00510E0E"/>
    <w:rsid w:val="00510FA7"/>
    <w:rsid w:val="0051170C"/>
    <w:rsid w:val="00513FFA"/>
    <w:rsid w:val="005151E9"/>
    <w:rsid w:val="00515380"/>
    <w:rsid w:val="005168D9"/>
    <w:rsid w:val="00517F96"/>
    <w:rsid w:val="00523E23"/>
    <w:rsid w:val="00537821"/>
    <w:rsid w:val="00540C2C"/>
    <w:rsid w:val="005418D8"/>
    <w:rsid w:val="00542C4F"/>
    <w:rsid w:val="00544556"/>
    <w:rsid w:val="0054494E"/>
    <w:rsid w:val="00547C1E"/>
    <w:rsid w:val="0055133F"/>
    <w:rsid w:val="005530EB"/>
    <w:rsid w:val="00553726"/>
    <w:rsid w:val="00555CB4"/>
    <w:rsid w:val="00556DDF"/>
    <w:rsid w:val="00562F14"/>
    <w:rsid w:val="00565FE8"/>
    <w:rsid w:val="00567241"/>
    <w:rsid w:val="00574C54"/>
    <w:rsid w:val="00575153"/>
    <w:rsid w:val="00580478"/>
    <w:rsid w:val="005808E7"/>
    <w:rsid w:val="005811BA"/>
    <w:rsid w:val="00586A18"/>
    <w:rsid w:val="00587732"/>
    <w:rsid w:val="00592B14"/>
    <w:rsid w:val="0059527F"/>
    <w:rsid w:val="00596C69"/>
    <w:rsid w:val="005975D6"/>
    <w:rsid w:val="005A22CC"/>
    <w:rsid w:val="005A54A6"/>
    <w:rsid w:val="005A6688"/>
    <w:rsid w:val="005A78B2"/>
    <w:rsid w:val="005B19E1"/>
    <w:rsid w:val="005B1BAF"/>
    <w:rsid w:val="005B4BD5"/>
    <w:rsid w:val="005C15DA"/>
    <w:rsid w:val="005C4983"/>
    <w:rsid w:val="005C4F4B"/>
    <w:rsid w:val="005C5C19"/>
    <w:rsid w:val="005D6007"/>
    <w:rsid w:val="005D6091"/>
    <w:rsid w:val="005D6B72"/>
    <w:rsid w:val="005E1C5D"/>
    <w:rsid w:val="005E20DD"/>
    <w:rsid w:val="005E5C43"/>
    <w:rsid w:val="005E6157"/>
    <w:rsid w:val="005F0880"/>
    <w:rsid w:val="005F09BF"/>
    <w:rsid w:val="005F1DBB"/>
    <w:rsid w:val="005F534E"/>
    <w:rsid w:val="005F67C0"/>
    <w:rsid w:val="005F6DDF"/>
    <w:rsid w:val="00605276"/>
    <w:rsid w:val="00606862"/>
    <w:rsid w:val="0060696D"/>
    <w:rsid w:val="00607CA8"/>
    <w:rsid w:val="00610650"/>
    <w:rsid w:val="006155C5"/>
    <w:rsid w:val="00621ED6"/>
    <w:rsid w:val="00623016"/>
    <w:rsid w:val="006249E4"/>
    <w:rsid w:val="00625746"/>
    <w:rsid w:val="00633E87"/>
    <w:rsid w:val="0064098A"/>
    <w:rsid w:val="00642AA7"/>
    <w:rsid w:val="00644BFA"/>
    <w:rsid w:val="0064518C"/>
    <w:rsid w:val="00647156"/>
    <w:rsid w:val="0064760C"/>
    <w:rsid w:val="00651490"/>
    <w:rsid w:val="0065154E"/>
    <w:rsid w:val="006531FB"/>
    <w:rsid w:val="006546C5"/>
    <w:rsid w:val="006549CF"/>
    <w:rsid w:val="00654B11"/>
    <w:rsid w:val="0066237C"/>
    <w:rsid w:val="00664C37"/>
    <w:rsid w:val="00666D81"/>
    <w:rsid w:val="00670EF7"/>
    <w:rsid w:val="00671D13"/>
    <w:rsid w:val="006764B3"/>
    <w:rsid w:val="0067748D"/>
    <w:rsid w:val="006816B5"/>
    <w:rsid w:val="006834D0"/>
    <w:rsid w:val="00686B37"/>
    <w:rsid w:val="00686C2B"/>
    <w:rsid w:val="0069001F"/>
    <w:rsid w:val="00690A93"/>
    <w:rsid w:val="00695FBD"/>
    <w:rsid w:val="006A16BA"/>
    <w:rsid w:val="006A34C7"/>
    <w:rsid w:val="006B1A86"/>
    <w:rsid w:val="006B2AB7"/>
    <w:rsid w:val="006B6FAB"/>
    <w:rsid w:val="006D32E5"/>
    <w:rsid w:val="006D72B8"/>
    <w:rsid w:val="006E3D4E"/>
    <w:rsid w:val="006E57B8"/>
    <w:rsid w:val="006F0D0E"/>
    <w:rsid w:val="006F0EB9"/>
    <w:rsid w:val="006F29BB"/>
    <w:rsid w:val="006F2DFD"/>
    <w:rsid w:val="006F3200"/>
    <w:rsid w:val="006F52B2"/>
    <w:rsid w:val="006F5C9A"/>
    <w:rsid w:val="006F78C8"/>
    <w:rsid w:val="007002AF"/>
    <w:rsid w:val="00700D05"/>
    <w:rsid w:val="007011A1"/>
    <w:rsid w:val="0070133C"/>
    <w:rsid w:val="007030BF"/>
    <w:rsid w:val="00706BBC"/>
    <w:rsid w:val="00713FC3"/>
    <w:rsid w:val="00714B90"/>
    <w:rsid w:val="00715067"/>
    <w:rsid w:val="007208AE"/>
    <w:rsid w:val="007232B4"/>
    <w:rsid w:val="00725B9A"/>
    <w:rsid w:val="00725FB5"/>
    <w:rsid w:val="00732A77"/>
    <w:rsid w:val="00734FED"/>
    <w:rsid w:val="00750F20"/>
    <w:rsid w:val="00751986"/>
    <w:rsid w:val="007669EB"/>
    <w:rsid w:val="00766B87"/>
    <w:rsid w:val="00772A76"/>
    <w:rsid w:val="00776D99"/>
    <w:rsid w:val="00777BA4"/>
    <w:rsid w:val="00780EA8"/>
    <w:rsid w:val="00780FA2"/>
    <w:rsid w:val="007810AA"/>
    <w:rsid w:val="007821EF"/>
    <w:rsid w:val="00783A80"/>
    <w:rsid w:val="0078492E"/>
    <w:rsid w:val="00793335"/>
    <w:rsid w:val="007A0918"/>
    <w:rsid w:val="007A35C3"/>
    <w:rsid w:val="007B5B8C"/>
    <w:rsid w:val="007B688D"/>
    <w:rsid w:val="007B6901"/>
    <w:rsid w:val="007B6D5F"/>
    <w:rsid w:val="007B7CD0"/>
    <w:rsid w:val="007C2190"/>
    <w:rsid w:val="007C50A9"/>
    <w:rsid w:val="007D03B4"/>
    <w:rsid w:val="007D3B38"/>
    <w:rsid w:val="007D66ED"/>
    <w:rsid w:val="007D722F"/>
    <w:rsid w:val="007D75B7"/>
    <w:rsid w:val="007E0F2C"/>
    <w:rsid w:val="007E1160"/>
    <w:rsid w:val="007E30DB"/>
    <w:rsid w:val="007E5430"/>
    <w:rsid w:val="007E648E"/>
    <w:rsid w:val="007F0C7C"/>
    <w:rsid w:val="007F232F"/>
    <w:rsid w:val="007F26BC"/>
    <w:rsid w:val="007F49B9"/>
    <w:rsid w:val="007F65D8"/>
    <w:rsid w:val="00800343"/>
    <w:rsid w:val="00800DC8"/>
    <w:rsid w:val="00802523"/>
    <w:rsid w:val="00806195"/>
    <w:rsid w:val="00806FDA"/>
    <w:rsid w:val="0081090F"/>
    <w:rsid w:val="00813D52"/>
    <w:rsid w:val="00815739"/>
    <w:rsid w:val="008236DC"/>
    <w:rsid w:val="00832B1A"/>
    <w:rsid w:val="00832C83"/>
    <w:rsid w:val="00833CCD"/>
    <w:rsid w:val="00836354"/>
    <w:rsid w:val="008372AD"/>
    <w:rsid w:val="008378C8"/>
    <w:rsid w:val="00842D76"/>
    <w:rsid w:val="008440D9"/>
    <w:rsid w:val="00850993"/>
    <w:rsid w:val="0085785F"/>
    <w:rsid w:val="0086016D"/>
    <w:rsid w:val="008626E7"/>
    <w:rsid w:val="008639F3"/>
    <w:rsid w:val="00865265"/>
    <w:rsid w:val="00866EFE"/>
    <w:rsid w:val="00870F76"/>
    <w:rsid w:val="0087237D"/>
    <w:rsid w:val="008736AD"/>
    <w:rsid w:val="00875385"/>
    <w:rsid w:val="00875C91"/>
    <w:rsid w:val="00877974"/>
    <w:rsid w:val="00881058"/>
    <w:rsid w:val="0088228D"/>
    <w:rsid w:val="0088268D"/>
    <w:rsid w:val="00884E91"/>
    <w:rsid w:val="00886277"/>
    <w:rsid w:val="00887B60"/>
    <w:rsid w:val="00887E29"/>
    <w:rsid w:val="00887E7D"/>
    <w:rsid w:val="00890AC6"/>
    <w:rsid w:val="00891B80"/>
    <w:rsid w:val="00896FC6"/>
    <w:rsid w:val="008A2026"/>
    <w:rsid w:val="008A2463"/>
    <w:rsid w:val="008B2426"/>
    <w:rsid w:val="008B2BB1"/>
    <w:rsid w:val="008C13F2"/>
    <w:rsid w:val="008C5D5F"/>
    <w:rsid w:val="008C7130"/>
    <w:rsid w:val="008C74DB"/>
    <w:rsid w:val="008C7FA3"/>
    <w:rsid w:val="008D0E36"/>
    <w:rsid w:val="008D58CE"/>
    <w:rsid w:val="008E2CC3"/>
    <w:rsid w:val="008E37B9"/>
    <w:rsid w:val="008E7218"/>
    <w:rsid w:val="008F429F"/>
    <w:rsid w:val="008F7962"/>
    <w:rsid w:val="009050EE"/>
    <w:rsid w:val="00905540"/>
    <w:rsid w:val="00913888"/>
    <w:rsid w:val="00917495"/>
    <w:rsid w:val="00920597"/>
    <w:rsid w:val="00920FE7"/>
    <w:rsid w:val="0092543A"/>
    <w:rsid w:val="0092646F"/>
    <w:rsid w:val="00930C1B"/>
    <w:rsid w:val="00935471"/>
    <w:rsid w:val="009376F8"/>
    <w:rsid w:val="00937BB2"/>
    <w:rsid w:val="0094154B"/>
    <w:rsid w:val="009446A5"/>
    <w:rsid w:val="00946317"/>
    <w:rsid w:val="00954426"/>
    <w:rsid w:val="00957584"/>
    <w:rsid w:val="00963D5A"/>
    <w:rsid w:val="00966654"/>
    <w:rsid w:val="00966E63"/>
    <w:rsid w:val="00967FA1"/>
    <w:rsid w:val="009707D1"/>
    <w:rsid w:val="0097261F"/>
    <w:rsid w:val="00972BF8"/>
    <w:rsid w:val="00974BDB"/>
    <w:rsid w:val="00975784"/>
    <w:rsid w:val="00975CAA"/>
    <w:rsid w:val="009770E7"/>
    <w:rsid w:val="00987098"/>
    <w:rsid w:val="00990FF2"/>
    <w:rsid w:val="00991A19"/>
    <w:rsid w:val="0099306A"/>
    <w:rsid w:val="00997375"/>
    <w:rsid w:val="009975CC"/>
    <w:rsid w:val="009A2615"/>
    <w:rsid w:val="009A6011"/>
    <w:rsid w:val="009A6589"/>
    <w:rsid w:val="009A6685"/>
    <w:rsid w:val="009B2458"/>
    <w:rsid w:val="009B5A8E"/>
    <w:rsid w:val="009C05DD"/>
    <w:rsid w:val="009C491B"/>
    <w:rsid w:val="009C4BC5"/>
    <w:rsid w:val="009C53FB"/>
    <w:rsid w:val="009D1672"/>
    <w:rsid w:val="009D288A"/>
    <w:rsid w:val="009D2E75"/>
    <w:rsid w:val="009D4B11"/>
    <w:rsid w:val="009E1CB9"/>
    <w:rsid w:val="009E6123"/>
    <w:rsid w:val="009F0857"/>
    <w:rsid w:val="009F2CEA"/>
    <w:rsid w:val="009F5946"/>
    <w:rsid w:val="009F6A57"/>
    <w:rsid w:val="009F7897"/>
    <w:rsid w:val="00A001AB"/>
    <w:rsid w:val="00A01371"/>
    <w:rsid w:val="00A0459E"/>
    <w:rsid w:val="00A10985"/>
    <w:rsid w:val="00A266A1"/>
    <w:rsid w:val="00A26A68"/>
    <w:rsid w:val="00A27222"/>
    <w:rsid w:val="00A30301"/>
    <w:rsid w:val="00A34EA7"/>
    <w:rsid w:val="00A40F82"/>
    <w:rsid w:val="00A41BBD"/>
    <w:rsid w:val="00A46197"/>
    <w:rsid w:val="00A47A3C"/>
    <w:rsid w:val="00A50B0C"/>
    <w:rsid w:val="00A548F1"/>
    <w:rsid w:val="00A579AE"/>
    <w:rsid w:val="00A60D91"/>
    <w:rsid w:val="00A6214F"/>
    <w:rsid w:val="00A632A2"/>
    <w:rsid w:val="00A63DED"/>
    <w:rsid w:val="00A64432"/>
    <w:rsid w:val="00A67795"/>
    <w:rsid w:val="00A67963"/>
    <w:rsid w:val="00A67B4A"/>
    <w:rsid w:val="00A67FE5"/>
    <w:rsid w:val="00A7045E"/>
    <w:rsid w:val="00A724CB"/>
    <w:rsid w:val="00A731DE"/>
    <w:rsid w:val="00A742DB"/>
    <w:rsid w:val="00A804DC"/>
    <w:rsid w:val="00A82A78"/>
    <w:rsid w:val="00A86363"/>
    <w:rsid w:val="00A912E6"/>
    <w:rsid w:val="00A941AE"/>
    <w:rsid w:val="00A94365"/>
    <w:rsid w:val="00A958FF"/>
    <w:rsid w:val="00A9797A"/>
    <w:rsid w:val="00AA08A0"/>
    <w:rsid w:val="00AA7C65"/>
    <w:rsid w:val="00AB3551"/>
    <w:rsid w:val="00AB54F0"/>
    <w:rsid w:val="00AC2553"/>
    <w:rsid w:val="00AD30CE"/>
    <w:rsid w:val="00AD4E70"/>
    <w:rsid w:val="00AE1137"/>
    <w:rsid w:val="00AE535A"/>
    <w:rsid w:val="00AF2820"/>
    <w:rsid w:val="00AF5BDF"/>
    <w:rsid w:val="00B0037B"/>
    <w:rsid w:val="00B02E45"/>
    <w:rsid w:val="00B04FEC"/>
    <w:rsid w:val="00B06A2B"/>
    <w:rsid w:val="00B073AD"/>
    <w:rsid w:val="00B127A9"/>
    <w:rsid w:val="00B12A2C"/>
    <w:rsid w:val="00B23A52"/>
    <w:rsid w:val="00B248AB"/>
    <w:rsid w:val="00B34F47"/>
    <w:rsid w:val="00B3554C"/>
    <w:rsid w:val="00B42CF4"/>
    <w:rsid w:val="00B57E1F"/>
    <w:rsid w:val="00B60D68"/>
    <w:rsid w:val="00B72674"/>
    <w:rsid w:val="00B81A0A"/>
    <w:rsid w:val="00B8211B"/>
    <w:rsid w:val="00B8253C"/>
    <w:rsid w:val="00B829B4"/>
    <w:rsid w:val="00B82F89"/>
    <w:rsid w:val="00B84E57"/>
    <w:rsid w:val="00B90AA0"/>
    <w:rsid w:val="00B97A4E"/>
    <w:rsid w:val="00BA3868"/>
    <w:rsid w:val="00BA44B8"/>
    <w:rsid w:val="00BA77AD"/>
    <w:rsid w:val="00BB2B6B"/>
    <w:rsid w:val="00BB5A5B"/>
    <w:rsid w:val="00BB77E8"/>
    <w:rsid w:val="00BC2FCB"/>
    <w:rsid w:val="00BC79F8"/>
    <w:rsid w:val="00BD1D14"/>
    <w:rsid w:val="00BD1D4D"/>
    <w:rsid w:val="00BD1DBB"/>
    <w:rsid w:val="00BE2DA2"/>
    <w:rsid w:val="00BE43C0"/>
    <w:rsid w:val="00BE4AC9"/>
    <w:rsid w:val="00BF2BBA"/>
    <w:rsid w:val="00BF3302"/>
    <w:rsid w:val="00C00977"/>
    <w:rsid w:val="00C00DCC"/>
    <w:rsid w:val="00C01FD7"/>
    <w:rsid w:val="00C11E31"/>
    <w:rsid w:val="00C168F6"/>
    <w:rsid w:val="00C17430"/>
    <w:rsid w:val="00C217C2"/>
    <w:rsid w:val="00C235F6"/>
    <w:rsid w:val="00C274D7"/>
    <w:rsid w:val="00C27842"/>
    <w:rsid w:val="00C300C9"/>
    <w:rsid w:val="00C32D1E"/>
    <w:rsid w:val="00C34545"/>
    <w:rsid w:val="00C4006C"/>
    <w:rsid w:val="00C42A5F"/>
    <w:rsid w:val="00C43698"/>
    <w:rsid w:val="00C4535C"/>
    <w:rsid w:val="00C45CF4"/>
    <w:rsid w:val="00C46884"/>
    <w:rsid w:val="00C475B0"/>
    <w:rsid w:val="00C546B3"/>
    <w:rsid w:val="00C57B92"/>
    <w:rsid w:val="00C6646C"/>
    <w:rsid w:val="00C6731F"/>
    <w:rsid w:val="00C674E3"/>
    <w:rsid w:val="00C72BCF"/>
    <w:rsid w:val="00C74130"/>
    <w:rsid w:val="00C77CB5"/>
    <w:rsid w:val="00C81750"/>
    <w:rsid w:val="00C8192E"/>
    <w:rsid w:val="00C81CA7"/>
    <w:rsid w:val="00C839DF"/>
    <w:rsid w:val="00C83C69"/>
    <w:rsid w:val="00C859AB"/>
    <w:rsid w:val="00C86185"/>
    <w:rsid w:val="00C90CE3"/>
    <w:rsid w:val="00C94F4C"/>
    <w:rsid w:val="00C97982"/>
    <w:rsid w:val="00CA175A"/>
    <w:rsid w:val="00CA3F53"/>
    <w:rsid w:val="00CA4DD7"/>
    <w:rsid w:val="00CA6A5B"/>
    <w:rsid w:val="00CB03D0"/>
    <w:rsid w:val="00CB0CBB"/>
    <w:rsid w:val="00CB25A1"/>
    <w:rsid w:val="00CB3E17"/>
    <w:rsid w:val="00CB6514"/>
    <w:rsid w:val="00CC0B98"/>
    <w:rsid w:val="00CC445E"/>
    <w:rsid w:val="00CD0C3A"/>
    <w:rsid w:val="00CD192F"/>
    <w:rsid w:val="00CD32D7"/>
    <w:rsid w:val="00CD588D"/>
    <w:rsid w:val="00CD5D28"/>
    <w:rsid w:val="00CD7135"/>
    <w:rsid w:val="00CD7FE2"/>
    <w:rsid w:val="00CE0857"/>
    <w:rsid w:val="00CE19B7"/>
    <w:rsid w:val="00CE5B7A"/>
    <w:rsid w:val="00CE7AD3"/>
    <w:rsid w:val="00CF1515"/>
    <w:rsid w:val="00CF3593"/>
    <w:rsid w:val="00CF46A0"/>
    <w:rsid w:val="00CF7D49"/>
    <w:rsid w:val="00D015AA"/>
    <w:rsid w:val="00D066A7"/>
    <w:rsid w:val="00D06963"/>
    <w:rsid w:val="00D16484"/>
    <w:rsid w:val="00D166B9"/>
    <w:rsid w:val="00D2010A"/>
    <w:rsid w:val="00D21AE8"/>
    <w:rsid w:val="00D22171"/>
    <w:rsid w:val="00D255DB"/>
    <w:rsid w:val="00D26516"/>
    <w:rsid w:val="00D267A8"/>
    <w:rsid w:val="00D32736"/>
    <w:rsid w:val="00D41EAE"/>
    <w:rsid w:val="00D43C30"/>
    <w:rsid w:val="00D51180"/>
    <w:rsid w:val="00D51D7D"/>
    <w:rsid w:val="00D54841"/>
    <w:rsid w:val="00D551A2"/>
    <w:rsid w:val="00D5558E"/>
    <w:rsid w:val="00D566CE"/>
    <w:rsid w:val="00D575EB"/>
    <w:rsid w:val="00D61970"/>
    <w:rsid w:val="00D62A63"/>
    <w:rsid w:val="00D62D6E"/>
    <w:rsid w:val="00D6481B"/>
    <w:rsid w:val="00D64BAB"/>
    <w:rsid w:val="00D65A0A"/>
    <w:rsid w:val="00D65BBE"/>
    <w:rsid w:val="00D672AC"/>
    <w:rsid w:val="00D6792F"/>
    <w:rsid w:val="00D724CD"/>
    <w:rsid w:val="00D72E21"/>
    <w:rsid w:val="00D73776"/>
    <w:rsid w:val="00D76067"/>
    <w:rsid w:val="00D7679A"/>
    <w:rsid w:val="00D76917"/>
    <w:rsid w:val="00D7745B"/>
    <w:rsid w:val="00D808DB"/>
    <w:rsid w:val="00D8366E"/>
    <w:rsid w:val="00D84570"/>
    <w:rsid w:val="00D86837"/>
    <w:rsid w:val="00D920F2"/>
    <w:rsid w:val="00D92E38"/>
    <w:rsid w:val="00D9350F"/>
    <w:rsid w:val="00D94B72"/>
    <w:rsid w:val="00DA1B1A"/>
    <w:rsid w:val="00DA2D3E"/>
    <w:rsid w:val="00DA33CC"/>
    <w:rsid w:val="00DB0F34"/>
    <w:rsid w:val="00DB1B10"/>
    <w:rsid w:val="00DC5D52"/>
    <w:rsid w:val="00DC5DEF"/>
    <w:rsid w:val="00DD1B0F"/>
    <w:rsid w:val="00DD39CC"/>
    <w:rsid w:val="00DD4DEF"/>
    <w:rsid w:val="00DD6B71"/>
    <w:rsid w:val="00DE6695"/>
    <w:rsid w:val="00DE6718"/>
    <w:rsid w:val="00DF3587"/>
    <w:rsid w:val="00E02863"/>
    <w:rsid w:val="00E033ED"/>
    <w:rsid w:val="00E10BE8"/>
    <w:rsid w:val="00E14179"/>
    <w:rsid w:val="00E20953"/>
    <w:rsid w:val="00E21895"/>
    <w:rsid w:val="00E22E42"/>
    <w:rsid w:val="00E26147"/>
    <w:rsid w:val="00E26CA5"/>
    <w:rsid w:val="00E27C9F"/>
    <w:rsid w:val="00E30B45"/>
    <w:rsid w:val="00E3149F"/>
    <w:rsid w:val="00E32DBA"/>
    <w:rsid w:val="00E35263"/>
    <w:rsid w:val="00E42ABB"/>
    <w:rsid w:val="00E454EF"/>
    <w:rsid w:val="00E4589A"/>
    <w:rsid w:val="00E45C0A"/>
    <w:rsid w:val="00E4649D"/>
    <w:rsid w:val="00E52340"/>
    <w:rsid w:val="00E60F81"/>
    <w:rsid w:val="00E657CB"/>
    <w:rsid w:val="00E71BEA"/>
    <w:rsid w:val="00E71E36"/>
    <w:rsid w:val="00E73812"/>
    <w:rsid w:val="00E764A9"/>
    <w:rsid w:val="00E76873"/>
    <w:rsid w:val="00E869C2"/>
    <w:rsid w:val="00E87BAD"/>
    <w:rsid w:val="00E91185"/>
    <w:rsid w:val="00E934F0"/>
    <w:rsid w:val="00E93AF1"/>
    <w:rsid w:val="00E94017"/>
    <w:rsid w:val="00EA1016"/>
    <w:rsid w:val="00EA1C76"/>
    <w:rsid w:val="00EA502C"/>
    <w:rsid w:val="00EA730F"/>
    <w:rsid w:val="00EA76FE"/>
    <w:rsid w:val="00EB18DA"/>
    <w:rsid w:val="00EB3A85"/>
    <w:rsid w:val="00EB4383"/>
    <w:rsid w:val="00EB52EA"/>
    <w:rsid w:val="00EB7F5A"/>
    <w:rsid w:val="00EC326E"/>
    <w:rsid w:val="00EC679E"/>
    <w:rsid w:val="00EC6916"/>
    <w:rsid w:val="00EC74C3"/>
    <w:rsid w:val="00ED2842"/>
    <w:rsid w:val="00ED46CD"/>
    <w:rsid w:val="00ED4FD9"/>
    <w:rsid w:val="00ED537D"/>
    <w:rsid w:val="00ED54AE"/>
    <w:rsid w:val="00EE0D19"/>
    <w:rsid w:val="00EE1EA1"/>
    <w:rsid w:val="00EE2872"/>
    <w:rsid w:val="00EE47DD"/>
    <w:rsid w:val="00EE4EF3"/>
    <w:rsid w:val="00EF2DF1"/>
    <w:rsid w:val="00EF57E7"/>
    <w:rsid w:val="00EF71F7"/>
    <w:rsid w:val="00EF7C95"/>
    <w:rsid w:val="00F009BB"/>
    <w:rsid w:val="00F01C2E"/>
    <w:rsid w:val="00F107B1"/>
    <w:rsid w:val="00F10B65"/>
    <w:rsid w:val="00F12DBF"/>
    <w:rsid w:val="00F148DB"/>
    <w:rsid w:val="00F15403"/>
    <w:rsid w:val="00F24B1B"/>
    <w:rsid w:val="00F27417"/>
    <w:rsid w:val="00F30F95"/>
    <w:rsid w:val="00F326F2"/>
    <w:rsid w:val="00F45CBC"/>
    <w:rsid w:val="00F47229"/>
    <w:rsid w:val="00F54120"/>
    <w:rsid w:val="00F60D63"/>
    <w:rsid w:val="00F6149C"/>
    <w:rsid w:val="00F62550"/>
    <w:rsid w:val="00F63899"/>
    <w:rsid w:val="00F65494"/>
    <w:rsid w:val="00F65C36"/>
    <w:rsid w:val="00F713AB"/>
    <w:rsid w:val="00F71E2A"/>
    <w:rsid w:val="00F71F90"/>
    <w:rsid w:val="00F73E48"/>
    <w:rsid w:val="00F75DED"/>
    <w:rsid w:val="00F762A8"/>
    <w:rsid w:val="00F822D1"/>
    <w:rsid w:val="00F875A1"/>
    <w:rsid w:val="00F93C16"/>
    <w:rsid w:val="00F94C9A"/>
    <w:rsid w:val="00FA1371"/>
    <w:rsid w:val="00FA1E54"/>
    <w:rsid w:val="00FA4CDC"/>
    <w:rsid w:val="00FB34D5"/>
    <w:rsid w:val="00FB4594"/>
    <w:rsid w:val="00FB48FB"/>
    <w:rsid w:val="00FB75D3"/>
    <w:rsid w:val="00FC2483"/>
    <w:rsid w:val="00FC27F1"/>
    <w:rsid w:val="00FC495C"/>
    <w:rsid w:val="00FC49C2"/>
    <w:rsid w:val="00FD3518"/>
    <w:rsid w:val="00FE1913"/>
    <w:rsid w:val="00FE2663"/>
    <w:rsid w:val="00FE2BEC"/>
    <w:rsid w:val="00FE621F"/>
    <w:rsid w:val="00FF1484"/>
    <w:rsid w:val="00FF3707"/>
    <w:rsid w:val="00FF3F21"/>
    <w:rsid w:val="00FF46DB"/>
    <w:rsid w:val="00FF4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5F33BD1F"/>
  <w15:docId w15:val="{AB662F05-BE9F-4EA5-A906-19C1677B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B1A86"/>
    <w:pPr>
      <w:spacing w:after="0" w:line="480" w:lineRule="auto"/>
      <w:jc w:val="both"/>
    </w:pPr>
    <w:rPr>
      <w:rFonts w:ascii="Times New Roman" w:hAnsi="Times New Roman" w:cs="Times New Roman"/>
    </w:rPr>
  </w:style>
  <w:style w:type="paragraph" w:styleId="Kop1">
    <w:name w:val="heading 1"/>
    <w:basedOn w:val="Standaard"/>
    <w:next w:val="Standaard"/>
    <w:link w:val="Kop1Char"/>
    <w:uiPriority w:val="9"/>
    <w:qFormat/>
    <w:rsid w:val="00CA3F53"/>
    <w:pPr>
      <w:outlineLvl w:val="0"/>
    </w:pPr>
    <w:rPr>
      <w:b/>
    </w:rPr>
  </w:style>
  <w:style w:type="paragraph" w:styleId="Kop2">
    <w:name w:val="heading 2"/>
    <w:basedOn w:val="Standaard"/>
    <w:next w:val="Standaard"/>
    <w:link w:val="Kop2Char"/>
    <w:uiPriority w:val="9"/>
    <w:unhideWhenUsed/>
    <w:qFormat/>
    <w:rsid w:val="004A5259"/>
    <w:pPr>
      <w:outlineLvl w:val="1"/>
    </w:pPr>
    <w:rPr>
      <w:i/>
    </w:rPr>
  </w:style>
  <w:style w:type="paragraph" w:styleId="Kop3">
    <w:name w:val="heading 3"/>
    <w:basedOn w:val="Standaard"/>
    <w:next w:val="Standaard"/>
    <w:link w:val="Kop3Char"/>
    <w:uiPriority w:val="9"/>
    <w:semiHidden/>
    <w:unhideWhenUsed/>
    <w:qFormat/>
    <w:rsid w:val="00574C54"/>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55C5"/>
    <w:pPr>
      <w:ind w:left="720"/>
      <w:contextualSpacing/>
    </w:pPr>
  </w:style>
  <w:style w:type="character" w:customStyle="1" w:styleId="Kop2Char">
    <w:name w:val="Kop 2 Char"/>
    <w:basedOn w:val="Standaardalinea-lettertype"/>
    <w:link w:val="Kop2"/>
    <w:uiPriority w:val="9"/>
    <w:rsid w:val="004A5259"/>
    <w:rPr>
      <w:rFonts w:ascii="Times New Roman" w:hAnsi="Times New Roman" w:cs="Times New Roman"/>
      <w:i/>
    </w:rPr>
  </w:style>
  <w:style w:type="character" w:customStyle="1" w:styleId="Kop1Char">
    <w:name w:val="Kop 1 Char"/>
    <w:basedOn w:val="Standaardalinea-lettertype"/>
    <w:link w:val="Kop1"/>
    <w:uiPriority w:val="9"/>
    <w:rsid w:val="00CA3F53"/>
    <w:rPr>
      <w:b/>
    </w:rPr>
  </w:style>
  <w:style w:type="paragraph" w:styleId="Koptekst">
    <w:name w:val="header"/>
    <w:basedOn w:val="Standaard"/>
    <w:link w:val="KoptekstChar"/>
    <w:uiPriority w:val="99"/>
    <w:unhideWhenUsed/>
    <w:rsid w:val="003F072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F0720"/>
  </w:style>
  <w:style w:type="paragraph" w:styleId="Voettekst">
    <w:name w:val="footer"/>
    <w:basedOn w:val="Standaard"/>
    <w:link w:val="VoettekstChar"/>
    <w:uiPriority w:val="99"/>
    <w:unhideWhenUsed/>
    <w:rsid w:val="003F072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F0720"/>
  </w:style>
  <w:style w:type="paragraph" w:styleId="Ballontekst">
    <w:name w:val="Balloon Text"/>
    <w:basedOn w:val="Standaard"/>
    <w:link w:val="BallontekstChar"/>
    <w:uiPriority w:val="99"/>
    <w:semiHidden/>
    <w:unhideWhenUsed/>
    <w:rsid w:val="00B90AA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AA0"/>
    <w:rPr>
      <w:rFonts w:ascii="Tahoma" w:hAnsi="Tahoma" w:cs="Tahoma"/>
      <w:sz w:val="16"/>
      <w:szCs w:val="16"/>
    </w:rPr>
  </w:style>
  <w:style w:type="character" w:customStyle="1" w:styleId="Kop3Char">
    <w:name w:val="Kop 3 Char"/>
    <w:basedOn w:val="Standaardalinea-lettertype"/>
    <w:link w:val="Kop3"/>
    <w:uiPriority w:val="9"/>
    <w:semiHidden/>
    <w:rsid w:val="00574C54"/>
    <w:rPr>
      <w:rFonts w:asciiTheme="majorHAnsi" w:eastAsiaTheme="majorEastAsia" w:hAnsiTheme="majorHAnsi" w:cstheme="majorBidi"/>
      <w:b/>
      <w:bCs/>
      <w:color w:val="4F81BD" w:themeColor="accent1"/>
    </w:rPr>
  </w:style>
  <w:style w:type="character" w:styleId="Verwijzingopmerking">
    <w:name w:val="annotation reference"/>
    <w:basedOn w:val="Standaardalinea-lettertype"/>
    <w:uiPriority w:val="99"/>
    <w:semiHidden/>
    <w:unhideWhenUsed/>
    <w:rsid w:val="00E30B45"/>
    <w:rPr>
      <w:sz w:val="16"/>
      <w:szCs w:val="16"/>
    </w:rPr>
  </w:style>
  <w:style w:type="paragraph" w:styleId="Tekstopmerking">
    <w:name w:val="annotation text"/>
    <w:basedOn w:val="Standaard"/>
    <w:link w:val="TekstopmerkingChar"/>
    <w:uiPriority w:val="99"/>
    <w:unhideWhenUsed/>
    <w:rsid w:val="00E30B45"/>
    <w:pPr>
      <w:spacing w:line="240" w:lineRule="auto"/>
    </w:pPr>
    <w:rPr>
      <w:sz w:val="20"/>
      <w:szCs w:val="20"/>
    </w:rPr>
  </w:style>
  <w:style w:type="character" w:customStyle="1" w:styleId="TekstopmerkingChar">
    <w:name w:val="Tekst opmerking Char"/>
    <w:basedOn w:val="Standaardalinea-lettertype"/>
    <w:link w:val="Tekstopmerking"/>
    <w:uiPriority w:val="99"/>
    <w:rsid w:val="00E30B45"/>
    <w:rPr>
      <w:sz w:val="20"/>
      <w:szCs w:val="20"/>
    </w:rPr>
  </w:style>
  <w:style w:type="paragraph" w:styleId="Onderwerpvanopmerking">
    <w:name w:val="annotation subject"/>
    <w:basedOn w:val="Tekstopmerking"/>
    <w:next w:val="Tekstopmerking"/>
    <w:link w:val="OnderwerpvanopmerkingChar"/>
    <w:uiPriority w:val="99"/>
    <w:semiHidden/>
    <w:unhideWhenUsed/>
    <w:rsid w:val="00E30B45"/>
    <w:rPr>
      <w:b/>
      <w:bCs/>
    </w:rPr>
  </w:style>
  <w:style w:type="character" w:customStyle="1" w:styleId="OnderwerpvanopmerkingChar">
    <w:name w:val="Onderwerp van opmerking Char"/>
    <w:basedOn w:val="TekstopmerkingChar"/>
    <w:link w:val="Onderwerpvanopmerking"/>
    <w:uiPriority w:val="99"/>
    <w:semiHidden/>
    <w:rsid w:val="00E30B45"/>
    <w:rPr>
      <w:b/>
      <w:bCs/>
      <w:sz w:val="20"/>
      <w:szCs w:val="20"/>
    </w:rPr>
  </w:style>
  <w:style w:type="character" w:styleId="Tekstvantijdelijkeaanduiding">
    <w:name w:val="Placeholder Text"/>
    <w:basedOn w:val="Standaardalinea-lettertype"/>
    <w:uiPriority w:val="99"/>
    <w:semiHidden/>
    <w:rsid w:val="00E30B45"/>
    <w:rPr>
      <w:color w:val="808080"/>
    </w:rPr>
  </w:style>
  <w:style w:type="table" w:styleId="Tabelraster">
    <w:name w:val="Table Grid"/>
    <w:basedOn w:val="Standaardtabel"/>
    <w:uiPriority w:val="39"/>
    <w:unhideWhenUsed/>
    <w:rsid w:val="00243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102AB3"/>
    <w:pPr>
      <w:spacing w:after="0" w:line="240" w:lineRule="auto"/>
    </w:pPr>
  </w:style>
  <w:style w:type="character" w:customStyle="1" w:styleId="GeenafstandChar">
    <w:name w:val="Geen afstand Char"/>
    <w:basedOn w:val="Standaardalinea-lettertype"/>
    <w:link w:val="Geenafstand"/>
    <w:uiPriority w:val="1"/>
    <w:rsid w:val="00102AB3"/>
  </w:style>
  <w:style w:type="character" w:styleId="Hyperlink">
    <w:name w:val="Hyperlink"/>
    <w:basedOn w:val="Standaardalinea-lettertype"/>
    <w:uiPriority w:val="99"/>
    <w:unhideWhenUsed/>
    <w:rsid w:val="006B1A86"/>
    <w:rPr>
      <w:color w:val="0000FF" w:themeColor="hyperlink"/>
      <w:u w:val="single"/>
    </w:rPr>
  </w:style>
  <w:style w:type="paragraph" w:styleId="Normaalweb">
    <w:name w:val="Normal (Web)"/>
    <w:basedOn w:val="Standaard"/>
    <w:uiPriority w:val="99"/>
    <w:unhideWhenUsed/>
    <w:rsid w:val="00321200"/>
    <w:pPr>
      <w:spacing w:before="100" w:beforeAutospacing="1" w:after="100" w:afterAutospacing="1" w:line="240" w:lineRule="auto"/>
      <w:jc w:val="left"/>
    </w:pPr>
    <w:rPr>
      <w:rFonts w:eastAsia="Times New Roman"/>
      <w:sz w:val="24"/>
      <w:szCs w:val="24"/>
      <w:lang w:val="nl-NL" w:eastAsia="nl-NL"/>
    </w:rPr>
  </w:style>
  <w:style w:type="table" w:customStyle="1" w:styleId="Tabelraster1">
    <w:name w:val="Tabelraster1"/>
    <w:basedOn w:val="Standaardtabel"/>
    <w:next w:val="Tabelraster"/>
    <w:uiPriority w:val="39"/>
    <w:unhideWhenUsed/>
    <w:rsid w:val="00235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028223">
      <w:bodyDiv w:val="1"/>
      <w:marLeft w:val="0"/>
      <w:marRight w:val="0"/>
      <w:marTop w:val="0"/>
      <w:marBottom w:val="0"/>
      <w:divBdr>
        <w:top w:val="none" w:sz="0" w:space="0" w:color="auto"/>
        <w:left w:val="none" w:sz="0" w:space="0" w:color="auto"/>
        <w:bottom w:val="none" w:sz="0" w:space="0" w:color="auto"/>
        <w:right w:val="none" w:sz="0" w:space="0" w:color="auto"/>
      </w:divBdr>
      <w:divsChild>
        <w:div w:id="47925100">
          <w:marLeft w:val="0"/>
          <w:marRight w:val="0"/>
          <w:marTop w:val="90"/>
          <w:marBottom w:val="0"/>
          <w:divBdr>
            <w:top w:val="none" w:sz="0" w:space="0" w:color="auto"/>
            <w:left w:val="none" w:sz="0" w:space="0" w:color="auto"/>
            <w:bottom w:val="none" w:sz="0" w:space="0" w:color="auto"/>
            <w:right w:val="none" w:sz="0" w:space="0" w:color="auto"/>
          </w:divBdr>
          <w:divsChild>
            <w:div w:id="1595358879">
              <w:marLeft w:val="0"/>
              <w:marRight w:val="0"/>
              <w:marTop w:val="0"/>
              <w:marBottom w:val="0"/>
              <w:divBdr>
                <w:top w:val="none" w:sz="0" w:space="0" w:color="auto"/>
                <w:left w:val="none" w:sz="0" w:space="0" w:color="auto"/>
                <w:bottom w:val="none" w:sz="0" w:space="0" w:color="auto"/>
                <w:right w:val="none" w:sz="0" w:space="0" w:color="auto"/>
              </w:divBdr>
              <w:divsChild>
                <w:div w:id="469830776">
                  <w:marLeft w:val="0"/>
                  <w:marRight w:val="0"/>
                  <w:marTop w:val="0"/>
                  <w:marBottom w:val="405"/>
                  <w:divBdr>
                    <w:top w:val="none" w:sz="0" w:space="0" w:color="auto"/>
                    <w:left w:val="none" w:sz="0" w:space="0" w:color="auto"/>
                    <w:bottom w:val="none" w:sz="0" w:space="0" w:color="auto"/>
                    <w:right w:val="none" w:sz="0" w:space="0" w:color="auto"/>
                  </w:divBdr>
                  <w:divsChild>
                    <w:div w:id="99492457">
                      <w:marLeft w:val="0"/>
                      <w:marRight w:val="0"/>
                      <w:marTop w:val="0"/>
                      <w:marBottom w:val="0"/>
                      <w:divBdr>
                        <w:top w:val="none" w:sz="0" w:space="0" w:color="auto"/>
                        <w:left w:val="none" w:sz="0" w:space="0" w:color="auto"/>
                        <w:bottom w:val="none" w:sz="0" w:space="0" w:color="auto"/>
                        <w:right w:val="none" w:sz="0" w:space="0" w:color="auto"/>
                      </w:divBdr>
                      <w:divsChild>
                        <w:div w:id="1881085113">
                          <w:marLeft w:val="0"/>
                          <w:marRight w:val="0"/>
                          <w:marTop w:val="0"/>
                          <w:marBottom w:val="0"/>
                          <w:divBdr>
                            <w:top w:val="none" w:sz="0" w:space="0" w:color="auto"/>
                            <w:left w:val="none" w:sz="0" w:space="0" w:color="auto"/>
                            <w:bottom w:val="none" w:sz="0" w:space="0" w:color="auto"/>
                            <w:right w:val="none" w:sz="0" w:space="0" w:color="auto"/>
                          </w:divBdr>
                          <w:divsChild>
                            <w:div w:id="8981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9057">
      <w:bodyDiv w:val="1"/>
      <w:marLeft w:val="0"/>
      <w:marRight w:val="0"/>
      <w:marTop w:val="0"/>
      <w:marBottom w:val="0"/>
      <w:divBdr>
        <w:top w:val="none" w:sz="0" w:space="0" w:color="auto"/>
        <w:left w:val="none" w:sz="0" w:space="0" w:color="auto"/>
        <w:bottom w:val="none" w:sz="0" w:space="0" w:color="auto"/>
        <w:right w:val="none" w:sz="0" w:space="0" w:color="auto"/>
      </w:divBdr>
    </w:div>
    <w:div w:id="1047534355">
      <w:bodyDiv w:val="1"/>
      <w:marLeft w:val="0"/>
      <w:marRight w:val="0"/>
      <w:marTop w:val="0"/>
      <w:marBottom w:val="0"/>
      <w:divBdr>
        <w:top w:val="none" w:sz="0" w:space="0" w:color="auto"/>
        <w:left w:val="none" w:sz="0" w:space="0" w:color="auto"/>
        <w:bottom w:val="none" w:sz="0" w:space="0" w:color="auto"/>
        <w:right w:val="none" w:sz="0" w:space="0" w:color="auto"/>
      </w:divBdr>
      <w:divsChild>
        <w:div w:id="1958217406">
          <w:marLeft w:val="0"/>
          <w:marRight w:val="0"/>
          <w:marTop w:val="0"/>
          <w:marBottom w:val="0"/>
          <w:divBdr>
            <w:top w:val="none" w:sz="0" w:space="0" w:color="auto"/>
            <w:left w:val="none" w:sz="0" w:space="0" w:color="auto"/>
            <w:bottom w:val="none" w:sz="0" w:space="0" w:color="auto"/>
            <w:right w:val="none" w:sz="0" w:space="0" w:color="auto"/>
          </w:divBdr>
          <w:divsChild>
            <w:div w:id="1480687321">
              <w:marLeft w:val="0"/>
              <w:marRight w:val="0"/>
              <w:marTop w:val="0"/>
              <w:marBottom w:val="0"/>
              <w:divBdr>
                <w:top w:val="none" w:sz="0" w:space="0" w:color="auto"/>
                <w:left w:val="none" w:sz="0" w:space="0" w:color="auto"/>
                <w:bottom w:val="none" w:sz="0" w:space="0" w:color="auto"/>
                <w:right w:val="none" w:sz="0" w:space="0" w:color="auto"/>
              </w:divBdr>
              <w:divsChild>
                <w:div w:id="1598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4228">
      <w:bodyDiv w:val="1"/>
      <w:marLeft w:val="0"/>
      <w:marRight w:val="0"/>
      <w:marTop w:val="0"/>
      <w:marBottom w:val="0"/>
      <w:divBdr>
        <w:top w:val="none" w:sz="0" w:space="0" w:color="auto"/>
        <w:left w:val="none" w:sz="0" w:space="0" w:color="auto"/>
        <w:bottom w:val="none" w:sz="0" w:space="0" w:color="auto"/>
        <w:right w:val="none" w:sz="0" w:space="0" w:color="auto"/>
      </w:divBdr>
    </w:div>
    <w:div w:id="1447040733">
      <w:bodyDiv w:val="1"/>
      <w:marLeft w:val="0"/>
      <w:marRight w:val="0"/>
      <w:marTop w:val="0"/>
      <w:marBottom w:val="0"/>
      <w:divBdr>
        <w:top w:val="none" w:sz="0" w:space="0" w:color="auto"/>
        <w:left w:val="none" w:sz="0" w:space="0" w:color="auto"/>
        <w:bottom w:val="none" w:sz="0" w:space="0" w:color="auto"/>
        <w:right w:val="none" w:sz="0" w:space="0" w:color="auto"/>
      </w:divBdr>
    </w:div>
    <w:div w:id="158225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6.jpg@01D6AE08.06A86940"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319D0-2909-4689-9B02-7B729A73F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3882</Words>
  <Characters>21353</Characters>
  <Application>Microsoft Office Word</Application>
  <DocSecurity>0</DocSecurity>
  <Lines>177</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Utrecht</Company>
  <LinksUpToDate>false</LinksUpToDate>
  <CharactersWithSpaces>25185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Hageman</dc:creator>
  <cp:keywords/>
  <dc:description/>
  <cp:lastModifiedBy>Hageman-4, S.H.J. (Steven)</cp:lastModifiedBy>
  <cp:revision>2</cp:revision>
  <dcterms:created xsi:type="dcterms:W3CDTF">2021-12-06T14:47:00Z</dcterms:created>
  <dcterms:modified xsi:type="dcterms:W3CDTF">2021-12-06T14:47:00Z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d407a9ca-2489-3c43-b277-d53ed38f29b3</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