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7108" w14:textId="68D76050" w:rsidR="00095724" w:rsidRDefault="00095724" w:rsidP="00861ED2">
      <w:pPr>
        <w:tabs>
          <w:tab w:val="center" w:pos="4680"/>
        </w:tabs>
        <w:rPr>
          <w:rFonts w:ascii="Arial" w:hAnsi="Arial" w:cs="Arial"/>
          <w:b/>
          <w:bCs/>
          <w:sz w:val="24"/>
          <w:szCs w:val="24"/>
        </w:rPr>
      </w:pPr>
      <w:r w:rsidRPr="00861ED2">
        <w:rPr>
          <w:rFonts w:ascii="Arial" w:hAnsi="Arial" w:cs="Arial"/>
          <w:b/>
          <w:bCs/>
          <w:sz w:val="24"/>
          <w:szCs w:val="24"/>
        </w:rPr>
        <w:t>SUPPLEMENTAL MATERIALS</w:t>
      </w:r>
      <w:r w:rsidR="00861ED2">
        <w:rPr>
          <w:rFonts w:ascii="Arial" w:hAnsi="Arial" w:cs="Arial"/>
          <w:b/>
          <w:bCs/>
          <w:sz w:val="24"/>
          <w:szCs w:val="24"/>
        </w:rPr>
        <w:tab/>
      </w:r>
    </w:p>
    <w:p w14:paraId="2996CC1C" w14:textId="1576D603" w:rsidR="00CF53C5" w:rsidRDefault="00CF53C5" w:rsidP="00861ED2">
      <w:pPr>
        <w:tabs>
          <w:tab w:val="center" w:pos="4680"/>
        </w:tabs>
        <w:rPr>
          <w:rFonts w:ascii="Arial" w:hAnsi="Arial" w:cs="Arial"/>
          <w:b/>
          <w:bCs/>
          <w:sz w:val="24"/>
          <w:szCs w:val="24"/>
        </w:rPr>
      </w:pPr>
      <w:r>
        <w:rPr>
          <w:rFonts w:ascii="Arial" w:hAnsi="Arial" w:cs="Arial"/>
          <w:b/>
          <w:bCs/>
          <w:sz w:val="24"/>
          <w:szCs w:val="24"/>
        </w:rPr>
        <w:t>Contents</w:t>
      </w:r>
    </w:p>
    <w:p w14:paraId="0AFCF953" w14:textId="03AC0F1A" w:rsidR="00CF53C5" w:rsidRDefault="00CF53C5" w:rsidP="00861ED2">
      <w:pPr>
        <w:tabs>
          <w:tab w:val="center" w:pos="4680"/>
        </w:tabs>
        <w:rPr>
          <w:rFonts w:ascii="Arial" w:hAnsi="Arial" w:cs="Arial"/>
          <w:b/>
          <w:bCs/>
          <w:sz w:val="24"/>
          <w:szCs w:val="24"/>
        </w:rPr>
      </w:pPr>
      <w:r>
        <w:rPr>
          <w:rFonts w:ascii="Arial" w:hAnsi="Arial" w:cs="Arial"/>
          <w:b/>
          <w:bCs/>
          <w:sz w:val="24"/>
          <w:szCs w:val="24"/>
        </w:rPr>
        <w:t>Tables</w:t>
      </w:r>
    </w:p>
    <w:p w14:paraId="7ACC0A45" w14:textId="5C31F2AF" w:rsidR="00CF53C5" w:rsidRDefault="00CF53C5" w:rsidP="00CF53C5">
      <w:pPr>
        <w:pStyle w:val="ListParagraph"/>
        <w:numPr>
          <w:ilvl w:val="0"/>
          <w:numId w:val="1"/>
        </w:numPr>
        <w:tabs>
          <w:tab w:val="center" w:pos="4680"/>
        </w:tabs>
        <w:rPr>
          <w:rFonts w:ascii="Arial" w:hAnsi="Arial" w:cs="Arial"/>
          <w:b/>
          <w:bCs/>
          <w:sz w:val="24"/>
          <w:szCs w:val="24"/>
        </w:rPr>
      </w:pPr>
      <w:r w:rsidRPr="00861ED2">
        <w:rPr>
          <w:rFonts w:ascii="Arial" w:hAnsi="Arial" w:cs="Arial"/>
          <w:b/>
          <w:bCs/>
          <w:sz w:val="24"/>
          <w:szCs w:val="24"/>
        </w:rPr>
        <w:t>eTable 1. Post-training transition probabilities stratified by stage and HPV-status</w:t>
      </w:r>
    </w:p>
    <w:p w14:paraId="0338012A" w14:textId="40342A16" w:rsidR="00CF53C5" w:rsidRDefault="00CF53C5" w:rsidP="00CF53C5">
      <w:pPr>
        <w:pStyle w:val="ListParagraph"/>
        <w:numPr>
          <w:ilvl w:val="0"/>
          <w:numId w:val="1"/>
        </w:numPr>
        <w:tabs>
          <w:tab w:val="center" w:pos="4680"/>
        </w:tabs>
        <w:rPr>
          <w:rFonts w:ascii="Arial" w:hAnsi="Arial" w:cs="Arial"/>
          <w:b/>
          <w:bCs/>
          <w:sz w:val="24"/>
          <w:szCs w:val="24"/>
        </w:rPr>
      </w:pPr>
      <w:r w:rsidRPr="00861ED2">
        <w:rPr>
          <w:rFonts w:ascii="Arial" w:hAnsi="Arial" w:cs="Arial"/>
          <w:b/>
          <w:bCs/>
          <w:sz w:val="24"/>
          <w:szCs w:val="24"/>
        </w:rPr>
        <w:t>eTable 2. Performance of Reimbursement-Based Schedule (RBS) vs Optimized Regimens</w:t>
      </w:r>
    </w:p>
    <w:p w14:paraId="2C3F5746" w14:textId="07AD3396" w:rsidR="00BE08AC" w:rsidRDefault="00A62416" w:rsidP="00CF53C5">
      <w:pPr>
        <w:pStyle w:val="ListParagraph"/>
        <w:numPr>
          <w:ilvl w:val="0"/>
          <w:numId w:val="1"/>
        </w:numPr>
        <w:tabs>
          <w:tab w:val="center" w:pos="4680"/>
        </w:tabs>
        <w:rPr>
          <w:rFonts w:ascii="Arial" w:hAnsi="Arial" w:cs="Arial"/>
          <w:b/>
          <w:bCs/>
          <w:sz w:val="24"/>
          <w:szCs w:val="24"/>
        </w:rPr>
      </w:pPr>
      <w:r>
        <w:rPr>
          <w:rFonts w:ascii="Arial" w:hAnsi="Arial" w:cs="Arial"/>
          <w:b/>
          <w:bCs/>
          <w:sz w:val="24"/>
          <w:szCs w:val="24"/>
        </w:rPr>
        <w:t xml:space="preserve">eTable 3. Modified </w:t>
      </w:r>
      <w:r w:rsidRPr="00BE08AC">
        <w:rPr>
          <w:rFonts w:ascii="Arial" w:hAnsi="Arial" w:cs="Arial"/>
          <w:b/>
          <w:bCs/>
          <w:sz w:val="24"/>
          <w:szCs w:val="24"/>
        </w:rPr>
        <w:t xml:space="preserve">Stage IVA HPV-positive </w:t>
      </w:r>
      <w:r>
        <w:rPr>
          <w:rFonts w:ascii="Arial" w:hAnsi="Arial" w:cs="Arial"/>
          <w:b/>
          <w:bCs/>
          <w:sz w:val="24"/>
          <w:szCs w:val="24"/>
        </w:rPr>
        <w:t>Cohort Performance</w:t>
      </w:r>
    </w:p>
    <w:p w14:paraId="1AA0BF76" w14:textId="27209295" w:rsidR="00DF08AB" w:rsidRDefault="00DF08AB" w:rsidP="00CF53C5">
      <w:pPr>
        <w:pStyle w:val="ListParagraph"/>
        <w:numPr>
          <w:ilvl w:val="0"/>
          <w:numId w:val="1"/>
        </w:numPr>
        <w:tabs>
          <w:tab w:val="center" w:pos="4680"/>
        </w:tabs>
        <w:rPr>
          <w:rFonts w:ascii="Arial" w:hAnsi="Arial" w:cs="Arial"/>
          <w:b/>
          <w:bCs/>
          <w:sz w:val="24"/>
          <w:szCs w:val="24"/>
        </w:rPr>
      </w:pPr>
      <w:r>
        <w:rPr>
          <w:rFonts w:ascii="Arial" w:hAnsi="Arial" w:cs="Arial"/>
          <w:b/>
          <w:bCs/>
          <w:sz w:val="24"/>
          <w:szCs w:val="24"/>
        </w:rPr>
        <w:t>eTable 4: Python Packages Used in Model Development</w:t>
      </w:r>
    </w:p>
    <w:p w14:paraId="1F85BFD0" w14:textId="2811B9A6" w:rsidR="00CF53C5" w:rsidRDefault="00CF53C5" w:rsidP="00CF53C5">
      <w:pPr>
        <w:tabs>
          <w:tab w:val="center" w:pos="4680"/>
        </w:tabs>
        <w:rPr>
          <w:rFonts w:ascii="Arial" w:hAnsi="Arial" w:cs="Arial"/>
          <w:b/>
          <w:bCs/>
          <w:sz w:val="24"/>
          <w:szCs w:val="24"/>
        </w:rPr>
      </w:pPr>
      <w:r>
        <w:rPr>
          <w:rFonts w:ascii="Arial" w:hAnsi="Arial" w:cs="Arial"/>
          <w:b/>
          <w:bCs/>
          <w:sz w:val="24"/>
          <w:szCs w:val="24"/>
        </w:rPr>
        <w:t>Figures</w:t>
      </w:r>
    </w:p>
    <w:p w14:paraId="203BBC32" w14:textId="77777777" w:rsidR="00CF53C5" w:rsidRPr="00CF53C5" w:rsidRDefault="00CF53C5" w:rsidP="00CF53C5">
      <w:pPr>
        <w:pStyle w:val="ListParagraph"/>
        <w:numPr>
          <w:ilvl w:val="0"/>
          <w:numId w:val="2"/>
        </w:numPr>
        <w:spacing w:line="240" w:lineRule="auto"/>
        <w:rPr>
          <w:rFonts w:ascii="Arial" w:hAnsi="Arial" w:cs="Arial"/>
          <w:sz w:val="20"/>
          <w:szCs w:val="20"/>
        </w:rPr>
      </w:pPr>
      <w:r w:rsidRPr="00CF53C5">
        <w:rPr>
          <w:rFonts w:ascii="Arial" w:hAnsi="Arial" w:cs="Arial"/>
          <w:b/>
          <w:bCs/>
          <w:sz w:val="24"/>
          <w:szCs w:val="24"/>
        </w:rPr>
        <w:t>eFigure 1.</w:t>
      </w:r>
      <w:r w:rsidRPr="00CF53C5">
        <w:rPr>
          <w:rFonts w:ascii="Arial" w:hAnsi="Arial" w:cs="Arial"/>
          <w:sz w:val="24"/>
          <w:szCs w:val="24"/>
        </w:rPr>
        <w:t xml:space="preserve"> </w:t>
      </w:r>
      <w:r w:rsidRPr="00CF53C5">
        <w:rPr>
          <w:rFonts w:ascii="Arial" w:hAnsi="Arial" w:cs="Arial"/>
          <w:b/>
          <w:bCs/>
          <w:sz w:val="24"/>
          <w:szCs w:val="24"/>
        </w:rPr>
        <w:t>Flowchart of model training.</w:t>
      </w:r>
      <w:r w:rsidRPr="00CF53C5">
        <w:rPr>
          <w:rFonts w:ascii="Arial" w:hAnsi="Arial" w:cs="Arial"/>
          <w:sz w:val="20"/>
          <w:szCs w:val="20"/>
        </w:rPr>
        <w:t xml:space="preserve"> </w:t>
      </w:r>
    </w:p>
    <w:p w14:paraId="31ACCF83" w14:textId="77777777" w:rsidR="00CF53C5" w:rsidRPr="00CF53C5" w:rsidRDefault="00CF53C5" w:rsidP="00CF53C5">
      <w:pPr>
        <w:pStyle w:val="ListParagraph"/>
        <w:numPr>
          <w:ilvl w:val="0"/>
          <w:numId w:val="2"/>
        </w:numPr>
        <w:spacing w:line="240" w:lineRule="auto"/>
        <w:rPr>
          <w:rFonts w:ascii="Arial" w:hAnsi="Arial" w:cs="Arial"/>
          <w:b/>
          <w:bCs/>
          <w:sz w:val="24"/>
          <w:szCs w:val="24"/>
        </w:rPr>
      </w:pPr>
      <w:r w:rsidRPr="00CF53C5">
        <w:rPr>
          <w:rFonts w:ascii="Arial" w:hAnsi="Arial" w:cs="Arial"/>
          <w:b/>
          <w:bCs/>
          <w:sz w:val="24"/>
          <w:szCs w:val="24"/>
        </w:rPr>
        <w:t>eFigure 2. Recurrence Model Training Algorithm</w:t>
      </w:r>
    </w:p>
    <w:p w14:paraId="4B0BE64D" w14:textId="6364C751" w:rsidR="00CF53C5" w:rsidRDefault="00CF53C5" w:rsidP="00CF53C5">
      <w:pPr>
        <w:pStyle w:val="ListParagraph"/>
        <w:numPr>
          <w:ilvl w:val="0"/>
          <w:numId w:val="2"/>
        </w:numPr>
        <w:tabs>
          <w:tab w:val="center" w:pos="4680"/>
        </w:tabs>
        <w:rPr>
          <w:rFonts w:ascii="Arial" w:hAnsi="Arial" w:cs="Arial"/>
          <w:b/>
          <w:bCs/>
          <w:sz w:val="24"/>
          <w:szCs w:val="24"/>
        </w:rPr>
      </w:pPr>
      <w:r w:rsidRPr="00EE7990">
        <w:rPr>
          <w:rFonts w:ascii="Arial" w:hAnsi="Arial" w:cs="Arial"/>
          <w:b/>
          <w:bCs/>
          <w:sz w:val="24"/>
          <w:szCs w:val="24"/>
        </w:rPr>
        <w:t>eFigure 3A. Test characteristics of PET-CT scan for recurrent head and neck disease.</w:t>
      </w:r>
    </w:p>
    <w:p w14:paraId="2C3F6B08" w14:textId="4B587464" w:rsidR="00CF53C5" w:rsidRDefault="00CF53C5" w:rsidP="00CF53C5">
      <w:pPr>
        <w:pStyle w:val="ListParagraph"/>
        <w:numPr>
          <w:ilvl w:val="0"/>
          <w:numId w:val="2"/>
        </w:numPr>
        <w:tabs>
          <w:tab w:val="center" w:pos="4680"/>
        </w:tabs>
        <w:rPr>
          <w:rFonts w:ascii="Arial" w:hAnsi="Arial" w:cs="Arial"/>
          <w:b/>
          <w:bCs/>
          <w:sz w:val="24"/>
          <w:szCs w:val="24"/>
        </w:rPr>
      </w:pPr>
      <w:r w:rsidRPr="00EE7990">
        <w:rPr>
          <w:rFonts w:ascii="Arial" w:hAnsi="Arial" w:cs="Arial"/>
          <w:b/>
          <w:bCs/>
          <w:sz w:val="24"/>
          <w:szCs w:val="24"/>
        </w:rPr>
        <w:t>eFigure 3B. Test characteristics of CT scan for recurrent head and neck disease</w:t>
      </w:r>
    </w:p>
    <w:p w14:paraId="19138966" w14:textId="77777777" w:rsidR="00CF53C5" w:rsidRPr="00CF53C5" w:rsidRDefault="00CF53C5" w:rsidP="00CF53C5">
      <w:pPr>
        <w:pStyle w:val="ListParagraph"/>
        <w:numPr>
          <w:ilvl w:val="0"/>
          <w:numId w:val="2"/>
        </w:numPr>
        <w:spacing w:line="240" w:lineRule="auto"/>
        <w:rPr>
          <w:rFonts w:ascii="Times New Roman" w:hAnsi="Times New Roman" w:cs="Times New Roman"/>
          <w:sz w:val="24"/>
          <w:szCs w:val="24"/>
        </w:rPr>
      </w:pPr>
      <w:r w:rsidRPr="00CF53C5">
        <w:rPr>
          <w:rFonts w:ascii="Arial" w:hAnsi="Arial" w:cs="Arial"/>
          <w:b/>
          <w:bCs/>
          <w:sz w:val="24"/>
          <w:szCs w:val="24"/>
        </w:rPr>
        <w:t>eFigure 4. Comparison between training cohort (NCDB) and external validation cohort (ICON-S).</w:t>
      </w:r>
      <w:r w:rsidRPr="00CF53C5">
        <w:rPr>
          <w:rFonts w:ascii="Times New Roman" w:hAnsi="Times New Roman" w:cs="Times New Roman"/>
          <w:sz w:val="24"/>
          <w:szCs w:val="24"/>
        </w:rPr>
        <w:t xml:space="preserve"> </w:t>
      </w:r>
    </w:p>
    <w:p w14:paraId="57BD6901" w14:textId="77777777" w:rsidR="00CF53C5" w:rsidRPr="00CF53C5" w:rsidRDefault="00CF53C5" w:rsidP="00CF53C5">
      <w:pPr>
        <w:pStyle w:val="ListParagraph"/>
        <w:numPr>
          <w:ilvl w:val="0"/>
          <w:numId w:val="2"/>
        </w:numPr>
        <w:spacing w:line="240" w:lineRule="auto"/>
        <w:rPr>
          <w:rFonts w:ascii="Arial" w:hAnsi="Arial" w:cs="Arial"/>
          <w:b/>
          <w:bCs/>
          <w:sz w:val="24"/>
          <w:szCs w:val="24"/>
        </w:rPr>
      </w:pPr>
      <w:r w:rsidRPr="00CF53C5">
        <w:rPr>
          <w:rFonts w:ascii="Arial" w:hAnsi="Arial" w:cs="Arial"/>
          <w:b/>
          <w:bCs/>
          <w:sz w:val="24"/>
          <w:szCs w:val="24"/>
        </w:rPr>
        <w:t>eFigure 5. Cohort-specific comparison of overall survival</w:t>
      </w:r>
    </w:p>
    <w:p w14:paraId="3D42ED7F" w14:textId="77777777" w:rsidR="00CF53C5" w:rsidRPr="00CF53C5" w:rsidRDefault="00CF53C5" w:rsidP="00CF53C5">
      <w:pPr>
        <w:pStyle w:val="ListParagraph"/>
        <w:numPr>
          <w:ilvl w:val="0"/>
          <w:numId w:val="2"/>
        </w:numPr>
        <w:spacing w:line="240" w:lineRule="auto"/>
        <w:rPr>
          <w:rFonts w:ascii="Arial" w:hAnsi="Arial" w:cs="Arial"/>
          <w:b/>
          <w:bCs/>
          <w:sz w:val="24"/>
          <w:szCs w:val="24"/>
        </w:rPr>
      </w:pPr>
      <w:r w:rsidRPr="00CF53C5">
        <w:rPr>
          <w:rFonts w:ascii="Arial" w:hAnsi="Arial" w:cs="Arial"/>
          <w:b/>
          <w:bCs/>
          <w:sz w:val="24"/>
          <w:szCs w:val="24"/>
        </w:rPr>
        <w:t>eFigure 6. Disease-free survival stratified by stage and HPV-status and disease state (locoregional and distant metastasis)</w:t>
      </w:r>
    </w:p>
    <w:p w14:paraId="06B2C2C2" w14:textId="11371562" w:rsidR="00CF53C5" w:rsidRDefault="00CF53C5" w:rsidP="00CF53C5">
      <w:pPr>
        <w:pStyle w:val="ListParagraph"/>
        <w:numPr>
          <w:ilvl w:val="0"/>
          <w:numId w:val="2"/>
        </w:numPr>
        <w:rPr>
          <w:rFonts w:ascii="Arial" w:hAnsi="Arial" w:cs="Arial"/>
          <w:b/>
          <w:bCs/>
          <w:sz w:val="24"/>
          <w:szCs w:val="24"/>
        </w:rPr>
      </w:pPr>
      <w:r w:rsidRPr="00CF53C5">
        <w:rPr>
          <w:rFonts w:ascii="Arial" w:hAnsi="Arial" w:cs="Arial"/>
          <w:b/>
          <w:bCs/>
          <w:sz w:val="24"/>
          <w:szCs w:val="24"/>
        </w:rPr>
        <w:t xml:space="preserve">eFigure 7. Model based recommendations adapt to minimize latency based on overall number of scans. </w:t>
      </w:r>
    </w:p>
    <w:p w14:paraId="747D5FAC" w14:textId="77777777" w:rsidR="00100BA9" w:rsidRPr="00100BA9" w:rsidRDefault="00100BA9" w:rsidP="00100BA9">
      <w:pPr>
        <w:pStyle w:val="ListParagraph"/>
        <w:numPr>
          <w:ilvl w:val="0"/>
          <w:numId w:val="2"/>
        </w:numPr>
        <w:rPr>
          <w:rFonts w:ascii="Arial" w:hAnsi="Arial" w:cs="Arial"/>
          <w:sz w:val="20"/>
          <w:szCs w:val="20"/>
        </w:rPr>
      </w:pPr>
      <w:r w:rsidRPr="00100BA9">
        <w:rPr>
          <w:rFonts w:ascii="Arial" w:hAnsi="Arial" w:cs="Arial"/>
          <w:b/>
          <w:bCs/>
          <w:sz w:val="24"/>
          <w:szCs w:val="24"/>
        </w:rPr>
        <w:t>eFigure 8. Modified Stage IVA HPV-positive cohort compared to ICON-S counterpart</w:t>
      </w:r>
    </w:p>
    <w:p w14:paraId="1B760110" w14:textId="3BBD8A71" w:rsidR="00CF53C5" w:rsidRDefault="00CF53C5">
      <w:pPr>
        <w:rPr>
          <w:rFonts w:ascii="Arial" w:hAnsi="Arial" w:cs="Arial"/>
          <w:b/>
          <w:bCs/>
          <w:sz w:val="24"/>
          <w:szCs w:val="24"/>
        </w:rPr>
      </w:pPr>
      <w:r>
        <w:rPr>
          <w:rFonts w:ascii="Arial" w:hAnsi="Arial" w:cs="Arial"/>
          <w:b/>
          <w:bCs/>
          <w:sz w:val="24"/>
          <w:szCs w:val="24"/>
        </w:rPr>
        <w:br w:type="page"/>
      </w:r>
    </w:p>
    <w:p w14:paraId="55FF6A94" w14:textId="25123E5C" w:rsidR="003D1FBE" w:rsidRPr="00EE7990" w:rsidRDefault="003D1FBE">
      <w:pPr>
        <w:rPr>
          <w:rFonts w:ascii="Arial" w:hAnsi="Arial" w:cs="Arial"/>
          <w:b/>
          <w:bCs/>
          <w:sz w:val="24"/>
          <w:szCs w:val="24"/>
          <w:u w:val="single"/>
        </w:rPr>
      </w:pPr>
      <w:r w:rsidRPr="00EE7990">
        <w:rPr>
          <w:rFonts w:ascii="Arial" w:hAnsi="Arial" w:cs="Arial"/>
          <w:b/>
          <w:bCs/>
          <w:sz w:val="24"/>
          <w:szCs w:val="24"/>
          <w:u w:val="single"/>
        </w:rPr>
        <w:lastRenderedPageBreak/>
        <w:t>Tables</w:t>
      </w:r>
    </w:p>
    <w:tbl>
      <w:tblPr>
        <w:tblW w:w="9280" w:type="dxa"/>
        <w:tblCellMar>
          <w:left w:w="0" w:type="dxa"/>
          <w:right w:w="0" w:type="dxa"/>
        </w:tblCellMar>
        <w:tblLook w:val="0420" w:firstRow="1" w:lastRow="0" w:firstColumn="0" w:lastColumn="0" w:noHBand="0" w:noVBand="1"/>
      </w:tblPr>
      <w:tblGrid>
        <w:gridCol w:w="1035"/>
        <w:gridCol w:w="1192"/>
        <w:gridCol w:w="1174"/>
        <w:gridCol w:w="1177"/>
        <w:gridCol w:w="1174"/>
        <w:gridCol w:w="1177"/>
        <w:gridCol w:w="1174"/>
        <w:gridCol w:w="1177"/>
      </w:tblGrid>
      <w:tr w:rsidR="00095724" w:rsidRPr="005A316A" w14:paraId="123C9C9F" w14:textId="77777777" w:rsidTr="00675630">
        <w:trPr>
          <w:trHeight w:val="431"/>
        </w:trPr>
        <w:tc>
          <w:tcPr>
            <w:tcW w:w="9280" w:type="dxa"/>
            <w:gridSpan w:val="8"/>
            <w:tcBorders>
              <w:top w:val="nil"/>
              <w:left w:val="nil"/>
              <w:bottom w:val="single" w:sz="8" w:space="0" w:color="000000"/>
              <w:right w:val="nil"/>
            </w:tcBorders>
            <w:shd w:val="clear" w:color="auto" w:fill="FFFFFF"/>
            <w:tcMar>
              <w:top w:w="72" w:type="dxa"/>
              <w:left w:w="144" w:type="dxa"/>
              <w:bottom w:w="72" w:type="dxa"/>
              <w:right w:w="144" w:type="dxa"/>
            </w:tcMar>
            <w:hideMark/>
          </w:tcPr>
          <w:p w14:paraId="4844CB6B" w14:textId="77777777" w:rsidR="00095724" w:rsidRPr="00861ED2" w:rsidRDefault="00095724" w:rsidP="00675630">
            <w:pPr>
              <w:rPr>
                <w:rFonts w:ascii="Arial" w:hAnsi="Arial" w:cs="Arial"/>
                <w:b/>
                <w:bCs/>
                <w:sz w:val="24"/>
                <w:szCs w:val="24"/>
              </w:rPr>
            </w:pPr>
            <w:r w:rsidRPr="00861ED2">
              <w:rPr>
                <w:rFonts w:ascii="Arial" w:hAnsi="Arial" w:cs="Arial"/>
                <w:b/>
                <w:bCs/>
                <w:sz w:val="24"/>
                <w:szCs w:val="24"/>
              </w:rPr>
              <w:t>eTable 1. Post-training transition probabilities stratified by stage and HPV-status</w:t>
            </w:r>
          </w:p>
        </w:tc>
      </w:tr>
      <w:tr w:rsidR="00095724" w:rsidRPr="00861ED2" w14:paraId="63CFE4CB" w14:textId="77777777" w:rsidTr="00095724">
        <w:trPr>
          <w:trHeight w:val="492"/>
        </w:trPr>
        <w:tc>
          <w:tcPr>
            <w:tcW w:w="1035" w:type="dxa"/>
            <w:vMerge w:val="restart"/>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3A513496" w14:textId="77777777" w:rsidR="00095724" w:rsidRPr="00861ED2" w:rsidRDefault="00095724" w:rsidP="00675630">
            <w:pPr>
              <w:rPr>
                <w:rFonts w:ascii="Arial" w:hAnsi="Arial" w:cs="Arial"/>
                <w:sz w:val="20"/>
                <w:szCs w:val="20"/>
              </w:rPr>
            </w:pPr>
            <w:r w:rsidRPr="00861ED2">
              <w:rPr>
                <w:rFonts w:ascii="Arial" w:hAnsi="Arial" w:cs="Arial"/>
                <w:sz w:val="20"/>
                <w:szCs w:val="20"/>
              </w:rPr>
              <w:t>Stage</w:t>
            </w:r>
          </w:p>
        </w:tc>
        <w:tc>
          <w:tcPr>
            <w:tcW w:w="1192" w:type="dxa"/>
            <w:vMerge w:val="restart"/>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585B3A81" w14:textId="77777777" w:rsidR="00095724" w:rsidRPr="00861ED2" w:rsidRDefault="00095724" w:rsidP="00675630">
            <w:pPr>
              <w:rPr>
                <w:rFonts w:ascii="Arial" w:hAnsi="Arial" w:cs="Arial"/>
                <w:sz w:val="20"/>
                <w:szCs w:val="20"/>
              </w:rPr>
            </w:pPr>
            <w:r w:rsidRPr="00861ED2">
              <w:rPr>
                <w:rFonts w:ascii="Arial" w:hAnsi="Arial" w:cs="Arial"/>
                <w:sz w:val="20"/>
                <w:szCs w:val="20"/>
              </w:rPr>
              <w:t>HPV-status</w:t>
            </w:r>
          </w:p>
        </w:tc>
        <w:tc>
          <w:tcPr>
            <w:tcW w:w="2351"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3EE042CD" w14:textId="77777777" w:rsidR="00095724" w:rsidRPr="00861ED2" w:rsidRDefault="00095724" w:rsidP="00675630">
            <w:pPr>
              <w:rPr>
                <w:rFonts w:ascii="Arial" w:hAnsi="Arial" w:cs="Arial"/>
                <w:sz w:val="20"/>
                <w:szCs w:val="20"/>
              </w:rPr>
            </w:pPr>
            <w:r w:rsidRPr="00861ED2">
              <w:rPr>
                <w:rFonts w:ascii="Arial" w:hAnsi="Arial" w:cs="Arial"/>
                <w:sz w:val="20"/>
                <w:szCs w:val="20"/>
              </w:rPr>
              <w:t>Year-1</w:t>
            </w:r>
          </w:p>
        </w:tc>
        <w:tc>
          <w:tcPr>
            <w:tcW w:w="2351"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3C6F8771" w14:textId="77777777" w:rsidR="00095724" w:rsidRPr="00861ED2" w:rsidRDefault="00095724" w:rsidP="00675630">
            <w:pPr>
              <w:rPr>
                <w:rFonts w:ascii="Arial" w:hAnsi="Arial" w:cs="Arial"/>
                <w:sz w:val="20"/>
                <w:szCs w:val="20"/>
              </w:rPr>
            </w:pPr>
            <w:r w:rsidRPr="00861ED2">
              <w:rPr>
                <w:rFonts w:ascii="Arial" w:hAnsi="Arial" w:cs="Arial"/>
                <w:sz w:val="20"/>
                <w:szCs w:val="20"/>
              </w:rPr>
              <w:t>Year-2</w:t>
            </w:r>
          </w:p>
        </w:tc>
        <w:tc>
          <w:tcPr>
            <w:tcW w:w="2351"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DABD325" w14:textId="77777777" w:rsidR="00095724" w:rsidRPr="00861ED2" w:rsidRDefault="00095724" w:rsidP="00675630">
            <w:pPr>
              <w:rPr>
                <w:rFonts w:ascii="Arial" w:hAnsi="Arial" w:cs="Arial"/>
                <w:sz w:val="20"/>
                <w:szCs w:val="20"/>
              </w:rPr>
            </w:pPr>
            <w:r w:rsidRPr="00861ED2">
              <w:rPr>
                <w:rFonts w:ascii="Arial" w:hAnsi="Arial" w:cs="Arial"/>
                <w:sz w:val="20"/>
                <w:szCs w:val="20"/>
              </w:rPr>
              <w:t>Year-3+</w:t>
            </w:r>
          </w:p>
        </w:tc>
      </w:tr>
      <w:tr w:rsidR="00095724" w:rsidRPr="00861ED2" w14:paraId="659D254A" w14:textId="77777777" w:rsidTr="00095724">
        <w:trPr>
          <w:trHeight w:val="500"/>
        </w:trPr>
        <w:tc>
          <w:tcPr>
            <w:tcW w:w="0" w:type="auto"/>
            <w:vMerge/>
            <w:tcBorders>
              <w:top w:val="single" w:sz="8" w:space="0" w:color="000000"/>
              <w:left w:val="nil"/>
              <w:bottom w:val="single" w:sz="8" w:space="0" w:color="000000"/>
              <w:right w:val="nil"/>
            </w:tcBorders>
            <w:vAlign w:val="center"/>
            <w:hideMark/>
          </w:tcPr>
          <w:p w14:paraId="39891BFC" w14:textId="77777777" w:rsidR="00095724" w:rsidRPr="00861ED2" w:rsidRDefault="00095724" w:rsidP="00675630">
            <w:pPr>
              <w:rPr>
                <w:rFonts w:ascii="Arial" w:hAnsi="Arial" w:cs="Arial"/>
                <w:sz w:val="20"/>
                <w:szCs w:val="20"/>
              </w:rPr>
            </w:pPr>
          </w:p>
        </w:tc>
        <w:tc>
          <w:tcPr>
            <w:tcW w:w="0" w:type="auto"/>
            <w:vMerge/>
            <w:tcBorders>
              <w:top w:val="single" w:sz="8" w:space="0" w:color="000000"/>
              <w:left w:val="nil"/>
              <w:bottom w:val="single" w:sz="8" w:space="0" w:color="000000"/>
              <w:right w:val="nil"/>
            </w:tcBorders>
            <w:vAlign w:val="center"/>
            <w:hideMark/>
          </w:tcPr>
          <w:p w14:paraId="5C035D06" w14:textId="77777777" w:rsidR="00095724" w:rsidRPr="00861ED2" w:rsidRDefault="00095724" w:rsidP="00675630">
            <w:pPr>
              <w:rPr>
                <w:rFonts w:ascii="Arial" w:hAnsi="Arial" w:cs="Arial"/>
                <w:sz w:val="20"/>
                <w:szCs w:val="20"/>
              </w:rPr>
            </w:pPr>
          </w:p>
        </w:tc>
        <w:tc>
          <w:tcPr>
            <w:tcW w:w="117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08149E27" w14:textId="77777777" w:rsidR="00095724" w:rsidRPr="00861ED2" w:rsidRDefault="00095724" w:rsidP="00675630">
            <w:pPr>
              <w:rPr>
                <w:rFonts w:ascii="Arial" w:hAnsi="Arial" w:cs="Arial"/>
                <w:sz w:val="20"/>
                <w:szCs w:val="20"/>
              </w:rPr>
            </w:pPr>
            <w:r w:rsidRPr="00861ED2">
              <w:rPr>
                <w:rFonts w:ascii="Arial" w:hAnsi="Arial" w:cs="Arial"/>
                <w:sz w:val="20"/>
                <w:szCs w:val="20"/>
              </w:rPr>
              <w:t>P(LR)</w:t>
            </w:r>
          </w:p>
        </w:tc>
        <w:tc>
          <w:tcPr>
            <w:tcW w:w="1177"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A03F205" w14:textId="77777777" w:rsidR="00095724" w:rsidRPr="00861ED2" w:rsidRDefault="00095724" w:rsidP="00675630">
            <w:pPr>
              <w:rPr>
                <w:rFonts w:ascii="Arial" w:hAnsi="Arial" w:cs="Arial"/>
                <w:sz w:val="20"/>
                <w:szCs w:val="20"/>
              </w:rPr>
            </w:pPr>
            <w:r w:rsidRPr="00861ED2">
              <w:rPr>
                <w:rFonts w:ascii="Arial" w:hAnsi="Arial" w:cs="Arial"/>
                <w:sz w:val="20"/>
                <w:szCs w:val="20"/>
              </w:rPr>
              <w:t>P(mets)</w:t>
            </w:r>
          </w:p>
        </w:tc>
        <w:tc>
          <w:tcPr>
            <w:tcW w:w="117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246877F8" w14:textId="77777777" w:rsidR="00095724" w:rsidRPr="00861ED2" w:rsidRDefault="00095724" w:rsidP="00675630">
            <w:pPr>
              <w:rPr>
                <w:rFonts w:ascii="Arial" w:hAnsi="Arial" w:cs="Arial"/>
                <w:sz w:val="20"/>
                <w:szCs w:val="20"/>
              </w:rPr>
            </w:pPr>
            <w:r w:rsidRPr="00861ED2">
              <w:rPr>
                <w:rFonts w:ascii="Arial" w:hAnsi="Arial" w:cs="Arial"/>
                <w:sz w:val="20"/>
                <w:szCs w:val="20"/>
              </w:rPr>
              <w:t>P(LR)</w:t>
            </w:r>
          </w:p>
        </w:tc>
        <w:tc>
          <w:tcPr>
            <w:tcW w:w="1177"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56CF29E0" w14:textId="77777777" w:rsidR="00095724" w:rsidRPr="00861ED2" w:rsidRDefault="00095724" w:rsidP="00675630">
            <w:pPr>
              <w:rPr>
                <w:rFonts w:ascii="Arial" w:hAnsi="Arial" w:cs="Arial"/>
                <w:sz w:val="20"/>
                <w:szCs w:val="20"/>
              </w:rPr>
            </w:pPr>
            <w:r w:rsidRPr="00861ED2">
              <w:rPr>
                <w:rFonts w:ascii="Arial" w:hAnsi="Arial" w:cs="Arial"/>
                <w:sz w:val="20"/>
                <w:szCs w:val="20"/>
              </w:rPr>
              <w:t>P(mets)</w:t>
            </w:r>
          </w:p>
        </w:tc>
        <w:tc>
          <w:tcPr>
            <w:tcW w:w="117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64866CD6" w14:textId="77777777" w:rsidR="00095724" w:rsidRPr="00861ED2" w:rsidRDefault="00095724" w:rsidP="00675630">
            <w:pPr>
              <w:rPr>
                <w:rFonts w:ascii="Arial" w:hAnsi="Arial" w:cs="Arial"/>
                <w:sz w:val="20"/>
                <w:szCs w:val="20"/>
              </w:rPr>
            </w:pPr>
            <w:r w:rsidRPr="00861ED2">
              <w:rPr>
                <w:rFonts w:ascii="Arial" w:hAnsi="Arial" w:cs="Arial"/>
                <w:sz w:val="20"/>
                <w:szCs w:val="20"/>
              </w:rPr>
              <w:t>P(LR)</w:t>
            </w:r>
          </w:p>
        </w:tc>
        <w:tc>
          <w:tcPr>
            <w:tcW w:w="1177"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40A2E41" w14:textId="77777777" w:rsidR="00095724" w:rsidRPr="00861ED2" w:rsidRDefault="00095724" w:rsidP="00675630">
            <w:pPr>
              <w:rPr>
                <w:rFonts w:ascii="Arial" w:hAnsi="Arial" w:cs="Arial"/>
                <w:sz w:val="20"/>
                <w:szCs w:val="20"/>
              </w:rPr>
            </w:pPr>
            <w:r w:rsidRPr="00861ED2">
              <w:rPr>
                <w:rFonts w:ascii="Arial" w:hAnsi="Arial" w:cs="Arial"/>
                <w:sz w:val="20"/>
                <w:szCs w:val="20"/>
              </w:rPr>
              <w:t>P(mets)</w:t>
            </w:r>
          </w:p>
        </w:tc>
      </w:tr>
      <w:tr w:rsidR="00095724" w:rsidRPr="00861ED2" w14:paraId="4AF85163" w14:textId="77777777" w:rsidTr="00095724">
        <w:tc>
          <w:tcPr>
            <w:tcW w:w="1035" w:type="dxa"/>
            <w:vMerge w:val="restart"/>
            <w:tcBorders>
              <w:top w:val="single" w:sz="8" w:space="0" w:color="000000"/>
              <w:left w:val="nil"/>
              <w:bottom w:val="nil"/>
              <w:right w:val="nil"/>
            </w:tcBorders>
            <w:shd w:val="clear" w:color="auto" w:fill="FFFFFF"/>
            <w:tcMar>
              <w:top w:w="72" w:type="dxa"/>
              <w:left w:w="144" w:type="dxa"/>
              <w:bottom w:w="72" w:type="dxa"/>
              <w:right w:w="144" w:type="dxa"/>
            </w:tcMar>
            <w:hideMark/>
          </w:tcPr>
          <w:p w14:paraId="58AC7221" w14:textId="77777777" w:rsidR="00095724" w:rsidRPr="00861ED2" w:rsidRDefault="00095724" w:rsidP="00675630">
            <w:pPr>
              <w:rPr>
                <w:rFonts w:ascii="Arial" w:hAnsi="Arial" w:cs="Arial"/>
                <w:sz w:val="20"/>
                <w:szCs w:val="20"/>
              </w:rPr>
            </w:pPr>
            <w:r w:rsidRPr="00861ED2">
              <w:rPr>
                <w:rFonts w:ascii="Arial" w:hAnsi="Arial" w:cs="Arial"/>
                <w:sz w:val="20"/>
                <w:szCs w:val="20"/>
              </w:rPr>
              <w:t>III</w:t>
            </w:r>
          </w:p>
        </w:tc>
        <w:tc>
          <w:tcPr>
            <w:tcW w:w="1192"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6AA34B8E" w14:textId="77777777" w:rsidR="00095724" w:rsidRPr="00861ED2" w:rsidRDefault="00095724" w:rsidP="00675630">
            <w:pPr>
              <w:rPr>
                <w:rFonts w:ascii="Arial" w:hAnsi="Arial" w:cs="Arial"/>
                <w:sz w:val="20"/>
                <w:szCs w:val="20"/>
              </w:rPr>
            </w:pPr>
            <w:r w:rsidRPr="00861ED2">
              <w:rPr>
                <w:rFonts w:ascii="Arial" w:hAnsi="Arial" w:cs="Arial"/>
                <w:sz w:val="20"/>
                <w:szCs w:val="20"/>
              </w:rPr>
              <w:t>+</w:t>
            </w:r>
          </w:p>
        </w:tc>
        <w:tc>
          <w:tcPr>
            <w:tcW w:w="1174"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15967230" w14:textId="77777777" w:rsidR="00095724" w:rsidRPr="00861ED2" w:rsidRDefault="00095724" w:rsidP="00675630">
            <w:pPr>
              <w:rPr>
                <w:rFonts w:ascii="Arial" w:hAnsi="Arial" w:cs="Arial"/>
                <w:sz w:val="20"/>
                <w:szCs w:val="20"/>
              </w:rPr>
            </w:pPr>
            <w:r w:rsidRPr="00861ED2">
              <w:rPr>
                <w:rFonts w:ascii="Arial" w:hAnsi="Arial" w:cs="Arial"/>
                <w:sz w:val="20"/>
                <w:szCs w:val="20"/>
              </w:rPr>
              <w:t>.093%</w:t>
            </w:r>
          </w:p>
        </w:tc>
        <w:tc>
          <w:tcPr>
            <w:tcW w:w="1177"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47A7489E" w14:textId="77777777" w:rsidR="00095724" w:rsidRPr="00861ED2" w:rsidRDefault="00095724" w:rsidP="00675630">
            <w:pPr>
              <w:rPr>
                <w:rFonts w:ascii="Arial" w:hAnsi="Arial" w:cs="Arial"/>
                <w:sz w:val="20"/>
                <w:szCs w:val="20"/>
              </w:rPr>
            </w:pPr>
            <w:r w:rsidRPr="00861ED2">
              <w:rPr>
                <w:rFonts w:ascii="Arial" w:hAnsi="Arial" w:cs="Arial"/>
                <w:sz w:val="20"/>
                <w:szCs w:val="20"/>
              </w:rPr>
              <w:t>.13%</w:t>
            </w:r>
          </w:p>
        </w:tc>
        <w:tc>
          <w:tcPr>
            <w:tcW w:w="1174"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7799C38A" w14:textId="77777777" w:rsidR="00095724" w:rsidRPr="00861ED2" w:rsidRDefault="00095724" w:rsidP="00675630">
            <w:pPr>
              <w:rPr>
                <w:rFonts w:ascii="Arial" w:hAnsi="Arial" w:cs="Arial"/>
                <w:sz w:val="20"/>
                <w:szCs w:val="20"/>
              </w:rPr>
            </w:pPr>
            <w:r w:rsidRPr="00861ED2">
              <w:rPr>
                <w:rFonts w:ascii="Arial" w:hAnsi="Arial" w:cs="Arial"/>
                <w:sz w:val="20"/>
                <w:szCs w:val="20"/>
              </w:rPr>
              <w:t>.093%</w:t>
            </w:r>
          </w:p>
        </w:tc>
        <w:tc>
          <w:tcPr>
            <w:tcW w:w="1177"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60EF85C8" w14:textId="77777777" w:rsidR="00095724" w:rsidRPr="00861ED2" w:rsidRDefault="00095724" w:rsidP="00675630">
            <w:pPr>
              <w:rPr>
                <w:rFonts w:ascii="Arial" w:hAnsi="Arial" w:cs="Arial"/>
                <w:sz w:val="20"/>
                <w:szCs w:val="20"/>
              </w:rPr>
            </w:pPr>
            <w:r w:rsidRPr="00861ED2">
              <w:rPr>
                <w:rFonts w:ascii="Arial" w:hAnsi="Arial" w:cs="Arial"/>
                <w:sz w:val="20"/>
                <w:szCs w:val="20"/>
              </w:rPr>
              <w:t>.13%</w:t>
            </w:r>
          </w:p>
        </w:tc>
        <w:tc>
          <w:tcPr>
            <w:tcW w:w="1174"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5FEC4536" w14:textId="77777777" w:rsidR="00095724" w:rsidRPr="00861ED2" w:rsidRDefault="00095724" w:rsidP="00675630">
            <w:pPr>
              <w:rPr>
                <w:rFonts w:ascii="Arial" w:hAnsi="Arial" w:cs="Arial"/>
                <w:sz w:val="20"/>
                <w:szCs w:val="20"/>
              </w:rPr>
            </w:pPr>
            <w:r w:rsidRPr="00861ED2">
              <w:rPr>
                <w:rFonts w:ascii="Arial" w:hAnsi="Arial" w:cs="Arial"/>
                <w:sz w:val="20"/>
                <w:szCs w:val="20"/>
              </w:rPr>
              <w:t>.093%</w:t>
            </w:r>
          </w:p>
        </w:tc>
        <w:tc>
          <w:tcPr>
            <w:tcW w:w="1177"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0628169E" w14:textId="77777777" w:rsidR="00095724" w:rsidRPr="00861ED2" w:rsidRDefault="00095724" w:rsidP="00675630">
            <w:pPr>
              <w:rPr>
                <w:rFonts w:ascii="Arial" w:hAnsi="Arial" w:cs="Arial"/>
                <w:sz w:val="20"/>
                <w:szCs w:val="20"/>
              </w:rPr>
            </w:pPr>
            <w:r w:rsidRPr="00861ED2">
              <w:rPr>
                <w:rFonts w:ascii="Arial" w:hAnsi="Arial" w:cs="Arial"/>
                <w:sz w:val="20"/>
                <w:szCs w:val="20"/>
              </w:rPr>
              <w:t>.13%</w:t>
            </w:r>
          </w:p>
        </w:tc>
      </w:tr>
      <w:tr w:rsidR="00095724" w:rsidRPr="00861ED2" w14:paraId="26CDE27B" w14:textId="77777777" w:rsidTr="00095724">
        <w:tc>
          <w:tcPr>
            <w:tcW w:w="0" w:type="auto"/>
            <w:vMerge/>
            <w:tcBorders>
              <w:top w:val="single" w:sz="8" w:space="0" w:color="000000"/>
              <w:left w:val="nil"/>
              <w:bottom w:val="nil"/>
              <w:right w:val="nil"/>
            </w:tcBorders>
            <w:vAlign w:val="center"/>
            <w:hideMark/>
          </w:tcPr>
          <w:p w14:paraId="33572054" w14:textId="77777777" w:rsidR="00095724" w:rsidRPr="00861ED2" w:rsidRDefault="00095724" w:rsidP="00675630">
            <w:pPr>
              <w:rPr>
                <w:rFonts w:ascii="Arial" w:hAnsi="Arial" w:cs="Arial"/>
                <w:sz w:val="20"/>
                <w:szCs w:val="20"/>
              </w:rPr>
            </w:pPr>
          </w:p>
        </w:tc>
        <w:tc>
          <w:tcPr>
            <w:tcW w:w="1192" w:type="dxa"/>
            <w:tcBorders>
              <w:top w:val="nil"/>
              <w:left w:val="nil"/>
              <w:bottom w:val="nil"/>
              <w:right w:val="nil"/>
            </w:tcBorders>
            <w:shd w:val="clear" w:color="auto" w:fill="FFFFFF"/>
            <w:tcMar>
              <w:top w:w="72" w:type="dxa"/>
              <w:left w:w="144" w:type="dxa"/>
              <w:bottom w:w="72" w:type="dxa"/>
              <w:right w:w="144" w:type="dxa"/>
            </w:tcMar>
            <w:hideMark/>
          </w:tcPr>
          <w:p w14:paraId="307FF66E" w14:textId="77777777" w:rsidR="00095724" w:rsidRPr="00861ED2" w:rsidRDefault="00095724" w:rsidP="00675630">
            <w:pPr>
              <w:rPr>
                <w:rFonts w:ascii="Arial" w:hAnsi="Arial" w:cs="Arial"/>
                <w:sz w:val="20"/>
                <w:szCs w:val="20"/>
              </w:rPr>
            </w:pPr>
            <w:r w:rsidRPr="00861ED2">
              <w:rPr>
                <w:rFonts w:ascii="Arial" w:hAnsi="Arial" w:cs="Arial"/>
                <w:sz w:val="20"/>
                <w:szCs w:val="20"/>
              </w:rPr>
              <w:t>-</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381DB17A" w14:textId="77777777" w:rsidR="00095724" w:rsidRPr="00861ED2" w:rsidRDefault="00095724" w:rsidP="00675630">
            <w:pPr>
              <w:rPr>
                <w:rFonts w:ascii="Arial" w:hAnsi="Arial" w:cs="Arial"/>
                <w:sz w:val="20"/>
                <w:szCs w:val="20"/>
              </w:rPr>
            </w:pPr>
            <w:r w:rsidRPr="00861ED2">
              <w:rPr>
                <w:rFonts w:ascii="Arial" w:hAnsi="Arial" w:cs="Arial"/>
                <w:sz w:val="20"/>
                <w:szCs w:val="20"/>
              </w:rPr>
              <w:t>1.3%</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662E7527" w14:textId="77777777" w:rsidR="00095724" w:rsidRPr="00861ED2" w:rsidRDefault="00095724" w:rsidP="00675630">
            <w:pPr>
              <w:rPr>
                <w:rFonts w:ascii="Arial" w:hAnsi="Arial" w:cs="Arial"/>
                <w:sz w:val="20"/>
                <w:szCs w:val="20"/>
              </w:rPr>
            </w:pPr>
            <w:r w:rsidRPr="00861ED2">
              <w:rPr>
                <w:rFonts w:ascii="Arial" w:hAnsi="Arial" w:cs="Arial"/>
                <w:sz w:val="20"/>
                <w:szCs w:val="20"/>
              </w:rPr>
              <w:t>.38%</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1F513F39" w14:textId="77777777" w:rsidR="00095724" w:rsidRPr="00861ED2" w:rsidRDefault="00095724" w:rsidP="00675630">
            <w:pPr>
              <w:rPr>
                <w:rFonts w:ascii="Arial" w:hAnsi="Arial" w:cs="Arial"/>
                <w:sz w:val="20"/>
                <w:szCs w:val="20"/>
              </w:rPr>
            </w:pPr>
            <w:r w:rsidRPr="00861ED2">
              <w:rPr>
                <w:rFonts w:ascii="Arial" w:hAnsi="Arial" w:cs="Arial"/>
                <w:sz w:val="20"/>
                <w:szCs w:val="20"/>
              </w:rPr>
              <w:t>1.3%</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0AF33052" w14:textId="77777777" w:rsidR="00095724" w:rsidRPr="00861ED2" w:rsidRDefault="00095724" w:rsidP="00675630">
            <w:pPr>
              <w:rPr>
                <w:rFonts w:ascii="Arial" w:hAnsi="Arial" w:cs="Arial"/>
                <w:sz w:val="20"/>
                <w:szCs w:val="20"/>
              </w:rPr>
            </w:pPr>
            <w:r w:rsidRPr="00861ED2">
              <w:rPr>
                <w:rFonts w:ascii="Arial" w:hAnsi="Arial" w:cs="Arial"/>
                <w:sz w:val="20"/>
                <w:szCs w:val="20"/>
              </w:rPr>
              <w:t>.38%</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2E917FA0" w14:textId="77777777" w:rsidR="00095724" w:rsidRPr="00861ED2" w:rsidRDefault="00095724" w:rsidP="00675630">
            <w:pPr>
              <w:rPr>
                <w:rFonts w:ascii="Arial" w:hAnsi="Arial" w:cs="Arial"/>
                <w:sz w:val="20"/>
                <w:szCs w:val="20"/>
              </w:rPr>
            </w:pPr>
            <w:r w:rsidRPr="00861ED2">
              <w:rPr>
                <w:rFonts w:ascii="Arial" w:hAnsi="Arial" w:cs="Arial"/>
                <w:sz w:val="20"/>
                <w:szCs w:val="20"/>
              </w:rPr>
              <w:t>.17%</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1ED9DBB1" w14:textId="77777777" w:rsidR="00095724" w:rsidRPr="00861ED2" w:rsidRDefault="00095724" w:rsidP="00675630">
            <w:pPr>
              <w:rPr>
                <w:rFonts w:ascii="Arial" w:hAnsi="Arial" w:cs="Arial"/>
                <w:sz w:val="20"/>
                <w:szCs w:val="20"/>
              </w:rPr>
            </w:pPr>
            <w:r w:rsidRPr="00861ED2">
              <w:rPr>
                <w:rFonts w:ascii="Arial" w:hAnsi="Arial" w:cs="Arial"/>
                <w:sz w:val="20"/>
                <w:szCs w:val="20"/>
              </w:rPr>
              <w:t>.013%</w:t>
            </w:r>
          </w:p>
        </w:tc>
      </w:tr>
      <w:tr w:rsidR="00095724" w:rsidRPr="00861ED2" w14:paraId="601E5CC7" w14:textId="77777777" w:rsidTr="00095724">
        <w:trPr>
          <w:trHeight w:val="209"/>
        </w:trPr>
        <w:tc>
          <w:tcPr>
            <w:tcW w:w="1035" w:type="dxa"/>
            <w:vMerge w:val="restart"/>
            <w:tcBorders>
              <w:top w:val="nil"/>
              <w:left w:val="nil"/>
              <w:bottom w:val="nil"/>
              <w:right w:val="nil"/>
            </w:tcBorders>
            <w:shd w:val="clear" w:color="auto" w:fill="FFFFFF"/>
            <w:tcMar>
              <w:top w:w="72" w:type="dxa"/>
              <w:left w:w="144" w:type="dxa"/>
              <w:bottom w:w="72" w:type="dxa"/>
              <w:right w:w="144" w:type="dxa"/>
            </w:tcMar>
            <w:hideMark/>
          </w:tcPr>
          <w:p w14:paraId="43763F9B" w14:textId="77777777" w:rsidR="00095724" w:rsidRPr="00861ED2" w:rsidRDefault="00095724" w:rsidP="00675630">
            <w:pPr>
              <w:rPr>
                <w:rFonts w:ascii="Arial" w:hAnsi="Arial" w:cs="Arial"/>
                <w:sz w:val="20"/>
                <w:szCs w:val="20"/>
              </w:rPr>
            </w:pPr>
            <w:r w:rsidRPr="00861ED2">
              <w:rPr>
                <w:rFonts w:ascii="Arial" w:hAnsi="Arial" w:cs="Arial"/>
                <w:sz w:val="20"/>
                <w:szCs w:val="20"/>
              </w:rPr>
              <w:t>IVA</w:t>
            </w:r>
          </w:p>
        </w:tc>
        <w:tc>
          <w:tcPr>
            <w:tcW w:w="1192" w:type="dxa"/>
            <w:tcBorders>
              <w:top w:val="nil"/>
              <w:left w:val="nil"/>
              <w:bottom w:val="nil"/>
              <w:right w:val="nil"/>
            </w:tcBorders>
            <w:shd w:val="clear" w:color="auto" w:fill="FFFFFF"/>
            <w:tcMar>
              <w:top w:w="72" w:type="dxa"/>
              <w:left w:w="144" w:type="dxa"/>
              <w:bottom w:w="72" w:type="dxa"/>
              <w:right w:w="144" w:type="dxa"/>
            </w:tcMar>
            <w:hideMark/>
          </w:tcPr>
          <w:p w14:paraId="2A72FC9E" w14:textId="77777777" w:rsidR="00095724" w:rsidRPr="00861ED2" w:rsidRDefault="00095724" w:rsidP="00675630">
            <w:pPr>
              <w:rPr>
                <w:rFonts w:ascii="Arial" w:hAnsi="Arial" w:cs="Arial"/>
                <w:sz w:val="20"/>
                <w:szCs w:val="20"/>
              </w:rPr>
            </w:pPr>
            <w:r w:rsidRPr="00861ED2">
              <w:rPr>
                <w:rFonts w:ascii="Arial" w:hAnsi="Arial" w:cs="Arial"/>
                <w:sz w:val="20"/>
                <w:szCs w:val="20"/>
              </w:rPr>
              <w:t>+</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1852150A" w14:textId="77777777" w:rsidR="00095724" w:rsidRPr="00861ED2" w:rsidRDefault="00095724" w:rsidP="00675630">
            <w:pPr>
              <w:rPr>
                <w:rFonts w:ascii="Arial" w:hAnsi="Arial" w:cs="Arial"/>
                <w:sz w:val="20"/>
                <w:szCs w:val="20"/>
              </w:rPr>
            </w:pPr>
            <w:r w:rsidRPr="00861ED2">
              <w:rPr>
                <w:rFonts w:ascii="Arial" w:hAnsi="Arial" w:cs="Arial"/>
                <w:sz w:val="20"/>
                <w:szCs w:val="20"/>
              </w:rPr>
              <w:t>.29%</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1FFDD9BB" w14:textId="77777777" w:rsidR="00095724" w:rsidRPr="00861ED2" w:rsidRDefault="00095724" w:rsidP="00675630">
            <w:pPr>
              <w:rPr>
                <w:rFonts w:ascii="Arial" w:hAnsi="Arial" w:cs="Arial"/>
                <w:sz w:val="20"/>
                <w:szCs w:val="20"/>
              </w:rPr>
            </w:pPr>
            <w:r w:rsidRPr="00861ED2">
              <w:rPr>
                <w:rFonts w:ascii="Arial" w:hAnsi="Arial" w:cs="Arial"/>
                <w:sz w:val="20"/>
                <w:szCs w:val="20"/>
              </w:rPr>
              <w:t>.41%</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68969E24" w14:textId="77777777" w:rsidR="00095724" w:rsidRPr="00861ED2" w:rsidRDefault="00095724" w:rsidP="00675630">
            <w:pPr>
              <w:rPr>
                <w:rFonts w:ascii="Arial" w:hAnsi="Arial" w:cs="Arial"/>
                <w:sz w:val="20"/>
                <w:szCs w:val="20"/>
              </w:rPr>
            </w:pPr>
            <w:r w:rsidRPr="00861ED2">
              <w:rPr>
                <w:rFonts w:ascii="Arial" w:hAnsi="Arial" w:cs="Arial"/>
                <w:sz w:val="20"/>
                <w:szCs w:val="20"/>
              </w:rPr>
              <w:t>.29%</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753DC8A8" w14:textId="77777777" w:rsidR="00095724" w:rsidRPr="00861ED2" w:rsidRDefault="00095724" w:rsidP="00675630">
            <w:pPr>
              <w:rPr>
                <w:rFonts w:ascii="Arial" w:hAnsi="Arial" w:cs="Arial"/>
                <w:sz w:val="20"/>
                <w:szCs w:val="20"/>
              </w:rPr>
            </w:pPr>
            <w:r w:rsidRPr="00861ED2">
              <w:rPr>
                <w:rFonts w:ascii="Arial" w:hAnsi="Arial" w:cs="Arial"/>
                <w:sz w:val="20"/>
                <w:szCs w:val="20"/>
              </w:rPr>
              <w:t>.41%</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5E47BF5A" w14:textId="77777777" w:rsidR="00095724" w:rsidRPr="00861ED2" w:rsidRDefault="00095724" w:rsidP="00675630">
            <w:pPr>
              <w:rPr>
                <w:rFonts w:ascii="Arial" w:hAnsi="Arial" w:cs="Arial"/>
                <w:sz w:val="20"/>
                <w:szCs w:val="20"/>
              </w:rPr>
            </w:pPr>
            <w:r w:rsidRPr="00861ED2">
              <w:rPr>
                <w:rFonts w:ascii="Arial" w:hAnsi="Arial" w:cs="Arial"/>
                <w:sz w:val="20"/>
                <w:szCs w:val="20"/>
              </w:rPr>
              <w:t>.012%</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0184D650" w14:textId="77777777" w:rsidR="00095724" w:rsidRPr="00861ED2" w:rsidRDefault="00095724" w:rsidP="00675630">
            <w:pPr>
              <w:rPr>
                <w:rFonts w:ascii="Arial" w:hAnsi="Arial" w:cs="Arial"/>
                <w:sz w:val="20"/>
                <w:szCs w:val="20"/>
              </w:rPr>
            </w:pPr>
            <w:r w:rsidRPr="00861ED2">
              <w:rPr>
                <w:rFonts w:ascii="Arial" w:hAnsi="Arial" w:cs="Arial"/>
                <w:sz w:val="20"/>
                <w:szCs w:val="20"/>
              </w:rPr>
              <w:t>.17%</w:t>
            </w:r>
          </w:p>
        </w:tc>
      </w:tr>
      <w:tr w:rsidR="00095724" w:rsidRPr="00861ED2" w14:paraId="39EC4A9F" w14:textId="77777777" w:rsidTr="00095724">
        <w:tc>
          <w:tcPr>
            <w:tcW w:w="0" w:type="auto"/>
            <w:vMerge/>
            <w:tcBorders>
              <w:top w:val="nil"/>
              <w:left w:val="nil"/>
              <w:bottom w:val="nil"/>
              <w:right w:val="nil"/>
            </w:tcBorders>
            <w:vAlign w:val="center"/>
            <w:hideMark/>
          </w:tcPr>
          <w:p w14:paraId="07DA3476" w14:textId="77777777" w:rsidR="00095724" w:rsidRPr="00861ED2" w:rsidRDefault="00095724" w:rsidP="00675630">
            <w:pPr>
              <w:rPr>
                <w:rFonts w:ascii="Arial" w:hAnsi="Arial" w:cs="Arial"/>
                <w:sz w:val="20"/>
                <w:szCs w:val="20"/>
              </w:rPr>
            </w:pPr>
          </w:p>
        </w:tc>
        <w:tc>
          <w:tcPr>
            <w:tcW w:w="1192" w:type="dxa"/>
            <w:tcBorders>
              <w:top w:val="nil"/>
              <w:left w:val="nil"/>
              <w:bottom w:val="nil"/>
              <w:right w:val="nil"/>
            </w:tcBorders>
            <w:shd w:val="clear" w:color="auto" w:fill="FFFFFF"/>
            <w:tcMar>
              <w:top w:w="72" w:type="dxa"/>
              <w:left w:w="144" w:type="dxa"/>
              <w:bottom w:w="72" w:type="dxa"/>
              <w:right w:w="144" w:type="dxa"/>
            </w:tcMar>
            <w:hideMark/>
          </w:tcPr>
          <w:p w14:paraId="591B3C9A" w14:textId="77777777" w:rsidR="00095724" w:rsidRPr="00861ED2" w:rsidRDefault="00095724" w:rsidP="00675630">
            <w:pPr>
              <w:rPr>
                <w:rFonts w:ascii="Arial" w:hAnsi="Arial" w:cs="Arial"/>
                <w:sz w:val="20"/>
                <w:szCs w:val="20"/>
              </w:rPr>
            </w:pPr>
            <w:r w:rsidRPr="00861ED2">
              <w:rPr>
                <w:rFonts w:ascii="Arial" w:hAnsi="Arial" w:cs="Arial"/>
                <w:sz w:val="20"/>
                <w:szCs w:val="20"/>
              </w:rPr>
              <w:t>-</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04F0C075" w14:textId="77777777" w:rsidR="00095724" w:rsidRPr="00861ED2" w:rsidRDefault="00095724" w:rsidP="00675630">
            <w:pPr>
              <w:rPr>
                <w:rFonts w:ascii="Arial" w:hAnsi="Arial" w:cs="Arial"/>
                <w:sz w:val="20"/>
                <w:szCs w:val="20"/>
              </w:rPr>
            </w:pPr>
            <w:r w:rsidRPr="00861ED2">
              <w:rPr>
                <w:rFonts w:ascii="Arial" w:hAnsi="Arial" w:cs="Arial"/>
                <w:sz w:val="20"/>
                <w:szCs w:val="20"/>
              </w:rPr>
              <w:t>1.7%</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2313FA2F" w14:textId="77777777" w:rsidR="00095724" w:rsidRPr="00861ED2" w:rsidRDefault="00095724" w:rsidP="00675630">
            <w:pPr>
              <w:rPr>
                <w:rFonts w:ascii="Arial" w:hAnsi="Arial" w:cs="Arial"/>
                <w:sz w:val="20"/>
                <w:szCs w:val="20"/>
              </w:rPr>
            </w:pPr>
            <w:r w:rsidRPr="00861ED2">
              <w:rPr>
                <w:rFonts w:ascii="Arial" w:hAnsi="Arial" w:cs="Arial"/>
                <w:sz w:val="20"/>
                <w:szCs w:val="20"/>
              </w:rPr>
              <w:t>.51%</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5071A0F5" w14:textId="77777777" w:rsidR="00095724" w:rsidRPr="00861ED2" w:rsidRDefault="00095724" w:rsidP="00675630">
            <w:pPr>
              <w:rPr>
                <w:rFonts w:ascii="Arial" w:hAnsi="Arial" w:cs="Arial"/>
                <w:sz w:val="20"/>
                <w:szCs w:val="20"/>
              </w:rPr>
            </w:pPr>
            <w:r w:rsidRPr="00861ED2">
              <w:rPr>
                <w:rFonts w:ascii="Arial" w:hAnsi="Arial" w:cs="Arial"/>
                <w:sz w:val="20"/>
                <w:szCs w:val="20"/>
              </w:rPr>
              <w:t>1.7%</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3238C693" w14:textId="77777777" w:rsidR="00095724" w:rsidRPr="00861ED2" w:rsidRDefault="00095724" w:rsidP="00675630">
            <w:pPr>
              <w:rPr>
                <w:rFonts w:ascii="Arial" w:hAnsi="Arial" w:cs="Arial"/>
                <w:sz w:val="20"/>
                <w:szCs w:val="20"/>
              </w:rPr>
            </w:pPr>
            <w:r w:rsidRPr="00861ED2">
              <w:rPr>
                <w:rFonts w:ascii="Arial" w:hAnsi="Arial" w:cs="Arial"/>
                <w:sz w:val="20"/>
                <w:szCs w:val="20"/>
              </w:rPr>
              <w:t>.51%</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4726BAA3" w14:textId="77777777" w:rsidR="00095724" w:rsidRPr="00861ED2" w:rsidRDefault="00095724" w:rsidP="00675630">
            <w:pPr>
              <w:rPr>
                <w:rFonts w:ascii="Arial" w:hAnsi="Arial" w:cs="Arial"/>
                <w:sz w:val="20"/>
                <w:szCs w:val="20"/>
              </w:rPr>
            </w:pPr>
            <w:r w:rsidRPr="00861ED2">
              <w:rPr>
                <w:rFonts w:ascii="Arial" w:hAnsi="Arial" w:cs="Arial"/>
                <w:sz w:val="20"/>
                <w:szCs w:val="20"/>
              </w:rPr>
              <w:t>.73%</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33D2D2C3" w14:textId="77777777" w:rsidR="00095724" w:rsidRPr="00861ED2" w:rsidRDefault="00095724" w:rsidP="00675630">
            <w:pPr>
              <w:rPr>
                <w:rFonts w:ascii="Arial" w:hAnsi="Arial" w:cs="Arial"/>
                <w:sz w:val="20"/>
                <w:szCs w:val="20"/>
              </w:rPr>
            </w:pPr>
            <w:r w:rsidRPr="00861ED2">
              <w:rPr>
                <w:rFonts w:ascii="Arial" w:hAnsi="Arial" w:cs="Arial"/>
                <w:sz w:val="20"/>
                <w:szCs w:val="20"/>
              </w:rPr>
              <w:t>.16%</w:t>
            </w:r>
          </w:p>
        </w:tc>
      </w:tr>
      <w:tr w:rsidR="00095724" w:rsidRPr="00861ED2" w14:paraId="060E6380" w14:textId="77777777" w:rsidTr="00095724">
        <w:tc>
          <w:tcPr>
            <w:tcW w:w="1035" w:type="dxa"/>
            <w:vMerge w:val="restart"/>
            <w:tcBorders>
              <w:top w:val="nil"/>
              <w:left w:val="nil"/>
              <w:bottom w:val="single" w:sz="8" w:space="0" w:color="000000"/>
              <w:right w:val="nil"/>
            </w:tcBorders>
            <w:shd w:val="clear" w:color="auto" w:fill="FFFFFF"/>
            <w:tcMar>
              <w:top w:w="72" w:type="dxa"/>
              <w:left w:w="144" w:type="dxa"/>
              <w:bottom w:w="72" w:type="dxa"/>
              <w:right w:w="144" w:type="dxa"/>
            </w:tcMar>
            <w:hideMark/>
          </w:tcPr>
          <w:p w14:paraId="38F7900D" w14:textId="77777777" w:rsidR="00095724" w:rsidRPr="00861ED2" w:rsidRDefault="00095724" w:rsidP="00675630">
            <w:pPr>
              <w:rPr>
                <w:rFonts w:ascii="Arial" w:hAnsi="Arial" w:cs="Arial"/>
                <w:sz w:val="20"/>
                <w:szCs w:val="20"/>
              </w:rPr>
            </w:pPr>
            <w:r w:rsidRPr="00861ED2">
              <w:rPr>
                <w:rFonts w:ascii="Arial" w:hAnsi="Arial" w:cs="Arial"/>
                <w:sz w:val="20"/>
                <w:szCs w:val="20"/>
              </w:rPr>
              <w:t>IVB</w:t>
            </w:r>
          </w:p>
        </w:tc>
        <w:tc>
          <w:tcPr>
            <w:tcW w:w="1192" w:type="dxa"/>
            <w:tcBorders>
              <w:top w:val="nil"/>
              <w:left w:val="nil"/>
              <w:bottom w:val="nil"/>
              <w:right w:val="nil"/>
            </w:tcBorders>
            <w:shd w:val="clear" w:color="auto" w:fill="FFFFFF"/>
            <w:tcMar>
              <w:top w:w="72" w:type="dxa"/>
              <w:left w:w="144" w:type="dxa"/>
              <w:bottom w:w="72" w:type="dxa"/>
              <w:right w:w="144" w:type="dxa"/>
            </w:tcMar>
            <w:hideMark/>
          </w:tcPr>
          <w:p w14:paraId="0C5E17D8" w14:textId="77777777" w:rsidR="00095724" w:rsidRPr="00861ED2" w:rsidRDefault="00095724" w:rsidP="00675630">
            <w:pPr>
              <w:rPr>
                <w:rFonts w:ascii="Arial" w:hAnsi="Arial" w:cs="Arial"/>
                <w:sz w:val="20"/>
                <w:szCs w:val="20"/>
              </w:rPr>
            </w:pPr>
            <w:r w:rsidRPr="00861ED2">
              <w:rPr>
                <w:rFonts w:ascii="Arial" w:hAnsi="Arial" w:cs="Arial"/>
                <w:sz w:val="20"/>
                <w:szCs w:val="20"/>
              </w:rPr>
              <w:t>+</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10C57A23" w14:textId="77777777" w:rsidR="00095724" w:rsidRPr="00861ED2" w:rsidRDefault="00095724" w:rsidP="00675630">
            <w:pPr>
              <w:rPr>
                <w:rFonts w:ascii="Arial" w:hAnsi="Arial" w:cs="Arial"/>
                <w:sz w:val="20"/>
                <w:szCs w:val="20"/>
              </w:rPr>
            </w:pPr>
            <w:r w:rsidRPr="00861ED2">
              <w:rPr>
                <w:rFonts w:ascii="Arial" w:hAnsi="Arial" w:cs="Arial"/>
                <w:sz w:val="20"/>
                <w:szCs w:val="20"/>
              </w:rPr>
              <w:t>.88%</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02EB3AD4" w14:textId="77777777" w:rsidR="00095724" w:rsidRPr="00861ED2" w:rsidRDefault="00095724" w:rsidP="00675630">
            <w:pPr>
              <w:rPr>
                <w:rFonts w:ascii="Arial" w:hAnsi="Arial" w:cs="Arial"/>
                <w:sz w:val="20"/>
                <w:szCs w:val="20"/>
              </w:rPr>
            </w:pPr>
            <w:r w:rsidRPr="00861ED2">
              <w:rPr>
                <w:rFonts w:ascii="Arial" w:hAnsi="Arial" w:cs="Arial"/>
                <w:sz w:val="20"/>
                <w:szCs w:val="20"/>
              </w:rPr>
              <w:t>1.2%</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153C8DA4" w14:textId="77777777" w:rsidR="00095724" w:rsidRPr="00861ED2" w:rsidRDefault="00095724" w:rsidP="00675630">
            <w:pPr>
              <w:rPr>
                <w:rFonts w:ascii="Arial" w:hAnsi="Arial" w:cs="Arial"/>
                <w:sz w:val="20"/>
                <w:szCs w:val="20"/>
              </w:rPr>
            </w:pPr>
            <w:r w:rsidRPr="00861ED2">
              <w:rPr>
                <w:rFonts w:ascii="Arial" w:hAnsi="Arial" w:cs="Arial"/>
                <w:sz w:val="20"/>
                <w:szCs w:val="20"/>
              </w:rPr>
              <w:t>.88%</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4F129004" w14:textId="77777777" w:rsidR="00095724" w:rsidRPr="00861ED2" w:rsidRDefault="00095724" w:rsidP="00675630">
            <w:pPr>
              <w:rPr>
                <w:rFonts w:ascii="Arial" w:hAnsi="Arial" w:cs="Arial"/>
                <w:sz w:val="20"/>
                <w:szCs w:val="20"/>
              </w:rPr>
            </w:pPr>
            <w:r w:rsidRPr="00861ED2">
              <w:rPr>
                <w:rFonts w:ascii="Arial" w:hAnsi="Arial" w:cs="Arial"/>
                <w:sz w:val="20"/>
                <w:szCs w:val="20"/>
              </w:rPr>
              <w:t>1.2%</w:t>
            </w:r>
          </w:p>
        </w:tc>
        <w:tc>
          <w:tcPr>
            <w:tcW w:w="1174" w:type="dxa"/>
            <w:tcBorders>
              <w:top w:val="nil"/>
              <w:left w:val="nil"/>
              <w:bottom w:val="nil"/>
              <w:right w:val="nil"/>
            </w:tcBorders>
            <w:shd w:val="clear" w:color="auto" w:fill="FFFFFF"/>
            <w:tcMar>
              <w:top w:w="72" w:type="dxa"/>
              <w:left w:w="144" w:type="dxa"/>
              <w:bottom w:w="72" w:type="dxa"/>
              <w:right w:w="144" w:type="dxa"/>
            </w:tcMar>
            <w:hideMark/>
          </w:tcPr>
          <w:p w14:paraId="162BC638" w14:textId="77777777" w:rsidR="00095724" w:rsidRPr="00861ED2" w:rsidRDefault="00095724" w:rsidP="00675630">
            <w:pPr>
              <w:rPr>
                <w:rFonts w:ascii="Arial" w:hAnsi="Arial" w:cs="Arial"/>
                <w:sz w:val="20"/>
                <w:szCs w:val="20"/>
              </w:rPr>
            </w:pPr>
            <w:r w:rsidRPr="00861ED2">
              <w:rPr>
                <w:rFonts w:ascii="Arial" w:hAnsi="Arial" w:cs="Arial"/>
                <w:sz w:val="20"/>
                <w:szCs w:val="20"/>
              </w:rPr>
              <w:t>.18%</w:t>
            </w:r>
          </w:p>
        </w:tc>
        <w:tc>
          <w:tcPr>
            <w:tcW w:w="1177" w:type="dxa"/>
            <w:tcBorders>
              <w:top w:val="nil"/>
              <w:left w:val="nil"/>
              <w:bottom w:val="nil"/>
              <w:right w:val="nil"/>
            </w:tcBorders>
            <w:shd w:val="clear" w:color="auto" w:fill="FFFFFF"/>
            <w:tcMar>
              <w:top w:w="72" w:type="dxa"/>
              <w:left w:w="144" w:type="dxa"/>
              <w:bottom w:w="72" w:type="dxa"/>
              <w:right w:w="144" w:type="dxa"/>
            </w:tcMar>
            <w:hideMark/>
          </w:tcPr>
          <w:p w14:paraId="286000E0" w14:textId="77777777" w:rsidR="00095724" w:rsidRPr="00861ED2" w:rsidRDefault="00095724" w:rsidP="00675630">
            <w:pPr>
              <w:rPr>
                <w:rFonts w:ascii="Arial" w:hAnsi="Arial" w:cs="Arial"/>
                <w:sz w:val="20"/>
                <w:szCs w:val="20"/>
              </w:rPr>
            </w:pPr>
            <w:r w:rsidRPr="00861ED2">
              <w:rPr>
                <w:rFonts w:ascii="Arial" w:hAnsi="Arial" w:cs="Arial"/>
                <w:sz w:val="20"/>
                <w:szCs w:val="20"/>
              </w:rPr>
              <w:t>.24%</w:t>
            </w:r>
          </w:p>
        </w:tc>
      </w:tr>
      <w:tr w:rsidR="00095724" w:rsidRPr="00861ED2" w14:paraId="478ED4C7" w14:textId="77777777" w:rsidTr="00095724">
        <w:trPr>
          <w:trHeight w:val="353"/>
        </w:trPr>
        <w:tc>
          <w:tcPr>
            <w:tcW w:w="0" w:type="auto"/>
            <w:vMerge/>
            <w:tcBorders>
              <w:top w:val="nil"/>
              <w:left w:val="nil"/>
              <w:bottom w:val="single" w:sz="8" w:space="0" w:color="000000"/>
              <w:right w:val="nil"/>
            </w:tcBorders>
            <w:vAlign w:val="center"/>
            <w:hideMark/>
          </w:tcPr>
          <w:p w14:paraId="710BDBF8" w14:textId="77777777" w:rsidR="00095724" w:rsidRPr="00861ED2" w:rsidRDefault="00095724" w:rsidP="00675630">
            <w:pPr>
              <w:rPr>
                <w:rFonts w:ascii="Arial" w:hAnsi="Arial" w:cs="Arial"/>
                <w:sz w:val="20"/>
                <w:szCs w:val="20"/>
              </w:rPr>
            </w:pPr>
          </w:p>
        </w:tc>
        <w:tc>
          <w:tcPr>
            <w:tcW w:w="1192"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6F02BB51" w14:textId="77777777" w:rsidR="00095724" w:rsidRPr="00861ED2" w:rsidRDefault="00095724" w:rsidP="00675630">
            <w:pPr>
              <w:rPr>
                <w:rFonts w:ascii="Arial" w:hAnsi="Arial" w:cs="Arial"/>
                <w:sz w:val="20"/>
                <w:szCs w:val="20"/>
              </w:rPr>
            </w:pPr>
            <w:r w:rsidRPr="00861ED2">
              <w:rPr>
                <w:rFonts w:ascii="Arial" w:hAnsi="Arial" w:cs="Arial"/>
                <w:sz w:val="20"/>
                <w:szCs w:val="20"/>
              </w:rPr>
              <w:t>-</w:t>
            </w:r>
          </w:p>
        </w:tc>
        <w:tc>
          <w:tcPr>
            <w:tcW w:w="1174"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56D906F0" w14:textId="77777777" w:rsidR="00095724" w:rsidRPr="00861ED2" w:rsidRDefault="00095724" w:rsidP="00675630">
            <w:pPr>
              <w:rPr>
                <w:rFonts w:ascii="Arial" w:hAnsi="Arial" w:cs="Arial"/>
                <w:sz w:val="20"/>
                <w:szCs w:val="20"/>
              </w:rPr>
            </w:pPr>
            <w:r w:rsidRPr="00861ED2">
              <w:rPr>
                <w:rFonts w:ascii="Arial" w:hAnsi="Arial" w:cs="Arial"/>
                <w:sz w:val="20"/>
                <w:szCs w:val="20"/>
              </w:rPr>
              <w:t>4.1%</w:t>
            </w:r>
          </w:p>
        </w:tc>
        <w:tc>
          <w:tcPr>
            <w:tcW w:w="1177"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5EEC1069" w14:textId="77777777" w:rsidR="00095724" w:rsidRPr="00861ED2" w:rsidRDefault="00095724" w:rsidP="00675630">
            <w:pPr>
              <w:rPr>
                <w:rFonts w:ascii="Arial" w:hAnsi="Arial" w:cs="Arial"/>
                <w:sz w:val="20"/>
                <w:szCs w:val="20"/>
              </w:rPr>
            </w:pPr>
            <w:r w:rsidRPr="00861ED2">
              <w:rPr>
                <w:rFonts w:ascii="Arial" w:hAnsi="Arial" w:cs="Arial"/>
                <w:sz w:val="20"/>
                <w:szCs w:val="20"/>
              </w:rPr>
              <w:t>1.2%</w:t>
            </w:r>
          </w:p>
        </w:tc>
        <w:tc>
          <w:tcPr>
            <w:tcW w:w="1174"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213E6337" w14:textId="77777777" w:rsidR="00095724" w:rsidRPr="00861ED2" w:rsidRDefault="00095724" w:rsidP="00675630">
            <w:pPr>
              <w:rPr>
                <w:rFonts w:ascii="Arial" w:hAnsi="Arial" w:cs="Arial"/>
                <w:sz w:val="20"/>
                <w:szCs w:val="20"/>
              </w:rPr>
            </w:pPr>
            <w:r w:rsidRPr="00861ED2">
              <w:rPr>
                <w:rFonts w:ascii="Arial" w:hAnsi="Arial" w:cs="Arial"/>
                <w:sz w:val="20"/>
                <w:szCs w:val="20"/>
              </w:rPr>
              <w:t>2.9%</w:t>
            </w:r>
          </w:p>
        </w:tc>
        <w:tc>
          <w:tcPr>
            <w:tcW w:w="1177"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7170EB00" w14:textId="77777777" w:rsidR="00095724" w:rsidRPr="00861ED2" w:rsidRDefault="00095724" w:rsidP="00675630">
            <w:pPr>
              <w:rPr>
                <w:rFonts w:ascii="Arial" w:hAnsi="Arial" w:cs="Arial"/>
                <w:sz w:val="20"/>
                <w:szCs w:val="20"/>
              </w:rPr>
            </w:pPr>
            <w:r w:rsidRPr="00861ED2">
              <w:rPr>
                <w:rFonts w:ascii="Arial" w:hAnsi="Arial" w:cs="Arial"/>
                <w:sz w:val="20"/>
                <w:szCs w:val="20"/>
              </w:rPr>
              <w:t>.88%</w:t>
            </w:r>
          </w:p>
        </w:tc>
        <w:tc>
          <w:tcPr>
            <w:tcW w:w="1174"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13F45DC8" w14:textId="77777777" w:rsidR="00095724" w:rsidRPr="00861ED2" w:rsidRDefault="00095724" w:rsidP="00675630">
            <w:pPr>
              <w:rPr>
                <w:rFonts w:ascii="Arial" w:hAnsi="Arial" w:cs="Arial"/>
                <w:sz w:val="20"/>
                <w:szCs w:val="20"/>
              </w:rPr>
            </w:pPr>
            <w:r w:rsidRPr="00861ED2">
              <w:rPr>
                <w:rFonts w:ascii="Arial" w:hAnsi="Arial" w:cs="Arial"/>
                <w:sz w:val="20"/>
                <w:szCs w:val="20"/>
              </w:rPr>
              <w:t>.84%</w:t>
            </w:r>
          </w:p>
        </w:tc>
        <w:tc>
          <w:tcPr>
            <w:tcW w:w="1177"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20BE8206" w14:textId="77777777" w:rsidR="00095724" w:rsidRPr="00861ED2" w:rsidRDefault="00095724" w:rsidP="00675630">
            <w:pPr>
              <w:rPr>
                <w:rFonts w:ascii="Arial" w:hAnsi="Arial" w:cs="Arial"/>
                <w:sz w:val="20"/>
                <w:szCs w:val="20"/>
              </w:rPr>
            </w:pPr>
            <w:r w:rsidRPr="00861ED2">
              <w:rPr>
                <w:rFonts w:ascii="Arial" w:hAnsi="Arial" w:cs="Arial"/>
                <w:sz w:val="20"/>
                <w:szCs w:val="20"/>
              </w:rPr>
              <w:t>.062%</w:t>
            </w:r>
          </w:p>
        </w:tc>
      </w:tr>
      <w:tr w:rsidR="00095724" w:rsidRPr="005A316A" w14:paraId="564350EC" w14:textId="77777777" w:rsidTr="00675630">
        <w:trPr>
          <w:trHeight w:val="353"/>
        </w:trPr>
        <w:tc>
          <w:tcPr>
            <w:tcW w:w="9280" w:type="dxa"/>
            <w:gridSpan w:val="8"/>
            <w:tcBorders>
              <w:top w:val="single" w:sz="8" w:space="0" w:color="000000"/>
              <w:left w:val="nil"/>
              <w:bottom w:val="nil"/>
              <w:right w:val="nil"/>
            </w:tcBorders>
            <w:shd w:val="clear" w:color="auto" w:fill="FFFFFF"/>
            <w:tcMar>
              <w:top w:w="72" w:type="dxa"/>
              <w:left w:w="144" w:type="dxa"/>
              <w:bottom w:w="72" w:type="dxa"/>
              <w:right w:w="144" w:type="dxa"/>
            </w:tcMar>
            <w:hideMark/>
          </w:tcPr>
          <w:p w14:paraId="4D85C3C3" w14:textId="77777777" w:rsidR="00095724" w:rsidRPr="00861ED2" w:rsidRDefault="00095724" w:rsidP="00861ED2">
            <w:pPr>
              <w:spacing w:line="240" w:lineRule="auto"/>
              <w:rPr>
                <w:rFonts w:ascii="Arial" w:hAnsi="Arial" w:cs="Arial"/>
                <w:sz w:val="16"/>
                <w:szCs w:val="16"/>
              </w:rPr>
            </w:pPr>
            <w:r w:rsidRPr="00861ED2">
              <w:rPr>
                <w:rFonts w:ascii="Arial" w:hAnsi="Arial" w:cs="Arial"/>
                <w:sz w:val="16"/>
                <w:szCs w:val="16"/>
              </w:rPr>
              <w:t>P(LR): per month probability of locoregional recurrence</w:t>
            </w:r>
          </w:p>
          <w:p w14:paraId="1FB3F824" w14:textId="77777777" w:rsidR="00095724" w:rsidRPr="00861ED2" w:rsidRDefault="00095724" w:rsidP="00861ED2">
            <w:pPr>
              <w:spacing w:line="240" w:lineRule="auto"/>
              <w:rPr>
                <w:rFonts w:ascii="Arial" w:hAnsi="Arial" w:cs="Arial"/>
                <w:sz w:val="20"/>
                <w:szCs w:val="20"/>
              </w:rPr>
            </w:pPr>
            <w:r w:rsidRPr="00861ED2">
              <w:rPr>
                <w:rFonts w:ascii="Arial" w:hAnsi="Arial" w:cs="Arial"/>
                <w:sz w:val="16"/>
                <w:szCs w:val="16"/>
              </w:rPr>
              <w:t>P(mets): per month probability of metastatic disease</w:t>
            </w:r>
          </w:p>
        </w:tc>
      </w:tr>
    </w:tbl>
    <w:p w14:paraId="7CCDEE94" w14:textId="0EF5A815" w:rsidR="00861ED2" w:rsidRDefault="00861ED2"/>
    <w:p w14:paraId="013DE022" w14:textId="77777777" w:rsidR="00861ED2" w:rsidRDefault="00861ED2">
      <w:r>
        <w:br w:type="page"/>
      </w:r>
    </w:p>
    <w:p w14:paraId="222F62FF" w14:textId="77777777" w:rsidR="005364DD" w:rsidRDefault="005364DD"/>
    <w:tbl>
      <w:tblPr>
        <w:tblW w:w="8773" w:type="dxa"/>
        <w:tblCellMar>
          <w:left w:w="0" w:type="dxa"/>
          <w:right w:w="0" w:type="dxa"/>
        </w:tblCellMar>
        <w:tblLook w:val="0420" w:firstRow="1" w:lastRow="0" w:firstColumn="0" w:lastColumn="0" w:noHBand="0" w:noVBand="1"/>
      </w:tblPr>
      <w:tblGrid>
        <w:gridCol w:w="1295"/>
        <w:gridCol w:w="1315"/>
        <w:gridCol w:w="1203"/>
        <w:gridCol w:w="1221"/>
        <w:gridCol w:w="1315"/>
        <w:gridCol w:w="1203"/>
        <w:gridCol w:w="1221"/>
      </w:tblGrid>
      <w:tr w:rsidR="00095724" w:rsidRPr="00B17D47" w14:paraId="7F52254D" w14:textId="77777777" w:rsidTr="00675630">
        <w:trPr>
          <w:trHeight w:val="500"/>
        </w:trPr>
        <w:tc>
          <w:tcPr>
            <w:tcW w:w="8773" w:type="dxa"/>
            <w:gridSpan w:val="7"/>
            <w:tcBorders>
              <w:top w:val="nil"/>
              <w:left w:val="nil"/>
              <w:bottom w:val="single" w:sz="8" w:space="0" w:color="000000"/>
              <w:right w:val="single" w:sz="8" w:space="0" w:color="FFFFFF"/>
            </w:tcBorders>
            <w:shd w:val="clear" w:color="auto" w:fill="auto"/>
            <w:tcMar>
              <w:top w:w="72" w:type="dxa"/>
              <w:left w:w="144" w:type="dxa"/>
              <w:bottom w:w="72" w:type="dxa"/>
              <w:right w:w="144" w:type="dxa"/>
            </w:tcMar>
            <w:hideMark/>
          </w:tcPr>
          <w:p w14:paraId="47616AFC" w14:textId="77777777" w:rsidR="00095724" w:rsidRPr="00861ED2" w:rsidRDefault="00095724" w:rsidP="00675630">
            <w:pPr>
              <w:rPr>
                <w:rFonts w:ascii="Arial" w:hAnsi="Arial" w:cs="Arial"/>
                <w:b/>
                <w:bCs/>
                <w:sz w:val="24"/>
                <w:szCs w:val="24"/>
              </w:rPr>
            </w:pPr>
            <w:r w:rsidRPr="00861ED2">
              <w:rPr>
                <w:rFonts w:ascii="Arial" w:hAnsi="Arial" w:cs="Arial"/>
                <w:b/>
                <w:bCs/>
                <w:sz w:val="24"/>
                <w:szCs w:val="24"/>
              </w:rPr>
              <w:t>eTable 2. Performance of Reimbursement-Based Schedule (RBS) vs Optimized Regimens</w:t>
            </w:r>
          </w:p>
        </w:tc>
      </w:tr>
      <w:tr w:rsidR="00095724" w:rsidRPr="00B17D47" w14:paraId="7CC9A38F" w14:textId="77777777" w:rsidTr="00675630">
        <w:trPr>
          <w:trHeight w:val="500"/>
        </w:trPr>
        <w:tc>
          <w:tcPr>
            <w:tcW w:w="129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0D6E006C" w14:textId="77777777" w:rsidR="00095724" w:rsidRPr="00861ED2" w:rsidRDefault="00095724" w:rsidP="00675630">
            <w:pPr>
              <w:rPr>
                <w:rFonts w:ascii="Arial" w:hAnsi="Arial" w:cs="Arial"/>
                <w:sz w:val="20"/>
                <w:szCs w:val="20"/>
              </w:rPr>
            </w:pPr>
            <w:r w:rsidRPr="00861ED2">
              <w:rPr>
                <w:rFonts w:ascii="Arial" w:hAnsi="Arial" w:cs="Arial"/>
                <w:sz w:val="20"/>
                <w:szCs w:val="20"/>
              </w:rPr>
              <w:t>cohort</w:t>
            </w:r>
          </w:p>
        </w:tc>
        <w:tc>
          <w:tcPr>
            <w:tcW w:w="3739" w:type="dxa"/>
            <w:gridSpan w:val="3"/>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5012F60A" w14:textId="77777777" w:rsidR="00095724" w:rsidRPr="00861ED2" w:rsidRDefault="00095724" w:rsidP="00675630">
            <w:pPr>
              <w:jc w:val="center"/>
              <w:rPr>
                <w:rFonts w:ascii="Arial" w:hAnsi="Arial" w:cs="Arial"/>
                <w:sz w:val="20"/>
                <w:szCs w:val="20"/>
              </w:rPr>
            </w:pPr>
            <w:r w:rsidRPr="00861ED2">
              <w:rPr>
                <w:rFonts w:ascii="Arial" w:hAnsi="Arial" w:cs="Arial"/>
                <w:sz w:val="20"/>
                <w:szCs w:val="20"/>
              </w:rPr>
              <w:t>RBS</w:t>
            </w:r>
          </w:p>
        </w:tc>
        <w:tc>
          <w:tcPr>
            <w:tcW w:w="3739" w:type="dxa"/>
            <w:gridSpan w:val="3"/>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0275D06D" w14:textId="77777777" w:rsidR="00095724" w:rsidRPr="00861ED2" w:rsidRDefault="00095724" w:rsidP="00675630">
            <w:pPr>
              <w:jc w:val="center"/>
              <w:rPr>
                <w:rFonts w:ascii="Arial" w:hAnsi="Arial" w:cs="Arial"/>
                <w:sz w:val="20"/>
                <w:szCs w:val="20"/>
              </w:rPr>
            </w:pPr>
            <w:r w:rsidRPr="00861ED2">
              <w:rPr>
                <w:rFonts w:ascii="Arial" w:hAnsi="Arial" w:cs="Arial"/>
                <w:sz w:val="20"/>
                <w:szCs w:val="20"/>
              </w:rPr>
              <w:t>optimized</w:t>
            </w:r>
          </w:p>
        </w:tc>
      </w:tr>
      <w:tr w:rsidR="00095724" w:rsidRPr="00B17D47" w14:paraId="6E5BECA4" w14:textId="77777777" w:rsidTr="00675630">
        <w:trPr>
          <w:trHeight w:val="441"/>
        </w:trPr>
        <w:tc>
          <w:tcPr>
            <w:tcW w:w="1295"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E94AD78" w14:textId="77777777" w:rsidR="00095724" w:rsidRPr="00861ED2" w:rsidRDefault="00095724" w:rsidP="00675630">
            <w:pPr>
              <w:rPr>
                <w:rFonts w:ascii="Arial" w:hAnsi="Arial" w:cs="Arial"/>
                <w:sz w:val="20"/>
                <w:szCs w:val="20"/>
              </w:rPr>
            </w:pPr>
          </w:p>
        </w:tc>
        <w:tc>
          <w:tcPr>
            <w:tcW w:w="131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08CFC391" w14:textId="77777777" w:rsidR="00095724" w:rsidRPr="00861ED2" w:rsidRDefault="00095724" w:rsidP="00675630">
            <w:pPr>
              <w:rPr>
                <w:rFonts w:ascii="Arial" w:hAnsi="Arial" w:cs="Arial"/>
                <w:sz w:val="20"/>
                <w:szCs w:val="20"/>
              </w:rPr>
            </w:pPr>
            <w:r w:rsidRPr="00861ED2">
              <w:rPr>
                <w:rFonts w:ascii="Arial" w:hAnsi="Arial" w:cs="Arial"/>
                <w:sz w:val="20"/>
                <w:szCs w:val="20"/>
              </w:rPr>
              <w:t>Sensitivity</w:t>
            </w:r>
          </w:p>
        </w:tc>
        <w:tc>
          <w:tcPr>
            <w:tcW w:w="120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258E4587" w14:textId="77777777" w:rsidR="00095724" w:rsidRPr="00861ED2" w:rsidRDefault="00095724" w:rsidP="00675630">
            <w:pPr>
              <w:rPr>
                <w:rFonts w:ascii="Arial" w:hAnsi="Arial" w:cs="Arial"/>
                <w:sz w:val="20"/>
                <w:szCs w:val="20"/>
              </w:rPr>
            </w:pPr>
            <w:r w:rsidRPr="00861ED2">
              <w:rPr>
                <w:rFonts w:ascii="Arial" w:hAnsi="Arial" w:cs="Arial"/>
                <w:sz w:val="20"/>
                <w:szCs w:val="20"/>
              </w:rPr>
              <w:t>Mean Latency</w:t>
            </w:r>
          </w:p>
        </w:tc>
        <w:tc>
          <w:tcPr>
            <w:tcW w:w="122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5E0E1A31" w14:textId="77777777" w:rsidR="00095724" w:rsidRPr="00861ED2" w:rsidRDefault="00095724" w:rsidP="00675630">
            <w:pPr>
              <w:rPr>
                <w:rFonts w:ascii="Arial" w:hAnsi="Arial" w:cs="Arial"/>
                <w:sz w:val="20"/>
                <w:szCs w:val="20"/>
              </w:rPr>
            </w:pPr>
            <w:r w:rsidRPr="00861ED2">
              <w:rPr>
                <w:rFonts w:ascii="Arial" w:hAnsi="Arial" w:cs="Arial"/>
                <w:sz w:val="20"/>
                <w:szCs w:val="20"/>
              </w:rPr>
              <w:t>False Positives</w:t>
            </w:r>
          </w:p>
        </w:tc>
        <w:tc>
          <w:tcPr>
            <w:tcW w:w="131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5E0FB4F2" w14:textId="77777777" w:rsidR="00095724" w:rsidRPr="00861ED2" w:rsidRDefault="00095724" w:rsidP="00675630">
            <w:pPr>
              <w:rPr>
                <w:rFonts w:ascii="Arial" w:hAnsi="Arial" w:cs="Arial"/>
                <w:sz w:val="20"/>
                <w:szCs w:val="20"/>
              </w:rPr>
            </w:pPr>
            <w:r w:rsidRPr="00861ED2">
              <w:rPr>
                <w:rFonts w:ascii="Arial" w:hAnsi="Arial" w:cs="Arial"/>
                <w:sz w:val="20"/>
                <w:szCs w:val="20"/>
              </w:rPr>
              <w:t>Sensitivity</w:t>
            </w:r>
          </w:p>
        </w:tc>
        <w:tc>
          <w:tcPr>
            <w:tcW w:w="120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1B9D9E61" w14:textId="77777777" w:rsidR="00095724" w:rsidRPr="00861ED2" w:rsidRDefault="00095724" w:rsidP="00675630">
            <w:pPr>
              <w:rPr>
                <w:rFonts w:ascii="Arial" w:hAnsi="Arial" w:cs="Arial"/>
                <w:sz w:val="20"/>
                <w:szCs w:val="20"/>
              </w:rPr>
            </w:pPr>
            <w:r w:rsidRPr="00861ED2">
              <w:rPr>
                <w:rFonts w:ascii="Arial" w:hAnsi="Arial" w:cs="Arial"/>
                <w:sz w:val="20"/>
                <w:szCs w:val="20"/>
              </w:rPr>
              <w:t>Mean Latency</w:t>
            </w:r>
          </w:p>
        </w:tc>
        <w:tc>
          <w:tcPr>
            <w:tcW w:w="122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08D1A963" w14:textId="77777777" w:rsidR="00095724" w:rsidRPr="00861ED2" w:rsidRDefault="00095724" w:rsidP="00675630">
            <w:pPr>
              <w:rPr>
                <w:rFonts w:ascii="Arial" w:hAnsi="Arial" w:cs="Arial"/>
                <w:sz w:val="20"/>
                <w:szCs w:val="20"/>
              </w:rPr>
            </w:pPr>
            <w:r w:rsidRPr="00861ED2">
              <w:rPr>
                <w:rFonts w:ascii="Arial" w:hAnsi="Arial" w:cs="Arial"/>
                <w:sz w:val="20"/>
                <w:szCs w:val="20"/>
              </w:rPr>
              <w:t>False Positives</w:t>
            </w:r>
          </w:p>
        </w:tc>
      </w:tr>
      <w:tr w:rsidR="00095724" w:rsidRPr="00B17D47" w14:paraId="28C806A7" w14:textId="77777777" w:rsidTr="00675630">
        <w:trPr>
          <w:trHeight w:val="500"/>
        </w:trPr>
        <w:tc>
          <w:tcPr>
            <w:tcW w:w="1295" w:type="dxa"/>
            <w:tcBorders>
              <w:top w:val="nil"/>
              <w:left w:val="nil"/>
              <w:bottom w:val="nil"/>
              <w:right w:val="nil"/>
            </w:tcBorders>
            <w:shd w:val="clear" w:color="auto" w:fill="auto"/>
            <w:tcMar>
              <w:top w:w="72" w:type="dxa"/>
              <w:left w:w="144" w:type="dxa"/>
              <w:bottom w:w="72" w:type="dxa"/>
              <w:right w:w="144" w:type="dxa"/>
            </w:tcMar>
            <w:hideMark/>
          </w:tcPr>
          <w:p w14:paraId="579239D3" w14:textId="77777777" w:rsidR="00095724" w:rsidRPr="00861ED2" w:rsidRDefault="00095724" w:rsidP="00675630">
            <w:pPr>
              <w:rPr>
                <w:rFonts w:ascii="Arial" w:hAnsi="Arial" w:cs="Arial"/>
                <w:sz w:val="20"/>
                <w:szCs w:val="20"/>
              </w:rPr>
            </w:pPr>
            <w:r w:rsidRPr="00861ED2">
              <w:rPr>
                <w:rFonts w:ascii="Arial" w:hAnsi="Arial" w:cs="Arial"/>
                <w:sz w:val="20"/>
                <w:szCs w:val="20"/>
              </w:rPr>
              <w:t>III HPV+</w:t>
            </w:r>
          </w:p>
        </w:tc>
        <w:tc>
          <w:tcPr>
            <w:tcW w:w="1315"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FC1435F" w14:textId="77777777" w:rsidR="00095724" w:rsidRPr="00861ED2" w:rsidRDefault="00095724" w:rsidP="00675630">
            <w:pPr>
              <w:rPr>
                <w:rFonts w:ascii="Arial" w:hAnsi="Arial" w:cs="Arial"/>
                <w:sz w:val="20"/>
                <w:szCs w:val="20"/>
              </w:rPr>
            </w:pPr>
            <w:r w:rsidRPr="00861ED2">
              <w:rPr>
                <w:rFonts w:ascii="Arial" w:hAnsi="Arial" w:cs="Arial"/>
                <w:sz w:val="20"/>
                <w:szCs w:val="20"/>
              </w:rPr>
              <w:t>.58*</w:t>
            </w:r>
          </w:p>
        </w:tc>
        <w:tc>
          <w:tcPr>
            <w:tcW w:w="120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44266AE"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9.2‡ </w:t>
            </w:r>
          </w:p>
        </w:tc>
        <w:tc>
          <w:tcPr>
            <w:tcW w:w="1221"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26A12E1" w14:textId="77777777" w:rsidR="00095724" w:rsidRPr="00861ED2" w:rsidRDefault="00095724" w:rsidP="00675630">
            <w:pPr>
              <w:rPr>
                <w:rFonts w:ascii="Arial" w:hAnsi="Arial" w:cs="Arial"/>
                <w:sz w:val="20"/>
                <w:szCs w:val="20"/>
              </w:rPr>
            </w:pPr>
            <w:r w:rsidRPr="00861ED2">
              <w:rPr>
                <w:rFonts w:ascii="Arial" w:hAnsi="Arial" w:cs="Arial"/>
                <w:sz w:val="20"/>
                <w:szCs w:val="20"/>
              </w:rPr>
              <w:t>4223</w:t>
            </w:r>
          </w:p>
        </w:tc>
        <w:tc>
          <w:tcPr>
            <w:tcW w:w="1315"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A630A46" w14:textId="77777777" w:rsidR="00095724" w:rsidRPr="00861ED2" w:rsidRDefault="00095724" w:rsidP="00675630">
            <w:pPr>
              <w:rPr>
                <w:rFonts w:ascii="Arial" w:hAnsi="Arial" w:cs="Arial"/>
                <w:sz w:val="20"/>
                <w:szCs w:val="20"/>
              </w:rPr>
            </w:pPr>
            <w:r w:rsidRPr="00861ED2">
              <w:rPr>
                <w:rFonts w:ascii="Arial" w:hAnsi="Arial" w:cs="Arial"/>
                <w:sz w:val="20"/>
                <w:szCs w:val="20"/>
              </w:rPr>
              <w:t>.52*</w:t>
            </w:r>
          </w:p>
        </w:tc>
        <w:tc>
          <w:tcPr>
            <w:tcW w:w="120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48DCC51"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8.3‡ </w:t>
            </w:r>
          </w:p>
        </w:tc>
        <w:tc>
          <w:tcPr>
            <w:tcW w:w="1221"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EE3EB56" w14:textId="77777777" w:rsidR="00095724" w:rsidRPr="00861ED2" w:rsidRDefault="00095724" w:rsidP="00675630">
            <w:pPr>
              <w:rPr>
                <w:rFonts w:ascii="Arial" w:hAnsi="Arial" w:cs="Arial"/>
                <w:sz w:val="20"/>
                <w:szCs w:val="20"/>
              </w:rPr>
            </w:pPr>
            <w:r w:rsidRPr="00861ED2">
              <w:rPr>
                <w:rFonts w:ascii="Arial" w:hAnsi="Arial" w:cs="Arial"/>
                <w:sz w:val="20"/>
                <w:szCs w:val="20"/>
              </w:rPr>
              <w:t>4277</w:t>
            </w:r>
          </w:p>
        </w:tc>
      </w:tr>
      <w:tr w:rsidR="00095724" w:rsidRPr="00B17D47" w14:paraId="021A6B75" w14:textId="77777777" w:rsidTr="00675630">
        <w:trPr>
          <w:trHeight w:val="584"/>
        </w:trPr>
        <w:tc>
          <w:tcPr>
            <w:tcW w:w="1295" w:type="dxa"/>
            <w:tcBorders>
              <w:top w:val="nil"/>
              <w:left w:val="nil"/>
              <w:bottom w:val="nil"/>
              <w:right w:val="nil"/>
            </w:tcBorders>
            <w:shd w:val="clear" w:color="auto" w:fill="auto"/>
            <w:tcMar>
              <w:top w:w="72" w:type="dxa"/>
              <w:left w:w="144" w:type="dxa"/>
              <w:bottom w:w="72" w:type="dxa"/>
              <w:right w:w="144" w:type="dxa"/>
            </w:tcMar>
            <w:hideMark/>
          </w:tcPr>
          <w:p w14:paraId="1CB4084A" w14:textId="77777777" w:rsidR="00095724" w:rsidRPr="00861ED2" w:rsidRDefault="00095724" w:rsidP="00675630">
            <w:pPr>
              <w:rPr>
                <w:rFonts w:ascii="Arial" w:hAnsi="Arial" w:cs="Arial"/>
                <w:sz w:val="20"/>
                <w:szCs w:val="20"/>
              </w:rPr>
            </w:pPr>
            <w:r w:rsidRPr="00861ED2">
              <w:rPr>
                <w:rFonts w:ascii="Arial" w:hAnsi="Arial" w:cs="Arial"/>
                <w:sz w:val="20"/>
                <w:szCs w:val="20"/>
              </w:rPr>
              <w:t>IVA HPV+</w:t>
            </w:r>
          </w:p>
        </w:tc>
        <w:tc>
          <w:tcPr>
            <w:tcW w:w="1315" w:type="dxa"/>
            <w:tcBorders>
              <w:top w:val="nil"/>
              <w:left w:val="nil"/>
              <w:bottom w:val="nil"/>
              <w:right w:val="nil"/>
            </w:tcBorders>
            <w:shd w:val="clear" w:color="auto" w:fill="auto"/>
            <w:tcMar>
              <w:top w:w="72" w:type="dxa"/>
              <w:left w:w="144" w:type="dxa"/>
              <w:bottom w:w="72" w:type="dxa"/>
              <w:right w:w="144" w:type="dxa"/>
            </w:tcMar>
            <w:hideMark/>
          </w:tcPr>
          <w:p w14:paraId="41AECDA2" w14:textId="77777777" w:rsidR="00095724" w:rsidRPr="00861ED2" w:rsidRDefault="00095724" w:rsidP="00675630">
            <w:pPr>
              <w:rPr>
                <w:rFonts w:ascii="Arial" w:hAnsi="Arial" w:cs="Arial"/>
                <w:sz w:val="20"/>
                <w:szCs w:val="20"/>
              </w:rPr>
            </w:pPr>
            <w:r w:rsidRPr="00861ED2">
              <w:rPr>
                <w:rFonts w:ascii="Arial" w:hAnsi="Arial" w:cs="Arial"/>
                <w:sz w:val="20"/>
                <w:szCs w:val="20"/>
              </w:rPr>
              <w:t>.59*</w:t>
            </w:r>
          </w:p>
        </w:tc>
        <w:tc>
          <w:tcPr>
            <w:tcW w:w="1203" w:type="dxa"/>
            <w:tcBorders>
              <w:top w:val="nil"/>
              <w:left w:val="nil"/>
              <w:bottom w:val="nil"/>
              <w:right w:val="nil"/>
            </w:tcBorders>
            <w:shd w:val="clear" w:color="auto" w:fill="auto"/>
            <w:tcMar>
              <w:top w:w="72" w:type="dxa"/>
              <w:left w:w="144" w:type="dxa"/>
              <w:bottom w:w="72" w:type="dxa"/>
              <w:right w:w="144" w:type="dxa"/>
            </w:tcMar>
            <w:hideMark/>
          </w:tcPr>
          <w:p w14:paraId="6A139604"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10.9‡ </w:t>
            </w:r>
          </w:p>
        </w:tc>
        <w:tc>
          <w:tcPr>
            <w:tcW w:w="1221" w:type="dxa"/>
            <w:tcBorders>
              <w:top w:val="nil"/>
              <w:left w:val="nil"/>
              <w:bottom w:val="nil"/>
              <w:right w:val="nil"/>
            </w:tcBorders>
            <w:shd w:val="clear" w:color="auto" w:fill="auto"/>
            <w:tcMar>
              <w:top w:w="72" w:type="dxa"/>
              <w:left w:w="144" w:type="dxa"/>
              <w:bottom w:w="72" w:type="dxa"/>
              <w:right w:w="144" w:type="dxa"/>
            </w:tcMar>
            <w:hideMark/>
          </w:tcPr>
          <w:p w14:paraId="0C6F1350" w14:textId="77777777" w:rsidR="00095724" w:rsidRPr="00861ED2" w:rsidRDefault="00095724" w:rsidP="00675630">
            <w:pPr>
              <w:rPr>
                <w:rFonts w:ascii="Arial" w:hAnsi="Arial" w:cs="Arial"/>
                <w:sz w:val="20"/>
                <w:szCs w:val="20"/>
              </w:rPr>
            </w:pPr>
            <w:r w:rsidRPr="00861ED2">
              <w:rPr>
                <w:rFonts w:ascii="Arial" w:hAnsi="Arial" w:cs="Arial"/>
                <w:sz w:val="20"/>
                <w:szCs w:val="20"/>
              </w:rPr>
              <w:t>3673</w:t>
            </w:r>
          </w:p>
        </w:tc>
        <w:tc>
          <w:tcPr>
            <w:tcW w:w="1315" w:type="dxa"/>
            <w:tcBorders>
              <w:top w:val="nil"/>
              <w:left w:val="nil"/>
              <w:bottom w:val="nil"/>
              <w:right w:val="nil"/>
            </w:tcBorders>
            <w:shd w:val="clear" w:color="auto" w:fill="auto"/>
            <w:tcMar>
              <w:top w:w="72" w:type="dxa"/>
              <w:left w:w="144" w:type="dxa"/>
              <w:bottom w:w="72" w:type="dxa"/>
              <w:right w:w="144" w:type="dxa"/>
            </w:tcMar>
            <w:hideMark/>
          </w:tcPr>
          <w:p w14:paraId="1C44A135" w14:textId="77777777" w:rsidR="00095724" w:rsidRPr="00861ED2" w:rsidRDefault="00095724" w:rsidP="00675630">
            <w:pPr>
              <w:rPr>
                <w:rFonts w:ascii="Arial" w:hAnsi="Arial" w:cs="Arial"/>
                <w:sz w:val="20"/>
                <w:szCs w:val="20"/>
              </w:rPr>
            </w:pPr>
            <w:r w:rsidRPr="00861ED2">
              <w:rPr>
                <w:rFonts w:ascii="Arial" w:hAnsi="Arial" w:cs="Arial"/>
                <w:sz w:val="20"/>
                <w:szCs w:val="20"/>
              </w:rPr>
              <w:t>.57*</w:t>
            </w:r>
          </w:p>
        </w:tc>
        <w:tc>
          <w:tcPr>
            <w:tcW w:w="1203" w:type="dxa"/>
            <w:tcBorders>
              <w:top w:val="nil"/>
              <w:left w:val="nil"/>
              <w:bottom w:val="nil"/>
              <w:right w:val="nil"/>
            </w:tcBorders>
            <w:shd w:val="clear" w:color="auto" w:fill="auto"/>
            <w:tcMar>
              <w:top w:w="72" w:type="dxa"/>
              <w:left w:w="144" w:type="dxa"/>
              <w:bottom w:w="72" w:type="dxa"/>
              <w:right w:w="144" w:type="dxa"/>
            </w:tcMar>
            <w:hideMark/>
          </w:tcPr>
          <w:p w14:paraId="0FE92A20"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9.4‡ </w:t>
            </w:r>
          </w:p>
        </w:tc>
        <w:tc>
          <w:tcPr>
            <w:tcW w:w="1221" w:type="dxa"/>
            <w:tcBorders>
              <w:top w:val="nil"/>
              <w:left w:val="nil"/>
              <w:bottom w:val="nil"/>
              <w:right w:val="nil"/>
            </w:tcBorders>
            <w:shd w:val="clear" w:color="auto" w:fill="auto"/>
            <w:tcMar>
              <w:top w:w="72" w:type="dxa"/>
              <w:left w:w="144" w:type="dxa"/>
              <w:bottom w:w="72" w:type="dxa"/>
              <w:right w:w="144" w:type="dxa"/>
            </w:tcMar>
            <w:hideMark/>
          </w:tcPr>
          <w:p w14:paraId="7F01C61E" w14:textId="77777777" w:rsidR="00095724" w:rsidRPr="00861ED2" w:rsidRDefault="00095724" w:rsidP="00675630">
            <w:pPr>
              <w:rPr>
                <w:rFonts w:ascii="Arial" w:hAnsi="Arial" w:cs="Arial"/>
                <w:sz w:val="20"/>
                <w:szCs w:val="20"/>
              </w:rPr>
            </w:pPr>
            <w:r w:rsidRPr="00861ED2">
              <w:rPr>
                <w:rFonts w:ascii="Arial" w:hAnsi="Arial" w:cs="Arial"/>
                <w:sz w:val="20"/>
                <w:szCs w:val="20"/>
              </w:rPr>
              <w:t>3714</w:t>
            </w:r>
          </w:p>
        </w:tc>
      </w:tr>
      <w:tr w:rsidR="00095724" w:rsidRPr="00B17D47" w14:paraId="33B92A2A" w14:textId="77777777" w:rsidTr="00675630">
        <w:trPr>
          <w:trHeight w:val="495"/>
        </w:trPr>
        <w:tc>
          <w:tcPr>
            <w:tcW w:w="1295" w:type="dxa"/>
            <w:tcBorders>
              <w:top w:val="nil"/>
              <w:left w:val="nil"/>
              <w:bottom w:val="nil"/>
              <w:right w:val="nil"/>
            </w:tcBorders>
            <w:shd w:val="clear" w:color="auto" w:fill="auto"/>
            <w:tcMar>
              <w:top w:w="72" w:type="dxa"/>
              <w:left w:w="144" w:type="dxa"/>
              <w:bottom w:w="72" w:type="dxa"/>
              <w:right w:w="144" w:type="dxa"/>
            </w:tcMar>
            <w:hideMark/>
          </w:tcPr>
          <w:p w14:paraId="4A991309" w14:textId="77777777" w:rsidR="00095724" w:rsidRPr="00861ED2" w:rsidRDefault="00095724" w:rsidP="00675630">
            <w:pPr>
              <w:rPr>
                <w:rFonts w:ascii="Arial" w:hAnsi="Arial" w:cs="Arial"/>
                <w:sz w:val="20"/>
                <w:szCs w:val="20"/>
              </w:rPr>
            </w:pPr>
            <w:r w:rsidRPr="00861ED2">
              <w:rPr>
                <w:rFonts w:ascii="Arial" w:hAnsi="Arial" w:cs="Arial"/>
                <w:sz w:val="20"/>
                <w:szCs w:val="20"/>
              </w:rPr>
              <w:t>IVB HPV+</w:t>
            </w:r>
          </w:p>
        </w:tc>
        <w:tc>
          <w:tcPr>
            <w:tcW w:w="1315" w:type="dxa"/>
            <w:tcBorders>
              <w:top w:val="nil"/>
              <w:left w:val="nil"/>
              <w:bottom w:val="nil"/>
              <w:right w:val="nil"/>
            </w:tcBorders>
            <w:shd w:val="clear" w:color="auto" w:fill="auto"/>
            <w:tcMar>
              <w:top w:w="72" w:type="dxa"/>
              <w:left w:w="144" w:type="dxa"/>
              <w:bottom w:w="72" w:type="dxa"/>
              <w:right w:w="144" w:type="dxa"/>
            </w:tcMar>
            <w:hideMark/>
          </w:tcPr>
          <w:p w14:paraId="6D7C2E90" w14:textId="77777777" w:rsidR="00095724" w:rsidRPr="00861ED2" w:rsidRDefault="00095724" w:rsidP="00675630">
            <w:pPr>
              <w:rPr>
                <w:rFonts w:ascii="Arial" w:hAnsi="Arial" w:cs="Arial"/>
                <w:sz w:val="20"/>
                <w:szCs w:val="20"/>
              </w:rPr>
            </w:pPr>
            <w:r w:rsidRPr="00861ED2">
              <w:rPr>
                <w:rFonts w:ascii="Arial" w:hAnsi="Arial" w:cs="Arial"/>
                <w:sz w:val="20"/>
                <w:szCs w:val="20"/>
              </w:rPr>
              <w:t>.61*</w:t>
            </w:r>
          </w:p>
        </w:tc>
        <w:tc>
          <w:tcPr>
            <w:tcW w:w="1203" w:type="dxa"/>
            <w:tcBorders>
              <w:top w:val="nil"/>
              <w:left w:val="nil"/>
              <w:bottom w:val="nil"/>
              <w:right w:val="nil"/>
            </w:tcBorders>
            <w:shd w:val="clear" w:color="auto" w:fill="auto"/>
            <w:tcMar>
              <w:top w:w="72" w:type="dxa"/>
              <w:left w:w="144" w:type="dxa"/>
              <w:bottom w:w="72" w:type="dxa"/>
              <w:right w:w="144" w:type="dxa"/>
            </w:tcMar>
            <w:hideMark/>
          </w:tcPr>
          <w:p w14:paraId="5013498A"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11.4‡ </w:t>
            </w:r>
          </w:p>
        </w:tc>
        <w:tc>
          <w:tcPr>
            <w:tcW w:w="1221" w:type="dxa"/>
            <w:tcBorders>
              <w:top w:val="nil"/>
              <w:left w:val="nil"/>
              <w:bottom w:val="nil"/>
              <w:right w:val="nil"/>
            </w:tcBorders>
            <w:shd w:val="clear" w:color="auto" w:fill="auto"/>
            <w:tcMar>
              <w:top w:w="72" w:type="dxa"/>
              <w:left w:w="144" w:type="dxa"/>
              <w:bottom w:w="72" w:type="dxa"/>
              <w:right w:w="144" w:type="dxa"/>
            </w:tcMar>
            <w:hideMark/>
          </w:tcPr>
          <w:p w14:paraId="0EF91D76" w14:textId="77777777" w:rsidR="00095724" w:rsidRPr="00861ED2" w:rsidRDefault="00095724" w:rsidP="00675630">
            <w:pPr>
              <w:rPr>
                <w:rFonts w:ascii="Arial" w:hAnsi="Arial" w:cs="Arial"/>
                <w:sz w:val="20"/>
                <w:szCs w:val="20"/>
              </w:rPr>
            </w:pPr>
            <w:r w:rsidRPr="00861ED2">
              <w:rPr>
                <w:rFonts w:ascii="Arial" w:hAnsi="Arial" w:cs="Arial"/>
                <w:sz w:val="20"/>
                <w:szCs w:val="20"/>
              </w:rPr>
              <w:t>2623</w:t>
            </w:r>
          </w:p>
        </w:tc>
        <w:tc>
          <w:tcPr>
            <w:tcW w:w="1315" w:type="dxa"/>
            <w:tcBorders>
              <w:top w:val="nil"/>
              <w:left w:val="nil"/>
              <w:bottom w:val="nil"/>
              <w:right w:val="nil"/>
            </w:tcBorders>
            <w:shd w:val="clear" w:color="auto" w:fill="auto"/>
            <w:tcMar>
              <w:top w:w="72" w:type="dxa"/>
              <w:left w:w="144" w:type="dxa"/>
              <w:bottom w:w="72" w:type="dxa"/>
              <w:right w:w="144" w:type="dxa"/>
            </w:tcMar>
            <w:hideMark/>
          </w:tcPr>
          <w:p w14:paraId="05EBE1AE" w14:textId="77777777" w:rsidR="00095724" w:rsidRPr="00861ED2" w:rsidRDefault="00095724" w:rsidP="00675630">
            <w:pPr>
              <w:rPr>
                <w:rFonts w:ascii="Arial" w:hAnsi="Arial" w:cs="Arial"/>
                <w:sz w:val="20"/>
                <w:szCs w:val="20"/>
              </w:rPr>
            </w:pPr>
            <w:r w:rsidRPr="00861ED2">
              <w:rPr>
                <w:rFonts w:ascii="Arial" w:hAnsi="Arial" w:cs="Arial"/>
                <w:sz w:val="20"/>
                <w:szCs w:val="20"/>
              </w:rPr>
              <w:t>.63*</w:t>
            </w:r>
          </w:p>
        </w:tc>
        <w:tc>
          <w:tcPr>
            <w:tcW w:w="1203" w:type="dxa"/>
            <w:tcBorders>
              <w:top w:val="nil"/>
              <w:left w:val="nil"/>
              <w:bottom w:val="nil"/>
              <w:right w:val="nil"/>
            </w:tcBorders>
            <w:shd w:val="clear" w:color="auto" w:fill="auto"/>
            <w:tcMar>
              <w:top w:w="72" w:type="dxa"/>
              <w:left w:w="144" w:type="dxa"/>
              <w:bottom w:w="72" w:type="dxa"/>
              <w:right w:w="144" w:type="dxa"/>
            </w:tcMar>
            <w:hideMark/>
          </w:tcPr>
          <w:p w14:paraId="453D9153"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9.2‡ </w:t>
            </w:r>
          </w:p>
        </w:tc>
        <w:tc>
          <w:tcPr>
            <w:tcW w:w="1221" w:type="dxa"/>
            <w:tcBorders>
              <w:top w:val="nil"/>
              <w:left w:val="nil"/>
              <w:bottom w:val="nil"/>
              <w:right w:val="nil"/>
            </w:tcBorders>
            <w:shd w:val="clear" w:color="auto" w:fill="auto"/>
            <w:tcMar>
              <w:top w:w="72" w:type="dxa"/>
              <w:left w:w="144" w:type="dxa"/>
              <w:bottom w:w="72" w:type="dxa"/>
              <w:right w:w="144" w:type="dxa"/>
            </w:tcMar>
            <w:hideMark/>
          </w:tcPr>
          <w:p w14:paraId="65FCF112" w14:textId="77777777" w:rsidR="00095724" w:rsidRPr="00861ED2" w:rsidRDefault="00095724" w:rsidP="00675630">
            <w:pPr>
              <w:rPr>
                <w:rFonts w:ascii="Arial" w:hAnsi="Arial" w:cs="Arial"/>
                <w:sz w:val="20"/>
                <w:szCs w:val="20"/>
              </w:rPr>
            </w:pPr>
            <w:r w:rsidRPr="00861ED2">
              <w:rPr>
                <w:rFonts w:ascii="Arial" w:hAnsi="Arial" w:cs="Arial"/>
                <w:sz w:val="20"/>
                <w:szCs w:val="20"/>
              </w:rPr>
              <w:t>2579</w:t>
            </w:r>
          </w:p>
        </w:tc>
      </w:tr>
      <w:tr w:rsidR="00095724" w:rsidRPr="00B17D47" w14:paraId="05DFA525" w14:textId="77777777" w:rsidTr="00675630">
        <w:trPr>
          <w:trHeight w:val="500"/>
        </w:trPr>
        <w:tc>
          <w:tcPr>
            <w:tcW w:w="1295" w:type="dxa"/>
            <w:tcBorders>
              <w:top w:val="nil"/>
              <w:left w:val="nil"/>
              <w:bottom w:val="nil"/>
              <w:right w:val="nil"/>
            </w:tcBorders>
            <w:shd w:val="clear" w:color="auto" w:fill="auto"/>
            <w:tcMar>
              <w:top w:w="72" w:type="dxa"/>
              <w:left w:w="144" w:type="dxa"/>
              <w:bottom w:w="72" w:type="dxa"/>
              <w:right w:w="144" w:type="dxa"/>
            </w:tcMar>
            <w:hideMark/>
          </w:tcPr>
          <w:p w14:paraId="619352F0" w14:textId="77777777" w:rsidR="00095724" w:rsidRPr="00861ED2" w:rsidRDefault="00095724" w:rsidP="00675630">
            <w:pPr>
              <w:rPr>
                <w:rFonts w:ascii="Arial" w:hAnsi="Arial" w:cs="Arial"/>
                <w:sz w:val="20"/>
                <w:szCs w:val="20"/>
              </w:rPr>
            </w:pPr>
            <w:r w:rsidRPr="00861ED2">
              <w:rPr>
                <w:rFonts w:ascii="Arial" w:hAnsi="Arial" w:cs="Arial"/>
                <w:sz w:val="20"/>
                <w:szCs w:val="20"/>
              </w:rPr>
              <w:t>III HPV-</w:t>
            </w:r>
          </w:p>
        </w:tc>
        <w:tc>
          <w:tcPr>
            <w:tcW w:w="1315" w:type="dxa"/>
            <w:tcBorders>
              <w:top w:val="nil"/>
              <w:left w:val="nil"/>
              <w:bottom w:val="nil"/>
              <w:right w:val="nil"/>
            </w:tcBorders>
            <w:shd w:val="clear" w:color="auto" w:fill="auto"/>
            <w:tcMar>
              <w:top w:w="72" w:type="dxa"/>
              <w:left w:w="144" w:type="dxa"/>
              <w:bottom w:w="72" w:type="dxa"/>
              <w:right w:w="144" w:type="dxa"/>
            </w:tcMar>
            <w:hideMark/>
          </w:tcPr>
          <w:p w14:paraId="6BE1BE8A" w14:textId="77777777" w:rsidR="00095724" w:rsidRPr="00861ED2" w:rsidRDefault="00095724" w:rsidP="00675630">
            <w:pPr>
              <w:rPr>
                <w:rFonts w:ascii="Arial" w:hAnsi="Arial" w:cs="Arial"/>
                <w:sz w:val="20"/>
                <w:szCs w:val="20"/>
              </w:rPr>
            </w:pPr>
            <w:r w:rsidRPr="00861ED2">
              <w:rPr>
                <w:rFonts w:ascii="Arial" w:hAnsi="Arial" w:cs="Arial"/>
                <w:sz w:val="20"/>
                <w:szCs w:val="20"/>
              </w:rPr>
              <w:t>.61*</w:t>
            </w:r>
          </w:p>
        </w:tc>
        <w:tc>
          <w:tcPr>
            <w:tcW w:w="1203" w:type="dxa"/>
            <w:tcBorders>
              <w:top w:val="nil"/>
              <w:left w:val="nil"/>
              <w:bottom w:val="nil"/>
              <w:right w:val="nil"/>
            </w:tcBorders>
            <w:shd w:val="clear" w:color="auto" w:fill="auto"/>
            <w:tcMar>
              <w:top w:w="72" w:type="dxa"/>
              <w:left w:w="144" w:type="dxa"/>
              <w:bottom w:w="72" w:type="dxa"/>
              <w:right w:w="144" w:type="dxa"/>
            </w:tcMar>
            <w:hideMark/>
          </w:tcPr>
          <w:p w14:paraId="4E57AFEA"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11.4‡ </w:t>
            </w:r>
          </w:p>
        </w:tc>
        <w:tc>
          <w:tcPr>
            <w:tcW w:w="1221" w:type="dxa"/>
            <w:tcBorders>
              <w:top w:val="nil"/>
              <w:left w:val="nil"/>
              <w:bottom w:val="nil"/>
              <w:right w:val="nil"/>
            </w:tcBorders>
            <w:shd w:val="clear" w:color="auto" w:fill="auto"/>
            <w:tcMar>
              <w:top w:w="72" w:type="dxa"/>
              <w:left w:w="144" w:type="dxa"/>
              <w:bottom w:w="72" w:type="dxa"/>
              <w:right w:w="144" w:type="dxa"/>
            </w:tcMar>
            <w:hideMark/>
          </w:tcPr>
          <w:p w14:paraId="1504808C" w14:textId="77777777" w:rsidR="00095724" w:rsidRPr="00861ED2" w:rsidRDefault="00095724" w:rsidP="00675630">
            <w:pPr>
              <w:rPr>
                <w:rFonts w:ascii="Arial" w:hAnsi="Arial" w:cs="Arial"/>
                <w:sz w:val="20"/>
                <w:szCs w:val="20"/>
              </w:rPr>
            </w:pPr>
            <w:r w:rsidRPr="00861ED2">
              <w:rPr>
                <w:rFonts w:ascii="Arial" w:hAnsi="Arial" w:cs="Arial"/>
                <w:sz w:val="20"/>
                <w:szCs w:val="20"/>
              </w:rPr>
              <w:t>3012</w:t>
            </w:r>
          </w:p>
        </w:tc>
        <w:tc>
          <w:tcPr>
            <w:tcW w:w="1315" w:type="dxa"/>
            <w:tcBorders>
              <w:top w:val="nil"/>
              <w:left w:val="nil"/>
              <w:bottom w:val="nil"/>
              <w:right w:val="nil"/>
            </w:tcBorders>
            <w:shd w:val="clear" w:color="auto" w:fill="auto"/>
            <w:tcMar>
              <w:top w:w="72" w:type="dxa"/>
              <w:left w:w="144" w:type="dxa"/>
              <w:bottom w:w="72" w:type="dxa"/>
              <w:right w:w="144" w:type="dxa"/>
            </w:tcMar>
            <w:hideMark/>
          </w:tcPr>
          <w:p w14:paraId="68C43AD9" w14:textId="77777777" w:rsidR="00095724" w:rsidRPr="00861ED2" w:rsidRDefault="00095724" w:rsidP="00675630">
            <w:pPr>
              <w:rPr>
                <w:rFonts w:ascii="Arial" w:hAnsi="Arial" w:cs="Arial"/>
                <w:sz w:val="20"/>
                <w:szCs w:val="20"/>
              </w:rPr>
            </w:pPr>
            <w:r w:rsidRPr="00861ED2">
              <w:rPr>
                <w:rFonts w:ascii="Arial" w:hAnsi="Arial" w:cs="Arial"/>
                <w:sz w:val="20"/>
                <w:szCs w:val="20"/>
              </w:rPr>
              <w:t>.67*</w:t>
            </w:r>
          </w:p>
        </w:tc>
        <w:tc>
          <w:tcPr>
            <w:tcW w:w="1203" w:type="dxa"/>
            <w:tcBorders>
              <w:top w:val="nil"/>
              <w:left w:val="nil"/>
              <w:bottom w:val="nil"/>
              <w:right w:val="nil"/>
            </w:tcBorders>
            <w:shd w:val="clear" w:color="auto" w:fill="auto"/>
            <w:tcMar>
              <w:top w:w="72" w:type="dxa"/>
              <w:left w:w="144" w:type="dxa"/>
              <w:bottom w:w="72" w:type="dxa"/>
              <w:right w:w="144" w:type="dxa"/>
            </w:tcMar>
            <w:hideMark/>
          </w:tcPr>
          <w:p w14:paraId="4B127551"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8.9‡ </w:t>
            </w:r>
          </w:p>
        </w:tc>
        <w:tc>
          <w:tcPr>
            <w:tcW w:w="1221" w:type="dxa"/>
            <w:tcBorders>
              <w:top w:val="nil"/>
              <w:left w:val="nil"/>
              <w:bottom w:val="nil"/>
              <w:right w:val="nil"/>
            </w:tcBorders>
            <w:shd w:val="clear" w:color="auto" w:fill="auto"/>
            <w:tcMar>
              <w:top w:w="72" w:type="dxa"/>
              <w:left w:w="144" w:type="dxa"/>
              <w:bottom w:w="72" w:type="dxa"/>
              <w:right w:w="144" w:type="dxa"/>
            </w:tcMar>
            <w:hideMark/>
          </w:tcPr>
          <w:p w14:paraId="1E2B8024" w14:textId="77777777" w:rsidR="00095724" w:rsidRPr="00861ED2" w:rsidRDefault="00095724" w:rsidP="00675630">
            <w:pPr>
              <w:rPr>
                <w:rFonts w:ascii="Arial" w:hAnsi="Arial" w:cs="Arial"/>
                <w:sz w:val="20"/>
                <w:szCs w:val="20"/>
              </w:rPr>
            </w:pPr>
            <w:r w:rsidRPr="00861ED2">
              <w:rPr>
                <w:rFonts w:ascii="Arial" w:hAnsi="Arial" w:cs="Arial"/>
                <w:sz w:val="20"/>
                <w:szCs w:val="20"/>
              </w:rPr>
              <w:t>2999</w:t>
            </w:r>
          </w:p>
        </w:tc>
      </w:tr>
      <w:tr w:rsidR="00095724" w:rsidRPr="00B17D47" w14:paraId="4FBD6E0A" w14:textId="77777777" w:rsidTr="00675630">
        <w:trPr>
          <w:trHeight w:val="556"/>
        </w:trPr>
        <w:tc>
          <w:tcPr>
            <w:tcW w:w="1295" w:type="dxa"/>
            <w:tcBorders>
              <w:top w:val="nil"/>
              <w:left w:val="nil"/>
              <w:bottom w:val="nil"/>
              <w:right w:val="nil"/>
            </w:tcBorders>
            <w:shd w:val="clear" w:color="auto" w:fill="auto"/>
            <w:tcMar>
              <w:top w:w="72" w:type="dxa"/>
              <w:left w:w="144" w:type="dxa"/>
              <w:bottom w:w="72" w:type="dxa"/>
              <w:right w:w="144" w:type="dxa"/>
            </w:tcMar>
            <w:hideMark/>
          </w:tcPr>
          <w:p w14:paraId="6FCF3B87" w14:textId="77777777" w:rsidR="00095724" w:rsidRPr="00861ED2" w:rsidRDefault="00095724" w:rsidP="00675630">
            <w:pPr>
              <w:rPr>
                <w:rFonts w:ascii="Arial" w:hAnsi="Arial" w:cs="Arial"/>
                <w:sz w:val="20"/>
                <w:szCs w:val="20"/>
              </w:rPr>
            </w:pPr>
            <w:r w:rsidRPr="00861ED2">
              <w:rPr>
                <w:rFonts w:ascii="Arial" w:hAnsi="Arial" w:cs="Arial"/>
                <w:sz w:val="20"/>
                <w:szCs w:val="20"/>
              </w:rPr>
              <w:t>IVA HPV-</w:t>
            </w:r>
          </w:p>
        </w:tc>
        <w:tc>
          <w:tcPr>
            <w:tcW w:w="1315" w:type="dxa"/>
            <w:tcBorders>
              <w:top w:val="nil"/>
              <w:left w:val="nil"/>
              <w:bottom w:val="nil"/>
              <w:right w:val="nil"/>
            </w:tcBorders>
            <w:shd w:val="clear" w:color="auto" w:fill="auto"/>
            <w:tcMar>
              <w:top w:w="72" w:type="dxa"/>
              <w:left w:w="144" w:type="dxa"/>
              <w:bottom w:w="72" w:type="dxa"/>
              <w:right w:w="144" w:type="dxa"/>
            </w:tcMar>
            <w:hideMark/>
          </w:tcPr>
          <w:p w14:paraId="7C2BA7FE" w14:textId="77777777" w:rsidR="00095724" w:rsidRPr="00861ED2" w:rsidRDefault="00095724" w:rsidP="00675630">
            <w:pPr>
              <w:rPr>
                <w:rFonts w:ascii="Arial" w:hAnsi="Arial" w:cs="Arial"/>
                <w:sz w:val="20"/>
                <w:szCs w:val="20"/>
              </w:rPr>
            </w:pPr>
            <w:r w:rsidRPr="00861ED2">
              <w:rPr>
                <w:rFonts w:ascii="Arial" w:hAnsi="Arial" w:cs="Arial"/>
                <w:sz w:val="20"/>
                <w:szCs w:val="20"/>
              </w:rPr>
              <w:t>.61</w:t>
            </w:r>
          </w:p>
        </w:tc>
        <w:tc>
          <w:tcPr>
            <w:tcW w:w="1203" w:type="dxa"/>
            <w:tcBorders>
              <w:top w:val="nil"/>
              <w:left w:val="nil"/>
              <w:bottom w:val="nil"/>
              <w:right w:val="nil"/>
            </w:tcBorders>
            <w:shd w:val="clear" w:color="auto" w:fill="auto"/>
            <w:tcMar>
              <w:top w:w="72" w:type="dxa"/>
              <w:left w:w="144" w:type="dxa"/>
              <w:bottom w:w="72" w:type="dxa"/>
              <w:right w:w="144" w:type="dxa"/>
            </w:tcMar>
            <w:hideMark/>
          </w:tcPr>
          <w:p w14:paraId="31D8C884"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10.6‡ </w:t>
            </w:r>
          </w:p>
        </w:tc>
        <w:tc>
          <w:tcPr>
            <w:tcW w:w="1221" w:type="dxa"/>
            <w:tcBorders>
              <w:top w:val="nil"/>
              <w:left w:val="nil"/>
              <w:bottom w:val="nil"/>
              <w:right w:val="nil"/>
            </w:tcBorders>
            <w:shd w:val="clear" w:color="auto" w:fill="auto"/>
            <w:tcMar>
              <w:top w:w="72" w:type="dxa"/>
              <w:left w:w="144" w:type="dxa"/>
              <w:bottom w:w="72" w:type="dxa"/>
              <w:right w:w="144" w:type="dxa"/>
            </w:tcMar>
            <w:hideMark/>
          </w:tcPr>
          <w:p w14:paraId="64913290" w14:textId="77777777" w:rsidR="00095724" w:rsidRPr="00861ED2" w:rsidRDefault="00095724" w:rsidP="00675630">
            <w:pPr>
              <w:rPr>
                <w:rFonts w:ascii="Arial" w:hAnsi="Arial" w:cs="Arial"/>
                <w:sz w:val="20"/>
                <w:szCs w:val="20"/>
              </w:rPr>
            </w:pPr>
            <w:r w:rsidRPr="00861ED2">
              <w:rPr>
                <w:rFonts w:ascii="Arial" w:hAnsi="Arial" w:cs="Arial"/>
                <w:sz w:val="20"/>
                <w:szCs w:val="20"/>
              </w:rPr>
              <w:t>2398</w:t>
            </w:r>
          </w:p>
        </w:tc>
        <w:tc>
          <w:tcPr>
            <w:tcW w:w="1315" w:type="dxa"/>
            <w:tcBorders>
              <w:top w:val="nil"/>
              <w:left w:val="nil"/>
              <w:bottom w:val="nil"/>
              <w:right w:val="nil"/>
            </w:tcBorders>
            <w:shd w:val="clear" w:color="auto" w:fill="auto"/>
            <w:tcMar>
              <w:top w:w="72" w:type="dxa"/>
              <w:left w:w="144" w:type="dxa"/>
              <w:bottom w:w="72" w:type="dxa"/>
              <w:right w:w="144" w:type="dxa"/>
            </w:tcMar>
            <w:hideMark/>
          </w:tcPr>
          <w:p w14:paraId="314DAA83" w14:textId="77777777" w:rsidR="00095724" w:rsidRPr="00861ED2" w:rsidRDefault="00095724" w:rsidP="00675630">
            <w:pPr>
              <w:rPr>
                <w:rFonts w:ascii="Arial" w:hAnsi="Arial" w:cs="Arial"/>
                <w:sz w:val="20"/>
                <w:szCs w:val="20"/>
              </w:rPr>
            </w:pPr>
            <w:r w:rsidRPr="00861ED2">
              <w:rPr>
                <w:rFonts w:ascii="Arial" w:hAnsi="Arial" w:cs="Arial"/>
                <w:sz w:val="20"/>
                <w:szCs w:val="20"/>
              </w:rPr>
              <w:t>.61</w:t>
            </w:r>
          </w:p>
        </w:tc>
        <w:tc>
          <w:tcPr>
            <w:tcW w:w="1203" w:type="dxa"/>
            <w:tcBorders>
              <w:top w:val="nil"/>
              <w:left w:val="nil"/>
              <w:bottom w:val="nil"/>
              <w:right w:val="nil"/>
            </w:tcBorders>
            <w:shd w:val="clear" w:color="auto" w:fill="auto"/>
            <w:tcMar>
              <w:top w:w="72" w:type="dxa"/>
              <w:left w:w="144" w:type="dxa"/>
              <w:bottom w:w="72" w:type="dxa"/>
              <w:right w:w="144" w:type="dxa"/>
            </w:tcMar>
            <w:hideMark/>
          </w:tcPr>
          <w:p w14:paraId="0B932229"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8.8‡ </w:t>
            </w:r>
          </w:p>
        </w:tc>
        <w:tc>
          <w:tcPr>
            <w:tcW w:w="1221" w:type="dxa"/>
            <w:tcBorders>
              <w:top w:val="nil"/>
              <w:left w:val="nil"/>
              <w:bottom w:val="nil"/>
              <w:right w:val="nil"/>
            </w:tcBorders>
            <w:shd w:val="clear" w:color="auto" w:fill="auto"/>
            <w:tcMar>
              <w:top w:w="72" w:type="dxa"/>
              <w:left w:w="144" w:type="dxa"/>
              <w:bottom w:w="72" w:type="dxa"/>
              <w:right w:w="144" w:type="dxa"/>
            </w:tcMar>
            <w:hideMark/>
          </w:tcPr>
          <w:p w14:paraId="269225B6" w14:textId="77777777" w:rsidR="00095724" w:rsidRPr="00861ED2" w:rsidRDefault="00095724" w:rsidP="00675630">
            <w:pPr>
              <w:rPr>
                <w:rFonts w:ascii="Arial" w:hAnsi="Arial" w:cs="Arial"/>
                <w:sz w:val="20"/>
                <w:szCs w:val="20"/>
              </w:rPr>
            </w:pPr>
            <w:r w:rsidRPr="00861ED2">
              <w:rPr>
                <w:rFonts w:ascii="Arial" w:hAnsi="Arial" w:cs="Arial"/>
                <w:sz w:val="20"/>
                <w:szCs w:val="20"/>
              </w:rPr>
              <w:t>2457</w:t>
            </w:r>
          </w:p>
        </w:tc>
      </w:tr>
      <w:tr w:rsidR="00095724" w:rsidRPr="00B17D47" w14:paraId="2F3712D0" w14:textId="77777777" w:rsidTr="00675630">
        <w:trPr>
          <w:trHeight w:val="437"/>
        </w:trPr>
        <w:tc>
          <w:tcPr>
            <w:tcW w:w="1295"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313354F1" w14:textId="77777777" w:rsidR="00095724" w:rsidRPr="00861ED2" w:rsidRDefault="00095724" w:rsidP="00675630">
            <w:pPr>
              <w:rPr>
                <w:rFonts w:ascii="Arial" w:hAnsi="Arial" w:cs="Arial"/>
                <w:sz w:val="20"/>
                <w:szCs w:val="20"/>
              </w:rPr>
            </w:pPr>
            <w:r w:rsidRPr="00861ED2">
              <w:rPr>
                <w:rFonts w:ascii="Arial" w:hAnsi="Arial" w:cs="Arial"/>
                <w:sz w:val="20"/>
                <w:szCs w:val="20"/>
              </w:rPr>
              <w:t>IVB HPV-</w:t>
            </w:r>
          </w:p>
        </w:tc>
        <w:tc>
          <w:tcPr>
            <w:tcW w:w="1315"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194E7D31" w14:textId="77777777" w:rsidR="00095724" w:rsidRPr="00861ED2" w:rsidRDefault="00095724" w:rsidP="00675630">
            <w:pPr>
              <w:rPr>
                <w:rFonts w:ascii="Arial" w:hAnsi="Arial" w:cs="Arial"/>
                <w:sz w:val="20"/>
                <w:szCs w:val="20"/>
              </w:rPr>
            </w:pPr>
            <w:r w:rsidRPr="00861ED2">
              <w:rPr>
                <w:rFonts w:ascii="Arial" w:hAnsi="Arial" w:cs="Arial"/>
                <w:sz w:val="20"/>
                <w:szCs w:val="20"/>
              </w:rPr>
              <w:t>.66*</w:t>
            </w:r>
          </w:p>
        </w:tc>
        <w:tc>
          <w:tcPr>
            <w:tcW w:w="1203"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732579E5"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10.5‡ </w:t>
            </w:r>
          </w:p>
        </w:tc>
        <w:tc>
          <w:tcPr>
            <w:tcW w:w="1221"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7FC22FC3" w14:textId="77777777" w:rsidR="00095724" w:rsidRPr="00861ED2" w:rsidRDefault="00095724" w:rsidP="00675630">
            <w:pPr>
              <w:rPr>
                <w:rFonts w:ascii="Arial" w:hAnsi="Arial" w:cs="Arial"/>
                <w:sz w:val="20"/>
                <w:szCs w:val="20"/>
              </w:rPr>
            </w:pPr>
            <w:r w:rsidRPr="00861ED2">
              <w:rPr>
                <w:rFonts w:ascii="Arial" w:hAnsi="Arial" w:cs="Arial"/>
                <w:sz w:val="20"/>
                <w:szCs w:val="20"/>
              </w:rPr>
              <w:t>1343</w:t>
            </w:r>
          </w:p>
        </w:tc>
        <w:tc>
          <w:tcPr>
            <w:tcW w:w="1315"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57AF497E" w14:textId="77777777" w:rsidR="00095724" w:rsidRPr="00861ED2" w:rsidRDefault="00095724" w:rsidP="00675630">
            <w:pPr>
              <w:rPr>
                <w:rFonts w:ascii="Arial" w:hAnsi="Arial" w:cs="Arial"/>
                <w:sz w:val="20"/>
                <w:szCs w:val="20"/>
              </w:rPr>
            </w:pPr>
            <w:r w:rsidRPr="00861ED2">
              <w:rPr>
                <w:rFonts w:ascii="Arial" w:hAnsi="Arial" w:cs="Arial"/>
                <w:sz w:val="20"/>
                <w:szCs w:val="20"/>
              </w:rPr>
              <w:t>.69*</w:t>
            </w:r>
          </w:p>
        </w:tc>
        <w:tc>
          <w:tcPr>
            <w:tcW w:w="1203"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7AA35823" w14:textId="77777777" w:rsidR="00095724" w:rsidRPr="00861ED2" w:rsidRDefault="00095724" w:rsidP="00675630">
            <w:pPr>
              <w:rPr>
                <w:rFonts w:ascii="Arial" w:hAnsi="Arial" w:cs="Arial"/>
                <w:sz w:val="20"/>
                <w:szCs w:val="20"/>
              </w:rPr>
            </w:pPr>
            <w:r w:rsidRPr="00861ED2">
              <w:rPr>
                <w:rFonts w:ascii="Arial" w:hAnsi="Arial" w:cs="Arial"/>
                <w:sz w:val="20"/>
                <w:szCs w:val="20"/>
              </w:rPr>
              <w:t xml:space="preserve">8.7‡ </w:t>
            </w:r>
          </w:p>
        </w:tc>
        <w:tc>
          <w:tcPr>
            <w:tcW w:w="1221"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67793019" w14:textId="77777777" w:rsidR="00095724" w:rsidRPr="00861ED2" w:rsidRDefault="00095724" w:rsidP="00675630">
            <w:pPr>
              <w:rPr>
                <w:rFonts w:ascii="Arial" w:hAnsi="Arial" w:cs="Arial"/>
                <w:sz w:val="20"/>
                <w:szCs w:val="20"/>
              </w:rPr>
            </w:pPr>
            <w:r w:rsidRPr="00861ED2">
              <w:rPr>
                <w:rFonts w:ascii="Arial" w:hAnsi="Arial" w:cs="Arial"/>
                <w:sz w:val="20"/>
                <w:szCs w:val="20"/>
              </w:rPr>
              <w:t>1394</w:t>
            </w:r>
          </w:p>
        </w:tc>
      </w:tr>
      <w:tr w:rsidR="00095724" w:rsidRPr="00B17D47" w14:paraId="6F4B77F2" w14:textId="77777777" w:rsidTr="00675630">
        <w:trPr>
          <w:trHeight w:val="437"/>
        </w:trPr>
        <w:tc>
          <w:tcPr>
            <w:tcW w:w="8773" w:type="dxa"/>
            <w:gridSpan w:val="7"/>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ED98655" w14:textId="77777777" w:rsidR="00095724" w:rsidRPr="00861ED2" w:rsidRDefault="00095724" w:rsidP="00861ED2">
            <w:pPr>
              <w:spacing w:line="240" w:lineRule="auto"/>
              <w:rPr>
                <w:rFonts w:ascii="Arial" w:hAnsi="Arial" w:cs="Arial"/>
                <w:sz w:val="16"/>
                <w:szCs w:val="16"/>
              </w:rPr>
            </w:pPr>
            <w:r w:rsidRPr="00861ED2">
              <w:rPr>
                <w:rFonts w:ascii="Arial" w:hAnsi="Arial" w:cs="Arial"/>
                <w:sz w:val="16"/>
                <w:szCs w:val="16"/>
              </w:rPr>
              <w:t>* Denotes sensitivities that are significantly different (z score for population proportions, alpha=0.0083)</w:t>
            </w:r>
          </w:p>
          <w:p w14:paraId="2A0363BD" w14:textId="77777777" w:rsidR="00095724" w:rsidRPr="00861ED2" w:rsidRDefault="00095724" w:rsidP="00861ED2">
            <w:pPr>
              <w:spacing w:line="240" w:lineRule="auto"/>
              <w:rPr>
                <w:rFonts w:ascii="Arial" w:hAnsi="Arial" w:cs="Arial"/>
                <w:sz w:val="16"/>
                <w:szCs w:val="16"/>
              </w:rPr>
            </w:pPr>
            <w:r w:rsidRPr="00861ED2">
              <w:rPr>
                <w:rFonts w:ascii="Arial" w:hAnsi="Arial" w:cs="Arial"/>
                <w:sz w:val="16"/>
                <w:szCs w:val="16"/>
              </w:rPr>
              <w:t>‡ Denotes latencies that are significantly different (unpaired t-test, alpha=0.0083).</w:t>
            </w:r>
          </w:p>
          <w:p w14:paraId="5F16230C" w14:textId="77777777" w:rsidR="00095724" w:rsidRPr="00861ED2" w:rsidRDefault="00095724" w:rsidP="00861ED2">
            <w:pPr>
              <w:spacing w:line="240" w:lineRule="auto"/>
              <w:rPr>
                <w:rFonts w:ascii="Arial" w:hAnsi="Arial" w:cs="Arial"/>
                <w:sz w:val="20"/>
                <w:szCs w:val="20"/>
              </w:rPr>
            </w:pPr>
            <w:r w:rsidRPr="00861ED2">
              <w:rPr>
                <w:rFonts w:ascii="Arial" w:hAnsi="Arial" w:cs="Arial"/>
                <w:sz w:val="16"/>
                <w:szCs w:val="16"/>
              </w:rPr>
              <w:t>Number of false positives was not significantly different across all cohorts (z score for population proportions, alpha=0.0083)</w:t>
            </w:r>
          </w:p>
        </w:tc>
      </w:tr>
    </w:tbl>
    <w:p w14:paraId="637477F3" w14:textId="56A0B1F4" w:rsidR="00861ED2" w:rsidRDefault="00861ED2"/>
    <w:p w14:paraId="2F11FFC9" w14:textId="77777777" w:rsidR="00BE08AC" w:rsidRDefault="00BE08AC">
      <w:r>
        <w:br w:type="page"/>
      </w:r>
    </w:p>
    <w:tbl>
      <w:tblPr>
        <w:tblW w:w="10620" w:type="dxa"/>
        <w:tblCellMar>
          <w:left w:w="0" w:type="dxa"/>
          <w:right w:w="0" w:type="dxa"/>
        </w:tblCellMar>
        <w:tblLook w:val="0400" w:firstRow="0" w:lastRow="0" w:firstColumn="0" w:lastColumn="0" w:noHBand="0" w:noVBand="1"/>
      </w:tblPr>
      <w:tblGrid>
        <w:gridCol w:w="2120"/>
        <w:gridCol w:w="2120"/>
        <w:gridCol w:w="2120"/>
        <w:gridCol w:w="2120"/>
        <w:gridCol w:w="2140"/>
      </w:tblGrid>
      <w:tr w:rsidR="00BE08AC" w:rsidRPr="00BE08AC" w14:paraId="0D181685" w14:textId="77777777" w:rsidTr="00BE08AC">
        <w:trPr>
          <w:trHeight w:val="426"/>
        </w:trPr>
        <w:tc>
          <w:tcPr>
            <w:tcW w:w="10620" w:type="dxa"/>
            <w:gridSpan w:val="5"/>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1EAA7A07" w14:textId="13A428D3" w:rsidR="00BE08AC" w:rsidRPr="00BE08AC" w:rsidRDefault="00BE08AC" w:rsidP="00BE08AC">
            <w:pPr>
              <w:rPr>
                <w:rFonts w:ascii="Arial" w:hAnsi="Arial" w:cs="Arial"/>
                <w:b/>
                <w:bCs/>
                <w:sz w:val="24"/>
                <w:szCs w:val="24"/>
              </w:rPr>
            </w:pPr>
            <w:r>
              <w:rPr>
                <w:rFonts w:ascii="Arial" w:hAnsi="Arial" w:cs="Arial"/>
                <w:b/>
                <w:bCs/>
                <w:sz w:val="24"/>
                <w:szCs w:val="24"/>
              </w:rPr>
              <w:lastRenderedPageBreak/>
              <w:t>e</w:t>
            </w:r>
            <w:r w:rsidR="008F2DC7">
              <w:rPr>
                <w:rFonts w:ascii="Arial" w:hAnsi="Arial" w:cs="Arial"/>
                <w:b/>
                <w:bCs/>
                <w:sz w:val="24"/>
                <w:szCs w:val="24"/>
              </w:rPr>
              <w:t>Table</w:t>
            </w:r>
            <w:r>
              <w:rPr>
                <w:rFonts w:ascii="Arial" w:hAnsi="Arial" w:cs="Arial"/>
                <w:b/>
                <w:bCs/>
                <w:sz w:val="24"/>
                <w:szCs w:val="24"/>
              </w:rPr>
              <w:t xml:space="preserve"> 3. </w:t>
            </w:r>
            <w:r w:rsidR="008F2DC7">
              <w:rPr>
                <w:rFonts w:ascii="Arial" w:hAnsi="Arial" w:cs="Arial"/>
                <w:b/>
                <w:bCs/>
                <w:sz w:val="24"/>
                <w:szCs w:val="24"/>
              </w:rPr>
              <w:t xml:space="preserve">Modified </w:t>
            </w:r>
            <w:r w:rsidRPr="00BE08AC">
              <w:rPr>
                <w:rFonts w:ascii="Arial" w:hAnsi="Arial" w:cs="Arial"/>
                <w:b/>
                <w:bCs/>
                <w:sz w:val="24"/>
                <w:szCs w:val="24"/>
              </w:rPr>
              <w:t xml:space="preserve">Stage IVA HPV-positive </w:t>
            </w:r>
            <w:r w:rsidR="008F2DC7">
              <w:rPr>
                <w:rFonts w:ascii="Arial" w:hAnsi="Arial" w:cs="Arial"/>
                <w:b/>
                <w:bCs/>
                <w:sz w:val="24"/>
                <w:szCs w:val="24"/>
              </w:rPr>
              <w:t>Cohort Performance</w:t>
            </w:r>
          </w:p>
        </w:tc>
      </w:tr>
      <w:tr w:rsidR="00BE08AC" w:rsidRPr="00BE08AC" w14:paraId="36933434" w14:textId="77777777" w:rsidTr="00BE08AC">
        <w:trPr>
          <w:trHeight w:val="457"/>
        </w:trPr>
        <w:tc>
          <w:tcPr>
            <w:tcW w:w="2120"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702493BA" w14:textId="77777777" w:rsidR="00BE08AC" w:rsidRPr="00BE08AC" w:rsidRDefault="00BE08AC" w:rsidP="00BE08AC">
            <w:pPr>
              <w:rPr>
                <w:rFonts w:ascii="Arial" w:hAnsi="Arial" w:cs="Arial"/>
                <w:sz w:val="20"/>
                <w:szCs w:val="20"/>
              </w:rPr>
            </w:pPr>
            <w:r w:rsidRPr="00BE08AC">
              <w:rPr>
                <w:rFonts w:ascii="Arial" w:hAnsi="Arial" w:cs="Arial"/>
                <w:sz w:val="20"/>
                <w:szCs w:val="20"/>
              </w:rPr>
              <w:t>Regimen</w:t>
            </w:r>
          </w:p>
        </w:tc>
        <w:tc>
          <w:tcPr>
            <w:tcW w:w="2120"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4644353D" w14:textId="77777777" w:rsidR="00BE08AC" w:rsidRPr="00BE08AC" w:rsidRDefault="00BE08AC" w:rsidP="00BE08AC">
            <w:pPr>
              <w:rPr>
                <w:rFonts w:ascii="Arial" w:hAnsi="Arial" w:cs="Arial"/>
                <w:sz w:val="20"/>
                <w:szCs w:val="20"/>
              </w:rPr>
            </w:pPr>
            <w:r w:rsidRPr="00BE08AC">
              <w:rPr>
                <w:rFonts w:ascii="Arial" w:hAnsi="Arial" w:cs="Arial"/>
                <w:sz w:val="20"/>
                <w:szCs w:val="20"/>
              </w:rPr>
              <w:t>Months</w:t>
            </w:r>
          </w:p>
        </w:tc>
        <w:tc>
          <w:tcPr>
            <w:tcW w:w="2120"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41BB49F0" w14:textId="77777777" w:rsidR="00BE08AC" w:rsidRPr="00BE08AC" w:rsidRDefault="00BE08AC" w:rsidP="00BE08AC">
            <w:pPr>
              <w:rPr>
                <w:rFonts w:ascii="Arial" w:hAnsi="Arial" w:cs="Arial"/>
                <w:sz w:val="20"/>
                <w:szCs w:val="20"/>
              </w:rPr>
            </w:pPr>
            <w:r w:rsidRPr="00BE08AC">
              <w:rPr>
                <w:rFonts w:ascii="Arial" w:hAnsi="Arial" w:cs="Arial"/>
                <w:sz w:val="20"/>
                <w:szCs w:val="20"/>
              </w:rPr>
              <w:t>Sensitivity</w:t>
            </w:r>
          </w:p>
        </w:tc>
        <w:tc>
          <w:tcPr>
            <w:tcW w:w="2120"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491061CA" w14:textId="77777777" w:rsidR="00BE08AC" w:rsidRPr="00BE08AC" w:rsidRDefault="00BE08AC" w:rsidP="00BE08AC">
            <w:pPr>
              <w:rPr>
                <w:rFonts w:ascii="Arial" w:hAnsi="Arial" w:cs="Arial"/>
                <w:sz w:val="20"/>
                <w:szCs w:val="20"/>
              </w:rPr>
            </w:pPr>
            <w:r w:rsidRPr="00BE08AC">
              <w:rPr>
                <w:rFonts w:ascii="Arial" w:hAnsi="Arial" w:cs="Arial"/>
                <w:sz w:val="20"/>
                <w:szCs w:val="20"/>
              </w:rPr>
              <w:t>Latency (months)</w:t>
            </w:r>
          </w:p>
        </w:tc>
        <w:tc>
          <w:tcPr>
            <w:tcW w:w="2120"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148467EA" w14:textId="77777777" w:rsidR="00BE08AC" w:rsidRPr="00BE08AC" w:rsidRDefault="00BE08AC" w:rsidP="00BE08AC">
            <w:pPr>
              <w:rPr>
                <w:rFonts w:ascii="Arial" w:hAnsi="Arial" w:cs="Arial"/>
                <w:sz w:val="20"/>
                <w:szCs w:val="20"/>
              </w:rPr>
            </w:pPr>
            <w:r w:rsidRPr="00BE08AC">
              <w:rPr>
                <w:rFonts w:ascii="Arial" w:hAnsi="Arial" w:cs="Arial"/>
                <w:sz w:val="20"/>
                <w:szCs w:val="20"/>
              </w:rPr>
              <w:t>Total false positives per 10,000 patients</w:t>
            </w:r>
          </w:p>
        </w:tc>
      </w:tr>
      <w:tr w:rsidR="00BE08AC" w:rsidRPr="00BE08AC" w14:paraId="5C4EB516" w14:textId="77777777" w:rsidTr="00BE08AC">
        <w:trPr>
          <w:trHeight w:val="498"/>
        </w:trPr>
        <w:tc>
          <w:tcPr>
            <w:tcW w:w="2120" w:type="dxa"/>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8469192" w14:textId="77777777" w:rsidR="00BE08AC" w:rsidRPr="00BE08AC" w:rsidRDefault="00BE08AC" w:rsidP="00BE08AC">
            <w:pPr>
              <w:rPr>
                <w:rFonts w:ascii="Arial" w:hAnsi="Arial" w:cs="Arial"/>
                <w:sz w:val="20"/>
                <w:szCs w:val="20"/>
              </w:rPr>
            </w:pPr>
            <w:r w:rsidRPr="00BE08AC">
              <w:rPr>
                <w:rFonts w:ascii="Arial" w:hAnsi="Arial" w:cs="Arial"/>
                <w:sz w:val="20"/>
                <w:szCs w:val="20"/>
              </w:rPr>
              <w:t>PET</w:t>
            </w:r>
          </w:p>
        </w:tc>
        <w:tc>
          <w:tcPr>
            <w:tcW w:w="2120" w:type="dxa"/>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64B7058" w14:textId="77777777" w:rsidR="00BE08AC" w:rsidRPr="00BE08AC" w:rsidRDefault="00BE08AC" w:rsidP="00BE08AC">
            <w:pPr>
              <w:rPr>
                <w:rFonts w:ascii="Arial" w:hAnsi="Arial" w:cs="Arial"/>
                <w:sz w:val="20"/>
                <w:szCs w:val="20"/>
              </w:rPr>
            </w:pPr>
            <w:r w:rsidRPr="00BE08AC">
              <w:rPr>
                <w:rFonts w:ascii="Arial" w:hAnsi="Arial" w:cs="Arial"/>
                <w:sz w:val="20"/>
                <w:szCs w:val="20"/>
              </w:rPr>
              <w:t>3</w:t>
            </w:r>
          </w:p>
        </w:tc>
        <w:tc>
          <w:tcPr>
            <w:tcW w:w="2120" w:type="dxa"/>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721C5CC" w14:textId="77777777" w:rsidR="00BE08AC" w:rsidRPr="00BE08AC" w:rsidRDefault="00BE08AC" w:rsidP="00BE08AC">
            <w:pPr>
              <w:rPr>
                <w:rFonts w:ascii="Arial" w:hAnsi="Arial" w:cs="Arial"/>
                <w:sz w:val="20"/>
                <w:szCs w:val="20"/>
              </w:rPr>
            </w:pPr>
            <w:r w:rsidRPr="00BE08AC">
              <w:rPr>
                <w:rFonts w:ascii="Arial" w:hAnsi="Arial" w:cs="Arial"/>
                <w:sz w:val="20"/>
                <w:szCs w:val="20"/>
              </w:rPr>
              <w:t>.12</w:t>
            </w:r>
          </w:p>
        </w:tc>
        <w:tc>
          <w:tcPr>
            <w:tcW w:w="2120" w:type="dxa"/>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5ADF72E" w14:textId="77777777" w:rsidR="00BE08AC" w:rsidRPr="00BE08AC" w:rsidRDefault="00BE08AC" w:rsidP="00BE08AC">
            <w:pPr>
              <w:rPr>
                <w:rFonts w:ascii="Arial" w:hAnsi="Arial" w:cs="Arial"/>
                <w:sz w:val="20"/>
                <w:szCs w:val="20"/>
              </w:rPr>
            </w:pPr>
            <w:r w:rsidRPr="00BE08AC">
              <w:rPr>
                <w:rFonts w:ascii="Arial" w:hAnsi="Arial" w:cs="Arial"/>
                <w:sz w:val="20"/>
                <w:szCs w:val="20"/>
              </w:rPr>
              <w:t>18.2</w:t>
            </w:r>
          </w:p>
        </w:tc>
        <w:tc>
          <w:tcPr>
            <w:tcW w:w="2120" w:type="dxa"/>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DF071E9" w14:textId="77777777" w:rsidR="00BE08AC" w:rsidRPr="00BE08AC" w:rsidRDefault="00BE08AC" w:rsidP="00BE08AC">
            <w:pPr>
              <w:rPr>
                <w:rFonts w:ascii="Arial" w:hAnsi="Arial" w:cs="Arial"/>
                <w:sz w:val="20"/>
                <w:szCs w:val="20"/>
              </w:rPr>
            </w:pPr>
            <w:r w:rsidRPr="00BE08AC">
              <w:rPr>
                <w:rFonts w:ascii="Arial" w:hAnsi="Arial" w:cs="Arial"/>
                <w:sz w:val="20"/>
                <w:szCs w:val="20"/>
              </w:rPr>
              <w:t>1111</w:t>
            </w:r>
          </w:p>
        </w:tc>
      </w:tr>
      <w:tr w:rsidR="00BE08AC" w:rsidRPr="00BE08AC" w14:paraId="15B42CB6" w14:textId="77777777" w:rsidTr="00BE08AC">
        <w:trPr>
          <w:trHeight w:val="498"/>
        </w:trPr>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285E4BB" w14:textId="77777777" w:rsidR="00BE08AC" w:rsidRPr="00BE08AC" w:rsidRDefault="00BE08AC" w:rsidP="00BE08AC">
            <w:pPr>
              <w:rPr>
                <w:rFonts w:ascii="Arial" w:hAnsi="Arial" w:cs="Arial"/>
                <w:sz w:val="20"/>
                <w:szCs w:val="20"/>
              </w:rPr>
            </w:pPr>
            <w:r w:rsidRPr="00BE08AC">
              <w:rPr>
                <w:rFonts w:ascii="Arial" w:hAnsi="Arial" w:cs="Arial"/>
                <w:sz w:val="20"/>
                <w:szCs w:val="20"/>
              </w:rPr>
              <w:t>+1 CT</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5A4CEAB" w14:textId="77777777" w:rsidR="00BE08AC" w:rsidRPr="00BE08AC" w:rsidRDefault="00BE08AC" w:rsidP="00BE08AC">
            <w:pPr>
              <w:rPr>
                <w:rFonts w:ascii="Arial" w:hAnsi="Arial" w:cs="Arial"/>
                <w:sz w:val="20"/>
                <w:szCs w:val="20"/>
              </w:rPr>
            </w:pPr>
            <w:r w:rsidRPr="00BE08AC">
              <w:rPr>
                <w:rFonts w:ascii="Arial" w:hAnsi="Arial" w:cs="Arial"/>
                <w:sz w:val="20"/>
                <w:szCs w:val="20"/>
              </w:rPr>
              <w:t>3,18</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E99762C" w14:textId="77777777" w:rsidR="00BE08AC" w:rsidRPr="00BE08AC" w:rsidRDefault="00BE08AC" w:rsidP="00BE08AC">
            <w:pPr>
              <w:rPr>
                <w:rFonts w:ascii="Arial" w:hAnsi="Arial" w:cs="Arial"/>
                <w:sz w:val="20"/>
                <w:szCs w:val="20"/>
              </w:rPr>
            </w:pPr>
            <w:r w:rsidRPr="00BE08AC">
              <w:rPr>
                <w:rFonts w:ascii="Arial" w:hAnsi="Arial" w:cs="Arial"/>
                <w:sz w:val="20"/>
                <w:szCs w:val="20"/>
              </w:rPr>
              <w:t>.31</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0576028" w14:textId="77777777" w:rsidR="00BE08AC" w:rsidRPr="00BE08AC" w:rsidRDefault="00BE08AC" w:rsidP="00BE08AC">
            <w:pPr>
              <w:rPr>
                <w:rFonts w:ascii="Arial" w:hAnsi="Arial" w:cs="Arial"/>
                <w:sz w:val="20"/>
                <w:szCs w:val="20"/>
              </w:rPr>
            </w:pPr>
            <w:r w:rsidRPr="00BE08AC">
              <w:rPr>
                <w:rFonts w:ascii="Arial" w:hAnsi="Arial" w:cs="Arial"/>
                <w:sz w:val="20"/>
                <w:szCs w:val="20"/>
              </w:rPr>
              <w:t>14.6</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310C721" w14:textId="77777777" w:rsidR="00BE08AC" w:rsidRPr="00BE08AC" w:rsidRDefault="00BE08AC" w:rsidP="00BE08AC">
            <w:pPr>
              <w:rPr>
                <w:rFonts w:ascii="Arial" w:hAnsi="Arial" w:cs="Arial"/>
                <w:sz w:val="20"/>
                <w:szCs w:val="20"/>
              </w:rPr>
            </w:pPr>
            <w:r w:rsidRPr="00BE08AC">
              <w:rPr>
                <w:rFonts w:ascii="Arial" w:hAnsi="Arial" w:cs="Arial"/>
                <w:sz w:val="20"/>
                <w:szCs w:val="20"/>
              </w:rPr>
              <w:t>1936</w:t>
            </w:r>
          </w:p>
        </w:tc>
      </w:tr>
      <w:tr w:rsidR="00BE08AC" w:rsidRPr="00BE08AC" w14:paraId="4CC78FEC" w14:textId="77777777" w:rsidTr="00BE08AC">
        <w:trPr>
          <w:trHeight w:val="498"/>
        </w:trPr>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C23EEED" w14:textId="77777777" w:rsidR="00BE08AC" w:rsidRPr="00BE08AC" w:rsidRDefault="00BE08AC" w:rsidP="00BE08AC">
            <w:pPr>
              <w:rPr>
                <w:rFonts w:ascii="Arial" w:hAnsi="Arial" w:cs="Arial"/>
                <w:sz w:val="20"/>
                <w:szCs w:val="20"/>
              </w:rPr>
            </w:pPr>
            <w:r w:rsidRPr="00BE08AC">
              <w:rPr>
                <w:rFonts w:ascii="Arial" w:hAnsi="Arial" w:cs="Arial"/>
                <w:sz w:val="20"/>
                <w:szCs w:val="20"/>
              </w:rPr>
              <w:t>+2 CT</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991C566" w14:textId="77777777" w:rsidR="00BE08AC" w:rsidRPr="00BE08AC" w:rsidRDefault="00BE08AC" w:rsidP="00BE08AC">
            <w:pPr>
              <w:rPr>
                <w:rFonts w:ascii="Arial" w:hAnsi="Arial" w:cs="Arial"/>
                <w:sz w:val="20"/>
                <w:szCs w:val="20"/>
              </w:rPr>
            </w:pPr>
            <w:r w:rsidRPr="00BE08AC">
              <w:rPr>
                <w:rFonts w:ascii="Arial" w:hAnsi="Arial" w:cs="Arial"/>
                <w:sz w:val="20"/>
                <w:szCs w:val="20"/>
              </w:rPr>
              <w:t>3,12,22</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84EC8F2" w14:textId="77777777" w:rsidR="00BE08AC" w:rsidRPr="00BE08AC" w:rsidRDefault="00BE08AC" w:rsidP="00BE08AC">
            <w:pPr>
              <w:rPr>
                <w:rFonts w:ascii="Arial" w:hAnsi="Arial" w:cs="Arial"/>
                <w:sz w:val="20"/>
                <w:szCs w:val="20"/>
              </w:rPr>
            </w:pPr>
            <w:r w:rsidRPr="00BE08AC">
              <w:rPr>
                <w:rFonts w:ascii="Arial" w:hAnsi="Arial" w:cs="Arial"/>
                <w:sz w:val="20"/>
                <w:szCs w:val="20"/>
              </w:rPr>
              <w:t>.44</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17FE587" w14:textId="77777777" w:rsidR="00BE08AC" w:rsidRPr="00BE08AC" w:rsidRDefault="00BE08AC" w:rsidP="00BE08AC">
            <w:pPr>
              <w:rPr>
                <w:rFonts w:ascii="Arial" w:hAnsi="Arial" w:cs="Arial"/>
                <w:sz w:val="20"/>
                <w:szCs w:val="20"/>
              </w:rPr>
            </w:pPr>
            <w:r w:rsidRPr="00BE08AC">
              <w:rPr>
                <w:rFonts w:ascii="Arial" w:hAnsi="Arial" w:cs="Arial"/>
                <w:sz w:val="20"/>
                <w:szCs w:val="20"/>
              </w:rPr>
              <w:t>12.1</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2951807" w14:textId="77777777" w:rsidR="00BE08AC" w:rsidRPr="00BE08AC" w:rsidRDefault="00BE08AC" w:rsidP="00BE08AC">
            <w:pPr>
              <w:rPr>
                <w:rFonts w:ascii="Arial" w:hAnsi="Arial" w:cs="Arial"/>
                <w:sz w:val="20"/>
                <w:szCs w:val="20"/>
              </w:rPr>
            </w:pPr>
            <w:r w:rsidRPr="00BE08AC">
              <w:rPr>
                <w:rFonts w:ascii="Arial" w:hAnsi="Arial" w:cs="Arial"/>
                <w:sz w:val="20"/>
                <w:szCs w:val="20"/>
              </w:rPr>
              <w:t>2770</w:t>
            </w:r>
          </w:p>
        </w:tc>
      </w:tr>
      <w:tr w:rsidR="00BE08AC" w:rsidRPr="00BE08AC" w14:paraId="4D2E35B8" w14:textId="77777777" w:rsidTr="00BE08AC">
        <w:trPr>
          <w:trHeight w:val="498"/>
        </w:trPr>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EE92BBD" w14:textId="77777777" w:rsidR="00BE08AC" w:rsidRPr="00BE08AC" w:rsidRDefault="00BE08AC" w:rsidP="00BE08AC">
            <w:pPr>
              <w:rPr>
                <w:rFonts w:ascii="Arial" w:hAnsi="Arial" w:cs="Arial"/>
                <w:sz w:val="20"/>
                <w:szCs w:val="20"/>
              </w:rPr>
            </w:pPr>
            <w:r w:rsidRPr="00BE08AC">
              <w:rPr>
                <w:rFonts w:ascii="Arial" w:hAnsi="Arial" w:cs="Arial"/>
                <w:sz w:val="20"/>
                <w:szCs w:val="20"/>
              </w:rPr>
              <w:t>+3 CT</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23FA91B" w14:textId="77777777" w:rsidR="00BE08AC" w:rsidRPr="00BE08AC" w:rsidRDefault="00BE08AC" w:rsidP="00BE08AC">
            <w:pPr>
              <w:rPr>
                <w:rFonts w:ascii="Arial" w:hAnsi="Arial" w:cs="Arial"/>
                <w:sz w:val="20"/>
                <w:szCs w:val="20"/>
              </w:rPr>
            </w:pPr>
            <w:r w:rsidRPr="00BE08AC">
              <w:rPr>
                <w:rFonts w:ascii="Arial" w:hAnsi="Arial" w:cs="Arial"/>
                <w:sz w:val="20"/>
                <w:szCs w:val="20"/>
              </w:rPr>
              <w:t>3,8,14,23</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F475A89" w14:textId="77777777" w:rsidR="00BE08AC" w:rsidRPr="00BE08AC" w:rsidRDefault="00BE08AC" w:rsidP="00BE08AC">
            <w:pPr>
              <w:rPr>
                <w:rFonts w:ascii="Arial" w:hAnsi="Arial" w:cs="Arial"/>
                <w:sz w:val="20"/>
                <w:szCs w:val="20"/>
              </w:rPr>
            </w:pPr>
            <w:r w:rsidRPr="00BE08AC">
              <w:rPr>
                <w:rFonts w:ascii="Arial" w:hAnsi="Arial" w:cs="Arial"/>
                <w:sz w:val="20"/>
                <w:szCs w:val="20"/>
              </w:rPr>
              <w:t>.50</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F68F8A2" w14:textId="77777777" w:rsidR="00BE08AC" w:rsidRPr="00BE08AC" w:rsidRDefault="00BE08AC" w:rsidP="00BE08AC">
            <w:pPr>
              <w:rPr>
                <w:rFonts w:ascii="Arial" w:hAnsi="Arial" w:cs="Arial"/>
                <w:sz w:val="20"/>
                <w:szCs w:val="20"/>
              </w:rPr>
            </w:pPr>
            <w:r w:rsidRPr="00BE08AC">
              <w:rPr>
                <w:rFonts w:ascii="Arial" w:hAnsi="Arial" w:cs="Arial"/>
                <w:sz w:val="20"/>
                <w:szCs w:val="20"/>
              </w:rPr>
              <w:t>10.3</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91747E7" w14:textId="77777777" w:rsidR="00BE08AC" w:rsidRPr="00BE08AC" w:rsidRDefault="00BE08AC" w:rsidP="00BE08AC">
            <w:pPr>
              <w:rPr>
                <w:rFonts w:ascii="Arial" w:hAnsi="Arial" w:cs="Arial"/>
                <w:sz w:val="20"/>
                <w:szCs w:val="20"/>
              </w:rPr>
            </w:pPr>
            <w:r w:rsidRPr="00BE08AC">
              <w:rPr>
                <w:rFonts w:ascii="Arial" w:hAnsi="Arial" w:cs="Arial"/>
                <w:sz w:val="20"/>
                <w:szCs w:val="20"/>
              </w:rPr>
              <w:t>3443</w:t>
            </w:r>
          </w:p>
        </w:tc>
      </w:tr>
      <w:tr w:rsidR="00BE08AC" w:rsidRPr="00BE08AC" w14:paraId="5259DB96" w14:textId="77777777" w:rsidTr="00BE08AC">
        <w:trPr>
          <w:trHeight w:val="498"/>
        </w:trPr>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00CFB4A8" w14:textId="77777777" w:rsidR="00BE08AC" w:rsidRPr="00BE08AC" w:rsidRDefault="00BE08AC" w:rsidP="00BE08AC">
            <w:pPr>
              <w:rPr>
                <w:rFonts w:ascii="Arial" w:hAnsi="Arial" w:cs="Arial"/>
                <w:sz w:val="20"/>
                <w:szCs w:val="20"/>
              </w:rPr>
            </w:pPr>
            <w:r w:rsidRPr="00BE08AC">
              <w:rPr>
                <w:rFonts w:ascii="Arial" w:hAnsi="Arial" w:cs="Arial"/>
                <w:sz w:val="20"/>
                <w:szCs w:val="20"/>
              </w:rPr>
              <w:t>+4 CT</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B523838" w14:textId="77777777" w:rsidR="00BE08AC" w:rsidRPr="00BE08AC" w:rsidRDefault="00BE08AC" w:rsidP="00BE08AC">
            <w:pPr>
              <w:rPr>
                <w:rFonts w:ascii="Arial" w:hAnsi="Arial" w:cs="Arial"/>
                <w:sz w:val="20"/>
                <w:szCs w:val="20"/>
              </w:rPr>
            </w:pPr>
            <w:r w:rsidRPr="00BE08AC">
              <w:rPr>
                <w:rFonts w:ascii="Arial" w:hAnsi="Arial" w:cs="Arial"/>
                <w:sz w:val="20"/>
                <w:szCs w:val="20"/>
              </w:rPr>
              <w:t>3,8,14,20,26</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C43961C" w14:textId="77777777" w:rsidR="00BE08AC" w:rsidRPr="00BE08AC" w:rsidRDefault="00BE08AC" w:rsidP="00BE08AC">
            <w:pPr>
              <w:rPr>
                <w:rFonts w:ascii="Arial" w:hAnsi="Arial" w:cs="Arial"/>
                <w:sz w:val="20"/>
                <w:szCs w:val="20"/>
              </w:rPr>
            </w:pPr>
            <w:r w:rsidRPr="00BE08AC">
              <w:rPr>
                <w:rFonts w:ascii="Arial" w:hAnsi="Arial" w:cs="Arial"/>
                <w:sz w:val="20"/>
                <w:szCs w:val="20"/>
              </w:rPr>
              <w:t>.58</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7E28657" w14:textId="77777777" w:rsidR="00BE08AC" w:rsidRPr="00BE08AC" w:rsidRDefault="00BE08AC" w:rsidP="00BE08AC">
            <w:pPr>
              <w:rPr>
                <w:rFonts w:ascii="Arial" w:hAnsi="Arial" w:cs="Arial"/>
                <w:sz w:val="20"/>
                <w:szCs w:val="20"/>
              </w:rPr>
            </w:pPr>
            <w:r w:rsidRPr="00BE08AC">
              <w:rPr>
                <w:rFonts w:ascii="Arial" w:hAnsi="Arial" w:cs="Arial"/>
                <w:sz w:val="20"/>
                <w:szCs w:val="20"/>
              </w:rPr>
              <w:t>9.4</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8488D19" w14:textId="77777777" w:rsidR="00BE08AC" w:rsidRPr="00BE08AC" w:rsidRDefault="00BE08AC" w:rsidP="00BE08AC">
            <w:pPr>
              <w:rPr>
                <w:rFonts w:ascii="Arial" w:hAnsi="Arial" w:cs="Arial"/>
                <w:sz w:val="20"/>
                <w:szCs w:val="20"/>
              </w:rPr>
            </w:pPr>
            <w:r w:rsidRPr="00BE08AC">
              <w:rPr>
                <w:rFonts w:ascii="Arial" w:hAnsi="Arial" w:cs="Arial"/>
                <w:sz w:val="20"/>
                <w:szCs w:val="20"/>
              </w:rPr>
              <w:t>4035</w:t>
            </w:r>
          </w:p>
        </w:tc>
      </w:tr>
      <w:tr w:rsidR="00BE08AC" w:rsidRPr="00BE08AC" w14:paraId="56391C37" w14:textId="77777777" w:rsidTr="00BE08AC">
        <w:trPr>
          <w:trHeight w:val="498"/>
        </w:trPr>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C49EBB9" w14:textId="77777777" w:rsidR="00BE08AC" w:rsidRPr="00BE08AC" w:rsidRDefault="00BE08AC" w:rsidP="00BE08AC">
            <w:pPr>
              <w:rPr>
                <w:rFonts w:ascii="Arial" w:hAnsi="Arial" w:cs="Arial"/>
                <w:sz w:val="20"/>
                <w:szCs w:val="20"/>
              </w:rPr>
            </w:pPr>
            <w:r w:rsidRPr="00BE08AC">
              <w:rPr>
                <w:rFonts w:ascii="Arial" w:hAnsi="Arial" w:cs="Arial"/>
                <w:sz w:val="20"/>
                <w:szCs w:val="20"/>
              </w:rPr>
              <w:t>+5 CT</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AE4F712" w14:textId="77777777" w:rsidR="00BE08AC" w:rsidRPr="00BE08AC" w:rsidRDefault="00BE08AC" w:rsidP="00BE08AC">
            <w:pPr>
              <w:rPr>
                <w:rFonts w:ascii="Arial" w:hAnsi="Arial" w:cs="Arial"/>
                <w:sz w:val="20"/>
                <w:szCs w:val="20"/>
              </w:rPr>
            </w:pPr>
            <w:r w:rsidRPr="00BE08AC">
              <w:rPr>
                <w:rFonts w:ascii="Arial" w:hAnsi="Arial" w:cs="Arial"/>
                <w:sz w:val="20"/>
                <w:szCs w:val="20"/>
              </w:rPr>
              <w:t>3,7,12,17,22,27</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CE71F5D" w14:textId="77777777" w:rsidR="00BE08AC" w:rsidRPr="00BE08AC" w:rsidRDefault="00BE08AC" w:rsidP="00BE08AC">
            <w:pPr>
              <w:rPr>
                <w:rFonts w:ascii="Arial" w:hAnsi="Arial" w:cs="Arial"/>
                <w:sz w:val="20"/>
                <w:szCs w:val="20"/>
              </w:rPr>
            </w:pPr>
            <w:r w:rsidRPr="00BE08AC">
              <w:rPr>
                <w:rFonts w:ascii="Arial" w:hAnsi="Arial" w:cs="Arial"/>
                <w:sz w:val="20"/>
                <w:szCs w:val="20"/>
              </w:rPr>
              <w:t>.62</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9AB2AF9" w14:textId="77777777" w:rsidR="00BE08AC" w:rsidRPr="00BE08AC" w:rsidRDefault="00BE08AC" w:rsidP="00BE08AC">
            <w:pPr>
              <w:rPr>
                <w:rFonts w:ascii="Arial" w:hAnsi="Arial" w:cs="Arial"/>
                <w:sz w:val="20"/>
                <w:szCs w:val="20"/>
              </w:rPr>
            </w:pPr>
            <w:r w:rsidRPr="00BE08AC">
              <w:rPr>
                <w:rFonts w:ascii="Arial" w:hAnsi="Arial" w:cs="Arial"/>
                <w:sz w:val="20"/>
                <w:szCs w:val="20"/>
              </w:rPr>
              <w:t>8.2</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69C536C" w14:textId="77777777" w:rsidR="00BE08AC" w:rsidRPr="00BE08AC" w:rsidRDefault="00BE08AC" w:rsidP="00BE08AC">
            <w:pPr>
              <w:rPr>
                <w:rFonts w:ascii="Arial" w:hAnsi="Arial" w:cs="Arial"/>
                <w:sz w:val="20"/>
                <w:szCs w:val="20"/>
              </w:rPr>
            </w:pPr>
            <w:r w:rsidRPr="00BE08AC">
              <w:rPr>
                <w:rFonts w:ascii="Arial" w:hAnsi="Arial" w:cs="Arial"/>
                <w:sz w:val="20"/>
                <w:szCs w:val="20"/>
              </w:rPr>
              <w:t>4519</w:t>
            </w:r>
          </w:p>
        </w:tc>
      </w:tr>
      <w:tr w:rsidR="00BE08AC" w:rsidRPr="00BE08AC" w14:paraId="43DC413F" w14:textId="77777777" w:rsidTr="00BE08AC">
        <w:trPr>
          <w:trHeight w:val="731"/>
        </w:trPr>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7FC5CD8" w14:textId="77777777" w:rsidR="00BE08AC" w:rsidRPr="00BE08AC" w:rsidRDefault="00BE08AC" w:rsidP="00BE08AC">
            <w:pPr>
              <w:rPr>
                <w:rFonts w:ascii="Arial" w:hAnsi="Arial" w:cs="Arial"/>
                <w:sz w:val="20"/>
                <w:szCs w:val="20"/>
              </w:rPr>
            </w:pPr>
            <w:r w:rsidRPr="00BE08AC">
              <w:rPr>
                <w:rFonts w:ascii="Arial" w:hAnsi="Arial" w:cs="Arial"/>
                <w:sz w:val="20"/>
                <w:szCs w:val="20"/>
              </w:rPr>
              <w:t>+6 CT</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5782B5C4" w14:textId="77777777" w:rsidR="00BE08AC" w:rsidRPr="00BE08AC" w:rsidRDefault="00BE08AC" w:rsidP="00BE08AC">
            <w:pPr>
              <w:rPr>
                <w:rFonts w:ascii="Arial" w:hAnsi="Arial" w:cs="Arial"/>
                <w:sz w:val="20"/>
                <w:szCs w:val="20"/>
              </w:rPr>
            </w:pPr>
            <w:r w:rsidRPr="00BE08AC">
              <w:rPr>
                <w:rFonts w:ascii="Arial" w:hAnsi="Arial" w:cs="Arial"/>
                <w:sz w:val="20"/>
                <w:szCs w:val="20"/>
              </w:rPr>
              <w:t>3,7,11,15,19,23,31</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4C83FE3D" w14:textId="77777777" w:rsidR="00BE08AC" w:rsidRPr="00BE08AC" w:rsidRDefault="00BE08AC" w:rsidP="00BE08AC">
            <w:pPr>
              <w:rPr>
                <w:rFonts w:ascii="Arial" w:hAnsi="Arial" w:cs="Arial"/>
                <w:sz w:val="20"/>
                <w:szCs w:val="20"/>
              </w:rPr>
            </w:pPr>
            <w:r w:rsidRPr="00BE08AC">
              <w:rPr>
                <w:rFonts w:ascii="Arial" w:hAnsi="Arial" w:cs="Arial"/>
                <w:sz w:val="20"/>
                <w:szCs w:val="20"/>
              </w:rPr>
              <w:t>.67</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7EBD426C" w14:textId="77777777" w:rsidR="00BE08AC" w:rsidRPr="00BE08AC" w:rsidRDefault="00BE08AC" w:rsidP="00BE08AC">
            <w:pPr>
              <w:rPr>
                <w:rFonts w:ascii="Arial" w:hAnsi="Arial" w:cs="Arial"/>
                <w:sz w:val="20"/>
                <w:szCs w:val="20"/>
              </w:rPr>
            </w:pPr>
            <w:r w:rsidRPr="00BE08AC">
              <w:rPr>
                <w:rFonts w:ascii="Arial" w:hAnsi="Arial" w:cs="Arial"/>
                <w:sz w:val="20"/>
                <w:szCs w:val="20"/>
              </w:rPr>
              <w:t>7.7*</w:t>
            </w:r>
          </w:p>
        </w:tc>
        <w:tc>
          <w:tcPr>
            <w:tcW w:w="2120"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3DAA2863" w14:textId="77777777" w:rsidR="00BE08AC" w:rsidRPr="00BE08AC" w:rsidRDefault="00BE08AC" w:rsidP="00BE08AC">
            <w:pPr>
              <w:rPr>
                <w:rFonts w:ascii="Arial" w:hAnsi="Arial" w:cs="Arial"/>
                <w:sz w:val="20"/>
                <w:szCs w:val="20"/>
              </w:rPr>
            </w:pPr>
            <w:r w:rsidRPr="00BE08AC">
              <w:rPr>
                <w:rFonts w:ascii="Arial" w:hAnsi="Arial" w:cs="Arial"/>
                <w:sz w:val="20"/>
                <w:szCs w:val="20"/>
              </w:rPr>
              <w:t>4935</w:t>
            </w:r>
          </w:p>
        </w:tc>
      </w:tr>
      <w:tr w:rsidR="00BE08AC" w:rsidRPr="00BE08AC" w14:paraId="773A7EC4" w14:textId="77777777" w:rsidTr="00BE08AC">
        <w:trPr>
          <w:trHeight w:val="471"/>
        </w:trPr>
        <w:tc>
          <w:tcPr>
            <w:tcW w:w="2120"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73BFDB36" w14:textId="77777777" w:rsidR="00BE08AC" w:rsidRPr="00BE08AC" w:rsidRDefault="00BE08AC" w:rsidP="00BE08AC">
            <w:pPr>
              <w:rPr>
                <w:rFonts w:ascii="Arial" w:hAnsi="Arial" w:cs="Arial"/>
                <w:sz w:val="20"/>
                <w:szCs w:val="20"/>
              </w:rPr>
            </w:pPr>
            <w:r w:rsidRPr="00BE08AC">
              <w:rPr>
                <w:rFonts w:ascii="Arial" w:hAnsi="Arial" w:cs="Arial"/>
                <w:sz w:val="20"/>
                <w:szCs w:val="20"/>
              </w:rPr>
              <w:t>Standard</w:t>
            </w:r>
          </w:p>
        </w:tc>
        <w:tc>
          <w:tcPr>
            <w:tcW w:w="2120"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224991D7" w14:textId="77777777" w:rsidR="00BE08AC" w:rsidRPr="00BE08AC" w:rsidRDefault="00BE08AC" w:rsidP="00BE08AC">
            <w:pPr>
              <w:rPr>
                <w:rFonts w:ascii="Arial" w:hAnsi="Arial" w:cs="Arial"/>
                <w:sz w:val="20"/>
                <w:szCs w:val="20"/>
              </w:rPr>
            </w:pPr>
            <w:r w:rsidRPr="00BE08AC">
              <w:rPr>
                <w:rFonts w:ascii="Arial" w:hAnsi="Arial" w:cs="Arial"/>
                <w:sz w:val="20"/>
                <w:szCs w:val="20"/>
              </w:rPr>
              <w:t>3,6,9,12,18,24,36</w:t>
            </w:r>
          </w:p>
        </w:tc>
        <w:tc>
          <w:tcPr>
            <w:tcW w:w="2120"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7B6CBC3E" w14:textId="77777777" w:rsidR="00BE08AC" w:rsidRPr="00BE08AC" w:rsidRDefault="00BE08AC" w:rsidP="00BE08AC">
            <w:pPr>
              <w:rPr>
                <w:rFonts w:ascii="Arial" w:hAnsi="Arial" w:cs="Arial"/>
                <w:sz w:val="20"/>
                <w:szCs w:val="20"/>
              </w:rPr>
            </w:pPr>
            <w:r w:rsidRPr="00BE08AC">
              <w:rPr>
                <w:rFonts w:ascii="Arial" w:hAnsi="Arial" w:cs="Arial"/>
                <w:sz w:val="20"/>
                <w:szCs w:val="20"/>
              </w:rPr>
              <w:t>.68</w:t>
            </w:r>
          </w:p>
        </w:tc>
        <w:tc>
          <w:tcPr>
            <w:tcW w:w="2120"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157EA03F" w14:textId="77777777" w:rsidR="00BE08AC" w:rsidRPr="00BE08AC" w:rsidRDefault="00BE08AC" w:rsidP="00BE08AC">
            <w:pPr>
              <w:rPr>
                <w:rFonts w:ascii="Arial" w:hAnsi="Arial" w:cs="Arial"/>
                <w:sz w:val="20"/>
                <w:szCs w:val="20"/>
              </w:rPr>
            </w:pPr>
            <w:r w:rsidRPr="00BE08AC">
              <w:rPr>
                <w:rFonts w:ascii="Arial" w:hAnsi="Arial" w:cs="Arial"/>
                <w:sz w:val="20"/>
                <w:szCs w:val="20"/>
              </w:rPr>
              <w:t>8.5*</w:t>
            </w:r>
          </w:p>
        </w:tc>
        <w:tc>
          <w:tcPr>
            <w:tcW w:w="2120" w:type="dxa"/>
            <w:tcBorders>
              <w:top w:val="single" w:sz="8" w:space="0" w:color="FFFFFF"/>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35D63EF8" w14:textId="77777777" w:rsidR="00BE08AC" w:rsidRPr="00BE08AC" w:rsidRDefault="00BE08AC" w:rsidP="00BE08AC">
            <w:pPr>
              <w:rPr>
                <w:rFonts w:ascii="Arial" w:hAnsi="Arial" w:cs="Arial"/>
                <w:sz w:val="20"/>
                <w:szCs w:val="20"/>
              </w:rPr>
            </w:pPr>
            <w:r w:rsidRPr="00BE08AC">
              <w:rPr>
                <w:rFonts w:ascii="Arial" w:hAnsi="Arial" w:cs="Arial"/>
                <w:sz w:val="20"/>
                <w:szCs w:val="20"/>
              </w:rPr>
              <w:t>5094</w:t>
            </w:r>
          </w:p>
        </w:tc>
      </w:tr>
      <w:tr w:rsidR="00BE08AC" w:rsidRPr="00BE08AC" w14:paraId="5EA9D6ED" w14:textId="77777777" w:rsidTr="00BE08AC">
        <w:trPr>
          <w:trHeight w:val="1801"/>
        </w:trPr>
        <w:tc>
          <w:tcPr>
            <w:tcW w:w="10620" w:type="dxa"/>
            <w:gridSpan w:val="5"/>
            <w:tcBorders>
              <w:top w:val="single" w:sz="8" w:space="0" w:color="000000"/>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1A1E1AC5" w14:textId="77777777" w:rsidR="00BE08AC" w:rsidRPr="00BE08AC" w:rsidRDefault="00BE08AC" w:rsidP="00BE08AC">
            <w:pPr>
              <w:rPr>
                <w:rFonts w:ascii="Arial" w:hAnsi="Arial" w:cs="Arial"/>
                <w:sz w:val="16"/>
                <w:szCs w:val="16"/>
              </w:rPr>
            </w:pPr>
            <w:r w:rsidRPr="00BE08AC">
              <w:rPr>
                <w:rFonts w:ascii="Arial" w:hAnsi="Arial" w:cs="Arial"/>
                <w:sz w:val="16"/>
                <w:szCs w:val="16"/>
              </w:rPr>
              <w:t>Standard refers to a PET at month 3, CT neck/chest at 6,9,12,18,24,36. Latency for radiologically discovered disease is defined: latency=month of radiologic disease discovery – month of recurrence onset; Latency for radiologically missed disease is defined: latency= 36 – month of recurrence onset</w:t>
            </w:r>
          </w:p>
          <w:p w14:paraId="0FF5AAE5" w14:textId="77777777" w:rsidR="00BE08AC" w:rsidRPr="00BE08AC" w:rsidRDefault="00BE08AC" w:rsidP="00BE08AC">
            <w:pPr>
              <w:rPr>
                <w:rFonts w:ascii="Arial" w:hAnsi="Arial" w:cs="Arial"/>
              </w:rPr>
            </w:pPr>
            <w:r w:rsidRPr="00BE08AC">
              <w:rPr>
                <w:rFonts w:ascii="Arial" w:hAnsi="Arial" w:cs="Arial"/>
                <w:sz w:val="16"/>
                <w:szCs w:val="16"/>
              </w:rPr>
              <w:t>* Denotes when there is a significant difference between latency of PET+6CT and Standard regimens (unpaired t-test, alpha=0.0083). There were no significant differences in sensitivity or false positives between these regimens across all cohorts (z score for population proportions, alpha=0.0083).</w:t>
            </w:r>
            <w:r w:rsidRPr="00BE08AC">
              <w:rPr>
                <w:rFonts w:ascii="Arial" w:hAnsi="Arial" w:cs="Arial"/>
              </w:rPr>
              <w:t xml:space="preserve"> </w:t>
            </w:r>
          </w:p>
        </w:tc>
      </w:tr>
    </w:tbl>
    <w:p w14:paraId="4F70F2A9" w14:textId="77777777" w:rsidR="00DF08AB" w:rsidRDefault="00861ED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F08AB" w14:paraId="41C867C8" w14:textId="77777777" w:rsidTr="00DF08AB">
        <w:tc>
          <w:tcPr>
            <w:tcW w:w="9350" w:type="dxa"/>
            <w:gridSpan w:val="2"/>
            <w:tcBorders>
              <w:bottom w:val="single" w:sz="4" w:space="0" w:color="auto"/>
            </w:tcBorders>
          </w:tcPr>
          <w:p w14:paraId="772AD8B4" w14:textId="39879D75" w:rsidR="00DF08AB" w:rsidRPr="00DF08AB" w:rsidRDefault="00DF08AB" w:rsidP="00DF08AB">
            <w:pPr>
              <w:spacing w:line="480" w:lineRule="auto"/>
              <w:rPr>
                <w:rFonts w:ascii="Arial" w:hAnsi="Arial" w:cs="Arial"/>
                <w:b/>
                <w:bCs/>
                <w:sz w:val="24"/>
                <w:szCs w:val="24"/>
              </w:rPr>
            </w:pPr>
            <w:r w:rsidRPr="00DF08AB">
              <w:rPr>
                <w:rFonts w:ascii="Arial" w:hAnsi="Arial" w:cs="Arial"/>
                <w:b/>
                <w:bCs/>
                <w:sz w:val="24"/>
                <w:szCs w:val="24"/>
              </w:rPr>
              <w:lastRenderedPageBreak/>
              <w:t>eTable 4. Python Packages Used in Model Development</w:t>
            </w:r>
          </w:p>
        </w:tc>
      </w:tr>
      <w:tr w:rsidR="00DF08AB" w14:paraId="02AFA4C9" w14:textId="77777777" w:rsidTr="00DF08AB">
        <w:tc>
          <w:tcPr>
            <w:tcW w:w="4675" w:type="dxa"/>
            <w:tcBorders>
              <w:top w:val="single" w:sz="4" w:space="0" w:color="auto"/>
              <w:bottom w:val="single" w:sz="4" w:space="0" w:color="auto"/>
            </w:tcBorders>
          </w:tcPr>
          <w:p w14:paraId="548BC7CE" w14:textId="5C882120" w:rsidR="00DF08AB" w:rsidRPr="00DF08AB" w:rsidRDefault="00DF08AB" w:rsidP="00DF08AB">
            <w:pPr>
              <w:spacing w:line="480" w:lineRule="auto"/>
              <w:rPr>
                <w:rFonts w:ascii="Arial" w:hAnsi="Arial" w:cs="Arial"/>
              </w:rPr>
            </w:pPr>
            <w:r w:rsidRPr="00DF08AB">
              <w:rPr>
                <w:rFonts w:ascii="Arial" w:hAnsi="Arial" w:cs="Arial"/>
              </w:rPr>
              <w:t>Package Name</w:t>
            </w:r>
          </w:p>
        </w:tc>
        <w:tc>
          <w:tcPr>
            <w:tcW w:w="4675" w:type="dxa"/>
            <w:tcBorders>
              <w:top w:val="single" w:sz="4" w:space="0" w:color="auto"/>
              <w:bottom w:val="single" w:sz="4" w:space="0" w:color="auto"/>
            </w:tcBorders>
          </w:tcPr>
          <w:p w14:paraId="117CFAD6" w14:textId="57682273" w:rsidR="00DF08AB" w:rsidRPr="00DF08AB" w:rsidRDefault="00DF08AB" w:rsidP="00DF08AB">
            <w:pPr>
              <w:spacing w:line="480" w:lineRule="auto"/>
              <w:rPr>
                <w:rFonts w:ascii="Arial" w:hAnsi="Arial" w:cs="Arial"/>
              </w:rPr>
            </w:pPr>
            <w:r w:rsidRPr="00DF08AB">
              <w:rPr>
                <w:rFonts w:ascii="Arial" w:hAnsi="Arial" w:cs="Arial"/>
              </w:rPr>
              <w:t>Purpose</w:t>
            </w:r>
          </w:p>
        </w:tc>
      </w:tr>
      <w:tr w:rsidR="00DF08AB" w14:paraId="29DBBB66" w14:textId="77777777" w:rsidTr="00DF08AB">
        <w:tc>
          <w:tcPr>
            <w:tcW w:w="4675" w:type="dxa"/>
            <w:tcBorders>
              <w:top w:val="single" w:sz="4" w:space="0" w:color="auto"/>
            </w:tcBorders>
          </w:tcPr>
          <w:p w14:paraId="2751599C" w14:textId="0D02D4C8" w:rsidR="00DF08AB" w:rsidRPr="00DF08AB" w:rsidRDefault="00DF08AB" w:rsidP="00DF08AB">
            <w:pPr>
              <w:spacing w:line="480" w:lineRule="auto"/>
              <w:rPr>
                <w:rFonts w:ascii="Arial" w:hAnsi="Arial" w:cs="Arial"/>
                <w:i/>
                <w:iCs/>
              </w:rPr>
            </w:pPr>
            <w:proofErr w:type="spellStart"/>
            <w:r w:rsidRPr="00DF08AB">
              <w:rPr>
                <w:rFonts w:ascii="Arial" w:hAnsi="Arial" w:cs="Arial"/>
                <w:i/>
                <w:iCs/>
              </w:rPr>
              <w:t>numpy</w:t>
            </w:r>
            <w:proofErr w:type="spellEnd"/>
          </w:p>
        </w:tc>
        <w:tc>
          <w:tcPr>
            <w:tcW w:w="4675" w:type="dxa"/>
            <w:tcBorders>
              <w:top w:val="single" w:sz="4" w:space="0" w:color="auto"/>
            </w:tcBorders>
          </w:tcPr>
          <w:p w14:paraId="76E77E0D" w14:textId="5360ED6C" w:rsidR="00DF08AB" w:rsidRPr="00DF08AB" w:rsidRDefault="00DF08AB" w:rsidP="00DF08AB">
            <w:pPr>
              <w:spacing w:line="480" w:lineRule="auto"/>
              <w:rPr>
                <w:rFonts w:ascii="Arial" w:hAnsi="Arial" w:cs="Arial"/>
              </w:rPr>
            </w:pPr>
            <w:r w:rsidRPr="00DF08AB">
              <w:rPr>
                <w:rFonts w:ascii="Arial" w:hAnsi="Arial" w:cs="Arial"/>
              </w:rPr>
              <w:t>Array data structure implementation</w:t>
            </w:r>
          </w:p>
        </w:tc>
      </w:tr>
      <w:tr w:rsidR="00DF08AB" w14:paraId="283CA6C1" w14:textId="77777777" w:rsidTr="00DF08AB">
        <w:tc>
          <w:tcPr>
            <w:tcW w:w="4675" w:type="dxa"/>
          </w:tcPr>
          <w:p w14:paraId="52A33781" w14:textId="1A73C7A3" w:rsidR="00DF08AB" w:rsidRPr="00DF08AB" w:rsidRDefault="00DF08AB" w:rsidP="00DF08AB">
            <w:pPr>
              <w:spacing w:line="480" w:lineRule="auto"/>
              <w:rPr>
                <w:rFonts w:ascii="Arial" w:hAnsi="Arial" w:cs="Arial"/>
                <w:i/>
                <w:iCs/>
              </w:rPr>
            </w:pPr>
            <w:r w:rsidRPr="00DF08AB">
              <w:rPr>
                <w:rFonts w:ascii="Arial" w:hAnsi="Arial" w:cs="Arial"/>
                <w:i/>
                <w:iCs/>
              </w:rPr>
              <w:t>pandas</w:t>
            </w:r>
          </w:p>
        </w:tc>
        <w:tc>
          <w:tcPr>
            <w:tcW w:w="4675" w:type="dxa"/>
          </w:tcPr>
          <w:p w14:paraId="5A952F19" w14:textId="38B3D487" w:rsidR="00DF08AB" w:rsidRPr="00DF08AB" w:rsidRDefault="00DF08AB" w:rsidP="00DF08AB">
            <w:pPr>
              <w:spacing w:line="480" w:lineRule="auto"/>
              <w:rPr>
                <w:rFonts w:ascii="Arial" w:hAnsi="Arial" w:cs="Arial"/>
              </w:rPr>
            </w:pPr>
            <w:r w:rsidRPr="00DF08AB">
              <w:rPr>
                <w:rFonts w:ascii="Arial" w:hAnsi="Arial" w:cs="Arial"/>
              </w:rPr>
              <w:t>Data input and output; Data manipulation</w:t>
            </w:r>
          </w:p>
        </w:tc>
      </w:tr>
      <w:tr w:rsidR="00DF08AB" w14:paraId="1CCD9172" w14:textId="77777777" w:rsidTr="00DF08AB">
        <w:tc>
          <w:tcPr>
            <w:tcW w:w="4675" w:type="dxa"/>
          </w:tcPr>
          <w:p w14:paraId="57142382" w14:textId="7A93F376" w:rsidR="00DF08AB" w:rsidRPr="00DF08AB" w:rsidRDefault="00DF08AB" w:rsidP="00DF08AB">
            <w:pPr>
              <w:spacing w:line="480" w:lineRule="auto"/>
              <w:rPr>
                <w:rFonts w:ascii="Arial" w:hAnsi="Arial" w:cs="Arial"/>
                <w:i/>
                <w:iCs/>
              </w:rPr>
            </w:pPr>
            <w:r w:rsidRPr="00DF08AB">
              <w:rPr>
                <w:rFonts w:ascii="Arial" w:hAnsi="Arial" w:cs="Arial"/>
                <w:i/>
                <w:iCs/>
              </w:rPr>
              <w:t>scikit-learn</w:t>
            </w:r>
          </w:p>
        </w:tc>
        <w:tc>
          <w:tcPr>
            <w:tcW w:w="4675" w:type="dxa"/>
          </w:tcPr>
          <w:p w14:paraId="3AA310F0" w14:textId="5DC6AB47" w:rsidR="00DF08AB" w:rsidRPr="00DF08AB" w:rsidRDefault="00DF08AB" w:rsidP="00DF08AB">
            <w:pPr>
              <w:spacing w:line="480" w:lineRule="auto"/>
              <w:rPr>
                <w:rFonts w:ascii="Arial" w:hAnsi="Arial" w:cs="Arial"/>
              </w:rPr>
            </w:pPr>
            <w:r w:rsidRPr="00DF08AB">
              <w:rPr>
                <w:rFonts w:ascii="Arial" w:hAnsi="Arial" w:cs="Arial"/>
              </w:rPr>
              <w:t>Model training and testing</w:t>
            </w:r>
          </w:p>
        </w:tc>
      </w:tr>
      <w:tr w:rsidR="00DF08AB" w14:paraId="1C97961D" w14:textId="77777777" w:rsidTr="00DF08AB">
        <w:tc>
          <w:tcPr>
            <w:tcW w:w="4675" w:type="dxa"/>
          </w:tcPr>
          <w:p w14:paraId="6FD866B6" w14:textId="483028C0" w:rsidR="00DF08AB" w:rsidRPr="00DF08AB" w:rsidRDefault="00DF08AB" w:rsidP="00DF08AB">
            <w:pPr>
              <w:spacing w:line="480" w:lineRule="auto"/>
              <w:rPr>
                <w:rFonts w:ascii="Arial" w:hAnsi="Arial" w:cs="Arial"/>
                <w:i/>
                <w:iCs/>
              </w:rPr>
            </w:pPr>
            <w:r w:rsidRPr="00DF08AB">
              <w:rPr>
                <w:rFonts w:ascii="Arial" w:hAnsi="Arial" w:cs="Arial"/>
                <w:i/>
                <w:iCs/>
              </w:rPr>
              <w:t>seaborn</w:t>
            </w:r>
          </w:p>
        </w:tc>
        <w:tc>
          <w:tcPr>
            <w:tcW w:w="4675" w:type="dxa"/>
          </w:tcPr>
          <w:p w14:paraId="5BE934B3" w14:textId="2BD2D83C" w:rsidR="00DF08AB" w:rsidRPr="00DF08AB" w:rsidRDefault="00DF08AB" w:rsidP="00DF08AB">
            <w:pPr>
              <w:spacing w:line="480" w:lineRule="auto"/>
              <w:rPr>
                <w:rFonts w:ascii="Arial" w:hAnsi="Arial" w:cs="Arial"/>
              </w:rPr>
            </w:pPr>
            <w:r w:rsidRPr="00DF08AB">
              <w:rPr>
                <w:rFonts w:ascii="Arial" w:hAnsi="Arial" w:cs="Arial"/>
              </w:rPr>
              <w:t>Data visualization</w:t>
            </w:r>
          </w:p>
        </w:tc>
      </w:tr>
    </w:tbl>
    <w:p w14:paraId="6DD7CF28" w14:textId="0B6226A3" w:rsidR="00DF08AB" w:rsidRDefault="00DF08AB">
      <w:r>
        <w:br w:type="page"/>
      </w:r>
    </w:p>
    <w:p w14:paraId="60324BB7" w14:textId="77777777" w:rsidR="00861ED2" w:rsidRDefault="00861ED2"/>
    <w:p w14:paraId="5F2CD97E" w14:textId="77777777" w:rsidR="00095724" w:rsidRDefault="00095724"/>
    <w:p w14:paraId="6942C792" w14:textId="77777777" w:rsidR="00F16D48" w:rsidRDefault="00F16D48"/>
    <w:p w14:paraId="6FA47829" w14:textId="467F1FB8" w:rsidR="00F16D48" w:rsidRPr="00EE7990" w:rsidRDefault="00C13270">
      <w:pPr>
        <w:rPr>
          <w:rFonts w:ascii="Arial" w:hAnsi="Arial" w:cs="Arial"/>
          <w:b/>
          <w:bCs/>
          <w:sz w:val="24"/>
          <w:szCs w:val="24"/>
          <w:u w:val="single"/>
        </w:rPr>
      </w:pPr>
      <w:r w:rsidRPr="00EE7990">
        <w:rPr>
          <w:rFonts w:ascii="Arial" w:hAnsi="Arial" w:cs="Arial"/>
          <w:b/>
          <w:bCs/>
          <w:sz w:val="24"/>
          <w:szCs w:val="24"/>
          <w:u w:val="single"/>
        </w:rPr>
        <w:t>Figures</w:t>
      </w:r>
    </w:p>
    <w:p w14:paraId="4EE0EF1D" w14:textId="503F09BE" w:rsidR="00C13270" w:rsidRDefault="00C13270" w:rsidP="00F16D48">
      <w:pPr>
        <w:spacing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D6593BE" wp14:editId="772D78BF">
            <wp:extent cx="5943600" cy="2705735"/>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705735"/>
                    </a:xfrm>
                    <a:prstGeom prst="rect">
                      <a:avLst/>
                    </a:prstGeom>
                  </pic:spPr>
                </pic:pic>
              </a:graphicData>
            </a:graphic>
          </wp:inline>
        </w:drawing>
      </w:r>
    </w:p>
    <w:p w14:paraId="00536932" w14:textId="77777777" w:rsidR="00EE7990" w:rsidRDefault="00F16D48" w:rsidP="00F16D48">
      <w:pPr>
        <w:spacing w:line="240" w:lineRule="auto"/>
        <w:rPr>
          <w:rFonts w:ascii="Arial" w:hAnsi="Arial" w:cs="Arial"/>
          <w:sz w:val="20"/>
          <w:szCs w:val="20"/>
        </w:rPr>
      </w:pPr>
      <w:r w:rsidRPr="00EE7990">
        <w:rPr>
          <w:rFonts w:ascii="Arial" w:hAnsi="Arial" w:cs="Arial"/>
          <w:b/>
          <w:bCs/>
          <w:sz w:val="24"/>
          <w:szCs w:val="24"/>
        </w:rPr>
        <w:t>eFigure 1.</w:t>
      </w:r>
      <w:r w:rsidRPr="00EE7990">
        <w:rPr>
          <w:rFonts w:ascii="Arial" w:hAnsi="Arial" w:cs="Arial"/>
          <w:sz w:val="24"/>
          <w:szCs w:val="24"/>
        </w:rPr>
        <w:t xml:space="preserve"> </w:t>
      </w:r>
      <w:r w:rsidRPr="00EE7990">
        <w:rPr>
          <w:rFonts w:ascii="Arial" w:hAnsi="Arial" w:cs="Arial"/>
          <w:b/>
          <w:bCs/>
          <w:sz w:val="24"/>
          <w:szCs w:val="24"/>
        </w:rPr>
        <w:t>Flowchart of model training.</w:t>
      </w:r>
      <w:r w:rsidRPr="00EE7990">
        <w:rPr>
          <w:rFonts w:ascii="Arial" w:hAnsi="Arial" w:cs="Arial"/>
          <w:sz w:val="20"/>
          <w:szCs w:val="20"/>
        </w:rPr>
        <w:t xml:space="preserve"> </w:t>
      </w:r>
    </w:p>
    <w:p w14:paraId="37D9B82B" w14:textId="26B81D93" w:rsidR="00F16D48" w:rsidRPr="00EE7990" w:rsidRDefault="00F16D48" w:rsidP="00F16D48">
      <w:pPr>
        <w:spacing w:line="240" w:lineRule="auto"/>
        <w:rPr>
          <w:rFonts w:ascii="Arial" w:hAnsi="Arial" w:cs="Arial"/>
          <w:sz w:val="20"/>
          <w:szCs w:val="20"/>
        </w:rPr>
      </w:pPr>
      <w:r w:rsidRPr="00EE7990">
        <w:rPr>
          <w:rFonts w:ascii="Arial" w:hAnsi="Arial" w:cs="Arial"/>
          <w:sz w:val="20"/>
          <w:szCs w:val="20"/>
        </w:rPr>
        <w:t>NCDB=National Cancer Database; ICON-S refers to the 2016 International Collaboration on Oropharyngeal cancer Network for Staging manuscript by O’Sullivan et al</w:t>
      </w:r>
      <w:r w:rsidRPr="00EE7990">
        <w:rPr>
          <w:rFonts w:ascii="Arial" w:hAnsi="Arial" w:cs="Arial"/>
          <w:sz w:val="20"/>
          <w:szCs w:val="20"/>
        </w:rPr>
        <w:fldChar w:fldCharType="begin"/>
      </w:r>
      <w:r w:rsidRPr="00EE7990">
        <w:rPr>
          <w:rFonts w:ascii="Arial" w:hAnsi="Arial" w:cs="Arial"/>
          <w:sz w:val="20"/>
          <w:szCs w:val="20"/>
        </w:rPr>
        <w:instrText xml:space="preserve"> ADDIN ZOTERO_ITEM CSL_CITATION {"citationID":"0XgwNxYw","properties":{"formattedCitation":"\\super 27\\nosupersub{}","plainCitation":"27","noteIndex":0},"citationItems":[{"id":72,"uris":["http://zotero.org/users/local/5n4gf285/items/MMBZ6PRF"],"uri":["http://zotero.org/users/local/5n4gf285/items/MMBZ6PRF"],"itemData":{"id":72,"type":"article-journal","abstract":"BACKGROUND: Human papillomavirus-related (HPV+) oropharyngeal cancer is a rapidly emerging disease with generally good prognosis. Many prognostic algorithms for oropharyngeal cancer incorporate HPV status as a stratification factor, rather than recognising the uniqueness of HPV+ disease. The International Collaboration on Oropharyngeal cancer Network for Staging (ICON-S) aimed to develop a TNM classification specific to HPV+ oropharyngeal cancer.\nMETHODS: The ICON-S study included patients with non-metastatic oropharyngeal cancer from seven cancer centres located across Europe and North America; one centre comprised the training cohort and six formed the validation cohorts. We ascertained patients' HPV status with p16 staining or in-situ hybridisation. We compared overall survival at 5 years between training and validation cohorts according to 7th edition TNM classifications and HPV status. We used recursive partitioning analysis (RPA) and adjusted hazard ratio (AHR) modelling methods to derive new staging classifications for HPV+ oropharyngeal cancer. Recent hypotheses concerning the effect of lower neck lymph nodes and number of lymph nodes were also investigated in an exploratory training cohort to assess relevance within the ICON-S classification.\nFINDINGS: Of 1907 patients with HPV+ oropharyngeal cancer, 661 (35%) were recruited at the training centre and 1246 (65%) were enrolled at the validation centres. 5-year overall survival was similar for 7th edition TNM stage I, II, III, and IVA (respectively; 88% [95% CI 74-100]; 82% [71-95]; 84% [79-89]; and 81% [79-83]; global p=0·25) but was lower for stage IVB (60% [53-68]; p&lt;0·0001). 5-year overall survival did not differ among N0 (80% [95% CI 73-87]), N1-N2a (87% [83-90]), and N2b (83% [80-86]) subsets, but was significantly lower for those with N3 disease (59% [51-69]; p&lt;0·0001). Stage classifications derived by RPA and AHR models were ranked according to survival performance, and AHR-New was ranked first, followed by AHR-Orig, RPA, and 7th edition TNM. AHR-New was selected as the proposed ICON-S stage classification. Because 5-year overall survival was similar for patients classed as T4a and T4b, T4 is no longer subdivided in the re-termed ICON-S T categories. Since 5-year overall survival was similar among N1, N2a, and N2b, we re-termed the 7th edition N categories as follows: ICON-S N0, no lymph nodes; ICON-S N1, ipsilateral lymph nodes; ICON-S N2, bilateral or contralateral lymph nodes; and ICON-S N3, lymph nodes larger than 6 cm. This resembles the N classification of nasopharyngeal carcinoma but without a lower neck lymph node variable. The proposed ICON-S classification is stage I (T1-T2N0-N1), stage II (T1-T2N2 or T3N0-N2), and stage III (T4 or N3). Metastatic disease (M1) is classified as ICON-S stage IV. In an exploratory training cohort (n=702), lower lymph node neck involvement had a significant effect on survival in ICON-S stage III but had no effect in ICON-S stage I and II and was not significant as an independent factor. Overall survival was similar for patients with fewer than five lymph nodes and those with five or more lymph nodes, within all ICON-S stages.\nINTERPRETATION: Our proposed ICON-S staging system for HPV+ oropharyngeal cancer is suitable for the 8th edition of the Union for International Cancer Control/American Joint Committee on Cancer TNM classification. Future work is needed to ascertain whether T and N categories should be further refined and whether non-anatomical factors might augment the full classification.\nFUNDING: None.","container-title":"The Lancet. Oncology","DOI":"10.1016/S1470-2045(15)00560-4","ISSN":"1474-5488","issue":"4","journalAbbreviation":"Lancet Oncol.","language":"eng","note":"PMID: 26936027","page":"440-451","source":"PubMed","title":"Development and validation of a staging system for HPV-related oropharyngeal cancer by the International Collaboration on Oropharyngeal cancer Network for Staging (ICON-S): a multicentre cohort study","title-short":"Development and validation of a staging system for HPV-related oropharyngeal cancer by the International Collaboration on Oropharyngeal cancer Network for Staging (ICON-S)","volume":"17","author":[{"family":"O'Sullivan","given":"Brian"},{"family":"Huang","given":"Shao Hui"},{"family":"Su","given":"Jie"},{"family":"Garden","given":"Adam S."},{"family":"Sturgis","given":"Erich M."},{"family":"Dahlstrom","given":"Kristina"},{"family":"Lee","given":"Nancy"},{"family":"Riaz","given":"Nadeem"},{"family":"Pei","given":"Xin"},{"family":"Koyfman","given":"Shlomo A."},{"family":"Adelstein","given":"David"},{"family":"Burkey","given":"Brian B."},{"family":"Friborg","given":"Jeppe"},{"family":"Kristensen","given":"Claus A."},{"family":"Gothelf","given":"Anita B."},{"family":"Hoebers","given":"Frank"},{"family":"Kremer","given":"Bernd"},{"family":"Speel","given":"Ernst-Jan"},{"family":"Bowles","given":"Daniel W."},{"family":"Raben","given":"David"},{"family":"Karam","given":"Sana D."},{"family":"Yu","given":"Eugene"},{"family":"Xu","given":"Wei"}],"issued":{"date-parts":[["2016"]]}}}],"schema":"https://github.com/citation-style-language/schema/raw/master/csl-citation.json"} </w:instrText>
      </w:r>
      <w:r w:rsidRPr="00EE7990">
        <w:rPr>
          <w:rFonts w:ascii="Arial" w:hAnsi="Arial" w:cs="Arial"/>
          <w:sz w:val="20"/>
          <w:szCs w:val="20"/>
        </w:rPr>
        <w:fldChar w:fldCharType="separate"/>
      </w:r>
      <w:r w:rsidRPr="00EE7990">
        <w:rPr>
          <w:rFonts w:ascii="Arial" w:hAnsi="Arial" w:cs="Arial"/>
          <w:sz w:val="20"/>
          <w:szCs w:val="20"/>
          <w:vertAlign w:val="superscript"/>
        </w:rPr>
        <w:t>27</w:t>
      </w:r>
      <w:r w:rsidRPr="00EE7990">
        <w:rPr>
          <w:rFonts w:ascii="Arial" w:hAnsi="Arial" w:cs="Arial"/>
          <w:sz w:val="20"/>
          <w:szCs w:val="20"/>
        </w:rPr>
        <w:fldChar w:fldCharType="end"/>
      </w:r>
      <w:r w:rsidRPr="00EE7990">
        <w:rPr>
          <w:rFonts w:ascii="Arial" w:hAnsi="Arial" w:cs="Arial"/>
          <w:sz w:val="20"/>
          <w:szCs w:val="20"/>
        </w:rPr>
        <w:t>.</w:t>
      </w:r>
    </w:p>
    <w:p w14:paraId="367B1EE4" w14:textId="267E2456" w:rsidR="00F16D48" w:rsidRDefault="00F16D48" w:rsidP="00F16D48">
      <w:pPr>
        <w:spacing w:line="240" w:lineRule="auto"/>
        <w:rPr>
          <w:rFonts w:ascii="Times New Roman" w:hAnsi="Times New Roman" w:cs="Times New Roman"/>
          <w:sz w:val="24"/>
          <w:szCs w:val="24"/>
        </w:rPr>
      </w:pPr>
    </w:p>
    <w:p w14:paraId="5044AEEA" w14:textId="24779939" w:rsidR="00C13270" w:rsidRDefault="00C13270" w:rsidP="00F16D48">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B3DDCA0" wp14:editId="17F5E9BB">
            <wp:extent cx="5943600" cy="7111365"/>
            <wp:effectExtent l="0" t="0" r="0" b="0"/>
            <wp:docPr id="2" name="Picture 2" descr="A page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ge of a book&#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943600" cy="7111365"/>
                    </a:xfrm>
                    <a:prstGeom prst="rect">
                      <a:avLst/>
                    </a:prstGeom>
                  </pic:spPr>
                </pic:pic>
              </a:graphicData>
            </a:graphic>
          </wp:inline>
        </w:drawing>
      </w:r>
    </w:p>
    <w:p w14:paraId="2C5CDF6E" w14:textId="77777777" w:rsidR="00F16D48" w:rsidRPr="00EE7990" w:rsidRDefault="00F16D48" w:rsidP="00F16D48">
      <w:pPr>
        <w:spacing w:line="240" w:lineRule="auto"/>
        <w:rPr>
          <w:rFonts w:ascii="Arial" w:hAnsi="Arial" w:cs="Arial"/>
          <w:b/>
          <w:bCs/>
          <w:sz w:val="24"/>
          <w:szCs w:val="24"/>
        </w:rPr>
      </w:pPr>
      <w:r w:rsidRPr="00EE7990">
        <w:rPr>
          <w:rFonts w:ascii="Arial" w:hAnsi="Arial" w:cs="Arial"/>
          <w:b/>
          <w:bCs/>
          <w:sz w:val="24"/>
          <w:szCs w:val="24"/>
        </w:rPr>
        <w:t>eFigure 2. Recurrence Model Training Algorithm</w:t>
      </w:r>
    </w:p>
    <w:p w14:paraId="01F44732" w14:textId="77777777" w:rsidR="00F16D48" w:rsidRPr="0047088F" w:rsidRDefault="00F16D48" w:rsidP="00F16D48">
      <w:pPr>
        <w:spacing w:line="240" w:lineRule="auto"/>
        <w:rPr>
          <w:rFonts w:ascii="Times New Roman" w:hAnsi="Times New Roman" w:cs="Times New Roman"/>
          <w:b/>
          <w:bCs/>
          <w:sz w:val="24"/>
          <w:szCs w:val="24"/>
        </w:rPr>
      </w:pPr>
    </w:p>
    <w:p w14:paraId="3A651D93" w14:textId="77777777" w:rsidR="00C13270" w:rsidRDefault="00C13270" w:rsidP="00F16D48">
      <w:pPr>
        <w:spacing w:line="240" w:lineRule="auto"/>
        <w:rPr>
          <w:rFonts w:ascii="Times New Roman" w:hAnsi="Times New Roman" w:cs="Times New Roman"/>
          <w:b/>
          <w:bCs/>
          <w:sz w:val="24"/>
          <w:szCs w:val="24"/>
        </w:rPr>
      </w:pPr>
    </w:p>
    <w:p w14:paraId="135C008A" w14:textId="4425FE87" w:rsidR="00F16D48" w:rsidRPr="00EE7990" w:rsidRDefault="00C13270" w:rsidP="00F16D48">
      <w:pPr>
        <w:spacing w:line="240" w:lineRule="auto"/>
        <w:rPr>
          <w:rFonts w:ascii="Arial" w:hAnsi="Arial" w:cs="Arial"/>
          <w:sz w:val="20"/>
          <w:szCs w:val="20"/>
        </w:rPr>
      </w:pPr>
      <w:r>
        <w:rPr>
          <w:rFonts w:ascii="Times New Roman" w:hAnsi="Times New Roman" w:cs="Times New Roman"/>
          <w:b/>
          <w:bCs/>
          <w:noProof/>
          <w:sz w:val="24"/>
          <w:szCs w:val="24"/>
        </w:rPr>
        <w:lastRenderedPageBreak/>
        <w:drawing>
          <wp:inline distT="0" distB="0" distL="0" distR="0" wp14:anchorId="00A254E4" wp14:editId="7AB424A3">
            <wp:extent cx="5943600" cy="354584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545840"/>
                    </a:xfrm>
                    <a:prstGeom prst="rect">
                      <a:avLst/>
                    </a:prstGeom>
                  </pic:spPr>
                </pic:pic>
              </a:graphicData>
            </a:graphic>
          </wp:inline>
        </w:drawing>
      </w:r>
      <w:r w:rsidR="00F16D48" w:rsidRPr="00EE7990">
        <w:rPr>
          <w:rFonts w:ascii="Arial" w:hAnsi="Arial" w:cs="Arial"/>
          <w:b/>
          <w:bCs/>
          <w:sz w:val="24"/>
          <w:szCs w:val="24"/>
        </w:rPr>
        <w:t>eFigure 3A. Test characteristics of PET-CT scan for recurrent head and neck disease.</w:t>
      </w:r>
      <w:r w:rsidR="00F16D48" w:rsidRPr="00EE7990">
        <w:rPr>
          <w:rFonts w:ascii="Arial" w:hAnsi="Arial" w:cs="Arial"/>
          <w:sz w:val="20"/>
          <w:szCs w:val="20"/>
        </w:rPr>
        <w:t xml:space="preserve"> LR=locoregional recurrence, red line=pooled mean value. Test characteristics given in the form of pooled </w:t>
      </w:r>
      <w:proofErr w:type="gramStart"/>
      <w:r w:rsidR="00F16D48" w:rsidRPr="00EE7990">
        <w:rPr>
          <w:rFonts w:ascii="Arial" w:hAnsi="Arial" w:cs="Arial"/>
          <w:sz w:val="20"/>
          <w:szCs w:val="20"/>
        </w:rPr>
        <w:t>mean[</w:t>
      </w:r>
      <w:proofErr w:type="gramEnd"/>
      <w:r w:rsidR="00F16D48" w:rsidRPr="00EE7990">
        <w:rPr>
          <w:rFonts w:ascii="Arial" w:hAnsi="Arial" w:cs="Arial"/>
          <w:sz w:val="20"/>
          <w:szCs w:val="20"/>
        </w:rPr>
        <w:t xml:space="preserve">95% confidence interval] </w:t>
      </w:r>
    </w:p>
    <w:p w14:paraId="4B8D6A87" w14:textId="40C805B5" w:rsidR="00C13270" w:rsidRDefault="00C13270">
      <w:pPr>
        <w:rPr>
          <w:rFonts w:ascii="Times New Roman" w:hAnsi="Times New Roman" w:cs="Times New Roman"/>
          <w:sz w:val="24"/>
          <w:szCs w:val="24"/>
        </w:rPr>
      </w:pPr>
      <w:r>
        <w:rPr>
          <w:rFonts w:ascii="Times New Roman" w:hAnsi="Times New Roman" w:cs="Times New Roman"/>
          <w:sz w:val="24"/>
          <w:szCs w:val="24"/>
        </w:rPr>
        <w:br w:type="page"/>
      </w:r>
    </w:p>
    <w:p w14:paraId="548FBD8E" w14:textId="77777777" w:rsidR="00F16D48" w:rsidRDefault="00F16D48" w:rsidP="00F16D48">
      <w:pPr>
        <w:spacing w:line="240" w:lineRule="auto"/>
        <w:rPr>
          <w:rFonts w:ascii="Times New Roman" w:hAnsi="Times New Roman" w:cs="Times New Roman"/>
          <w:sz w:val="24"/>
          <w:szCs w:val="24"/>
        </w:rPr>
      </w:pPr>
    </w:p>
    <w:p w14:paraId="36160C92" w14:textId="4E20E39A" w:rsidR="00C13270" w:rsidRDefault="00C13270" w:rsidP="00F16D48">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C8745E" wp14:editId="23993BA1">
            <wp:extent cx="5943600" cy="348424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484245"/>
                    </a:xfrm>
                    <a:prstGeom prst="rect">
                      <a:avLst/>
                    </a:prstGeom>
                  </pic:spPr>
                </pic:pic>
              </a:graphicData>
            </a:graphic>
          </wp:inline>
        </w:drawing>
      </w:r>
    </w:p>
    <w:p w14:paraId="0B3C96F6" w14:textId="77777777" w:rsidR="00F16D48" w:rsidRDefault="00F16D48" w:rsidP="00F16D48">
      <w:pPr>
        <w:spacing w:line="240" w:lineRule="auto"/>
        <w:rPr>
          <w:rFonts w:ascii="Times New Roman" w:hAnsi="Times New Roman" w:cs="Times New Roman"/>
          <w:sz w:val="24"/>
          <w:szCs w:val="24"/>
        </w:rPr>
      </w:pPr>
      <w:r w:rsidRPr="00EE7990">
        <w:rPr>
          <w:rFonts w:ascii="Arial" w:hAnsi="Arial" w:cs="Arial"/>
          <w:b/>
          <w:bCs/>
          <w:sz w:val="24"/>
          <w:szCs w:val="24"/>
        </w:rPr>
        <w:t>eFigure 3B. Test characteristics of CT scan for recurrent head and neck disease.</w:t>
      </w:r>
      <w:r>
        <w:rPr>
          <w:rFonts w:ascii="Times New Roman" w:hAnsi="Times New Roman" w:cs="Times New Roman"/>
          <w:sz w:val="24"/>
          <w:szCs w:val="24"/>
        </w:rPr>
        <w:t xml:space="preserve"> </w:t>
      </w:r>
      <w:r w:rsidRPr="00EE7990">
        <w:rPr>
          <w:rFonts w:ascii="Arial" w:hAnsi="Arial" w:cs="Arial"/>
          <w:sz w:val="20"/>
          <w:szCs w:val="20"/>
        </w:rPr>
        <w:t xml:space="preserve">CT Neck test characteristics were used in the simulation for detection of locoregional recurrence. CT Chest test characteristics were used in the simulation for detection of metastatic recurrence. Red line=pooled mean value. Test characteristics given in the form of pooled </w:t>
      </w:r>
      <w:proofErr w:type="gramStart"/>
      <w:r w:rsidRPr="00EE7990">
        <w:rPr>
          <w:rFonts w:ascii="Arial" w:hAnsi="Arial" w:cs="Arial"/>
          <w:sz w:val="20"/>
          <w:szCs w:val="20"/>
        </w:rPr>
        <w:t>mean[</w:t>
      </w:r>
      <w:proofErr w:type="gramEnd"/>
      <w:r w:rsidRPr="00EE7990">
        <w:rPr>
          <w:rFonts w:ascii="Arial" w:hAnsi="Arial" w:cs="Arial"/>
          <w:sz w:val="20"/>
          <w:szCs w:val="20"/>
        </w:rPr>
        <w:t>95% confidence interval]</w:t>
      </w:r>
    </w:p>
    <w:p w14:paraId="2E780DA5" w14:textId="2967D165" w:rsidR="00F16D48" w:rsidRDefault="00F16D48" w:rsidP="00F16D48">
      <w:pPr>
        <w:spacing w:line="240" w:lineRule="auto"/>
        <w:rPr>
          <w:rFonts w:ascii="Times New Roman" w:hAnsi="Times New Roman" w:cs="Times New Roman"/>
          <w:sz w:val="24"/>
          <w:szCs w:val="24"/>
        </w:rPr>
      </w:pPr>
    </w:p>
    <w:p w14:paraId="0ED8DD3F" w14:textId="61E97A96" w:rsidR="00C13270" w:rsidRDefault="00C13270" w:rsidP="00F16D48">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510AA00" wp14:editId="3D52BE98">
            <wp:extent cx="5943600" cy="5862955"/>
            <wp:effectExtent l="0" t="0" r="0" b="4445"/>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943600" cy="5862955"/>
                    </a:xfrm>
                    <a:prstGeom prst="rect">
                      <a:avLst/>
                    </a:prstGeom>
                  </pic:spPr>
                </pic:pic>
              </a:graphicData>
            </a:graphic>
          </wp:inline>
        </w:drawing>
      </w:r>
    </w:p>
    <w:p w14:paraId="1F2AF317" w14:textId="77777777" w:rsidR="00EE7990" w:rsidRDefault="00F16D48" w:rsidP="00F16D48">
      <w:pPr>
        <w:spacing w:line="240" w:lineRule="auto"/>
        <w:rPr>
          <w:rFonts w:ascii="Times New Roman" w:hAnsi="Times New Roman" w:cs="Times New Roman"/>
          <w:sz w:val="24"/>
          <w:szCs w:val="24"/>
        </w:rPr>
      </w:pPr>
      <w:r w:rsidRPr="00EE7990">
        <w:rPr>
          <w:rFonts w:ascii="Arial" w:hAnsi="Arial" w:cs="Arial"/>
          <w:b/>
          <w:bCs/>
          <w:sz w:val="24"/>
          <w:szCs w:val="24"/>
        </w:rPr>
        <w:t>eFigure 4. Comparison between training cohort (NCDB) and external validation cohort (ICON-S).</w:t>
      </w:r>
      <w:r>
        <w:rPr>
          <w:rFonts w:ascii="Times New Roman" w:hAnsi="Times New Roman" w:cs="Times New Roman"/>
          <w:sz w:val="24"/>
          <w:szCs w:val="24"/>
        </w:rPr>
        <w:t xml:space="preserve"> </w:t>
      </w:r>
    </w:p>
    <w:p w14:paraId="4EB04836" w14:textId="1AF76002" w:rsidR="00F16D48" w:rsidRPr="00EE7990" w:rsidRDefault="00F16D48" w:rsidP="00F16D48">
      <w:pPr>
        <w:spacing w:line="240" w:lineRule="auto"/>
        <w:rPr>
          <w:rFonts w:ascii="Times New Roman" w:hAnsi="Times New Roman" w:cs="Times New Roman"/>
          <w:sz w:val="20"/>
          <w:szCs w:val="20"/>
        </w:rPr>
      </w:pPr>
      <w:r w:rsidRPr="00EE7990">
        <w:rPr>
          <w:rFonts w:ascii="Times New Roman" w:hAnsi="Times New Roman" w:cs="Times New Roman"/>
          <w:sz w:val="20"/>
          <w:szCs w:val="20"/>
        </w:rPr>
        <w:t>All p-values refer to log-rank test between cohorts of interest.</w:t>
      </w:r>
    </w:p>
    <w:p w14:paraId="5BCF0E37" w14:textId="2A66B539" w:rsidR="00C13270" w:rsidRDefault="00C13270">
      <w:pPr>
        <w:rPr>
          <w:rFonts w:ascii="Times New Roman" w:hAnsi="Times New Roman" w:cs="Times New Roman"/>
          <w:sz w:val="24"/>
          <w:szCs w:val="24"/>
        </w:rPr>
      </w:pPr>
      <w:r>
        <w:rPr>
          <w:rFonts w:ascii="Times New Roman" w:hAnsi="Times New Roman" w:cs="Times New Roman"/>
          <w:sz w:val="24"/>
          <w:szCs w:val="24"/>
        </w:rPr>
        <w:br w:type="page"/>
      </w:r>
    </w:p>
    <w:p w14:paraId="414303AE" w14:textId="31666D38" w:rsidR="00F16D48" w:rsidRDefault="00C13270" w:rsidP="00F16D48">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178BBAF" wp14:editId="1E99C4DB">
            <wp:extent cx="5943600" cy="3926205"/>
            <wp:effectExtent l="0" t="0" r="0" b="0"/>
            <wp:docPr id="6" name="Picture 6" descr="Graphical user interface, char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char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926205"/>
                    </a:xfrm>
                    <a:prstGeom prst="rect">
                      <a:avLst/>
                    </a:prstGeom>
                  </pic:spPr>
                </pic:pic>
              </a:graphicData>
            </a:graphic>
          </wp:inline>
        </w:drawing>
      </w:r>
    </w:p>
    <w:p w14:paraId="50491D51" w14:textId="77777777" w:rsidR="00EE7990" w:rsidRPr="00EE7990" w:rsidRDefault="00F16D48" w:rsidP="00F16D48">
      <w:pPr>
        <w:spacing w:line="240" w:lineRule="auto"/>
        <w:rPr>
          <w:rFonts w:ascii="Arial" w:hAnsi="Arial" w:cs="Arial"/>
          <w:b/>
          <w:bCs/>
          <w:sz w:val="24"/>
          <w:szCs w:val="24"/>
        </w:rPr>
      </w:pPr>
      <w:r w:rsidRPr="00EE7990">
        <w:rPr>
          <w:rFonts w:ascii="Arial" w:hAnsi="Arial" w:cs="Arial"/>
          <w:b/>
          <w:bCs/>
          <w:sz w:val="24"/>
          <w:szCs w:val="24"/>
        </w:rPr>
        <w:t>eFigure 5. Cohort-specific comparison of overall survival</w:t>
      </w:r>
    </w:p>
    <w:p w14:paraId="31614293" w14:textId="4DBC6A5C" w:rsidR="00F16D48" w:rsidRPr="00EE7990" w:rsidRDefault="00F16D48" w:rsidP="00F16D48">
      <w:pPr>
        <w:spacing w:line="240" w:lineRule="auto"/>
        <w:rPr>
          <w:rFonts w:ascii="Arial" w:hAnsi="Arial" w:cs="Arial"/>
          <w:sz w:val="20"/>
          <w:szCs w:val="20"/>
        </w:rPr>
      </w:pPr>
      <w:r w:rsidRPr="00EE7990">
        <w:rPr>
          <w:rFonts w:ascii="Arial" w:hAnsi="Arial" w:cs="Arial"/>
          <w:i/>
          <w:iCs/>
          <w:sz w:val="20"/>
          <w:szCs w:val="20"/>
        </w:rPr>
        <w:t xml:space="preserve"> </w:t>
      </w:r>
      <w:r w:rsidRPr="00EE7990">
        <w:rPr>
          <w:rFonts w:ascii="Arial" w:hAnsi="Arial" w:cs="Arial"/>
          <w:sz w:val="20"/>
          <w:szCs w:val="20"/>
        </w:rPr>
        <w:t xml:space="preserve">(A) Comparison of the modified base model (trained model) and the training NCDB cohort. (B) External validation of trained model using ICON-S cohorts. Comparison using log-rank test. </w:t>
      </w:r>
    </w:p>
    <w:p w14:paraId="7B43DF22" w14:textId="0C21C327" w:rsidR="00F16D48" w:rsidRDefault="00F16D48" w:rsidP="00F16D48">
      <w:pPr>
        <w:spacing w:line="240" w:lineRule="auto"/>
      </w:pPr>
    </w:p>
    <w:p w14:paraId="06486E7C" w14:textId="170E2C27" w:rsidR="00C13270" w:rsidRDefault="00C13270" w:rsidP="00F16D48">
      <w:pPr>
        <w:spacing w:line="240" w:lineRule="auto"/>
      </w:pPr>
      <w:r>
        <w:rPr>
          <w:noProof/>
        </w:rPr>
        <w:lastRenderedPageBreak/>
        <w:drawing>
          <wp:inline distT="0" distB="0" distL="0" distR="0" wp14:anchorId="15C090DD" wp14:editId="4481BA1F">
            <wp:extent cx="5943600" cy="5850890"/>
            <wp:effectExtent l="0" t="0" r="0" b="0"/>
            <wp:docPr id="7" name="Picture 7"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chart, line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5850890"/>
                    </a:xfrm>
                    <a:prstGeom prst="rect">
                      <a:avLst/>
                    </a:prstGeom>
                  </pic:spPr>
                </pic:pic>
              </a:graphicData>
            </a:graphic>
          </wp:inline>
        </w:drawing>
      </w:r>
    </w:p>
    <w:p w14:paraId="75D42478" w14:textId="77777777" w:rsidR="00F16D48" w:rsidRPr="00EE7990" w:rsidRDefault="00F16D48" w:rsidP="00F16D48">
      <w:pPr>
        <w:spacing w:line="240" w:lineRule="auto"/>
        <w:rPr>
          <w:rFonts w:ascii="Arial" w:hAnsi="Arial" w:cs="Arial"/>
          <w:b/>
          <w:bCs/>
          <w:sz w:val="24"/>
          <w:szCs w:val="24"/>
        </w:rPr>
      </w:pPr>
      <w:r w:rsidRPr="00EE7990">
        <w:rPr>
          <w:rFonts w:ascii="Arial" w:hAnsi="Arial" w:cs="Arial"/>
          <w:b/>
          <w:bCs/>
          <w:sz w:val="24"/>
          <w:szCs w:val="24"/>
        </w:rPr>
        <w:t>eFigure 6. Disease-free survival stratified by stage and HPV-status and disease state (locoregional and distant metastasis)</w:t>
      </w:r>
    </w:p>
    <w:p w14:paraId="6687F904" w14:textId="3FCE1440" w:rsidR="00C13270" w:rsidRDefault="00C13270">
      <w:pPr>
        <w:rPr>
          <w:rFonts w:ascii="Times New Roman" w:hAnsi="Times New Roman" w:cs="Times New Roman"/>
          <w:b/>
          <w:bCs/>
          <w:sz w:val="24"/>
          <w:szCs w:val="24"/>
        </w:rPr>
      </w:pPr>
      <w:r>
        <w:rPr>
          <w:rFonts w:ascii="Times New Roman" w:hAnsi="Times New Roman" w:cs="Times New Roman"/>
          <w:b/>
          <w:bCs/>
          <w:sz w:val="24"/>
          <w:szCs w:val="24"/>
        </w:rPr>
        <w:br w:type="page"/>
      </w:r>
    </w:p>
    <w:p w14:paraId="5FEB9EAF" w14:textId="6D83099F" w:rsidR="00F16D48" w:rsidRDefault="00C13270" w:rsidP="00F16D48">
      <w:pPr>
        <w:spacing w:line="24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57151092" wp14:editId="0301E765">
            <wp:extent cx="5943600" cy="4565015"/>
            <wp:effectExtent l="0" t="0" r="0" b="0"/>
            <wp:docPr id="8" name="Picture 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943600" cy="4565015"/>
                    </a:xfrm>
                    <a:prstGeom prst="rect">
                      <a:avLst/>
                    </a:prstGeom>
                  </pic:spPr>
                </pic:pic>
              </a:graphicData>
            </a:graphic>
          </wp:inline>
        </w:drawing>
      </w:r>
    </w:p>
    <w:p w14:paraId="0968FE2D" w14:textId="77777777" w:rsidR="00F16D48" w:rsidRPr="00EE7990" w:rsidRDefault="00F16D48" w:rsidP="00F16D48">
      <w:pPr>
        <w:rPr>
          <w:rFonts w:ascii="Arial" w:hAnsi="Arial" w:cs="Arial"/>
          <w:b/>
          <w:bCs/>
          <w:sz w:val="24"/>
          <w:szCs w:val="24"/>
        </w:rPr>
      </w:pPr>
      <w:r w:rsidRPr="00EE7990">
        <w:rPr>
          <w:rFonts w:ascii="Arial" w:hAnsi="Arial" w:cs="Arial"/>
          <w:b/>
          <w:bCs/>
          <w:sz w:val="24"/>
          <w:szCs w:val="24"/>
        </w:rPr>
        <w:t xml:space="preserve">eFigure 7. Model based recommendations adapt to minimize latency based on overall number of scans. </w:t>
      </w:r>
    </w:p>
    <w:p w14:paraId="1BEBB128" w14:textId="77777777" w:rsidR="00F16D48" w:rsidRPr="00EE7990" w:rsidRDefault="00F16D48" w:rsidP="00F16D48">
      <w:pPr>
        <w:rPr>
          <w:rFonts w:ascii="Arial" w:hAnsi="Arial" w:cs="Arial"/>
          <w:sz w:val="20"/>
          <w:szCs w:val="20"/>
        </w:rPr>
      </w:pPr>
      <w:r w:rsidRPr="00EE7990">
        <w:rPr>
          <w:rFonts w:ascii="Arial" w:hAnsi="Arial" w:cs="Arial"/>
          <w:sz w:val="20"/>
          <w:szCs w:val="20"/>
        </w:rPr>
        <w:t xml:space="preserve">Regimen latency was normalized using the </w:t>
      </w:r>
      <w:proofErr w:type="gramStart"/>
      <w:r w:rsidRPr="00EE7990">
        <w:rPr>
          <w:rFonts w:ascii="Arial" w:hAnsi="Arial" w:cs="Arial"/>
          <w:sz w:val="20"/>
          <w:szCs w:val="20"/>
        </w:rPr>
        <w:t>log(</w:t>
      </w:r>
      <w:proofErr w:type="gramEnd"/>
      <w:r w:rsidRPr="00EE7990">
        <w:rPr>
          <w:rFonts w:ascii="Arial" w:hAnsi="Arial" w:cs="Arial"/>
          <w:sz w:val="20"/>
          <w:szCs w:val="20"/>
        </w:rPr>
        <w:t xml:space="preserve">1+z-score- (minimum z-score of all latencies)). Darker colors correspond to greater latency. Each block represents one month. Each yellow bar represents the timing of a single scan. </w:t>
      </w:r>
    </w:p>
    <w:p w14:paraId="3BF816D6" w14:textId="6267EF44" w:rsidR="001C16C5" w:rsidRDefault="00F16D48" w:rsidP="00F16D48">
      <w:pPr>
        <w:spacing w:line="240" w:lineRule="auto"/>
        <w:rPr>
          <w:rFonts w:ascii="Arial" w:hAnsi="Arial" w:cs="Arial"/>
          <w:sz w:val="20"/>
          <w:szCs w:val="20"/>
        </w:rPr>
      </w:pPr>
      <w:r w:rsidRPr="00EE7990">
        <w:rPr>
          <w:rFonts w:ascii="Arial" w:hAnsi="Arial" w:cs="Arial"/>
          <w:sz w:val="20"/>
          <w:szCs w:val="20"/>
        </w:rPr>
        <w:t>PET=regimen with only a single PET-scan at month 3; +1CT, +2CT etc. indicates how many additional scans were allowed on top of the PET at month 3</w:t>
      </w:r>
    </w:p>
    <w:p w14:paraId="4852FC7D" w14:textId="77777777" w:rsidR="001C16C5" w:rsidRDefault="001C16C5">
      <w:pPr>
        <w:rPr>
          <w:rFonts w:ascii="Arial" w:hAnsi="Arial" w:cs="Arial"/>
          <w:sz w:val="20"/>
          <w:szCs w:val="20"/>
        </w:rPr>
      </w:pPr>
      <w:r>
        <w:rPr>
          <w:rFonts w:ascii="Arial" w:hAnsi="Arial" w:cs="Arial"/>
          <w:sz w:val="20"/>
          <w:szCs w:val="20"/>
        </w:rPr>
        <w:br w:type="page"/>
      </w:r>
    </w:p>
    <w:p w14:paraId="2BF3C9D7" w14:textId="6F42C24D" w:rsidR="001C16C5" w:rsidRDefault="001C16C5" w:rsidP="001C16C5">
      <w:pPr>
        <w:spacing w:line="24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6F24EEE5" wp14:editId="2D817F9B">
            <wp:extent cx="5486453" cy="3704741"/>
            <wp:effectExtent l="0" t="0" r="0" b="0"/>
            <wp:docPr id="10" name="Picture 10"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53" cy="3704741"/>
                    </a:xfrm>
                    <a:prstGeom prst="rect">
                      <a:avLst/>
                    </a:prstGeom>
                  </pic:spPr>
                </pic:pic>
              </a:graphicData>
            </a:graphic>
          </wp:inline>
        </w:drawing>
      </w:r>
    </w:p>
    <w:p w14:paraId="4AFCE19C" w14:textId="3BC6593E" w:rsidR="00F16D48" w:rsidRPr="00EE7990" w:rsidRDefault="001C16C5" w:rsidP="001C16C5">
      <w:pPr>
        <w:rPr>
          <w:rFonts w:ascii="Arial" w:hAnsi="Arial" w:cs="Arial"/>
          <w:sz w:val="20"/>
          <w:szCs w:val="20"/>
        </w:rPr>
      </w:pPr>
      <w:r w:rsidRPr="00EE7990">
        <w:rPr>
          <w:rFonts w:ascii="Arial" w:hAnsi="Arial" w:cs="Arial"/>
          <w:b/>
          <w:bCs/>
          <w:sz w:val="24"/>
          <w:szCs w:val="24"/>
        </w:rPr>
        <w:t xml:space="preserve">eFigure </w:t>
      </w:r>
      <w:r>
        <w:rPr>
          <w:rFonts w:ascii="Arial" w:hAnsi="Arial" w:cs="Arial"/>
          <w:b/>
          <w:bCs/>
          <w:sz w:val="24"/>
          <w:szCs w:val="24"/>
        </w:rPr>
        <w:t>8. Modified Stage IVA HPV-positive cohort compared to ICON-S counterpart</w:t>
      </w:r>
    </w:p>
    <w:sectPr w:rsidR="00F16D48" w:rsidRPr="00EE799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1146" w14:textId="77777777" w:rsidR="002832DF" w:rsidRDefault="002832DF" w:rsidP="00C13270">
      <w:pPr>
        <w:spacing w:after="0" w:line="240" w:lineRule="auto"/>
      </w:pPr>
      <w:r>
        <w:separator/>
      </w:r>
    </w:p>
  </w:endnote>
  <w:endnote w:type="continuationSeparator" w:id="0">
    <w:p w14:paraId="73ABE4A4" w14:textId="77777777" w:rsidR="002832DF" w:rsidRDefault="002832DF" w:rsidP="00C1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5825" w14:textId="77777777" w:rsidR="002832DF" w:rsidRDefault="002832DF" w:rsidP="00C13270">
      <w:pPr>
        <w:spacing w:after="0" w:line="240" w:lineRule="auto"/>
      </w:pPr>
      <w:r>
        <w:separator/>
      </w:r>
    </w:p>
  </w:footnote>
  <w:footnote w:type="continuationSeparator" w:id="0">
    <w:p w14:paraId="4D3B788B" w14:textId="77777777" w:rsidR="002832DF" w:rsidRDefault="002832DF" w:rsidP="00C13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52282328"/>
      <w:docPartObj>
        <w:docPartGallery w:val="Page Numbers (Top of Page)"/>
        <w:docPartUnique/>
      </w:docPartObj>
    </w:sdtPr>
    <w:sdtEndPr>
      <w:rPr>
        <w:noProof/>
      </w:rPr>
    </w:sdtEndPr>
    <w:sdtContent>
      <w:p w14:paraId="1AFFAF8E" w14:textId="0D6861C7" w:rsidR="00C13270" w:rsidRPr="00C13270" w:rsidRDefault="00C13270">
        <w:pPr>
          <w:pStyle w:val="Header"/>
          <w:jc w:val="right"/>
          <w:rPr>
            <w:rFonts w:ascii="Times New Roman" w:hAnsi="Times New Roman" w:cs="Times New Roman"/>
            <w:sz w:val="24"/>
            <w:szCs w:val="24"/>
          </w:rPr>
        </w:pPr>
        <w:r w:rsidRPr="00C13270">
          <w:rPr>
            <w:rFonts w:ascii="Times New Roman" w:hAnsi="Times New Roman" w:cs="Times New Roman"/>
            <w:sz w:val="24"/>
            <w:szCs w:val="24"/>
          </w:rPr>
          <w:fldChar w:fldCharType="begin"/>
        </w:r>
        <w:r w:rsidRPr="00C13270">
          <w:rPr>
            <w:rFonts w:ascii="Times New Roman" w:hAnsi="Times New Roman" w:cs="Times New Roman"/>
            <w:sz w:val="24"/>
            <w:szCs w:val="24"/>
          </w:rPr>
          <w:instrText xml:space="preserve"> PAGE   \* MERGEFORMAT </w:instrText>
        </w:r>
        <w:r w:rsidRPr="00C13270">
          <w:rPr>
            <w:rFonts w:ascii="Times New Roman" w:hAnsi="Times New Roman" w:cs="Times New Roman"/>
            <w:sz w:val="24"/>
            <w:szCs w:val="24"/>
          </w:rPr>
          <w:fldChar w:fldCharType="separate"/>
        </w:r>
        <w:r w:rsidRPr="00C13270">
          <w:rPr>
            <w:rFonts w:ascii="Times New Roman" w:hAnsi="Times New Roman" w:cs="Times New Roman"/>
            <w:noProof/>
            <w:sz w:val="24"/>
            <w:szCs w:val="24"/>
          </w:rPr>
          <w:t>2</w:t>
        </w:r>
        <w:r w:rsidRPr="00C13270">
          <w:rPr>
            <w:rFonts w:ascii="Times New Roman" w:hAnsi="Times New Roman" w:cs="Times New Roman"/>
            <w:noProof/>
            <w:sz w:val="24"/>
            <w:szCs w:val="24"/>
          </w:rPr>
          <w:fldChar w:fldCharType="end"/>
        </w:r>
      </w:p>
    </w:sdtContent>
  </w:sdt>
  <w:p w14:paraId="28BEF342" w14:textId="77777777" w:rsidR="00C13270" w:rsidRPr="00C13270" w:rsidRDefault="00C1327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BDD"/>
    <w:multiLevelType w:val="hybridMultilevel"/>
    <w:tmpl w:val="80DC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E62E7"/>
    <w:multiLevelType w:val="hybridMultilevel"/>
    <w:tmpl w:val="E51C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FA"/>
    <w:rsid w:val="00095724"/>
    <w:rsid w:val="00100BA9"/>
    <w:rsid w:val="001C16C5"/>
    <w:rsid w:val="002832DF"/>
    <w:rsid w:val="003D1FBE"/>
    <w:rsid w:val="005364DD"/>
    <w:rsid w:val="006E51BC"/>
    <w:rsid w:val="00861ED2"/>
    <w:rsid w:val="00875A72"/>
    <w:rsid w:val="008C5C84"/>
    <w:rsid w:val="008E53FA"/>
    <w:rsid w:val="008F2DC7"/>
    <w:rsid w:val="00A23A75"/>
    <w:rsid w:val="00A62416"/>
    <w:rsid w:val="00BE08AC"/>
    <w:rsid w:val="00C13270"/>
    <w:rsid w:val="00C5704A"/>
    <w:rsid w:val="00CF53C5"/>
    <w:rsid w:val="00DF08AB"/>
    <w:rsid w:val="00E911DB"/>
    <w:rsid w:val="00EE7990"/>
    <w:rsid w:val="00F1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CE64"/>
  <w15:chartTrackingRefBased/>
  <w15:docId w15:val="{A224BFBA-540D-4EED-914C-5B0C2018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270"/>
  </w:style>
  <w:style w:type="paragraph" w:styleId="Footer">
    <w:name w:val="footer"/>
    <w:basedOn w:val="Normal"/>
    <w:link w:val="FooterChar"/>
    <w:uiPriority w:val="99"/>
    <w:unhideWhenUsed/>
    <w:rsid w:val="00C13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270"/>
  </w:style>
  <w:style w:type="paragraph" w:styleId="ListParagraph">
    <w:name w:val="List Paragraph"/>
    <w:basedOn w:val="Normal"/>
    <w:uiPriority w:val="34"/>
    <w:qFormat/>
    <w:rsid w:val="00CF53C5"/>
    <w:pPr>
      <w:ind w:left="720"/>
      <w:contextualSpacing/>
    </w:pPr>
  </w:style>
  <w:style w:type="table" w:styleId="TableGrid">
    <w:name w:val="Table Grid"/>
    <w:basedOn w:val="TableNormal"/>
    <w:uiPriority w:val="39"/>
    <w:rsid w:val="00DF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802">
      <w:bodyDiv w:val="1"/>
      <w:marLeft w:val="0"/>
      <w:marRight w:val="0"/>
      <w:marTop w:val="0"/>
      <w:marBottom w:val="0"/>
      <w:divBdr>
        <w:top w:val="none" w:sz="0" w:space="0" w:color="auto"/>
        <w:left w:val="none" w:sz="0" w:space="0" w:color="auto"/>
        <w:bottom w:val="none" w:sz="0" w:space="0" w:color="auto"/>
        <w:right w:val="none" w:sz="0" w:space="0" w:color="auto"/>
      </w:divBdr>
    </w:div>
    <w:div w:id="3545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Nair</dc:creator>
  <cp:keywords/>
  <dc:description/>
  <cp:lastModifiedBy>Vivek Nair</cp:lastModifiedBy>
  <cp:revision>12</cp:revision>
  <dcterms:created xsi:type="dcterms:W3CDTF">2022-01-28T00:00:00Z</dcterms:created>
  <dcterms:modified xsi:type="dcterms:W3CDTF">2022-02-16T23:29:00Z</dcterms:modified>
</cp:coreProperties>
</file>