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137970" w14:textId="029D7B4E" w:rsidR="00E34A7A" w:rsidRPr="00354744" w:rsidRDefault="00E34A7A" w:rsidP="005E4B05">
      <w:pPr>
        <w:rPr>
          <w:rFonts w:ascii="Helvetica" w:hAnsi="Helvetica" w:cstheme="minorHAnsi"/>
          <w:b/>
        </w:rPr>
      </w:pPr>
      <w:bookmarkStart w:id="0" w:name="_Hlk80098996"/>
      <w:r w:rsidRPr="00354744">
        <w:rPr>
          <w:rFonts w:ascii="Helvetica" w:hAnsi="Helvetica" w:cstheme="minorHAnsi"/>
          <w:b/>
        </w:rPr>
        <w:t xml:space="preserve">Comparing the </w:t>
      </w:r>
      <w:r w:rsidR="00FB0D7B" w:rsidRPr="00354744">
        <w:rPr>
          <w:rFonts w:ascii="Helvetica" w:hAnsi="Helvetica" w:cstheme="minorHAnsi"/>
          <w:b/>
        </w:rPr>
        <w:t xml:space="preserve">longer-term </w:t>
      </w:r>
      <w:r w:rsidRPr="00354744">
        <w:rPr>
          <w:rFonts w:ascii="Helvetica" w:hAnsi="Helvetica" w:cstheme="minorHAnsi"/>
          <w:b/>
        </w:rPr>
        <w:t xml:space="preserve">effectiveness of </w:t>
      </w:r>
      <w:r w:rsidR="001763EE" w:rsidRPr="00354744">
        <w:rPr>
          <w:rFonts w:ascii="Helvetica" w:hAnsi="Helvetica" w:cstheme="minorHAnsi"/>
          <w:b/>
        </w:rPr>
        <w:t xml:space="preserve">a single </w:t>
      </w:r>
      <w:r w:rsidRPr="00354744">
        <w:rPr>
          <w:rFonts w:ascii="Helvetica" w:hAnsi="Helvetica" w:cstheme="minorHAnsi"/>
          <w:b/>
        </w:rPr>
        <w:t>dose of the Pfizer-</w:t>
      </w:r>
      <w:proofErr w:type="spellStart"/>
      <w:r w:rsidRPr="00354744">
        <w:rPr>
          <w:rFonts w:ascii="Helvetica" w:hAnsi="Helvetica" w:cstheme="minorHAnsi"/>
          <w:b/>
        </w:rPr>
        <w:t>BioNTech</w:t>
      </w:r>
      <w:proofErr w:type="spellEnd"/>
      <w:r w:rsidRPr="00354744">
        <w:rPr>
          <w:rFonts w:ascii="Helvetica" w:hAnsi="Helvetica" w:cstheme="minorHAnsi"/>
          <w:b/>
        </w:rPr>
        <w:t xml:space="preserve"> and Oxford-AstraZeneca COVID-19 vaccines</w:t>
      </w:r>
      <w:r w:rsidR="00C40B42" w:rsidRPr="00354744">
        <w:rPr>
          <w:rFonts w:ascii="Helvetica" w:hAnsi="Helvetica" w:cstheme="minorHAnsi"/>
          <w:b/>
        </w:rPr>
        <w:t xml:space="preserve"> across the age spectrum</w:t>
      </w:r>
    </w:p>
    <w:p w14:paraId="36E77124" w14:textId="77777777" w:rsidR="0005384C" w:rsidRPr="00BD4DAF" w:rsidRDefault="0005384C" w:rsidP="005E4B05">
      <w:pPr>
        <w:rPr>
          <w:rFonts w:ascii="Helvetica" w:hAnsi="Helvetica" w:cstheme="minorHAnsi"/>
          <w:b/>
          <w:sz w:val="22"/>
          <w:szCs w:val="22"/>
        </w:rPr>
      </w:pPr>
    </w:p>
    <w:bookmarkEnd w:id="0"/>
    <w:p w14:paraId="2D1306EA" w14:textId="7DC2995F" w:rsidR="00E34A7A" w:rsidRPr="00BD4DAF" w:rsidRDefault="00E34A7A" w:rsidP="005E4B05">
      <w:pPr>
        <w:rPr>
          <w:rFonts w:ascii="Helvetica" w:hAnsi="Helvetica" w:cstheme="minorHAnsi"/>
          <w:sz w:val="22"/>
          <w:szCs w:val="22"/>
        </w:rPr>
      </w:pPr>
      <w:r w:rsidRPr="00BD4DAF">
        <w:rPr>
          <w:rFonts w:ascii="Helvetica" w:hAnsi="Helvetica" w:cstheme="minorHAnsi"/>
          <w:sz w:val="22"/>
          <w:szCs w:val="22"/>
        </w:rPr>
        <w:t>Amit Kaura, MB ChB</w:t>
      </w:r>
      <w:r w:rsidRPr="00BD4DAF">
        <w:rPr>
          <w:rFonts w:ascii="Helvetica" w:hAnsi="Helvetica" w:cstheme="minorHAnsi"/>
          <w:sz w:val="22"/>
          <w:szCs w:val="22"/>
          <w:vertAlign w:val="superscript"/>
        </w:rPr>
        <w:t>1,2</w:t>
      </w:r>
      <w:r w:rsidR="00496FD6">
        <w:rPr>
          <w:rFonts w:ascii="Helvetica" w:hAnsi="Helvetica" w:cstheme="minorHAnsi"/>
          <w:sz w:val="22"/>
          <w:szCs w:val="22"/>
        </w:rPr>
        <w:t xml:space="preserve">, Adam </w:t>
      </w:r>
      <w:proofErr w:type="spellStart"/>
      <w:r w:rsidR="00496FD6">
        <w:rPr>
          <w:rFonts w:ascii="Helvetica" w:hAnsi="Helvetica" w:cstheme="minorHAnsi"/>
          <w:sz w:val="22"/>
          <w:szCs w:val="22"/>
        </w:rPr>
        <w:t>Trickey</w:t>
      </w:r>
      <w:proofErr w:type="spellEnd"/>
      <w:r w:rsidRPr="00BD4DAF">
        <w:rPr>
          <w:rFonts w:ascii="Helvetica" w:hAnsi="Helvetica" w:cstheme="minorHAnsi"/>
          <w:sz w:val="22"/>
          <w:szCs w:val="22"/>
        </w:rPr>
        <w:t>, PhD</w:t>
      </w:r>
      <w:r w:rsidRPr="00BD4DAF">
        <w:rPr>
          <w:rFonts w:ascii="Helvetica" w:hAnsi="Helvetica" w:cstheme="minorHAnsi"/>
          <w:sz w:val="22"/>
          <w:szCs w:val="22"/>
          <w:vertAlign w:val="superscript"/>
        </w:rPr>
        <w:t>3</w:t>
      </w:r>
      <w:r w:rsidRPr="00BD4DAF">
        <w:rPr>
          <w:rFonts w:ascii="Helvetica" w:hAnsi="Helvetica" w:cstheme="minorHAnsi"/>
          <w:sz w:val="22"/>
          <w:szCs w:val="22"/>
        </w:rPr>
        <w:t xml:space="preserve">, </w:t>
      </w:r>
      <w:bookmarkStart w:id="1" w:name="OLE_LINK8"/>
      <w:proofErr w:type="spellStart"/>
      <w:r w:rsidR="00527A52" w:rsidRPr="00BD4DAF">
        <w:rPr>
          <w:rFonts w:ascii="Helvetica" w:hAnsi="Helvetica" w:cstheme="minorHAnsi"/>
          <w:sz w:val="22"/>
          <w:szCs w:val="22"/>
        </w:rPr>
        <w:t>Anoop</w:t>
      </w:r>
      <w:proofErr w:type="spellEnd"/>
      <w:r w:rsidR="00527A52" w:rsidRPr="00BD4DAF">
        <w:rPr>
          <w:rFonts w:ascii="Helvetica" w:hAnsi="Helvetica" w:cstheme="minorHAnsi"/>
          <w:sz w:val="22"/>
          <w:szCs w:val="22"/>
        </w:rPr>
        <w:t xml:space="preserve"> Shah</w:t>
      </w:r>
      <w:bookmarkEnd w:id="1"/>
      <w:r w:rsidR="00527A52" w:rsidRPr="00BD4DAF">
        <w:rPr>
          <w:rFonts w:ascii="Helvetica" w:hAnsi="Helvetica" w:cstheme="minorHAnsi"/>
          <w:sz w:val="22"/>
          <w:szCs w:val="22"/>
        </w:rPr>
        <w:t>, PhD</w:t>
      </w:r>
      <w:r w:rsidR="00527A52" w:rsidRPr="00BD4DAF">
        <w:rPr>
          <w:rFonts w:ascii="Helvetica" w:hAnsi="Helvetica" w:cstheme="minorHAnsi"/>
          <w:sz w:val="22"/>
          <w:szCs w:val="22"/>
          <w:vertAlign w:val="superscript"/>
        </w:rPr>
        <w:t>1,2</w:t>
      </w:r>
      <w:r w:rsidR="00527A52" w:rsidRPr="00BD4DAF">
        <w:rPr>
          <w:rFonts w:ascii="Helvetica" w:hAnsi="Helvetica" w:cstheme="minorHAnsi"/>
          <w:sz w:val="22"/>
          <w:szCs w:val="22"/>
        </w:rPr>
        <w:t xml:space="preserve">, </w:t>
      </w:r>
      <w:r w:rsidR="00FE6838">
        <w:rPr>
          <w:rFonts w:ascii="Helvetica" w:hAnsi="Helvetica" w:cstheme="minorHAnsi"/>
          <w:sz w:val="22"/>
          <w:szCs w:val="22"/>
        </w:rPr>
        <w:t xml:space="preserve">Professor </w:t>
      </w:r>
      <w:r w:rsidRPr="00BD4DAF">
        <w:rPr>
          <w:rFonts w:ascii="Helvetica" w:hAnsi="Helvetica" w:cstheme="minorHAnsi"/>
          <w:sz w:val="22"/>
          <w:szCs w:val="22"/>
        </w:rPr>
        <w:t>Umberto Benedetto, PhD</w:t>
      </w:r>
      <w:r w:rsidRPr="00BD4DAF">
        <w:rPr>
          <w:rFonts w:ascii="Helvetica" w:hAnsi="Helvetica" w:cstheme="minorHAnsi"/>
          <w:sz w:val="22"/>
          <w:szCs w:val="22"/>
          <w:vertAlign w:val="superscript"/>
        </w:rPr>
        <w:t>3,4,5</w:t>
      </w:r>
      <w:r w:rsidRPr="00BD4DAF">
        <w:rPr>
          <w:rFonts w:ascii="Helvetica" w:hAnsi="Helvetica" w:cstheme="minorHAnsi"/>
          <w:sz w:val="22"/>
          <w:szCs w:val="22"/>
        </w:rPr>
        <w:t xml:space="preserve">, Ben </w:t>
      </w:r>
      <w:proofErr w:type="spellStart"/>
      <w:r w:rsidRPr="00BD4DAF">
        <w:rPr>
          <w:rFonts w:ascii="Helvetica" w:hAnsi="Helvetica" w:cstheme="minorHAnsi"/>
          <w:sz w:val="22"/>
          <w:szCs w:val="22"/>
        </w:rPr>
        <w:t>Glampson</w:t>
      </w:r>
      <w:proofErr w:type="spellEnd"/>
      <w:r w:rsidRPr="00BD4DAF">
        <w:rPr>
          <w:rFonts w:ascii="Helvetica" w:hAnsi="Helvetica" w:cstheme="minorHAnsi"/>
          <w:sz w:val="22"/>
          <w:szCs w:val="22"/>
        </w:rPr>
        <w:t>, MSc</w:t>
      </w:r>
      <w:r w:rsidRPr="00BD4DAF">
        <w:rPr>
          <w:rFonts w:ascii="Helvetica" w:hAnsi="Helvetica" w:cstheme="minorHAnsi"/>
          <w:sz w:val="22"/>
          <w:szCs w:val="22"/>
          <w:vertAlign w:val="superscript"/>
        </w:rPr>
        <w:t>1,2</w:t>
      </w:r>
      <w:r w:rsidRPr="00BD4DAF">
        <w:rPr>
          <w:rFonts w:ascii="Helvetica" w:hAnsi="Helvetica" w:cstheme="minorHAnsi"/>
          <w:sz w:val="22"/>
          <w:szCs w:val="22"/>
        </w:rPr>
        <w:t xml:space="preserve">, </w:t>
      </w:r>
      <w:proofErr w:type="spellStart"/>
      <w:r w:rsidRPr="00BD4DAF">
        <w:rPr>
          <w:rFonts w:ascii="Helvetica" w:hAnsi="Helvetica" w:cstheme="minorHAnsi"/>
          <w:sz w:val="22"/>
          <w:szCs w:val="22"/>
        </w:rPr>
        <w:t>Abdulrahim</w:t>
      </w:r>
      <w:proofErr w:type="spellEnd"/>
      <w:r w:rsidRPr="00BD4DAF">
        <w:rPr>
          <w:rFonts w:ascii="Helvetica" w:hAnsi="Helvetica" w:cstheme="minorHAnsi"/>
          <w:sz w:val="22"/>
          <w:szCs w:val="22"/>
        </w:rPr>
        <w:t xml:space="preserve"> </w:t>
      </w:r>
      <w:proofErr w:type="spellStart"/>
      <w:r w:rsidRPr="00BD4DAF">
        <w:rPr>
          <w:rFonts w:ascii="Helvetica" w:hAnsi="Helvetica" w:cstheme="minorHAnsi"/>
          <w:sz w:val="22"/>
          <w:szCs w:val="22"/>
        </w:rPr>
        <w:t>Mulla</w:t>
      </w:r>
      <w:proofErr w:type="spellEnd"/>
      <w:r w:rsidRPr="00BD4DAF">
        <w:rPr>
          <w:rFonts w:ascii="Helvetica" w:hAnsi="Helvetica" w:cstheme="minorHAnsi"/>
          <w:sz w:val="22"/>
          <w:szCs w:val="22"/>
        </w:rPr>
        <w:t>, BTech</w:t>
      </w:r>
      <w:r w:rsidRPr="00BD4DAF">
        <w:rPr>
          <w:rFonts w:ascii="Helvetica" w:hAnsi="Helvetica" w:cstheme="minorHAnsi"/>
          <w:sz w:val="22"/>
          <w:szCs w:val="22"/>
          <w:vertAlign w:val="superscript"/>
        </w:rPr>
        <w:t>1,2</w:t>
      </w:r>
      <w:r w:rsidRPr="00BD4DAF">
        <w:rPr>
          <w:rFonts w:ascii="Helvetica" w:hAnsi="Helvetica" w:cstheme="minorHAnsi"/>
          <w:sz w:val="22"/>
          <w:szCs w:val="22"/>
        </w:rPr>
        <w:t xml:space="preserve">, Luca </w:t>
      </w:r>
      <w:proofErr w:type="spellStart"/>
      <w:r w:rsidRPr="00BD4DAF">
        <w:rPr>
          <w:rFonts w:ascii="Helvetica" w:hAnsi="Helvetica" w:cstheme="minorHAnsi"/>
          <w:sz w:val="22"/>
          <w:szCs w:val="22"/>
        </w:rPr>
        <w:t>Mercuri</w:t>
      </w:r>
      <w:proofErr w:type="spellEnd"/>
      <w:r w:rsidRPr="00BD4DAF">
        <w:rPr>
          <w:rFonts w:ascii="Helvetica" w:hAnsi="Helvetica" w:cstheme="minorHAnsi"/>
          <w:sz w:val="22"/>
          <w:szCs w:val="22"/>
        </w:rPr>
        <w:t>, PhD</w:t>
      </w:r>
      <w:r w:rsidRPr="00BD4DAF">
        <w:rPr>
          <w:rFonts w:ascii="Helvetica" w:hAnsi="Helvetica" w:cstheme="minorHAnsi"/>
          <w:sz w:val="22"/>
          <w:szCs w:val="22"/>
          <w:vertAlign w:val="superscript"/>
        </w:rPr>
        <w:t>1,2</w:t>
      </w:r>
      <w:r w:rsidRPr="00BD4DAF">
        <w:rPr>
          <w:rFonts w:ascii="Helvetica" w:hAnsi="Helvetica" w:cstheme="minorHAnsi"/>
          <w:sz w:val="22"/>
          <w:szCs w:val="22"/>
        </w:rPr>
        <w:t>, Sanjay Gautama, MBBS</w:t>
      </w:r>
      <w:r w:rsidRPr="00BD4DAF">
        <w:rPr>
          <w:rFonts w:ascii="Helvetica" w:hAnsi="Helvetica" w:cstheme="minorHAnsi"/>
          <w:sz w:val="22"/>
          <w:szCs w:val="22"/>
          <w:vertAlign w:val="superscript"/>
        </w:rPr>
        <w:t>2</w:t>
      </w:r>
      <w:r w:rsidRPr="00BD4DAF">
        <w:rPr>
          <w:rFonts w:ascii="Helvetica" w:hAnsi="Helvetica" w:cstheme="minorHAnsi"/>
          <w:sz w:val="22"/>
          <w:szCs w:val="22"/>
        </w:rPr>
        <w:t xml:space="preserve">, </w:t>
      </w:r>
      <w:proofErr w:type="spellStart"/>
      <w:r w:rsidRPr="00BD4DAF">
        <w:rPr>
          <w:rFonts w:ascii="Helvetica" w:hAnsi="Helvetica" w:cstheme="minorHAnsi"/>
          <w:sz w:val="22"/>
          <w:szCs w:val="22"/>
        </w:rPr>
        <w:t>Ceire</w:t>
      </w:r>
      <w:proofErr w:type="spellEnd"/>
      <w:r w:rsidRPr="00BD4DAF">
        <w:rPr>
          <w:rFonts w:ascii="Helvetica" w:hAnsi="Helvetica" w:cstheme="minorHAnsi"/>
          <w:sz w:val="22"/>
          <w:szCs w:val="22"/>
        </w:rPr>
        <w:t xml:space="preserve"> E </w:t>
      </w:r>
      <w:proofErr w:type="spellStart"/>
      <w:r w:rsidRPr="00BD4DAF">
        <w:rPr>
          <w:rFonts w:ascii="Helvetica" w:hAnsi="Helvetica" w:cstheme="minorHAnsi"/>
          <w:sz w:val="22"/>
          <w:szCs w:val="22"/>
        </w:rPr>
        <w:t>Costelloe</w:t>
      </w:r>
      <w:proofErr w:type="spellEnd"/>
      <w:r w:rsidRPr="00BD4DAF">
        <w:rPr>
          <w:rFonts w:ascii="Helvetica" w:hAnsi="Helvetica" w:cstheme="minorHAnsi"/>
          <w:sz w:val="22"/>
          <w:szCs w:val="22"/>
        </w:rPr>
        <w:t>, PhD</w:t>
      </w:r>
      <w:r w:rsidRPr="00BD4DAF">
        <w:rPr>
          <w:rFonts w:ascii="Helvetica" w:hAnsi="Helvetica" w:cstheme="minorHAnsi"/>
          <w:sz w:val="22"/>
          <w:szCs w:val="22"/>
          <w:vertAlign w:val="superscript"/>
        </w:rPr>
        <w:t>1</w:t>
      </w:r>
      <w:r w:rsidRPr="00BD4DAF">
        <w:rPr>
          <w:rFonts w:ascii="Helvetica" w:hAnsi="Helvetica" w:cstheme="minorHAnsi"/>
          <w:sz w:val="22"/>
          <w:szCs w:val="22"/>
        </w:rPr>
        <w:t>, Ian Goodman, MB BChir</w:t>
      </w:r>
      <w:r w:rsidRPr="00BD4DAF">
        <w:rPr>
          <w:rFonts w:ascii="Helvetica" w:hAnsi="Helvetica" w:cstheme="minorHAnsi"/>
          <w:sz w:val="22"/>
          <w:szCs w:val="22"/>
          <w:vertAlign w:val="superscript"/>
        </w:rPr>
        <w:t>6</w:t>
      </w:r>
      <w:r w:rsidRPr="00BD4DAF">
        <w:rPr>
          <w:rFonts w:ascii="Helvetica" w:hAnsi="Helvetica" w:cstheme="minorHAnsi"/>
          <w:sz w:val="22"/>
          <w:szCs w:val="22"/>
        </w:rPr>
        <w:t>, Julian Redhead, MBBS</w:t>
      </w:r>
      <w:r w:rsidRPr="00BD4DAF">
        <w:rPr>
          <w:rFonts w:ascii="Helvetica" w:hAnsi="Helvetica" w:cstheme="minorHAnsi"/>
          <w:sz w:val="22"/>
          <w:szCs w:val="22"/>
          <w:vertAlign w:val="superscript"/>
        </w:rPr>
        <w:t>2</w:t>
      </w:r>
      <w:r w:rsidRPr="00BD4DAF">
        <w:rPr>
          <w:rFonts w:ascii="Helvetica" w:hAnsi="Helvetica" w:cstheme="minorHAnsi"/>
          <w:sz w:val="22"/>
          <w:szCs w:val="22"/>
        </w:rPr>
        <w:t xml:space="preserve">, </w:t>
      </w:r>
      <w:proofErr w:type="spellStart"/>
      <w:r w:rsidRPr="00BD4DAF">
        <w:rPr>
          <w:rFonts w:ascii="Helvetica" w:hAnsi="Helvetica" w:cstheme="minorHAnsi"/>
          <w:sz w:val="22"/>
          <w:szCs w:val="22"/>
        </w:rPr>
        <w:t>Kavitha</w:t>
      </w:r>
      <w:proofErr w:type="spellEnd"/>
      <w:r w:rsidRPr="00BD4DAF">
        <w:rPr>
          <w:rFonts w:ascii="Helvetica" w:hAnsi="Helvetica" w:cstheme="minorHAnsi"/>
          <w:sz w:val="22"/>
          <w:szCs w:val="22"/>
        </w:rPr>
        <w:t xml:space="preserve"> </w:t>
      </w:r>
      <w:proofErr w:type="spellStart"/>
      <w:r w:rsidRPr="00BD4DAF">
        <w:rPr>
          <w:rFonts w:ascii="Helvetica" w:hAnsi="Helvetica" w:cstheme="minorHAnsi"/>
          <w:sz w:val="22"/>
          <w:szCs w:val="22"/>
        </w:rPr>
        <w:t>Saravanakumar</w:t>
      </w:r>
      <w:proofErr w:type="spellEnd"/>
      <w:r w:rsidRPr="00BD4DAF">
        <w:rPr>
          <w:rFonts w:ascii="Helvetica" w:hAnsi="Helvetica" w:cstheme="minorHAnsi"/>
          <w:sz w:val="22"/>
          <w:szCs w:val="22"/>
        </w:rPr>
        <w:t>, MSc</w:t>
      </w:r>
      <w:r w:rsidRPr="00BD4DAF">
        <w:rPr>
          <w:rFonts w:ascii="Helvetica" w:hAnsi="Helvetica" w:cstheme="minorHAnsi"/>
          <w:sz w:val="22"/>
          <w:szCs w:val="22"/>
          <w:vertAlign w:val="superscript"/>
        </w:rPr>
        <w:t>6</w:t>
      </w:r>
      <w:r w:rsidRPr="00BD4DAF">
        <w:rPr>
          <w:rFonts w:ascii="Helvetica" w:hAnsi="Helvetica" w:cstheme="minorHAnsi"/>
          <w:sz w:val="22"/>
          <w:szCs w:val="22"/>
        </w:rPr>
        <w:t>, Erik Mayer, PhD*</w:t>
      </w:r>
      <w:r w:rsidRPr="00BD4DAF">
        <w:rPr>
          <w:rFonts w:ascii="Helvetica" w:hAnsi="Helvetica" w:cstheme="minorHAnsi"/>
          <w:sz w:val="22"/>
          <w:szCs w:val="22"/>
          <w:vertAlign w:val="superscript"/>
        </w:rPr>
        <w:t>1,2</w:t>
      </w:r>
      <w:r w:rsidRPr="00BD4DAF">
        <w:rPr>
          <w:rFonts w:ascii="Helvetica" w:hAnsi="Helvetica" w:cstheme="minorHAnsi"/>
          <w:sz w:val="22"/>
          <w:szCs w:val="22"/>
        </w:rPr>
        <w:t xml:space="preserve">, </w:t>
      </w:r>
      <w:r w:rsidR="00FE6838">
        <w:rPr>
          <w:rFonts w:ascii="Helvetica" w:hAnsi="Helvetica" w:cstheme="minorHAnsi"/>
          <w:sz w:val="22"/>
          <w:szCs w:val="22"/>
        </w:rPr>
        <w:t xml:space="preserve">Professor </w:t>
      </w:r>
      <w:r w:rsidRPr="00BD4DAF">
        <w:rPr>
          <w:rFonts w:ascii="Helvetica" w:hAnsi="Helvetica" w:cstheme="minorHAnsi"/>
          <w:sz w:val="22"/>
          <w:szCs w:val="22"/>
        </w:rPr>
        <w:t xml:space="preserve">Jamil </w:t>
      </w:r>
      <w:proofErr w:type="spellStart"/>
      <w:r w:rsidRPr="00BD4DAF">
        <w:rPr>
          <w:rFonts w:ascii="Helvetica" w:hAnsi="Helvetica" w:cstheme="minorHAnsi"/>
          <w:sz w:val="22"/>
          <w:szCs w:val="22"/>
        </w:rPr>
        <w:t>Mayet</w:t>
      </w:r>
      <w:proofErr w:type="spellEnd"/>
      <w:r w:rsidRPr="00BD4DAF">
        <w:rPr>
          <w:rFonts w:ascii="Helvetica" w:hAnsi="Helvetica" w:cstheme="minorHAnsi"/>
          <w:sz w:val="22"/>
          <w:szCs w:val="22"/>
        </w:rPr>
        <w:t>, MD*</w:t>
      </w:r>
      <w:r w:rsidRPr="00BD4DAF">
        <w:rPr>
          <w:rFonts w:ascii="Helvetica" w:hAnsi="Helvetica" w:cstheme="minorHAnsi"/>
          <w:sz w:val="22"/>
          <w:szCs w:val="22"/>
          <w:vertAlign w:val="superscript"/>
        </w:rPr>
        <w:t>1,2</w:t>
      </w:r>
    </w:p>
    <w:p w14:paraId="4AA36943" w14:textId="77777777" w:rsidR="000D5E6E" w:rsidRDefault="000D5E6E" w:rsidP="005E4B05">
      <w:pPr>
        <w:rPr>
          <w:rFonts w:ascii="Helvetica" w:eastAsia="Calibri" w:hAnsi="Helvetica" w:cstheme="minorHAnsi"/>
          <w:sz w:val="22"/>
          <w:szCs w:val="22"/>
        </w:rPr>
      </w:pPr>
    </w:p>
    <w:p w14:paraId="420B4001" w14:textId="2D82C6B3" w:rsidR="00E34A7A" w:rsidRPr="00BD4DAF" w:rsidRDefault="00E34A7A" w:rsidP="005E4B05">
      <w:pPr>
        <w:rPr>
          <w:rFonts w:ascii="Helvetica" w:eastAsia="Calibri" w:hAnsi="Helvetica" w:cstheme="minorHAnsi"/>
          <w:sz w:val="22"/>
          <w:szCs w:val="22"/>
        </w:rPr>
      </w:pPr>
      <w:r w:rsidRPr="00BD4DAF">
        <w:rPr>
          <w:rFonts w:ascii="Helvetica" w:eastAsia="Calibri" w:hAnsi="Helvetica" w:cstheme="minorHAnsi"/>
          <w:sz w:val="22"/>
          <w:szCs w:val="22"/>
        </w:rPr>
        <w:t>*Joint</w:t>
      </w:r>
      <w:r w:rsidR="00496FD6">
        <w:rPr>
          <w:rFonts w:ascii="Helvetica" w:eastAsia="Calibri" w:hAnsi="Helvetica" w:cstheme="minorHAnsi"/>
          <w:sz w:val="22"/>
          <w:szCs w:val="22"/>
        </w:rPr>
        <w:t xml:space="preserve"> senior</w:t>
      </w:r>
      <w:r w:rsidRPr="00BD4DAF">
        <w:rPr>
          <w:rFonts w:ascii="Helvetica" w:eastAsia="Calibri" w:hAnsi="Helvetica" w:cstheme="minorHAnsi"/>
          <w:sz w:val="22"/>
          <w:szCs w:val="22"/>
        </w:rPr>
        <w:t xml:space="preserve"> authors</w:t>
      </w:r>
    </w:p>
    <w:p w14:paraId="62C47485" w14:textId="77777777" w:rsidR="00E34A7A" w:rsidRPr="00BD4DAF" w:rsidRDefault="00E34A7A" w:rsidP="005E4B05">
      <w:pPr>
        <w:rPr>
          <w:rFonts w:ascii="Helvetica" w:hAnsi="Helvetica" w:cstheme="minorHAnsi"/>
          <w:b/>
          <w:sz w:val="22"/>
          <w:szCs w:val="22"/>
          <w:lang w:val="en-US"/>
        </w:rPr>
      </w:pPr>
    </w:p>
    <w:p w14:paraId="45BC825E" w14:textId="77777777" w:rsidR="00E34A7A" w:rsidRPr="00BD4DAF" w:rsidRDefault="00E34A7A" w:rsidP="005E4B05">
      <w:pPr>
        <w:rPr>
          <w:rFonts w:ascii="Helvetica" w:eastAsia="Calibri" w:hAnsi="Helvetica" w:cstheme="minorHAnsi"/>
          <w:sz w:val="22"/>
          <w:szCs w:val="22"/>
        </w:rPr>
      </w:pPr>
      <w:r w:rsidRPr="00BD4DAF">
        <w:rPr>
          <w:rFonts w:ascii="Helvetica" w:eastAsia="Calibri" w:hAnsi="Helvetica" w:cstheme="minorHAnsi"/>
          <w:sz w:val="22"/>
          <w:szCs w:val="22"/>
        </w:rPr>
        <w:t>1</w:t>
      </w:r>
      <w:r w:rsidRPr="00BD4DAF">
        <w:rPr>
          <w:rFonts w:ascii="Helvetica" w:eastAsia="Calibri" w:hAnsi="Helvetica" w:cstheme="minorHAnsi"/>
          <w:sz w:val="22"/>
          <w:szCs w:val="22"/>
        </w:rPr>
        <w:tab/>
        <w:t xml:space="preserve">Imperial College London, London, UK </w:t>
      </w:r>
    </w:p>
    <w:p w14:paraId="6BE218FA" w14:textId="77777777" w:rsidR="00E34A7A" w:rsidRPr="00BD4DAF" w:rsidRDefault="00E34A7A" w:rsidP="005E4B05">
      <w:pPr>
        <w:rPr>
          <w:rFonts w:ascii="Helvetica" w:eastAsia="Calibri" w:hAnsi="Helvetica" w:cstheme="minorHAnsi"/>
          <w:sz w:val="22"/>
          <w:szCs w:val="22"/>
        </w:rPr>
      </w:pPr>
      <w:r w:rsidRPr="00BD4DAF">
        <w:rPr>
          <w:rFonts w:ascii="Helvetica" w:eastAsia="Calibri" w:hAnsi="Helvetica" w:cstheme="minorHAnsi"/>
          <w:sz w:val="22"/>
          <w:szCs w:val="22"/>
        </w:rPr>
        <w:t>2</w:t>
      </w:r>
      <w:r w:rsidRPr="00BD4DAF">
        <w:rPr>
          <w:rFonts w:ascii="Helvetica" w:eastAsia="Calibri" w:hAnsi="Helvetica" w:cstheme="minorHAnsi"/>
          <w:sz w:val="22"/>
          <w:szCs w:val="22"/>
        </w:rPr>
        <w:tab/>
        <w:t>NIHR Imperial Biomedical Research Centre, Imperial College Healthcare NHS Trust, London, UK</w:t>
      </w:r>
    </w:p>
    <w:p w14:paraId="5BE51DF0" w14:textId="39A51027" w:rsidR="00E34A7A" w:rsidRPr="00BD4DAF" w:rsidRDefault="00E34A7A" w:rsidP="005E4B05">
      <w:pPr>
        <w:pStyle w:val="xmsonormal"/>
        <w:spacing w:before="0" w:beforeAutospacing="0" w:after="0" w:afterAutospacing="0"/>
        <w:rPr>
          <w:rFonts w:ascii="Helvetica" w:hAnsi="Helvetica" w:cstheme="minorHAnsi"/>
          <w:color w:val="201F1E"/>
          <w:sz w:val="22"/>
          <w:szCs w:val="22"/>
        </w:rPr>
      </w:pPr>
      <w:r w:rsidRPr="00BD4DAF">
        <w:rPr>
          <w:rFonts w:ascii="Helvetica" w:eastAsia="Calibri" w:hAnsi="Helvetica" w:cstheme="minorHAnsi"/>
          <w:sz w:val="22"/>
          <w:szCs w:val="22"/>
        </w:rPr>
        <w:t>3</w:t>
      </w:r>
      <w:r w:rsidRPr="00BD4DAF">
        <w:rPr>
          <w:rFonts w:ascii="Helvetica" w:eastAsia="Calibri" w:hAnsi="Helvetica" w:cstheme="minorHAnsi"/>
          <w:sz w:val="22"/>
          <w:szCs w:val="22"/>
        </w:rPr>
        <w:tab/>
      </w:r>
      <w:r w:rsidR="00DF2327" w:rsidRPr="00BD4DAF">
        <w:rPr>
          <w:rFonts w:ascii="Helvetica" w:eastAsia="Calibri" w:hAnsi="Helvetica" w:cstheme="minorHAnsi"/>
          <w:sz w:val="22"/>
          <w:szCs w:val="22"/>
        </w:rPr>
        <w:t xml:space="preserve">Population Health Sciences, </w:t>
      </w:r>
      <w:r w:rsidRPr="00BD4DAF">
        <w:rPr>
          <w:rFonts w:ascii="Helvetica" w:hAnsi="Helvetica" w:cstheme="minorHAnsi"/>
          <w:color w:val="201F1E"/>
          <w:sz w:val="22"/>
          <w:szCs w:val="22"/>
        </w:rPr>
        <w:t>University of Bristol, Bristol, UK</w:t>
      </w:r>
    </w:p>
    <w:p w14:paraId="7FBA6869" w14:textId="77777777" w:rsidR="00E34A7A" w:rsidRPr="00BD4DAF" w:rsidRDefault="00E34A7A" w:rsidP="005E4B05">
      <w:pPr>
        <w:pStyle w:val="xmsonormal"/>
        <w:spacing w:before="0" w:beforeAutospacing="0" w:after="0" w:afterAutospacing="0"/>
        <w:rPr>
          <w:rFonts w:ascii="Helvetica" w:hAnsi="Helvetica" w:cstheme="minorHAnsi"/>
          <w:color w:val="201F1E"/>
          <w:sz w:val="22"/>
          <w:szCs w:val="22"/>
        </w:rPr>
      </w:pPr>
      <w:r w:rsidRPr="00BD4DAF">
        <w:rPr>
          <w:rFonts w:ascii="Helvetica" w:hAnsi="Helvetica" w:cstheme="minorHAnsi"/>
          <w:color w:val="201F1E"/>
          <w:sz w:val="22"/>
          <w:szCs w:val="22"/>
        </w:rPr>
        <w:t>4</w:t>
      </w:r>
      <w:r w:rsidRPr="00BD4DAF">
        <w:rPr>
          <w:rFonts w:ascii="Helvetica" w:hAnsi="Helvetica" w:cstheme="minorHAnsi"/>
          <w:color w:val="201F1E"/>
          <w:sz w:val="22"/>
          <w:szCs w:val="22"/>
        </w:rPr>
        <w:tab/>
        <w:t>NIHR Bristol Biomedical Research Centre, University Hospitals Bristol NHS Foundation Trust, Bristol, UK</w:t>
      </w:r>
    </w:p>
    <w:p w14:paraId="2D447763" w14:textId="77777777" w:rsidR="00E34A7A" w:rsidRPr="00BD4DAF" w:rsidRDefault="00E34A7A" w:rsidP="005E4B05">
      <w:pPr>
        <w:pStyle w:val="xmsonormal"/>
        <w:spacing w:before="0" w:beforeAutospacing="0" w:after="0" w:afterAutospacing="0"/>
        <w:rPr>
          <w:rFonts w:ascii="Helvetica" w:hAnsi="Helvetica" w:cstheme="minorHAnsi"/>
          <w:color w:val="201F1E"/>
          <w:sz w:val="22"/>
          <w:szCs w:val="22"/>
        </w:rPr>
      </w:pPr>
      <w:r w:rsidRPr="00BD4DAF">
        <w:rPr>
          <w:rFonts w:ascii="Helvetica" w:hAnsi="Helvetica" w:cstheme="minorHAnsi"/>
          <w:color w:val="201F1E"/>
          <w:sz w:val="22"/>
          <w:szCs w:val="22"/>
        </w:rPr>
        <w:t>5</w:t>
      </w:r>
      <w:r w:rsidRPr="00BD4DAF">
        <w:rPr>
          <w:rFonts w:ascii="Helvetica" w:hAnsi="Helvetica" w:cstheme="minorHAnsi"/>
          <w:color w:val="201F1E"/>
          <w:sz w:val="22"/>
          <w:szCs w:val="22"/>
        </w:rPr>
        <w:tab/>
        <w:t xml:space="preserve">Neuroscience, Imaging and Clinical Science, University Chieti-Pescara, G. </w:t>
      </w:r>
      <w:proofErr w:type="spellStart"/>
      <w:r w:rsidRPr="00BD4DAF">
        <w:rPr>
          <w:rFonts w:ascii="Helvetica" w:hAnsi="Helvetica" w:cstheme="minorHAnsi"/>
          <w:color w:val="201F1E"/>
          <w:sz w:val="22"/>
          <w:szCs w:val="22"/>
        </w:rPr>
        <w:t>d’Annunzio</w:t>
      </w:r>
      <w:proofErr w:type="spellEnd"/>
      <w:r w:rsidRPr="00BD4DAF">
        <w:rPr>
          <w:rFonts w:ascii="Helvetica" w:hAnsi="Helvetica" w:cstheme="minorHAnsi"/>
          <w:color w:val="201F1E"/>
          <w:sz w:val="22"/>
          <w:szCs w:val="22"/>
        </w:rPr>
        <w:t>, Italy</w:t>
      </w:r>
    </w:p>
    <w:p w14:paraId="36A4D287" w14:textId="77777777" w:rsidR="00E34A7A" w:rsidRPr="00BD4DAF" w:rsidRDefault="00E34A7A" w:rsidP="005E4B05">
      <w:pPr>
        <w:pStyle w:val="xmsonormal"/>
        <w:spacing w:before="0" w:beforeAutospacing="0" w:after="0" w:afterAutospacing="0"/>
        <w:rPr>
          <w:rFonts w:ascii="Helvetica" w:eastAsia="Calibri" w:hAnsi="Helvetica" w:cstheme="minorHAnsi"/>
          <w:sz w:val="22"/>
          <w:szCs w:val="22"/>
        </w:rPr>
      </w:pPr>
      <w:r w:rsidRPr="00BD4DAF">
        <w:rPr>
          <w:rFonts w:ascii="Helvetica" w:hAnsi="Helvetica" w:cstheme="minorHAnsi"/>
          <w:color w:val="201F1E"/>
          <w:sz w:val="22"/>
          <w:szCs w:val="22"/>
        </w:rPr>
        <w:t>6</w:t>
      </w:r>
      <w:r w:rsidRPr="00BD4DAF">
        <w:rPr>
          <w:rFonts w:ascii="Helvetica" w:hAnsi="Helvetica" w:cstheme="minorHAnsi"/>
          <w:color w:val="201F1E"/>
          <w:sz w:val="22"/>
          <w:szCs w:val="22"/>
        </w:rPr>
        <w:tab/>
        <w:t>North West London Collaboration of Clinical Commissioning Groups &amp; Whole Systems Integrated Care, London, UK</w:t>
      </w:r>
    </w:p>
    <w:p w14:paraId="2CEAC60C" w14:textId="77777777" w:rsidR="00E34A7A" w:rsidRPr="00BD4DAF" w:rsidRDefault="00E34A7A" w:rsidP="005E4B05">
      <w:pPr>
        <w:rPr>
          <w:rFonts w:ascii="Helvetica" w:hAnsi="Helvetica" w:cstheme="minorHAnsi"/>
          <w:b/>
          <w:sz w:val="22"/>
          <w:szCs w:val="22"/>
          <w:lang w:val="en-US"/>
        </w:rPr>
      </w:pPr>
    </w:p>
    <w:p w14:paraId="15A728CE" w14:textId="77777777" w:rsidR="000D5E6E" w:rsidRDefault="000D5E6E" w:rsidP="005E4B05">
      <w:pPr>
        <w:outlineLvl w:val="0"/>
        <w:rPr>
          <w:rFonts w:ascii="Helvetica" w:eastAsia="Calibri" w:hAnsi="Helvetica" w:cstheme="minorHAnsi"/>
          <w:b/>
          <w:sz w:val="22"/>
          <w:szCs w:val="22"/>
        </w:rPr>
      </w:pPr>
    </w:p>
    <w:p w14:paraId="1FB190A4" w14:textId="39DB7D9C" w:rsidR="00E34A7A" w:rsidRPr="00354744" w:rsidRDefault="00E34A7A" w:rsidP="005E4B05">
      <w:pPr>
        <w:outlineLvl w:val="0"/>
        <w:rPr>
          <w:rFonts w:ascii="Helvetica" w:eastAsia="Calibri" w:hAnsi="Helvetica" w:cstheme="minorHAnsi"/>
          <w:b/>
        </w:rPr>
      </w:pPr>
      <w:r w:rsidRPr="00354744">
        <w:rPr>
          <w:rFonts w:ascii="Helvetica" w:eastAsia="Calibri" w:hAnsi="Helvetica" w:cstheme="minorHAnsi"/>
          <w:b/>
        </w:rPr>
        <w:t>Corresponding author</w:t>
      </w:r>
    </w:p>
    <w:tbl>
      <w:tblPr>
        <w:tblW w:w="1006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90"/>
        <w:gridCol w:w="5475"/>
      </w:tblGrid>
      <w:tr w:rsidR="00E34A7A" w:rsidRPr="00BD4DAF" w14:paraId="18F2E8D9" w14:textId="77777777" w:rsidTr="001B63B2">
        <w:tc>
          <w:tcPr>
            <w:tcW w:w="459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21A811A" w14:textId="45865DCF" w:rsidR="00550609" w:rsidRDefault="00E34A7A" w:rsidP="005E4B05">
            <w:pPr>
              <w:widowControl w:val="0"/>
              <w:pBdr>
                <w:top w:val="nil"/>
                <w:left w:val="nil"/>
                <w:bottom w:val="nil"/>
                <w:right w:val="nil"/>
                <w:between w:val="nil"/>
              </w:pBdr>
              <w:rPr>
                <w:rFonts w:ascii="Helvetica" w:eastAsia="Calibri" w:hAnsi="Helvetica" w:cstheme="minorHAnsi"/>
                <w:sz w:val="22"/>
                <w:szCs w:val="22"/>
              </w:rPr>
            </w:pPr>
            <w:r w:rsidRPr="00BD4DAF">
              <w:rPr>
                <w:rFonts w:ascii="Helvetica" w:eastAsia="Calibri" w:hAnsi="Helvetica" w:cstheme="minorHAnsi"/>
                <w:sz w:val="22"/>
                <w:szCs w:val="22"/>
              </w:rPr>
              <w:t>Dr Amit Kaura</w:t>
            </w:r>
          </w:p>
          <w:p w14:paraId="6EA08EEC" w14:textId="22F288FA" w:rsidR="00E34A7A" w:rsidRPr="00BD4DAF" w:rsidRDefault="00E34A7A" w:rsidP="005E4B05">
            <w:pPr>
              <w:widowControl w:val="0"/>
              <w:pBdr>
                <w:top w:val="nil"/>
                <w:left w:val="nil"/>
                <w:bottom w:val="nil"/>
                <w:right w:val="nil"/>
                <w:between w:val="nil"/>
              </w:pBdr>
              <w:rPr>
                <w:rFonts w:ascii="Helvetica" w:eastAsia="Calibri" w:hAnsi="Helvetica" w:cstheme="minorHAnsi"/>
                <w:sz w:val="22"/>
                <w:szCs w:val="22"/>
              </w:rPr>
            </w:pPr>
            <w:r w:rsidRPr="00BD4DAF">
              <w:rPr>
                <w:rFonts w:ascii="Helvetica" w:eastAsia="Calibri" w:hAnsi="Helvetica" w:cstheme="minorHAnsi"/>
                <w:sz w:val="22"/>
                <w:szCs w:val="22"/>
              </w:rPr>
              <w:t>National Heart and Lung Institute</w:t>
            </w:r>
            <w:r w:rsidR="001B63B2">
              <w:rPr>
                <w:rFonts w:ascii="Helvetica" w:eastAsia="Calibri" w:hAnsi="Helvetica" w:cstheme="minorHAnsi"/>
                <w:sz w:val="22"/>
                <w:szCs w:val="22"/>
              </w:rPr>
              <w:t>, Block B</w:t>
            </w:r>
          </w:p>
          <w:p w14:paraId="2097DEA9" w14:textId="77777777" w:rsidR="00E34A7A" w:rsidRPr="00BD4DAF" w:rsidRDefault="00E34A7A" w:rsidP="005E4B05">
            <w:pPr>
              <w:widowControl w:val="0"/>
              <w:pBdr>
                <w:top w:val="nil"/>
                <w:left w:val="nil"/>
                <w:bottom w:val="nil"/>
                <w:right w:val="nil"/>
                <w:between w:val="nil"/>
              </w:pBdr>
              <w:rPr>
                <w:rFonts w:ascii="Helvetica" w:eastAsia="Calibri" w:hAnsi="Helvetica" w:cstheme="minorHAnsi"/>
                <w:sz w:val="22"/>
                <w:szCs w:val="22"/>
              </w:rPr>
            </w:pPr>
            <w:r w:rsidRPr="00BD4DAF">
              <w:rPr>
                <w:rFonts w:ascii="Helvetica" w:eastAsia="Calibri" w:hAnsi="Helvetica" w:cstheme="minorHAnsi"/>
                <w:sz w:val="22"/>
                <w:szCs w:val="22"/>
              </w:rPr>
              <w:t>Imperial College London</w:t>
            </w:r>
          </w:p>
          <w:p w14:paraId="7D45B4A9" w14:textId="77777777" w:rsidR="00E34A7A" w:rsidRPr="00BD4DAF" w:rsidRDefault="00E34A7A" w:rsidP="005E4B05">
            <w:pPr>
              <w:widowControl w:val="0"/>
              <w:pBdr>
                <w:top w:val="nil"/>
                <w:left w:val="nil"/>
                <w:bottom w:val="nil"/>
                <w:right w:val="nil"/>
                <w:between w:val="nil"/>
              </w:pBdr>
              <w:rPr>
                <w:rFonts w:ascii="Helvetica" w:eastAsia="Calibri" w:hAnsi="Helvetica" w:cstheme="minorHAnsi"/>
                <w:sz w:val="22"/>
                <w:szCs w:val="22"/>
              </w:rPr>
            </w:pPr>
            <w:r w:rsidRPr="00BD4DAF">
              <w:rPr>
                <w:rFonts w:ascii="Helvetica" w:eastAsia="Calibri" w:hAnsi="Helvetica" w:cstheme="minorHAnsi"/>
                <w:sz w:val="22"/>
                <w:szCs w:val="22"/>
              </w:rPr>
              <w:t>Hammersmith Hospital</w:t>
            </w:r>
          </w:p>
          <w:p w14:paraId="7630AB3B" w14:textId="77777777" w:rsidR="00E34A7A" w:rsidRPr="00BD4DAF" w:rsidRDefault="00E34A7A" w:rsidP="005E4B05">
            <w:pPr>
              <w:widowControl w:val="0"/>
              <w:pBdr>
                <w:top w:val="nil"/>
                <w:left w:val="nil"/>
                <w:bottom w:val="nil"/>
                <w:right w:val="nil"/>
                <w:between w:val="nil"/>
              </w:pBdr>
              <w:rPr>
                <w:rFonts w:ascii="Helvetica" w:eastAsia="Calibri" w:hAnsi="Helvetica" w:cstheme="minorHAnsi"/>
                <w:sz w:val="22"/>
                <w:szCs w:val="22"/>
              </w:rPr>
            </w:pPr>
            <w:r w:rsidRPr="00BD4DAF">
              <w:rPr>
                <w:rFonts w:ascii="Helvetica" w:eastAsia="Calibri" w:hAnsi="Helvetica" w:cstheme="minorHAnsi"/>
                <w:sz w:val="22"/>
                <w:szCs w:val="22"/>
              </w:rPr>
              <w:t>Du Cane Road</w:t>
            </w:r>
          </w:p>
          <w:p w14:paraId="4425EFBE" w14:textId="77777777" w:rsidR="00E34A7A" w:rsidRPr="00BD4DAF" w:rsidRDefault="00E34A7A" w:rsidP="005E4B05">
            <w:pPr>
              <w:widowControl w:val="0"/>
              <w:pBdr>
                <w:top w:val="nil"/>
                <w:left w:val="nil"/>
                <w:bottom w:val="nil"/>
                <w:right w:val="nil"/>
                <w:between w:val="nil"/>
              </w:pBdr>
              <w:rPr>
                <w:rFonts w:ascii="Helvetica" w:eastAsia="Calibri" w:hAnsi="Helvetica" w:cstheme="minorHAnsi"/>
                <w:sz w:val="22"/>
                <w:szCs w:val="22"/>
              </w:rPr>
            </w:pPr>
            <w:r w:rsidRPr="00BD4DAF">
              <w:rPr>
                <w:rFonts w:ascii="Helvetica" w:eastAsia="Calibri" w:hAnsi="Helvetica" w:cstheme="minorHAnsi"/>
                <w:sz w:val="22"/>
                <w:szCs w:val="22"/>
              </w:rPr>
              <w:t xml:space="preserve">London </w:t>
            </w:r>
          </w:p>
          <w:p w14:paraId="7E6B28DB" w14:textId="77777777" w:rsidR="00E34A7A" w:rsidRDefault="00E34A7A" w:rsidP="005E4B05">
            <w:pPr>
              <w:widowControl w:val="0"/>
              <w:pBdr>
                <w:top w:val="nil"/>
                <w:left w:val="nil"/>
                <w:bottom w:val="nil"/>
                <w:right w:val="nil"/>
                <w:between w:val="nil"/>
              </w:pBdr>
              <w:rPr>
                <w:rFonts w:ascii="Helvetica" w:eastAsia="Calibri" w:hAnsi="Helvetica" w:cstheme="minorHAnsi"/>
                <w:sz w:val="22"/>
                <w:szCs w:val="22"/>
              </w:rPr>
            </w:pPr>
            <w:r w:rsidRPr="00BD4DAF">
              <w:rPr>
                <w:rFonts w:ascii="Helvetica" w:eastAsia="Calibri" w:hAnsi="Helvetica" w:cstheme="minorHAnsi"/>
                <w:sz w:val="22"/>
                <w:szCs w:val="22"/>
              </w:rPr>
              <w:t>W12 0HS</w:t>
            </w:r>
          </w:p>
          <w:p w14:paraId="42E54F28" w14:textId="77777777" w:rsidR="00550609" w:rsidRDefault="00550609" w:rsidP="005E4B05">
            <w:pPr>
              <w:widowControl w:val="0"/>
              <w:pBdr>
                <w:top w:val="nil"/>
                <w:left w:val="nil"/>
                <w:bottom w:val="nil"/>
                <w:right w:val="nil"/>
                <w:between w:val="nil"/>
              </w:pBdr>
              <w:rPr>
                <w:rFonts w:ascii="Helvetica" w:eastAsia="Calibri" w:hAnsi="Helvetica" w:cstheme="minorHAnsi"/>
                <w:sz w:val="22"/>
                <w:szCs w:val="22"/>
              </w:rPr>
            </w:pPr>
          </w:p>
          <w:p w14:paraId="079CE018" w14:textId="284D9F9C" w:rsidR="00354744" w:rsidRPr="00BD4DAF" w:rsidRDefault="00354744" w:rsidP="005E4B05">
            <w:pPr>
              <w:widowControl w:val="0"/>
              <w:pBdr>
                <w:top w:val="nil"/>
                <w:left w:val="nil"/>
                <w:bottom w:val="nil"/>
                <w:right w:val="nil"/>
                <w:between w:val="nil"/>
              </w:pBdr>
              <w:rPr>
                <w:rFonts w:ascii="Helvetica" w:eastAsia="Calibri" w:hAnsi="Helvetica" w:cstheme="minorHAnsi"/>
                <w:sz w:val="22"/>
                <w:szCs w:val="22"/>
              </w:rPr>
            </w:pPr>
            <w:r>
              <w:rPr>
                <w:rFonts w:ascii="Helvetica" w:eastAsia="Calibri" w:hAnsi="Helvetica" w:cstheme="minorHAnsi"/>
                <w:sz w:val="22"/>
                <w:szCs w:val="22"/>
              </w:rPr>
              <w:t>+44 7950680808</w:t>
            </w:r>
          </w:p>
          <w:p w14:paraId="700B5BC8" w14:textId="77777777" w:rsidR="00E34A7A" w:rsidRPr="00BD4DAF" w:rsidRDefault="00E34A7A" w:rsidP="005E4B05">
            <w:pPr>
              <w:widowControl w:val="0"/>
              <w:pBdr>
                <w:top w:val="nil"/>
                <w:left w:val="nil"/>
                <w:bottom w:val="nil"/>
                <w:right w:val="nil"/>
                <w:between w:val="nil"/>
              </w:pBdr>
              <w:rPr>
                <w:rFonts w:ascii="Helvetica" w:eastAsia="Calibri" w:hAnsi="Helvetica" w:cstheme="minorHAnsi"/>
                <w:sz w:val="22"/>
                <w:szCs w:val="22"/>
              </w:rPr>
            </w:pPr>
            <w:r w:rsidRPr="00BD4DAF">
              <w:rPr>
                <w:rFonts w:ascii="Helvetica" w:eastAsia="Calibri" w:hAnsi="Helvetica" w:cstheme="minorHAnsi"/>
                <w:sz w:val="22"/>
                <w:szCs w:val="22"/>
              </w:rPr>
              <w:t>a.kaura@imperial.ac.uk</w:t>
            </w:r>
          </w:p>
        </w:tc>
        <w:tc>
          <w:tcPr>
            <w:tcW w:w="547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ECCFC2B" w14:textId="77777777" w:rsidR="00E34A7A" w:rsidRPr="00BD4DAF" w:rsidRDefault="00E34A7A" w:rsidP="005E4B05">
            <w:pPr>
              <w:widowControl w:val="0"/>
              <w:pBdr>
                <w:top w:val="nil"/>
                <w:left w:val="nil"/>
                <w:bottom w:val="nil"/>
                <w:right w:val="nil"/>
                <w:between w:val="nil"/>
              </w:pBdr>
              <w:rPr>
                <w:rFonts w:ascii="Helvetica" w:eastAsia="Calibri" w:hAnsi="Helvetica" w:cstheme="minorHAnsi"/>
                <w:sz w:val="22"/>
                <w:szCs w:val="22"/>
              </w:rPr>
            </w:pPr>
          </w:p>
        </w:tc>
      </w:tr>
    </w:tbl>
    <w:p w14:paraId="754F1173" w14:textId="77777777" w:rsidR="005E4B05" w:rsidRPr="00354744" w:rsidRDefault="005E4B05" w:rsidP="005E4B05">
      <w:pPr>
        <w:outlineLvl w:val="0"/>
        <w:rPr>
          <w:rFonts w:ascii="Helvetica" w:eastAsia="Calibri" w:hAnsi="Helvetica" w:cstheme="minorHAnsi"/>
          <w:b/>
          <w:sz w:val="22"/>
          <w:szCs w:val="22"/>
          <w:u w:val="single"/>
        </w:rPr>
      </w:pPr>
    </w:p>
    <w:p w14:paraId="5ED0B42C" w14:textId="77777777" w:rsidR="00354744" w:rsidRDefault="00354744" w:rsidP="005E4B05">
      <w:pPr>
        <w:outlineLvl w:val="0"/>
        <w:rPr>
          <w:rFonts w:ascii="Helvetica" w:eastAsia="Calibri" w:hAnsi="Helvetica" w:cstheme="minorHAnsi"/>
          <w:b/>
          <w:sz w:val="22"/>
          <w:szCs w:val="22"/>
        </w:rPr>
      </w:pPr>
    </w:p>
    <w:p w14:paraId="16ADFDCA" w14:textId="2BEDD9FE" w:rsidR="00354744" w:rsidRPr="00354744" w:rsidRDefault="00354744" w:rsidP="005E4B05">
      <w:pPr>
        <w:outlineLvl w:val="0"/>
        <w:rPr>
          <w:rFonts w:ascii="Helvetica" w:eastAsia="Calibri" w:hAnsi="Helvetica" w:cstheme="minorHAnsi"/>
          <w:b/>
          <w:sz w:val="22"/>
          <w:szCs w:val="22"/>
        </w:rPr>
      </w:pPr>
      <w:r w:rsidRPr="00354744">
        <w:rPr>
          <w:rFonts w:ascii="Helvetica" w:eastAsia="Calibri" w:hAnsi="Helvetica" w:cstheme="minorHAnsi"/>
          <w:b/>
          <w:sz w:val="22"/>
          <w:szCs w:val="22"/>
        </w:rPr>
        <w:t>Word counts</w:t>
      </w:r>
    </w:p>
    <w:p w14:paraId="755D4EC0" w14:textId="77777777" w:rsidR="005E4B05" w:rsidRPr="00BD4DAF" w:rsidRDefault="005E4B05" w:rsidP="005E4B05">
      <w:pPr>
        <w:outlineLvl w:val="0"/>
        <w:rPr>
          <w:rFonts w:ascii="Helvetica" w:eastAsia="Calibri" w:hAnsi="Helvetica" w:cstheme="minorHAnsi"/>
          <w:b/>
          <w:sz w:val="22"/>
          <w:szCs w:val="22"/>
        </w:rPr>
      </w:pPr>
    </w:p>
    <w:p w14:paraId="41A627B2" w14:textId="0892D343" w:rsidR="005E4B05" w:rsidRPr="00354744" w:rsidRDefault="00D959D2" w:rsidP="005E4B05">
      <w:pPr>
        <w:outlineLvl w:val="0"/>
        <w:rPr>
          <w:rFonts w:ascii="Helvetica" w:eastAsia="Calibri" w:hAnsi="Helvetica" w:cstheme="minorHAnsi"/>
          <w:sz w:val="22"/>
          <w:szCs w:val="22"/>
        </w:rPr>
      </w:pPr>
      <w:r w:rsidRPr="00354744">
        <w:rPr>
          <w:rFonts w:ascii="Helvetica" w:eastAsia="Calibri" w:hAnsi="Helvetica" w:cstheme="minorHAnsi"/>
          <w:sz w:val="22"/>
          <w:szCs w:val="22"/>
        </w:rPr>
        <w:t xml:space="preserve">Abstract: </w:t>
      </w:r>
      <w:r w:rsidR="00455AF9">
        <w:rPr>
          <w:rFonts w:ascii="Helvetica" w:eastAsia="Calibri" w:hAnsi="Helvetica" w:cstheme="minorHAnsi"/>
          <w:sz w:val="22"/>
          <w:szCs w:val="22"/>
        </w:rPr>
        <w:t>327</w:t>
      </w:r>
      <w:r w:rsidRPr="00354744">
        <w:rPr>
          <w:rFonts w:ascii="Helvetica" w:eastAsia="Calibri" w:hAnsi="Helvetica" w:cstheme="minorHAnsi"/>
          <w:sz w:val="22"/>
          <w:szCs w:val="22"/>
        </w:rPr>
        <w:t xml:space="preserve"> words</w:t>
      </w:r>
    </w:p>
    <w:p w14:paraId="1E4D9CFA" w14:textId="61DEA856" w:rsidR="005E4B05" w:rsidRPr="00354744" w:rsidRDefault="00CA170D" w:rsidP="005E4B05">
      <w:pPr>
        <w:outlineLvl w:val="0"/>
        <w:rPr>
          <w:rFonts w:ascii="Helvetica" w:eastAsia="Calibri" w:hAnsi="Helvetica" w:cstheme="minorHAnsi"/>
          <w:sz w:val="22"/>
          <w:szCs w:val="22"/>
        </w:rPr>
      </w:pPr>
      <w:r w:rsidRPr="00354744">
        <w:rPr>
          <w:rFonts w:ascii="Helvetica" w:eastAsia="Calibri" w:hAnsi="Helvetica" w:cstheme="minorHAnsi"/>
          <w:sz w:val="22"/>
          <w:szCs w:val="22"/>
        </w:rPr>
        <w:t xml:space="preserve">Words count: </w:t>
      </w:r>
      <w:r w:rsidR="005B6AFB">
        <w:rPr>
          <w:rFonts w:ascii="Helvetica" w:eastAsia="Calibri" w:hAnsi="Helvetica" w:cstheme="minorHAnsi"/>
          <w:sz w:val="22"/>
          <w:szCs w:val="22"/>
        </w:rPr>
        <w:t>3</w:t>
      </w:r>
      <w:r w:rsidR="000C0A31">
        <w:rPr>
          <w:rFonts w:ascii="Helvetica" w:eastAsia="Calibri" w:hAnsi="Helvetica" w:cstheme="minorHAnsi"/>
          <w:sz w:val="22"/>
          <w:szCs w:val="22"/>
        </w:rPr>
        <w:t>877</w:t>
      </w:r>
      <w:r w:rsidRPr="00354744">
        <w:rPr>
          <w:rFonts w:ascii="Helvetica" w:eastAsia="Calibri" w:hAnsi="Helvetica" w:cstheme="minorHAnsi"/>
          <w:sz w:val="22"/>
          <w:szCs w:val="22"/>
        </w:rPr>
        <w:t xml:space="preserve"> words</w:t>
      </w:r>
    </w:p>
    <w:p w14:paraId="228BD6F9" w14:textId="77777777" w:rsidR="005E4B05" w:rsidRPr="00BD4DAF" w:rsidRDefault="005E4B05" w:rsidP="005E4B05">
      <w:pPr>
        <w:outlineLvl w:val="0"/>
        <w:rPr>
          <w:rFonts w:ascii="Helvetica" w:eastAsia="Calibri" w:hAnsi="Helvetica" w:cstheme="minorHAnsi"/>
          <w:b/>
          <w:sz w:val="22"/>
          <w:szCs w:val="22"/>
        </w:rPr>
      </w:pPr>
    </w:p>
    <w:p w14:paraId="69C2D21D" w14:textId="77777777" w:rsidR="005E4B05" w:rsidRPr="00BD4DAF" w:rsidRDefault="005E4B05" w:rsidP="005E4B05">
      <w:pPr>
        <w:outlineLvl w:val="0"/>
        <w:rPr>
          <w:rFonts w:ascii="Helvetica" w:eastAsia="Calibri" w:hAnsi="Helvetica" w:cstheme="minorHAnsi"/>
          <w:b/>
          <w:sz w:val="22"/>
          <w:szCs w:val="22"/>
        </w:rPr>
      </w:pPr>
    </w:p>
    <w:p w14:paraId="7203A38F" w14:textId="77777777" w:rsidR="005E4B05" w:rsidRPr="00BD4DAF" w:rsidRDefault="005E4B05" w:rsidP="005E4B05">
      <w:pPr>
        <w:outlineLvl w:val="0"/>
        <w:rPr>
          <w:rFonts w:ascii="Helvetica" w:eastAsia="Calibri" w:hAnsi="Helvetica" w:cstheme="minorHAnsi"/>
          <w:b/>
          <w:sz w:val="22"/>
          <w:szCs w:val="22"/>
        </w:rPr>
      </w:pPr>
    </w:p>
    <w:p w14:paraId="10A69CEA" w14:textId="77777777" w:rsidR="005E4B05" w:rsidRDefault="005E4B05" w:rsidP="005E4B05">
      <w:pPr>
        <w:outlineLvl w:val="0"/>
        <w:rPr>
          <w:rFonts w:ascii="Helvetica" w:eastAsia="Calibri" w:hAnsi="Helvetica" w:cstheme="minorHAnsi"/>
          <w:b/>
          <w:sz w:val="22"/>
          <w:szCs w:val="22"/>
        </w:rPr>
      </w:pPr>
    </w:p>
    <w:p w14:paraId="6EF939EB" w14:textId="77777777" w:rsidR="00EA2D1A" w:rsidRDefault="00EA2D1A" w:rsidP="005E4B05">
      <w:pPr>
        <w:outlineLvl w:val="0"/>
        <w:rPr>
          <w:rFonts w:ascii="Helvetica" w:eastAsia="Calibri" w:hAnsi="Helvetica" w:cstheme="minorHAnsi"/>
          <w:b/>
          <w:sz w:val="22"/>
          <w:szCs w:val="22"/>
        </w:rPr>
      </w:pPr>
    </w:p>
    <w:p w14:paraId="6A2FD33F" w14:textId="77777777" w:rsidR="00EA2D1A" w:rsidRDefault="00EA2D1A" w:rsidP="005E4B05">
      <w:pPr>
        <w:outlineLvl w:val="0"/>
        <w:rPr>
          <w:rFonts w:ascii="Helvetica" w:eastAsia="Calibri" w:hAnsi="Helvetica" w:cstheme="minorHAnsi"/>
          <w:b/>
          <w:sz w:val="22"/>
          <w:szCs w:val="22"/>
        </w:rPr>
      </w:pPr>
    </w:p>
    <w:p w14:paraId="47C800DC" w14:textId="77777777" w:rsidR="00EA2D1A" w:rsidRDefault="00EA2D1A" w:rsidP="005E4B05">
      <w:pPr>
        <w:outlineLvl w:val="0"/>
        <w:rPr>
          <w:rFonts w:ascii="Helvetica" w:eastAsia="Calibri" w:hAnsi="Helvetica" w:cstheme="minorHAnsi"/>
          <w:b/>
          <w:sz w:val="22"/>
          <w:szCs w:val="22"/>
        </w:rPr>
      </w:pPr>
    </w:p>
    <w:p w14:paraId="5ED5E41E" w14:textId="77777777" w:rsidR="00EA2D1A" w:rsidRDefault="00EA2D1A" w:rsidP="005E4B05">
      <w:pPr>
        <w:outlineLvl w:val="0"/>
        <w:rPr>
          <w:rFonts w:ascii="Helvetica" w:eastAsia="Calibri" w:hAnsi="Helvetica" w:cstheme="minorHAnsi"/>
          <w:b/>
          <w:sz w:val="22"/>
          <w:szCs w:val="22"/>
        </w:rPr>
      </w:pPr>
    </w:p>
    <w:p w14:paraId="623075A1" w14:textId="77777777" w:rsidR="0071266A" w:rsidRDefault="0071266A" w:rsidP="005E4B05">
      <w:pPr>
        <w:outlineLvl w:val="0"/>
        <w:rPr>
          <w:rFonts w:ascii="Helvetica" w:eastAsia="Calibri" w:hAnsi="Helvetica" w:cstheme="minorHAnsi"/>
          <w:b/>
          <w:sz w:val="22"/>
          <w:szCs w:val="22"/>
        </w:rPr>
      </w:pPr>
    </w:p>
    <w:p w14:paraId="62DE6924" w14:textId="77777777" w:rsidR="005E4B05" w:rsidRDefault="005E4B05" w:rsidP="005E4B05">
      <w:pPr>
        <w:outlineLvl w:val="0"/>
        <w:rPr>
          <w:rFonts w:ascii="Helvetica" w:eastAsia="Calibri" w:hAnsi="Helvetica" w:cstheme="minorHAnsi"/>
          <w:b/>
          <w:sz w:val="22"/>
          <w:szCs w:val="22"/>
        </w:rPr>
      </w:pPr>
    </w:p>
    <w:p w14:paraId="790032A8" w14:textId="2F3765DE" w:rsidR="000C5B8F" w:rsidRPr="00C32601" w:rsidRDefault="00B928F2" w:rsidP="00B928F2">
      <w:pPr>
        <w:spacing w:line="480" w:lineRule="auto"/>
        <w:outlineLvl w:val="0"/>
        <w:rPr>
          <w:rFonts w:ascii="Helvetica" w:eastAsia="Calibri" w:hAnsi="Helvetica" w:cstheme="minorHAnsi"/>
          <w:b/>
          <w:sz w:val="26"/>
          <w:szCs w:val="26"/>
        </w:rPr>
      </w:pPr>
      <w:r>
        <w:rPr>
          <w:rFonts w:ascii="Helvetica" w:eastAsia="Calibri" w:hAnsi="Helvetica" w:cstheme="minorHAnsi"/>
          <w:b/>
          <w:sz w:val="26"/>
          <w:szCs w:val="26"/>
        </w:rPr>
        <w:lastRenderedPageBreak/>
        <w:t>A</w:t>
      </w:r>
      <w:r w:rsidR="000C5B8F" w:rsidRPr="00C32601">
        <w:rPr>
          <w:rFonts w:ascii="Helvetica" w:eastAsia="Calibri" w:hAnsi="Helvetica" w:cstheme="minorHAnsi"/>
          <w:b/>
          <w:sz w:val="26"/>
          <w:szCs w:val="26"/>
        </w:rPr>
        <w:t>bstract</w:t>
      </w:r>
    </w:p>
    <w:p w14:paraId="4CF0780A" w14:textId="2C010408" w:rsidR="000C5B8F" w:rsidRPr="00BD4DAF" w:rsidRDefault="00314DFA" w:rsidP="00B928F2">
      <w:pPr>
        <w:spacing w:line="480" w:lineRule="auto"/>
        <w:outlineLvl w:val="0"/>
        <w:rPr>
          <w:rFonts w:ascii="Helvetica" w:eastAsia="Calibri" w:hAnsi="Helvetica" w:cstheme="minorHAnsi"/>
          <w:b/>
          <w:sz w:val="22"/>
          <w:szCs w:val="22"/>
        </w:rPr>
      </w:pPr>
      <w:r>
        <w:rPr>
          <w:rFonts w:ascii="Helvetica" w:eastAsia="Calibri" w:hAnsi="Helvetica" w:cstheme="minorHAnsi"/>
          <w:b/>
          <w:sz w:val="22"/>
          <w:szCs w:val="22"/>
        </w:rPr>
        <w:t>Background</w:t>
      </w:r>
      <w:r w:rsidR="0081092B">
        <w:rPr>
          <w:rFonts w:ascii="Helvetica" w:eastAsia="Calibri" w:hAnsi="Helvetica" w:cstheme="minorHAnsi"/>
          <w:b/>
          <w:sz w:val="22"/>
          <w:szCs w:val="22"/>
        </w:rPr>
        <w:t xml:space="preserve"> </w:t>
      </w:r>
    </w:p>
    <w:p w14:paraId="42FAEB75" w14:textId="409682A9" w:rsidR="00A803C9" w:rsidRPr="00BD4DAF" w:rsidRDefault="00B61154" w:rsidP="00B928F2">
      <w:pPr>
        <w:spacing w:line="480" w:lineRule="auto"/>
        <w:outlineLvl w:val="0"/>
        <w:rPr>
          <w:rFonts w:ascii="Helvetica" w:eastAsia="Calibri" w:hAnsi="Helvetica" w:cstheme="minorHAnsi"/>
          <w:sz w:val="22"/>
          <w:szCs w:val="22"/>
        </w:rPr>
      </w:pPr>
      <w:r>
        <w:rPr>
          <w:rFonts w:ascii="Helvetica" w:eastAsia="Calibri" w:hAnsi="Helvetica" w:cstheme="minorHAnsi"/>
          <w:sz w:val="22"/>
          <w:szCs w:val="22"/>
        </w:rPr>
        <w:t>A single</w:t>
      </w:r>
      <w:r w:rsidR="00634B9B">
        <w:rPr>
          <w:rFonts w:ascii="Helvetica" w:eastAsia="Calibri" w:hAnsi="Helvetica" w:cstheme="minorHAnsi"/>
          <w:sz w:val="22"/>
          <w:szCs w:val="22"/>
        </w:rPr>
        <w:t xml:space="preserve"> </w:t>
      </w:r>
      <w:r>
        <w:rPr>
          <w:rFonts w:ascii="Helvetica" w:eastAsia="Calibri" w:hAnsi="Helvetica" w:cstheme="minorHAnsi"/>
          <w:sz w:val="22"/>
          <w:szCs w:val="22"/>
        </w:rPr>
        <w:t>dose strategy may be adequate t</w:t>
      </w:r>
      <w:r w:rsidR="00BC7024" w:rsidRPr="00BC7024">
        <w:rPr>
          <w:rFonts w:ascii="Helvetica" w:eastAsia="Calibri" w:hAnsi="Helvetica" w:cstheme="minorHAnsi"/>
          <w:sz w:val="22"/>
          <w:szCs w:val="22"/>
        </w:rPr>
        <w:t xml:space="preserve">o confer population level immunity and protection against </w:t>
      </w:r>
      <w:r w:rsidRPr="00B61154">
        <w:rPr>
          <w:rFonts w:ascii="Helvetica" w:eastAsia="Calibri" w:hAnsi="Helvetica" w:cstheme="minorHAnsi"/>
          <w:sz w:val="22"/>
          <w:szCs w:val="22"/>
        </w:rPr>
        <w:t xml:space="preserve">severe acute respiratory syndrome coronavirus 2 </w:t>
      </w:r>
      <w:r>
        <w:rPr>
          <w:rFonts w:ascii="Helvetica" w:eastAsia="Calibri" w:hAnsi="Helvetica" w:cstheme="minorHAnsi"/>
          <w:sz w:val="22"/>
          <w:szCs w:val="22"/>
        </w:rPr>
        <w:t>(</w:t>
      </w:r>
      <w:r w:rsidR="00BC7024" w:rsidRPr="00BC7024">
        <w:rPr>
          <w:rFonts w:ascii="Helvetica" w:eastAsia="Calibri" w:hAnsi="Helvetica" w:cstheme="minorHAnsi"/>
          <w:sz w:val="22"/>
          <w:szCs w:val="22"/>
        </w:rPr>
        <w:t>SARS-CoV-2</w:t>
      </w:r>
      <w:r>
        <w:rPr>
          <w:rFonts w:ascii="Helvetica" w:eastAsia="Calibri" w:hAnsi="Helvetica" w:cstheme="minorHAnsi"/>
          <w:sz w:val="22"/>
          <w:szCs w:val="22"/>
        </w:rPr>
        <w:t>)</w:t>
      </w:r>
      <w:r w:rsidR="0016449A">
        <w:rPr>
          <w:rFonts w:ascii="Helvetica" w:eastAsia="Calibri" w:hAnsi="Helvetica" w:cstheme="minorHAnsi"/>
          <w:sz w:val="22"/>
          <w:szCs w:val="22"/>
        </w:rPr>
        <w:t xml:space="preserve"> </w:t>
      </w:r>
      <w:r w:rsidR="00BC7024" w:rsidRPr="00BC7024">
        <w:rPr>
          <w:rFonts w:ascii="Helvetica" w:eastAsia="Calibri" w:hAnsi="Helvetica" w:cstheme="minorHAnsi"/>
          <w:sz w:val="22"/>
          <w:szCs w:val="22"/>
        </w:rPr>
        <w:t>infection, especially in low- and middle-income countries where vaccine supply remains limited.</w:t>
      </w:r>
      <w:r w:rsidR="0081092B">
        <w:rPr>
          <w:rFonts w:ascii="Helvetica" w:eastAsia="Calibri" w:hAnsi="Helvetica" w:cstheme="minorHAnsi"/>
          <w:sz w:val="22"/>
          <w:szCs w:val="22"/>
        </w:rPr>
        <w:t xml:space="preserve"> </w:t>
      </w:r>
      <w:r w:rsidR="00E57192" w:rsidRPr="00BD4DAF">
        <w:rPr>
          <w:rFonts w:ascii="Helvetica" w:eastAsia="Calibri" w:hAnsi="Helvetica" w:cstheme="minorHAnsi"/>
          <w:sz w:val="22"/>
          <w:szCs w:val="22"/>
        </w:rPr>
        <w:t>W</w:t>
      </w:r>
      <w:r w:rsidR="00A803C9" w:rsidRPr="00BD4DAF">
        <w:rPr>
          <w:rFonts w:ascii="Helvetica" w:eastAsia="Calibri" w:hAnsi="Helvetica" w:cstheme="minorHAnsi"/>
          <w:sz w:val="22"/>
          <w:szCs w:val="22"/>
        </w:rPr>
        <w:t xml:space="preserve">e compared the </w:t>
      </w:r>
      <w:r w:rsidR="00EA6CD6" w:rsidRPr="00BD4DAF">
        <w:rPr>
          <w:rFonts w:ascii="Helvetica" w:eastAsia="Calibri" w:hAnsi="Helvetica" w:cstheme="minorHAnsi"/>
          <w:sz w:val="22"/>
          <w:szCs w:val="22"/>
        </w:rPr>
        <w:t>effectiveness</w:t>
      </w:r>
      <w:r w:rsidR="00C75B97">
        <w:rPr>
          <w:rFonts w:ascii="Helvetica" w:eastAsia="Calibri" w:hAnsi="Helvetica" w:cstheme="minorHAnsi"/>
          <w:sz w:val="22"/>
          <w:szCs w:val="22"/>
        </w:rPr>
        <w:t xml:space="preserve"> of a </w:t>
      </w:r>
      <w:r w:rsidR="00634B9B">
        <w:rPr>
          <w:rFonts w:ascii="Helvetica" w:eastAsia="Calibri" w:hAnsi="Helvetica" w:cstheme="minorHAnsi"/>
          <w:sz w:val="22"/>
          <w:szCs w:val="22"/>
        </w:rPr>
        <w:t>single dose</w:t>
      </w:r>
      <w:r w:rsidR="00A803C9" w:rsidRPr="00BD4DAF">
        <w:rPr>
          <w:rFonts w:ascii="Helvetica" w:eastAsia="Calibri" w:hAnsi="Helvetica" w:cstheme="minorHAnsi"/>
          <w:sz w:val="22"/>
          <w:szCs w:val="22"/>
        </w:rPr>
        <w:t xml:space="preserve"> strategy of the Oxford-AstraZeneca or Pfizer-</w:t>
      </w:r>
      <w:proofErr w:type="spellStart"/>
      <w:r w:rsidR="00A803C9" w:rsidRPr="00BD4DAF">
        <w:rPr>
          <w:rFonts w:ascii="Helvetica" w:eastAsia="Calibri" w:hAnsi="Helvetica" w:cstheme="minorHAnsi"/>
          <w:sz w:val="22"/>
          <w:szCs w:val="22"/>
        </w:rPr>
        <w:t>BioNTech</w:t>
      </w:r>
      <w:proofErr w:type="spellEnd"/>
      <w:r w:rsidR="00A803C9" w:rsidRPr="00BD4DAF">
        <w:rPr>
          <w:rFonts w:ascii="Helvetica" w:eastAsia="Calibri" w:hAnsi="Helvetica" w:cstheme="minorHAnsi"/>
          <w:sz w:val="22"/>
          <w:szCs w:val="22"/>
        </w:rPr>
        <w:t xml:space="preserve"> vaccines against SARS-CoV-2 infection across all age groups and over </w:t>
      </w:r>
      <w:r w:rsidR="005D18A4" w:rsidRPr="00BD4DAF">
        <w:rPr>
          <w:rFonts w:ascii="Helvetica" w:eastAsia="Calibri" w:hAnsi="Helvetica" w:cstheme="minorHAnsi"/>
          <w:sz w:val="22"/>
          <w:szCs w:val="22"/>
        </w:rPr>
        <w:t xml:space="preserve">an extended </w:t>
      </w:r>
      <w:r w:rsidR="00EA6CD6" w:rsidRPr="00BD4DAF">
        <w:rPr>
          <w:rFonts w:ascii="Helvetica" w:eastAsia="Calibri" w:hAnsi="Helvetica" w:cstheme="minorHAnsi"/>
          <w:sz w:val="22"/>
          <w:szCs w:val="22"/>
        </w:rPr>
        <w:t>follow-</w:t>
      </w:r>
      <w:r w:rsidR="005D18A4" w:rsidRPr="00BD4DAF">
        <w:rPr>
          <w:rFonts w:ascii="Helvetica" w:eastAsia="Calibri" w:hAnsi="Helvetica" w:cstheme="minorHAnsi"/>
          <w:sz w:val="22"/>
          <w:szCs w:val="22"/>
        </w:rPr>
        <w:t>up period</w:t>
      </w:r>
      <w:r w:rsidR="00A803C9" w:rsidRPr="00BD4DAF">
        <w:rPr>
          <w:rFonts w:ascii="Helvetica" w:eastAsia="Calibri" w:hAnsi="Helvetica" w:cstheme="minorHAnsi"/>
          <w:sz w:val="22"/>
          <w:szCs w:val="22"/>
        </w:rPr>
        <w:t>.</w:t>
      </w:r>
    </w:p>
    <w:p w14:paraId="12CDEF72" w14:textId="77777777" w:rsidR="00807BF6" w:rsidRPr="00BD4DAF" w:rsidRDefault="00807BF6" w:rsidP="00B928F2">
      <w:pPr>
        <w:spacing w:line="480" w:lineRule="auto"/>
        <w:outlineLvl w:val="0"/>
        <w:rPr>
          <w:rFonts w:ascii="Helvetica" w:eastAsia="Calibri" w:hAnsi="Helvetica" w:cstheme="minorHAnsi"/>
          <w:b/>
          <w:sz w:val="22"/>
          <w:szCs w:val="22"/>
        </w:rPr>
      </w:pPr>
    </w:p>
    <w:p w14:paraId="625E83EC" w14:textId="4E392C25" w:rsidR="00A803C9" w:rsidRPr="00BD4DAF" w:rsidRDefault="00314DFA" w:rsidP="00B928F2">
      <w:pPr>
        <w:spacing w:line="480" w:lineRule="auto"/>
        <w:outlineLvl w:val="0"/>
        <w:rPr>
          <w:rFonts w:ascii="Helvetica" w:eastAsia="Calibri" w:hAnsi="Helvetica" w:cstheme="minorHAnsi"/>
          <w:b/>
          <w:sz w:val="22"/>
          <w:szCs w:val="22"/>
        </w:rPr>
      </w:pPr>
      <w:r>
        <w:rPr>
          <w:rFonts w:ascii="Helvetica" w:eastAsia="Calibri" w:hAnsi="Helvetica" w:cstheme="minorHAnsi"/>
          <w:b/>
          <w:sz w:val="22"/>
          <w:szCs w:val="22"/>
        </w:rPr>
        <w:t>Methods</w:t>
      </w:r>
    </w:p>
    <w:p w14:paraId="45DB19FD" w14:textId="35ECD112" w:rsidR="00FF7956" w:rsidRPr="00FF7956" w:rsidRDefault="00FF7956" w:rsidP="00FF7956">
      <w:pPr>
        <w:spacing w:line="480" w:lineRule="auto"/>
        <w:outlineLvl w:val="0"/>
        <w:rPr>
          <w:rFonts w:ascii="Helvetica" w:eastAsia="Calibri" w:hAnsi="Helvetica" w:cs="Arial"/>
          <w:sz w:val="22"/>
          <w:szCs w:val="22"/>
        </w:rPr>
      </w:pPr>
      <w:r w:rsidRPr="00FF7956">
        <w:rPr>
          <w:rFonts w:ascii="Helvetica" w:eastAsia="Calibri" w:hAnsi="Helvetica" w:cs="Arial"/>
          <w:sz w:val="22"/>
          <w:szCs w:val="22"/>
        </w:rPr>
        <w:t>Individuals vaccinated in North-West London, UK, with either the first dose of the Oxford-AstraZeneca or Pfizer-</w:t>
      </w:r>
      <w:proofErr w:type="spellStart"/>
      <w:r w:rsidRPr="00FF7956">
        <w:rPr>
          <w:rFonts w:ascii="Helvetica" w:eastAsia="Calibri" w:hAnsi="Helvetica" w:cs="Arial"/>
          <w:sz w:val="22"/>
          <w:szCs w:val="22"/>
        </w:rPr>
        <w:t>BioNTech</w:t>
      </w:r>
      <w:proofErr w:type="spellEnd"/>
      <w:r w:rsidRPr="00FF7956">
        <w:rPr>
          <w:rFonts w:ascii="Helvetica" w:eastAsia="Calibri" w:hAnsi="Helvetica" w:cs="Arial"/>
          <w:sz w:val="22"/>
          <w:szCs w:val="22"/>
        </w:rPr>
        <w:t xml:space="preserve"> vaccines between </w:t>
      </w:r>
      <w:r w:rsidRPr="00FF7956">
        <w:rPr>
          <w:rFonts w:ascii="Helvetica" w:eastAsia="Calibri" w:hAnsi="Helvetica" w:cs="Arial"/>
          <w:sz w:val="22"/>
          <w:szCs w:val="22"/>
          <w:lang w:val="en-US"/>
        </w:rPr>
        <w:t>January 12, 2021 to March 09, 2021</w:t>
      </w:r>
      <w:r w:rsidRPr="00FF7956">
        <w:rPr>
          <w:rFonts w:ascii="Helvetica" w:eastAsia="Calibri" w:hAnsi="Helvetica" w:cs="Arial"/>
          <w:sz w:val="22"/>
          <w:szCs w:val="22"/>
        </w:rPr>
        <w:t xml:space="preserve">, were matched to each other </w:t>
      </w:r>
      <w:r w:rsidR="00B61154">
        <w:rPr>
          <w:rFonts w:ascii="Helvetica" w:eastAsia="Calibri" w:hAnsi="Helvetica" w:cs="Arial"/>
          <w:sz w:val="22"/>
          <w:szCs w:val="22"/>
        </w:rPr>
        <w:t>by</w:t>
      </w:r>
      <w:r w:rsidRPr="00FF7956">
        <w:rPr>
          <w:rFonts w:ascii="Helvetica" w:eastAsia="Calibri" w:hAnsi="Helvetica" w:cs="Arial"/>
          <w:sz w:val="22"/>
          <w:szCs w:val="22"/>
        </w:rPr>
        <w:t xml:space="preserve"> demographic and clinical characteristics. </w:t>
      </w:r>
      <w:r w:rsidR="00FB03F2">
        <w:rPr>
          <w:rFonts w:ascii="Helvetica" w:eastAsia="Calibri" w:hAnsi="Helvetica" w:cs="Arial"/>
          <w:sz w:val="22"/>
          <w:szCs w:val="22"/>
        </w:rPr>
        <w:t xml:space="preserve">Each vaccinated individual was additionally matched to an unvaccinated control. </w:t>
      </w:r>
      <w:r w:rsidRPr="00FF7956">
        <w:rPr>
          <w:rFonts w:ascii="Helvetica" w:eastAsia="Calibri" w:hAnsi="Helvetica" w:cs="Arial"/>
          <w:sz w:val="22"/>
          <w:szCs w:val="22"/>
          <w:lang w:val="en-US"/>
        </w:rPr>
        <w:t>Study outcomes included SARS-CoV-2 infection</w:t>
      </w:r>
      <w:r w:rsidR="009D43B3">
        <w:rPr>
          <w:rFonts w:ascii="Helvetica" w:eastAsia="Calibri" w:hAnsi="Helvetica" w:cs="Arial"/>
          <w:sz w:val="22"/>
          <w:szCs w:val="22"/>
          <w:lang w:val="en-US"/>
        </w:rPr>
        <w:t xml:space="preserve"> </w:t>
      </w:r>
      <w:r w:rsidR="00310506">
        <w:rPr>
          <w:rFonts w:ascii="Helvetica" w:eastAsia="Calibri" w:hAnsi="Helvetica" w:cs="Arial"/>
          <w:sz w:val="22"/>
          <w:szCs w:val="22"/>
          <w:lang w:val="en-US"/>
        </w:rPr>
        <w:t>of any severity</w:t>
      </w:r>
      <w:r w:rsidRPr="00FF7956">
        <w:rPr>
          <w:rFonts w:ascii="Helvetica" w:eastAsia="Calibri" w:hAnsi="Helvetica" w:cs="Arial"/>
          <w:sz w:val="22"/>
          <w:szCs w:val="22"/>
          <w:lang w:val="en-US"/>
        </w:rPr>
        <w:t xml:space="preserve">, </w:t>
      </w:r>
      <w:r w:rsidRPr="00FF7956">
        <w:rPr>
          <w:rFonts w:ascii="Helvetica" w:eastAsia="Calibri" w:hAnsi="Helvetica" w:cs="Arial"/>
          <w:sz w:val="22"/>
          <w:szCs w:val="22"/>
        </w:rPr>
        <w:t xml:space="preserve">COVID-19 hospitalisation, COVID-19 death, and all-cause mortality. </w:t>
      </w:r>
    </w:p>
    <w:p w14:paraId="77566A14" w14:textId="77777777" w:rsidR="00BC7024" w:rsidRDefault="00BC7024" w:rsidP="00B928F2">
      <w:pPr>
        <w:spacing w:line="480" w:lineRule="auto"/>
        <w:outlineLvl w:val="0"/>
        <w:rPr>
          <w:rFonts w:ascii="Helvetica" w:eastAsia="Calibri" w:hAnsi="Helvetica" w:cstheme="minorHAnsi"/>
          <w:b/>
          <w:sz w:val="22"/>
          <w:szCs w:val="22"/>
        </w:rPr>
      </w:pPr>
    </w:p>
    <w:p w14:paraId="03C31EE0" w14:textId="1F99DF0A" w:rsidR="00A803C9" w:rsidRPr="00BD4DAF" w:rsidRDefault="00314DFA" w:rsidP="00B928F2">
      <w:pPr>
        <w:spacing w:line="480" w:lineRule="auto"/>
        <w:outlineLvl w:val="0"/>
        <w:rPr>
          <w:rFonts w:ascii="Helvetica" w:eastAsia="Calibri" w:hAnsi="Helvetica" w:cstheme="minorHAnsi"/>
          <w:b/>
          <w:sz w:val="22"/>
          <w:szCs w:val="22"/>
        </w:rPr>
      </w:pPr>
      <w:r>
        <w:rPr>
          <w:rFonts w:ascii="Helvetica" w:eastAsia="Calibri" w:hAnsi="Helvetica" w:cstheme="minorHAnsi"/>
          <w:b/>
          <w:sz w:val="22"/>
          <w:szCs w:val="22"/>
        </w:rPr>
        <w:t xml:space="preserve">Findings </w:t>
      </w:r>
    </w:p>
    <w:p w14:paraId="3A7654DD" w14:textId="769D99E9" w:rsidR="004B7CB2" w:rsidRDefault="00FF7956" w:rsidP="00B928F2">
      <w:pPr>
        <w:spacing w:line="480" w:lineRule="auto"/>
        <w:outlineLvl w:val="0"/>
        <w:rPr>
          <w:rFonts w:ascii="Helvetica" w:eastAsia="Calibri" w:hAnsi="Helvetica" w:cs="Arial"/>
          <w:sz w:val="22"/>
          <w:szCs w:val="22"/>
        </w:rPr>
      </w:pPr>
      <w:r w:rsidRPr="00FF7956">
        <w:rPr>
          <w:rFonts w:ascii="Helvetica" w:eastAsia="Calibri" w:hAnsi="Helvetica" w:cs="Arial"/>
          <w:sz w:val="22"/>
          <w:szCs w:val="22"/>
          <w:lang w:val="en-US"/>
        </w:rPr>
        <w:t>Amongst matched individuals, 63,608 were in each of the vaccine groups and 127,216 were unvaccinated.</w:t>
      </w:r>
      <w:r>
        <w:rPr>
          <w:rFonts w:ascii="Helvetica" w:eastAsia="Calibri" w:hAnsi="Helvetica" w:cs="Arial"/>
          <w:sz w:val="22"/>
          <w:szCs w:val="22"/>
          <w:lang w:val="en-US"/>
        </w:rPr>
        <w:t xml:space="preserve"> </w:t>
      </w:r>
      <w:r w:rsidR="004F195E">
        <w:rPr>
          <w:rFonts w:ascii="Helvetica" w:eastAsia="Calibri" w:hAnsi="Helvetica" w:cs="Arial"/>
          <w:sz w:val="22"/>
          <w:szCs w:val="22"/>
          <w:lang w:val="en-US"/>
        </w:rPr>
        <w:t xml:space="preserve">Between 14-84 days of follow-up after matching, there were 534 SARS-CoV-2 infections, 65 COVID-19 </w:t>
      </w:r>
      <w:proofErr w:type="spellStart"/>
      <w:r w:rsidR="004F195E">
        <w:rPr>
          <w:rFonts w:ascii="Helvetica" w:eastAsia="Calibri" w:hAnsi="Helvetica" w:cs="Arial"/>
          <w:sz w:val="22"/>
          <w:szCs w:val="22"/>
          <w:lang w:val="en-US"/>
        </w:rPr>
        <w:t>hospitalisations</w:t>
      </w:r>
      <w:proofErr w:type="spellEnd"/>
      <w:r w:rsidR="004F195E">
        <w:rPr>
          <w:rFonts w:ascii="Helvetica" w:eastAsia="Calibri" w:hAnsi="Helvetica" w:cs="Arial"/>
          <w:sz w:val="22"/>
          <w:szCs w:val="22"/>
          <w:lang w:val="en-US"/>
        </w:rPr>
        <w:t xml:space="preserve">, and 190 deaths, of which 29 were categorized as due to COVID-19. </w:t>
      </w:r>
      <w:r w:rsidR="00BF720D" w:rsidRPr="00BD4DAF">
        <w:rPr>
          <w:rFonts w:ascii="Helvetica" w:eastAsia="Calibri" w:hAnsi="Helvetica" w:cs="Arial"/>
          <w:sz w:val="22"/>
          <w:szCs w:val="22"/>
          <w:lang w:val="en-US"/>
        </w:rPr>
        <w:t xml:space="preserve">The incidence rate ratio (IRR) for SARS-CoV-2 infection was 0.85 (95% </w:t>
      </w:r>
      <w:r w:rsidR="00EA6CD6" w:rsidRPr="00BD4DAF">
        <w:rPr>
          <w:rFonts w:ascii="Helvetica" w:eastAsia="Calibri" w:hAnsi="Helvetica" w:cs="Arial"/>
          <w:sz w:val="22"/>
          <w:szCs w:val="22"/>
          <w:lang w:val="en-US"/>
        </w:rPr>
        <w:t>confidence interval [</w:t>
      </w:r>
      <w:r w:rsidR="00BF720D" w:rsidRPr="00BD4DAF">
        <w:rPr>
          <w:rFonts w:ascii="Helvetica" w:eastAsia="Calibri" w:hAnsi="Helvetica" w:cs="Arial"/>
          <w:sz w:val="22"/>
          <w:szCs w:val="22"/>
          <w:lang w:val="en-US"/>
        </w:rPr>
        <w:t>CI</w:t>
      </w:r>
      <w:r w:rsidR="00EA6CD6" w:rsidRPr="00BD4DAF">
        <w:rPr>
          <w:rFonts w:ascii="Helvetica" w:eastAsia="Calibri" w:hAnsi="Helvetica" w:cs="Arial"/>
          <w:sz w:val="22"/>
          <w:szCs w:val="22"/>
          <w:lang w:val="en-US"/>
        </w:rPr>
        <w:t>]</w:t>
      </w:r>
      <w:r w:rsidR="00BF720D" w:rsidRPr="00BD4DAF">
        <w:rPr>
          <w:rFonts w:ascii="Helvetica" w:eastAsia="Calibri" w:hAnsi="Helvetica" w:cs="Arial"/>
          <w:sz w:val="22"/>
          <w:szCs w:val="22"/>
          <w:lang w:val="en-US"/>
        </w:rPr>
        <w:t>, 0.69 to 1.05) for Oxford-Astra-Zeneca, and 0.69 (0.55 to 0.86) for Pfizer-</w:t>
      </w:r>
      <w:proofErr w:type="spellStart"/>
      <w:r w:rsidR="00BF720D" w:rsidRPr="00BD4DAF">
        <w:rPr>
          <w:rFonts w:ascii="Helvetica" w:eastAsia="Calibri" w:hAnsi="Helvetica" w:cs="Arial"/>
          <w:sz w:val="22"/>
          <w:szCs w:val="22"/>
          <w:lang w:val="en-US"/>
        </w:rPr>
        <w:t>BioNTech</w:t>
      </w:r>
      <w:proofErr w:type="spellEnd"/>
      <w:r w:rsidR="00BF720D" w:rsidRPr="00BD4DAF">
        <w:rPr>
          <w:rFonts w:ascii="Helvetica" w:eastAsia="Calibri" w:hAnsi="Helvetica" w:cs="Arial"/>
          <w:sz w:val="22"/>
          <w:szCs w:val="22"/>
          <w:lang w:val="en-US"/>
        </w:rPr>
        <w:t>.</w:t>
      </w:r>
      <w:r w:rsidR="00BF720D" w:rsidRPr="00BD4DAF">
        <w:rPr>
          <w:rFonts w:ascii="Helvetica" w:eastAsia="Calibri" w:hAnsi="Helvetica" w:cs="Arial"/>
          <w:sz w:val="22"/>
          <w:szCs w:val="22"/>
        </w:rPr>
        <w:t xml:space="preserve"> </w:t>
      </w:r>
      <w:r w:rsidR="00BF720D" w:rsidRPr="00BD4DAF">
        <w:rPr>
          <w:rFonts w:ascii="Helvetica" w:eastAsia="Calibri" w:hAnsi="Helvetica" w:cs="Arial"/>
          <w:sz w:val="22"/>
          <w:szCs w:val="22"/>
          <w:lang w:val="en-US"/>
        </w:rPr>
        <w:t>The IRR for both vaccines was the same at 0.25 (0.09 to 0.55) and 0.14 (0.02 to 0.58) for reducing COVID-19 hospitalization and COVID-19 mortality, respectively. The IRR for all-cause mortality was 0.25 (0.15 to 0.39) and 0.18 (0.10 to 0.30)</w:t>
      </w:r>
      <w:r w:rsidR="0016449A">
        <w:rPr>
          <w:rFonts w:ascii="Helvetica" w:eastAsia="Calibri" w:hAnsi="Helvetica" w:cs="Arial"/>
          <w:sz w:val="22"/>
          <w:szCs w:val="22"/>
          <w:lang w:val="en-US"/>
        </w:rPr>
        <w:t xml:space="preserve"> for the </w:t>
      </w:r>
      <w:r w:rsidR="00491106" w:rsidRPr="00BD4DAF">
        <w:rPr>
          <w:rFonts w:ascii="Helvetica" w:eastAsia="Calibri" w:hAnsi="Helvetica" w:cs="Arial"/>
          <w:sz w:val="22"/>
          <w:szCs w:val="22"/>
          <w:lang w:val="en-US"/>
        </w:rPr>
        <w:lastRenderedPageBreak/>
        <w:t>Oxford-Astra-Zeneca</w:t>
      </w:r>
      <w:r w:rsidR="00491106">
        <w:rPr>
          <w:rFonts w:ascii="Helvetica" w:eastAsia="Calibri" w:hAnsi="Helvetica" w:cs="Arial"/>
          <w:sz w:val="22"/>
          <w:szCs w:val="22"/>
          <w:lang w:val="en-US"/>
        </w:rPr>
        <w:t xml:space="preserve"> and </w:t>
      </w:r>
      <w:r w:rsidR="00491106" w:rsidRPr="00BD4DAF">
        <w:rPr>
          <w:rFonts w:ascii="Helvetica" w:eastAsia="Calibri" w:hAnsi="Helvetica" w:cs="Arial"/>
          <w:sz w:val="22"/>
          <w:szCs w:val="22"/>
          <w:lang w:val="en-US"/>
        </w:rPr>
        <w:t>Pfizer-</w:t>
      </w:r>
      <w:proofErr w:type="spellStart"/>
      <w:r w:rsidR="00491106" w:rsidRPr="00BD4DAF">
        <w:rPr>
          <w:rFonts w:ascii="Helvetica" w:eastAsia="Calibri" w:hAnsi="Helvetica" w:cs="Arial"/>
          <w:sz w:val="22"/>
          <w:szCs w:val="22"/>
          <w:lang w:val="en-US"/>
        </w:rPr>
        <w:t>BioNTech</w:t>
      </w:r>
      <w:proofErr w:type="spellEnd"/>
      <w:r w:rsidR="00491106">
        <w:rPr>
          <w:rFonts w:ascii="Helvetica" w:eastAsia="Calibri" w:hAnsi="Helvetica" w:cs="Arial"/>
          <w:sz w:val="22"/>
          <w:szCs w:val="22"/>
          <w:lang w:val="en-US"/>
        </w:rPr>
        <w:t xml:space="preserve"> vaccines</w:t>
      </w:r>
      <w:r w:rsidR="008F4906">
        <w:rPr>
          <w:rFonts w:ascii="Helvetica" w:eastAsia="Calibri" w:hAnsi="Helvetica" w:cs="Arial"/>
          <w:sz w:val="22"/>
          <w:szCs w:val="22"/>
          <w:lang w:val="en-US"/>
        </w:rPr>
        <w:t>, respectively.</w:t>
      </w:r>
      <w:r w:rsidR="001E3DA4" w:rsidRPr="00BD4DAF">
        <w:rPr>
          <w:rFonts w:ascii="Helvetica" w:eastAsia="Calibri" w:hAnsi="Helvetica" w:cs="Arial"/>
          <w:sz w:val="22"/>
          <w:szCs w:val="22"/>
          <w:lang w:val="en-US"/>
        </w:rPr>
        <w:t xml:space="preserve"> </w:t>
      </w:r>
      <w:r w:rsidR="00E44ABF">
        <w:rPr>
          <w:rFonts w:ascii="Helvetica" w:eastAsia="Calibri" w:hAnsi="Helvetica" w:cs="Arial"/>
          <w:sz w:val="22"/>
          <w:szCs w:val="22"/>
        </w:rPr>
        <w:t>Age was an</w:t>
      </w:r>
      <w:r w:rsidR="0006094D" w:rsidRPr="0024547E">
        <w:rPr>
          <w:rFonts w:ascii="Helvetica" w:eastAsia="Calibri" w:hAnsi="Helvetica" w:cs="Arial"/>
          <w:sz w:val="22"/>
          <w:szCs w:val="22"/>
        </w:rPr>
        <w:t xml:space="preserve"> effect modifi</w:t>
      </w:r>
      <w:r w:rsidR="00E44ABF">
        <w:rPr>
          <w:rFonts w:ascii="Helvetica" w:eastAsia="Calibri" w:hAnsi="Helvetica" w:cs="Arial"/>
          <w:sz w:val="22"/>
          <w:szCs w:val="22"/>
        </w:rPr>
        <w:t xml:space="preserve">er </w:t>
      </w:r>
      <w:r w:rsidR="00C51E79">
        <w:rPr>
          <w:rFonts w:ascii="Helvetica" w:eastAsia="Calibri" w:hAnsi="Helvetica" w:cs="Arial"/>
          <w:sz w:val="22"/>
          <w:szCs w:val="22"/>
        </w:rPr>
        <w:t xml:space="preserve">of the association between </w:t>
      </w:r>
      <w:r w:rsidR="0006094D" w:rsidRPr="0024547E">
        <w:rPr>
          <w:rFonts w:ascii="Helvetica" w:eastAsia="Calibri" w:hAnsi="Helvetica" w:cs="Arial"/>
          <w:sz w:val="22"/>
          <w:szCs w:val="22"/>
        </w:rPr>
        <w:t>vaccin</w:t>
      </w:r>
      <w:r w:rsidR="00726142">
        <w:rPr>
          <w:rFonts w:ascii="Helvetica" w:eastAsia="Calibri" w:hAnsi="Helvetica" w:cs="Arial"/>
          <w:sz w:val="22"/>
          <w:szCs w:val="22"/>
        </w:rPr>
        <w:t>ation</w:t>
      </w:r>
      <w:r w:rsidR="0006094D" w:rsidRPr="0024547E">
        <w:rPr>
          <w:rFonts w:ascii="Helvetica" w:eastAsia="Calibri" w:hAnsi="Helvetica" w:cs="Arial"/>
          <w:sz w:val="22"/>
          <w:szCs w:val="22"/>
        </w:rPr>
        <w:t xml:space="preserve"> </w:t>
      </w:r>
      <w:r w:rsidR="00C51E79">
        <w:rPr>
          <w:rFonts w:ascii="Helvetica" w:eastAsia="Calibri" w:hAnsi="Helvetica" w:cs="Arial"/>
          <w:sz w:val="22"/>
          <w:szCs w:val="22"/>
        </w:rPr>
        <w:t>and</w:t>
      </w:r>
      <w:r w:rsidR="0006094D" w:rsidRPr="0024547E">
        <w:rPr>
          <w:rFonts w:ascii="Helvetica" w:eastAsia="Calibri" w:hAnsi="Helvetica" w:cs="Arial"/>
          <w:sz w:val="22"/>
          <w:szCs w:val="22"/>
        </w:rPr>
        <w:t xml:space="preserve"> SARS-CoV-2 infection of any severity</w:t>
      </w:r>
      <w:r w:rsidR="00AB4FA4">
        <w:rPr>
          <w:rFonts w:ascii="Helvetica" w:eastAsia="Calibri" w:hAnsi="Helvetica" w:cs="Arial"/>
          <w:sz w:val="22"/>
          <w:szCs w:val="22"/>
        </w:rPr>
        <w:t>; lower hazard ratios</w:t>
      </w:r>
      <w:r w:rsidR="00726142">
        <w:rPr>
          <w:rFonts w:ascii="Helvetica" w:eastAsia="Calibri" w:hAnsi="Helvetica" w:cs="Arial"/>
          <w:sz w:val="22"/>
          <w:szCs w:val="22"/>
        </w:rPr>
        <w:t xml:space="preserve"> for increasing age. </w:t>
      </w:r>
    </w:p>
    <w:p w14:paraId="6F843C15" w14:textId="77777777" w:rsidR="00A803C9" w:rsidRPr="00BD4DAF" w:rsidRDefault="00A803C9" w:rsidP="00B928F2">
      <w:pPr>
        <w:spacing w:line="480" w:lineRule="auto"/>
        <w:outlineLvl w:val="0"/>
        <w:rPr>
          <w:rFonts w:ascii="Helvetica" w:eastAsia="Calibri" w:hAnsi="Helvetica" w:cstheme="minorHAnsi"/>
          <w:b/>
          <w:sz w:val="22"/>
          <w:szCs w:val="22"/>
        </w:rPr>
      </w:pPr>
    </w:p>
    <w:p w14:paraId="42C116D1" w14:textId="56136F47" w:rsidR="00EA6CD6" w:rsidRPr="00BD4DAF" w:rsidRDefault="00314DFA" w:rsidP="00B928F2">
      <w:pPr>
        <w:spacing w:line="480" w:lineRule="auto"/>
        <w:outlineLvl w:val="0"/>
        <w:rPr>
          <w:rFonts w:ascii="Helvetica" w:eastAsia="Calibri" w:hAnsi="Helvetica" w:cstheme="minorHAnsi"/>
          <w:b/>
          <w:sz w:val="22"/>
          <w:szCs w:val="22"/>
        </w:rPr>
      </w:pPr>
      <w:r>
        <w:rPr>
          <w:rFonts w:ascii="Helvetica" w:eastAsia="Calibri" w:hAnsi="Helvetica" w:cstheme="minorHAnsi"/>
          <w:b/>
          <w:sz w:val="22"/>
          <w:szCs w:val="22"/>
        </w:rPr>
        <w:t>Interpretation</w:t>
      </w:r>
      <w:r w:rsidR="00A803C9" w:rsidRPr="00BD4DAF">
        <w:rPr>
          <w:rFonts w:ascii="Helvetica" w:eastAsia="Calibri" w:hAnsi="Helvetica" w:cstheme="minorHAnsi"/>
          <w:b/>
          <w:sz w:val="22"/>
          <w:szCs w:val="22"/>
        </w:rPr>
        <w:t xml:space="preserve"> </w:t>
      </w:r>
    </w:p>
    <w:p w14:paraId="076E2456" w14:textId="39B60895" w:rsidR="00B61154" w:rsidRDefault="00B61154" w:rsidP="00B928F2">
      <w:pPr>
        <w:spacing w:line="480" w:lineRule="auto"/>
        <w:outlineLvl w:val="0"/>
        <w:rPr>
          <w:rFonts w:ascii="Helvetica" w:eastAsia="Calibri" w:hAnsi="Helvetica" w:cs="Arial"/>
          <w:sz w:val="22"/>
          <w:szCs w:val="22"/>
        </w:rPr>
      </w:pPr>
      <w:r>
        <w:rPr>
          <w:rFonts w:ascii="Helvetica" w:eastAsia="Calibri" w:hAnsi="Helvetica" w:cs="Arial"/>
          <w:sz w:val="22"/>
          <w:szCs w:val="22"/>
        </w:rPr>
        <w:t xml:space="preserve">A single dose strategy, for both vaccines, was effective </w:t>
      </w:r>
      <w:r w:rsidRPr="00BD4DAF">
        <w:rPr>
          <w:rFonts w:ascii="Helvetica" w:eastAsia="Calibri" w:hAnsi="Helvetica" w:cs="Arial"/>
          <w:sz w:val="22"/>
          <w:szCs w:val="22"/>
        </w:rPr>
        <w:t>at reducing COVID-19 mortality and hospitalization rates</w:t>
      </w:r>
      <w:r>
        <w:rPr>
          <w:rFonts w:ascii="Helvetica" w:eastAsia="Calibri" w:hAnsi="Helvetica" w:cs="Arial"/>
          <w:sz w:val="22"/>
          <w:szCs w:val="22"/>
        </w:rPr>
        <w:t xml:space="preserve">. The magnitude of </w:t>
      </w:r>
      <w:r w:rsidR="0045622F">
        <w:rPr>
          <w:rFonts w:ascii="Helvetica" w:eastAsia="Calibri" w:hAnsi="Helvetica" w:cs="Arial"/>
          <w:sz w:val="22"/>
          <w:szCs w:val="22"/>
        </w:rPr>
        <w:t xml:space="preserve">vaccine </w:t>
      </w:r>
      <w:r>
        <w:rPr>
          <w:rFonts w:ascii="Helvetica" w:eastAsia="Calibri" w:hAnsi="Helvetica" w:cs="Arial"/>
          <w:sz w:val="22"/>
          <w:szCs w:val="22"/>
        </w:rPr>
        <w:t xml:space="preserve">effectiveness was </w:t>
      </w:r>
      <w:r w:rsidR="00996986" w:rsidRPr="007674D0">
        <w:rPr>
          <w:rFonts w:ascii="Helvetica" w:eastAsia="Calibri" w:hAnsi="Helvetica" w:cs="Arial"/>
          <w:sz w:val="22"/>
          <w:szCs w:val="22"/>
        </w:rPr>
        <w:t>comparatively</w:t>
      </w:r>
      <w:r w:rsidR="00996986" w:rsidRPr="00996986">
        <w:rPr>
          <w:rFonts w:ascii="Helvetica" w:eastAsia="Calibri" w:hAnsi="Helvetica" w:cs="Arial"/>
          <w:i/>
          <w:sz w:val="22"/>
          <w:szCs w:val="22"/>
        </w:rPr>
        <w:t xml:space="preserve"> </w:t>
      </w:r>
      <w:r>
        <w:rPr>
          <w:rFonts w:ascii="Helvetica" w:eastAsia="Calibri" w:hAnsi="Helvetica" w:cs="Arial"/>
          <w:sz w:val="22"/>
          <w:szCs w:val="22"/>
        </w:rPr>
        <w:t>lower</w:t>
      </w:r>
      <w:r w:rsidR="00556B22">
        <w:rPr>
          <w:rFonts w:ascii="Helvetica" w:eastAsia="Calibri" w:hAnsi="Helvetica" w:cs="Arial"/>
          <w:sz w:val="22"/>
          <w:szCs w:val="22"/>
        </w:rPr>
        <w:t xml:space="preserve"> </w:t>
      </w:r>
      <w:r w:rsidR="00556B22">
        <w:rPr>
          <w:rFonts w:ascii="Helvetica" w:eastAsia="Calibri" w:hAnsi="Helvetica" w:cs="Arial"/>
          <w:sz w:val="22"/>
          <w:szCs w:val="22"/>
        </w:rPr>
        <w:t>for SARS-CoV-2 infection</w:t>
      </w:r>
      <w:r>
        <w:rPr>
          <w:rFonts w:ascii="Helvetica" w:eastAsia="Calibri" w:hAnsi="Helvetica" w:cs="Arial"/>
          <w:sz w:val="22"/>
          <w:szCs w:val="22"/>
        </w:rPr>
        <w:t xml:space="preserve">, </w:t>
      </w:r>
      <w:r w:rsidRPr="00BD4DAF">
        <w:rPr>
          <w:rFonts w:ascii="Helvetica" w:eastAsia="Calibri" w:hAnsi="Helvetica" w:cs="Arial"/>
          <w:sz w:val="22"/>
          <w:szCs w:val="22"/>
        </w:rPr>
        <w:t>although this was variable across the age range, with higher effectiveness seen with older adults.</w:t>
      </w:r>
      <w:r w:rsidRPr="00B61154">
        <w:t xml:space="preserve"> </w:t>
      </w:r>
      <w:r w:rsidRPr="00B61154">
        <w:rPr>
          <w:rFonts w:ascii="Helvetica" w:eastAsia="Calibri" w:hAnsi="Helvetica" w:cs="Arial"/>
          <w:sz w:val="22"/>
          <w:szCs w:val="22"/>
        </w:rPr>
        <w:t xml:space="preserve">Our </w:t>
      </w:r>
      <w:r>
        <w:rPr>
          <w:rFonts w:ascii="Helvetica" w:eastAsia="Calibri" w:hAnsi="Helvetica" w:cs="Arial"/>
          <w:sz w:val="22"/>
          <w:szCs w:val="22"/>
        </w:rPr>
        <w:t xml:space="preserve">results have important implications for </w:t>
      </w:r>
      <w:r w:rsidRPr="00B61154">
        <w:rPr>
          <w:rFonts w:ascii="Helvetica" w:eastAsia="Calibri" w:hAnsi="Helvetica" w:cs="Arial"/>
          <w:sz w:val="22"/>
          <w:szCs w:val="22"/>
        </w:rPr>
        <w:t xml:space="preserve">health system planning </w:t>
      </w:r>
      <w:r>
        <w:rPr>
          <w:rFonts w:ascii="Helvetica" w:eastAsia="Calibri" w:hAnsi="Helvetica" w:cs="Arial"/>
          <w:sz w:val="22"/>
          <w:szCs w:val="22"/>
        </w:rPr>
        <w:t>-</w:t>
      </w:r>
      <w:r w:rsidRPr="00B61154">
        <w:rPr>
          <w:rFonts w:ascii="Helvetica" w:eastAsia="Calibri" w:hAnsi="Helvetica" w:cs="Arial"/>
          <w:sz w:val="22"/>
          <w:szCs w:val="22"/>
        </w:rPr>
        <w:t xml:space="preserve">especially in </w:t>
      </w:r>
      <w:r>
        <w:rPr>
          <w:rFonts w:ascii="Helvetica" w:eastAsia="Calibri" w:hAnsi="Helvetica" w:cs="Arial"/>
          <w:sz w:val="22"/>
          <w:szCs w:val="22"/>
        </w:rPr>
        <w:t>low resource settings where vaccine supply remains constrained.</w:t>
      </w:r>
    </w:p>
    <w:p w14:paraId="39144197" w14:textId="77777777" w:rsidR="00B928F2" w:rsidRDefault="00B928F2" w:rsidP="00B928F2">
      <w:pPr>
        <w:spacing w:line="480" w:lineRule="auto"/>
        <w:outlineLvl w:val="0"/>
        <w:rPr>
          <w:rFonts w:ascii="Helvetica" w:eastAsia="Calibri" w:hAnsi="Helvetica" w:cstheme="minorHAnsi"/>
          <w:b/>
          <w:sz w:val="26"/>
          <w:szCs w:val="26"/>
        </w:rPr>
      </w:pPr>
    </w:p>
    <w:p w14:paraId="37FBB00F" w14:textId="273EE687" w:rsidR="00314DFA" w:rsidRPr="00BD4DAF" w:rsidRDefault="00314DFA" w:rsidP="00314DFA">
      <w:pPr>
        <w:spacing w:line="480" w:lineRule="auto"/>
        <w:outlineLvl w:val="0"/>
        <w:rPr>
          <w:rFonts w:ascii="Helvetica" w:eastAsia="Calibri" w:hAnsi="Helvetica" w:cstheme="minorHAnsi"/>
          <w:b/>
          <w:sz w:val="22"/>
          <w:szCs w:val="22"/>
        </w:rPr>
      </w:pPr>
      <w:r>
        <w:rPr>
          <w:rFonts w:ascii="Helvetica" w:eastAsia="Calibri" w:hAnsi="Helvetica" w:cstheme="minorHAnsi"/>
          <w:b/>
          <w:sz w:val="22"/>
          <w:szCs w:val="22"/>
        </w:rPr>
        <w:t xml:space="preserve">Funding </w:t>
      </w:r>
      <w:r w:rsidRPr="00BD4DAF">
        <w:rPr>
          <w:rFonts w:ascii="Helvetica" w:eastAsia="Calibri" w:hAnsi="Helvetica" w:cstheme="minorHAnsi"/>
          <w:b/>
          <w:sz w:val="22"/>
          <w:szCs w:val="22"/>
        </w:rPr>
        <w:t xml:space="preserve"> </w:t>
      </w:r>
    </w:p>
    <w:p w14:paraId="6C61AE1D" w14:textId="27F4CB01" w:rsidR="00FF7956" w:rsidRPr="00FF7956" w:rsidRDefault="00FF7956" w:rsidP="00FF7956">
      <w:pPr>
        <w:spacing w:line="480" w:lineRule="auto"/>
        <w:outlineLvl w:val="0"/>
        <w:rPr>
          <w:rFonts w:ascii="Helvetica" w:eastAsia="Calibri" w:hAnsi="Helvetica" w:cs="Arial"/>
          <w:sz w:val="22"/>
          <w:szCs w:val="22"/>
        </w:rPr>
      </w:pPr>
      <w:r w:rsidRPr="00FF7956">
        <w:rPr>
          <w:rFonts w:ascii="Helvetica" w:eastAsia="Calibri" w:hAnsi="Helvetica" w:cs="Arial"/>
          <w:sz w:val="22"/>
          <w:szCs w:val="22"/>
        </w:rPr>
        <w:t>NIHR Imper</w:t>
      </w:r>
      <w:r w:rsidR="00B5617E">
        <w:rPr>
          <w:rFonts w:ascii="Helvetica" w:eastAsia="Calibri" w:hAnsi="Helvetica" w:cs="Arial"/>
          <w:sz w:val="22"/>
          <w:szCs w:val="22"/>
        </w:rPr>
        <w:t>ial Biomedical Research Centre</w:t>
      </w:r>
      <w:r w:rsidR="00694E2E">
        <w:rPr>
          <w:rFonts w:ascii="Helvetica" w:eastAsia="Calibri" w:hAnsi="Helvetica" w:cs="Arial"/>
          <w:sz w:val="22"/>
          <w:szCs w:val="22"/>
        </w:rPr>
        <w:t>.</w:t>
      </w:r>
    </w:p>
    <w:p w14:paraId="22CF44EC" w14:textId="77777777" w:rsidR="0081092B" w:rsidRDefault="0081092B" w:rsidP="00B928F2">
      <w:pPr>
        <w:spacing w:line="480" w:lineRule="auto"/>
        <w:outlineLvl w:val="0"/>
        <w:rPr>
          <w:rFonts w:ascii="Helvetica" w:eastAsia="Calibri" w:hAnsi="Helvetica" w:cstheme="minorHAnsi"/>
          <w:b/>
          <w:sz w:val="26"/>
          <w:szCs w:val="26"/>
        </w:rPr>
      </w:pPr>
    </w:p>
    <w:p w14:paraId="0493DD7E" w14:textId="24D60710" w:rsidR="0081092B" w:rsidRPr="00444B23" w:rsidRDefault="00444B23" w:rsidP="00B928F2">
      <w:pPr>
        <w:spacing w:line="480" w:lineRule="auto"/>
        <w:outlineLvl w:val="0"/>
        <w:rPr>
          <w:rFonts w:ascii="Helvetica" w:eastAsia="Calibri" w:hAnsi="Helvetica" w:cstheme="minorHAnsi"/>
          <w:b/>
          <w:sz w:val="22"/>
          <w:szCs w:val="22"/>
        </w:rPr>
      </w:pPr>
      <w:r w:rsidRPr="00444B23">
        <w:rPr>
          <w:rFonts w:ascii="Helvetica" w:eastAsia="Calibri" w:hAnsi="Helvetica" w:cstheme="minorHAnsi"/>
          <w:b/>
          <w:sz w:val="22"/>
          <w:szCs w:val="22"/>
        </w:rPr>
        <w:t>Keywords</w:t>
      </w:r>
    </w:p>
    <w:p w14:paraId="05BFA97E" w14:textId="72D49478" w:rsidR="00444B23" w:rsidRPr="00E15F42" w:rsidRDefault="00E15F42" w:rsidP="00B928F2">
      <w:pPr>
        <w:spacing w:line="480" w:lineRule="auto"/>
        <w:outlineLvl w:val="0"/>
        <w:rPr>
          <w:rFonts w:ascii="Helvetica" w:eastAsia="Calibri" w:hAnsi="Helvetica" w:cs="Arial"/>
          <w:sz w:val="22"/>
          <w:szCs w:val="22"/>
        </w:rPr>
      </w:pPr>
      <w:r>
        <w:rPr>
          <w:rFonts w:ascii="Helvetica" w:eastAsia="Calibri" w:hAnsi="Helvetica" w:cs="Arial"/>
          <w:sz w:val="22"/>
          <w:szCs w:val="22"/>
        </w:rPr>
        <w:t>Age; COVID-19, hospitalisation; mortality; SARS-CoV-2;</w:t>
      </w:r>
      <w:r w:rsidRPr="00E15F42">
        <w:rPr>
          <w:rFonts w:ascii="Helvetica" w:eastAsia="Calibri" w:hAnsi="Helvetica" w:cs="Arial"/>
          <w:sz w:val="22"/>
          <w:szCs w:val="22"/>
        </w:rPr>
        <w:t xml:space="preserve"> </w:t>
      </w:r>
      <w:r>
        <w:rPr>
          <w:rFonts w:ascii="Helvetica" w:eastAsia="Calibri" w:hAnsi="Helvetica" w:cs="Arial"/>
          <w:sz w:val="22"/>
          <w:szCs w:val="22"/>
        </w:rPr>
        <w:t xml:space="preserve">vaccination  </w:t>
      </w:r>
    </w:p>
    <w:p w14:paraId="37A4D063" w14:textId="77777777" w:rsidR="0081092B" w:rsidRDefault="0081092B" w:rsidP="00B928F2">
      <w:pPr>
        <w:spacing w:line="480" w:lineRule="auto"/>
        <w:outlineLvl w:val="0"/>
        <w:rPr>
          <w:rFonts w:ascii="Helvetica" w:eastAsia="Calibri" w:hAnsi="Helvetica" w:cstheme="minorHAnsi"/>
          <w:b/>
          <w:sz w:val="26"/>
          <w:szCs w:val="26"/>
        </w:rPr>
      </w:pPr>
    </w:p>
    <w:p w14:paraId="627FB910" w14:textId="77777777" w:rsidR="008E326E" w:rsidRDefault="008E326E" w:rsidP="00B928F2">
      <w:pPr>
        <w:spacing w:line="480" w:lineRule="auto"/>
        <w:outlineLvl w:val="0"/>
        <w:rPr>
          <w:rFonts w:ascii="Helvetica" w:eastAsia="Calibri" w:hAnsi="Helvetica" w:cstheme="minorHAnsi"/>
          <w:b/>
          <w:sz w:val="26"/>
          <w:szCs w:val="26"/>
        </w:rPr>
      </w:pPr>
    </w:p>
    <w:p w14:paraId="58EB964B" w14:textId="77777777" w:rsidR="008E326E" w:rsidRDefault="008E326E" w:rsidP="00B928F2">
      <w:pPr>
        <w:spacing w:line="480" w:lineRule="auto"/>
        <w:outlineLvl w:val="0"/>
        <w:rPr>
          <w:rFonts w:ascii="Helvetica" w:eastAsia="Calibri" w:hAnsi="Helvetica" w:cstheme="minorHAnsi"/>
          <w:b/>
          <w:sz w:val="26"/>
          <w:szCs w:val="26"/>
        </w:rPr>
      </w:pPr>
    </w:p>
    <w:p w14:paraId="60F1A245" w14:textId="77777777" w:rsidR="008E326E" w:rsidRDefault="008E326E" w:rsidP="00B928F2">
      <w:pPr>
        <w:spacing w:line="480" w:lineRule="auto"/>
        <w:outlineLvl w:val="0"/>
        <w:rPr>
          <w:rFonts w:ascii="Helvetica" w:eastAsia="Calibri" w:hAnsi="Helvetica" w:cstheme="minorHAnsi"/>
          <w:b/>
          <w:sz w:val="26"/>
          <w:szCs w:val="26"/>
        </w:rPr>
      </w:pPr>
    </w:p>
    <w:p w14:paraId="30EB27E7" w14:textId="77777777" w:rsidR="008E326E" w:rsidRDefault="008E326E" w:rsidP="00B928F2">
      <w:pPr>
        <w:spacing w:line="480" w:lineRule="auto"/>
        <w:outlineLvl w:val="0"/>
        <w:rPr>
          <w:rFonts w:ascii="Helvetica" w:eastAsia="Calibri" w:hAnsi="Helvetica" w:cstheme="minorHAnsi"/>
          <w:b/>
          <w:sz w:val="26"/>
          <w:szCs w:val="26"/>
        </w:rPr>
      </w:pPr>
    </w:p>
    <w:p w14:paraId="4866A5E7" w14:textId="77777777" w:rsidR="008E326E" w:rsidRDefault="008E326E" w:rsidP="00B928F2">
      <w:pPr>
        <w:spacing w:line="480" w:lineRule="auto"/>
        <w:outlineLvl w:val="0"/>
        <w:rPr>
          <w:rFonts w:ascii="Helvetica" w:eastAsia="Calibri" w:hAnsi="Helvetica" w:cstheme="minorHAnsi"/>
          <w:b/>
          <w:sz w:val="26"/>
          <w:szCs w:val="26"/>
        </w:rPr>
      </w:pPr>
    </w:p>
    <w:p w14:paraId="24F778B8" w14:textId="77777777" w:rsidR="008E326E" w:rsidRDefault="008E326E" w:rsidP="00B928F2">
      <w:pPr>
        <w:spacing w:line="480" w:lineRule="auto"/>
        <w:outlineLvl w:val="0"/>
        <w:rPr>
          <w:rFonts w:ascii="Helvetica" w:eastAsia="Calibri" w:hAnsi="Helvetica" w:cstheme="minorHAnsi"/>
          <w:b/>
          <w:sz w:val="26"/>
          <w:szCs w:val="26"/>
        </w:rPr>
      </w:pPr>
    </w:p>
    <w:p w14:paraId="4EBDD297" w14:textId="77777777" w:rsidR="004515A3" w:rsidRDefault="004515A3" w:rsidP="00B928F2">
      <w:pPr>
        <w:spacing w:line="480" w:lineRule="auto"/>
        <w:outlineLvl w:val="0"/>
        <w:rPr>
          <w:rFonts w:ascii="Helvetica" w:eastAsia="Calibri" w:hAnsi="Helvetica" w:cstheme="minorHAnsi"/>
          <w:b/>
          <w:sz w:val="26"/>
          <w:szCs w:val="26"/>
        </w:rPr>
      </w:pPr>
    </w:p>
    <w:p w14:paraId="4074799A" w14:textId="77777777" w:rsidR="00C46A9D" w:rsidRDefault="00C46A9D" w:rsidP="00B928F2">
      <w:pPr>
        <w:spacing w:line="480" w:lineRule="auto"/>
        <w:outlineLvl w:val="0"/>
        <w:rPr>
          <w:rFonts w:ascii="Helvetica" w:eastAsia="Calibri" w:hAnsi="Helvetica" w:cstheme="minorHAnsi"/>
          <w:b/>
          <w:sz w:val="26"/>
          <w:szCs w:val="26"/>
        </w:rPr>
      </w:pPr>
    </w:p>
    <w:p w14:paraId="15256051" w14:textId="77777777" w:rsidR="00E248E3" w:rsidRPr="00E248E3" w:rsidRDefault="00E248E3" w:rsidP="00E248E3">
      <w:pPr>
        <w:spacing w:after="160" w:line="360" w:lineRule="auto"/>
        <w:rPr>
          <w:rFonts w:ascii="Helvetica" w:eastAsia="Calibri" w:hAnsi="Helvetica" w:cs="Arial Hebrew Scholar"/>
          <w:b/>
          <w:sz w:val="26"/>
          <w:szCs w:val="26"/>
        </w:rPr>
      </w:pPr>
      <w:r w:rsidRPr="00E248E3">
        <w:rPr>
          <w:rFonts w:ascii="Helvetica" w:eastAsia="Calibri" w:hAnsi="Helvetica" w:cs="Calibri"/>
          <w:b/>
          <w:sz w:val="26"/>
          <w:szCs w:val="26"/>
        </w:rPr>
        <w:t>Research</w:t>
      </w:r>
      <w:r w:rsidRPr="00E248E3">
        <w:rPr>
          <w:rFonts w:ascii="Helvetica" w:eastAsia="Calibri" w:hAnsi="Helvetica" w:cs="Arial Hebrew Scholar"/>
          <w:b/>
          <w:sz w:val="26"/>
          <w:szCs w:val="26"/>
        </w:rPr>
        <w:t xml:space="preserve"> </w:t>
      </w:r>
      <w:r w:rsidRPr="00E248E3">
        <w:rPr>
          <w:rFonts w:ascii="Helvetica" w:eastAsia="Calibri" w:hAnsi="Helvetica" w:cs="Calibri"/>
          <w:b/>
          <w:sz w:val="26"/>
          <w:szCs w:val="26"/>
        </w:rPr>
        <w:t>in</w:t>
      </w:r>
      <w:r w:rsidRPr="00E248E3">
        <w:rPr>
          <w:rFonts w:ascii="Helvetica" w:eastAsia="Calibri" w:hAnsi="Helvetica" w:cs="Arial Hebrew Scholar"/>
          <w:b/>
          <w:sz w:val="26"/>
          <w:szCs w:val="26"/>
        </w:rPr>
        <w:t xml:space="preserve"> </w:t>
      </w:r>
      <w:r w:rsidRPr="00E248E3">
        <w:rPr>
          <w:rFonts w:ascii="Helvetica" w:eastAsia="Calibri" w:hAnsi="Helvetica" w:cs="Calibri"/>
          <w:b/>
          <w:sz w:val="26"/>
          <w:szCs w:val="26"/>
        </w:rPr>
        <w:t>context</w:t>
      </w:r>
      <w:r w:rsidRPr="00E248E3">
        <w:rPr>
          <w:rFonts w:ascii="Helvetica" w:eastAsia="Calibri" w:hAnsi="Helvetica" w:cs="Arial Hebrew Scholar"/>
          <w:b/>
          <w:sz w:val="26"/>
          <w:szCs w:val="26"/>
        </w:rPr>
        <w:t xml:space="preserve"> </w:t>
      </w:r>
    </w:p>
    <w:p w14:paraId="3B7A290D" w14:textId="77777777" w:rsidR="008B14D4" w:rsidRPr="008B14D4" w:rsidRDefault="008B14D4" w:rsidP="008B14D4">
      <w:pPr>
        <w:spacing w:line="480" w:lineRule="auto"/>
        <w:outlineLvl w:val="0"/>
        <w:rPr>
          <w:rFonts w:ascii="Helvetica" w:eastAsia="Calibri" w:hAnsi="Helvetica" w:cstheme="minorHAnsi"/>
          <w:b/>
        </w:rPr>
      </w:pPr>
      <w:bookmarkStart w:id="2" w:name="OLE_LINK6"/>
      <w:bookmarkStart w:id="3" w:name="OLE_LINK7"/>
      <w:r w:rsidRPr="008B14D4">
        <w:rPr>
          <w:rFonts w:ascii="Helvetica" w:eastAsia="Calibri" w:hAnsi="Helvetica" w:cstheme="minorHAnsi"/>
          <w:b/>
        </w:rPr>
        <w:t xml:space="preserve">Evidence before this study  </w:t>
      </w:r>
    </w:p>
    <w:bookmarkEnd w:id="2"/>
    <w:bookmarkEnd w:id="3"/>
    <w:p w14:paraId="059F3F59" w14:textId="751CAAD2" w:rsidR="00971836" w:rsidRDefault="00BC5565" w:rsidP="00B928F2">
      <w:pPr>
        <w:spacing w:line="480" w:lineRule="auto"/>
        <w:outlineLvl w:val="0"/>
        <w:rPr>
          <w:rFonts w:ascii="Helvetica" w:eastAsia="Calibri" w:hAnsi="Helvetica" w:cstheme="minorHAnsi"/>
          <w:b/>
          <w:sz w:val="26"/>
          <w:szCs w:val="26"/>
        </w:rPr>
      </w:pPr>
      <w:r w:rsidRPr="00BC5565">
        <w:rPr>
          <w:rFonts w:ascii="Helvetica" w:eastAsia="Calibri" w:hAnsi="Helvetica" w:cstheme="minorHAnsi"/>
          <w:sz w:val="22"/>
          <w:szCs w:val="22"/>
        </w:rPr>
        <w:t xml:space="preserve">Electronic searches of MEDLINE, EMBASE, </w:t>
      </w:r>
      <w:proofErr w:type="spellStart"/>
      <w:r w:rsidRPr="00BC5565">
        <w:rPr>
          <w:rFonts w:ascii="Helvetica" w:eastAsia="Calibri" w:hAnsi="Helvetica" w:cstheme="minorHAnsi"/>
          <w:sz w:val="22"/>
          <w:szCs w:val="22"/>
        </w:rPr>
        <w:t>medRxiv</w:t>
      </w:r>
      <w:proofErr w:type="spellEnd"/>
      <w:r w:rsidRPr="00BC5565">
        <w:rPr>
          <w:rFonts w:ascii="Helvetica" w:eastAsia="Calibri" w:hAnsi="Helvetica" w:cstheme="minorHAnsi"/>
          <w:sz w:val="22"/>
          <w:szCs w:val="22"/>
        </w:rPr>
        <w:t xml:space="preserve"> and the Cochrane Central Register of Controlled Trials were done for articles in English published between Jan 1, 2020 and </w:t>
      </w:r>
      <w:r>
        <w:rPr>
          <w:rFonts w:ascii="Helvetica" w:eastAsia="Calibri" w:hAnsi="Helvetica" w:cstheme="minorHAnsi"/>
          <w:sz w:val="22"/>
          <w:szCs w:val="22"/>
        </w:rPr>
        <w:t>September 21</w:t>
      </w:r>
      <w:r w:rsidRPr="00BC5565">
        <w:rPr>
          <w:rFonts w:ascii="Helvetica" w:eastAsia="Calibri" w:hAnsi="Helvetica" w:cstheme="minorHAnsi"/>
          <w:sz w:val="22"/>
          <w:szCs w:val="22"/>
        </w:rPr>
        <w:t>, 2021. Studies with the following characteristics were identified: (1) randomised trials or observational studies; (2) individuals with documented SARS-CoV-2 infection; (3) outcomes related to the effectiveness of the Oxford-AstraZeneca or Pfizer-</w:t>
      </w:r>
      <w:proofErr w:type="spellStart"/>
      <w:r w:rsidRPr="00BC5565">
        <w:rPr>
          <w:rFonts w:ascii="Helvetica" w:eastAsia="Calibri" w:hAnsi="Helvetica" w:cstheme="minorHAnsi"/>
          <w:sz w:val="22"/>
          <w:szCs w:val="22"/>
        </w:rPr>
        <w:t>BioNTech</w:t>
      </w:r>
      <w:proofErr w:type="spellEnd"/>
      <w:r w:rsidRPr="00BC5565">
        <w:rPr>
          <w:rFonts w:ascii="Helvetica" w:eastAsia="Calibri" w:hAnsi="Helvetica" w:cstheme="minorHAnsi"/>
          <w:sz w:val="22"/>
          <w:szCs w:val="22"/>
        </w:rPr>
        <w:t xml:space="preserve"> vaccine. </w:t>
      </w:r>
      <w:r w:rsidR="00505343">
        <w:rPr>
          <w:rFonts w:ascii="Helvetica" w:eastAsia="Calibri" w:hAnsi="Helvetica" w:cstheme="minorHAnsi"/>
          <w:sz w:val="22"/>
          <w:szCs w:val="22"/>
        </w:rPr>
        <w:t xml:space="preserve"> While </w:t>
      </w:r>
      <w:r w:rsidR="00B05A17" w:rsidRPr="00B05A17">
        <w:rPr>
          <w:rFonts w:ascii="Helvetica" w:eastAsia="Calibri" w:hAnsi="Helvetica" w:cstheme="minorHAnsi"/>
          <w:sz w:val="22"/>
          <w:szCs w:val="22"/>
        </w:rPr>
        <w:t>randomised control trials have tested a 2-dose strategy against SARS-CoV-2 infectio</w:t>
      </w:r>
      <w:r w:rsidR="00505343">
        <w:rPr>
          <w:rFonts w:ascii="Helvetica" w:eastAsia="Calibri" w:hAnsi="Helvetica" w:cstheme="minorHAnsi"/>
          <w:sz w:val="22"/>
          <w:szCs w:val="22"/>
        </w:rPr>
        <w:t>n,</w:t>
      </w:r>
      <w:r w:rsidR="00B05A17" w:rsidRPr="00B05A17">
        <w:rPr>
          <w:rFonts w:ascii="Helvetica" w:eastAsia="Calibri" w:hAnsi="Helvetica" w:cstheme="minorHAnsi"/>
          <w:sz w:val="22"/>
          <w:szCs w:val="22"/>
        </w:rPr>
        <w:t xml:space="preserve"> the efficacy of a single</w:t>
      </w:r>
      <w:r w:rsidR="00055C98">
        <w:rPr>
          <w:rFonts w:ascii="Helvetica" w:eastAsia="Calibri" w:hAnsi="Helvetica" w:cstheme="minorHAnsi"/>
          <w:sz w:val="22"/>
          <w:szCs w:val="22"/>
        </w:rPr>
        <w:t xml:space="preserve"> </w:t>
      </w:r>
      <w:r w:rsidR="00B05A17" w:rsidRPr="00B05A17">
        <w:rPr>
          <w:rFonts w:ascii="Helvetica" w:eastAsia="Calibri" w:hAnsi="Helvetica" w:cstheme="minorHAnsi"/>
          <w:sz w:val="22"/>
          <w:szCs w:val="22"/>
        </w:rPr>
        <w:t>dose strategy remains less clear.  Emerging observational studies</w:t>
      </w:r>
      <w:r w:rsidR="00971836">
        <w:rPr>
          <w:rFonts w:ascii="Helvetica" w:eastAsia="Calibri" w:hAnsi="Helvetica" w:cstheme="minorHAnsi"/>
          <w:sz w:val="22"/>
          <w:szCs w:val="22"/>
        </w:rPr>
        <w:t xml:space="preserve"> that have shown efficacy of a single dose strategy against SARS-CoV-2 have been limited to short follow-up times and mainly older individuals.</w:t>
      </w:r>
    </w:p>
    <w:p w14:paraId="6A38F7E8" w14:textId="77777777" w:rsidR="008B14D4" w:rsidRPr="008B14D4" w:rsidRDefault="008B14D4" w:rsidP="008B14D4">
      <w:pPr>
        <w:spacing w:line="480" w:lineRule="auto"/>
        <w:outlineLvl w:val="0"/>
        <w:rPr>
          <w:rFonts w:ascii="Helvetica" w:eastAsia="Calibri" w:hAnsi="Helvetica" w:cstheme="minorHAnsi"/>
          <w:b/>
        </w:rPr>
      </w:pPr>
      <w:r w:rsidRPr="008B14D4">
        <w:rPr>
          <w:rFonts w:ascii="Helvetica" w:eastAsia="Calibri" w:hAnsi="Helvetica" w:cstheme="minorHAnsi"/>
          <w:b/>
        </w:rPr>
        <w:t xml:space="preserve">Added value of this study </w:t>
      </w:r>
    </w:p>
    <w:p w14:paraId="1262D844" w14:textId="177407CF" w:rsidR="008B14D4" w:rsidRPr="00CB1596" w:rsidRDefault="00AC419E" w:rsidP="00B928F2">
      <w:pPr>
        <w:spacing w:line="480" w:lineRule="auto"/>
        <w:outlineLvl w:val="0"/>
        <w:rPr>
          <w:rFonts w:ascii="Helvetica" w:eastAsia="Calibri" w:hAnsi="Helvetica" w:cstheme="minorHAnsi"/>
          <w:sz w:val="22"/>
          <w:szCs w:val="22"/>
        </w:rPr>
      </w:pPr>
      <w:r>
        <w:rPr>
          <w:rFonts w:ascii="Helvetica" w:eastAsia="Calibri" w:hAnsi="Helvetica" w:cstheme="minorHAnsi"/>
          <w:sz w:val="22"/>
          <w:szCs w:val="22"/>
        </w:rPr>
        <w:t>To our knowledge, t</w:t>
      </w:r>
      <w:r w:rsidR="00CB1596" w:rsidRPr="00CB1596">
        <w:rPr>
          <w:rFonts w:ascii="Helvetica" w:eastAsia="Calibri" w:hAnsi="Helvetica" w:cstheme="minorHAnsi"/>
          <w:sz w:val="22"/>
          <w:szCs w:val="22"/>
        </w:rPr>
        <w:t>his is the first study to use real-world observational data to compare the effectiveness of a single dose of the Oxford-AstraZeneca and Pfizer-</w:t>
      </w:r>
      <w:proofErr w:type="spellStart"/>
      <w:r w:rsidR="00CB1596" w:rsidRPr="00CB1596">
        <w:rPr>
          <w:rFonts w:ascii="Helvetica" w:eastAsia="Calibri" w:hAnsi="Helvetica" w:cstheme="minorHAnsi"/>
          <w:sz w:val="22"/>
          <w:szCs w:val="22"/>
        </w:rPr>
        <w:t>BioNTech</w:t>
      </w:r>
      <w:proofErr w:type="spellEnd"/>
      <w:r w:rsidR="00CB1596" w:rsidRPr="00CB1596">
        <w:rPr>
          <w:rFonts w:ascii="Helvetica" w:eastAsia="Calibri" w:hAnsi="Helvetica" w:cstheme="minorHAnsi"/>
          <w:sz w:val="22"/>
          <w:szCs w:val="22"/>
        </w:rPr>
        <w:t xml:space="preserve"> vaccines against COVID-19 over 3 </w:t>
      </w:r>
      <w:proofErr w:type="gramStart"/>
      <w:r w:rsidR="00CB1596" w:rsidRPr="00CB1596">
        <w:rPr>
          <w:rFonts w:ascii="Helvetica" w:eastAsia="Calibri" w:hAnsi="Helvetica" w:cstheme="minorHAnsi"/>
          <w:sz w:val="22"/>
          <w:szCs w:val="22"/>
        </w:rPr>
        <w:t>months</w:t>
      </w:r>
      <w:proofErr w:type="gramEnd"/>
      <w:r w:rsidR="00CB1596" w:rsidRPr="00CB1596">
        <w:rPr>
          <w:rFonts w:ascii="Helvetica" w:eastAsia="Calibri" w:hAnsi="Helvetica" w:cstheme="minorHAnsi"/>
          <w:sz w:val="22"/>
          <w:szCs w:val="22"/>
        </w:rPr>
        <w:t xml:space="preserve"> follow-up across the entire age spectrum</w:t>
      </w:r>
      <w:r w:rsidR="00E1371C">
        <w:rPr>
          <w:rFonts w:ascii="Helvetica" w:eastAsia="Calibri" w:hAnsi="Helvetica" w:cstheme="minorHAnsi"/>
          <w:sz w:val="22"/>
          <w:szCs w:val="22"/>
        </w:rPr>
        <w:t xml:space="preserve"> in the general population</w:t>
      </w:r>
      <w:r w:rsidR="00CB1596" w:rsidRPr="00CB1596">
        <w:rPr>
          <w:rFonts w:ascii="Helvetica" w:eastAsia="Calibri" w:hAnsi="Helvetica" w:cstheme="minorHAnsi"/>
          <w:sz w:val="22"/>
          <w:szCs w:val="22"/>
        </w:rPr>
        <w:t xml:space="preserve">. </w:t>
      </w:r>
      <w:r w:rsidR="00971836">
        <w:rPr>
          <w:rFonts w:ascii="Helvetica" w:eastAsia="Calibri" w:hAnsi="Helvetica" w:cstheme="minorHAnsi"/>
          <w:sz w:val="22"/>
          <w:szCs w:val="22"/>
        </w:rPr>
        <w:t xml:space="preserve"> </w:t>
      </w:r>
      <w:r w:rsidR="00634B9B">
        <w:rPr>
          <w:rFonts w:ascii="Helvetica" w:eastAsia="Calibri" w:hAnsi="Helvetica" w:cstheme="minorHAnsi"/>
          <w:sz w:val="22"/>
          <w:szCs w:val="22"/>
        </w:rPr>
        <w:t>Single dose</w:t>
      </w:r>
      <w:r w:rsidR="00971836">
        <w:rPr>
          <w:rFonts w:ascii="Helvetica" w:eastAsia="Calibri" w:hAnsi="Helvetica" w:cstheme="minorHAnsi"/>
          <w:sz w:val="22"/>
          <w:szCs w:val="22"/>
        </w:rPr>
        <w:t xml:space="preserve"> vaccination markedly reduced risk of hospitalisation or mortality from COVID-19. The magnitude of efficacy was less marked against SARS-CoV-2 following vaccination. However</w:t>
      </w:r>
      <w:r w:rsidR="00036633">
        <w:rPr>
          <w:rFonts w:ascii="Helvetica" w:eastAsia="Calibri" w:hAnsi="Helvetica" w:cstheme="minorHAnsi"/>
          <w:sz w:val="22"/>
          <w:szCs w:val="22"/>
        </w:rPr>
        <w:t>,</w:t>
      </w:r>
      <w:r w:rsidR="00971836">
        <w:rPr>
          <w:rFonts w:ascii="Helvetica" w:eastAsia="Calibri" w:hAnsi="Helvetica" w:cstheme="minorHAnsi"/>
          <w:sz w:val="22"/>
          <w:szCs w:val="22"/>
        </w:rPr>
        <w:t xml:space="preserve"> we did observe substantial effect modification</w:t>
      </w:r>
      <w:r w:rsidR="00CB1596" w:rsidRPr="00CB1596">
        <w:rPr>
          <w:rFonts w:ascii="Helvetica" w:eastAsia="Calibri" w:hAnsi="Helvetica" w:cstheme="minorHAnsi"/>
          <w:sz w:val="22"/>
          <w:szCs w:val="22"/>
        </w:rPr>
        <w:t xml:space="preserve"> </w:t>
      </w:r>
      <w:r w:rsidR="00B25C2B">
        <w:rPr>
          <w:rFonts w:ascii="Helvetica" w:eastAsia="Calibri" w:hAnsi="Helvetica" w:cstheme="minorHAnsi"/>
          <w:sz w:val="22"/>
          <w:szCs w:val="22"/>
        </w:rPr>
        <w:t xml:space="preserve">of vaccine effectiveness </w:t>
      </w:r>
      <w:r w:rsidR="003D3A96">
        <w:rPr>
          <w:rFonts w:ascii="Helvetica" w:eastAsia="Calibri" w:hAnsi="Helvetica" w:cstheme="minorHAnsi"/>
          <w:sz w:val="22"/>
          <w:szCs w:val="22"/>
        </w:rPr>
        <w:t xml:space="preserve">by age against </w:t>
      </w:r>
      <w:r w:rsidR="00971836">
        <w:rPr>
          <w:rFonts w:ascii="Helvetica" w:eastAsia="Calibri" w:hAnsi="Helvetica" w:cstheme="minorHAnsi"/>
          <w:sz w:val="22"/>
          <w:szCs w:val="22"/>
        </w:rPr>
        <w:t xml:space="preserve">SARS-CoV-2 infection </w:t>
      </w:r>
      <w:r w:rsidR="003D3A96">
        <w:rPr>
          <w:rFonts w:ascii="Helvetica" w:eastAsia="Calibri" w:hAnsi="Helvetica" w:cstheme="minorHAnsi"/>
          <w:sz w:val="22"/>
          <w:szCs w:val="22"/>
        </w:rPr>
        <w:t>of any severity</w:t>
      </w:r>
      <w:r w:rsidR="0046381D">
        <w:rPr>
          <w:rFonts w:ascii="Helvetica" w:eastAsia="Calibri" w:hAnsi="Helvetica" w:cstheme="minorHAnsi"/>
          <w:sz w:val="22"/>
          <w:szCs w:val="22"/>
        </w:rPr>
        <w:t xml:space="preserve">; </w:t>
      </w:r>
      <w:r w:rsidR="003A616B">
        <w:rPr>
          <w:rFonts w:ascii="Helvetica" w:eastAsia="Calibri" w:hAnsi="Helvetica" w:cstheme="minorHAnsi"/>
          <w:sz w:val="22"/>
          <w:szCs w:val="22"/>
        </w:rPr>
        <w:t xml:space="preserve">effectiveness </w:t>
      </w:r>
      <w:r w:rsidR="00971836">
        <w:rPr>
          <w:rFonts w:ascii="Helvetica" w:eastAsia="Calibri" w:hAnsi="Helvetica" w:cstheme="minorHAnsi"/>
          <w:sz w:val="22"/>
          <w:szCs w:val="22"/>
        </w:rPr>
        <w:t>was higher with increasing</w:t>
      </w:r>
      <w:r w:rsidR="00CB1596" w:rsidRPr="00CB1596">
        <w:rPr>
          <w:rFonts w:ascii="Helvetica" w:eastAsia="Calibri" w:hAnsi="Helvetica" w:cstheme="minorHAnsi"/>
          <w:sz w:val="22"/>
          <w:szCs w:val="22"/>
        </w:rPr>
        <w:t xml:space="preserve"> age. </w:t>
      </w:r>
    </w:p>
    <w:p w14:paraId="45318F37" w14:textId="23967EAE" w:rsidR="008B14D4" w:rsidRPr="00BB219E" w:rsidRDefault="008B14D4" w:rsidP="00B928F2">
      <w:pPr>
        <w:spacing w:line="480" w:lineRule="auto"/>
        <w:outlineLvl w:val="0"/>
        <w:rPr>
          <w:rFonts w:ascii="Helvetica" w:eastAsia="Calibri" w:hAnsi="Helvetica" w:cstheme="minorHAnsi"/>
          <w:b/>
          <w:color w:val="000000" w:themeColor="text1"/>
        </w:rPr>
      </w:pPr>
      <w:r w:rsidRPr="00BB219E">
        <w:rPr>
          <w:rFonts w:ascii="Helvetica" w:eastAsia="Calibri" w:hAnsi="Helvetica" w:cstheme="minorHAnsi"/>
          <w:b/>
          <w:color w:val="000000" w:themeColor="text1"/>
        </w:rPr>
        <w:t>Implications of all the available evidence</w:t>
      </w:r>
    </w:p>
    <w:p w14:paraId="4F1782FA" w14:textId="27B4BD76" w:rsidR="00971836" w:rsidRDefault="00971836" w:rsidP="00971836">
      <w:pPr>
        <w:spacing w:line="480" w:lineRule="auto"/>
        <w:outlineLvl w:val="0"/>
        <w:rPr>
          <w:rFonts w:ascii="Helvetica" w:eastAsia="Calibri" w:hAnsi="Helvetica" w:cs="Arial"/>
          <w:sz w:val="22"/>
          <w:szCs w:val="22"/>
        </w:rPr>
      </w:pPr>
      <w:r>
        <w:rPr>
          <w:rFonts w:ascii="Helvetica" w:eastAsia="Calibri" w:hAnsi="Helvetica" w:cs="Arial"/>
          <w:sz w:val="22"/>
          <w:szCs w:val="22"/>
        </w:rPr>
        <w:t>A single</w:t>
      </w:r>
      <w:r w:rsidR="00055C98">
        <w:rPr>
          <w:rFonts w:ascii="Helvetica" w:eastAsia="Calibri" w:hAnsi="Helvetica" w:cs="Arial"/>
          <w:sz w:val="22"/>
          <w:szCs w:val="22"/>
        </w:rPr>
        <w:t xml:space="preserve"> </w:t>
      </w:r>
      <w:r>
        <w:rPr>
          <w:rFonts w:ascii="Helvetica" w:eastAsia="Calibri" w:hAnsi="Helvetica" w:cs="Arial"/>
          <w:sz w:val="22"/>
          <w:szCs w:val="22"/>
        </w:rPr>
        <w:t xml:space="preserve">dose strategy, for both vaccines, was effective </w:t>
      </w:r>
      <w:r w:rsidRPr="00BD4DAF">
        <w:rPr>
          <w:rFonts w:ascii="Helvetica" w:eastAsia="Calibri" w:hAnsi="Helvetica" w:cs="Arial"/>
          <w:sz w:val="22"/>
          <w:szCs w:val="22"/>
        </w:rPr>
        <w:t>at reducing COVID-19 mortality and hospitalization rates</w:t>
      </w:r>
      <w:r>
        <w:rPr>
          <w:rFonts w:ascii="Helvetica" w:eastAsia="Calibri" w:hAnsi="Helvetica" w:cs="Arial"/>
          <w:sz w:val="22"/>
          <w:szCs w:val="22"/>
        </w:rPr>
        <w:t xml:space="preserve">. </w:t>
      </w:r>
      <w:r w:rsidR="005D6C56" w:rsidRPr="00BB219E">
        <w:rPr>
          <w:rFonts w:ascii="Helvetica" w:eastAsia="Calibri" w:hAnsi="Helvetica" w:cstheme="minorHAnsi"/>
          <w:color w:val="000000" w:themeColor="text1"/>
          <w:sz w:val="22"/>
          <w:szCs w:val="22"/>
        </w:rPr>
        <w:t xml:space="preserve">While </w:t>
      </w:r>
      <w:r w:rsidR="00DA37E9">
        <w:rPr>
          <w:rFonts w:ascii="Helvetica" w:eastAsia="Calibri" w:hAnsi="Helvetica" w:cstheme="minorHAnsi"/>
          <w:color w:val="000000" w:themeColor="text1"/>
          <w:sz w:val="22"/>
          <w:szCs w:val="22"/>
        </w:rPr>
        <w:t>a</w:t>
      </w:r>
      <w:r w:rsidR="00DA37E9" w:rsidRPr="00BB219E">
        <w:rPr>
          <w:rFonts w:ascii="Helvetica" w:eastAsia="Calibri" w:hAnsi="Helvetica" w:cstheme="minorHAnsi"/>
          <w:color w:val="000000" w:themeColor="text1"/>
          <w:sz w:val="22"/>
          <w:szCs w:val="22"/>
        </w:rPr>
        <w:t xml:space="preserve"> </w:t>
      </w:r>
      <w:r>
        <w:rPr>
          <w:rFonts w:ascii="Helvetica" w:eastAsia="Calibri" w:hAnsi="Helvetica" w:cstheme="minorHAnsi"/>
          <w:color w:val="000000" w:themeColor="text1"/>
          <w:sz w:val="22"/>
          <w:szCs w:val="22"/>
        </w:rPr>
        <w:t xml:space="preserve">single dose strategy </w:t>
      </w:r>
      <w:r w:rsidR="00994725">
        <w:rPr>
          <w:rFonts w:ascii="Helvetica" w:eastAsia="Calibri" w:hAnsi="Helvetica" w:cstheme="minorHAnsi"/>
          <w:color w:val="000000" w:themeColor="text1"/>
          <w:sz w:val="22"/>
          <w:szCs w:val="22"/>
        </w:rPr>
        <w:t>was associated with</w:t>
      </w:r>
      <w:r w:rsidR="00994725" w:rsidRPr="00BB219E">
        <w:rPr>
          <w:rFonts w:ascii="Helvetica" w:eastAsia="Calibri" w:hAnsi="Helvetica" w:cstheme="minorHAnsi"/>
          <w:color w:val="000000" w:themeColor="text1"/>
          <w:sz w:val="22"/>
          <w:szCs w:val="22"/>
        </w:rPr>
        <w:t xml:space="preserve"> </w:t>
      </w:r>
      <w:r w:rsidR="005D6C56" w:rsidRPr="00BB219E">
        <w:rPr>
          <w:rFonts w:ascii="Helvetica" w:eastAsia="Calibri" w:hAnsi="Helvetica" w:cstheme="minorHAnsi"/>
          <w:color w:val="000000" w:themeColor="text1"/>
          <w:sz w:val="22"/>
          <w:szCs w:val="22"/>
        </w:rPr>
        <w:t xml:space="preserve">a relatively low reduction in the rate of SARS-CoV-2 infection at 3 months, there was significant effect modification by age, with higher </w:t>
      </w:r>
      <w:r w:rsidR="007160D2">
        <w:rPr>
          <w:rFonts w:ascii="Helvetica" w:eastAsia="Calibri" w:hAnsi="Helvetica" w:cstheme="minorHAnsi"/>
          <w:color w:val="000000" w:themeColor="text1"/>
          <w:sz w:val="22"/>
          <w:szCs w:val="22"/>
        </w:rPr>
        <w:t xml:space="preserve">vaccine </w:t>
      </w:r>
      <w:r w:rsidR="005D6C56" w:rsidRPr="00BB219E">
        <w:rPr>
          <w:rFonts w:ascii="Helvetica" w:eastAsia="Calibri" w:hAnsi="Helvetica" w:cstheme="minorHAnsi"/>
          <w:color w:val="000000" w:themeColor="text1"/>
          <w:sz w:val="22"/>
          <w:szCs w:val="22"/>
        </w:rPr>
        <w:t xml:space="preserve">effectiveness seen with older adults. </w:t>
      </w:r>
      <w:r w:rsidRPr="00B61154">
        <w:rPr>
          <w:rFonts w:ascii="Helvetica" w:eastAsia="Calibri" w:hAnsi="Helvetica" w:cs="Arial"/>
          <w:sz w:val="22"/>
          <w:szCs w:val="22"/>
        </w:rPr>
        <w:t xml:space="preserve">Our </w:t>
      </w:r>
      <w:r>
        <w:rPr>
          <w:rFonts w:ascii="Helvetica" w:eastAsia="Calibri" w:hAnsi="Helvetica" w:cs="Arial"/>
          <w:sz w:val="22"/>
          <w:szCs w:val="22"/>
        </w:rPr>
        <w:t xml:space="preserve">results </w:t>
      </w:r>
      <w:r>
        <w:rPr>
          <w:rFonts w:ascii="Helvetica" w:eastAsia="Calibri" w:hAnsi="Helvetica" w:cs="Arial"/>
          <w:sz w:val="22"/>
          <w:szCs w:val="22"/>
        </w:rPr>
        <w:lastRenderedPageBreak/>
        <w:t xml:space="preserve">have important implications for </w:t>
      </w:r>
      <w:r w:rsidRPr="00B61154">
        <w:rPr>
          <w:rFonts w:ascii="Helvetica" w:eastAsia="Calibri" w:hAnsi="Helvetica" w:cs="Arial"/>
          <w:sz w:val="22"/>
          <w:szCs w:val="22"/>
        </w:rPr>
        <w:t>health system planning</w:t>
      </w:r>
      <w:r w:rsidR="003A616B">
        <w:rPr>
          <w:rFonts w:ascii="Helvetica" w:eastAsia="Calibri" w:hAnsi="Helvetica" w:cs="Arial"/>
          <w:sz w:val="22"/>
          <w:szCs w:val="22"/>
        </w:rPr>
        <w:t xml:space="preserve">, </w:t>
      </w:r>
      <w:r w:rsidRPr="00B61154">
        <w:rPr>
          <w:rFonts w:ascii="Helvetica" w:eastAsia="Calibri" w:hAnsi="Helvetica" w:cs="Arial"/>
          <w:sz w:val="22"/>
          <w:szCs w:val="22"/>
        </w:rPr>
        <w:t xml:space="preserve">especially in </w:t>
      </w:r>
      <w:r>
        <w:rPr>
          <w:rFonts w:ascii="Helvetica" w:eastAsia="Calibri" w:hAnsi="Helvetica" w:cs="Arial"/>
          <w:sz w:val="22"/>
          <w:szCs w:val="22"/>
        </w:rPr>
        <w:t>low resource settings where vaccine supply remains constrained.</w:t>
      </w:r>
    </w:p>
    <w:p w14:paraId="5117B8F7" w14:textId="77777777" w:rsidR="00516283" w:rsidRDefault="00516283" w:rsidP="00B928F2">
      <w:pPr>
        <w:spacing w:line="480" w:lineRule="auto"/>
        <w:outlineLvl w:val="0"/>
        <w:rPr>
          <w:rFonts w:ascii="Helvetica" w:eastAsia="Calibri" w:hAnsi="Helvetica" w:cstheme="minorHAnsi"/>
          <w:b/>
          <w:sz w:val="26"/>
          <w:szCs w:val="26"/>
        </w:rPr>
      </w:pPr>
    </w:p>
    <w:p w14:paraId="3B358793" w14:textId="77777777" w:rsidR="0084245D" w:rsidRPr="00C32601" w:rsidRDefault="0084245D" w:rsidP="00B928F2">
      <w:pPr>
        <w:spacing w:line="480" w:lineRule="auto"/>
        <w:outlineLvl w:val="0"/>
        <w:rPr>
          <w:rFonts w:ascii="Helvetica" w:eastAsia="Calibri" w:hAnsi="Helvetica" w:cstheme="minorHAnsi"/>
          <w:b/>
          <w:sz w:val="26"/>
          <w:szCs w:val="26"/>
        </w:rPr>
      </w:pPr>
      <w:r w:rsidRPr="00C32601">
        <w:rPr>
          <w:rFonts w:ascii="Helvetica" w:eastAsia="Calibri" w:hAnsi="Helvetica" w:cstheme="minorHAnsi"/>
          <w:b/>
          <w:sz w:val="26"/>
          <w:szCs w:val="26"/>
        </w:rPr>
        <w:t xml:space="preserve">Introduction </w:t>
      </w:r>
    </w:p>
    <w:p w14:paraId="6971611A" w14:textId="077335F9" w:rsidR="003A3D52" w:rsidRPr="00BD4DAF" w:rsidRDefault="00A073D1" w:rsidP="00B928F2">
      <w:pPr>
        <w:spacing w:line="480" w:lineRule="auto"/>
        <w:rPr>
          <w:rFonts w:ascii="Helvetica" w:eastAsia="Calibri" w:hAnsi="Helvetica" w:cstheme="minorHAnsi"/>
          <w:sz w:val="22"/>
          <w:szCs w:val="22"/>
        </w:rPr>
      </w:pPr>
      <w:r w:rsidRPr="00BD4DAF">
        <w:rPr>
          <w:rFonts w:ascii="Helvetica" w:eastAsia="Calibri" w:hAnsi="Helvetica" w:cstheme="minorHAnsi"/>
          <w:sz w:val="22"/>
          <w:szCs w:val="22"/>
        </w:rPr>
        <w:t xml:space="preserve">The </w:t>
      </w:r>
      <w:r w:rsidR="00D12973" w:rsidRPr="00BD4DAF">
        <w:rPr>
          <w:rFonts w:ascii="Helvetica" w:eastAsia="Calibri" w:hAnsi="Helvetica" w:cstheme="minorHAnsi"/>
          <w:sz w:val="22"/>
          <w:szCs w:val="22"/>
        </w:rPr>
        <w:t>severe acute respiratory syndrome coronavirus 2 (</w:t>
      </w:r>
      <w:r w:rsidRPr="00BD4DAF">
        <w:rPr>
          <w:rFonts w:ascii="Helvetica" w:eastAsia="Calibri" w:hAnsi="Helvetica" w:cstheme="minorHAnsi"/>
          <w:sz w:val="22"/>
          <w:szCs w:val="22"/>
        </w:rPr>
        <w:t>S</w:t>
      </w:r>
      <w:r w:rsidR="001C277B" w:rsidRPr="00BD4DAF">
        <w:rPr>
          <w:rFonts w:ascii="Helvetica" w:eastAsia="Calibri" w:hAnsi="Helvetica" w:cstheme="minorHAnsi"/>
          <w:sz w:val="22"/>
          <w:szCs w:val="22"/>
        </w:rPr>
        <w:t>ARS-CoV-2</w:t>
      </w:r>
      <w:r w:rsidR="00D12973" w:rsidRPr="00BD4DAF">
        <w:rPr>
          <w:rFonts w:ascii="Helvetica" w:eastAsia="Calibri" w:hAnsi="Helvetica" w:cstheme="minorHAnsi"/>
          <w:sz w:val="22"/>
          <w:szCs w:val="22"/>
        </w:rPr>
        <w:t>)</w:t>
      </w:r>
      <w:r w:rsidR="00E00AC0" w:rsidRPr="00BD4DAF">
        <w:rPr>
          <w:rFonts w:ascii="Helvetica" w:eastAsia="Calibri" w:hAnsi="Helvetica" w:cstheme="minorHAnsi"/>
          <w:sz w:val="22"/>
          <w:szCs w:val="22"/>
        </w:rPr>
        <w:t xml:space="preserve"> virus has killed over 4.6</w:t>
      </w:r>
      <w:r w:rsidR="001C277B" w:rsidRPr="00BD4DAF">
        <w:rPr>
          <w:rFonts w:ascii="Helvetica" w:eastAsia="Calibri" w:hAnsi="Helvetica" w:cstheme="minorHAnsi"/>
          <w:sz w:val="22"/>
          <w:szCs w:val="22"/>
        </w:rPr>
        <w:t xml:space="preserve"> million </w:t>
      </w:r>
      <w:r w:rsidR="00124151" w:rsidRPr="00BD4DAF">
        <w:rPr>
          <w:rFonts w:ascii="Helvetica" w:eastAsia="Calibri" w:hAnsi="Helvetica" w:cstheme="minorHAnsi"/>
          <w:sz w:val="22"/>
          <w:szCs w:val="22"/>
        </w:rPr>
        <w:t xml:space="preserve">worldwide as of </w:t>
      </w:r>
      <w:r w:rsidR="00E00AC0" w:rsidRPr="00BD4DAF">
        <w:rPr>
          <w:rFonts w:ascii="Helvetica" w:eastAsia="Calibri" w:hAnsi="Helvetica" w:cstheme="minorHAnsi"/>
          <w:sz w:val="22"/>
          <w:szCs w:val="22"/>
        </w:rPr>
        <w:t>September</w:t>
      </w:r>
      <w:r w:rsidR="00124151" w:rsidRPr="00BD4DAF">
        <w:rPr>
          <w:rFonts w:ascii="Helvetica" w:eastAsia="Calibri" w:hAnsi="Helvetica" w:cstheme="minorHAnsi"/>
          <w:sz w:val="22"/>
          <w:szCs w:val="22"/>
        </w:rPr>
        <w:t xml:space="preserve"> 01, 2021.</w:t>
      </w:r>
      <w:r w:rsidR="00BA138E" w:rsidRPr="00BD4DAF">
        <w:rPr>
          <w:rFonts w:ascii="Helvetica" w:eastAsia="Calibri" w:hAnsi="Helvetica" w:cstheme="minorHAnsi"/>
          <w:sz w:val="22"/>
          <w:szCs w:val="22"/>
          <w:highlight w:val="yellow"/>
          <w:vertAlign w:val="superscript"/>
        </w:rPr>
        <w:t>1</w:t>
      </w:r>
      <w:r w:rsidR="006C6D08" w:rsidRPr="00BD4DAF">
        <w:rPr>
          <w:rFonts w:ascii="Helvetica" w:eastAsia="Calibri" w:hAnsi="Helvetica" w:cstheme="minorHAnsi"/>
          <w:sz w:val="22"/>
          <w:szCs w:val="22"/>
        </w:rPr>
        <w:t xml:space="preserve"> </w:t>
      </w:r>
      <w:r w:rsidR="00D12973" w:rsidRPr="00BD4DAF">
        <w:rPr>
          <w:rFonts w:ascii="Helvetica" w:eastAsia="Calibri" w:hAnsi="Helvetica" w:cstheme="minorHAnsi"/>
          <w:sz w:val="22"/>
          <w:szCs w:val="22"/>
        </w:rPr>
        <w:t>Over</w:t>
      </w:r>
      <w:r w:rsidR="009F59CB" w:rsidRPr="00BD4DAF">
        <w:rPr>
          <w:rFonts w:ascii="Helvetica" w:eastAsia="Calibri" w:hAnsi="Helvetica" w:cstheme="minorHAnsi"/>
          <w:sz w:val="22"/>
          <w:szCs w:val="22"/>
        </w:rPr>
        <w:t xml:space="preserve"> 200 candidate vaccines against</w:t>
      </w:r>
      <w:r w:rsidR="00D12973" w:rsidRPr="00BD4DAF">
        <w:rPr>
          <w:rFonts w:ascii="Helvetica" w:eastAsia="Calibri" w:hAnsi="Helvetica" w:cstheme="minorHAnsi"/>
          <w:sz w:val="22"/>
          <w:szCs w:val="22"/>
        </w:rPr>
        <w:t xml:space="preserve"> the virus which causes coro</w:t>
      </w:r>
      <w:r w:rsidR="009F59CB" w:rsidRPr="00BD4DAF">
        <w:rPr>
          <w:rFonts w:ascii="Helvetica" w:eastAsia="Calibri" w:hAnsi="Helvetica" w:cstheme="minorHAnsi"/>
          <w:sz w:val="22"/>
          <w:szCs w:val="22"/>
        </w:rPr>
        <w:t>navirus disease 2019 (COVID-19)</w:t>
      </w:r>
      <w:r w:rsidR="00D12973" w:rsidRPr="00BD4DAF">
        <w:rPr>
          <w:rFonts w:ascii="Helvetica" w:eastAsia="Calibri" w:hAnsi="Helvetica" w:cstheme="minorHAnsi"/>
          <w:sz w:val="22"/>
          <w:szCs w:val="22"/>
        </w:rPr>
        <w:t xml:space="preserve"> have been developed.</w:t>
      </w:r>
      <w:r w:rsidR="00EA33A6" w:rsidRPr="00BD4DAF">
        <w:rPr>
          <w:rFonts w:ascii="Helvetica" w:eastAsia="Calibri" w:hAnsi="Helvetica" w:cstheme="minorHAnsi"/>
          <w:sz w:val="22"/>
          <w:szCs w:val="22"/>
          <w:highlight w:val="yellow"/>
          <w:vertAlign w:val="superscript"/>
        </w:rPr>
        <w:t>1</w:t>
      </w:r>
      <w:r w:rsidR="00D12973" w:rsidRPr="00BD4DAF">
        <w:rPr>
          <w:rFonts w:ascii="Helvetica" w:eastAsia="Calibri" w:hAnsi="Helvetica" w:cstheme="minorHAnsi"/>
          <w:sz w:val="22"/>
          <w:szCs w:val="22"/>
        </w:rPr>
        <w:t xml:space="preserve"> </w:t>
      </w:r>
      <w:r w:rsidR="00C96567" w:rsidRPr="00BD4DAF">
        <w:rPr>
          <w:rFonts w:ascii="Helvetica" w:eastAsia="Calibri" w:hAnsi="Helvetica" w:cstheme="minorHAnsi"/>
          <w:sz w:val="22"/>
          <w:szCs w:val="22"/>
        </w:rPr>
        <w:t xml:space="preserve">The two most common COVID-19 vaccines used in vaccination </w:t>
      </w:r>
      <w:r w:rsidR="003E0FE9" w:rsidRPr="00BD4DAF">
        <w:rPr>
          <w:rFonts w:ascii="Helvetica" w:eastAsia="Calibri" w:hAnsi="Helvetica" w:cstheme="minorHAnsi"/>
          <w:sz w:val="22"/>
          <w:szCs w:val="22"/>
        </w:rPr>
        <w:t>campaigns</w:t>
      </w:r>
      <w:r w:rsidR="00C96567" w:rsidRPr="00BD4DAF">
        <w:rPr>
          <w:rFonts w:ascii="Helvetica" w:eastAsia="Calibri" w:hAnsi="Helvetica" w:cstheme="minorHAnsi"/>
          <w:sz w:val="22"/>
          <w:szCs w:val="22"/>
        </w:rPr>
        <w:t xml:space="preserve"> worldwide are the </w:t>
      </w:r>
      <w:r w:rsidR="005B642F" w:rsidRPr="00BD4DAF">
        <w:rPr>
          <w:rFonts w:ascii="Helvetica" w:eastAsia="Calibri" w:hAnsi="Helvetica" w:cstheme="minorHAnsi"/>
          <w:sz w:val="22"/>
          <w:szCs w:val="22"/>
        </w:rPr>
        <w:t xml:space="preserve">Oxford-AstraZeneca (ChAdOx1 nCoV-19/AZD1222) and </w:t>
      </w:r>
      <w:r w:rsidR="00DD2686" w:rsidRPr="00BD4DAF">
        <w:rPr>
          <w:rFonts w:ascii="Helvetica" w:eastAsia="Calibri" w:hAnsi="Helvetica" w:cstheme="minorHAnsi"/>
          <w:sz w:val="22"/>
          <w:szCs w:val="22"/>
        </w:rPr>
        <w:t>Pfizer-</w:t>
      </w:r>
      <w:proofErr w:type="spellStart"/>
      <w:r w:rsidR="00DD2686" w:rsidRPr="00BD4DAF">
        <w:rPr>
          <w:rFonts w:ascii="Helvetica" w:eastAsia="Calibri" w:hAnsi="Helvetica" w:cstheme="minorHAnsi"/>
          <w:sz w:val="22"/>
          <w:szCs w:val="22"/>
        </w:rPr>
        <w:t>BioNTech</w:t>
      </w:r>
      <w:proofErr w:type="spellEnd"/>
      <w:r w:rsidR="00DD2686" w:rsidRPr="00BD4DAF">
        <w:rPr>
          <w:rFonts w:ascii="Helvetica" w:eastAsia="Calibri" w:hAnsi="Helvetica" w:cstheme="minorHAnsi"/>
          <w:sz w:val="22"/>
          <w:szCs w:val="22"/>
        </w:rPr>
        <w:t xml:space="preserve"> (</w:t>
      </w:r>
      <w:r w:rsidR="00C96567" w:rsidRPr="00BD4DAF">
        <w:rPr>
          <w:rFonts w:ascii="Helvetica" w:eastAsia="Calibri" w:hAnsi="Helvetica" w:cstheme="minorHAnsi"/>
          <w:sz w:val="22"/>
          <w:szCs w:val="22"/>
        </w:rPr>
        <w:t>BNT162b2</w:t>
      </w:r>
      <w:r w:rsidR="00DD2686" w:rsidRPr="00BD4DAF">
        <w:rPr>
          <w:rFonts w:ascii="Helvetica" w:eastAsia="Calibri" w:hAnsi="Helvetica" w:cstheme="minorHAnsi"/>
          <w:sz w:val="22"/>
          <w:szCs w:val="22"/>
        </w:rPr>
        <w:t>)</w:t>
      </w:r>
      <w:r w:rsidR="005B642F" w:rsidRPr="00BD4DAF">
        <w:rPr>
          <w:rFonts w:ascii="Helvetica" w:eastAsia="Calibri" w:hAnsi="Helvetica" w:cstheme="minorHAnsi"/>
          <w:sz w:val="22"/>
          <w:szCs w:val="22"/>
        </w:rPr>
        <w:t xml:space="preserve"> </w:t>
      </w:r>
      <w:r w:rsidR="00C96567" w:rsidRPr="00BD4DAF">
        <w:rPr>
          <w:rFonts w:ascii="Helvetica" w:eastAsia="Calibri" w:hAnsi="Helvetica" w:cstheme="minorHAnsi"/>
          <w:sz w:val="22"/>
          <w:szCs w:val="22"/>
        </w:rPr>
        <w:t>COVID-19 vaccines</w:t>
      </w:r>
      <w:r w:rsidR="00450009" w:rsidRPr="00BD4DAF">
        <w:rPr>
          <w:rFonts w:ascii="Helvetica" w:eastAsia="Calibri" w:hAnsi="Helvetica" w:cstheme="minorHAnsi"/>
          <w:sz w:val="22"/>
          <w:szCs w:val="22"/>
        </w:rPr>
        <w:t>.</w:t>
      </w:r>
      <w:r w:rsidR="00C96567" w:rsidRPr="00BD4DAF">
        <w:rPr>
          <w:rFonts w:ascii="Helvetica" w:eastAsia="Calibri" w:hAnsi="Helvetica" w:cstheme="minorHAnsi"/>
          <w:sz w:val="22"/>
          <w:szCs w:val="22"/>
        </w:rPr>
        <w:t xml:space="preserve"> H</w:t>
      </w:r>
      <w:r w:rsidR="00D12973" w:rsidRPr="00BD4DAF">
        <w:rPr>
          <w:rFonts w:ascii="Helvetica" w:eastAsia="Calibri" w:hAnsi="Helvetica" w:cstheme="minorHAnsi"/>
          <w:sz w:val="22"/>
          <w:szCs w:val="22"/>
        </w:rPr>
        <w:t>owever, whilst randomised control trials have tested a 2-dose strategy against</w:t>
      </w:r>
      <w:r w:rsidR="00C92C2E" w:rsidRPr="00BD4DAF">
        <w:rPr>
          <w:rFonts w:ascii="Helvetica" w:eastAsia="Calibri" w:hAnsi="Helvetica" w:cstheme="minorHAnsi"/>
          <w:sz w:val="22"/>
          <w:szCs w:val="22"/>
        </w:rPr>
        <w:t xml:space="preserve"> </w:t>
      </w:r>
      <w:r w:rsidR="00D12973" w:rsidRPr="00BD4DAF">
        <w:rPr>
          <w:rFonts w:ascii="Helvetica" w:eastAsia="Calibri" w:hAnsi="Helvetica" w:cstheme="minorHAnsi"/>
          <w:sz w:val="22"/>
          <w:szCs w:val="22"/>
        </w:rPr>
        <w:t>SARS-CoV-2 infection</w:t>
      </w:r>
      <w:r w:rsidR="00A77719">
        <w:rPr>
          <w:rFonts w:ascii="Helvetica" w:eastAsia="Calibri" w:hAnsi="Helvetica" w:cstheme="minorHAnsi"/>
          <w:sz w:val="22"/>
          <w:szCs w:val="22"/>
          <w:vertAlign w:val="superscript"/>
        </w:rPr>
        <w:t>2-3</w:t>
      </w:r>
      <w:r w:rsidR="00D12973" w:rsidRPr="00BD4DAF">
        <w:rPr>
          <w:rFonts w:ascii="Helvetica" w:eastAsia="Calibri" w:hAnsi="Helvetica" w:cstheme="minorHAnsi"/>
          <w:sz w:val="22"/>
          <w:szCs w:val="22"/>
        </w:rPr>
        <w:t xml:space="preserve"> the efficacy of a single dose strategy remains less clear.  Emerging observational studies do suggest that a </w:t>
      </w:r>
      <w:r w:rsidR="00634B9B">
        <w:rPr>
          <w:rFonts w:ascii="Helvetica" w:eastAsia="Calibri" w:hAnsi="Helvetica" w:cstheme="minorHAnsi"/>
          <w:sz w:val="22"/>
          <w:szCs w:val="22"/>
        </w:rPr>
        <w:t>single dose</w:t>
      </w:r>
      <w:r w:rsidR="00D12973" w:rsidRPr="00BD4DAF">
        <w:rPr>
          <w:rFonts w:ascii="Helvetica" w:eastAsia="Calibri" w:hAnsi="Helvetica" w:cstheme="minorHAnsi"/>
          <w:sz w:val="22"/>
          <w:szCs w:val="22"/>
        </w:rPr>
        <w:t xml:space="preserve"> vaccine strategy might confer high efficacy</w:t>
      </w:r>
      <w:r w:rsidR="0030750C" w:rsidRPr="00BD4DAF">
        <w:rPr>
          <w:rFonts w:ascii="Helvetica" w:eastAsia="Calibri" w:hAnsi="Helvetica" w:cstheme="minorHAnsi"/>
          <w:sz w:val="22"/>
          <w:szCs w:val="22"/>
        </w:rPr>
        <w:t xml:space="preserve"> against </w:t>
      </w:r>
      <w:r w:rsidR="00C92C2E" w:rsidRPr="00BD4DAF">
        <w:rPr>
          <w:rFonts w:ascii="Helvetica" w:eastAsia="Calibri" w:hAnsi="Helvetica" w:cstheme="minorHAnsi"/>
          <w:sz w:val="22"/>
          <w:szCs w:val="22"/>
        </w:rPr>
        <w:t xml:space="preserve">SARS-CoV-2 </w:t>
      </w:r>
      <w:r w:rsidR="00EC1964" w:rsidRPr="00BD4DAF">
        <w:rPr>
          <w:rFonts w:ascii="Helvetica" w:eastAsia="Calibri" w:hAnsi="Helvetica" w:cstheme="minorHAnsi"/>
          <w:sz w:val="22"/>
          <w:szCs w:val="22"/>
        </w:rPr>
        <w:t xml:space="preserve">infection and </w:t>
      </w:r>
      <w:r w:rsidR="00DD2DD8" w:rsidRPr="00BD4DAF">
        <w:rPr>
          <w:rFonts w:ascii="Helvetica" w:eastAsia="Calibri" w:hAnsi="Helvetica" w:cstheme="minorHAnsi"/>
          <w:sz w:val="22"/>
          <w:szCs w:val="22"/>
        </w:rPr>
        <w:t>disease severity</w:t>
      </w:r>
      <w:r w:rsidR="008E3FCF">
        <w:rPr>
          <w:rFonts w:ascii="Helvetica" w:eastAsia="Calibri" w:hAnsi="Helvetica" w:cstheme="minorHAnsi"/>
          <w:sz w:val="22"/>
          <w:szCs w:val="22"/>
          <w:highlight w:val="yellow"/>
          <w:vertAlign w:val="superscript"/>
        </w:rPr>
        <w:t>4</w:t>
      </w:r>
      <w:r w:rsidR="00D12973" w:rsidRPr="00BD4DAF">
        <w:rPr>
          <w:rFonts w:ascii="Helvetica" w:eastAsia="Calibri" w:hAnsi="Helvetica" w:cstheme="minorHAnsi"/>
          <w:sz w:val="22"/>
          <w:szCs w:val="22"/>
          <w:highlight w:val="yellow"/>
          <w:vertAlign w:val="superscript"/>
        </w:rPr>
        <w:t>-</w:t>
      </w:r>
      <w:r w:rsidR="008E3FCF">
        <w:rPr>
          <w:rFonts w:ascii="Helvetica" w:eastAsia="Calibri" w:hAnsi="Helvetica" w:cstheme="minorHAnsi"/>
          <w:sz w:val="22"/>
          <w:szCs w:val="22"/>
          <w:highlight w:val="yellow"/>
          <w:vertAlign w:val="superscript"/>
        </w:rPr>
        <w:t>8</w:t>
      </w:r>
      <w:r w:rsidR="00D12973" w:rsidRPr="00BD4DAF">
        <w:rPr>
          <w:rFonts w:ascii="Helvetica" w:eastAsia="Calibri" w:hAnsi="Helvetica" w:cstheme="minorHAnsi"/>
          <w:sz w:val="22"/>
          <w:szCs w:val="22"/>
        </w:rPr>
        <w:t xml:space="preserve">: but these studies have been limited to a restricted age group – mainly older patients – with </w:t>
      </w:r>
      <w:r w:rsidR="00DD2DD8" w:rsidRPr="00BD4DAF">
        <w:rPr>
          <w:rFonts w:ascii="Helvetica" w:eastAsia="Calibri" w:hAnsi="Helvetica" w:cstheme="minorHAnsi"/>
          <w:sz w:val="22"/>
          <w:szCs w:val="22"/>
        </w:rPr>
        <w:t>generally shorter</w:t>
      </w:r>
      <w:r w:rsidR="00D12973" w:rsidRPr="00BD4DAF">
        <w:rPr>
          <w:rFonts w:ascii="Helvetica" w:eastAsia="Calibri" w:hAnsi="Helvetica" w:cstheme="minorHAnsi"/>
          <w:sz w:val="22"/>
          <w:szCs w:val="22"/>
        </w:rPr>
        <w:t xml:space="preserve"> follow-up of 4 weeks. To confer population level immunity and protection</w:t>
      </w:r>
      <w:r w:rsidR="00CB4276" w:rsidRPr="00BD4DAF">
        <w:rPr>
          <w:rFonts w:ascii="Helvetica" w:eastAsia="Calibri" w:hAnsi="Helvetica" w:cstheme="minorHAnsi"/>
          <w:sz w:val="22"/>
          <w:szCs w:val="22"/>
        </w:rPr>
        <w:t>,</w:t>
      </w:r>
      <w:r w:rsidR="00D12973" w:rsidRPr="00BD4DAF">
        <w:rPr>
          <w:rFonts w:ascii="Helvetica" w:eastAsia="Calibri" w:hAnsi="Helvetica" w:cstheme="minorHAnsi"/>
          <w:sz w:val="22"/>
          <w:szCs w:val="22"/>
        </w:rPr>
        <w:t xml:space="preserve"> especially in low- and middle-income </w:t>
      </w:r>
      <w:r w:rsidR="009F59CB" w:rsidRPr="00BD4DAF">
        <w:rPr>
          <w:rFonts w:ascii="Helvetica" w:eastAsia="Calibri" w:hAnsi="Helvetica" w:cstheme="minorHAnsi"/>
          <w:sz w:val="22"/>
          <w:szCs w:val="22"/>
        </w:rPr>
        <w:t>countries</w:t>
      </w:r>
      <w:r w:rsidR="00D12973" w:rsidRPr="00BD4DAF">
        <w:rPr>
          <w:rFonts w:ascii="Helvetica" w:eastAsia="Calibri" w:hAnsi="Helvetica" w:cstheme="minorHAnsi"/>
          <w:sz w:val="22"/>
          <w:szCs w:val="22"/>
        </w:rPr>
        <w:t xml:space="preserve"> where</w:t>
      </w:r>
      <w:r w:rsidR="00CB4276" w:rsidRPr="00BD4DAF">
        <w:rPr>
          <w:rFonts w:ascii="Helvetica" w:eastAsia="Calibri" w:hAnsi="Helvetica" w:cstheme="minorHAnsi"/>
          <w:sz w:val="22"/>
          <w:szCs w:val="22"/>
        </w:rPr>
        <w:t xml:space="preserve"> vaccine supply remains limited, </w:t>
      </w:r>
      <w:r w:rsidR="00D12973" w:rsidRPr="00BD4DAF">
        <w:rPr>
          <w:rFonts w:ascii="Helvetica" w:eastAsia="Calibri" w:hAnsi="Helvetica" w:cstheme="minorHAnsi"/>
          <w:sz w:val="22"/>
          <w:szCs w:val="22"/>
        </w:rPr>
        <w:t xml:space="preserve">a </w:t>
      </w:r>
      <w:r w:rsidR="00634B9B">
        <w:rPr>
          <w:rFonts w:ascii="Helvetica" w:eastAsia="Calibri" w:hAnsi="Helvetica" w:cstheme="minorHAnsi"/>
          <w:sz w:val="22"/>
          <w:szCs w:val="22"/>
        </w:rPr>
        <w:t>single dose</w:t>
      </w:r>
      <w:r w:rsidR="00D12973" w:rsidRPr="00BD4DAF">
        <w:rPr>
          <w:rFonts w:ascii="Helvetica" w:eastAsia="Calibri" w:hAnsi="Helvetica" w:cstheme="minorHAnsi"/>
          <w:sz w:val="22"/>
          <w:szCs w:val="22"/>
        </w:rPr>
        <w:t xml:space="preserve"> strategy may be preferable. </w:t>
      </w:r>
      <w:r w:rsidR="003A3D52" w:rsidRPr="00BD4DAF">
        <w:rPr>
          <w:rFonts w:ascii="Helvetica" w:eastAsia="Calibri" w:hAnsi="Helvetica" w:cstheme="minorHAnsi"/>
          <w:sz w:val="22"/>
          <w:szCs w:val="22"/>
        </w:rPr>
        <w:t>Fractional dosing, where individuals receive less than the recommended dosage of vaccine, has been successfully utilised in previous outbreaks of other infectious diseases, including cholera</w:t>
      </w:r>
      <w:r w:rsidR="008E3FCF">
        <w:rPr>
          <w:rFonts w:ascii="Helvetica" w:eastAsia="Calibri" w:hAnsi="Helvetica" w:cstheme="minorHAnsi"/>
          <w:sz w:val="22"/>
          <w:szCs w:val="22"/>
          <w:highlight w:val="yellow"/>
          <w:vertAlign w:val="superscript"/>
        </w:rPr>
        <w:t>9</w:t>
      </w:r>
      <w:r w:rsidR="003A3D52" w:rsidRPr="00BD4DAF">
        <w:rPr>
          <w:rFonts w:ascii="Helvetica" w:eastAsia="Calibri" w:hAnsi="Helvetica" w:cstheme="minorHAnsi"/>
          <w:sz w:val="22"/>
          <w:szCs w:val="22"/>
        </w:rPr>
        <w:t xml:space="preserve"> and yellow fever.</w:t>
      </w:r>
      <w:r w:rsidR="008E3FCF">
        <w:rPr>
          <w:rFonts w:ascii="Helvetica" w:eastAsia="Calibri" w:hAnsi="Helvetica" w:cstheme="minorHAnsi"/>
          <w:sz w:val="22"/>
          <w:szCs w:val="22"/>
          <w:highlight w:val="yellow"/>
          <w:vertAlign w:val="superscript"/>
        </w:rPr>
        <w:t>10</w:t>
      </w:r>
      <w:r w:rsidR="003A3D52" w:rsidRPr="00BD4DAF">
        <w:rPr>
          <w:rFonts w:ascii="Helvetica" w:eastAsia="Calibri" w:hAnsi="Helvetica" w:cstheme="minorHAnsi"/>
          <w:sz w:val="22"/>
          <w:szCs w:val="22"/>
        </w:rPr>
        <w:t xml:space="preserve"> If shown to be effective, a </w:t>
      </w:r>
      <w:r w:rsidR="00634B9B">
        <w:rPr>
          <w:rFonts w:ascii="Helvetica" w:eastAsia="Calibri" w:hAnsi="Helvetica" w:cstheme="minorHAnsi"/>
          <w:sz w:val="22"/>
          <w:szCs w:val="22"/>
        </w:rPr>
        <w:t>single dose</w:t>
      </w:r>
      <w:r w:rsidR="003A3D52" w:rsidRPr="00BD4DAF">
        <w:rPr>
          <w:rFonts w:ascii="Helvetica" w:eastAsia="Calibri" w:hAnsi="Helvetica" w:cstheme="minorHAnsi"/>
          <w:sz w:val="22"/>
          <w:szCs w:val="22"/>
        </w:rPr>
        <w:t xml:space="preserve"> COVID-19 </w:t>
      </w:r>
      <w:r w:rsidR="003E0FE9" w:rsidRPr="00BD4DAF">
        <w:rPr>
          <w:rFonts w:ascii="Helvetica" w:eastAsia="Calibri" w:hAnsi="Helvetica" w:cstheme="minorHAnsi"/>
          <w:sz w:val="22"/>
          <w:szCs w:val="22"/>
        </w:rPr>
        <w:t>campaign</w:t>
      </w:r>
      <w:r w:rsidR="003A3D52" w:rsidRPr="00BD4DAF">
        <w:rPr>
          <w:rFonts w:ascii="Helvetica" w:eastAsia="Calibri" w:hAnsi="Helvetica" w:cstheme="minorHAnsi"/>
          <w:sz w:val="22"/>
          <w:szCs w:val="22"/>
        </w:rPr>
        <w:t xml:space="preserve"> in countries where there are less supplies would be easier to implement logistically, with the potential to reach herd immunity more rapidly,</w:t>
      </w:r>
      <w:r w:rsidR="003212F8">
        <w:rPr>
          <w:rFonts w:ascii="Helvetica" w:eastAsia="Calibri" w:hAnsi="Helvetica" w:cstheme="minorHAnsi"/>
          <w:sz w:val="22"/>
          <w:szCs w:val="22"/>
          <w:highlight w:val="yellow"/>
          <w:vertAlign w:val="superscript"/>
        </w:rPr>
        <w:t>11</w:t>
      </w:r>
      <w:r w:rsidR="003A3D52" w:rsidRPr="00BD4DAF">
        <w:rPr>
          <w:rFonts w:ascii="Helvetica" w:eastAsia="Calibri" w:hAnsi="Helvetica" w:cstheme="minorHAnsi"/>
          <w:sz w:val="22"/>
          <w:szCs w:val="22"/>
          <w:highlight w:val="yellow"/>
          <w:vertAlign w:val="superscript"/>
        </w:rPr>
        <w:t>-</w:t>
      </w:r>
      <w:r w:rsidR="003212F8">
        <w:rPr>
          <w:rFonts w:ascii="Helvetica" w:eastAsia="Calibri" w:hAnsi="Helvetica" w:cstheme="minorHAnsi"/>
          <w:sz w:val="22"/>
          <w:szCs w:val="22"/>
          <w:highlight w:val="yellow"/>
          <w:vertAlign w:val="superscript"/>
        </w:rPr>
        <w:t>13</w:t>
      </w:r>
      <w:r w:rsidR="003A3D52" w:rsidRPr="00BD4DAF">
        <w:rPr>
          <w:rFonts w:ascii="Helvetica" w:eastAsia="Calibri" w:hAnsi="Helvetica" w:cstheme="minorHAnsi"/>
          <w:sz w:val="22"/>
          <w:szCs w:val="22"/>
        </w:rPr>
        <w:t xml:space="preserve"> </w:t>
      </w:r>
    </w:p>
    <w:p w14:paraId="4E4B1E99" w14:textId="77777777" w:rsidR="003A3D52" w:rsidRPr="00BD4DAF" w:rsidRDefault="003A3D52" w:rsidP="00B928F2">
      <w:pPr>
        <w:spacing w:line="480" w:lineRule="auto"/>
        <w:rPr>
          <w:rFonts w:ascii="Helvetica" w:eastAsia="Calibri" w:hAnsi="Helvetica" w:cstheme="minorHAnsi"/>
          <w:sz w:val="22"/>
          <w:szCs w:val="22"/>
        </w:rPr>
      </w:pPr>
    </w:p>
    <w:p w14:paraId="34556030" w14:textId="5AB9BE20" w:rsidR="00463BC7" w:rsidRPr="00BD4DAF" w:rsidRDefault="00D12973" w:rsidP="00B928F2">
      <w:pPr>
        <w:spacing w:line="480" w:lineRule="auto"/>
        <w:rPr>
          <w:rFonts w:ascii="Helvetica" w:eastAsia="Calibri" w:hAnsi="Helvetica" w:cstheme="minorHAnsi"/>
          <w:sz w:val="22"/>
          <w:szCs w:val="22"/>
        </w:rPr>
      </w:pPr>
      <w:r w:rsidRPr="00BD4DAF">
        <w:rPr>
          <w:rFonts w:ascii="Helvetica" w:eastAsia="Calibri" w:hAnsi="Helvetica" w:cstheme="minorHAnsi"/>
          <w:sz w:val="22"/>
          <w:szCs w:val="22"/>
        </w:rPr>
        <w:t xml:space="preserve">A </w:t>
      </w:r>
      <w:r w:rsidR="00634B9B">
        <w:rPr>
          <w:rFonts w:ascii="Helvetica" w:eastAsia="Calibri" w:hAnsi="Helvetica" w:cstheme="minorHAnsi"/>
          <w:sz w:val="22"/>
          <w:szCs w:val="22"/>
        </w:rPr>
        <w:t>single dose</w:t>
      </w:r>
      <w:r w:rsidRPr="00BD4DAF">
        <w:rPr>
          <w:rFonts w:ascii="Helvetica" w:eastAsia="Calibri" w:hAnsi="Helvetica" w:cstheme="minorHAnsi"/>
          <w:sz w:val="22"/>
          <w:szCs w:val="22"/>
        </w:rPr>
        <w:t xml:space="preserve"> strategy </w:t>
      </w:r>
      <w:r w:rsidR="009075AD" w:rsidRPr="00BD4DAF">
        <w:rPr>
          <w:rFonts w:ascii="Helvetica" w:eastAsia="Calibri" w:hAnsi="Helvetica" w:cstheme="minorHAnsi"/>
          <w:sz w:val="22"/>
          <w:szCs w:val="22"/>
        </w:rPr>
        <w:t xml:space="preserve">may </w:t>
      </w:r>
      <w:r w:rsidRPr="00BD4DAF">
        <w:rPr>
          <w:rFonts w:ascii="Helvetica" w:eastAsia="Calibri" w:hAnsi="Helvetica" w:cstheme="minorHAnsi"/>
          <w:sz w:val="22"/>
          <w:szCs w:val="22"/>
        </w:rPr>
        <w:t xml:space="preserve">also be preferable where large populations need to be vaccinated in a shorter time period. </w:t>
      </w:r>
      <w:r w:rsidR="00463BC7" w:rsidRPr="00BD4DAF">
        <w:rPr>
          <w:rFonts w:ascii="Helvetica" w:eastAsia="Calibri" w:hAnsi="Helvetica" w:cstheme="minorHAnsi"/>
          <w:sz w:val="22"/>
          <w:szCs w:val="22"/>
        </w:rPr>
        <w:t>As such, t</w:t>
      </w:r>
      <w:r w:rsidRPr="00BD4DAF">
        <w:rPr>
          <w:rFonts w:ascii="Helvetica" w:eastAsia="Calibri" w:hAnsi="Helvetica" w:cstheme="minorHAnsi"/>
          <w:sz w:val="22"/>
          <w:szCs w:val="22"/>
        </w:rPr>
        <w:t xml:space="preserve">he United Kingdom following advice from the Joint Committee on Vaccination and Immunisation recommended prioritizing a first vaccine </w:t>
      </w:r>
      <w:r w:rsidRPr="00BD4DAF">
        <w:rPr>
          <w:rFonts w:ascii="Helvetica" w:eastAsia="Calibri" w:hAnsi="Helvetica" w:cstheme="minorHAnsi"/>
          <w:sz w:val="22"/>
          <w:szCs w:val="22"/>
        </w:rPr>
        <w:lastRenderedPageBreak/>
        <w:t>dose of the Oxford-AstraZeneca or Pfizer-</w:t>
      </w:r>
      <w:proofErr w:type="spellStart"/>
      <w:r w:rsidRPr="00BD4DAF">
        <w:rPr>
          <w:rFonts w:ascii="Helvetica" w:eastAsia="Calibri" w:hAnsi="Helvetica" w:cstheme="minorHAnsi"/>
          <w:sz w:val="22"/>
          <w:szCs w:val="22"/>
        </w:rPr>
        <w:t>BioNTech</w:t>
      </w:r>
      <w:proofErr w:type="spellEnd"/>
      <w:r w:rsidRPr="00BD4DAF">
        <w:rPr>
          <w:rFonts w:ascii="Helvetica" w:eastAsia="Calibri" w:hAnsi="Helvetica" w:cstheme="minorHAnsi"/>
          <w:sz w:val="22"/>
          <w:szCs w:val="22"/>
        </w:rPr>
        <w:t xml:space="preserve"> vaccines for all eligible individuals prior to securing a second vaccine dose for recipients.</w:t>
      </w:r>
      <w:r w:rsidR="003212F8">
        <w:rPr>
          <w:rFonts w:ascii="Helvetica" w:eastAsia="Calibri" w:hAnsi="Helvetica" w:cstheme="minorHAnsi"/>
          <w:sz w:val="22"/>
          <w:szCs w:val="22"/>
          <w:highlight w:val="yellow"/>
          <w:vertAlign w:val="superscript"/>
        </w:rPr>
        <w:t>14</w:t>
      </w:r>
      <w:r w:rsidRPr="00BD4DAF">
        <w:rPr>
          <w:rFonts w:ascii="Helvetica" w:eastAsia="Calibri" w:hAnsi="Helvetica" w:cstheme="minorHAnsi"/>
          <w:sz w:val="22"/>
          <w:szCs w:val="22"/>
          <w:vertAlign w:val="superscript"/>
        </w:rPr>
        <w:t xml:space="preserve"> </w:t>
      </w:r>
      <w:r w:rsidRPr="00BD4DAF">
        <w:rPr>
          <w:rFonts w:ascii="Helvetica" w:eastAsia="Calibri" w:hAnsi="Helvetica" w:cstheme="minorHAnsi"/>
          <w:sz w:val="22"/>
          <w:szCs w:val="22"/>
        </w:rPr>
        <w:t xml:space="preserve"> </w:t>
      </w:r>
    </w:p>
    <w:p w14:paraId="2AD2A9FE" w14:textId="77777777" w:rsidR="00463BC7" w:rsidRPr="00BD4DAF" w:rsidRDefault="00463BC7" w:rsidP="00B928F2">
      <w:pPr>
        <w:spacing w:line="480" w:lineRule="auto"/>
        <w:rPr>
          <w:rFonts w:ascii="Helvetica" w:eastAsia="Calibri" w:hAnsi="Helvetica" w:cstheme="minorHAnsi"/>
          <w:sz w:val="22"/>
          <w:szCs w:val="22"/>
        </w:rPr>
      </w:pPr>
    </w:p>
    <w:p w14:paraId="1144FB47" w14:textId="4C19BD6D" w:rsidR="00D12973" w:rsidRPr="00BD4DAF" w:rsidRDefault="00D12973" w:rsidP="00B928F2">
      <w:pPr>
        <w:spacing w:line="480" w:lineRule="auto"/>
        <w:rPr>
          <w:rFonts w:ascii="Helvetica" w:eastAsia="Calibri" w:hAnsi="Helvetica" w:cstheme="minorHAnsi"/>
          <w:sz w:val="22"/>
          <w:szCs w:val="22"/>
        </w:rPr>
      </w:pPr>
      <w:r w:rsidRPr="00BD4DAF">
        <w:rPr>
          <w:rFonts w:ascii="Helvetica" w:eastAsia="Calibri" w:hAnsi="Helvetica" w:cstheme="minorHAnsi"/>
          <w:sz w:val="22"/>
          <w:szCs w:val="22"/>
        </w:rPr>
        <w:t xml:space="preserve">Using high fidelity routine health care data with linkage to outcomes, we evaluated </w:t>
      </w:r>
      <w:r w:rsidR="003A3D52" w:rsidRPr="00BD4DAF">
        <w:rPr>
          <w:rFonts w:ascii="Helvetica" w:eastAsia="Calibri" w:hAnsi="Helvetica" w:cstheme="minorHAnsi"/>
          <w:sz w:val="22"/>
          <w:szCs w:val="22"/>
        </w:rPr>
        <w:t xml:space="preserve">and compared </w:t>
      </w:r>
      <w:r w:rsidRPr="00BD4DAF">
        <w:rPr>
          <w:rFonts w:ascii="Helvetica" w:eastAsia="Calibri" w:hAnsi="Helvetica" w:cstheme="minorHAnsi"/>
          <w:sz w:val="22"/>
          <w:szCs w:val="22"/>
        </w:rPr>
        <w:t xml:space="preserve">the </w:t>
      </w:r>
      <w:r w:rsidR="00EA6CD6" w:rsidRPr="00BD4DAF">
        <w:rPr>
          <w:rFonts w:ascii="Helvetica" w:eastAsia="Calibri" w:hAnsi="Helvetica" w:cstheme="minorHAnsi"/>
          <w:sz w:val="22"/>
          <w:szCs w:val="22"/>
        </w:rPr>
        <w:t>effectiveness</w:t>
      </w:r>
      <w:r w:rsidRPr="00BD4DAF">
        <w:rPr>
          <w:rFonts w:ascii="Helvetica" w:eastAsia="Calibri" w:hAnsi="Helvetica" w:cstheme="minorHAnsi"/>
          <w:sz w:val="22"/>
          <w:szCs w:val="22"/>
        </w:rPr>
        <w:t xml:space="preserve"> of a single dose vaccine strategy </w:t>
      </w:r>
      <w:r w:rsidR="00F31350" w:rsidRPr="00BD4DAF">
        <w:rPr>
          <w:rFonts w:ascii="Helvetica" w:eastAsia="Calibri" w:hAnsi="Helvetica" w:cstheme="minorHAnsi"/>
          <w:sz w:val="22"/>
          <w:szCs w:val="22"/>
        </w:rPr>
        <w:t>of the Oxford-AstraZeneca or Pfizer-</w:t>
      </w:r>
      <w:proofErr w:type="spellStart"/>
      <w:r w:rsidR="00F31350" w:rsidRPr="00BD4DAF">
        <w:rPr>
          <w:rFonts w:ascii="Helvetica" w:eastAsia="Calibri" w:hAnsi="Helvetica" w:cstheme="minorHAnsi"/>
          <w:sz w:val="22"/>
          <w:szCs w:val="22"/>
        </w:rPr>
        <w:t>BioNTech</w:t>
      </w:r>
      <w:proofErr w:type="spellEnd"/>
      <w:r w:rsidR="00F31350" w:rsidRPr="00BD4DAF">
        <w:rPr>
          <w:rFonts w:ascii="Helvetica" w:eastAsia="Calibri" w:hAnsi="Helvetica" w:cstheme="minorHAnsi"/>
          <w:sz w:val="22"/>
          <w:szCs w:val="22"/>
        </w:rPr>
        <w:t xml:space="preserve"> </w:t>
      </w:r>
      <w:r w:rsidR="003A3D52" w:rsidRPr="00BD4DAF">
        <w:rPr>
          <w:rFonts w:ascii="Helvetica" w:eastAsia="Calibri" w:hAnsi="Helvetica" w:cstheme="minorHAnsi"/>
          <w:sz w:val="22"/>
          <w:szCs w:val="22"/>
        </w:rPr>
        <w:t xml:space="preserve">vaccines </w:t>
      </w:r>
      <w:r w:rsidRPr="00BD4DAF">
        <w:rPr>
          <w:rFonts w:ascii="Helvetica" w:eastAsia="Calibri" w:hAnsi="Helvetica" w:cstheme="minorHAnsi"/>
          <w:sz w:val="22"/>
          <w:szCs w:val="22"/>
        </w:rPr>
        <w:t>against SARS-CoV-2 infection across all age groups and over longer follow up periods.</w:t>
      </w:r>
    </w:p>
    <w:p w14:paraId="25A6DABA" w14:textId="0D21CA4B" w:rsidR="00D12973" w:rsidRPr="00BD4DAF" w:rsidRDefault="00D12973" w:rsidP="00B928F2">
      <w:pPr>
        <w:spacing w:line="480" w:lineRule="auto"/>
        <w:rPr>
          <w:rFonts w:ascii="Helvetica" w:eastAsia="Calibri" w:hAnsi="Helvetica" w:cstheme="minorHAnsi"/>
          <w:sz w:val="22"/>
          <w:szCs w:val="22"/>
        </w:rPr>
      </w:pPr>
    </w:p>
    <w:p w14:paraId="48142299" w14:textId="77777777" w:rsidR="00EA3BE5" w:rsidRDefault="00EA3BE5" w:rsidP="00B928F2">
      <w:pPr>
        <w:spacing w:line="480" w:lineRule="auto"/>
        <w:rPr>
          <w:rFonts w:ascii="Helvetica" w:hAnsi="Helvetica" w:cstheme="minorHAnsi"/>
          <w:b/>
          <w:sz w:val="26"/>
          <w:szCs w:val="26"/>
          <w:lang w:val="en-US"/>
        </w:rPr>
      </w:pPr>
    </w:p>
    <w:p w14:paraId="3605F5FD" w14:textId="71B9C0EB" w:rsidR="00F70BA3" w:rsidRPr="00C32601" w:rsidRDefault="00DD56B3" w:rsidP="00B928F2">
      <w:pPr>
        <w:spacing w:line="480" w:lineRule="auto"/>
        <w:rPr>
          <w:rFonts w:ascii="Helvetica" w:hAnsi="Helvetica" w:cstheme="minorHAnsi"/>
          <w:b/>
          <w:sz w:val="26"/>
          <w:szCs w:val="26"/>
          <w:lang w:val="en-US"/>
        </w:rPr>
      </w:pPr>
      <w:r w:rsidRPr="00C32601">
        <w:rPr>
          <w:rFonts w:ascii="Helvetica" w:hAnsi="Helvetica" w:cstheme="minorHAnsi"/>
          <w:b/>
          <w:sz w:val="26"/>
          <w:szCs w:val="26"/>
          <w:lang w:val="en-US"/>
        </w:rPr>
        <w:t>Methods</w:t>
      </w:r>
    </w:p>
    <w:p w14:paraId="7BD1E606" w14:textId="49BF1D7F" w:rsidR="00DD56B3" w:rsidRPr="00BD4DAF" w:rsidRDefault="00DD56B3" w:rsidP="00B928F2">
      <w:pPr>
        <w:spacing w:line="480" w:lineRule="auto"/>
        <w:rPr>
          <w:rFonts w:ascii="Helvetica" w:hAnsi="Helvetica" w:cstheme="minorHAnsi"/>
          <w:b/>
          <w:sz w:val="22"/>
          <w:szCs w:val="22"/>
          <w:lang w:val="en-US"/>
        </w:rPr>
      </w:pPr>
      <w:r w:rsidRPr="00BD4DAF">
        <w:rPr>
          <w:rFonts w:ascii="Helvetica" w:hAnsi="Helvetica" w:cstheme="minorHAnsi"/>
          <w:b/>
          <w:sz w:val="22"/>
          <w:szCs w:val="22"/>
          <w:lang w:val="en-US"/>
        </w:rPr>
        <w:t xml:space="preserve">Study </w:t>
      </w:r>
      <w:r w:rsidR="00DF2327" w:rsidRPr="00BD4DAF">
        <w:rPr>
          <w:rFonts w:ascii="Helvetica" w:hAnsi="Helvetica" w:cstheme="minorHAnsi"/>
          <w:b/>
          <w:sz w:val="22"/>
          <w:szCs w:val="22"/>
          <w:lang w:val="en-US"/>
        </w:rPr>
        <w:t>p</w:t>
      </w:r>
      <w:r w:rsidRPr="00BD4DAF">
        <w:rPr>
          <w:rFonts w:ascii="Helvetica" w:hAnsi="Helvetica" w:cstheme="minorHAnsi"/>
          <w:b/>
          <w:sz w:val="22"/>
          <w:szCs w:val="22"/>
          <w:lang w:val="en-US"/>
        </w:rPr>
        <w:t xml:space="preserve">opulation </w:t>
      </w:r>
    </w:p>
    <w:p w14:paraId="55F03ECE" w14:textId="4FBDDEC9" w:rsidR="00A1212C" w:rsidRPr="00BD4DAF" w:rsidRDefault="005626DE" w:rsidP="00B928F2">
      <w:pPr>
        <w:spacing w:line="480" w:lineRule="auto"/>
        <w:rPr>
          <w:rFonts w:ascii="Helvetica" w:hAnsi="Helvetica" w:cstheme="minorHAnsi"/>
          <w:sz w:val="22"/>
          <w:szCs w:val="22"/>
          <w:lang w:val="en-US"/>
        </w:rPr>
      </w:pPr>
      <w:r w:rsidRPr="00BD4DAF">
        <w:rPr>
          <w:rFonts w:ascii="Helvetica" w:hAnsi="Helvetica" w:cstheme="minorHAnsi"/>
          <w:sz w:val="22"/>
          <w:szCs w:val="22"/>
        </w:rPr>
        <w:t>We analysed anonymised data accessed in the</w:t>
      </w:r>
      <w:r w:rsidR="0046381D">
        <w:rPr>
          <w:rFonts w:ascii="Helvetica" w:hAnsi="Helvetica" w:cstheme="minorHAnsi"/>
          <w:sz w:val="22"/>
          <w:szCs w:val="22"/>
        </w:rPr>
        <w:t xml:space="preserve"> Imperial Clinical Analytics, Research and Evaluation (</w:t>
      </w:r>
      <w:proofErr w:type="spellStart"/>
      <w:r w:rsidRPr="00BD4DAF">
        <w:rPr>
          <w:rFonts w:ascii="Helvetica" w:hAnsi="Helvetica" w:cstheme="minorHAnsi"/>
          <w:sz w:val="22"/>
          <w:szCs w:val="22"/>
        </w:rPr>
        <w:t>iCARE</w:t>
      </w:r>
      <w:proofErr w:type="spellEnd"/>
      <w:r w:rsidR="0046381D">
        <w:rPr>
          <w:rFonts w:ascii="Helvetica" w:hAnsi="Helvetica" w:cstheme="minorHAnsi"/>
          <w:sz w:val="22"/>
          <w:szCs w:val="22"/>
        </w:rPr>
        <w:t>) environment</w:t>
      </w:r>
      <w:r w:rsidRPr="00BD4DAF">
        <w:rPr>
          <w:rFonts w:ascii="Helvetica" w:hAnsi="Helvetica" w:cstheme="minorHAnsi"/>
          <w:sz w:val="22"/>
          <w:szCs w:val="22"/>
        </w:rPr>
        <w:t>,</w:t>
      </w:r>
      <w:r w:rsidR="00B55F46" w:rsidRPr="00676DFA">
        <w:rPr>
          <w:rFonts w:ascii="Helvetica" w:hAnsi="Helvetica" w:cstheme="minorHAnsi"/>
          <w:sz w:val="22"/>
          <w:szCs w:val="22"/>
          <w:highlight w:val="yellow"/>
          <w:vertAlign w:val="superscript"/>
        </w:rPr>
        <w:t>15</w:t>
      </w:r>
      <w:r w:rsidRPr="00BD4DAF">
        <w:rPr>
          <w:rFonts w:ascii="Helvetica" w:hAnsi="Helvetica" w:cstheme="minorHAnsi"/>
          <w:sz w:val="22"/>
          <w:szCs w:val="22"/>
        </w:rPr>
        <w:t xml:space="preserve"> which </w:t>
      </w:r>
      <w:r w:rsidRPr="00BD4DAF">
        <w:rPr>
          <w:rFonts w:ascii="Helvetica" w:hAnsi="Helvetica" w:cstheme="minorHAnsi"/>
          <w:sz w:val="22"/>
          <w:szCs w:val="22"/>
          <w:lang w:val="en-US"/>
        </w:rPr>
        <w:t xml:space="preserve">holds a unique integrated care data set including the pre-established Whole System Integrated Care (WSIC) data collated for the purposes of population health in the sector, </w:t>
      </w:r>
      <w:r w:rsidRPr="00BD4DAF">
        <w:rPr>
          <w:rFonts w:ascii="Helvetica" w:hAnsi="Helvetica" w:cstheme="minorHAnsi"/>
          <w:sz w:val="22"/>
          <w:szCs w:val="22"/>
        </w:rPr>
        <w:t xml:space="preserve">capturing all adults who are registered with a general practitioner, or who have a resident postcode, in the </w:t>
      </w:r>
      <w:r w:rsidR="007E6CDD" w:rsidRPr="00BD4DAF">
        <w:rPr>
          <w:rFonts w:ascii="Helvetica" w:hAnsi="Helvetica" w:cstheme="minorHAnsi"/>
          <w:sz w:val="22"/>
          <w:szCs w:val="22"/>
        </w:rPr>
        <w:t>North-West London (</w:t>
      </w:r>
      <w:r w:rsidRPr="00BD4DAF">
        <w:rPr>
          <w:rFonts w:ascii="Helvetica" w:hAnsi="Helvetica" w:cstheme="minorHAnsi"/>
          <w:sz w:val="22"/>
          <w:szCs w:val="22"/>
        </w:rPr>
        <w:t>NWL</w:t>
      </w:r>
      <w:r w:rsidR="007E6CDD" w:rsidRPr="00BD4DAF">
        <w:rPr>
          <w:rFonts w:ascii="Helvetica" w:hAnsi="Helvetica" w:cstheme="minorHAnsi"/>
          <w:sz w:val="22"/>
          <w:szCs w:val="22"/>
        </w:rPr>
        <w:t>)</w:t>
      </w:r>
      <w:r w:rsidRPr="00BD4DAF">
        <w:rPr>
          <w:rFonts w:ascii="Helvetica" w:hAnsi="Helvetica" w:cstheme="minorHAnsi"/>
          <w:sz w:val="22"/>
          <w:szCs w:val="22"/>
        </w:rPr>
        <w:t xml:space="preserve"> catchment area.</w:t>
      </w:r>
      <w:r w:rsidR="009C462E">
        <w:rPr>
          <w:rFonts w:ascii="Helvetica" w:hAnsi="Helvetica" w:cstheme="minorHAnsi"/>
          <w:sz w:val="22"/>
          <w:szCs w:val="22"/>
          <w:highlight w:val="yellow"/>
          <w:vertAlign w:val="superscript"/>
        </w:rPr>
        <w:t>16</w:t>
      </w:r>
      <w:r w:rsidRPr="00BD4DAF">
        <w:rPr>
          <w:rFonts w:ascii="Helvetica" w:hAnsi="Helvetica" w:cstheme="minorHAnsi"/>
          <w:sz w:val="22"/>
          <w:szCs w:val="22"/>
        </w:rPr>
        <w:t xml:space="preserve"> </w:t>
      </w:r>
      <w:r w:rsidR="00DD56B3" w:rsidRPr="00BD4DAF">
        <w:rPr>
          <w:rFonts w:ascii="Helvetica" w:hAnsi="Helvetica" w:cstheme="minorHAnsi"/>
          <w:sz w:val="22"/>
          <w:szCs w:val="22"/>
          <w:lang w:val="en-US"/>
        </w:rPr>
        <w:t xml:space="preserve">This study was </w:t>
      </w:r>
      <w:r w:rsidR="000A23F6" w:rsidRPr="00BD4DAF">
        <w:rPr>
          <w:rFonts w:ascii="Helvetica" w:hAnsi="Helvetica" w:cstheme="minorHAnsi"/>
          <w:sz w:val="22"/>
          <w:szCs w:val="22"/>
          <w:lang w:val="en-US"/>
        </w:rPr>
        <w:t xml:space="preserve">undertaken within a research database, using data fully anonymized data, which was </w:t>
      </w:r>
      <w:r w:rsidR="00DD56B3" w:rsidRPr="00BD4DAF">
        <w:rPr>
          <w:rFonts w:ascii="Helvetica" w:hAnsi="Helvetica" w:cstheme="minorHAnsi"/>
          <w:sz w:val="22"/>
          <w:szCs w:val="22"/>
          <w:lang w:val="en-US"/>
        </w:rPr>
        <w:t xml:space="preserve">approved by the West Midlands - </w:t>
      </w:r>
      <w:proofErr w:type="spellStart"/>
      <w:r w:rsidR="00DD56B3" w:rsidRPr="00BD4DAF">
        <w:rPr>
          <w:rFonts w:ascii="Helvetica" w:hAnsi="Helvetica" w:cstheme="minorHAnsi"/>
          <w:sz w:val="22"/>
          <w:szCs w:val="22"/>
          <w:lang w:val="en-US"/>
        </w:rPr>
        <w:t>Solihull</w:t>
      </w:r>
      <w:proofErr w:type="spellEnd"/>
      <w:r w:rsidR="00DD56B3" w:rsidRPr="00BD4DAF">
        <w:rPr>
          <w:rFonts w:ascii="Helvetica" w:hAnsi="Helvetica" w:cstheme="minorHAnsi"/>
          <w:sz w:val="22"/>
          <w:szCs w:val="22"/>
          <w:lang w:val="en-US"/>
        </w:rPr>
        <w:t xml:space="preserve"> Research Ethics Committee. REC reference: 18/WM/0323. </w:t>
      </w:r>
    </w:p>
    <w:p w14:paraId="1ACEEF7C" w14:textId="77777777" w:rsidR="005E4B05" w:rsidRPr="00BD4DAF" w:rsidRDefault="005E4B05" w:rsidP="00B928F2">
      <w:pPr>
        <w:spacing w:line="480" w:lineRule="auto"/>
        <w:rPr>
          <w:rFonts w:ascii="Helvetica" w:hAnsi="Helvetica" w:cstheme="minorHAnsi"/>
          <w:sz w:val="22"/>
          <w:szCs w:val="22"/>
          <w:lang w:val="en-US"/>
        </w:rPr>
      </w:pPr>
    </w:p>
    <w:p w14:paraId="33AA254B" w14:textId="5D587B3F" w:rsidR="00383E52" w:rsidRPr="00BD4DAF" w:rsidRDefault="00383E52" w:rsidP="00B928F2">
      <w:pPr>
        <w:spacing w:line="480" w:lineRule="auto"/>
        <w:rPr>
          <w:rFonts w:ascii="Helvetica" w:hAnsi="Helvetica" w:cstheme="minorHAnsi"/>
          <w:b/>
          <w:sz w:val="22"/>
          <w:szCs w:val="22"/>
          <w:lang w:val="en-US"/>
        </w:rPr>
      </w:pPr>
      <w:r w:rsidRPr="00BD4DAF">
        <w:rPr>
          <w:rFonts w:ascii="Helvetica" w:hAnsi="Helvetica" w:cstheme="minorHAnsi"/>
          <w:b/>
          <w:sz w:val="22"/>
          <w:szCs w:val="22"/>
          <w:lang w:val="en-US"/>
        </w:rPr>
        <w:t xml:space="preserve">Data sources </w:t>
      </w:r>
    </w:p>
    <w:p w14:paraId="4E97C891" w14:textId="5B147B70" w:rsidR="00F30D0E" w:rsidRPr="00BD4DAF" w:rsidRDefault="00F30D0E" w:rsidP="00B928F2">
      <w:pPr>
        <w:spacing w:line="480" w:lineRule="auto"/>
        <w:rPr>
          <w:rFonts w:ascii="Helvetica" w:hAnsi="Helvetica" w:cstheme="minorHAnsi"/>
          <w:sz w:val="22"/>
          <w:szCs w:val="22"/>
        </w:rPr>
      </w:pPr>
      <w:r w:rsidRPr="00BD4DAF">
        <w:rPr>
          <w:rFonts w:ascii="Helvetica" w:hAnsi="Helvetica" w:cstheme="minorHAnsi"/>
          <w:sz w:val="22"/>
          <w:szCs w:val="22"/>
        </w:rPr>
        <w:t>The WSIC database includes demographic and clinical data from general practice (GP) clinical systems (</w:t>
      </w:r>
      <w:proofErr w:type="spellStart"/>
      <w:r w:rsidRPr="00BD4DAF">
        <w:rPr>
          <w:rFonts w:ascii="Helvetica" w:hAnsi="Helvetica" w:cstheme="minorHAnsi"/>
          <w:sz w:val="22"/>
          <w:szCs w:val="22"/>
        </w:rPr>
        <w:t>SystmOne</w:t>
      </w:r>
      <w:proofErr w:type="spellEnd"/>
      <w:r w:rsidRPr="00BD4DAF">
        <w:rPr>
          <w:rFonts w:ascii="Helvetica" w:hAnsi="Helvetica" w:cstheme="minorHAnsi"/>
          <w:sz w:val="22"/>
          <w:szCs w:val="22"/>
        </w:rPr>
        <w:t xml:space="preserve">, </w:t>
      </w:r>
      <w:proofErr w:type="spellStart"/>
      <w:r w:rsidRPr="00BD4DAF">
        <w:rPr>
          <w:rFonts w:ascii="Helvetica" w:hAnsi="Helvetica" w:cstheme="minorHAnsi"/>
          <w:sz w:val="22"/>
          <w:szCs w:val="22"/>
        </w:rPr>
        <w:t>eMIS</w:t>
      </w:r>
      <w:proofErr w:type="spellEnd"/>
      <w:r w:rsidRPr="00BD4DAF">
        <w:rPr>
          <w:rFonts w:ascii="Helvetica" w:hAnsi="Helvetica" w:cstheme="minorHAnsi"/>
          <w:sz w:val="22"/>
          <w:szCs w:val="22"/>
        </w:rPr>
        <w:t xml:space="preserve">), SARS-CoV-2 PCR pathology results from NWL Pathology, The Doctors Laboratory (TDL) and national SARS-CoV-2 test results, and hospital admission data from secondary uses service (SUS) data feeds. Data on vaccination and SARS-CoV-2 testing was available within hours of the data being recorded in source </w:t>
      </w:r>
      <w:r w:rsidRPr="00BD4DAF">
        <w:rPr>
          <w:rFonts w:ascii="Helvetica" w:hAnsi="Helvetica" w:cstheme="minorHAnsi"/>
          <w:sz w:val="22"/>
          <w:szCs w:val="22"/>
        </w:rPr>
        <w:lastRenderedPageBreak/>
        <w:t>data systems. The GP clinical systems, which have been almost fully computerised since the early 1990s</w:t>
      </w:r>
      <w:r w:rsidR="00623100" w:rsidRPr="00BD4DAF">
        <w:rPr>
          <w:rFonts w:ascii="Helvetica" w:hAnsi="Helvetica" w:cstheme="minorHAnsi"/>
          <w:sz w:val="22"/>
          <w:szCs w:val="22"/>
        </w:rPr>
        <w:t>,</w:t>
      </w:r>
      <w:r w:rsidRPr="00BD4DAF">
        <w:rPr>
          <w:rFonts w:ascii="Helvetica" w:hAnsi="Helvetica" w:cstheme="minorHAnsi"/>
          <w:sz w:val="22"/>
          <w:szCs w:val="22"/>
        </w:rPr>
        <w:t xml:space="preserve"> provide a longitudinal electronic healthcare record of all primary care encounters including information on Quality and Outcome Framework (QOF) indicators.</w:t>
      </w:r>
      <w:r w:rsidRPr="00BD4DAF">
        <w:rPr>
          <w:rFonts w:ascii="Helvetica" w:hAnsi="Helvetica" w:cstheme="minorHAnsi"/>
          <w:sz w:val="22"/>
          <w:szCs w:val="22"/>
          <w:vertAlign w:val="superscript"/>
        </w:rPr>
        <w:t xml:space="preserve"> </w:t>
      </w:r>
      <w:r w:rsidRPr="00BD4DAF">
        <w:rPr>
          <w:rFonts w:ascii="Helvetica" w:hAnsi="Helvetica" w:cstheme="minorHAnsi"/>
          <w:sz w:val="22"/>
          <w:szCs w:val="22"/>
        </w:rPr>
        <w:t>The clinical domain of the QOF, which identifies indicators across 19 clinical areas, including chronic kidney disease, hypertension</w:t>
      </w:r>
      <w:r w:rsidR="005337E0" w:rsidRPr="00BD4DAF">
        <w:rPr>
          <w:rFonts w:ascii="Helvetica" w:hAnsi="Helvetica" w:cstheme="minorHAnsi"/>
          <w:sz w:val="22"/>
          <w:szCs w:val="22"/>
        </w:rPr>
        <w:t>,</w:t>
      </w:r>
      <w:r w:rsidRPr="00BD4DAF">
        <w:rPr>
          <w:rFonts w:ascii="Helvetica" w:hAnsi="Helvetica" w:cstheme="minorHAnsi"/>
          <w:sz w:val="22"/>
          <w:szCs w:val="22"/>
        </w:rPr>
        <w:t xml:space="preserve"> and heart failure, was used to identify chronic conditions for each individual. </w:t>
      </w:r>
      <w:r w:rsidR="0066540A" w:rsidRPr="0066540A">
        <w:rPr>
          <w:rFonts w:ascii="Helvetica" w:hAnsi="Helvetica" w:cstheme="minorHAnsi"/>
          <w:sz w:val="22"/>
          <w:szCs w:val="22"/>
        </w:rPr>
        <w:t>All data were de-identified prior to access for research</w:t>
      </w:r>
      <w:r w:rsidR="0066540A">
        <w:rPr>
          <w:rFonts w:ascii="Helvetica" w:hAnsi="Helvetica" w:cstheme="minorHAnsi"/>
          <w:sz w:val="22"/>
          <w:szCs w:val="22"/>
        </w:rPr>
        <w:t>.</w:t>
      </w:r>
    </w:p>
    <w:p w14:paraId="4E452F9F" w14:textId="77777777" w:rsidR="00383E52" w:rsidRPr="00BD4DAF" w:rsidRDefault="00383E52" w:rsidP="00B928F2">
      <w:pPr>
        <w:spacing w:line="480" w:lineRule="auto"/>
        <w:rPr>
          <w:rFonts w:ascii="Helvetica" w:hAnsi="Helvetica" w:cstheme="minorHAnsi"/>
          <w:sz w:val="22"/>
          <w:szCs w:val="22"/>
          <w:lang w:val="en-US"/>
        </w:rPr>
      </w:pPr>
    </w:p>
    <w:p w14:paraId="12CAD121" w14:textId="7CA65992" w:rsidR="00DD56B3" w:rsidRPr="00BD4DAF" w:rsidRDefault="00DD56B3" w:rsidP="00B928F2">
      <w:pPr>
        <w:spacing w:line="480" w:lineRule="auto"/>
        <w:rPr>
          <w:rFonts w:ascii="Helvetica" w:hAnsi="Helvetica" w:cstheme="minorHAnsi"/>
          <w:sz w:val="22"/>
          <w:szCs w:val="22"/>
          <w:lang w:val="en-US"/>
        </w:rPr>
      </w:pPr>
      <w:r w:rsidRPr="00BD4DAF">
        <w:rPr>
          <w:rFonts w:ascii="Helvetica" w:hAnsi="Helvetica" w:cstheme="minorHAnsi"/>
          <w:b/>
          <w:sz w:val="22"/>
          <w:szCs w:val="22"/>
          <w:lang w:val="en-US"/>
        </w:rPr>
        <w:t>Study design</w:t>
      </w:r>
    </w:p>
    <w:p w14:paraId="53CB821F" w14:textId="34B63D59" w:rsidR="00E53806" w:rsidRPr="00BD4DAF" w:rsidRDefault="000A1076" w:rsidP="00B928F2">
      <w:pPr>
        <w:spacing w:line="480" w:lineRule="auto"/>
        <w:rPr>
          <w:rFonts w:ascii="Helvetica" w:hAnsi="Helvetica" w:cstheme="minorHAnsi"/>
          <w:sz w:val="22"/>
          <w:szCs w:val="22"/>
        </w:rPr>
      </w:pPr>
      <w:r w:rsidRPr="00BD4DAF">
        <w:rPr>
          <w:rFonts w:ascii="Helvetica" w:hAnsi="Helvetica" w:cstheme="minorHAnsi"/>
          <w:sz w:val="22"/>
          <w:szCs w:val="22"/>
        </w:rPr>
        <w:t xml:space="preserve">We designed this observational </w:t>
      </w:r>
      <w:r w:rsidR="00ED11FA">
        <w:rPr>
          <w:rFonts w:ascii="Helvetica" w:hAnsi="Helvetica" w:cstheme="minorHAnsi"/>
          <w:sz w:val="22"/>
          <w:szCs w:val="22"/>
        </w:rPr>
        <w:t>coho</w:t>
      </w:r>
      <w:r w:rsidR="00DF02D5">
        <w:rPr>
          <w:rFonts w:ascii="Helvetica" w:hAnsi="Helvetica" w:cstheme="minorHAnsi"/>
          <w:sz w:val="22"/>
          <w:szCs w:val="22"/>
        </w:rPr>
        <w:t xml:space="preserve">rt </w:t>
      </w:r>
      <w:r w:rsidRPr="00BD4DAF">
        <w:rPr>
          <w:rFonts w:ascii="Helvetica" w:hAnsi="Helvetica" w:cstheme="minorHAnsi"/>
          <w:sz w:val="22"/>
          <w:szCs w:val="22"/>
        </w:rPr>
        <w:t xml:space="preserve">study to </w:t>
      </w:r>
      <w:r w:rsidR="00D649D9" w:rsidRPr="00BD4DAF">
        <w:rPr>
          <w:rFonts w:ascii="Helvetica" w:hAnsi="Helvetica" w:cstheme="minorHAnsi"/>
          <w:sz w:val="22"/>
          <w:szCs w:val="22"/>
        </w:rPr>
        <w:t xml:space="preserve">assess </w:t>
      </w:r>
      <w:r w:rsidRPr="00BD4DAF">
        <w:rPr>
          <w:rFonts w:ascii="Helvetica" w:hAnsi="Helvetica" w:cstheme="minorHAnsi"/>
          <w:sz w:val="22"/>
          <w:szCs w:val="22"/>
        </w:rPr>
        <w:t xml:space="preserve">the effect of </w:t>
      </w:r>
      <w:r w:rsidR="005C0A6B" w:rsidRPr="00BD4DAF">
        <w:rPr>
          <w:rFonts w:ascii="Helvetica" w:hAnsi="Helvetica" w:cstheme="minorHAnsi"/>
          <w:sz w:val="22"/>
          <w:szCs w:val="22"/>
        </w:rPr>
        <w:t>a single dose of the</w:t>
      </w:r>
      <w:r w:rsidR="00154301" w:rsidRPr="00BD4DAF">
        <w:rPr>
          <w:rFonts w:ascii="Helvetica" w:hAnsi="Helvetica" w:cstheme="minorHAnsi"/>
          <w:sz w:val="22"/>
          <w:szCs w:val="22"/>
        </w:rPr>
        <w:t xml:space="preserve"> Oxford-AstraZeneca and Pfizer-</w:t>
      </w:r>
      <w:proofErr w:type="spellStart"/>
      <w:r w:rsidR="00154301" w:rsidRPr="00BD4DAF">
        <w:rPr>
          <w:rFonts w:ascii="Helvetica" w:hAnsi="Helvetica" w:cstheme="minorHAnsi"/>
          <w:sz w:val="22"/>
          <w:szCs w:val="22"/>
        </w:rPr>
        <w:t>BioNTech</w:t>
      </w:r>
      <w:proofErr w:type="spellEnd"/>
      <w:r w:rsidR="00154301" w:rsidRPr="00BD4DAF">
        <w:rPr>
          <w:rFonts w:ascii="Helvetica" w:hAnsi="Helvetica" w:cstheme="minorHAnsi"/>
          <w:sz w:val="22"/>
          <w:szCs w:val="22"/>
        </w:rPr>
        <w:t xml:space="preserve"> </w:t>
      </w:r>
      <w:r w:rsidRPr="00BD4DAF">
        <w:rPr>
          <w:rFonts w:ascii="Helvetica" w:hAnsi="Helvetica" w:cstheme="minorHAnsi"/>
          <w:sz w:val="22"/>
          <w:szCs w:val="22"/>
        </w:rPr>
        <w:t>vaccines on outcomes rela</w:t>
      </w:r>
      <w:r w:rsidR="00F86C0A" w:rsidRPr="00BD4DAF">
        <w:rPr>
          <w:rFonts w:ascii="Helvetica" w:hAnsi="Helvetica" w:cstheme="minorHAnsi"/>
          <w:sz w:val="22"/>
          <w:szCs w:val="22"/>
        </w:rPr>
        <w:t>ted to vaccine effectiveness</w:t>
      </w:r>
      <w:r w:rsidRPr="00BD4DAF">
        <w:rPr>
          <w:rFonts w:ascii="Helvetica" w:hAnsi="Helvetica" w:cstheme="minorHAnsi"/>
          <w:sz w:val="22"/>
          <w:szCs w:val="22"/>
        </w:rPr>
        <w:t xml:space="preserve">. </w:t>
      </w:r>
      <w:r w:rsidR="0032777C" w:rsidRPr="00BD4DAF">
        <w:rPr>
          <w:rFonts w:ascii="Helvetica" w:hAnsi="Helvetica" w:cstheme="minorHAnsi"/>
          <w:sz w:val="22"/>
          <w:szCs w:val="22"/>
          <w:lang w:val="en-US"/>
        </w:rPr>
        <w:t xml:space="preserve">Eligibility criteria </w:t>
      </w:r>
      <w:r w:rsidR="009154AA" w:rsidRPr="00BD4DAF">
        <w:rPr>
          <w:rFonts w:ascii="Helvetica" w:hAnsi="Helvetica" w:cstheme="minorHAnsi"/>
          <w:sz w:val="22"/>
          <w:szCs w:val="22"/>
          <w:lang w:val="en-US"/>
        </w:rPr>
        <w:t>included</w:t>
      </w:r>
      <w:r w:rsidR="00DF66C0" w:rsidRPr="00BD4DAF">
        <w:rPr>
          <w:rFonts w:ascii="Helvetica" w:hAnsi="Helvetica" w:cstheme="minorHAnsi"/>
          <w:sz w:val="22"/>
          <w:szCs w:val="22"/>
          <w:lang w:val="en-US"/>
        </w:rPr>
        <w:t xml:space="preserve"> individuals </w:t>
      </w:r>
      <w:r w:rsidR="009154AA" w:rsidRPr="00BD4DAF">
        <w:rPr>
          <w:rFonts w:ascii="Helvetica" w:hAnsi="Helvetica" w:cstheme="minorHAnsi"/>
          <w:sz w:val="22"/>
          <w:szCs w:val="22"/>
          <w:lang w:val="en-US"/>
        </w:rPr>
        <w:t>age</w:t>
      </w:r>
      <w:r w:rsidR="00DF66C0" w:rsidRPr="00BD4DAF">
        <w:rPr>
          <w:rFonts w:ascii="Helvetica" w:hAnsi="Helvetica" w:cstheme="minorHAnsi"/>
          <w:sz w:val="22"/>
          <w:szCs w:val="22"/>
          <w:lang w:val="en-US"/>
        </w:rPr>
        <w:t>d</w:t>
      </w:r>
      <w:r w:rsidR="009154AA" w:rsidRPr="00BD4DAF">
        <w:rPr>
          <w:rFonts w:ascii="Helvetica" w:hAnsi="Helvetica" w:cstheme="minorHAnsi"/>
          <w:sz w:val="22"/>
          <w:szCs w:val="22"/>
          <w:lang w:val="en-US"/>
        </w:rPr>
        <w:t xml:space="preserve"> 16 years or older</w:t>
      </w:r>
      <w:r w:rsidR="00DF66C0" w:rsidRPr="00BD4DAF">
        <w:rPr>
          <w:rFonts w:ascii="Helvetica" w:hAnsi="Helvetica" w:cstheme="minorHAnsi"/>
          <w:sz w:val="22"/>
          <w:szCs w:val="22"/>
          <w:lang w:val="en-US"/>
        </w:rPr>
        <w:t xml:space="preserve"> who were alive on December 08, 2020, at the start of the </w:t>
      </w:r>
      <w:r w:rsidR="00B17B07" w:rsidRPr="00BD4DAF">
        <w:rPr>
          <w:rFonts w:ascii="Helvetica" w:hAnsi="Helvetica" w:cstheme="minorHAnsi"/>
          <w:sz w:val="22"/>
          <w:szCs w:val="22"/>
          <w:lang w:val="en-US"/>
        </w:rPr>
        <w:t xml:space="preserve">UK COVID-19 vaccination </w:t>
      </w:r>
      <w:r w:rsidR="003E0FE9" w:rsidRPr="00BD4DAF">
        <w:rPr>
          <w:rFonts w:ascii="Helvetica" w:hAnsi="Helvetica" w:cstheme="minorHAnsi"/>
          <w:sz w:val="22"/>
          <w:szCs w:val="22"/>
          <w:lang w:val="en-US"/>
        </w:rPr>
        <w:t>campaign</w:t>
      </w:r>
      <w:r w:rsidR="00B17B07" w:rsidRPr="00BD4DAF">
        <w:rPr>
          <w:rFonts w:ascii="Helvetica" w:hAnsi="Helvetica" w:cstheme="minorHAnsi"/>
          <w:sz w:val="22"/>
          <w:szCs w:val="22"/>
          <w:lang w:val="en-US"/>
        </w:rPr>
        <w:t>. Participants were excluded if they</w:t>
      </w:r>
      <w:r w:rsidR="00F9199A" w:rsidRPr="00BD4DAF">
        <w:rPr>
          <w:rFonts w:ascii="Helvetica" w:hAnsi="Helvetica" w:cstheme="minorHAnsi"/>
          <w:sz w:val="22"/>
          <w:szCs w:val="22"/>
          <w:lang w:val="en-US"/>
        </w:rPr>
        <w:t xml:space="preserve"> </w:t>
      </w:r>
      <w:r w:rsidR="009154AA" w:rsidRPr="00BD4DAF">
        <w:rPr>
          <w:rFonts w:ascii="Helvetica" w:hAnsi="Helvetica" w:cstheme="minorHAnsi"/>
          <w:sz w:val="22"/>
          <w:szCs w:val="22"/>
        </w:rPr>
        <w:t xml:space="preserve">previously </w:t>
      </w:r>
      <w:r w:rsidR="00F9199A" w:rsidRPr="00BD4DAF">
        <w:rPr>
          <w:rFonts w:ascii="Helvetica" w:hAnsi="Helvetica" w:cstheme="minorHAnsi"/>
          <w:sz w:val="22"/>
          <w:szCs w:val="22"/>
        </w:rPr>
        <w:t xml:space="preserve">had a </w:t>
      </w:r>
      <w:r w:rsidR="009154AA" w:rsidRPr="00BD4DAF">
        <w:rPr>
          <w:rFonts w:ascii="Helvetica" w:hAnsi="Helvetica" w:cstheme="minorHAnsi"/>
          <w:sz w:val="22"/>
          <w:szCs w:val="22"/>
        </w:rPr>
        <w:t>documented positive SARS-CoV-2 polymerase-chain-reaction (PCR) test</w:t>
      </w:r>
      <w:r w:rsidR="0085613F" w:rsidRPr="00BD4DAF">
        <w:rPr>
          <w:rFonts w:ascii="Helvetica" w:hAnsi="Helvetica" w:cstheme="minorHAnsi"/>
          <w:sz w:val="22"/>
          <w:szCs w:val="22"/>
        </w:rPr>
        <w:t xml:space="preserve">, </w:t>
      </w:r>
      <w:r w:rsidR="00400C79" w:rsidRPr="00BD4DAF">
        <w:rPr>
          <w:rFonts w:ascii="Helvetica" w:hAnsi="Helvetica" w:cstheme="minorHAnsi"/>
          <w:sz w:val="22"/>
          <w:szCs w:val="22"/>
        </w:rPr>
        <w:t xml:space="preserve">were administered </w:t>
      </w:r>
      <w:r w:rsidR="005B1519" w:rsidRPr="00BD4DAF">
        <w:rPr>
          <w:rFonts w:ascii="Helvetica" w:hAnsi="Helvetica" w:cstheme="minorHAnsi"/>
          <w:sz w:val="22"/>
          <w:szCs w:val="22"/>
        </w:rPr>
        <w:t xml:space="preserve">the Modena </w:t>
      </w:r>
      <w:r w:rsidR="00400C79" w:rsidRPr="00BD4DAF">
        <w:rPr>
          <w:rFonts w:ascii="Helvetica" w:hAnsi="Helvetica" w:cstheme="minorHAnsi"/>
          <w:sz w:val="22"/>
          <w:szCs w:val="22"/>
        </w:rPr>
        <w:t xml:space="preserve">vaccine or had missing data. </w:t>
      </w:r>
    </w:p>
    <w:p w14:paraId="00DC4DA2" w14:textId="77777777" w:rsidR="000A23F6" w:rsidRPr="00BD4DAF" w:rsidRDefault="000A23F6" w:rsidP="00B928F2">
      <w:pPr>
        <w:spacing w:line="480" w:lineRule="auto"/>
        <w:rPr>
          <w:rFonts w:ascii="Helvetica" w:hAnsi="Helvetica" w:cstheme="minorHAnsi"/>
          <w:sz w:val="22"/>
          <w:szCs w:val="22"/>
        </w:rPr>
      </w:pPr>
    </w:p>
    <w:p w14:paraId="420B5E98" w14:textId="1C28C495" w:rsidR="00F70BA3" w:rsidRPr="00BD4DAF" w:rsidRDefault="00F70BA3" w:rsidP="00B928F2">
      <w:pPr>
        <w:spacing w:line="480" w:lineRule="auto"/>
        <w:rPr>
          <w:rFonts w:ascii="Helvetica" w:hAnsi="Helvetica" w:cstheme="minorHAnsi"/>
          <w:sz w:val="22"/>
          <w:szCs w:val="22"/>
          <w:lang w:val="en-US"/>
        </w:rPr>
      </w:pPr>
      <w:r w:rsidRPr="00BD4DAF">
        <w:rPr>
          <w:rFonts w:ascii="Helvetica" w:hAnsi="Helvetica" w:cstheme="minorHAnsi"/>
          <w:sz w:val="22"/>
          <w:szCs w:val="22"/>
          <w:lang w:val="en-US"/>
        </w:rPr>
        <w:t xml:space="preserve">Data were available for 20 weeks following the onset of the vaccination program. However, due to </w:t>
      </w:r>
      <w:r w:rsidR="00922B37" w:rsidRPr="00BD4DAF">
        <w:rPr>
          <w:rFonts w:ascii="Helvetica" w:hAnsi="Helvetica" w:cstheme="minorHAnsi"/>
          <w:sz w:val="22"/>
          <w:szCs w:val="22"/>
          <w:lang w:val="en-US"/>
        </w:rPr>
        <w:t>vaccine supply</w:t>
      </w:r>
      <w:r w:rsidRPr="00BD4DAF">
        <w:rPr>
          <w:rFonts w:ascii="Helvetica" w:hAnsi="Helvetica" w:cstheme="minorHAnsi"/>
          <w:sz w:val="22"/>
          <w:szCs w:val="22"/>
          <w:lang w:val="en-US"/>
        </w:rPr>
        <w:t xml:space="preserve"> issues and </w:t>
      </w:r>
      <w:r w:rsidR="00A07F41" w:rsidRPr="00BD4DAF">
        <w:rPr>
          <w:rFonts w:ascii="Helvetica" w:hAnsi="Helvetica" w:cstheme="minorHAnsi"/>
          <w:sz w:val="22"/>
          <w:szCs w:val="22"/>
          <w:lang w:val="en-US"/>
        </w:rPr>
        <w:t xml:space="preserve">safety </w:t>
      </w:r>
      <w:r w:rsidRPr="00BD4DAF">
        <w:rPr>
          <w:rFonts w:ascii="Helvetica" w:hAnsi="Helvetica" w:cstheme="minorHAnsi"/>
          <w:sz w:val="22"/>
          <w:szCs w:val="22"/>
          <w:lang w:val="en-US"/>
        </w:rPr>
        <w:t xml:space="preserve">concerns about vaccines at different </w:t>
      </w:r>
      <w:r w:rsidR="00A07F41" w:rsidRPr="00BD4DAF">
        <w:rPr>
          <w:rFonts w:ascii="Helvetica" w:hAnsi="Helvetica" w:cstheme="minorHAnsi"/>
          <w:sz w:val="22"/>
          <w:szCs w:val="22"/>
          <w:lang w:val="en-US"/>
        </w:rPr>
        <w:t>time points</w:t>
      </w:r>
      <w:r w:rsidRPr="00BD4DAF">
        <w:rPr>
          <w:rFonts w:ascii="Helvetica" w:hAnsi="Helvetica" w:cstheme="minorHAnsi"/>
          <w:sz w:val="22"/>
          <w:szCs w:val="22"/>
          <w:lang w:val="en-US"/>
        </w:rPr>
        <w:t xml:space="preserve">, both </w:t>
      </w:r>
      <w:r w:rsidR="003A107E" w:rsidRPr="00BD4DAF">
        <w:rPr>
          <w:rFonts w:ascii="Helvetica" w:hAnsi="Helvetica" w:cstheme="minorHAnsi"/>
          <w:sz w:val="22"/>
          <w:szCs w:val="22"/>
          <w:lang w:val="en-US"/>
        </w:rPr>
        <w:t xml:space="preserve">the first dose of both </w:t>
      </w:r>
      <w:r w:rsidRPr="00BD4DAF">
        <w:rPr>
          <w:rFonts w:ascii="Helvetica" w:hAnsi="Helvetica" w:cstheme="minorHAnsi"/>
          <w:sz w:val="22"/>
          <w:szCs w:val="22"/>
          <w:lang w:val="en-US"/>
        </w:rPr>
        <w:t xml:space="preserve">vaccines </w:t>
      </w:r>
      <w:proofErr w:type="gramStart"/>
      <w:r w:rsidRPr="00BD4DAF">
        <w:rPr>
          <w:rFonts w:ascii="Helvetica" w:hAnsi="Helvetica" w:cstheme="minorHAnsi"/>
          <w:sz w:val="22"/>
          <w:szCs w:val="22"/>
          <w:lang w:val="en-US"/>
        </w:rPr>
        <w:t>were</w:t>
      </w:r>
      <w:proofErr w:type="gramEnd"/>
      <w:r w:rsidRPr="00BD4DAF">
        <w:rPr>
          <w:rFonts w:ascii="Helvetica" w:hAnsi="Helvetica" w:cstheme="minorHAnsi"/>
          <w:sz w:val="22"/>
          <w:szCs w:val="22"/>
          <w:lang w:val="en-US"/>
        </w:rPr>
        <w:t xml:space="preserve"> admini</w:t>
      </w:r>
      <w:r w:rsidR="00A07F41" w:rsidRPr="00BD4DAF">
        <w:rPr>
          <w:rFonts w:ascii="Helvetica" w:hAnsi="Helvetica" w:cstheme="minorHAnsi"/>
          <w:sz w:val="22"/>
          <w:szCs w:val="22"/>
          <w:lang w:val="en-US"/>
        </w:rPr>
        <w:t xml:space="preserve">stered in large numbers </w:t>
      </w:r>
      <w:r w:rsidRPr="00BD4DAF">
        <w:rPr>
          <w:rFonts w:ascii="Helvetica" w:hAnsi="Helvetica" w:cstheme="minorHAnsi"/>
          <w:sz w:val="22"/>
          <w:szCs w:val="22"/>
          <w:lang w:val="en-US"/>
        </w:rPr>
        <w:t>on</w:t>
      </w:r>
      <w:r w:rsidR="00A07F41" w:rsidRPr="00BD4DAF">
        <w:rPr>
          <w:rFonts w:ascii="Helvetica" w:hAnsi="Helvetica" w:cstheme="minorHAnsi"/>
          <w:sz w:val="22"/>
          <w:szCs w:val="22"/>
          <w:lang w:val="en-US"/>
        </w:rPr>
        <w:t>ly during weeks 5-12</w:t>
      </w:r>
      <w:r w:rsidRPr="00BD4DAF">
        <w:rPr>
          <w:rFonts w:ascii="Helvetica" w:hAnsi="Helvetica" w:cstheme="minorHAnsi"/>
          <w:sz w:val="22"/>
          <w:szCs w:val="22"/>
          <w:lang w:val="en-US"/>
        </w:rPr>
        <w:t>. As our aim was to match individuals</w:t>
      </w:r>
      <w:r w:rsidR="00E814F2" w:rsidRPr="00BD4DAF">
        <w:rPr>
          <w:rFonts w:ascii="Helvetica" w:hAnsi="Helvetica" w:cstheme="minorHAnsi"/>
          <w:sz w:val="22"/>
          <w:szCs w:val="22"/>
          <w:lang w:val="en-US"/>
        </w:rPr>
        <w:t xml:space="preserve"> between vaccine groups</w:t>
      </w:r>
      <w:r w:rsidR="009724A2" w:rsidRPr="00BD4DAF">
        <w:rPr>
          <w:rFonts w:ascii="Helvetica" w:hAnsi="Helvetica" w:cstheme="minorHAnsi"/>
          <w:sz w:val="22"/>
          <w:szCs w:val="22"/>
          <w:lang w:val="en-US"/>
        </w:rPr>
        <w:t xml:space="preserve"> and those unvaccinated</w:t>
      </w:r>
      <w:r w:rsidR="00E814F2" w:rsidRPr="00BD4DAF">
        <w:rPr>
          <w:rFonts w:ascii="Helvetica" w:hAnsi="Helvetica" w:cstheme="minorHAnsi"/>
          <w:sz w:val="22"/>
          <w:szCs w:val="22"/>
          <w:lang w:val="en-US"/>
        </w:rPr>
        <w:t xml:space="preserve"> </w:t>
      </w:r>
      <w:r w:rsidR="003A107E" w:rsidRPr="00BD4DAF">
        <w:rPr>
          <w:rFonts w:ascii="Helvetica" w:hAnsi="Helvetica" w:cstheme="minorHAnsi"/>
          <w:sz w:val="22"/>
          <w:szCs w:val="22"/>
          <w:lang w:val="en-US"/>
        </w:rPr>
        <w:t>on a week-by-week</w:t>
      </w:r>
      <w:r w:rsidR="00A812FB">
        <w:rPr>
          <w:rFonts w:ascii="Helvetica" w:hAnsi="Helvetica" w:cstheme="minorHAnsi"/>
          <w:sz w:val="22"/>
          <w:szCs w:val="22"/>
          <w:lang w:val="en-US"/>
        </w:rPr>
        <w:t xml:space="preserve"> basis</w:t>
      </w:r>
      <w:r w:rsidRPr="00BD4DAF">
        <w:rPr>
          <w:rFonts w:ascii="Helvetica" w:hAnsi="Helvetica" w:cstheme="minorHAnsi"/>
          <w:sz w:val="22"/>
          <w:szCs w:val="22"/>
          <w:lang w:val="en-US"/>
        </w:rPr>
        <w:t>, we only matched individuals during weeks 5-12</w:t>
      </w:r>
      <w:r w:rsidR="00654631" w:rsidRPr="00BD4DAF">
        <w:rPr>
          <w:rFonts w:ascii="Helvetica" w:hAnsi="Helvetica" w:cstheme="minorHAnsi"/>
          <w:sz w:val="22"/>
          <w:szCs w:val="22"/>
          <w:lang w:val="en-US"/>
        </w:rPr>
        <w:t xml:space="preserve"> (January</w:t>
      </w:r>
      <w:r w:rsidR="00EA6CD6" w:rsidRPr="00BD4DAF">
        <w:rPr>
          <w:rFonts w:ascii="Helvetica" w:hAnsi="Helvetica" w:cstheme="minorHAnsi"/>
          <w:sz w:val="22"/>
          <w:szCs w:val="22"/>
          <w:lang w:val="en-US"/>
        </w:rPr>
        <w:t xml:space="preserve"> 12,</w:t>
      </w:r>
      <w:r w:rsidR="00654631" w:rsidRPr="00BD4DAF">
        <w:rPr>
          <w:rFonts w:ascii="Helvetica" w:hAnsi="Helvetica" w:cstheme="minorHAnsi"/>
          <w:sz w:val="22"/>
          <w:szCs w:val="22"/>
          <w:lang w:val="en-US"/>
        </w:rPr>
        <w:t xml:space="preserve"> 2021 – March</w:t>
      </w:r>
      <w:r w:rsidR="00EA6CD6" w:rsidRPr="00BD4DAF">
        <w:rPr>
          <w:rFonts w:ascii="Helvetica" w:hAnsi="Helvetica" w:cstheme="minorHAnsi"/>
          <w:sz w:val="22"/>
          <w:szCs w:val="22"/>
          <w:lang w:val="en-US"/>
        </w:rPr>
        <w:t xml:space="preserve"> 09,</w:t>
      </w:r>
      <w:r w:rsidR="00654631" w:rsidRPr="00BD4DAF">
        <w:rPr>
          <w:rFonts w:ascii="Helvetica" w:hAnsi="Helvetica" w:cstheme="minorHAnsi"/>
          <w:sz w:val="22"/>
          <w:szCs w:val="22"/>
          <w:lang w:val="en-US"/>
        </w:rPr>
        <w:t xml:space="preserve"> 2021)</w:t>
      </w:r>
      <w:r w:rsidRPr="00BD4DAF">
        <w:rPr>
          <w:rFonts w:ascii="Helvetica" w:hAnsi="Helvetica" w:cstheme="minorHAnsi"/>
          <w:sz w:val="22"/>
          <w:szCs w:val="22"/>
          <w:lang w:val="en-US"/>
        </w:rPr>
        <w:t>.</w:t>
      </w:r>
    </w:p>
    <w:p w14:paraId="3FB0031E" w14:textId="77777777" w:rsidR="005E4B05" w:rsidRPr="00BD4DAF" w:rsidRDefault="005E4B05" w:rsidP="00B928F2">
      <w:pPr>
        <w:spacing w:line="480" w:lineRule="auto"/>
        <w:rPr>
          <w:rFonts w:ascii="Helvetica" w:hAnsi="Helvetica" w:cstheme="minorHAnsi"/>
          <w:sz w:val="22"/>
          <w:szCs w:val="22"/>
          <w:lang w:val="en-US"/>
        </w:rPr>
      </w:pPr>
    </w:p>
    <w:p w14:paraId="35A936FD" w14:textId="05D83F14" w:rsidR="00F70BA3" w:rsidRPr="00BD4DAF" w:rsidRDefault="00C362BF" w:rsidP="00B928F2">
      <w:pPr>
        <w:spacing w:line="480" w:lineRule="auto"/>
        <w:rPr>
          <w:rFonts w:ascii="Helvetica" w:hAnsi="Helvetica" w:cstheme="minorHAnsi"/>
          <w:color w:val="000000" w:themeColor="text1"/>
          <w:sz w:val="22"/>
          <w:szCs w:val="22"/>
          <w:lang w:val="en-US"/>
        </w:rPr>
      </w:pPr>
      <w:r w:rsidRPr="00BD4DAF">
        <w:rPr>
          <w:rFonts w:ascii="Helvetica" w:hAnsi="Helvetica" w:cstheme="minorHAnsi"/>
          <w:color w:val="000000" w:themeColor="text1"/>
          <w:sz w:val="22"/>
          <w:szCs w:val="22"/>
          <w:lang w:val="en-US"/>
        </w:rPr>
        <w:t xml:space="preserve">The matching process is covered in detail in the </w:t>
      </w:r>
      <w:r w:rsidRPr="00BD4DAF">
        <w:rPr>
          <w:rFonts w:ascii="Helvetica" w:hAnsi="Helvetica" w:cstheme="minorHAnsi"/>
          <w:color w:val="000000" w:themeColor="text1"/>
          <w:sz w:val="22"/>
          <w:szCs w:val="22"/>
          <w:highlight w:val="cyan"/>
          <w:lang w:val="en-US"/>
        </w:rPr>
        <w:t xml:space="preserve">Supplementary </w:t>
      </w:r>
      <w:r w:rsidR="007767A0">
        <w:rPr>
          <w:rFonts w:ascii="Helvetica" w:hAnsi="Helvetica" w:cstheme="minorHAnsi"/>
          <w:color w:val="000000" w:themeColor="text1"/>
          <w:sz w:val="22"/>
          <w:szCs w:val="22"/>
          <w:highlight w:val="cyan"/>
          <w:lang w:val="en-US"/>
        </w:rPr>
        <w:t>Material</w:t>
      </w:r>
      <w:r w:rsidRPr="00BD4DAF">
        <w:rPr>
          <w:rFonts w:ascii="Helvetica" w:hAnsi="Helvetica" w:cstheme="minorHAnsi"/>
          <w:color w:val="000000" w:themeColor="text1"/>
          <w:sz w:val="22"/>
          <w:szCs w:val="22"/>
          <w:lang w:val="en-US"/>
        </w:rPr>
        <w:t>. In summary, t</w:t>
      </w:r>
      <w:r w:rsidR="00F70BA3" w:rsidRPr="00BD4DAF">
        <w:rPr>
          <w:rFonts w:ascii="Helvetica" w:hAnsi="Helvetica" w:cstheme="minorHAnsi"/>
          <w:color w:val="000000" w:themeColor="text1"/>
          <w:sz w:val="22"/>
          <w:szCs w:val="22"/>
          <w:lang w:val="en-US"/>
        </w:rPr>
        <w:t>he eligible vaccinated and unvaccinated persons were matched on a week-by-week basis on the following variables:</w:t>
      </w:r>
      <w:r w:rsidR="00B43B06" w:rsidRPr="00BD4DAF">
        <w:rPr>
          <w:rFonts w:ascii="Helvetica" w:hAnsi="Helvetica" w:cstheme="minorHAnsi"/>
          <w:color w:val="000000" w:themeColor="text1"/>
          <w:sz w:val="22"/>
          <w:szCs w:val="22"/>
          <w:lang w:val="en-US"/>
        </w:rPr>
        <w:t xml:space="preserve"> a</w:t>
      </w:r>
      <w:r w:rsidR="00F70BA3" w:rsidRPr="00BD4DAF">
        <w:rPr>
          <w:rFonts w:ascii="Helvetica" w:hAnsi="Helvetica" w:cstheme="minorHAnsi"/>
          <w:color w:val="000000" w:themeColor="text1"/>
          <w:sz w:val="22"/>
          <w:szCs w:val="22"/>
          <w:lang w:val="en-US"/>
        </w:rPr>
        <w:t xml:space="preserve">ge </w:t>
      </w:r>
      <w:r w:rsidR="00B43B06" w:rsidRPr="00BD4DAF">
        <w:rPr>
          <w:rFonts w:ascii="Helvetica" w:hAnsi="Helvetica" w:cstheme="minorHAnsi"/>
          <w:color w:val="000000" w:themeColor="text1"/>
          <w:sz w:val="22"/>
          <w:szCs w:val="22"/>
          <w:lang w:val="en-US"/>
        </w:rPr>
        <w:t>(</w:t>
      </w:r>
      <w:r w:rsidR="00F70BA3" w:rsidRPr="00BD4DAF">
        <w:rPr>
          <w:rFonts w:ascii="Helvetica" w:hAnsi="Helvetica" w:cstheme="minorHAnsi"/>
          <w:color w:val="000000" w:themeColor="text1"/>
          <w:sz w:val="22"/>
          <w:szCs w:val="22"/>
          <w:lang w:val="en-US"/>
        </w:rPr>
        <w:t>in bins of two consecutive years</w:t>
      </w:r>
      <w:r w:rsidR="00B43B06" w:rsidRPr="00BD4DAF">
        <w:rPr>
          <w:rFonts w:ascii="Helvetica" w:hAnsi="Helvetica" w:cstheme="minorHAnsi"/>
          <w:color w:val="000000" w:themeColor="text1"/>
          <w:sz w:val="22"/>
          <w:szCs w:val="22"/>
          <w:lang w:val="en-US"/>
        </w:rPr>
        <w:t>),</w:t>
      </w:r>
      <w:r w:rsidR="00A71101" w:rsidRPr="00BD4DAF">
        <w:rPr>
          <w:rFonts w:ascii="Helvetica" w:hAnsi="Helvetica" w:cstheme="minorHAnsi"/>
          <w:color w:val="000000" w:themeColor="text1"/>
          <w:sz w:val="22"/>
          <w:szCs w:val="22"/>
          <w:lang w:val="en-US"/>
        </w:rPr>
        <w:t xml:space="preserve"> gender</w:t>
      </w:r>
      <w:r w:rsidR="00F22423" w:rsidRPr="00BD4DAF">
        <w:rPr>
          <w:rFonts w:ascii="Helvetica" w:hAnsi="Helvetica" w:cstheme="minorHAnsi"/>
          <w:color w:val="000000" w:themeColor="text1"/>
          <w:sz w:val="22"/>
          <w:szCs w:val="22"/>
          <w:lang w:val="en-US"/>
        </w:rPr>
        <w:t xml:space="preserve"> (male and femal</w:t>
      </w:r>
      <w:r w:rsidR="002518E8" w:rsidRPr="00BD4DAF">
        <w:rPr>
          <w:rFonts w:ascii="Helvetica" w:hAnsi="Helvetica" w:cstheme="minorHAnsi"/>
          <w:color w:val="000000" w:themeColor="text1"/>
          <w:sz w:val="22"/>
          <w:szCs w:val="22"/>
          <w:lang w:val="en-US"/>
        </w:rPr>
        <w:t>e</w:t>
      </w:r>
      <w:r w:rsidR="00F22423" w:rsidRPr="00BD4DAF">
        <w:rPr>
          <w:rFonts w:ascii="Helvetica" w:hAnsi="Helvetica" w:cstheme="minorHAnsi"/>
          <w:color w:val="000000" w:themeColor="text1"/>
          <w:sz w:val="22"/>
          <w:szCs w:val="22"/>
          <w:lang w:val="en-US"/>
        </w:rPr>
        <w:t>)</w:t>
      </w:r>
      <w:r w:rsidR="002518E8" w:rsidRPr="00BD4DAF">
        <w:rPr>
          <w:rFonts w:ascii="Helvetica" w:hAnsi="Helvetica" w:cstheme="minorHAnsi"/>
          <w:color w:val="000000" w:themeColor="text1"/>
          <w:sz w:val="22"/>
          <w:szCs w:val="22"/>
          <w:lang w:val="en-US"/>
        </w:rPr>
        <w:t xml:space="preserve">, </w:t>
      </w:r>
      <w:r w:rsidR="000E7B6E" w:rsidRPr="00BD4DAF">
        <w:rPr>
          <w:rFonts w:ascii="Helvetica" w:hAnsi="Helvetica" w:cstheme="minorHAnsi"/>
          <w:color w:val="000000" w:themeColor="text1"/>
          <w:sz w:val="22"/>
          <w:szCs w:val="22"/>
          <w:lang w:val="en-US"/>
        </w:rPr>
        <w:t xml:space="preserve">ethnic category (white, south Asian, black, other Asian, other, not recorded/stated), </w:t>
      </w:r>
      <w:r w:rsidR="009F378C" w:rsidRPr="00BD4DAF">
        <w:rPr>
          <w:rFonts w:ascii="Helvetica" w:hAnsi="Helvetica" w:cstheme="minorHAnsi"/>
          <w:color w:val="000000" w:themeColor="text1"/>
          <w:sz w:val="22"/>
          <w:szCs w:val="22"/>
          <w:lang w:val="en-US"/>
        </w:rPr>
        <w:t xml:space="preserve">the </w:t>
      </w:r>
      <w:r w:rsidR="00E51A0F" w:rsidRPr="00BD4DAF">
        <w:rPr>
          <w:rFonts w:ascii="Helvetica" w:hAnsi="Helvetica" w:cstheme="minorHAnsi"/>
          <w:color w:val="000000" w:themeColor="text1"/>
          <w:sz w:val="22"/>
          <w:szCs w:val="22"/>
          <w:lang w:val="en-US"/>
        </w:rPr>
        <w:lastRenderedPageBreak/>
        <w:t xml:space="preserve">number of SARS-CoV-2 tests from December </w:t>
      </w:r>
      <w:r w:rsidR="00684375" w:rsidRPr="00BD4DAF">
        <w:rPr>
          <w:rFonts w:ascii="Helvetica" w:hAnsi="Helvetica" w:cstheme="minorHAnsi"/>
          <w:color w:val="000000" w:themeColor="text1"/>
          <w:sz w:val="22"/>
          <w:szCs w:val="22"/>
          <w:lang w:val="en-US"/>
        </w:rPr>
        <w:t>8th</w:t>
      </w:r>
      <w:r w:rsidR="00E51A0F" w:rsidRPr="00BD4DAF">
        <w:rPr>
          <w:rFonts w:ascii="Helvetica" w:hAnsi="Helvetica" w:cstheme="minorHAnsi"/>
          <w:color w:val="000000" w:themeColor="text1"/>
          <w:sz w:val="22"/>
          <w:szCs w:val="22"/>
          <w:lang w:val="en-US"/>
        </w:rPr>
        <w:t xml:space="preserve"> 2020 until the start of the relevant week of matching, </w:t>
      </w:r>
      <w:r w:rsidR="0014032F" w:rsidRPr="00BD4DAF">
        <w:rPr>
          <w:rFonts w:ascii="Helvetica" w:hAnsi="Helvetica" w:cstheme="minorHAnsi"/>
          <w:color w:val="000000" w:themeColor="text1"/>
          <w:sz w:val="22"/>
          <w:szCs w:val="22"/>
          <w:lang w:val="en-US"/>
        </w:rPr>
        <w:t>care home residen</w:t>
      </w:r>
      <w:r w:rsidR="00684375" w:rsidRPr="00BD4DAF">
        <w:rPr>
          <w:rFonts w:ascii="Helvetica" w:hAnsi="Helvetica" w:cstheme="minorHAnsi"/>
          <w:color w:val="000000" w:themeColor="text1"/>
          <w:sz w:val="22"/>
          <w:szCs w:val="22"/>
          <w:lang w:val="en-US"/>
        </w:rPr>
        <w:t>ce</w:t>
      </w:r>
      <w:r w:rsidR="0014032F" w:rsidRPr="00BD4DAF">
        <w:rPr>
          <w:rFonts w:ascii="Helvetica" w:hAnsi="Helvetica" w:cstheme="minorHAnsi"/>
          <w:color w:val="000000" w:themeColor="text1"/>
          <w:sz w:val="22"/>
          <w:szCs w:val="22"/>
          <w:lang w:val="en-US"/>
        </w:rPr>
        <w:t xml:space="preserve">, </w:t>
      </w:r>
      <w:r w:rsidR="0014032F" w:rsidRPr="00BD4DAF">
        <w:rPr>
          <w:rFonts w:ascii="Helvetica" w:hAnsi="Helvetica" w:cstheme="minorHAnsi"/>
          <w:color w:val="000000" w:themeColor="text1"/>
          <w:sz w:val="22"/>
          <w:szCs w:val="22"/>
        </w:rPr>
        <w:t xml:space="preserve">Index of Multiple Deprivation </w:t>
      </w:r>
      <w:r w:rsidR="00141951" w:rsidRPr="00BD4DAF">
        <w:rPr>
          <w:rFonts w:ascii="Helvetica" w:hAnsi="Helvetica" w:cstheme="minorHAnsi"/>
          <w:color w:val="000000" w:themeColor="text1"/>
          <w:sz w:val="22"/>
          <w:szCs w:val="22"/>
        </w:rPr>
        <w:t xml:space="preserve">decile, </w:t>
      </w:r>
      <w:r w:rsidR="00E51A0F" w:rsidRPr="00BD4DAF">
        <w:rPr>
          <w:rFonts w:ascii="Helvetica" w:hAnsi="Helvetica" w:cstheme="minorHAnsi"/>
          <w:color w:val="000000" w:themeColor="text1"/>
          <w:sz w:val="22"/>
          <w:szCs w:val="22"/>
          <w:lang w:val="en-US"/>
        </w:rPr>
        <w:t xml:space="preserve">number of comorbidities, </w:t>
      </w:r>
      <w:r w:rsidR="000A70E0" w:rsidRPr="00BD4DAF">
        <w:rPr>
          <w:rFonts w:ascii="Helvetica" w:hAnsi="Helvetica" w:cstheme="minorHAnsi"/>
          <w:color w:val="000000" w:themeColor="text1"/>
          <w:sz w:val="22"/>
          <w:szCs w:val="22"/>
          <w:lang w:val="en-US"/>
        </w:rPr>
        <w:t>clinically extremely vulnerable</w:t>
      </w:r>
      <w:r w:rsidR="00141951" w:rsidRPr="00BD4DAF">
        <w:rPr>
          <w:rFonts w:ascii="Helvetica" w:hAnsi="Helvetica" w:cstheme="minorHAnsi"/>
          <w:color w:val="000000" w:themeColor="text1"/>
          <w:sz w:val="22"/>
          <w:szCs w:val="22"/>
          <w:lang w:val="en-US"/>
        </w:rPr>
        <w:t xml:space="preserve"> </w:t>
      </w:r>
      <w:r w:rsidR="009E2BF9" w:rsidRPr="00BD4DAF">
        <w:rPr>
          <w:rFonts w:ascii="Helvetica" w:hAnsi="Helvetica" w:cstheme="minorHAnsi"/>
          <w:color w:val="000000" w:themeColor="text1"/>
          <w:sz w:val="22"/>
          <w:szCs w:val="22"/>
          <w:lang w:val="en-US"/>
        </w:rPr>
        <w:t>status</w:t>
      </w:r>
      <w:r w:rsidR="00684375" w:rsidRPr="00BD4DAF">
        <w:rPr>
          <w:rFonts w:ascii="Helvetica" w:hAnsi="Helvetica" w:cstheme="minorHAnsi"/>
          <w:color w:val="000000" w:themeColor="text1"/>
          <w:sz w:val="22"/>
          <w:szCs w:val="22"/>
          <w:lang w:val="en-US"/>
        </w:rPr>
        <w:t>,</w:t>
      </w:r>
      <w:r w:rsidR="009E2BF9" w:rsidRPr="00BD4DAF">
        <w:rPr>
          <w:rFonts w:ascii="Helvetica" w:hAnsi="Helvetica" w:cstheme="minorHAnsi"/>
          <w:color w:val="000000" w:themeColor="text1"/>
          <w:sz w:val="22"/>
          <w:szCs w:val="22"/>
          <w:lang w:val="en-US"/>
        </w:rPr>
        <w:t xml:space="preserve"> and </w:t>
      </w:r>
      <w:r w:rsidR="00684375" w:rsidRPr="00BD4DAF">
        <w:rPr>
          <w:rFonts w:ascii="Helvetica" w:hAnsi="Helvetica" w:cstheme="minorHAnsi"/>
          <w:color w:val="000000" w:themeColor="text1"/>
          <w:sz w:val="22"/>
          <w:szCs w:val="22"/>
          <w:lang w:val="en-US"/>
        </w:rPr>
        <w:t xml:space="preserve">being a </w:t>
      </w:r>
      <w:r w:rsidR="009E2BF9" w:rsidRPr="00BD4DAF">
        <w:rPr>
          <w:rFonts w:ascii="Helvetica" w:hAnsi="Helvetica" w:cstheme="minorHAnsi"/>
          <w:color w:val="000000" w:themeColor="text1"/>
          <w:sz w:val="22"/>
          <w:szCs w:val="22"/>
          <w:lang w:val="en-US"/>
        </w:rPr>
        <w:t xml:space="preserve">16-64 year old with underlying health conditions.  </w:t>
      </w:r>
      <w:r w:rsidR="00141951" w:rsidRPr="00BD4DAF">
        <w:rPr>
          <w:rFonts w:ascii="Helvetica" w:hAnsi="Helvetica" w:cstheme="minorHAnsi"/>
          <w:color w:val="000000" w:themeColor="text1"/>
          <w:sz w:val="22"/>
          <w:szCs w:val="22"/>
          <w:lang w:val="en-US"/>
        </w:rPr>
        <w:t xml:space="preserve"> </w:t>
      </w:r>
    </w:p>
    <w:p w14:paraId="5E7469AB" w14:textId="77777777" w:rsidR="005E4B05" w:rsidRPr="00BD4DAF" w:rsidRDefault="005E4B05" w:rsidP="00B928F2">
      <w:pPr>
        <w:spacing w:line="480" w:lineRule="auto"/>
        <w:rPr>
          <w:rFonts w:ascii="Helvetica" w:hAnsi="Helvetica" w:cstheme="minorHAnsi"/>
          <w:color w:val="000000" w:themeColor="text1"/>
          <w:sz w:val="22"/>
          <w:szCs w:val="22"/>
          <w:lang w:val="en-US"/>
        </w:rPr>
      </w:pPr>
    </w:p>
    <w:p w14:paraId="7D3DB238" w14:textId="1B710E95" w:rsidR="00B83DA4" w:rsidRDefault="00A1212C" w:rsidP="00B928F2">
      <w:pPr>
        <w:spacing w:line="480" w:lineRule="auto"/>
        <w:rPr>
          <w:rFonts w:ascii="Helvetica" w:hAnsi="Helvetica" w:cstheme="minorHAnsi"/>
          <w:sz w:val="22"/>
          <w:szCs w:val="22"/>
          <w:lang w:val="en-US"/>
        </w:rPr>
      </w:pPr>
      <w:r w:rsidRPr="00BD4DAF">
        <w:rPr>
          <w:rFonts w:ascii="Helvetica" w:hAnsi="Helvetica" w:cstheme="minorHAnsi"/>
          <w:color w:val="000000" w:themeColor="text1"/>
          <w:sz w:val="22"/>
          <w:szCs w:val="22"/>
          <w:lang w:val="en-US"/>
        </w:rPr>
        <w:t xml:space="preserve">From this </w:t>
      </w:r>
      <w:r w:rsidR="00F70BA3" w:rsidRPr="00BD4DAF">
        <w:rPr>
          <w:rFonts w:ascii="Helvetica" w:hAnsi="Helvetica" w:cstheme="minorHAnsi"/>
          <w:sz w:val="22"/>
          <w:szCs w:val="22"/>
          <w:lang w:val="en-US"/>
        </w:rPr>
        <w:t xml:space="preserve">cohort of matched individuals, we then matched an individual that received the </w:t>
      </w:r>
      <w:r w:rsidR="00582677" w:rsidRPr="00BD4DAF">
        <w:rPr>
          <w:rFonts w:ascii="Helvetica" w:hAnsi="Helvetica" w:cstheme="minorHAnsi"/>
          <w:sz w:val="22"/>
          <w:szCs w:val="22"/>
          <w:lang w:val="en-US"/>
        </w:rPr>
        <w:t>Oxford-AstraZeneca</w:t>
      </w:r>
      <w:r w:rsidR="00F70BA3" w:rsidRPr="00BD4DAF">
        <w:rPr>
          <w:rFonts w:ascii="Helvetica" w:hAnsi="Helvetica" w:cstheme="minorHAnsi"/>
          <w:sz w:val="22"/>
          <w:szCs w:val="22"/>
          <w:lang w:val="en-US"/>
        </w:rPr>
        <w:t xml:space="preserve"> vaccine with an individual receiving the Pfizer</w:t>
      </w:r>
      <w:r w:rsidR="00582677" w:rsidRPr="00BD4DAF">
        <w:rPr>
          <w:rFonts w:ascii="Helvetica" w:hAnsi="Helvetica" w:cstheme="minorHAnsi"/>
          <w:sz w:val="22"/>
          <w:szCs w:val="22"/>
          <w:lang w:val="en-US"/>
        </w:rPr>
        <w:t>-</w:t>
      </w:r>
      <w:proofErr w:type="spellStart"/>
      <w:r w:rsidR="00582677" w:rsidRPr="00BD4DAF">
        <w:rPr>
          <w:rFonts w:ascii="Helvetica" w:hAnsi="Helvetica" w:cstheme="minorHAnsi"/>
          <w:sz w:val="22"/>
          <w:szCs w:val="22"/>
          <w:lang w:val="en-US"/>
        </w:rPr>
        <w:t>BioNTech</w:t>
      </w:r>
      <w:proofErr w:type="spellEnd"/>
      <w:r w:rsidR="00F70BA3" w:rsidRPr="00BD4DAF">
        <w:rPr>
          <w:rFonts w:ascii="Helvetica" w:hAnsi="Helvetica" w:cstheme="minorHAnsi"/>
          <w:sz w:val="22"/>
          <w:szCs w:val="22"/>
          <w:lang w:val="en-US"/>
        </w:rPr>
        <w:t xml:space="preserve"> vaccine </w:t>
      </w:r>
      <w:r w:rsidR="00053DBA" w:rsidRPr="00BD4DAF">
        <w:rPr>
          <w:rFonts w:ascii="Helvetica" w:hAnsi="Helvetica" w:cstheme="minorHAnsi"/>
          <w:sz w:val="22"/>
          <w:szCs w:val="22"/>
          <w:lang w:val="en-US"/>
        </w:rPr>
        <w:t xml:space="preserve">on a week-by-week basis </w:t>
      </w:r>
      <w:r w:rsidR="00F70BA3" w:rsidRPr="00BD4DAF">
        <w:rPr>
          <w:rFonts w:ascii="Helvetica" w:hAnsi="Helvetica" w:cstheme="minorHAnsi"/>
          <w:sz w:val="22"/>
          <w:szCs w:val="22"/>
          <w:lang w:val="en-US"/>
        </w:rPr>
        <w:t>using the same matching variables as above. Following this week-by-week matching process, ea</w:t>
      </w:r>
      <w:r w:rsidR="00582677" w:rsidRPr="00BD4DAF">
        <w:rPr>
          <w:rFonts w:ascii="Helvetica" w:hAnsi="Helvetica" w:cstheme="minorHAnsi"/>
          <w:sz w:val="22"/>
          <w:szCs w:val="22"/>
          <w:lang w:val="en-US"/>
        </w:rPr>
        <w:t>ch matched group would contain two</w:t>
      </w:r>
      <w:r w:rsidR="00F70BA3" w:rsidRPr="00BD4DAF">
        <w:rPr>
          <w:rFonts w:ascii="Helvetica" w:hAnsi="Helvetica" w:cstheme="minorHAnsi"/>
          <w:sz w:val="22"/>
          <w:szCs w:val="22"/>
          <w:lang w:val="en-US"/>
        </w:rPr>
        <w:t xml:space="preserve"> individuals that had not been vaccinated by the start of that week, as well as one individual that had received </w:t>
      </w:r>
      <w:r w:rsidR="00582677" w:rsidRPr="00BD4DAF">
        <w:rPr>
          <w:rFonts w:ascii="Helvetica" w:hAnsi="Helvetica" w:cstheme="minorHAnsi"/>
          <w:sz w:val="22"/>
          <w:szCs w:val="22"/>
          <w:lang w:val="en-US"/>
        </w:rPr>
        <w:t>the</w:t>
      </w:r>
      <w:r w:rsidR="00F70BA3" w:rsidRPr="00BD4DAF">
        <w:rPr>
          <w:rFonts w:ascii="Helvetica" w:hAnsi="Helvetica" w:cstheme="minorHAnsi"/>
          <w:sz w:val="22"/>
          <w:szCs w:val="22"/>
          <w:lang w:val="en-US"/>
        </w:rPr>
        <w:t xml:space="preserve"> </w:t>
      </w:r>
      <w:r w:rsidR="00582677" w:rsidRPr="00BD4DAF">
        <w:rPr>
          <w:rFonts w:ascii="Helvetica" w:hAnsi="Helvetica" w:cstheme="minorHAnsi"/>
          <w:sz w:val="22"/>
          <w:szCs w:val="22"/>
          <w:lang w:val="en-US"/>
        </w:rPr>
        <w:t xml:space="preserve">Oxford-AstraZeneca </w:t>
      </w:r>
      <w:r w:rsidR="00F70BA3" w:rsidRPr="00BD4DAF">
        <w:rPr>
          <w:rFonts w:ascii="Helvetica" w:hAnsi="Helvetica" w:cstheme="minorHAnsi"/>
          <w:sz w:val="22"/>
          <w:szCs w:val="22"/>
          <w:lang w:val="en-US"/>
        </w:rPr>
        <w:t xml:space="preserve">vaccine and one individual that received </w:t>
      </w:r>
      <w:r w:rsidR="00582677" w:rsidRPr="00BD4DAF">
        <w:rPr>
          <w:rFonts w:ascii="Helvetica" w:hAnsi="Helvetica" w:cstheme="minorHAnsi"/>
          <w:sz w:val="22"/>
          <w:szCs w:val="22"/>
          <w:lang w:val="en-US"/>
        </w:rPr>
        <w:t>the</w:t>
      </w:r>
      <w:r w:rsidR="00F70BA3" w:rsidRPr="00BD4DAF">
        <w:rPr>
          <w:rFonts w:ascii="Helvetica" w:hAnsi="Helvetica" w:cstheme="minorHAnsi"/>
          <w:sz w:val="22"/>
          <w:szCs w:val="22"/>
          <w:lang w:val="en-US"/>
        </w:rPr>
        <w:t xml:space="preserve"> Pfizer</w:t>
      </w:r>
      <w:r w:rsidR="00582677" w:rsidRPr="00BD4DAF">
        <w:rPr>
          <w:rFonts w:ascii="Helvetica" w:hAnsi="Helvetica" w:cstheme="minorHAnsi"/>
          <w:sz w:val="22"/>
          <w:szCs w:val="22"/>
          <w:lang w:val="en-US"/>
        </w:rPr>
        <w:t>-</w:t>
      </w:r>
      <w:proofErr w:type="spellStart"/>
      <w:r w:rsidR="00582677" w:rsidRPr="00BD4DAF">
        <w:rPr>
          <w:rFonts w:ascii="Helvetica" w:hAnsi="Helvetica" w:cstheme="minorHAnsi"/>
          <w:sz w:val="22"/>
          <w:szCs w:val="22"/>
          <w:lang w:val="en-US"/>
        </w:rPr>
        <w:t>BioNTech</w:t>
      </w:r>
      <w:proofErr w:type="spellEnd"/>
      <w:r w:rsidR="00F70BA3" w:rsidRPr="00BD4DAF">
        <w:rPr>
          <w:rFonts w:ascii="Helvetica" w:hAnsi="Helvetica" w:cstheme="minorHAnsi"/>
          <w:sz w:val="22"/>
          <w:szCs w:val="22"/>
          <w:lang w:val="en-US"/>
        </w:rPr>
        <w:t xml:space="preserve"> vaccine during </w:t>
      </w:r>
      <w:r w:rsidR="00582677" w:rsidRPr="00BD4DAF">
        <w:rPr>
          <w:rFonts w:ascii="Helvetica" w:hAnsi="Helvetica" w:cstheme="minorHAnsi"/>
          <w:sz w:val="22"/>
          <w:szCs w:val="22"/>
          <w:lang w:val="en-US"/>
        </w:rPr>
        <w:t>the same</w:t>
      </w:r>
      <w:r w:rsidR="00F70BA3" w:rsidRPr="00BD4DAF">
        <w:rPr>
          <w:rFonts w:ascii="Helvetica" w:hAnsi="Helvetica" w:cstheme="minorHAnsi"/>
          <w:sz w:val="22"/>
          <w:szCs w:val="22"/>
          <w:lang w:val="en-US"/>
        </w:rPr>
        <w:t xml:space="preserve"> week.</w:t>
      </w:r>
    </w:p>
    <w:p w14:paraId="235E8C5B" w14:textId="77777777" w:rsidR="004F344F" w:rsidRDefault="004F344F" w:rsidP="00507B6B">
      <w:pPr>
        <w:spacing w:line="480" w:lineRule="auto"/>
        <w:rPr>
          <w:rFonts w:ascii="Helvetica" w:hAnsi="Helvetica" w:cstheme="minorHAnsi"/>
          <w:sz w:val="22"/>
          <w:szCs w:val="22"/>
        </w:rPr>
      </w:pPr>
    </w:p>
    <w:p w14:paraId="640CFBC2" w14:textId="4E811338" w:rsidR="002B2223" w:rsidRPr="0024547E" w:rsidRDefault="002B2223" w:rsidP="002B2223">
      <w:pPr>
        <w:spacing w:line="480" w:lineRule="auto"/>
        <w:rPr>
          <w:rFonts w:ascii="Helvetica" w:hAnsi="Helvetica" w:cstheme="minorHAnsi"/>
          <w:sz w:val="22"/>
          <w:szCs w:val="22"/>
        </w:rPr>
      </w:pPr>
      <w:r w:rsidRPr="0024547E">
        <w:rPr>
          <w:rFonts w:ascii="Helvetica" w:hAnsi="Helvetica" w:cstheme="minorHAnsi"/>
          <w:sz w:val="22"/>
          <w:szCs w:val="22"/>
        </w:rPr>
        <w:t xml:space="preserve">For each person, follow-up ended at the earliest of the following events: occurrence of an outcome event, death, vaccination (for unvaccinated controls), vaccination of the matched control (for vaccinated persons), </w:t>
      </w:r>
      <w:r w:rsidR="00E63C4C">
        <w:rPr>
          <w:rFonts w:ascii="Helvetica" w:hAnsi="Helvetica" w:cstheme="minorHAnsi"/>
          <w:sz w:val="22"/>
          <w:szCs w:val="22"/>
        </w:rPr>
        <w:t xml:space="preserve">or </w:t>
      </w:r>
      <w:r w:rsidRPr="0024547E">
        <w:rPr>
          <w:rFonts w:ascii="Helvetica" w:hAnsi="Helvetica" w:cstheme="minorHAnsi"/>
          <w:sz w:val="22"/>
          <w:szCs w:val="22"/>
        </w:rPr>
        <w:t>vaccination with the second dose (for vaccinated persons) or the end of the study period.</w:t>
      </w:r>
    </w:p>
    <w:p w14:paraId="4D830F3A" w14:textId="77777777" w:rsidR="00B83DA4" w:rsidRPr="00BD4DAF" w:rsidRDefault="00B83DA4" w:rsidP="00B928F2">
      <w:pPr>
        <w:spacing w:line="480" w:lineRule="auto"/>
        <w:rPr>
          <w:rFonts w:ascii="Helvetica" w:hAnsi="Helvetica" w:cstheme="minorHAnsi"/>
          <w:sz w:val="22"/>
          <w:szCs w:val="22"/>
          <w:lang w:val="en-US"/>
        </w:rPr>
      </w:pPr>
    </w:p>
    <w:p w14:paraId="16771D29" w14:textId="30DDCC38" w:rsidR="00F30D0E" w:rsidRPr="00BD4DAF" w:rsidRDefault="00F30D0E" w:rsidP="00B928F2">
      <w:pPr>
        <w:spacing w:line="480" w:lineRule="auto"/>
        <w:rPr>
          <w:rFonts w:ascii="Helvetica" w:hAnsi="Helvetica" w:cstheme="minorHAnsi"/>
          <w:sz w:val="22"/>
          <w:szCs w:val="22"/>
          <w:lang w:val="en-US"/>
        </w:rPr>
      </w:pPr>
      <w:r w:rsidRPr="00BD4DAF">
        <w:rPr>
          <w:rFonts w:ascii="Helvetica" w:hAnsi="Helvetica" w:cstheme="minorHAnsi"/>
          <w:b/>
          <w:sz w:val="22"/>
          <w:szCs w:val="22"/>
        </w:rPr>
        <w:t>Outcomes</w:t>
      </w:r>
    </w:p>
    <w:p w14:paraId="55BC8288" w14:textId="6B3AEA93" w:rsidR="00916394" w:rsidRPr="00BD4DAF" w:rsidRDefault="00B83DA4" w:rsidP="00B928F2">
      <w:pPr>
        <w:spacing w:line="480" w:lineRule="auto"/>
        <w:rPr>
          <w:rFonts w:ascii="Helvetica" w:hAnsi="Helvetica" w:cstheme="minorHAnsi"/>
          <w:sz w:val="22"/>
          <w:szCs w:val="22"/>
        </w:rPr>
      </w:pPr>
      <w:r w:rsidRPr="00BD4DAF">
        <w:rPr>
          <w:rFonts w:ascii="Helvetica" w:hAnsi="Helvetica" w:cstheme="minorHAnsi"/>
          <w:sz w:val="22"/>
          <w:szCs w:val="22"/>
          <w:lang w:val="en-US"/>
        </w:rPr>
        <w:t xml:space="preserve">The </w:t>
      </w:r>
      <w:r w:rsidR="009A4989" w:rsidRPr="00BD4DAF">
        <w:rPr>
          <w:rFonts w:ascii="Helvetica" w:hAnsi="Helvetica" w:cstheme="minorHAnsi"/>
          <w:sz w:val="22"/>
          <w:szCs w:val="22"/>
          <w:lang w:val="en-US"/>
        </w:rPr>
        <w:t xml:space="preserve">four </w:t>
      </w:r>
      <w:r w:rsidRPr="00BD4DAF">
        <w:rPr>
          <w:rFonts w:ascii="Helvetica" w:hAnsi="Helvetica" w:cstheme="minorHAnsi"/>
          <w:sz w:val="22"/>
          <w:szCs w:val="22"/>
          <w:lang w:val="en-US"/>
        </w:rPr>
        <w:t xml:space="preserve">outcomes of interest were </w:t>
      </w:r>
      <w:r w:rsidR="00296180" w:rsidRPr="00BD4DAF">
        <w:rPr>
          <w:rFonts w:ascii="Helvetica" w:hAnsi="Helvetica" w:cstheme="minorHAnsi"/>
          <w:sz w:val="22"/>
          <w:szCs w:val="22"/>
          <w:lang w:val="en-US"/>
        </w:rPr>
        <w:t>documented SARS-CoV-2 infection</w:t>
      </w:r>
      <w:r w:rsidR="00811A5D">
        <w:rPr>
          <w:rFonts w:ascii="Helvetica" w:hAnsi="Helvetica" w:cstheme="minorHAnsi"/>
          <w:sz w:val="22"/>
          <w:szCs w:val="22"/>
          <w:lang w:val="en-US"/>
        </w:rPr>
        <w:t xml:space="preserve"> of any severity</w:t>
      </w:r>
      <w:r w:rsidR="00296180" w:rsidRPr="00BD4DAF">
        <w:rPr>
          <w:rFonts w:ascii="Helvetica" w:hAnsi="Helvetica" w:cstheme="minorHAnsi"/>
          <w:sz w:val="22"/>
          <w:szCs w:val="22"/>
          <w:lang w:val="en-US"/>
        </w:rPr>
        <w:t xml:space="preserve"> confirmed by a positive PCR test, </w:t>
      </w:r>
      <w:r w:rsidR="00602F9C" w:rsidRPr="00BD4DAF">
        <w:rPr>
          <w:rFonts w:ascii="Helvetica" w:hAnsi="Helvetica" w:cstheme="minorHAnsi"/>
          <w:sz w:val="22"/>
          <w:szCs w:val="22"/>
        </w:rPr>
        <w:t xml:space="preserve">COVID-19 hospitalisation, </w:t>
      </w:r>
      <w:r w:rsidR="00CF670D">
        <w:rPr>
          <w:rFonts w:ascii="Helvetica" w:hAnsi="Helvetica" w:cstheme="minorHAnsi"/>
          <w:sz w:val="22"/>
          <w:szCs w:val="22"/>
        </w:rPr>
        <w:t>COVID-19 death</w:t>
      </w:r>
      <w:r w:rsidR="00842819">
        <w:rPr>
          <w:rFonts w:ascii="Helvetica" w:hAnsi="Helvetica" w:cstheme="minorHAnsi"/>
          <w:sz w:val="22"/>
          <w:szCs w:val="22"/>
        </w:rPr>
        <w:t>,</w:t>
      </w:r>
      <w:r w:rsidR="00CF670D">
        <w:rPr>
          <w:rFonts w:ascii="Helvetica" w:hAnsi="Helvetica" w:cstheme="minorHAnsi"/>
          <w:sz w:val="22"/>
          <w:szCs w:val="22"/>
        </w:rPr>
        <w:t xml:space="preserve"> </w:t>
      </w:r>
      <w:r w:rsidR="007A2F9F" w:rsidRPr="00BD4DAF">
        <w:rPr>
          <w:rFonts w:ascii="Helvetica" w:hAnsi="Helvetica" w:cstheme="minorHAnsi"/>
          <w:sz w:val="22"/>
          <w:szCs w:val="22"/>
        </w:rPr>
        <w:t>and</w:t>
      </w:r>
      <w:r w:rsidR="00602F9C" w:rsidRPr="00BD4DAF">
        <w:rPr>
          <w:rFonts w:ascii="Helvetica" w:hAnsi="Helvetica" w:cstheme="minorHAnsi"/>
          <w:sz w:val="22"/>
          <w:szCs w:val="22"/>
        </w:rPr>
        <w:t xml:space="preserve"> all-cause mortality</w:t>
      </w:r>
      <w:r w:rsidR="007A2F9F" w:rsidRPr="00BD4DAF">
        <w:rPr>
          <w:rFonts w:ascii="Helvetica" w:hAnsi="Helvetica" w:cstheme="minorHAnsi"/>
          <w:sz w:val="22"/>
          <w:szCs w:val="22"/>
        </w:rPr>
        <w:t xml:space="preserve">. </w:t>
      </w:r>
      <w:bookmarkStart w:id="4" w:name="OLE_LINK1"/>
      <w:bookmarkStart w:id="5" w:name="OLE_LINK2"/>
      <w:bookmarkStart w:id="6" w:name="OLE_LINK3"/>
      <w:r w:rsidR="00D10184" w:rsidRPr="00BD4DAF">
        <w:rPr>
          <w:rFonts w:ascii="Helvetica" w:hAnsi="Helvetica" w:cstheme="minorHAnsi"/>
          <w:sz w:val="22"/>
          <w:szCs w:val="22"/>
        </w:rPr>
        <w:t xml:space="preserve">Hospitalisation related to COVID-19 was </w:t>
      </w:r>
      <w:r w:rsidR="00684375" w:rsidRPr="00BD4DAF">
        <w:rPr>
          <w:rFonts w:ascii="Helvetica" w:hAnsi="Helvetica" w:cstheme="minorHAnsi"/>
          <w:sz w:val="22"/>
          <w:szCs w:val="22"/>
        </w:rPr>
        <w:t xml:space="preserve">defined </w:t>
      </w:r>
      <w:r w:rsidR="00D10184" w:rsidRPr="00BD4DAF">
        <w:rPr>
          <w:rFonts w:ascii="Helvetica" w:hAnsi="Helvetica" w:cstheme="minorHAnsi"/>
          <w:sz w:val="22"/>
          <w:szCs w:val="22"/>
        </w:rPr>
        <w:t>as patients admitted to hospital who had tested positive for SARS-CoV-2 in the last 14 days or patients with a positive</w:t>
      </w:r>
      <w:r w:rsidR="00684375" w:rsidRPr="00BD4DAF">
        <w:rPr>
          <w:rFonts w:ascii="Helvetica" w:hAnsi="Helvetica" w:cstheme="minorHAnsi"/>
          <w:sz w:val="22"/>
          <w:szCs w:val="22"/>
        </w:rPr>
        <w:t xml:space="preserve"> COVID-19 test</w:t>
      </w:r>
      <w:r w:rsidR="00D10184" w:rsidRPr="00BD4DAF">
        <w:rPr>
          <w:rFonts w:ascii="Helvetica" w:hAnsi="Helvetica" w:cstheme="minorHAnsi"/>
          <w:sz w:val="22"/>
          <w:szCs w:val="22"/>
        </w:rPr>
        <w:t xml:space="preserve"> result during</w:t>
      </w:r>
      <w:r w:rsidR="00684375" w:rsidRPr="00BD4DAF">
        <w:rPr>
          <w:rFonts w:ascii="Helvetica" w:hAnsi="Helvetica" w:cstheme="minorHAnsi"/>
          <w:sz w:val="22"/>
          <w:szCs w:val="22"/>
        </w:rPr>
        <w:t xml:space="preserve"> an</w:t>
      </w:r>
      <w:r w:rsidR="00D10184" w:rsidRPr="00BD4DAF">
        <w:rPr>
          <w:rFonts w:ascii="Helvetica" w:hAnsi="Helvetica" w:cstheme="minorHAnsi"/>
          <w:sz w:val="22"/>
          <w:szCs w:val="22"/>
        </w:rPr>
        <w:t xml:space="preserve"> inpatient stay. Death from COVID-19 was defined as </w:t>
      </w:r>
      <w:bookmarkEnd w:id="4"/>
      <w:bookmarkEnd w:id="5"/>
      <w:bookmarkEnd w:id="6"/>
      <w:r w:rsidR="00D10184" w:rsidRPr="00BD4DAF">
        <w:rPr>
          <w:rFonts w:ascii="Helvetica" w:hAnsi="Helvetica" w:cstheme="minorHAnsi"/>
          <w:sz w:val="22"/>
          <w:szCs w:val="22"/>
        </w:rPr>
        <w:t>deaths among individuals with a positive SARS-CoV-2 test that occurred within 28 days of the test (according to Public Health England guidance</w:t>
      </w:r>
      <w:r w:rsidR="003A366F">
        <w:rPr>
          <w:rFonts w:ascii="Helvetica" w:hAnsi="Helvetica" w:cstheme="minorHAnsi"/>
          <w:sz w:val="22"/>
          <w:szCs w:val="22"/>
          <w:highlight w:val="yellow"/>
          <w:vertAlign w:val="superscript"/>
        </w:rPr>
        <w:t>17</w:t>
      </w:r>
      <w:r w:rsidR="00D10184" w:rsidRPr="00BD4DAF">
        <w:rPr>
          <w:rFonts w:ascii="Helvetica" w:hAnsi="Helvetica" w:cstheme="minorHAnsi"/>
          <w:sz w:val="22"/>
          <w:szCs w:val="22"/>
        </w:rPr>
        <w:t>).</w:t>
      </w:r>
      <w:r w:rsidR="00732CE4" w:rsidRPr="00BD4DAF">
        <w:rPr>
          <w:rFonts w:ascii="Helvetica" w:hAnsi="Helvetica" w:cstheme="minorHAnsi"/>
          <w:sz w:val="22"/>
          <w:szCs w:val="22"/>
        </w:rPr>
        <w:t xml:space="preserve"> </w:t>
      </w:r>
    </w:p>
    <w:p w14:paraId="207A5020" w14:textId="77777777" w:rsidR="005E4B05" w:rsidRPr="00BD4DAF" w:rsidRDefault="005E4B05" w:rsidP="00B928F2">
      <w:pPr>
        <w:spacing w:line="480" w:lineRule="auto"/>
        <w:rPr>
          <w:rFonts w:ascii="Helvetica" w:hAnsi="Helvetica" w:cstheme="minorHAnsi"/>
          <w:sz w:val="22"/>
          <w:szCs w:val="22"/>
        </w:rPr>
      </w:pPr>
    </w:p>
    <w:p w14:paraId="43172C0D" w14:textId="77777777" w:rsidR="003A3BDB" w:rsidRPr="00BD4DAF" w:rsidRDefault="003A3BDB" w:rsidP="00B928F2">
      <w:pPr>
        <w:spacing w:line="480" w:lineRule="auto"/>
        <w:rPr>
          <w:rFonts w:ascii="Helvetica" w:hAnsi="Helvetica" w:cstheme="minorHAnsi"/>
          <w:b/>
          <w:sz w:val="22"/>
          <w:szCs w:val="22"/>
        </w:rPr>
      </w:pPr>
      <w:r w:rsidRPr="00BD4DAF">
        <w:rPr>
          <w:rFonts w:ascii="Helvetica" w:hAnsi="Helvetica" w:cstheme="minorHAnsi"/>
          <w:b/>
          <w:sz w:val="22"/>
          <w:szCs w:val="22"/>
        </w:rPr>
        <w:t xml:space="preserve">Statistical analysis </w:t>
      </w:r>
    </w:p>
    <w:p w14:paraId="31B37657" w14:textId="7DE43472" w:rsidR="00722719" w:rsidRPr="00BD4DAF" w:rsidRDefault="00F70BA3" w:rsidP="00B928F2">
      <w:pPr>
        <w:spacing w:line="480" w:lineRule="auto"/>
        <w:rPr>
          <w:rFonts w:ascii="Helvetica" w:hAnsi="Helvetica" w:cstheme="minorHAnsi"/>
          <w:sz w:val="22"/>
          <w:szCs w:val="22"/>
          <w:lang w:val="en-US"/>
        </w:rPr>
      </w:pPr>
      <w:r w:rsidRPr="00BD4DAF">
        <w:rPr>
          <w:rFonts w:ascii="Helvetica" w:hAnsi="Helvetica" w:cstheme="minorHAnsi"/>
          <w:sz w:val="22"/>
          <w:szCs w:val="22"/>
          <w:lang w:val="en-US"/>
        </w:rPr>
        <w:t>For each group (</w:t>
      </w:r>
      <w:r w:rsidR="003A3BDB" w:rsidRPr="00BD4DAF">
        <w:rPr>
          <w:rFonts w:ascii="Helvetica" w:hAnsi="Helvetica" w:cstheme="minorHAnsi"/>
          <w:sz w:val="22"/>
          <w:szCs w:val="22"/>
          <w:lang w:val="en-US"/>
        </w:rPr>
        <w:t>unvaccinated</w:t>
      </w:r>
      <w:r w:rsidRPr="00BD4DAF">
        <w:rPr>
          <w:rFonts w:ascii="Helvetica" w:hAnsi="Helvetica" w:cstheme="minorHAnsi"/>
          <w:sz w:val="22"/>
          <w:szCs w:val="22"/>
          <w:lang w:val="en-US"/>
        </w:rPr>
        <w:t>,</w:t>
      </w:r>
      <w:r w:rsidR="00AB361D" w:rsidRPr="00BD4DAF">
        <w:rPr>
          <w:rFonts w:ascii="Helvetica" w:hAnsi="Helvetica" w:cstheme="minorHAnsi"/>
          <w:sz w:val="22"/>
          <w:szCs w:val="22"/>
        </w:rPr>
        <w:t xml:space="preserve"> Oxford-AstraZeneca or</w:t>
      </w:r>
      <w:r w:rsidRPr="00BD4DAF">
        <w:rPr>
          <w:rFonts w:ascii="Helvetica" w:hAnsi="Helvetica" w:cstheme="minorHAnsi"/>
          <w:sz w:val="22"/>
          <w:szCs w:val="22"/>
          <w:lang w:val="en-US"/>
        </w:rPr>
        <w:t xml:space="preserve"> </w:t>
      </w:r>
      <w:r w:rsidR="00AB361D" w:rsidRPr="00BD4DAF">
        <w:rPr>
          <w:rFonts w:ascii="Helvetica" w:hAnsi="Helvetica" w:cstheme="minorHAnsi"/>
          <w:sz w:val="22"/>
          <w:szCs w:val="22"/>
        </w:rPr>
        <w:t>Pfizer-</w:t>
      </w:r>
      <w:proofErr w:type="spellStart"/>
      <w:r w:rsidR="00AB361D" w:rsidRPr="00BD4DAF">
        <w:rPr>
          <w:rFonts w:ascii="Helvetica" w:hAnsi="Helvetica" w:cstheme="minorHAnsi"/>
          <w:sz w:val="22"/>
          <w:szCs w:val="22"/>
        </w:rPr>
        <w:t>BioNTech</w:t>
      </w:r>
      <w:proofErr w:type="spellEnd"/>
      <w:r w:rsidR="00A6194D" w:rsidRPr="00BD4DAF">
        <w:rPr>
          <w:rFonts w:ascii="Helvetica" w:hAnsi="Helvetica" w:cstheme="minorHAnsi"/>
          <w:sz w:val="22"/>
          <w:szCs w:val="22"/>
          <w:lang w:val="en-US"/>
        </w:rPr>
        <w:t xml:space="preserve">), we calculated the number </w:t>
      </w:r>
      <w:r w:rsidRPr="00BD4DAF">
        <w:rPr>
          <w:rFonts w:ascii="Helvetica" w:hAnsi="Helvetica" w:cstheme="minorHAnsi"/>
          <w:sz w:val="22"/>
          <w:szCs w:val="22"/>
          <w:lang w:val="en-US"/>
        </w:rPr>
        <w:t>and rate of events per 1000 person-years for each outcome of interest</w:t>
      </w:r>
      <w:r w:rsidR="00722719" w:rsidRPr="00BD4DAF">
        <w:rPr>
          <w:rFonts w:ascii="Helvetica" w:hAnsi="Helvetica" w:cstheme="minorHAnsi"/>
          <w:sz w:val="22"/>
          <w:szCs w:val="22"/>
          <w:lang w:val="en-US"/>
        </w:rPr>
        <w:t>.</w:t>
      </w:r>
    </w:p>
    <w:p w14:paraId="0A03DCE1" w14:textId="47791ABF" w:rsidR="00120D15" w:rsidRDefault="00722719" w:rsidP="00B928F2">
      <w:pPr>
        <w:spacing w:line="480" w:lineRule="auto"/>
        <w:rPr>
          <w:rFonts w:ascii="Helvetica" w:hAnsi="Helvetica" w:cstheme="minorHAnsi"/>
          <w:color w:val="000000" w:themeColor="text1"/>
          <w:sz w:val="22"/>
          <w:szCs w:val="22"/>
          <w:lang w:val="en-US"/>
        </w:rPr>
      </w:pPr>
      <w:r w:rsidRPr="00BD4DAF">
        <w:rPr>
          <w:rFonts w:ascii="Helvetica" w:hAnsi="Helvetica" w:cstheme="minorHAnsi"/>
          <w:sz w:val="22"/>
          <w:szCs w:val="22"/>
        </w:rPr>
        <w:t>The period i</w:t>
      </w:r>
      <w:r w:rsidR="00E75EB7" w:rsidRPr="00BD4DAF">
        <w:rPr>
          <w:rFonts w:ascii="Helvetica" w:hAnsi="Helvetica" w:cstheme="minorHAnsi"/>
          <w:sz w:val="22"/>
          <w:szCs w:val="22"/>
        </w:rPr>
        <w:t xml:space="preserve">mmediately after the first dose </w:t>
      </w:r>
      <w:r w:rsidRPr="00BD4DAF">
        <w:rPr>
          <w:rFonts w:ascii="Helvetica" w:hAnsi="Helvetica" w:cstheme="minorHAnsi"/>
          <w:sz w:val="22"/>
          <w:szCs w:val="22"/>
        </w:rPr>
        <w:t>when immunity is gradually building,</w:t>
      </w:r>
      <w:r w:rsidR="003A366F">
        <w:rPr>
          <w:rFonts w:ascii="Helvetica" w:hAnsi="Helvetica" w:cstheme="minorHAnsi"/>
          <w:bCs/>
          <w:sz w:val="22"/>
          <w:szCs w:val="22"/>
          <w:highlight w:val="yellow"/>
          <w:vertAlign w:val="superscript"/>
        </w:rPr>
        <w:t>2</w:t>
      </w:r>
      <w:r w:rsidRPr="00BD4DAF">
        <w:rPr>
          <w:rFonts w:ascii="Helvetica" w:hAnsi="Helvetica" w:cstheme="minorHAnsi"/>
          <w:sz w:val="22"/>
          <w:szCs w:val="22"/>
        </w:rPr>
        <w:t> was excluded in the main analyses</w:t>
      </w:r>
      <w:r w:rsidR="00E75EB7" w:rsidRPr="00BD4DAF">
        <w:rPr>
          <w:rFonts w:ascii="Helvetica" w:hAnsi="Helvetica" w:cstheme="minorHAnsi"/>
          <w:sz w:val="22"/>
          <w:szCs w:val="22"/>
        </w:rPr>
        <w:t xml:space="preserve"> using a 14-day landmark</w:t>
      </w:r>
      <w:r w:rsidR="00FC71E6" w:rsidRPr="00BD4DAF">
        <w:rPr>
          <w:rFonts w:ascii="Helvetica" w:hAnsi="Helvetica" w:cstheme="minorHAnsi"/>
          <w:sz w:val="22"/>
          <w:szCs w:val="22"/>
        </w:rPr>
        <w:t xml:space="preserve">. </w:t>
      </w:r>
      <w:r w:rsidR="004B2F39" w:rsidRPr="00BD4DAF">
        <w:rPr>
          <w:rFonts w:ascii="Helvetica" w:hAnsi="Helvetica" w:cstheme="minorHAnsi"/>
          <w:sz w:val="22"/>
          <w:szCs w:val="22"/>
          <w:lang w:val="en-US"/>
        </w:rPr>
        <w:t xml:space="preserve">We </w:t>
      </w:r>
      <w:r w:rsidR="00F70BA3" w:rsidRPr="00BD4DAF">
        <w:rPr>
          <w:rFonts w:ascii="Helvetica" w:hAnsi="Helvetica" w:cstheme="minorHAnsi"/>
          <w:sz w:val="22"/>
          <w:szCs w:val="22"/>
          <w:lang w:val="en-US"/>
        </w:rPr>
        <w:t xml:space="preserve">also calculated </w:t>
      </w:r>
      <w:r w:rsidR="00165452" w:rsidRPr="00BD4DAF">
        <w:rPr>
          <w:rFonts w:ascii="Helvetica" w:hAnsi="Helvetica" w:cstheme="minorHAnsi"/>
          <w:sz w:val="22"/>
          <w:szCs w:val="22"/>
          <w:lang w:val="en-US"/>
        </w:rPr>
        <w:t>incidence rate</w:t>
      </w:r>
      <w:r w:rsidR="00F70BA3" w:rsidRPr="00BD4DAF">
        <w:rPr>
          <w:rFonts w:ascii="Helvetica" w:hAnsi="Helvetica" w:cstheme="minorHAnsi"/>
          <w:sz w:val="22"/>
          <w:szCs w:val="22"/>
          <w:lang w:val="en-US"/>
        </w:rPr>
        <w:t xml:space="preserve"> ratios </w:t>
      </w:r>
      <w:r w:rsidR="007C5B0E" w:rsidRPr="00BD4DAF">
        <w:rPr>
          <w:rFonts w:ascii="Helvetica" w:hAnsi="Helvetica" w:cstheme="minorHAnsi"/>
          <w:sz w:val="22"/>
          <w:szCs w:val="22"/>
          <w:lang w:val="en-US"/>
        </w:rPr>
        <w:t xml:space="preserve">(IRRs) </w:t>
      </w:r>
      <w:r w:rsidR="00F70BA3" w:rsidRPr="00BD4DAF">
        <w:rPr>
          <w:rFonts w:ascii="Helvetica" w:hAnsi="Helvetica" w:cstheme="minorHAnsi"/>
          <w:sz w:val="22"/>
          <w:szCs w:val="22"/>
          <w:lang w:val="en-US"/>
        </w:rPr>
        <w:t>comparing</w:t>
      </w:r>
      <w:r w:rsidR="00165452" w:rsidRPr="00BD4DAF">
        <w:rPr>
          <w:rFonts w:ascii="Helvetica" w:hAnsi="Helvetica" w:cstheme="minorHAnsi"/>
          <w:sz w:val="22"/>
          <w:szCs w:val="22"/>
          <w:lang w:val="en-US"/>
        </w:rPr>
        <w:t xml:space="preserve"> the rates of</w:t>
      </w:r>
      <w:r w:rsidR="00F70BA3" w:rsidRPr="00BD4DAF">
        <w:rPr>
          <w:rFonts w:ascii="Helvetica" w:hAnsi="Helvetica" w:cstheme="minorHAnsi"/>
          <w:sz w:val="22"/>
          <w:szCs w:val="22"/>
          <w:lang w:val="en-US"/>
        </w:rPr>
        <w:t xml:space="preserve"> </w:t>
      </w:r>
      <w:r w:rsidR="00F70BA3" w:rsidRPr="00BD4DAF">
        <w:rPr>
          <w:rFonts w:ascii="Helvetica" w:hAnsi="Helvetica" w:cstheme="minorHAnsi"/>
          <w:color w:val="000000" w:themeColor="text1"/>
          <w:sz w:val="22"/>
          <w:szCs w:val="22"/>
          <w:lang w:val="en-US"/>
        </w:rPr>
        <w:t xml:space="preserve">1) those receiving </w:t>
      </w:r>
      <w:r w:rsidR="004B2F39" w:rsidRPr="00BD4DAF">
        <w:rPr>
          <w:rFonts w:ascii="Helvetica" w:hAnsi="Helvetica" w:cstheme="minorHAnsi"/>
          <w:color w:val="000000" w:themeColor="text1"/>
          <w:sz w:val="22"/>
          <w:szCs w:val="22"/>
        </w:rPr>
        <w:t>Oxford-AstraZeneca</w:t>
      </w:r>
      <w:r w:rsidR="004B2F39" w:rsidRPr="00BD4DAF">
        <w:rPr>
          <w:rFonts w:ascii="Helvetica" w:hAnsi="Helvetica" w:cstheme="minorHAnsi"/>
          <w:color w:val="000000" w:themeColor="text1"/>
          <w:sz w:val="22"/>
          <w:szCs w:val="22"/>
          <w:lang w:val="en-US"/>
        </w:rPr>
        <w:t xml:space="preserve"> </w:t>
      </w:r>
      <w:r w:rsidR="00F70BA3" w:rsidRPr="00BD4DAF">
        <w:rPr>
          <w:rFonts w:ascii="Helvetica" w:hAnsi="Helvetica" w:cstheme="minorHAnsi"/>
          <w:color w:val="000000" w:themeColor="text1"/>
          <w:sz w:val="22"/>
          <w:szCs w:val="22"/>
          <w:lang w:val="en-US"/>
        </w:rPr>
        <w:t xml:space="preserve">versus those unvaccinated, 2) those receiving </w:t>
      </w:r>
      <w:r w:rsidR="004B2F39" w:rsidRPr="00BD4DAF">
        <w:rPr>
          <w:rFonts w:ascii="Helvetica" w:hAnsi="Helvetica" w:cstheme="minorHAnsi"/>
          <w:color w:val="000000" w:themeColor="text1"/>
          <w:sz w:val="22"/>
          <w:szCs w:val="22"/>
        </w:rPr>
        <w:t>Pfizer-</w:t>
      </w:r>
      <w:proofErr w:type="spellStart"/>
      <w:r w:rsidR="004B2F39" w:rsidRPr="00BD4DAF">
        <w:rPr>
          <w:rFonts w:ascii="Helvetica" w:hAnsi="Helvetica" w:cstheme="minorHAnsi"/>
          <w:color w:val="000000" w:themeColor="text1"/>
          <w:sz w:val="22"/>
          <w:szCs w:val="22"/>
        </w:rPr>
        <w:t>BioNTech</w:t>
      </w:r>
      <w:proofErr w:type="spellEnd"/>
      <w:r w:rsidR="004B2F39" w:rsidRPr="00BD4DAF">
        <w:rPr>
          <w:rFonts w:ascii="Helvetica" w:hAnsi="Helvetica" w:cstheme="minorHAnsi"/>
          <w:color w:val="000000" w:themeColor="text1"/>
          <w:sz w:val="22"/>
          <w:szCs w:val="22"/>
        </w:rPr>
        <w:t xml:space="preserve"> </w:t>
      </w:r>
      <w:r w:rsidR="00F70BA3" w:rsidRPr="00BD4DAF">
        <w:rPr>
          <w:rFonts w:ascii="Helvetica" w:hAnsi="Helvetica" w:cstheme="minorHAnsi"/>
          <w:color w:val="000000" w:themeColor="text1"/>
          <w:sz w:val="22"/>
          <w:szCs w:val="22"/>
          <w:lang w:val="en-US"/>
        </w:rPr>
        <w:t xml:space="preserve">versus those unvaccinated, and 3) those receiving </w:t>
      </w:r>
      <w:r w:rsidR="004B2F39" w:rsidRPr="00BD4DAF">
        <w:rPr>
          <w:rFonts w:ascii="Helvetica" w:hAnsi="Helvetica" w:cstheme="minorHAnsi"/>
          <w:color w:val="000000" w:themeColor="text1"/>
          <w:sz w:val="22"/>
          <w:szCs w:val="22"/>
        </w:rPr>
        <w:t>Pfizer-</w:t>
      </w:r>
      <w:proofErr w:type="spellStart"/>
      <w:r w:rsidR="004B2F39" w:rsidRPr="00BD4DAF">
        <w:rPr>
          <w:rFonts w:ascii="Helvetica" w:hAnsi="Helvetica" w:cstheme="minorHAnsi"/>
          <w:color w:val="000000" w:themeColor="text1"/>
          <w:sz w:val="22"/>
          <w:szCs w:val="22"/>
        </w:rPr>
        <w:t>BioNTech</w:t>
      </w:r>
      <w:proofErr w:type="spellEnd"/>
      <w:r w:rsidR="004B2F39" w:rsidRPr="00BD4DAF">
        <w:rPr>
          <w:rFonts w:ascii="Helvetica" w:hAnsi="Helvetica" w:cstheme="minorHAnsi"/>
          <w:color w:val="000000" w:themeColor="text1"/>
          <w:sz w:val="22"/>
          <w:szCs w:val="22"/>
        </w:rPr>
        <w:t xml:space="preserve"> </w:t>
      </w:r>
      <w:r w:rsidR="00F70BA3" w:rsidRPr="00BD4DAF">
        <w:rPr>
          <w:rFonts w:ascii="Helvetica" w:hAnsi="Helvetica" w:cstheme="minorHAnsi"/>
          <w:color w:val="000000" w:themeColor="text1"/>
          <w:sz w:val="22"/>
          <w:szCs w:val="22"/>
          <w:lang w:val="en-US"/>
        </w:rPr>
        <w:t xml:space="preserve">versus those receiving </w:t>
      </w:r>
      <w:r w:rsidR="004B2F39" w:rsidRPr="00BD4DAF">
        <w:rPr>
          <w:rFonts w:ascii="Helvetica" w:hAnsi="Helvetica" w:cstheme="minorHAnsi"/>
          <w:color w:val="000000" w:themeColor="text1"/>
          <w:sz w:val="22"/>
          <w:szCs w:val="22"/>
        </w:rPr>
        <w:t>Oxford-AstraZeneca</w:t>
      </w:r>
      <w:r w:rsidR="00F70BA3" w:rsidRPr="00BD4DAF">
        <w:rPr>
          <w:rFonts w:ascii="Helvetica" w:hAnsi="Helvetica" w:cstheme="minorHAnsi"/>
          <w:color w:val="000000" w:themeColor="text1"/>
          <w:sz w:val="22"/>
          <w:szCs w:val="22"/>
          <w:lang w:val="en-US"/>
        </w:rPr>
        <w:t xml:space="preserve">. For the analyses of days 14-84 of follow-up, </w:t>
      </w:r>
      <w:r w:rsidR="00DF76BF">
        <w:rPr>
          <w:rFonts w:ascii="Helvetica" w:hAnsi="Helvetica" w:cstheme="minorHAnsi"/>
          <w:color w:val="000000" w:themeColor="text1"/>
          <w:sz w:val="22"/>
          <w:szCs w:val="22"/>
          <w:lang w:val="en-US"/>
        </w:rPr>
        <w:t xml:space="preserve">persons </w:t>
      </w:r>
      <w:r w:rsidR="0046381D">
        <w:rPr>
          <w:rFonts w:ascii="Helvetica" w:hAnsi="Helvetica" w:cstheme="minorHAnsi"/>
          <w:color w:val="000000" w:themeColor="text1"/>
          <w:sz w:val="22"/>
          <w:szCs w:val="22"/>
          <w:lang w:val="en-US"/>
        </w:rPr>
        <w:t>were</w:t>
      </w:r>
      <w:r w:rsidR="00DF76BF">
        <w:rPr>
          <w:rFonts w:ascii="Helvetica" w:hAnsi="Helvetica" w:cstheme="minorHAnsi"/>
          <w:color w:val="000000" w:themeColor="text1"/>
          <w:sz w:val="22"/>
          <w:szCs w:val="22"/>
          <w:lang w:val="en-US"/>
        </w:rPr>
        <w:t xml:space="preserve"> excluded if they </w:t>
      </w:r>
      <w:r w:rsidR="00B32ABB">
        <w:rPr>
          <w:rFonts w:ascii="Helvetica" w:hAnsi="Helvetica" w:cstheme="minorHAnsi"/>
          <w:color w:val="000000" w:themeColor="text1"/>
          <w:sz w:val="22"/>
          <w:szCs w:val="22"/>
          <w:lang w:val="en-US"/>
        </w:rPr>
        <w:t>or a person they were matched with were</w:t>
      </w:r>
      <w:r w:rsidR="00F70BA3" w:rsidRPr="00BD4DAF">
        <w:rPr>
          <w:rFonts w:ascii="Helvetica" w:hAnsi="Helvetica" w:cstheme="minorHAnsi"/>
          <w:color w:val="000000" w:themeColor="text1"/>
          <w:sz w:val="22"/>
          <w:szCs w:val="22"/>
          <w:lang w:val="en-US"/>
        </w:rPr>
        <w:t xml:space="preserve"> censored before the start of the follow-up period (day 14) to maintain balance between the groups (each match</w:t>
      </w:r>
      <w:r w:rsidR="006E61D6" w:rsidRPr="00BD4DAF">
        <w:rPr>
          <w:rFonts w:ascii="Helvetica" w:hAnsi="Helvetica" w:cstheme="minorHAnsi"/>
          <w:color w:val="000000" w:themeColor="text1"/>
          <w:sz w:val="22"/>
          <w:szCs w:val="22"/>
          <w:lang w:val="en-US"/>
        </w:rPr>
        <w:t>ing group contains one</w:t>
      </w:r>
      <w:r w:rsidR="00F70BA3" w:rsidRPr="00BD4DAF">
        <w:rPr>
          <w:rFonts w:ascii="Helvetica" w:hAnsi="Helvetica" w:cstheme="minorHAnsi"/>
          <w:color w:val="000000" w:themeColor="text1"/>
          <w:sz w:val="22"/>
          <w:szCs w:val="22"/>
          <w:lang w:val="en-US"/>
        </w:rPr>
        <w:t xml:space="preserve"> person receiving </w:t>
      </w:r>
      <w:r w:rsidR="004B2F39" w:rsidRPr="00BD4DAF">
        <w:rPr>
          <w:rFonts w:ascii="Helvetica" w:hAnsi="Helvetica" w:cstheme="minorHAnsi"/>
          <w:color w:val="000000" w:themeColor="text1"/>
          <w:sz w:val="22"/>
          <w:szCs w:val="22"/>
        </w:rPr>
        <w:t>Oxford-AstraZeneca</w:t>
      </w:r>
      <w:r w:rsidR="006E61D6" w:rsidRPr="00BD4DAF">
        <w:rPr>
          <w:rFonts w:ascii="Helvetica" w:hAnsi="Helvetica" w:cstheme="minorHAnsi"/>
          <w:color w:val="000000" w:themeColor="text1"/>
          <w:sz w:val="22"/>
          <w:szCs w:val="22"/>
          <w:lang w:val="en-US"/>
        </w:rPr>
        <w:t>, one</w:t>
      </w:r>
      <w:r w:rsidR="00F70BA3" w:rsidRPr="00BD4DAF">
        <w:rPr>
          <w:rFonts w:ascii="Helvetica" w:hAnsi="Helvetica" w:cstheme="minorHAnsi"/>
          <w:color w:val="000000" w:themeColor="text1"/>
          <w:sz w:val="22"/>
          <w:szCs w:val="22"/>
          <w:lang w:val="en-US"/>
        </w:rPr>
        <w:t xml:space="preserve"> receiving </w:t>
      </w:r>
      <w:r w:rsidR="004B2F39" w:rsidRPr="00BD4DAF">
        <w:rPr>
          <w:rFonts w:ascii="Helvetica" w:hAnsi="Helvetica" w:cstheme="minorHAnsi"/>
          <w:color w:val="000000" w:themeColor="text1"/>
          <w:sz w:val="22"/>
          <w:szCs w:val="22"/>
        </w:rPr>
        <w:t>Pfizer-</w:t>
      </w:r>
      <w:proofErr w:type="spellStart"/>
      <w:r w:rsidR="004B2F39" w:rsidRPr="00BD4DAF">
        <w:rPr>
          <w:rFonts w:ascii="Helvetica" w:hAnsi="Helvetica" w:cstheme="minorHAnsi"/>
          <w:color w:val="000000" w:themeColor="text1"/>
          <w:sz w:val="22"/>
          <w:szCs w:val="22"/>
        </w:rPr>
        <w:t>BioNTech</w:t>
      </w:r>
      <w:proofErr w:type="spellEnd"/>
      <w:r w:rsidR="006E61D6" w:rsidRPr="00BD4DAF">
        <w:rPr>
          <w:rFonts w:ascii="Helvetica" w:hAnsi="Helvetica" w:cstheme="minorHAnsi"/>
          <w:color w:val="000000" w:themeColor="text1"/>
          <w:sz w:val="22"/>
          <w:szCs w:val="22"/>
          <w:lang w:val="en-US"/>
        </w:rPr>
        <w:t>, and two</w:t>
      </w:r>
      <w:r w:rsidR="00F70BA3" w:rsidRPr="00BD4DAF">
        <w:rPr>
          <w:rFonts w:ascii="Helvetica" w:hAnsi="Helvetica" w:cstheme="minorHAnsi"/>
          <w:color w:val="000000" w:themeColor="text1"/>
          <w:sz w:val="22"/>
          <w:szCs w:val="22"/>
          <w:lang w:val="en-US"/>
        </w:rPr>
        <w:t xml:space="preserve"> unvaccinated).</w:t>
      </w:r>
      <w:r w:rsidR="002D66E1" w:rsidRPr="00BD4DAF">
        <w:rPr>
          <w:rFonts w:ascii="Helvetica" w:hAnsi="Helvetica" w:cstheme="minorHAnsi"/>
          <w:color w:val="000000" w:themeColor="text1"/>
          <w:sz w:val="22"/>
          <w:szCs w:val="22"/>
          <w:lang w:val="en-US"/>
        </w:rPr>
        <w:t xml:space="preserve"> </w:t>
      </w:r>
    </w:p>
    <w:p w14:paraId="3F86EC34" w14:textId="77777777" w:rsidR="00120D15" w:rsidRDefault="00120D15" w:rsidP="00B928F2">
      <w:pPr>
        <w:spacing w:line="480" w:lineRule="auto"/>
        <w:rPr>
          <w:rFonts w:ascii="Helvetica" w:hAnsi="Helvetica" w:cstheme="minorHAnsi"/>
          <w:color w:val="000000" w:themeColor="text1"/>
          <w:sz w:val="22"/>
          <w:szCs w:val="22"/>
          <w:lang w:val="en-US"/>
        </w:rPr>
      </w:pPr>
    </w:p>
    <w:p w14:paraId="5965FDD8" w14:textId="0D8F741E" w:rsidR="00516F8C" w:rsidRPr="000151A1" w:rsidRDefault="002D66E1" w:rsidP="00516F8C">
      <w:pPr>
        <w:spacing w:line="480" w:lineRule="auto"/>
        <w:rPr>
          <w:rFonts w:ascii="Helvetica" w:hAnsi="Helvetica" w:cstheme="minorHAnsi"/>
          <w:color w:val="000000" w:themeColor="text1"/>
          <w:sz w:val="22"/>
          <w:szCs w:val="22"/>
          <w:lang w:val="en-US"/>
        </w:rPr>
      </w:pPr>
      <w:r w:rsidRPr="00BD4DAF">
        <w:rPr>
          <w:rFonts w:ascii="Helvetica" w:hAnsi="Helvetica" w:cstheme="minorHAnsi"/>
          <w:color w:val="000000" w:themeColor="text1"/>
          <w:sz w:val="22"/>
          <w:szCs w:val="22"/>
        </w:rPr>
        <w:t>Survival curves for the vaccinated and unvaccinated groups were estimated with the Kaplan–Meier estimator</w:t>
      </w:r>
      <w:r w:rsidR="00B23E44" w:rsidRPr="00BD4DAF">
        <w:rPr>
          <w:rFonts w:ascii="Helvetica" w:hAnsi="Helvetica" w:cstheme="minorHAnsi"/>
          <w:color w:val="000000" w:themeColor="text1"/>
          <w:sz w:val="22"/>
          <w:szCs w:val="22"/>
        </w:rPr>
        <w:t>.</w:t>
      </w:r>
      <w:r w:rsidR="009B5260">
        <w:rPr>
          <w:rFonts w:ascii="Helvetica" w:hAnsi="Helvetica" w:cstheme="minorHAnsi"/>
          <w:color w:val="000000" w:themeColor="text1"/>
          <w:sz w:val="22"/>
          <w:szCs w:val="22"/>
          <w:highlight w:val="yellow"/>
          <w:vertAlign w:val="superscript"/>
        </w:rPr>
        <w:t>18</w:t>
      </w:r>
      <w:r w:rsidR="00DB1B79" w:rsidRPr="00BD4DAF">
        <w:rPr>
          <w:rFonts w:ascii="Helvetica" w:hAnsi="Helvetica" w:cstheme="minorHAnsi"/>
          <w:color w:val="000000" w:themeColor="text1"/>
          <w:sz w:val="22"/>
          <w:szCs w:val="22"/>
        </w:rPr>
        <w:t xml:space="preserve"> </w:t>
      </w:r>
      <w:r w:rsidR="00165452" w:rsidRPr="00BD4DAF">
        <w:rPr>
          <w:rFonts w:ascii="Helvetica" w:hAnsi="Helvetica" w:cstheme="minorHAnsi"/>
          <w:color w:val="000000" w:themeColor="text1"/>
          <w:sz w:val="22"/>
          <w:szCs w:val="22"/>
        </w:rPr>
        <w:t xml:space="preserve">Restricted cubic splines were used to display the </w:t>
      </w:r>
      <w:r w:rsidR="00165452" w:rsidRPr="00BD4DAF">
        <w:rPr>
          <w:rFonts w:ascii="Helvetica" w:hAnsi="Helvetica" w:cstheme="minorHAnsi"/>
          <w:color w:val="000000" w:themeColor="text1"/>
          <w:sz w:val="22"/>
          <w:szCs w:val="22"/>
          <w:lang w:val="en-US"/>
        </w:rPr>
        <w:t>association between age and COVID-19 outcomes at 84 days after first dose of the Oxford-AstraZeneca or Pfizer-</w:t>
      </w:r>
      <w:proofErr w:type="spellStart"/>
      <w:r w:rsidR="00165452" w:rsidRPr="00BD4DAF">
        <w:rPr>
          <w:rFonts w:ascii="Helvetica" w:hAnsi="Helvetica" w:cstheme="minorHAnsi"/>
          <w:color w:val="000000" w:themeColor="text1"/>
          <w:sz w:val="22"/>
          <w:szCs w:val="22"/>
          <w:lang w:val="en-US"/>
        </w:rPr>
        <w:t>BioNTech</w:t>
      </w:r>
      <w:proofErr w:type="spellEnd"/>
      <w:r w:rsidR="00165452" w:rsidRPr="00BD4DAF">
        <w:rPr>
          <w:rFonts w:ascii="Helvetica" w:hAnsi="Helvetica" w:cstheme="minorHAnsi"/>
          <w:color w:val="000000" w:themeColor="text1"/>
          <w:sz w:val="22"/>
          <w:szCs w:val="22"/>
          <w:lang w:val="en-US"/>
        </w:rPr>
        <w:t xml:space="preserve"> vaccines.</w:t>
      </w:r>
      <w:r w:rsidR="00B66FE2" w:rsidRPr="00BD4DAF">
        <w:rPr>
          <w:rFonts w:ascii="Helvetica" w:hAnsi="Helvetica" w:cstheme="minorHAnsi"/>
          <w:color w:val="000000" w:themeColor="text1"/>
          <w:sz w:val="22"/>
          <w:szCs w:val="22"/>
          <w:lang w:val="en-US"/>
        </w:rPr>
        <w:t xml:space="preserve"> </w:t>
      </w:r>
      <w:r w:rsidR="00F70BA3" w:rsidRPr="00BD4DAF">
        <w:rPr>
          <w:rFonts w:ascii="Helvetica" w:hAnsi="Helvetica" w:cstheme="minorHAnsi"/>
          <w:color w:val="000000" w:themeColor="text1"/>
          <w:sz w:val="22"/>
          <w:szCs w:val="22"/>
          <w:lang w:val="en-US"/>
        </w:rPr>
        <w:t xml:space="preserve">Analyses were performed using Stata </w:t>
      </w:r>
      <w:r w:rsidR="00F32C3F" w:rsidRPr="00BD4DAF">
        <w:rPr>
          <w:rFonts w:ascii="Helvetica" w:hAnsi="Helvetica" w:cstheme="minorHAnsi"/>
          <w:color w:val="000000" w:themeColor="text1"/>
          <w:sz w:val="22"/>
          <w:szCs w:val="22"/>
          <w:lang w:val="en-US"/>
        </w:rPr>
        <w:t>(</w:t>
      </w:r>
      <w:r w:rsidR="00F70BA3" w:rsidRPr="00BD4DAF">
        <w:rPr>
          <w:rFonts w:ascii="Helvetica" w:hAnsi="Helvetica" w:cstheme="minorHAnsi"/>
          <w:color w:val="000000" w:themeColor="text1"/>
          <w:sz w:val="22"/>
          <w:szCs w:val="22"/>
          <w:lang w:val="en-US"/>
        </w:rPr>
        <w:t>version 16.1</w:t>
      </w:r>
      <w:r w:rsidR="00F32C3F" w:rsidRPr="00BD4DAF">
        <w:rPr>
          <w:rFonts w:ascii="Helvetica" w:hAnsi="Helvetica" w:cstheme="minorHAnsi"/>
          <w:color w:val="000000" w:themeColor="text1"/>
          <w:sz w:val="22"/>
          <w:szCs w:val="22"/>
          <w:lang w:val="en-US"/>
        </w:rPr>
        <w:t xml:space="preserve">) and </w:t>
      </w:r>
      <w:r w:rsidR="00F32C3F" w:rsidRPr="00BD4DAF">
        <w:rPr>
          <w:rFonts w:ascii="Helvetica" w:hAnsi="Helvetica" w:cstheme="minorHAnsi"/>
          <w:color w:val="000000" w:themeColor="text1"/>
          <w:sz w:val="22"/>
          <w:szCs w:val="22"/>
        </w:rPr>
        <w:t>R (version 3.5.0)</w:t>
      </w:r>
      <w:r w:rsidR="00F70BA3" w:rsidRPr="00BD4DAF">
        <w:rPr>
          <w:rFonts w:ascii="Helvetica" w:hAnsi="Helvetica" w:cstheme="minorHAnsi"/>
          <w:color w:val="000000" w:themeColor="text1"/>
          <w:sz w:val="22"/>
          <w:szCs w:val="22"/>
          <w:lang w:val="en-US"/>
        </w:rPr>
        <w:t>.</w:t>
      </w:r>
      <w:r w:rsidR="00516F8C">
        <w:rPr>
          <w:rFonts w:ascii="Helvetica" w:hAnsi="Helvetica" w:cstheme="minorHAnsi"/>
          <w:color w:val="000000" w:themeColor="text1"/>
          <w:sz w:val="22"/>
          <w:szCs w:val="22"/>
          <w:lang w:val="en-US"/>
        </w:rPr>
        <w:t xml:space="preserve"> </w:t>
      </w:r>
      <w:r w:rsidR="00516F8C" w:rsidRPr="000151A1">
        <w:rPr>
          <w:rFonts w:ascii="Helvetica" w:hAnsi="Helvetica" w:cstheme="minorHAnsi"/>
          <w:color w:val="000000" w:themeColor="text1"/>
          <w:sz w:val="22"/>
          <w:szCs w:val="22"/>
        </w:rPr>
        <w:t>The study is reported in accordance with Strengthening the Reporting of Observational Studies in Epidemiology (STROBE) Guidelines.</w:t>
      </w:r>
    </w:p>
    <w:p w14:paraId="7E71CD39" w14:textId="77777777" w:rsidR="00516F8C" w:rsidRDefault="00516F8C" w:rsidP="00B928F2">
      <w:pPr>
        <w:spacing w:line="480" w:lineRule="auto"/>
        <w:rPr>
          <w:rFonts w:ascii="Helvetica" w:hAnsi="Helvetica" w:cstheme="minorHAnsi"/>
          <w:color w:val="000000" w:themeColor="text1"/>
          <w:sz w:val="22"/>
          <w:szCs w:val="22"/>
          <w:lang w:val="en-US"/>
        </w:rPr>
      </w:pPr>
    </w:p>
    <w:p w14:paraId="6664C309" w14:textId="77777777" w:rsidR="00456B08" w:rsidRPr="00BD4DAF" w:rsidRDefault="00456B08" w:rsidP="00B928F2">
      <w:pPr>
        <w:spacing w:line="480" w:lineRule="auto"/>
        <w:rPr>
          <w:rFonts w:ascii="Helvetica" w:hAnsi="Helvetica" w:cstheme="minorHAnsi"/>
          <w:color w:val="000000" w:themeColor="text1"/>
          <w:sz w:val="22"/>
          <w:szCs w:val="22"/>
        </w:rPr>
      </w:pPr>
    </w:p>
    <w:p w14:paraId="49C263D5" w14:textId="6FDD9AE3" w:rsidR="00684375" w:rsidRDefault="00456B08" w:rsidP="00B928F2">
      <w:pPr>
        <w:spacing w:line="480" w:lineRule="auto"/>
        <w:rPr>
          <w:rFonts w:ascii="Helvetica" w:hAnsi="Helvetica" w:cstheme="minorHAnsi"/>
          <w:b/>
          <w:iCs/>
          <w:color w:val="000000" w:themeColor="text1"/>
          <w:sz w:val="22"/>
          <w:szCs w:val="22"/>
          <w:lang w:val="en-US"/>
        </w:rPr>
      </w:pPr>
      <w:r>
        <w:rPr>
          <w:rFonts w:ascii="Helvetica" w:hAnsi="Helvetica" w:cstheme="minorHAnsi"/>
          <w:b/>
          <w:iCs/>
          <w:color w:val="000000" w:themeColor="text1"/>
          <w:sz w:val="22"/>
          <w:szCs w:val="22"/>
          <w:lang w:val="en-US"/>
        </w:rPr>
        <w:t>Role of the funding source</w:t>
      </w:r>
    </w:p>
    <w:p w14:paraId="1E2275E9" w14:textId="3A8F272E" w:rsidR="005B6AFB" w:rsidRPr="005B6AFB" w:rsidRDefault="005B6AFB" w:rsidP="005B6AFB">
      <w:pPr>
        <w:spacing w:line="480" w:lineRule="auto"/>
        <w:rPr>
          <w:rFonts w:ascii="Helvetica" w:hAnsi="Helvetica" w:cstheme="minorHAnsi"/>
          <w:bCs/>
          <w:color w:val="000000" w:themeColor="text1"/>
          <w:sz w:val="22"/>
          <w:szCs w:val="22"/>
        </w:rPr>
      </w:pPr>
      <w:r w:rsidRPr="005B6AFB">
        <w:rPr>
          <w:rFonts w:ascii="Helvetica" w:hAnsi="Helvetica" w:cstheme="minorHAnsi"/>
          <w:bCs/>
          <w:color w:val="000000" w:themeColor="text1"/>
          <w:sz w:val="22"/>
          <w:szCs w:val="22"/>
        </w:rPr>
        <w:t>The funders had no role in study design, data collection, data analysis, data interpreta</w:t>
      </w:r>
      <w:r>
        <w:rPr>
          <w:rFonts w:ascii="Helvetica" w:hAnsi="Helvetica" w:cstheme="minorHAnsi"/>
          <w:bCs/>
          <w:color w:val="000000" w:themeColor="text1"/>
          <w:sz w:val="22"/>
          <w:szCs w:val="22"/>
        </w:rPr>
        <w:t>tion, or writing the report. AK, AT and AS</w:t>
      </w:r>
      <w:r w:rsidRPr="005B6AFB">
        <w:rPr>
          <w:rFonts w:ascii="Helvetica" w:hAnsi="Helvetica" w:cstheme="minorHAnsi"/>
          <w:bCs/>
          <w:color w:val="000000" w:themeColor="text1"/>
          <w:sz w:val="22"/>
          <w:szCs w:val="22"/>
        </w:rPr>
        <w:t xml:space="preserve"> had access to all data and take full responsibility for its </w:t>
      </w:r>
      <w:r w:rsidRPr="005B6AFB">
        <w:rPr>
          <w:rFonts w:ascii="Helvetica" w:hAnsi="Helvetica" w:cstheme="minorHAnsi"/>
          <w:bCs/>
          <w:color w:val="000000" w:themeColor="text1"/>
          <w:sz w:val="22"/>
          <w:szCs w:val="22"/>
        </w:rPr>
        <w:lastRenderedPageBreak/>
        <w:t>integrity and the accuracy of the ana</w:t>
      </w:r>
      <w:r>
        <w:rPr>
          <w:rFonts w:ascii="Helvetica" w:hAnsi="Helvetica" w:cstheme="minorHAnsi"/>
          <w:bCs/>
          <w:color w:val="000000" w:themeColor="text1"/>
          <w:sz w:val="22"/>
          <w:szCs w:val="22"/>
        </w:rPr>
        <w:t>lyses. The corresponding author</w:t>
      </w:r>
      <w:r w:rsidRPr="005B6AFB">
        <w:rPr>
          <w:rFonts w:ascii="Helvetica" w:hAnsi="Helvetica" w:cstheme="minorHAnsi"/>
          <w:bCs/>
          <w:color w:val="000000" w:themeColor="text1"/>
          <w:sz w:val="22"/>
          <w:szCs w:val="22"/>
        </w:rPr>
        <w:t xml:space="preserve"> had final responsibility for the decision to submit for publication.</w:t>
      </w:r>
    </w:p>
    <w:p w14:paraId="238BF1CD" w14:textId="77777777" w:rsidR="00456B08" w:rsidRDefault="00456B08" w:rsidP="00B928F2">
      <w:pPr>
        <w:spacing w:line="480" w:lineRule="auto"/>
        <w:rPr>
          <w:rFonts w:ascii="Helvetica" w:hAnsi="Helvetica" w:cstheme="minorHAnsi"/>
          <w:b/>
          <w:bCs/>
          <w:color w:val="000000" w:themeColor="text1"/>
          <w:sz w:val="22"/>
          <w:szCs w:val="22"/>
        </w:rPr>
      </w:pPr>
    </w:p>
    <w:p w14:paraId="7D351ECA" w14:textId="77777777" w:rsidR="00EA3BE5" w:rsidRDefault="00EA3BE5" w:rsidP="00B928F2">
      <w:pPr>
        <w:spacing w:line="480" w:lineRule="auto"/>
        <w:rPr>
          <w:rFonts w:ascii="Helvetica" w:hAnsi="Helvetica" w:cstheme="minorHAnsi"/>
          <w:b/>
          <w:bCs/>
          <w:color w:val="000000" w:themeColor="text1"/>
          <w:sz w:val="26"/>
          <w:szCs w:val="26"/>
        </w:rPr>
      </w:pPr>
    </w:p>
    <w:p w14:paraId="33BAACB9" w14:textId="77777777" w:rsidR="00C46A9D" w:rsidRDefault="00C46A9D" w:rsidP="00B928F2">
      <w:pPr>
        <w:spacing w:line="480" w:lineRule="auto"/>
        <w:rPr>
          <w:rFonts w:ascii="Helvetica" w:hAnsi="Helvetica" w:cstheme="minorHAnsi"/>
          <w:b/>
          <w:bCs/>
          <w:color w:val="000000" w:themeColor="text1"/>
          <w:sz w:val="26"/>
          <w:szCs w:val="26"/>
        </w:rPr>
      </w:pPr>
    </w:p>
    <w:p w14:paraId="6097ECF4" w14:textId="2E77ECC1" w:rsidR="00FF670B" w:rsidRPr="00C32601" w:rsidRDefault="00665C4C" w:rsidP="00B928F2">
      <w:pPr>
        <w:spacing w:line="480" w:lineRule="auto"/>
        <w:rPr>
          <w:rFonts w:ascii="Helvetica" w:hAnsi="Helvetica" w:cstheme="minorHAnsi"/>
          <w:b/>
          <w:bCs/>
          <w:color w:val="000000" w:themeColor="text1"/>
          <w:sz w:val="26"/>
          <w:szCs w:val="26"/>
        </w:rPr>
      </w:pPr>
      <w:r w:rsidRPr="00C32601">
        <w:rPr>
          <w:rFonts w:ascii="Helvetica" w:hAnsi="Helvetica" w:cstheme="minorHAnsi"/>
          <w:b/>
          <w:bCs/>
          <w:color w:val="000000" w:themeColor="text1"/>
          <w:sz w:val="26"/>
          <w:szCs w:val="26"/>
        </w:rPr>
        <w:t>Results</w:t>
      </w:r>
    </w:p>
    <w:p w14:paraId="3F6A4700" w14:textId="6D093421" w:rsidR="00FF670B" w:rsidRPr="00BD4DAF" w:rsidRDefault="00FF670B" w:rsidP="00B928F2">
      <w:pPr>
        <w:spacing w:line="480" w:lineRule="auto"/>
        <w:rPr>
          <w:rFonts w:ascii="Helvetica" w:hAnsi="Helvetica" w:cstheme="minorHAnsi"/>
          <w:b/>
          <w:iCs/>
          <w:color w:val="000000" w:themeColor="text1"/>
          <w:sz w:val="22"/>
          <w:szCs w:val="22"/>
          <w:lang w:val="en-US"/>
        </w:rPr>
      </w:pPr>
      <w:r w:rsidRPr="00BD4DAF">
        <w:rPr>
          <w:rFonts w:ascii="Helvetica" w:hAnsi="Helvetica" w:cstheme="minorHAnsi"/>
          <w:b/>
          <w:iCs/>
          <w:color w:val="000000" w:themeColor="text1"/>
          <w:sz w:val="22"/>
          <w:szCs w:val="22"/>
          <w:lang w:val="en-US"/>
        </w:rPr>
        <w:t xml:space="preserve">Study population </w:t>
      </w:r>
    </w:p>
    <w:p w14:paraId="4B30C723" w14:textId="7279E88C" w:rsidR="000D4F67" w:rsidRPr="00BD4DAF" w:rsidRDefault="007728A3" w:rsidP="00B928F2">
      <w:pPr>
        <w:spacing w:line="480" w:lineRule="auto"/>
        <w:rPr>
          <w:rFonts w:ascii="Helvetica" w:hAnsi="Helvetica" w:cstheme="minorHAnsi"/>
          <w:sz w:val="22"/>
          <w:szCs w:val="22"/>
          <w:lang w:val="en-US"/>
        </w:rPr>
      </w:pPr>
      <w:r w:rsidRPr="00BD4DAF">
        <w:rPr>
          <w:rFonts w:ascii="Helvetica" w:hAnsi="Helvetica" w:cstheme="minorHAnsi"/>
          <w:sz w:val="22"/>
          <w:szCs w:val="22"/>
          <w:lang w:val="en-US"/>
        </w:rPr>
        <w:t xml:space="preserve">Of </w:t>
      </w:r>
      <w:r w:rsidR="00235308" w:rsidRPr="00BD4DAF">
        <w:rPr>
          <w:rFonts w:ascii="Helvetica" w:hAnsi="Helvetica" w:cstheme="minorHAnsi"/>
          <w:sz w:val="22"/>
          <w:szCs w:val="22"/>
          <w:lang w:val="en-US"/>
        </w:rPr>
        <w:t xml:space="preserve">2,210,319 participants </w:t>
      </w:r>
      <w:r w:rsidR="007F73D1" w:rsidRPr="00BD4DAF">
        <w:rPr>
          <w:rFonts w:ascii="Helvetica" w:hAnsi="Helvetica" w:cstheme="minorHAnsi"/>
          <w:sz w:val="22"/>
          <w:szCs w:val="22"/>
          <w:lang w:val="en-US"/>
        </w:rPr>
        <w:t xml:space="preserve">who </w:t>
      </w:r>
      <w:r w:rsidR="00235308" w:rsidRPr="00BD4DAF">
        <w:rPr>
          <w:rFonts w:ascii="Helvetica" w:hAnsi="Helvetica" w:cstheme="minorHAnsi"/>
          <w:sz w:val="22"/>
          <w:szCs w:val="22"/>
          <w:lang w:val="en-US"/>
        </w:rPr>
        <w:t xml:space="preserve">were alive on December </w:t>
      </w:r>
      <w:r w:rsidR="003A5DFA" w:rsidRPr="00BD4DAF">
        <w:rPr>
          <w:rFonts w:ascii="Helvetica" w:hAnsi="Helvetica" w:cstheme="minorHAnsi"/>
          <w:sz w:val="22"/>
          <w:szCs w:val="22"/>
          <w:lang w:val="en-US"/>
        </w:rPr>
        <w:t>08,</w:t>
      </w:r>
      <w:r w:rsidR="00235308" w:rsidRPr="00BD4DAF">
        <w:rPr>
          <w:rFonts w:ascii="Helvetica" w:hAnsi="Helvetica" w:cstheme="minorHAnsi"/>
          <w:sz w:val="22"/>
          <w:szCs w:val="22"/>
          <w:lang w:val="en-US"/>
        </w:rPr>
        <w:t xml:space="preserve"> 2020</w:t>
      </w:r>
      <w:r w:rsidR="00E5056B" w:rsidRPr="00BD4DAF">
        <w:rPr>
          <w:rFonts w:ascii="Helvetica" w:hAnsi="Helvetica" w:cstheme="minorHAnsi"/>
          <w:sz w:val="22"/>
          <w:szCs w:val="22"/>
          <w:lang w:val="en-US"/>
        </w:rPr>
        <w:t xml:space="preserve">, 2,151,425 were eligible for the study and </w:t>
      </w:r>
      <w:r w:rsidR="00284FA3" w:rsidRPr="00BD4DAF">
        <w:rPr>
          <w:rFonts w:ascii="Helvetica" w:hAnsi="Helvetica" w:cstheme="minorHAnsi"/>
          <w:sz w:val="22"/>
          <w:szCs w:val="22"/>
          <w:lang w:val="en-US"/>
        </w:rPr>
        <w:t>281,657 vaccinated individuals were matched to unvaccinated controls (</w:t>
      </w:r>
      <w:r w:rsidR="00284FA3" w:rsidRPr="00BD4DAF">
        <w:rPr>
          <w:rFonts w:ascii="Helvetica" w:hAnsi="Helvetica" w:cstheme="minorHAnsi"/>
          <w:sz w:val="22"/>
          <w:szCs w:val="22"/>
          <w:highlight w:val="green"/>
          <w:lang w:val="en-US"/>
        </w:rPr>
        <w:t>Figure 1</w:t>
      </w:r>
      <w:r w:rsidR="000D1E1D">
        <w:rPr>
          <w:rFonts w:ascii="Helvetica" w:hAnsi="Helvetica" w:cstheme="minorHAnsi"/>
          <w:sz w:val="22"/>
          <w:szCs w:val="22"/>
          <w:lang w:val="en-US"/>
        </w:rPr>
        <w:t xml:space="preserve">). </w:t>
      </w:r>
      <w:r w:rsidR="00381D93">
        <w:rPr>
          <w:rFonts w:ascii="Helvetica" w:hAnsi="Helvetica" w:cstheme="minorHAnsi"/>
          <w:sz w:val="22"/>
          <w:szCs w:val="22"/>
          <w:lang w:val="en-US"/>
        </w:rPr>
        <w:t xml:space="preserve"> </w:t>
      </w:r>
      <w:r w:rsidR="00635078" w:rsidRPr="00BD4DAF">
        <w:rPr>
          <w:rFonts w:ascii="Helvetica" w:hAnsi="Helvetica" w:cstheme="minorHAnsi"/>
          <w:sz w:val="22"/>
          <w:szCs w:val="22"/>
          <w:lang w:val="en-US"/>
        </w:rPr>
        <w:t xml:space="preserve">From this cohort of matched individuals, 63,608 </w:t>
      </w:r>
      <w:r w:rsidR="002222B1" w:rsidRPr="00BD4DAF">
        <w:rPr>
          <w:rFonts w:ascii="Helvetica" w:hAnsi="Helvetica" w:cstheme="minorHAnsi"/>
          <w:sz w:val="22"/>
          <w:szCs w:val="22"/>
          <w:lang w:val="en-US"/>
        </w:rPr>
        <w:t>were matched in each vaccine group</w:t>
      </w:r>
      <w:r w:rsidR="0084671D" w:rsidRPr="00BD4DAF">
        <w:rPr>
          <w:rFonts w:ascii="Helvetica" w:hAnsi="Helvetica" w:cstheme="minorHAnsi"/>
          <w:sz w:val="22"/>
          <w:szCs w:val="22"/>
          <w:lang w:val="en-US"/>
        </w:rPr>
        <w:t xml:space="preserve">. The final dataset therefore had </w:t>
      </w:r>
      <w:r w:rsidR="008942D2" w:rsidRPr="00BD4DAF">
        <w:rPr>
          <w:rFonts w:ascii="Helvetica" w:hAnsi="Helvetica" w:cstheme="minorHAnsi"/>
          <w:sz w:val="22"/>
          <w:szCs w:val="22"/>
          <w:lang w:val="en-US"/>
        </w:rPr>
        <w:t>127,216 vaccinated participants (63,608 Oxford-AstraZeneca and 63,608 Pfizer-</w:t>
      </w:r>
      <w:proofErr w:type="spellStart"/>
      <w:r w:rsidR="008942D2" w:rsidRPr="00BD4DAF">
        <w:rPr>
          <w:rFonts w:ascii="Helvetica" w:hAnsi="Helvetica" w:cstheme="minorHAnsi"/>
          <w:sz w:val="22"/>
          <w:szCs w:val="22"/>
          <w:lang w:val="en-US"/>
        </w:rPr>
        <w:t>BioNTech</w:t>
      </w:r>
      <w:proofErr w:type="spellEnd"/>
      <w:r w:rsidR="008942D2" w:rsidRPr="00BD4DAF">
        <w:rPr>
          <w:rFonts w:ascii="Helvetica" w:hAnsi="Helvetica" w:cstheme="minorHAnsi"/>
          <w:sz w:val="22"/>
          <w:szCs w:val="22"/>
          <w:lang w:val="en-US"/>
        </w:rPr>
        <w:t>) and 127,216 unvaccinated individuals that had previously been matched to these vaccinated persons (</w:t>
      </w:r>
      <w:r w:rsidR="008942D2" w:rsidRPr="00BD4DAF">
        <w:rPr>
          <w:rFonts w:ascii="Helvetica" w:hAnsi="Helvetica" w:cstheme="minorHAnsi"/>
          <w:sz w:val="22"/>
          <w:szCs w:val="22"/>
          <w:highlight w:val="green"/>
          <w:lang w:val="en-US"/>
        </w:rPr>
        <w:t>Figure 1</w:t>
      </w:r>
      <w:r w:rsidR="00381D93">
        <w:rPr>
          <w:rFonts w:ascii="Helvetica" w:hAnsi="Helvetica" w:cstheme="minorHAnsi"/>
          <w:sz w:val="22"/>
          <w:szCs w:val="22"/>
          <w:lang w:val="en-US"/>
        </w:rPr>
        <w:t>)</w:t>
      </w:r>
      <w:r w:rsidR="008942D2" w:rsidRPr="00BD4DAF">
        <w:rPr>
          <w:rFonts w:ascii="Helvetica" w:hAnsi="Helvetica" w:cstheme="minorHAnsi"/>
          <w:sz w:val="22"/>
          <w:szCs w:val="22"/>
          <w:lang w:val="en-US"/>
        </w:rPr>
        <w:t>.</w:t>
      </w:r>
      <w:r w:rsidR="00381D93">
        <w:rPr>
          <w:rFonts w:ascii="Helvetica" w:hAnsi="Helvetica" w:cstheme="minorHAnsi"/>
          <w:sz w:val="22"/>
          <w:szCs w:val="22"/>
          <w:lang w:val="en-US"/>
        </w:rPr>
        <w:t xml:space="preserve"> </w:t>
      </w:r>
      <w:r w:rsidR="00AA2D86">
        <w:rPr>
          <w:rFonts w:ascii="Helvetica" w:hAnsi="Helvetica" w:cstheme="minorHAnsi"/>
          <w:sz w:val="22"/>
          <w:szCs w:val="22"/>
          <w:lang w:val="en-US"/>
        </w:rPr>
        <w:t>The d</w:t>
      </w:r>
      <w:r w:rsidR="00AA2D86" w:rsidRPr="00AA2D86">
        <w:rPr>
          <w:rFonts w:ascii="Helvetica" w:hAnsi="Helvetica" w:cstheme="minorHAnsi"/>
          <w:sz w:val="22"/>
          <w:szCs w:val="22"/>
          <w:lang w:val="en-US"/>
        </w:rPr>
        <w:t xml:space="preserve">emographic and clinical characteristics for all eligible </w:t>
      </w:r>
      <w:r w:rsidR="00AA2D86">
        <w:rPr>
          <w:rFonts w:ascii="Helvetica" w:hAnsi="Helvetica" w:cstheme="minorHAnsi"/>
          <w:sz w:val="22"/>
          <w:szCs w:val="22"/>
          <w:lang w:val="en-US"/>
        </w:rPr>
        <w:t>and matched individuals,</w:t>
      </w:r>
      <w:r w:rsidR="00AA2D86" w:rsidRPr="00AA2D86">
        <w:rPr>
          <w:rFonts w:asciiTheme="minorHAnsi" w:hAnsiTheme="minorHAnsi" w:cstheme="minorHAnsi"/>
          <w:lang w:val="en-US"/>
        </w:rPr>
        <w:t xml:space="preserve"> </w:t>
      </w:r>
      <w:r w:rsidR="00AA2D86">
        <w:rPr>
          <w:rFonts w:ascii="Helvetica" w:hAnsi="Helvetica" w:cstheme="minorHAnsi"/>
          <w:sz w:val="22"/>
          <w:szCs w:val="22"/>
          <w:lang w:val="en-US"/>
        </w:rPr>
        <w:t>stratified</w:t>
      </w:r>
      <w:r w:rsidR="00AA2D86" w:rsidRPr="00AA2D86">
        <w:rPr>
          <w:rFonts w:ascii="Helvetica" w:hAnsi="Helvetica" w:cstheme="minorHAnsi"/>
          <w:sz w:val="22"/>
          <w:szCs w:val="22"/>
          <w:lang w:val="en-US"/>
        </w:rPr>
        <w:t xml:space="preserve"> by whether or not they were vaccinated</w:t>
      </w:r>
      <w:r w:rsidR="00AA2D86">
        <w:rPr>
          <w:rFonts w:ascii="Helvetica" w:hAnsi="Helvetica" w:cstheme="minorHAnsi"/>
          <w:sz w:val="22"/>
          <w:szCs w:val="22"/>
          <w:lang w:val="en-US"/>
        </w:rPr>
        <w:t xml:space="preserve">, are summarised in </w:t>
      </w:r>
      <w:r w:rsidR="00381D93" w:rsidRPr="0024547E">
        <w:rPr>
          <w:rFonts w:ascii="Helvetica" w:hAnsi="Helvetica" w:cstheme="minorHAnsi"/>
          <w:sz w:val="22"/>
          <w:szCs w:val="22"/>
          <w:highlight w:val="cyan"/>
          <w:lang w:val="en-US"/>
        </w:rPr>
        <w:t>Table S1</w:t>
      </w:r>
      <w:r w:rsidR="00AA2D86">
        <w:rPr>
          <w:rFonts w:ascii="Helvetica" w:hAnsi="Helvetica" w:cstheme="minorHAnsi"/>
          <w:sz w:val="22"/>
          <w:szCs w:val="22"/>
          <w:lang w:val="en-US"/>
        </w:rPr>
        <w:t>.</w:t>
      </w:r>
      <w:r w:rsidR="008A1B2B">
        <w:rPr>
          <w:rFonts w:ascii="Helvetica" w:hAnsi="Helvetica" w:cstheme="minorHAnsi"/>
          <w:sz w:val="22"/>
          <w:szCs w:val="22"/>
          <w:lang w:val="en-US"/>
        </w:rPr>
        <w:t xml:space="preserve"> </w:t>
      </w:r>
    </w:p>
    <w:p w14:paraId="1E9AFA4C" w14:textId="77777777" w:rsidR="000A23F6" w:rsidRPr="00BD4DAF" w:rsidRDefault="000A23F6" w:rsidP="00B928F2">
      <w:pPr>
        <w:spacing w:line="480" w:lineRule="auto"/>
        <w:rPr>
          <w:rFonts w:ascii="Helvetica" w:hAnsi="Helvetica" w:cstheme="minorHAnsi"/>
          <w:sz w:val="22"/>
          <w:szCs w:val="22"/>
          <w:lang w:val="en-US"/>
        </w:rPr>
      </w:pPr>
    </w:p>
    <w:p w14:paraId="4BEB255A" w14:textId="012DA739" w:rsidR="00D83138" w:rsidRPr="00BD4DAF" w:rsidRDefault="002903BE" w:rsidP="00B928F2">
      <w:pPr>
        <w:spacing w:line="480" w:lineRule="auto"/>
        <w:rPr>
          <w:rFonts w:ascii="Helvetica" w:hAnsi="Helvetica" w:cstheme="minorHAnsi"/>
          <w:sz w:val="22"/>
          <w:szCs w:val="22"/>
          <w:lang w:val="en-US"/>
        </w:rPr>
      </w:pPr>
      <w:r w:rsidRPr="00BD4DAF">
        <w:rPr>
          <w:rFonts w:ascii="Helvetica" w:hAnsi="Helvetica" w:cstheme="minorHAnsi"/>
          <w:sz w:val="22"/>
          <w:szCs w:val="22"/>
          <w:lang w:val="en-US"/>
        </w:rPr>
        <w:t xml:space="preserve">Matched individuals </w:t>
      </w:r>
      <w:r w:rsidRPr="00BD4DAF">
        <w:rPr>
          <w:rFonts w:ascii="Helvetica" w:hAnsi="Helvetica" w:cstheme="minorHAnsi"/>
          <w:sz w:val="22"/>
          <w:szCs w:val="22"/>
        </w:rPr>
        <w:t>were younger</w:t>
      </w:r>
      <w:r w:rsidR="00F07B53" w:rsidRPr="00BD4DAF">
        <w:rPr>
          <w:rFonts w:ascii="Helvetica" w:hAnsi="Helvetica" w:cstheme="minorHAnsi"/>
          <w:sz w:val="22"/>
          <w:szCs w:val="22"/>
        </w:rPr>
        <w:t xml:space="preserve"> (median age 5</w:t>
      </w:r>
      <w:r w:rsidR="00136415" w:rsidRPr="00BD4DAF">
        <w:rPr>
          <w:rFonts w:ascii="Helvetica" w:hAnsi="Helvetica" w:cstheme="minorHAnsi"/>
          <w:sz w:val="22"/>
          <w:szCs w:val="22"/>
        </w:rPr>
        <w:t>3</w:t>
      </w:r>
      <w:r w:rsidR="00F07B53" w:rsidRPr="00BD4DAF">
        <w:rPr>
          <w:rFonts w:ascii="Helvetica" w:hAnsi="Helvetica" w:cstheme="minorHAnsi"/>
          <w:sz w:val="22"/>
          <w:szCs w:val="22"/>
        </w:rPr>
        <w:t xml:space="preserve"> years (interquartile range </w:t>
      </w:r>
      <w:r w:rsidR="00136415" w:rsidRPr="00BD4DAF">
        <w:rPr>
          <w:rFonts w:ascii="Helvetica" w:hAnsi="Helvetica" w:cstheme="minorHAnsi"/>
          <w:sz w:val="22"/>
          <w:szCs w:val="22"/>
        </w:rPr>
        <w:t>[I</w:t>
      </w:r>
      <w:r w:rsidR="00F07B53" w:rsidRPr="00BD4DAF">
        <w:rPr>
          <w:rFonts w:ascii="Helvetica" w:hAnsi="Helvetica" w:cstheme="minorHAnsi"/>
          <w:sz w:val="22"/>
          <w:szCs w:val="22"/>
        </w:rPr>
        <w:t>QR</w:t>
      </w:r>
      <w:r w:rsidR="00136415" w:rsidRPr="00BD4DAF">
        <w:rPr>
          <w:rFonts w:ascii="Helvetica" w:hAnsi="Helvetica" w:cstheme="minorHAnsi"/>
          <w:sz w:val="22"/>
          <w:szCs w:val="22"/>
        </w:rPr>
        <w:t>]</w:t>
      </w:r>
      <w:r w:rsidR="005E7A1F" w:rsidRPr="00BD4DAF">
        <w:rPr>
          <w:rFonts w:ascii="Helvetica" w:hAnsi="Helvetica" w:cstheme="minorHAnsi"/>
          <w:sz w:val="22"/>
          <w:szCs w:val="22"/>
        </w:rPr>
        <w:t>,</w:t>
      </w:r>
      <w:r w:rsidR="00F07B53" w:rsidRPr="00BD4DAF">
        <w:rPr>
          <w:rFonts w:ascii="Helvetica" w:hAnsi="Helvetica" w:cstheme="minorHAnsi"/>
          <w:sz w:val="22"/>
          <w:szCs w:val="22"/>
        </w:rPr>
        <w:t xml:space="preserve"> </w:t>
      </w:r>
      <w:r w:rsidR="00136415" w:rsidRPr="00BD4DAF">
        <w:rPr>
          <w:rFonts w:ascii="Helvetica" w:hAnsi="Helvetica" w:cstheme="minorHAnsi"/>
          <w:sz w:val="22"/>
          <w:szCs w:val="22"/>
        </w:rPr>
        <w:t>41</w:t>
      </w:r>
      <w:r w:rsidR="005E7A1F" w:rsidRPr="00BD4DAF">
        <w:rPr>
          <w:rFonts w:ascii="Helvetica" w:hAnsi="Helvetica" w:cstheme="minorHAnsi"/>
          <w:sz w:val="22"/>
          <w:szCs w:val="22"/>
        </w:rPr>
        <w:t xml:space="preserve"> to </w:t>
      </w:r>
      <w:r w:rsidR="00136415" w:rsidRPr="00BD4DAF">
        <w:rPr>
          <w:rFonts w:ascii="Helvetica" w:hAnsi="Helvetica" w:cstheme="minorHAnsi"/>
          <w:sz w:val="22"/>
          <w:szCs w:val="22"/>
        </w:rPr>
        <w:t>61</w:t>
      </w:r>
      <w:r w:rsidR="00F07B53" w:rsidRPr="00BD4DAF">
        <w:rPr>
          <w:rFonts w:ascii="Helvetica" w:hAnsi="Helvetica" w:cstheme="minorHAnsi"/>
          <w:sz w:val="22"/>
          <w:szCs w:val="22"/>
        </w:rPr>
        <w:t>))</w:t>
      </w:r>
      <w:r w:rsidRPr="00BD4DAF">
        <w:rPr>
          <w:rFonts w:ascii="Helvetica" w:hAnsi="Helvetica" w:cstheme="minorHAnsi"/>
          <w:sz w:val="22"/>
          <w:szCs w:val="22"/>
        </w:rPr>
        <w:t xml:space="preserve"> than the eligible population </w:t>
      </w:r>
      <w:r w:rsidR="00B15B9A" w:rsidRPr="00BD4DAF">
        <w:rPr>
          <w:rFonts w:ascii="Helvetica" w:hAnsi="Helvetica" w:cstheme="minorHAnsi"/>
          <w:sz w:val="22"/>
          <w:szCs w:val="22"/>
        </w:rPr>
        <w:t>who were vaccinated (</w:t>
      </w:r>
      <w:r w:rsidR="00136415" w:rsidRPr="00BD4DAF">
        <w:rPr>
          <w:rFonts w:ascii="Helvetica" w:hAnsi="Helvetica" w:cstheme="minorHAnsi"/>
          <w:sz w:val="22"/>
          <w:szCs w:val="22"/>
        </w:rPr>
        <w:t>61</w:t>
      </w:r>
      <w:r w:rsidR="00F07B53" w:rsidRPr="00BD4DAF">
        <w:rPr>
          <w:rFonts w:ascii="Helvetica" w:hAnsi="Helvetica" w:cstheme="minorHAnsi"/>
          <w:sz w:val="22"/>
          <w:szCs w:val="22"/>
        </w:rPr>
        <w:t xml:space="preserve">, </w:t>
      </w:r>
      <w:r w:rsidR="00136415" w:rsidRPr="00BD4DAF">
        <w:rPr>
          <w:rFonts w:ascii="Helvetica" w:hAnsi="Helvetica" w:cstheme="minorHAnsi"/>
          <w:sz w:val="22"/>
          <w:szCs w:val="22"/>
        </w:rPr>
        <w:t>48</w:t>
      </w:r>
      <w:r w:rsidR="005E7A1F" w:rsidRPr="00BD4DAF">
        <w:rPr>
          <w:rFonts w:ascii="Helvetica" w:hAnsi="Helvetica" w:cstheme="minorHAnsi"/>
          <w:sz w:val="22"/>
          <w:szCs w:val="22"/>
        </w:rPr>
        <w:t xml:space="preserve"> to </w:t>
      </w:r>
      <w:r w:rsidR="00136415" w:rsidRPr="00BD4DAF">
        <w:rPr>
          <w:rFonts w:ascii="Helvetica" w:hAnsi="Helvetica" w:cstheme="minorHAnsi"/>
          <w:sz w:val="22"/>
          <w:szCs w:val="22"/>
        </w:rPr>
        <w:t>71</w:t>
      </w:r>
      <w:r w:rsidR="00F07B53" w:rsidRPr="00BD4DAF">
        <w:rPr>
          <w:rFonts w:ascii="Helvetica" w:hAnsi="Helvetica" w:cstheme="minorHAnsi"/>
          <w:sz w:val="22"/>
          <w:szCs w:val="22"/>
        </w:rPr>
        <w:t>)</w:t>
      </w:r>
      <w:r w:rsidR="00B15B9A" w:rsidRPr="00BD4DAF">
        <w:rPr>
          <w:rFonts w:ascii="Helvetica" w:hAnsi="Helvetica" w:cstheme="minorHAnsi"/>
          <w:sz w:val="22"/>
          <w:szCs w:val="22"/>
        </w:rPr>
        <w:t xml:space="preserve"> </w:t>
      </w:r>
      <w:r w:rsidRPr="00BD4DAF">
        <w:rPr>
          <w:rFonts w:ascii="Helvetica" w:hAnsi="Helvetica" w:cstheme="minorHAnsi"/>
          <w:sz w:val="22"/>
          <w:szCs w:val="22"/>
        </w:rPr>
        <w:t>and had a lower prevalence of chronic conditions because there was a smaller pool of potential unvaccinated matches for older vaccine recipients, owing to high vaccination rates in the older population.</w:t>
      </w:r>
      <w:r w:rsidR="006A0628" w:rsidRPr="00BD4DAF">
        <w:rPr>
          <w:rFonts w:ascii="Helvetica" w:hAnsi="Helvetica" w:cstheme="minorHAnsi"/>
          <w:sz w:val="22"/>
          <w:szCs w:val="22"/>
        </w:rPr>
        <w:t xml:space="preserve"> The baseline characteristics of matched individuals </w:t>
      </w:r>
      <w:r w:rsidR="00111C0C" w:rsidRPr="00BD4DAF">
        <w:rPr>
          <w:rFonts w:ascii="Helvetica" w:hAnsi="Helvetica" w:cstheme="minorHAnsi"/>
          <w:sz w:val="22"/>
          <w:szCs w:val="22"/>
        </w:rPr>
        <w:t xml:space="preserve">are shown in </w:t>
      </w:r>
      <w:r w:rsidR="00111C0C" w:rsidRPr="00BD4DAF">
        <w:rPr>
          <w:rFonts w:ascii="Helvetica" w:hAnsi="Helvetica" w:cstheme="minorHAnsi"/>
          <w:sz w:val="22"/>
          <w:szCs w:val="22"/>
          <w:highlight w:val="green"/>
        </w:rPr>
        <w:t>Table 1</w:t>
      </w:r>
      <w:r w:rsidR="00111C0C" w:rsidRPr="00BD4DAF">
        <w:rPr>
          <w:rFonts w:ascii="Helvetica" w:hAnsi="Helvetica" w:cstheme="minorHAnsi"/>
          <w:sz w:val="22"/>
          <w:szCs w:val="22"/>
        </w:rPr>
        <w:t>.</w:t>
      </w:r>
      <w:r w:rsidR="006A0628" w:rsidRPr="00BD4DAF">
        <w:rPr>
          <w:rFonts w:ascii="Helvetica" w:hAnsi="Helvetica" w:cstheme="minorHAnsi"/>
          <w:sz w:val="22"/>
          <w:szCs w:val="22"/>
        </w:rPr>
        <w:t xml:space="preserve"> </w:t>
      </w:r>
    </w:p>
    <w:p w14:paraId="0B946E1D" w14:textId="77777777" w:rsidR="005E4B05" w:rsidRPr="00BD4DAF" w:rsidRDefault="005E4B05" w:rsidP="00B928F2">
      <w:pPr>
        <w:spacing w:line="480" w:lineRule="auto"/>
        <w:rPr>
          <w:rFonts w:ascii="Helvetica" w:hAnsi="Helvetica" w:cstheme="minorHAnsi"/>
          <w:sz w:val="22"/>
          <w:szCs w:val="22"/>
          <w:lang w:val="en-US"/>
        </w:rPr>
      </w:pPr>
    </w:p>
    <w:p w14:paraId="522B80F9" w14:textId="633D64C5" w:rsidR="00F061D2" w:rsidRPr="00BD4DAF" w:rsidRDefault="00F061D2" w:rsidP="00B928F2">
      <w:pPr>
        <w:spacing w:line="480" w:lineRule="auto"/>
        <w:rPr>
          <w:rFonts w:ascii="Helvetica" w:hAnsi="Helvetica" w:cstheme="minorHAnsi"/>
          <w:sz w:val="22"/>
          <w:szCs w:val="22"/>
          <w:lang w:val="en-US"/>
        </w:rPr>
      </w:pPr>
      <w:r w:rsidRPr="00BD4DAF">
        <w:rPr>
          <w:rFonts w:ascii="Helvetica" w:hAnsi="Helvetica" w:cstheme="minorHAnsi"/>
          <w:sz w:val="22"/>
          <w:szCs w:val="22"/>
          <w:lang w:val="en-US"/>
        </w:rPr>
        <w:t>The median follow-up time for the matched unvaccinated group was 70 days (IQR</w:t>
      </w:r>
      <w:r w:rsidR="00B84DB1" w:rsidRPr="00BD4DAF">
        <w:rPr>
          <w:rFonts w:ascii="Helvetica" w:hAnsi="Helvetica" w:cstheme="minorHAnsi"/>
          <w:sz w:val="22"/>
          <w:szCs w:val="22"/>
          <w:lang w:val="en-US"/>
        </w:rPr>
        <w:t>,</w:t>
      </w:r>
      <w:r w:rsidRPr="00BD4DAF">
        <w:rPr>
          <w:rFonts w:ascii="Helvetica" w:hAnsi="Helvetica" w:cstheme="minorHAnsi"/>
          <w:sz w:val="22"/>
          <w:szCs w:val="22"/>
          <w:lang w:val="en-US"/>
        </w:rPr>
        <w:t xml:space="preserve"> 42</w:t>
      </w:r>
      <w:r w:rsidR="00B84DB1" w:rsidRPr="00BD4DAF">
        <w:rPr>
          <w:rFonts w:ascii="Helvetica" w:hAnsi="Helvetica" w:cstheme="minorHAnsi"/>
          <w:sz w:val="22"/>
          <w:szCs w:val="22"/>
          <w:lang w:val="en-US"/>
        </w:rPr>
        <w:t xml:space="preserve"> to </w:t>
      </w:r>
      <w:r w:rsidRPr="00BD4DAF">
        <w:rPr>
          <w:rFonts w:ascii="Helvetica" w:hAnsi="Helvetica" w:cstheme="minorHAnsi"/>
          <w:sz w:val="22"/>
          <w:szCs w:val="22"/>
          <w:lang w:val="en-US"/>
        </w:rPr>
        <w:t>84), Oxford-AstraZeneca 70 days (63</w:t>
      </w:r>
      <w:r w:rsidR="00B84DB1" w:rsidRPr="00BD4DAF">
        <w:rPr>
          <w:rFonts w:ascii="Helvetica" w:hAnsi="Helvetica" w:cstheme="minorHAnsi"/>
          <w:sz w:val="22"/>
          <w:szCs w:val="22"/>
          <w:lang w:val="en-US"/>
        </w:rPr>
        <w:t xml:space="preserve"> to </w:t>
      </w:r>
      <w:r w:rsidRPr="00BD4DAF">
        <w:rPr>
          <w:rFonts w:ascii="Helvetica" w:hAnsi="Helvetica" w:cstheme="minorHAnsi"/>
          <w:sz w:val="22"/>
          <w:szCs w:val="22"/>
          <w:lang w:val="en-US"/>
        </w:rPr>
        <w:t>77), and Pfizer-</w:t>
      </w:r>
      <w:proofErr w:type="spellStart"/>
      <w:r w:rsidRPr="00BD4DAF">
        <w:rPr>
          <w:rFonts w:ascii="Helvetica" w:hAnsi="Helvetica" w:cstheme="minorHAnsi"/>
          <w:sz w:val="22"/>
          <w:szCs w:val="22"/>
          <w:lang w:val="en-US"/>
        </w:rPr>
        <w:t>BioNTech</w:t>
      </w:r>
      <w:proofErr w:type="spellEnd"/>
      <w:r w:rsidRPr="00BD4DAF">
        <w:rPr>
          <w:rFonts w:ascii="Helvetica" w:hAnsi="Helvetica" w:cstheme="minorHAnsi"/>
          <w:sz w:val="22"/>
          <w:szCs w:val="22"/>
          <w:lang w:val="en-US"/>
        </w:rPr>
        <w:t xml:space="preserve"> 70 days (63</w:t>
      </w:r>
      <w:r w:rsidR="00B84DB1" w:rsidRPr="00BD4DAF">
        <w:rPr>
          <w:rFonts w:ascii="Helvetica" w:hAnsi="Helvetica" w:cstheme="minorHAnsi"/>
          <w:sz w:val="22"/>
          <w:szCs w:val="22"/>
          <w:lang w:val="en-US"/>
        </w:rPr>
        <w:t xml:space="preserve"> to </w:t>
      </w:r>
      <w:r w:rsidRPr="00BD4DAF">
        <w:rPr>
          <w:rFonts w:ascii="Helvetica" w:hAnsi="Helvetica" w:cstheme="minorHAnsi"/>
          <w:sz w:val="22"/>
          <w:szCs w:val="22"/>
          <w:lang w:val="en-US"/>
        </w:rPr>
        <w:t xml:space="preserve">77). </w:t>
      </w:r>
      <w:r w:rsidR="00552611" w:rsidRPr="00BD4DAF">
        <w:rPr>
          <w:rFonts w:ascii="Helvetica" w:hAnsi="Helvetica" w:cstheme="minorHAnsi"/>
          <w:sz w:val="22"/>
          <w:szCs w:val="22"/>
          <w:highlight w:val="cyan"/>
          <w:lang w:val="en-US"/>
        </w:rPr>
        <w:t>T</w:t>
      </w:r>
      <w:r w:rsidRPr="00BD4DAF">
        <w:rPr>
          <w:rFonts w:ascii="Helvetica" w:hAnsi="Helvetica" w:cstheme="minorHAnsi"/>
          <w:sz w:val="22"/>
          <w:szCs w:val="22"/>
          <w:highlight w:val="cyan"/>
          <w:lang w:val="en-US"/>
        </w:rPr>
        <w:t xml:space="preserve">able </w:t>
      </w:r>
      <w:r w:rsidR="00980077" w:rsidRPr="00BD4DAF">
        <w:rPr>
          <w:rFonts w:ascii="Helvetica" w:hAnsi="Helvetica" w:cstheme="minorHAnsi"/>
          <w:sz w:val="22"/>
          <w:szCs w:val="22"/>
          <w:highlight w:val="cyan"/>
          <w:lang w:val="en-US"/>
        </w:rPr>
        <w:t>S2</w:t>
      </w:r>
      <w:r w:rsidRPr="00BD4DAF">
        <w:rPr>
          <w:rFonts w:ascii="Helvetica" w:hAnsi="Helvetica" w:cstheme="minorHAnsi"/>
          <w:sz w:val="22"/>
          <w:szCs w:val="22"/>
          <w:lang w:val="en-US"/>
        </w:rPr>
        <w:t xml:space="preserve"> shows the time interval between the first and second dose for those vaccinated, with 69.0% </w:t>
      </w:r>
      <w:r w:rsidRPr="00BD4DAF">
        <w:rPr>
          <w:rFonts w:ascii="Helvetica" w:hAnsi="Helvetica" w:cstheme="minorHAnsi"/>
          <w:sz w:val="22"/>
          <w:szCs w:val="22"/>
          <w:lang w:val="en-US"/>
        </w:rPr>
        <w:lastRenderedPageBreak/>
        <w:t>in the Oxford-AstraZeneca group and 63.3% in the Pfizer-</w:t>
      </w:r>
      <w:proofErr w:type="spellStart"/>
      <w:r w:rsidRPr="00BD4DAF">
        <w:rPr>
          <w:rFonts w:ascii="Helvetica" w:hAnsi="Helvetica" w:cstheme="minorHAnsi"/>
          <w:sz w:val="22"/>
          <w:szCs w:val="22"/>
          <w:lang w:val="en-US"/>
        </w:rPr>
        <w:t>BioNTech</w:t>
      </w:r>
      <w:proofErr w:type="spellEnd"/>
      <w:r w:rsidRPr="00BD4DAF">
        <w:rPr>
          <w:rFonts w:ascii="Helvetica" w:hAnsi="Helvetica" w:cstheme="minorHAnsi"/>
          <w:sz w:val="22"/>
          <w:szCs w:val="22"/>
          <w:lang w:val="en-US"/>
        </w:rPr>
        <w:t xml:space="preserve"> group not having received a second dose by their censoring date. </w:t>
      </w:r>
    </w:p>
    <w:p w14:paraId="5851078E" w14:textId="77777777" w:rsidR="005E4B05" w:rsidRPr="00BD4DAF" w:rsidRDefault="005E4B05" w:rsidP="00B928F2">
      <w:pPr>
        <w:spacing w:line="480" w:lineRule="auto"/>
        <w:rPr>
          <w:rFonts w:ascii="Helvetica" w:hAnsi="Helvetica" w:cstheme="minorHAnsi"/>
          <w:b/>
          <w:iCs/>
          <w:color w:val="000000" w:themeColor="text1"/>
          <w:sz w:val="22"/>
          <w:szCs w:val="22"/>
          <w:lang w:val="en-US"/>
        </w:rPr>
      </w:pPr>
    </w:p>
    <w:p w14:paraId="06F2965B" w14:textId="03A96653" w:rsidR="00B6176B" w:rsidRPr="00BD4DAF" w:rsidRDefault="00834027" w:rsidP="00B928F2">
      <w:pPr>
        <w:spacing w:line="480" w:lineRule="auto"/>
        <w:rPr>
          <w:rFonts w:ascii="Helvetica" w:hAnsi="Helvetica" w:cstheme="minorHAnsi"/>
          <w:sz w:val="22"/>
          <w:szCs w:val="22"/>
          <w:lang w:val="en-US"/>
        </w:rPr>
      </w:pPr>
      <w:r w:rsidRPr="00BD4DAF">
        <w:rPr>
          <w:rFonts w:ascii="Helvetica" w:hAnsi="Helvetica" w:cstheme="minorHAnsi"/>
          <w:sz w:val="22"/>
          <w:szCs w:val="22"/>
          <w:lang w:val="en-US"/>
        </w:rPr>
        <w:t xml:space="preserve">During the period from 14 to 84 days, </w:t>
      </w:r>
      <w:r w:rsidR="005B30F8" w:rsidRPr="00BD4DAF">
        <w:rPr>
          <w:rFonts w:ascii="Helvetica" w:hAnsi="Helvetica" w:cstheme="minorHAnsi"/>
          <w:sz w:val="22"/>
          <w:szCs w:val="22"/>
          <w:lang w:val="en-US"/>
        </w:rPr>
        <w:t>individuals in the</w:t>
      </w:r>
      <w:r w:rsidR="00B97417" w:rsidRPr="00BD4DAF">
        <w:rPr>
          <w:rFonts w:ascii="Helvetica" w:hAnsi="Helvetica" w:cstheme="minorHAnsi"/>
          <w:sz w:val="22"/>
          <w:szCs w:val="22"/>
          <w:lang w:val="en-US"/>
        </w:rPr>
        <w:t xml:space="preserve"> matched unvaccinated group had a </w:t>
      </w:r>
      <w:r w:rsidR="00790703" w:rsidRPr="00BD4DAF">
        <w:rPr>
          <w:rFonts w:ascii="Helvetica" w:hAnsi="Helvetica" w:cstheme="minorHAnsi"/>
          <w:sz w:val="22"/>
          <w:szCs w:val="22"/>
          <w:lang w:val="en-US"/>
        </w:rPr>
        <w:t>SARS-CoV-2</w:t>
      </w:r>
      <w:r w:rsidR="00B97417" w:rsidRPr="00BD4DAF">
        <w:rPr>
          <w:rFonts w:ascii="Helvetica" w:hAnsi="Helvetica" w:cstheme="minorHAnsi"/>
          <w:sz w:val="22"/>
          <w:szCs w:val="22"/>
          <w:lang w:val="en-US"/>
        </w:rPr>
        <w:t xml:space="preserve"> test </w:t>
      </w:r>
      <w:r w:rsidR="00790703" w:rsidRPr="00BD4DAF">
        <w:rPr>
          <w:rFonts w:ascii="Helvetica" w:hAnsi="Helvetica" w:cstheme="minorHAnsi"/>
          <w:sz w:val="22"/>
          <w:szCs w:val="22"/>
          <w:lang w:val="en-US"/>
        </w:rPr>
        <w:t>documented</w:t>
      </w:r>
      <w:r w:rsidR="00B039C9" w:rsidRPr="00BD4DAF">
        <w:rPr>
          <w:rFonts w:ascii="Helvetica" w:hAnsi="Helvetica" w:cstheme="minorHAnsi"/>
          <w:sz w:val="22"/>
          <w:szCs w:val="22"/>
          <w:lang w:val="en-US"/>
        </w:rPr>
        <w:t xml:space="preserve"> at a rate of 163.95 (95% CI,</w:t>
      </w:r>
      <w:r w:rsidR="003B2216" w:rsidRPr="00BD4DAF">
        <w:rPr>
          <w:rFonts w:ascii="Helvetica" w:hAnsi="Helvetica" w:cstheme="minorHAnsi"/>
          <w:sz w:val="22"/>
          <w:szCs w:val="22"/>
          <w:lang w:val="en-US"/>
        </w:rPr>
        <w:t xml:space="preserve"> 157.92 to 170.20) per 1000 person-years to the first testing event, whilst the rates were higher at 284.34 (273.49 to 295.63) in the Oxford-AstraZeneca group and 250 (240.25 to 261.18) in the Pfizer-</w:t>
      </w:r>
      <w:proofErr w:type="spellStart"/>
      <w:r w:rsidR="003B2216" w:rsidRPr="00BD4DAF">
        <w:rPr>
          <w:rFonts w:ascii="Helvetica" w:hAnsi="Helvetica" w:cstheme="minorHAnsi"/>
          <w:sz w:val="22"/>
          <w:szCs w:val="22"/>
          <w:lang w:val="en-US"/>
        </w:rPr>
        <w:t>BioNTech</w:t>
      </w:r>
      <w:proofErr w:type="spellEnd"/>
      <w:r w:rsidR="003B2216" w:rsidRPr="00BD4DAF">
        <w:rPr>
          <w:rFonts w:ascii="Helvetica" w:hAnsi="Helvetica" w:cstheme="minorHAnsi"/>
          <w:sz w:val="22"/>
          <w:szCs w:val="22"/>
          <w:lang w:val="en-US"/>
        </w:rPr>
        <w:t xml:space="preserve"> group.</w:t>
      </w:r>
      <w:r w:rsidR="00191CAA" w:rsidRPr="00BD4DAF">
        <w:rPr>
          <w:rFonts w:ascii="Helvetica" w:hAnsi="Helvetica" w:cstheme="minorHAnsi"/>
          <w:sz w:val="22"/>
          <w:szCs w:val="22"/>
          <w:lang w:val="en-US"/>
        </w:rPr>
        <w:t xml:space="preserve"> </w:t>
      </w:r>
      <w:r w:rsidR="00095772" w:rsidRPr="00BD4DAF">
        <w:rPr>
          <w:rFonts w:ascii="Helvetica" w:hAnsi="Helvetica" w:cstheme="minorHAnsi"/>
          <w:sz w:val="22"/>
          <w:szCs w:val="22"/>
          <w:lang w:val="en-US"/>
        </w:rPr>
        <w:t xml:space="preserve">A similar trend </w:t>
      </w:r>
      <w:r w:rsidR="009034AE" w:rsidRPr="00BD4DAF">
        <w:rPr>
          <w:rFonts w:ascii="Helvetica" w:hAnsi="Helvetica" w:cstheme="minorHAnsi"/>
          <w:sz w:val="22"/>
          <w:szCs w:val="22"/>
          <w:lang w:val="en-US"/>
        </w:rPr>
        <w:t>with higher</w:t>
      </w:r>
      <w:r w:rsidR="001D0E5A" w:rsidRPr="00BD4DAF">
        <w:rPr>
          <w:rFonts w:ascii="Helvetica" w:hAnsi="Helvetica" w:cstheme="minorHAnsi"/>
          <w:sz w:val="22"/>
          <w:szCs w:val="22"/>
          <w:lang w:val="en-US"/>
        </w:rPr>
        <w:t xml:space="preserve"> testing rates </w:t>
      </w:r>
      <w:r w:rsidR="009034AE" w:rsidRPr="00BD4DAF">
        <w:rPr>
          <w:rFonts w:ascii="Helvetica" w:hAnsi="Helvetica" w:cstheme="minorHAnsi"/>
          <w:sz w:val="22"/>
          <w:szCs w:val="22"/>
          <w:lang w:val="en-US"/>
        </w:rPr>
        <w:t>in both vaccine groups compared to the unvaccinated group</w:t>
      </w:r>
      <w:r w:rsidR="001D0E5A" w:rsidRPr="00BD4DAF">
        <w:rPr>
          <w:rFonts w:ascii="Helvetica" w:hAnsi="Helvetica" w:cstheme="minorHAnsi"/>
          <w:sz w:val="22"/>
          <w:szCs w:val="22"/>
          <w:lang w:val="en-US"/>
        </w:rPr>
        <w:t xml:space="preserve"> was seen across </w:t>
      </w:r>
      <w:r w:rsidR="000E6EC4" w:rsidRPr="00BD4DAF">
        <w:rPr>
          <w:rFonts w:ascii="Helvetica" w:hAnsi="Helvetica" w:cstheme="minorHAnsi"/>
          <w:sz w:val="22"/>
          <w:szCs w:val="22"/>
          <w:lang w:val="en-US"/>
        </w:rPr>
        <w:t>all ages (</w:t>
      </w:r>
      <w:r w:rsidR="000E6EC4" w:rsidRPr="00BD4DAF">
        <w:rPr>
          <w:rFonts w:ascii="Helvetica" w:hAnsi="Helvetica" w:cstheme="minorHAnsi"/>
          <w:sz w:val="22"/>
          <w:szCs w:val="22"/>
          <w:highlight w:val="cyan"/>
          <w:lang w:val="en-US"/>
        </w:rPr>
        <w:t>Table S</w:t>
      </w:r>
      <w:r w:rsidR="00980077" w:rsidRPr="00BD4DAF">
        <w:rPr>
          <w:rFonts w:ascii="Helvetica" w:hAnsi="Helvetica" w:cstheme="minorHAnsi"/>
          <w:sz w:val="22"/>
          <w:szCs w:val="22"/>
          <w:highlight w:val="cyan"/>
          <w:lang w:val="en-US"/>
        </w:rPr>
        <w:t>3</w:t>
      </w:r>
      <w:r w:rsidR="000E6EC4" w:rsidRPr="00BD4DAF">
        <w:rPr>
          <w:rFonts w:ascii="Helvetica" w:hAnsi="Helvetica" w:cstheme="minorHAnsi"/>
          <w:sz w:val="22"/>
          <w:szCs w:val="22"/>
          <w:lang w:val="en-US"/>
        </w:rPr>
        <w:t>).</w:t>
      </w:r>
    </w:p>
    <w:p w14:paraId="3590247D" w14:textId="77777777" w:rsidR="001068E4" w:rsidRPr="00BD4DAF" w:rsidRDefault="001068E4" w:rsidP="00B928F2">
      <w:pPr>
        <w:spacing w:line="480" w:lineRule="auto"/>
        <w:rPr>
          <w:rFonts w:ascii="Helvetica" w:hAnsi="Helvetica" w:cstheme="minorHAnsi"/>
          <w:sz w:val="22"/>
          <w:szCs w:val="22"/>
          <w:lang w:val="en-US"/>
        </w:rPr>
      </w:pPr>
    </w:p>
    <w:p w14:paraId="7F69FFC3" w14:textId="77777777" w:rsidR="0081645B" w:rsidRPr="00BD4DAF" w:rsidRDefault="0081645B" w:rsidP="00B928F2">
      <w:pPr>
        <w:spacing w:line="480" w:lineRule="auto"/>
        <w:rPr>
          <w:rFonts w:ascii="Helvetica" w:hAnsi="Helvetica" w:cstheme="minorHAnsi"/>
          <w:b/>
          <w:iCs/>
          <w:color w:val="000000" w:themeColor="text1"/>
          <w:sz w:val="22"/>
          <w:szCs w:val="22"/>
          <w:lang w:val="en-US"/>
        </w:rPr>
      </w:pPr>
      <w:r w:rsidRPr="00BD4DAF">
        <w:rPr>
          <w:rFonts w:ascii="Helvetica" w:hAnsi="Helvetica" w:cstheme="minorHAnsi"/>
          <w:b/>
          <w:iCs/>
          <w:color w:val="000000" w:themeColor="text1"/>
          <w:sz w:val="22"/>
          <w:szCs w:val="22"/>
          <w:lang w:val="en-US"/>
        </w:rPr>
        <w:t xml:space="preserve">Vaccine effectiveness </w:t>
      </w:r>
    </w:p>
    <w:p w14:paraId="012C0C0E" w14:textId="6C28B671" w:rsidR="00124544" w:rsidRPr="00BD4DAF" w:rsidRDefault="00124544" w:rsidP="00B928F2">
      <w:pPr>
        <w:spacing w:line="480" w:lineRule="auto"/>
        <w:rPr>
          <w:rFonts w:ascii="Helvetica" w:hAnsi="Helvetica" w:cstheme="minorHAnsi"/>
          <w:sz w:val="22"/>
          <w:szCs w:val="22"/>
          <w:lang w:val="en-US"/>
        </w:rPr>
      </w:pPr>
      <w:r w:rsidRPr="00BD4DAF">
        <w:rPr>
          <w:rFonts w:ascii="Helvetica" w:hAnsi="Helvetica" w:cstheme="minorHAnsi"/>
          <w:sz w:val="22"/>
          <w:szCs w:val="22"/>
          <w:lang w:val="en-US"/>
        </w:rPr>
        <w:t xml:space="preserve">During the period from 14 to 84 days, </w:t>
      </w:r>
      <w:r w:rsidR="00D11E94" w:rsidRPr="00BD4DAF">
        <w:rPr>
          <w:rFonts w:ascii="Helvetica" w:hAnsi="Helvetica" w:cstheme="minorHAnsi"/>
          <w:sz w:val="22"/>
          <w:szCs w:val="22"/>
          <w:lang w:val="en-US"/>
        </w:rPr>
        <w:t xml:space="preserve">534 </w:t>
      </w:r>
      <w:r w:rsidRPr="00BD4DAF">
        <w:rPr>
          <w:rFonts w:ascii="Helvetica" w:hAnsi="Helvetica" w:cstheme="minorHAnsi"/>
          <w:sz w:val="22"/>
          <w:szCs w:val="22"/>
          <w:lang w:val="en-US"/>
        </w:rPr>
        <w:t xml:space="preserve">infections were documented overall, of which </w:t>
      </w:r>
      <w:r w:rsidR="00D11E94" w:rsidRPr="00BD4DAF">
        <w:rPr>
          <w:rFonts w:ascii="Helvetica" w:hAnsi="Helvetica" w:cstheme="minorHAnsi"/>
          <w:sz w:val="22"/>
          <w:szCs w:val="22"/>
          <w:lang w:val="en-US"/>
        </w:rPr>
        <w:t xml:space="preserve">65 </w:t>
      </w:r>
      <w:r w:rsidRPr="00BD4DAF">
        <w:rPr>
          <w:rFonts w:ascii="Helvetica" w:hAnsi="Helvetica" w:cstheme="minorHAnsi"/>
          <w:sz w:val="22"/>
          <w:szCs w:val="22"/>
          <w:lang w:val="en-US"/>
        </w:rPr>
        <w:t xml:space="preserve">(11.9%) required </w:t>
      </w:r>
      <w:r w:rsidR="00EA3068" w:rsidRPr="00BD4DAF">
        <w:rPr>
          <w:rFonts w:ascii="Helvetica" w:hAnsi="Helvetica" w:cstheme="minorHAnsi"/>
          <w:sz w:val="22"/>
          <w:szCs w:val="22"/>
          <w:lang w:val="en-US"/>
        </w:rPr>
        <w:t>hospitalization,</w:t>
      </w:r>
      <w:r w:rsidRPr="00BD4DAF">
        <w:rPr>
          <w:rFonts w:ascii="Helvetica" w:hAnsi="Helvetica" w:cstheme="minorHAnsi"/>
          <w:sz w:val="22"/>
          <w:szCs w:val="22"/>
          <w:lang w:val="en-US"/>
        </w:rPr>
        <w:t xml:space="preserve"> and 29 (5.6%) resulted in death. </w:t>
      </w:r>
      <w:r w:rsidR="00D11E94" w:rsidRPr="00BD4DAF">
        <w:rPr>
          <w:rFonts w:ascii="Helvetica" w:hAnsi="Helvetica" w:cstheme="minorHAnsi"/>
          <w:sz w:val="22"/>
          <w:szCs w:val="22"/>
          <w:lang w:val="en-US"/>
        </w:rPr>
        <w:t>There were 190 deaths from any cause</w:t>
      </w:r>
      <w:r w:rsidR="00EA3068" w:rsidRPr="00BD4DAF">
        <w:rPr>
          <w:rFonts w:ascii="Helvetica" w:hAnsi="Helvetica" w:cstheme="minorHAnsi"/>
          <w:sz w:val="22"/>
          <w:szCs w:val="22"/>
          <w:lang w:val="en-US"/>
        </w:rPr>
        <w:t xml:space="preserve"> during this period</w:t>
      </w:r>
      <w:r w:rsidR="00D11E94" w:rsidRPr="00BD4DAF">
        <w:rPr>
          <w:rFonts w:ascii="Helvetica" w:hAnsi="Helvetica" w:cstheme="minorHAnsi"/>
          <w:sz w:val="22"/>
          <w:szCs w:val="22"/>
          <w:lang w:val="en-US"/>
        </w:rPr>
        <w:t xml:space="preserve">. </w:t>
      </w:r>
      <w:r w:rsidRPr="00BD4DAF">
        <w:rPr>
          <w:rFonts w:ascii="Helvetica" w:hAnsi="Helvetica" w:cstheme="minorHAnsi"/>
          <w:iCs/>
          <w:color w:val="000000" w:themeColor="text1"/>
          <w:sz w:val="22"/>
          <w:szCs w:val="22"/>
          <w:highlight w:val="green"/>
          <w:lang w:val="en-US"/>
        </w:rPr>
        <w:t>Figure 2</w:t>
      </w:r>
      <w:r w:rsidRPr="00BD4DAF">
        <w:rPr>
          <w:rFonts w:ascii="Helvetica" w:hAnsi="Helvetica" w:cstheme="minorHAnsi"/>
          <w:iCs/>
          <w:color w:val="000000" w:themeColor="text1"/>
          <w:sz w:val="22"/>
          <w:szCs w:val="22"/>
          <w:lang w:val="en-US"/>
        </w:rPr>
        <w:t xml:space="preserve"> shows the cumulative incidence curves for the outcomes </w:t>
      </w:r>
      <w:r w:rsidRPr="00BD4DAF">
        <w:rPr>
          <w:rFonts w:ascii="Helvetica" w:hAnsi="Helvetica" w:cstheme="minorHAnsi"/>
          <w:sz w:val="22"/>
          <w:szCs w:val="22"/>
          <w:lang w:val="en-US"/>
        </w:rPr>
        <w:t>during the time period from 14 to 84 days for the matched groups</w:t>
      </w:r>
      <w:r w:rsidRPr="00BD4DAF">
        <w:rPr>
          <w:rFonts w:ascii="Helvetica" w:hAnsi="Helvetica" w:cstheme="minorHAnsi"/>
          <w:iCs/>
          <w:color w:val="000000" w:themeColor="text1"/>
          <w:sz w:val="22"/>
          <w:szCs w:val="22"/>
          <w:lang w:val="en-US"/>
        </w:rPr>
        <w:t xml:space="preserve">. </w:t>
      </w:r>
      <w:r w:rsidRPr="00BD4DAF">
        <w:rPr>
          <w:rFonts w:ascii="Helvetica" w:hAnsi="Helvetica" w:cstheme="minorHAnsi"/>
          <w:iCs/>
          <w:color w:val="000000" w:themeColor="text1"/>
          <w:sz w:val="22"/>
          <w:szCs w:val="22"/>
          <w:highlight w:val="green"/>
          <w:lang w:val="en-US"/>
        </w:rPr>
        <w:t>Table 2</w:t>
      </w:r>
      <w:r w:rsidRPr="00BD4DAF">
        <w:rPr>
          <w:rFonts w:ascii="Helvetica" w:hAnsi="Helvetica" w:cstheme="minorHAnsi"/>
          <w:iCs/>
          <w:color w:val="000000" w:themeColor="text1"/>
          <w:sz w:val="22"/>
          <w:szCs w:val="22"/>
          <w:lang w:val="en-US"/>
        </w:rPr>
        <w:t xml:space="preserve"> </w:t>
      </w:r>
      <w:r w:rsidRPr="00BD4DAF">
        <w:rPr>
          <w:rFonts w:ascii="Helvetica" w:hAnsi="Helvetica" w:cstheme="minorHAnsi"/>
          <w:sz w:val="22"/>
          <w:szCs w:val="22"/>
          <w:lang w:val="en-US"/>
        </w:rPr>
        <w:t xml:space="preserve">shows the corresponding number of events and estimated vaccine effectiveness. </w:t>
      </w:r>
      <w:r w:rsidR="000A75BF" w:rsidRPr="00BD4DAF">
        <w:rPr>
          <w:rFonts w:ascii="Helvetica" w:hAnsi="Helvetica" w:cstheme="minorHAnsi"/>
          <w:sz w:val="22"/>
          <w:szCs w:val="22"/>
          <w:lang w:val="en-US"/>
        </w:rPr>
        <w:t>All outcomes were less common among vaccinated indiv</w:t>
      </w:r>
      <w:r w:rsidR="00750076" w:rsidRPr="00BD4DAF">
        <w:rPr>
          <w:rFonts w:ascii="Helvetica" w:hAnsi="Helvetica" w:cstheme="minorHAnsi"/>
          <w:sz w:val="22"/>
          <w:szCs w:val="22"/>
          <w:lang w:val="en-US"/>
        </w:rPr>
        <w:t>iduals</w:t>
      </w:r>
      <w:r w:rsidR="006B2384" w:rsidRPr="00BD4DAF">
        <w:rPr>
          <w:rFonts w:ascii="Helvetica" w:hAnsi="Helvetica" w:cstheme="minorHAnsi"/>
          <w:sz w:val="22"/>
          <w:szCs w:val="22"/>
          <w:lang w:val="en-US"/>
        </w:rPr>
        <w:t xml:space="preserve"> than those </w:t>
      </w:r>
      <w:r w:rsidR="0015237E" w:rsidRPr="00BD4DAF">
        <w:rPr>
          <w:rFonts w:ascii="Helvetica" w:hAnsi="Helvetica" w:cstheme="minorHAnsi"/>
          <w:sz w:val="22"/>
          <w:szCs w:val="22"/>
          <w:lang w:val="en-US"/>
        </w:rPr>
        <w:t>unvaccinated</w:t>
      </w:r>
      <w:r w:rsidR="00750076" w:rsidRPr="00BD4DAF">
        <w:rPr>
          <w:rFonts w:ascii="Helvetica" w:hAnsi="Helvetica" w:cstheme="minorHAnsi"/>
          <w:sz w:val="22"/>
          <w:szCs w:val="22"/>
          <w:lang w:val="en-US"/>
        </w:rPr>
        <w:t>. The rate</w:t>
      </w:r>
      <w:r w:rsidR="00A318F3" w:rsidRPr="00BD4DAF">
        <w:rPr>
          <w:rFonts w:ascii="Helvetica" w:hAnsi="Helvetica" w:cstheme="minorHAnsi"/>
          <w:sz w:val="22"/>
          <w:szCs w:val="22"/>
          <w:lang w:val="en-US"/>
        </w:rPr>
        <w:t xml:space="preserve"> of documented </w:t>
      </w:r>
      <w:r w:rsidR="006B2384" w:rsidRPr="00BD4DAF">
        <w:rPr>
          <w:rFonts w:ascii="Helvetica" w:hAnsi="Helvetica" w:cstheme="minorHAnsi"/>
          <w:sz w:val="22"/>
          <w:szCs w:val="22"/>
          <w:lang w:val="en-US"/>
        </w:rPr>
        <w:t xml:space="preserve">SARS-CoV-2 infection </w:t>
      </w:r>
      <w:r w:rsidR="00750076" w:rsidRPr="00BD4DAF">
        <w:rPr>
          <w:rFonts w:ascii="Helvetica" w:hAnsi="Helvetica" w:cstheme="minorHAnsi"/>
          <w:sz w:val="22"/>
          <w:szCs w:val="22"/>
          <w:lang w:val="en-US"/>
        </w:rPr>
        <w:t>per 1000 person-ye</w:t>
      </w:r>
      <w:r w:rsidR="000A75BF" w:rsidRPr="00BD4DAF">
        <w:rPr>
          <w:rFonts w:ascii="Helvetica" w:hAnsi="Helvetica" w:cstheme="minorHAnsi"/>
          <w:sz w:val="22"/>
          <w:szCs w:val="22"/>
          <w:lang w:val="en-US"/>
        </w:rPr>
        <w:t>ars</w:t>
      </w:r>
      <w:r w:rsidR="00750076" w:rsidRPr="00BD4DAF">
        <w:rPr>
          <w:rFonts w:ascii="Helvetica" w:hAnsi="Helvetica" w:cstheme="minorHAnsi"/>
          <w:sz w:val="22"/>
          <w:szCs w:val="22"/>
          <w:lang w:val="en-US"/>
        </w:rPr>
        <w:t xml:space="preserve"> was 15.1 and 12.4 for</w:t>
      </w:r>
      <w:r w:rsidR="006B2384" w:rsidRPr="00BD4DAF">
        <w:rPr>
          <w:rFonts w:ascii="Helvetica" w:hAnsi="Helvetica" w:cstheme="minorHAnsi"/>
          <w:sz w:val="22"/>
          <w:szCs w:val="22"/>
          <w:lang w:val="en-US"/>
        </w:rPr>
        <w:t xml:space="preserve"> the</w:t>
      </w:r>
      <w:r w:rsidR="00750076" w:rsidRPr="00BD4DAF">
        <w:rPr>
          <w:rFonts w:ascii="Helvetica" w:hAnsi="Helvetica" w:cstheme="minorHAnsi"/>
          <w:sz w:val="22"/>
          <w:szCs w:val="22"/>
          <w:lang w:val="en-US"/>
        </w:rPr>
        <w:t xml:space="preserve"> Oxford-AstraZeneca and Pfizer-</w:t>
      </w:r>
      <w:proofErr w:type="spellStart"/>
      <w:r w:rsidR="00750076" w:rsidRPr="00BD4DAF">
        <w:rPr>
          <w:rFonts w:ascii="Helvetica" w:hAnsi="Helvetica" w:cstheme="minorHAnsi"/>
          <w:sz w:val="22"/>
          <w:szCs w:val="22"/>
          <w:lang w:val="en-US"/>
        </w:rPr>
        <w:t>BioNTech</w:t>
      </w:r>
      <w:proofErr w:type="spellEnd"/>
      <w:r w:rsidR="00750076" w:rsidRPr="00BD4DAF">
        <w:rPr>
          <w:rFonts w:ascii="Helvetica" w:hAnsi="Helvetica" w:cstheme="minorHAnsi"/>
          <w:sz w:val="22"/>
          <w:szCs w:val="22"/>
          <w:lang w:val="en-US"/>
        </w:rPr>
        <w:t xml:space="preserve"> vaccines, respectively,</w:t>
      </w:r>
      <w:r w:rsidR="000A75BF" w:rsidRPr="00BD4DAF">
        <w:rPr>
          <w:rFonts w:ascii="Helvetica" w:hAnsi="Helvetica" w:cstheme="minorHAnsi"/>
          <w:sz w:val="22"/>
          <w:szCs w:val="22"/>
          <w:lang w:val="en-US"/>
        </w:rPr>
        <w:t xml:space="preserve"> </w:t>
      </w:r>
      <w:r w:rsidR="00750076" w:rsidRPr="00BD4DAF">
        <w:rPr>
          <w:rFonts w:ascii="Helvetica" w:hAnsi="Helvetica" w:cstheme="minorHAnsi"/>
          <w:sz w:val="22"/>
          <w:szCs w:val="22"/>
          <w:lang w:val="en-US"/>
        </w:rPr>
        <w:t xml:space="preserve">compared to 18.2 </w:t>
      </w:r>
      <w:r w:rsidR="006B2384" w:rsidRPr="00BD4DAF">
        <w:rPr>
          <w:rFonts w:ascii="Helvetica" w:hAnsi="Helvetica" w:cstheme="minorHAnsi"/>
          <w:sz w:val="22"/>
          <w:szCs w:val="22"/>
          <w:lang w:val="en-US"/>
        </w:rPr>
        <w:t>for</w:t>
      </w:r>
      <w:r w:rsidR="00750076" w:rsidRPr="00BD4DAF">
        <w:rPr>
          <w:rFonts w:ascii="Helvetica" w:hAnsi="Helvetica" w:cstheme="minorHAnsi"/>
          <w:sz w:val="22"/>
          <w:szCs w:val="22"/>
          <w:lang w:val="en-US"/>
        </w:rPr>
        <w:t xml:space="preserve"> unvaccinated individuals. </w:t>
      </w:r>
      <w:r w:rsidR="005324CF" w:rsidRPr="00BD4DAF">
        <w:rPr>
          <w:rFonts w:ascii="Helvetica" w:hAnsi="Helvetica" w:cstheme="minorHAnsi"/>
          <w:sz w:val="22"/>
          <w:szCs w:val="22"/>
          <w:lang w:val="en-US"/>
        </w:rPr>
        <w:t>For COVID-19 hospitalization, the rates were</w:t>
      </w:r>
      <w:r w:rsidR="00F27761" w:rsidRPr="00BD4DAF">
        <w:rPr>
          <w:rFonts w:ascii="Helvetica" w:hAnsi="Helvetica" w:cstheme="minorHAnsi"/>
          <w:sz w:val="22"/>
          <w:szCs w:val="22"/>
          <w:lang w:val="en-US"/>
        </w:rPr>
        <w:t xml:space="preserve"> overall lower at</w:t>
      </w:r>
      <w:r w:rsidR="005324CF" w:rsidRPr="00BD4DAF">
        <w:rPr>
          <w:rFonts w:ascii="Helvetica" w:hAnsi="Helvetica" w:cstheme="minorHAnsi"/>
          <w:sz w:val="22"/>
          <w:szCs w:val="22"/>
          <w:lang w:val="en-US"/>
        </w:rPr>
        <w:t xml:space="preserve"> </w:t>
      </w:r>
      <w:r w:rsidR="00F27761" w:rsidRPr="00BD4DAF">
        <w:rPr>
          <w:rFonts w:ascii="Helvetica" w:hAnsi="Helvetica" w:cstheme="minorHAnsi"/>
          <w:sz w:val="22"/>
          <w:szCs w:val="22"/>
          <w:lang w:val="en-US"/>
        </w:rPr>
        <w:t>3.2</w:t>
      </w:r>
      <w:r w:rsidR="005324CF" w:rsidRPr="00BD4DAF">
        <w:rPr>
          <w:rFonts w:ascii="Helvetica" w:hAnsi="Helvetica" w:cstheme="minorHAnsi"/>
          <w:sz w:val="22"/>
          <w:szCs w:val="22"/>
          <w:lang w:val="en-US"/>
        </w:rPr>
        <w:t xml:space="preserve">, </w:t>
      </w:r>
      <w:r w:rsidR="00F27761" w:rsidRPr="00BD4DAF">
        <w:rPr>
          <w:rFonts w:ascii="Helvetica" w:hAnsi="Helvetica" w:cstheme="minorHAnsi"/>
          <w:sz w:val="22"/>
          <w:szCs w:val="22"/>
          <w:lang w:val="en-US"/>
        </w:rPr>
        <w:t>0.8</w:t>
      </w:r>
      <w:r w:rsidR="005324CF" w:rsidRPr="00BD4DAF">
        <w:rPr>
          <w:rFonts w:ascii="Helvetica" w:hAnsi="Helvetica" w:cstheme="minorHAnsi"/>
          <w:sz w:val="22"/>
          <w:szCs w:val="22"/>
          <w:lang w:val="en-US"/>
        </w:rPr>
        <w:t xml:space="preserve"> </w:t>
      </w:r>
      <w:r w:rsidR="00F27761" w:rsidRPr="00BD4DAF">
        <w:rPr>
          <w:rFonts w:ascii="Helvetica" w:hAnsi="Helvetica" w:cstheme="minorHAnsi"/>
          <w:sz w:val="22"/>
          <w:szCs w:val="22"/>
          <w:lang w:val="en-US"/>
        </w:rPr>
        <w:t>and 0.8</w:t>
      </w:r>
      <w:r w:rsidR="005324CF" w:rsidRPr="00BD4DAF">
        <w:rPr>
          <w:rFonts w:ascii="Helvetica" w:hAnsi="Helvetica" w:cstheme="minorHAnsi"/>
          <w:sz w:val="22"/>
          <w:szCs w:val="22"/>
          <w:lang w:val="en-US"/>
        </w:rPr>
        <w:t xml:space="preserve"> for the unvaccinated, Oxford-</w:t>
      </w:r>
      <w:r w:rsidR="0062338A" w:rsidRPr="00BD4DAF">
        <w:rPr>
          <w:rFonts w:ascii="Helvetica" w:hAnsi="Helvetica" w:cstheme="minorHAnsi"/>
          <w:sz w:val="22"/>
          <w:szCs w:val="22"/>
          <w:lang w:val="en-US"/>
        </w:rPr>
        <w:t>AstraZeneca and Pfizer-</w:t>
      </w:r>
      <w:proofErr w:type="spellStart"/>
      <w:r w:rsidR="0062338A" w:rsidRPr="00BD4DAF">
        <w:rPr>
          <w:rFonts w:ascii="Helvetica" w:hAnsi="Helvetica" w:cstheme="minorHAnsi"/>
          <w:sz w:val="22"/>
          <w:szCs w:val="22"/>
          <w:lang w:val="en-US"/>
        </w:rPr>
        <w:t>BioNTech</w:t>
      </w:r>
      <w:proofErr w:type="spellEnd"/>
      <w:r w:rsidR="0062338A" w:rsidRPr="00BD4DAF">
        <w:rPr>
          <w:rFonts w:ascii="Helvetica" w:hAnsi="Helvetica" w:cstheme="minorHAnsi"/>
          <w:sz w:val="22"/>
          <w:szCs w:val="22"/>
          <w:lang w:val="en-US"/>
        </w:rPr>
        <w:t xml:space="preserve"> vaccine groups, respectively. </w:t>
      </w:r>
    </w:p>
    <w:p w14:paraId="46A4699A" w14:textId="77777777" w:rsidR="005E4B05" w:rsidRPr="00BD4DAF" w:rsidRDefault="005E4B05" w:rsidP="00B928F2">
      <w:pPr>
        <w:spacing w:line="480" w:lineRule="auto"/>
        <w:rPr>
          <w:rFonts w:ascii="Helvetica" w:hAnsi="Helvetica" w:cstheme="minorHAnsi"/>
          <w:sz w:val="22"/>
          <w:szCs w:val="22"/>
          <w:lang w:val="en-US"/>
        </w:rPr>
      </w:pPr>
    </w:p>
    <w:p w14:paraId="04BCE660" w14:textId="0263212A" w:rsidR="00D13D78" w:rsidRPr="00BD4DAF" w:rsidRDefault="007C5B0E" w:rsidP="00B928F2">
      <w:pPr>
        <w:spacing w:line="480" w:lineRule="auto"/>
        <w:rPr>
          <w:rFonts w:ascii="Helvetica" w:hAnsi="Helvetica" w:cstheme="minorHAnsi"/>
          <w:sz w:val="22"/>
          <w:szCs w:val="22"/>
          <w:lang w:val="en-US"/>
        </w:rPr>
      </w:pPr>
      <w:r w:rsidRPr="00BD4DAF">
        <w:rPr>
          <w:rFonts w:ascii="Helvetica" w:hAnsi="Helvetica" w:cstheme="minorHAnsi"/>
          <w:sz w:val="22"/>
          <w:szCs w:val="22"/>
          <w:lang w:val="en-US"/>
        </w:rPr>
        <w:t>The IRRs</w:t>
      </w:r>
      <w:r w:rsidR="00D44F78" w:rsidRPr="00BD4DAF">
        <w:rPr>
          <w:rFonts w:ascii="Helvetica" w:hAnsi="Helvetica" w:cstheme="minorHAnsi"/>
          <w:sz w:val="22"/>
          <w:szCs w:val="22"/>
          <w:lang w:val="en-US"/>
        </w:rPr>
        <w:t xml:space="preserve"> </w:t>
      </w:r>
      <w:r w:rsidR="006E02F0" w:rsidRPr="00BD4DAF">
        <w:rPr>
          <w:rFonts w:ascii="Helvetica" w:hAnsi="Helvetica" w:cstheme="minorHAnsi"/>
          <w:sz w:val="22"/>
          <w:szCs w:val="22"/>
          <w:lang w:val="en-US"/>
        </w:rPr>
        <w:t xml:space="preserve">for each outcome </w:t>
      </w:r>
      <w:r w:rsidR="001C56EB" w:rsidRPr="00BD4DAF">
        <w:rPr>
          <w:rFonts w:ascii="Helvetica" w:hAnsi="Helvetica" w:cstheme="minorHAnsi"/>
          <w:sz w:val="22"/>
          <w:szCs w:val="22"/>
          <w:lang w:val="en-US"/>
        </w:rPr>
        <w:t xml:space="preserve">comparing </w:t>
      </w:r>
      <w:r w:rsidR="00470E83" w:rsidRPr="00BD4DAF">
        <w:rPr>
          <w:rFonts w:ascii="Helvetica" w:hAnsi="Helvetica" w:cstheme="minorHAnsi"/>
          <w:sz w:val="22"/>
          <w:szCs w:val="22"/>
          <w:lang w:val="en-US"/>
        </w:rPr>
        <w:t xml:space="preserve">the </w:t>
      </w:r>
      <w:r w:rsidR="009E1863" w:rsidRPr="00BD4DAF">
        <w:rPr>
          <w:rFonts w:ascii="Helvetica" w:hAnsi="Helvetica" w:cstheme="minorHAnsi"/>
          <w:sz w:val="22"/>
          <w:szCs w:val="22"/>
          <w:lang w:val="en-US"/>
        </w:rPr>
        <w:t>Oxford-AstraZeneca</w:t>
      </w:r>
      <w:r w:rsidR="00470E83" w:rsidRPr="00BD4DAF">
        <w:rPr>
          <w:rFonts w:ascii="Helvetica" w:hAnsi="Helvetica" w:cstheme="minorHAnsi"/>
          <w:sz w:val="22"/>
          <w:szCs w:val="22"/>
          <w:lang w:val="en-US"/>
        </w:rPr>
        <w:t>, Pfizer-</w:t>
      </w:r>
      <w:proofErr w:type="spellStart"/>
      <w:r w:rsidR="00470E83" w:rsidRPr="00BD4DAF">
        <w:rPr>
          <w:rFonts w:ascii="Helvetica" w:hAnsi="Helvetica" w:cstheme="minorHAnsi"/>
          <w:sz w:val="22"/>
          <w:szCs w:val="22"/>
          <w:lang w:val="en-US"/>
        </w:rPr>
        <w:t>BioNTech</w:t>
      </w:r>
      <w:proofErr w:type="spellEnd"/>
      <w:r w:rsidR="00470E83" w:rsidRPr="00BD4DAF">
        <w:rPr>
          <w:rFonts w:ascii="Helvetica" w:hAnsi="Helvetica" w:cstheme="minorHAnsi"/>
          <w:sz w:val="22"/>
          <w:szCs w:val="22"/>
          <w:lang w:val="en-US"/>
        </w:rPr>
        <w:t xml:space="preserve"> and unvaccinated groups </w:t>
      </w:r>
      <w:r w:rsidR="00EF466B" w:rsidRPr="00BD4DAF">
        <w:rPr>
          <w:rFonts w:ascii="Helvetica" w:hAnsi="Helvetica" w:cstheme="minorHAnsi"/>
          <w:sz w:val="22"/>
          <w:szCs w:val="22"/>
          <w:lang w:val="en-US"/>
        </w:rPr>
        <w:t xml:space="preserve">are shown in </w:t>
      </w:r>
      <w:r w:rsidR="001F07F4" w:rsidRPr="00BD4DAF">
        <w:rPr>
          <w:rFonts w:ascii="Helvetica" w:hAnsi="Helvetica" w:cstheme="minorHAnsi"/>
          <w:sz w:val="22"/>
          <w:szCs w:val="22"/>
          <w:highlight w:val="green"/>
          <w:lang w:val="en-US"/>
        </w:rPr>
        <w:t>T</w:t>
      </w:r>
      <w:r w:rsidR="00EF466B" w:rsidRPr="00BD4DAF">
        <w:rPr>
          <w:rFonts w:ascii="Helvetica" w:hAnsi="Helvetica" w:cstheme="minorHAnsi"/>
          <w:sz w:val="22"/>
          <w:szCs w:val="22"/>
          <w:highlight w:val="green"/>
          <w:lang w:val="en-US"/>
        </w:rPr>
        <w:t xml:space="preserve">able </w:t>
      </w:r>
      <w:r w:rsidR="00585827" w:rsidRPr="00BD4DAF">
        <w:rPr>
          <w:rFonts w:ascii="Helvetica" w:hAnsi="Helvetica" w:cstheme="minorHAnsi"/>
          <w:sz w:val="22"/>
          <w:szCs w:val="22"/>
          <w:highlight w:val="green"/>
          <w:lang w:val="en-US"/>
        </w:rPr>
        <w:t>2</w:t>
      </w:r>
      <w:r w:rsidR="00585827" w:rsidRPr="00BD4DAF">
        <w:rPr>
          <w:rFonts w:ascii="Helvetica" w:hAnsi="Helvetica" w:cstheme="minorHAnsi"/>
          <w:sz w:val="22"/>
          <w:szCs w:val="22"/>
          <w:lang w:val="en-US"/>
        </w:rPr>
        <w:t xml:space="preserve"> </w:t>
      </w:r>
      <w:r w:rsidR="00EF466B" w:rsidRPr="00BD4DAF">
        <w:rPr>
          <w:rFonts w:ascii="Helvetica" w:hAnsi="Helvetica" w:cstheme="minorHAnsi"/>
          <w:sz w:val="22"/>
          <w:szCs w:val="22"/>
          <w:lang w:val="en-US"/>
        </w:rPr>
        <w:t xml:space="preserve">for </w:t>
      </w:r>
      <w:r w:rsidR="006E02F0" w:rsidRPr="00BD4DAF">
        <w:rPr>
          <w:rFonts w:ascii="Helvetica" w:hAnsi="Helvetica" w:cstheme="minorHAnsi"/>
          <w:sz w:val="22"/>
          <w:szCs w:val="22"/>
          <w:lang w:val="en-US"/>
        </w:rPr>
        <w:t xml:space="preserve">days </w:t>
      </w:r>
      <w:r w:rsidR="00585827" w:rsidRPr="00BD4DAF">
        <w:rPr>
          <w:rFonts w:ascii="Helvetica" w:hAnsi="Helvetica" w:cstheme="minorHAnsi"/>
          <w:sz w:val="22"/>
          <w:szCs w:val="22"/>
          <w:lang w:val="en-US"/>
        </w:rPr>
        <w:t xml:space="preserve">14-84 </w:t>
      </w:r>
      <w:r w:rsidR="006E02F0" w:rsidRPr="00BD4DAF">
        <w:rPr>
          <w:rFonts w:ascii="Helvetica" w:hAnsi="Helvetica" w:cstheme="minorHAnsi"/>
          <w:sz w:val="22"/>
          <w:szCs w:val="22"/>
          <w:lang w:val="en-US"/>
        </w:rPr>
        <w:t xml:space="preserve">of follow-up. </w:t>
      </w:r>
      <w:r w:rsidR="00FA5AAD" w:rsidRPr="00BD4DAF">
        <w:rPr>
          <w:rFonts w:ascii="Helvetica" w:hAnsi="Helvetica" w:cstheme="minorHAnsi"/>
          <w:sz w:val="22"/>
          <w:szCs w:val="22"/>
          <w:lang w:val="en-US"/>
        </w:rPr>
        <w:t xml:space="preserve">The </w:t>
      </w:r>
      <w:r w:rsidR="00D377F4" w:rsidRPr="00BD4DAF">
        <w:rPr>
          <w:rFonts w:ascii="Helvetica" w:hAnsi="Helvetica" w:cstheme="minorHAnsi"/>
          <w:sz w:val="22"/>
          <w:szCs w:val="22"/>
          <w:lang w:val="en-US"/>
        </w:rPr>
        <w:t>IRR for</w:t>
      </w:r>
      <w:r w:rsidR="00053828" w:rsidRPr="00BD4DAF">
        <w:rPr>
          <w:rFonts w:ascii="Helvetica" w:hAnsi="Helvetica" w:cstheme="minorHAnsi"/>
          <w:sz w:val="22"/>
          <w:szCs w:val="22"/>
          <w:lang w:val="en-US"/>
        </w:rPr>
        <w:t xml:space="preserve"> </w:t>
      </w:r>
      <w:r w:rsidR="00FA5AAD" w:rsidRPr="00BD4DAF">
        <w:rPr>
          <w:rFonts w:ascii="Helvetica" w:hAnsi="Helvetica" w:cstheme="minorHAnsi"/>
          <w:sz w:val="22"/>
          <w:szCs w:val="22"/>
          <w:lang w:val="en-US"/>
        </w:rPr>
        <w:t xml:space="preserve">documented </w:t>
      </w:r>
      <w:r w:rsidR="00053828" w:rsidRPr="00BD4DAF">
        <w:rPr>
          <w:rFonts w:ascii="Helvetica" w:hAnsi="Helvetica" w:cstheme="minorHAnsi"/>
          <w:sz w:val="22"/>
          <w:szCs w:val="22"/>
          <w:lang w:val="en-US"/>
        </w:rPr>
        <w:t xml:space="preserve">SARS-CoV-2 </w:t>
      </w:r>
      <w:r w:rsidR="00720405" w:rsidRPr="00BD4DAF">
        <w:rPr>
          <w:rFonts w:ascii="Helvetica" w:hAnsi="Helvetica" w:cstheme="minorHAnsi"/>
          <w:sz w:val="22"/>
          <w:szCs w:val="22"/>
          <w:lang w:val="en-US"/>
        </w:rPr>
        <w:t>infection was 0.85 (95% CI, 0.69</w:t>
      </w:r>
      <w:r w:rsidR="00812040" w:rsidRPr="00BD4DAF">
        <w:rPr>
          <w:rFonts w:ascii="Helvetica" w:hAnsi="Helvetica" w:cstheme="minorHAnsi"/>
          <w:sz w:val="22"/>
          <w:szCs w:val="22"/>
          <w:lang w:val="en-US"/>
        </w:rPr>
        <w:t xml:space="preserve"> to </w:t>
      </w:r>
      <w:r w:rsidR="00720405" w:rsidRPr="00BD4DAF">
        <w:rPr>
          <w:rFonts w:ascii="Helvetica" w:hAnsi="Helvetica" w:cstheme="minorHAnsi"/>
          <w:sz w:val="22"/>
          <w:szCs w:val="22"/>
          <w:lang w:val="en-US"/>
        </w:rPr>
        <w:t>1.05</w:t>
      </w:r>
      <w:r w:rsidR="00A35B05" w:rsidRPr="00BD4DAF">
        <w:rPr>
          <w:rFonts w:ascii="Helvetica" w:hAnsi="Helvetica" w:cstheme="minorHAnsi"/>
          <w:sz w:val="22"/>
          <w:szCs w:val="22"/>
          <w:lang w:val="en-US"/>
        </w:rPr>
        <w:t>) for the Oxf</w:t>
      </w:r>
      <w:r w:rsidR="004037CA" w:rsidRPr="00BD4DAF">
        <w:rPr>
          <w:rFonts w:ascii="Helvetica" w:hAnsi="Helvetica" w:cstheme="minorHAnsi"/>
          <w:sz w:val="22"/>
          <w:szCs w:val="22"/>
          <w:lang w:val="en-US"/>
        </w:rPr>
        <w:t>ord-Astra-</w:t>
      </w:r>
      <w:r w:rsidR="004037CA" w:rsidRPr="00BD4DAF">
        <w:rPr>
          <w:rFonts w:ascii="Helvetica" w:hAnsi="Helvetica" w:cstheme="minorHAnsi"/>
          <w:sz w:val="22"/>
          <w:szCs w:val="22"/>
          <w:lang w:val="en-US"/>
        </w:rPr>
        <w:lastRenderedPageBreak/>
        <w:t>Zeneca vaccine, and 0.69</w:t>
      </w:r>
      <w:r w:rsidR="00FB6AC5" w:rsidRPr="00BD4DAF">
        <w:rPr>
          <w:rFonts w:ascii="Helvetica" w:hAnsi="Helvetica" w:cstheme="minorHAnsi"/>
          <w:sz w:val="22"/>
          <w:szCs w:val="22"/>
          <w:lang w:val="en-US"/>
        </w:rPr>
        <w:t xml:space="preserve"> (</w:t>
      </w:r>
      <w:r w:rsidR="001F39CF" w:rsidRPr="00BD4DAF">
        <w:rPr>
          <w:rFonts w:ascii="Helvetica" w:hAnsi="Helvetica" w:cstheme="minorHAnsi"/>
          <w:sz w:val="22"/>
          <w:szCs w:val="22"/>
          <w:lang w:val="en-US"/>
        </w:rPr>
        <w:t>0.55</w:t>
      </w:r>
      <w:r w:rsidR="00812040" w:rsidRPr="00BD4DAF">
        <w:rPr>
          <w:rFonts w:ascii="Helvetica" w:hAnsi="Helvetica" w:cstheme="minorHAnsi"/>
          <w:sz w:val="22"/>
          <w:szCs w:val="22"/>
          <w:lang w:val="en-US"/>
        </w:rPr>
        <w:t xml:space="preserve"> to </w:t>
      </w:r>
      <w:r w:rsidR="001F39CF" w:rsidRPr="00BD4DAF">
        <w:rPr>
          <w:rFonts w:ascii="Helvetica" w:hAnsi="Helvetica" w:cstheme="minorHAnsi"/>
          <w:sz w:val="22"/>
          <w:szCs w:val="22"/>
          <w:lang w:val="en-US"/>
        </w:rPr>
        <w:t>0.86</w:t>
      </w:r>
      <w:r w:rsidR="00A35B05" w:rsidRPr="00BD4DAF">
        <w:rPr>
          <w:rFonts w:ascii="Helvetica" w:hAnsi="Helvetica" w:cstheme="minorHAnsi"/>
          <w:sz w:val="22"/>
          <w:szCs w:val="22"/>
          <w:lang w:val="en-US"/>
        </w:rPr>
        <w:t>) for the Pfizer-</w:t>
      </w:r>
      <w:proofErr w:type="spellStart"/>
      <w:r w:rsidR="00A35B05" w:rsidRPr="00BD4DAF">
        <w:rPr>
          <w:rFonts w:ascii="Helvetica" w:hAnsi="Helvetica" w:cstheme="minorHAnsi"/>
          <w:sz w:val="22"/>
          <w:szCs w:val="22"/>
          <w:lang w:val="en-US"/>
        </w:rPr>
        <w:t>BioNTech</w:t>
      </w:r>
      <w:proofErr w:type="spellEnd"/>
      <w:r w:rsidR="00A35B05" w:rsidRPr="00BD4DAF">
        <w:rPr>
          <w:rFonts w:ascii="Helvetica" w:hAnsi="Helvetica" w:cstheme="minorHAnsi"/>
          <w:sz w:val="22"/>
          <w:szCs w:val="22"/>
          <w:lang w:val="en-US"/>
        </w:rPr>
        <w:t xml:space="preserve"> vaccine. </w:t>
      </w:r>
      <w:r w:rsidR="00A5374E" w:rsidRPr="00BD4DAF">
        <w:rPr>
          <w:rFonts w:ascii="Helvetica" w:hAnsi="Helvetica" w:cstheme="minorHAnsi"/>
          <w:sz w:val="22"/>
          <w:szCs w:val="22"/>
          <w:lang w:val="en-US"/>
        </w:rPr>
        <w:t xml:space="preserve">The </w:t>
      </w:r>
      <w:r w:rsidR="00FB6AC5" w:rsidRPr="00BD4DAF">
        <w:rPr>
          <w:rFonts w:ascii="Helvetica" w:hAnsi="Helvetica" w:cstheme="minorHAnsi"/>
          <w:sz w:val="22"/>
          <w:szCs w:val="22"/>
          <w:lang w:val="en-US"/>
        </w:rPr>
        <w:t>IRR for</w:t>
      </w:r>
      <w:r w:rsidR="00A5374E" w:rsidRPr="00BD4DAF">
        <w:rPr>
          <w:rFonts w:ascii="Helvetica" w:hAnsi="Helvetica" w:cstheme="minorHAnsi"/>
          <w:sz w:val="22"/>
          <w:szCs w:val="22"/>
          <w:lang w:val="en-US"/>
        </w:rPr>
        <w:t xml:space="preserve"> both vaccines </w:t>
      </w:r>
      <w:r w:rsidR="000A23F6" w:rsidRPr="00BD4DAF">
        <w:rPr>
          <w:rFonts w:ascii="Helvetica" w:hAnsi="Helvetica" w:cstheme="minorHAnsi"/>
          <w:sz w:val="22"/>
          <w:szCs w:val="22"/>
          <w:lang w:val="en-US"/>
        </w:rPr>
        <w:t>was</w:t>
      </w:r>
      <w:r w:rsidR="00A5374E" w:rsidRPr="00BD4DAF">
        <w:rPr>
          <w:rFonts w:ascii="Helvetica" w:hAnsi="Helvetica" w:cstheme="minorHAnsi"/>
          <w:sz w:val="22"/>
          <w:szCs w:val="22"/>
          <w:lang w:val="en-US"/>
        </w:rPr>
        <w:t xml:space="preserve"> </w:t>
      </w:r>
      <w:r w:rsidR="00BE672E" w:rsidRPr="00BD4DAF">
        <w:rPr>
          <w:rFonts w:ascii="Helvetica" w:hAnsi="Helvetica" w:cstheme="minorHAnsi"/>
          <w:sz w:val="22"/>
          <w:szCs w:val="22"/>
          <w:lang w:val="en-US"/>
        </w:rPr>
        <w:t>the same</w:t>
      </w:r>
      <w:r w:rsidR="00FB6AC5" w:rsidRPr="00BD4DAF">
        <w:rPr>
          <w:rFonts w:ascii="Helvetica" w:hAnsi="Helvetica" w:cstheme="minorHAnsi"/>
          <w:sz w:val="22"/>
          <w:szCs w:val="22"/>
          <w:lang w:val="en-US"/>
        </w:rPr>
        <w:t xml:space="preserve"> at 0.25 (0.09</w:t>
      </w:r>
      <w:r w:rsidR="00812040" w:rsidRPr="00BD4DAF">
        <w:rPr>
          <w:rFonts w:ascii="Helvetica" w:hAnsi="Helvetica" w:cstheme="minorHAnsi"/>
          <w:sz w:val="22"/>
          <w:szCs w:val="22"/>
          <w:lang w:val="en-US"/>
        </w:rPr>
        <w:t xml:space="preserve"> to </w:t>
      </w:r>
      <w:r w:rsidR="00FB6AC5" w:rsidRPr="00BD4DAF">
        <w:rPr>
          <w:rFonts w:ascii="Helvetica" w:hAnsi="Helvetica" w:cstheme="minorHAnsi"/>
          <w:sz w:val="22"/>
          <w:szCs w:val="22"/>
          <w:lang w:val="en-US"/>
        </w:rPr>
        <w:t>0.55) and 0.14</w:t>
      </w:r>
      <w:r w:rsidR="00A5374E" w:rsidRPr="00BD4DAF">
        <w:rPr>
          <w:rFonts w:ascii="Helvetica" w:hAnsi="Helvetica" w:cstheme="minorHAnsi"/>
          <w:sz w:val="22"/>
          <w:szCs w:val="22"/>
          <w:lang w:val="en-US"/>
        </w:rPr>
        <w:t xml:space="preserve"> (</w:t>
      </w:r>
      <w:r w:rsidR="00FB6AC5" w:rsidRPr="00BD4DAF">
        <w:rPr>
          <w:rFonts w:ascii="Helvetica" w:hAnsi="Helvetica" w:cstheme="minorHAnsi"/>
          <w:sz w:val="22"/>
          <w:szCs w:val="22"/>
          <w:lang w:val="en-US"/>
        </w:rPr>
        <w:t>0.02</w:t>
      </w:r>
      <w:r w:rsidR="00812040" w:rsidRPr="00BD4DAF">
        <w:rPr>
          <w:rFonts w:ascii="Helvetica" w:hAnsi="Helvetica" w:cstheme="minorHAnsi"/>
          <w:sz w:val="22"/>
          <w:szCs w:val="22"/>
          <w:lang w:val="en-US"/>
        </w:rPr>
        <w:t xml:space="preserve"> to </w:t>
      </w:r>
      <w:r w:rsidR="00FB6AC5" w:rsidRPr="00BD4DAF">
        <w:rPr>
          <w:rFonts w:ascii="Helvetica" w:hAnsi="Helvetica" w:cstheme="minorHAnsi"/>
          <w:sz w:val="22"/>
          <w:szCs w:val="22"/>
          <w:lang w:val="en-US"/>
        </w:rPr>
        <w:t>0.58</w:t>
      </w:r>
      <w:r w:rsidR="00A5374E" w:rsidRPr="00BD4DAF">
        <w:rPr>
          <w:rFonts w:ascii="Helvetica" w:hAnsi="Helvetica" w:cstheme="minorHAnsi"/>
          <w:sz w:val="22"/>
          <w:szCs w:val="22"/>
          <w:lang w:val="en-US"/>
        </w:rPr>
        <w:t xml:space="preserve">) for </w:t>
      </w:r>
      <w:r w:rsidR="00053828" w:rsidRPr="00BD4DAF">
        <w:rPr>
          <w:rFonts w:ascii="Helvetica" w:hAnsi="Helvetica" w:cstheme="minorHAnsi"/>
          <w:sz w:val="22"/>
          <w:szCs w:val="22"/>
          <w:lang w:val="en-US"/>
        </w:rPr>
        <w:t xml:space="preserve">reducing </w:t>
      </w:r>
      <w:r w:rsidR="00A5374E" w:rsidRPr="00BD4DAF">
        <w:rPr>
          <w:rFonts w:ascii="Helvetica" w:hAnsi="Helvetica" w:cstheme="minorHAnsi"/>
          <w:sz w:val="22"/>
          <w:szCs w:val="22"/>
          <w:lang w:val="en-US"/>
        </w:rPr>
        <w:t>COVID-19 hospitalization and COVID-19 mortality, respectively.</w:t>
      </w:r>
      <w:r w:rsidR="00D13D78" w:rsidRPr="00BD4DAF">
        <w:rPr>
          <w:rFonts w:ascii="Helvetica" w:hAnsi="Helvetica" w:cstheme="minorHAnsi"/>
          <w:sz w:val="22"/>
          <w:szCs w:val="22"/>
          <w:lang w:val="en-US"/>
        </w:rPr>
        <w:t xml:space="preserve"> The </w:t>
      </w:r>
      <w:r w:rsidR="00FB6AC5" w:rsidRPr="00BD4DAF">
        <w:rPr>
          <w:rFonts w:ascii="Helvetica" w:hAnsi="Helvetica" w:cstheme="minorHAnsi"/>
          <w:sz w:val="22"/>
          <w:szCs w:val="22"/>
          <w:lang w:val="en-US"/>
        </w:rPr>
        <w:t>IRR</w:t>
      </w:r>
      <w:r w:rsidR="00D13D78" w:rsidRPr="00BD4DAF">
        <w:rPr>
          <w:rFonts w:ascii="Helvetica" w:hAnsi="Helvetica" w:cstheme="minorHAnsi"/>
          <w:sz w:val="22"/>
          <w:szCs w:val="22"/>
          <w:lang w:val="en-US"/>
        </w:rPr>
        <w:t xml:space="preserve"> for all-cause mortality was </w:t>
      </w:r>
      <w:r w:rsidR="00FB6AC5" w:rsidRPr="00BD4DAF">
        <w:rPr>
          <w:rFonts w:ascii="Helvetica" w:hAnsi="Helvetica" w:cstheme="minorHAnsi"/>
          <w:sz w:val="22"/>
          <w:szCs w:val="22"/>
          <w:lang w:val="en-US"/>
        </w:rPr>
        <w:t>0.25 (0.15</w:t>
      </w:r>
      <w:r w:rsidR="00812040" w:rsidRPr="00BD4DAF">
        <w:rPr>
          <w:rFonts w:ascii="Helvetica" w:hAnsi="Helvetica" w:cstheme="minorHAnsi"/>
          <w:sz w:val="22"/>
          <w:szCs w:val="22"/>
          <w:lang w:val="en-US"/>
        </w:rPr>
        <w:t xml:space="preserve"> to </w:t>
      </w:r>
      <w:r w:rsidR="00FB6AC5" w:rsidRPr="00BD4DAF">
        <w:rPr>
          <w:rFonts w:ascii="Helvetica" w:hAnsi="Helvetica" w:cstheme="minorHAnsi"/>
          <w:sz w:val="22"/>
          <w:szCs w:val="22"/>
          <w:lang w:val="en-US"/>
        </w:rPr>
        <w:t>0.39</w:t>
      </w:r>
      <w:r w:rsidR="00D13D78" w:rsidRPr="00BD4DAF">
        <w:rPr>
          <w:rFonts w:ascii="Helvetica" w:hAnsi="Helvetica" w:cstheme="minorHAnsi"/>
          <w:sz w:val="22"/>
          <w:szCs w:val="22"/>
          <w:lang w:val="en-US"/>
        </w:rPr>
        <w:t xml:space="preserve">) for the Oxford-Astra-Zeneca vaccine, and </w:t>
      </w:r>
      <w:r w:rsidR="00FB6AC5" w:rsidRPr="00BD4DAF">
        <w:rPr>
          <w:rFonts w:ascii="Helvetica" w:hAnsi="Helvetica" w:cstheme="minorHAnsi"/>
          <w:sz w:val="22"/>
          <w:szCs w:val="22"/>
          <w:lang w:val="en-US"/>
        </w:rPr>
        <w:t xml:space="preserve">0.18 </w:t>
      </w:r>
      <w:r w:rsidR="00D13D78" w:rsidRPr="00BD4DAF">
        <w:rPr>
          <w:rFonts w:ascii="Helvetica" w:hAnsi="Helvetica" w:cstheme="minorHAnsi"/>
          <w:sz w:val="22"/>
          <w:szCs w:val="22"/>
          <w:lang w:val="en-US"/>
        </w:rPr>
        <w:t>(</w:t>
      </w:r>
      <w:r w:rsidR="00FB6AC5" w:rsidRPr="00BD4DAF">
        <w:rPr>
          <w:rFonts w:ascii="Helvetica" w:hAnsi="Helvetica" w:cstheme="minorHAnsi"/>
          <w:sz w:val="22"/>
          <w:szCs w:val="22"/>
          <w:lang w:val="en-US"/>
        </w:rPr>
        <w:t>0.10</w:t>
      </w:r>
      <w:r w:rsidR="00812040" w:rsidRPr="00BD4DAF">
        <w:rPr>
          <w:rFonts w:ascii="Helvetica" w:hAnsi="Helvetica" w:cstheme="minorHAnsi"/>
          <w:sz w:val="22"/>
          <w:szCs w:val="22"/>
          <w:lang w:val="en-US"/>
        </w:rPr>
        <w:t xml:space="preserve"> to </w:t>
      </w:r>
      <w:r w:rsidR="00FB6AC5" w:rsidRPr="00BD4DAF">
        <w:rPr>
          <w:rFonts w:ascii="Helvetica" w:hAnsi="Helvetica" w:cstheme="minorHAnsi"/>
          <w:sz w:val="22"/>
          <w:szCs w:val="22"/>
          <w:lang w:val="en-US"/>
        </w:rPr>
        <w:t>0.30</w:t>
      </w:r>
      <w:r w:rsidR="00D13D78" w:rsidRPr="00BD4DAF">
        <w:rPr>
          <w:rFonts w:ascii="Helvetica" w:hAnsi="Helvetica" w:cstheme="minorHAnsi"/>
          <w:sz w:val="22"/>
          <w:szCs w:val="22"/>
          <w:lang w:val="en-US"/>
        </w:rPr>
        <w:t>) for the Pfizer-</w:t>
      </w:r>
      <w:proofErr w:type="spellStart"/>
      <w:r w:rsidR="00D13D78" w:rsidRPr="00BD4DAF">
        <w:rPr>
          <w:rFonts w:ascii="Helvetica" w:hAnsi="Helvetica" w:cstheme="minorHAnsi"/>
          <w:sz w:val="22"/>
          <w:szCs w:val="22"/>
          <w:lang w:val="en-US"/>
        </w:rPr>
        <w:t>BioNTech</w:t>
      </w:r>
      <w:proofErr w:type="spellEnd"/>
      <w:r w:rsidR="00D13D78" w:rsidRPr="00BD4DAF">
        <w:rPr>
          <w:rFonts w:ascii="Helvetica" w:hAnsi="Helvetica" w:cstheme="minorHAnsi"/>
          <w:sz w:val="22"/>
          <w:szCs w:val="22"/>
          <w:lang w:val="en-US"/>
        </w:rPr>
        <w:t xml:space="preserve"> vaccine.  </w:t>
      </w:r>
    </w:p>
    <w:p w14:paraId="00F53890" w14:textId="77777777" w:rsidR="00F27761" w:rsidRPr="00BD4DAF" w:rsidRDefault="00F27761" w:rsidP="00B928F2">
      <w:pPr>
        <w:spacing w:line="480" w:lineRule="auto"/>
        <w:rPr>
          <w:rFonts w:ascii="Helvetica" w:hAnsi="Helvetica" w:cstheme="minorHAnsi"/>
          <w:sz w:val="22"/>
          <w:szCs w:val="22"/>
          <w:lang w:val="en-US"/>
        </w:rPr>
      </w:pPr>
    </w:p>
    <w:p w14:paraId="5AFEDE58" w14:textId="013E5835" w:rsidR="004010EC" w:rsidRPr="00BD4DAF" w:rsidRDefault="001A7071" w:rsidP="00B928F2">
      <w:pPr>
        <w:spacing w:line="480" w:lineRule="auto"/>
        <w:rPr>
          <w:rFonts w:ascii="Helvetica" w:hAnsi="Helvetica" w:cstheme="minorHAnsi"/>
          <w:sz w:val="22"/>
          <w:szCs w:val="22"/>
          <w:lang w:val="en-US"/>
        </w:rPr>
      </w:pPr>
      <w:r w:rsidRPr="00BD4DAF">
        <w:rPr>
          <w:rFonts w:ascii="Helvetica" w:hAnsi="Helvetica" w:cstheme="minorHAnsi"/>
          <w:sz w:val="22"/>
          <w:szCs w:val="22"/>
          <w:lang w:val="en-US"/>
        </w:rPr>
        <w:t xml:space="preserve">The </w:t>
      </w:r>
      <w:r w:rsidR="00614617" w:rsidRPr="00BD4DAF">
        <w:rPr>
          <w:rFonts w:ascii="Helvetica" w:hAnsi="Helvetica" w:cstheme="minorHAnsi"/>
          <w:sz w:val="22"/>
          <w:szCs w:val="22"/>
          <w:lang w:val="en-US"/>
        </w:rPr>
        <w:t xml:space="preserve">IRRs comparing the </w:t>
      </w:r>
      <w:r w:rsidR="00C036F9" w:rsidRPr="00BD4DAF">
        <w:rPr>
          <w:rFonts w:ascii="Helvetica" w:hAnsi="Helvetica" w:cstheme="minorHAnsi"/>
          <w:iCs/>
          <w:sz w:val="22"/>
          <w:szCs w:val="22"/>
          <w:lang w:val="en-US"/>
        </w:rPr>
        <w:t>Oxford-AstraZeneca and Pfizer-</w:t>
      </w:r>
      <w:proofErr w:type="spellStart"/>
      <w:r w:rsidR="00C036F9" w:rsidRPr="00BD4DAF">
        <w:rPr>
          <w:rFonts w:ascii="Helvetica" w:hAnsi="Helvetica" w:cstheme="minorHAnsi"/>
          <w:iCs/>
          <w:sz w:val="22"/>
          <w:szCs w:val="22"/>
          <w:lang w:val="en-US"/>
        </w:rPr>
        <w:t>BioNTech</w:t>
      </w:r>
      <w:proofErr w:type="spellEnd"/>
      <w:r w:rsidR="00C036F9" w:rsidRPr="00BD4DAF">
        <w:rPr>
          <w:rFonts w:ascii="Helvetica" w:hAnsi="Helvetica" w:cstheme="minorHAnsi"/>
          <w:iCs/>
          <w:sz w:val="22"/>
          <w:szCs w:val="22"/>
          <w:lang w:val="en-US"/>
        </w:rPr>
        <w:t xml:space="preserve"> vaccine groups </w:t>
      </w:r>
      <w:r w:rsidR="009F03B8" w:rsidRPr="00BD4DAF">
        <w:rPr>
          <w:rFonts w:ascii="Helvetica" w:hAnsi="Helvetica" w:cstheme="minorHAnsi"/>
          <w:sz w:val="22"/>
          <w:szCs w:val="22"/>
          <w:lang w:val="en-US"/>
        </w:rPr>
        <w:t xml:space="preserve">are shown in </w:t>
      </w:r>
      <w:r w:rsidR="00C036F9" w:rsidRPr="00BD4DAF">
        <w:rPr>
          <w:rFonts w:ascii="Helvetica" w:hAnsi="Helvetica" w:cstheme="minorHAnsi"/>
          <w:sz w:val="22"/>
          <w:szCs w:val="22"/>
          <w:highlight w:val="green"/>
          <w:lang w:val="en-US"/>
        </w:rPr>
        <w:t>T</w:t>
      </w:r>
      <w:r w:rsidR="009F03B8" w:rsidRPr="00BD4DAF">
        <w:rPr>
          <w:rFonts w:ascii="Helvetica" w:hAnsi="Helvetica" w:cstheme="minorHAnsi"/>
          <w:sz w:val="22"/>
          <w:szCs w:val="22"/>
          <w:highlight w:val="green"/>
          <w:lang w:val="en-US"/>
        </w:rPr>
        <w:t xml:space="preserve">able </w:t>
      </w:r>
      <w:r w:rsidR="00481CB7" w:rsidRPr="00BD4DAF">
        <w:rPr>
          <w:rFonts w:ascii="Helvetica" w:hAnsi="Helvetica" w:cstheme="minorHAnsi"/>
          <w:sz w:val="22"/>
          <w:szCs w:val="22"/>
          <w:highlight w:val="green"/>
          <w:lang w:val="en-US"/>
        </w:rPr>
        <w:t>2</w:t>
      </w:r>
      <w:r w:rsidR="00481CB7" w:rsidRPr="00BD4DAF">
        <w:rPr>
          <w:rFonts w:ascii="Helvetica" w:hAnsi="Helvetica" w:cstheme="minorHAnsi"/>
          <w:sz w:val="22"/>
          <w:szCs w:val="22"/>
          <w:lang w:val="en-US"/>
        </w:rPr>
        <w:t xml:space="preserve"> for days</w:t>
      </w:r>
      <w:r w:rsidR="007A64ED" w:rsidRPr="00BD4DAF">
        <w:rPr>
          <w:rFonts w:ascii="Helvetica" w:hAnsi="Helvetica" w:cstheme="minorHAnsi"/>
          <w:sz w:val="22"/>
          <w:szCs w:val="22"/>
          <w:lang w:val="en-US"/>
        </w:rPr>
        <w:t xml:space="preserve"> 14-84 of follow-up</w:t>
      </w:r>
      <w:r w:rsidR="00481CB7" w:rsidRPr="00BD4DAF">
        <w:rPr>
          <w:rFonts w:ascii="Helvetica" w:hAnsi="Helvetica" w:cstheme="minorHAnsi"/>
          <w:sz w:val="22"/>
          <w:szCs w:val="22"/>
          <w:lang w:val="en-US"/>
        </w:rPr>
        <w:t>. T</w:t>
      </w:r>
      <w:r w:rsidR="007A64ED" w:rsidRPr="00BD4DAF">
        <w:rPr>
          <w:rFonts w:ascii="Helvetica" w:hAnsi="Helvetica" w:cstheme="minorHAnsi"/>
          <w:sz w:val="22"/>
          <w:szCs w:val="22"/>
          <w:lang w:val="en-US"/>
        </w:rPr>
        <w:t xml:space="preserve">here </w:t>
      </w:r>
      <w:r w:rsidR="005257C9" w:rsidRPr="00BD4DAF">
        <w:rPr>
          <w:rFonts w:ascii="Helvetica" w:hAnsi="Helvetica" w:cstheme="minorHAnsi"/>
          <w:sz w:val="22"/>
          <w:szCs w:val="22"/>
          <w:lang w:val="en-US"/>
        </w:rPr>
        <w:t xml:space="preserve">were </w:t>
      </w:r>
      <w:r w:rsidR="007A64ED" w:rsidRPr="00BD4DAF">
        <w:rPr>
          <w:rFonts w:ascii="Helvetica" w:hAnsi="Helvetica" w:cstheme="minorHAnsi"/>
          <w:sz w:val="22"/>
          <w:szCs w:val="22"/>
          <w:lang w:val="en-US"/>
        </w:rPr>
        <w:t xml:space="preserve">no </w:t>
      </w:r>
      <w:r w:rsidR="009075AD" w:rsidRPr="00BD4DAF">
        <w:rPr>
          <w:rFonts w:ascii="Helvetica" w:hAnsi="Helvetica" w:cstheme="minorHAnsi"/>
          <w:sz w:val="22"/>
          <w:szCs w:val="22"/>
          <w:lang w:val="en-US"/>
        </w:rPr>
        <w:t xml:space="preserve">significant </w:t>
      </w:r>
      <w:r w:rsidR="007A64ED" w:rsidRPr="00BD4DAF">
        <w:rPr>
          <w:rFonts w:ascii="Helvetica" w:hAnsi="Helvetica" w:cstheme="minorHAnsi"/>
          <w:sz w:val="22"/>
          <w:szCs w:val="22"/>
          <w:lang w:val="en-US"/>
        </w:rPr>
        <w:t>difference</w:t>
      </w:r>
      <w:r w:rsidR="005257C9" w:rsidRPr="00BD4DAF">
        <w:rPr>
          <w:rFonts w:ascii="Helvetica" w:hAnsi="Helvetica" w:cstheme="minorHAnsi"/>
          <w:sz w:val="22"/>
          <w:szCs w:val="22"/>
          <w:lang w:val="en-US"/>
        </w:rPr>
        <w:t>s</w:t>
      </w:r>
      <w:r w:rsidR="007A64ED" w:rsidRPr="00BD4DAF">
        <w:rPr>
          <w:rFonts w:ascii="Helvetica" w:hAnsi="Helvetica" w:cstheme="minorHAnsi"/>
          <w:sz w:val="22"/>
          <w:szCs w:val="22"/>
          <w:lang w:val="en-US"/>
        </w:rPr>
        <w:t xml:space="preserve"> between the two vaccinated groups </w:t>
      </w:r>
      <w:r w:rsidR="005257C9" w:rsidRPr="00BD4DAF">
        <w:rPr>
          <w:rFonts w:ascii="Helvetica" w:hAnsi="Helvetica" w:cstheme="minorHAnsi"/>
          <w:sz w:val="22"/>
          <w:szCs w:val="22"/>
          <w:lang w:val="en-US"/>
        </w:rPr>
        <w:t xml:space="preserve">for </w:t>
      </w:r>
      <w:r w:rsidR="00A7477B" w:rsidRPr="00BD4DAF">
        <w:rPr>
          <w:rFonts w:ascii="Helvetica" w:hAnsi="Helvetica" w:cstheme="minorHAnsi"/>
          <w:sz w:val="22"/>
          <w:szCs w:val="22"/>
          <w:lang w:val="en-US"/>
        </w:rPr>
        <w:t>any of the</w:t>
      </w:r>
      <w:r w:rsidR="005257C9" w:rsidRPr="00BD4DAF">
        <w:rPr>
          <w:rFonts w:ascii="Helvetica" w:hAnsi="Helvetica" w:cstheme="minorHAnsi"/>
          <w:sz w:val="22"/>
          <w:szCs w:val="22"/>
          <w:lang w:val="en-US"/>
        </w:rPr>
        <w:t xml:space="preserve"> outcomes.</w:t>
      </w:r>
    </w:p>
    <w:p w14:paraId="3AE464B2" w14:textId="77777777" w:rsidR="00C72C04" w:rsidRPr="00BD4DAF" w:rsidRDefault="00C72C04" w:rsidP="00B928F2">
      <w:pPr>
        <w:spacing w:line="480" w:lineRule="auto"/>
        <w:rPr>
          <w:rFonts w:ascii="Helvetica" w:hAnsi="Helvetica" w:cstheme="minorHAnsi"/>
          <w:sz w:val="22"/>
          <w:szCs w:val="22"/>
          <w:lang w:val="en-US"/>
        </w:rPr>
      </w:pPr>
    </w:p>
    <w:p w14:paraId="30BCAC3C" w14:textId="2FFAC867" w:rsidR="00D207E6" w:rsidRPr="00BD4DAF" w:rsidRDefault="00771936" w:rsidP="00B928F2">
      <w:pPr>
        <w:spacing w:line="480" w:lineRule="auto"/>
        <w:rPr>
          <w:rFonts w:ascii="Helvetica" w:hAnsi="Helvetica" w:cstheme="minorHAnsi"/>
          <w:b/>
          <w:iCs/>
          <w:sz w:val="22"/>
          <w:szCs w:val="22"/>
          <w:lang w:val="fr-FR"/>
        </w:rPr>
      </w:pPr>
      <w:r w:rsidRPr="00BD4DAF">
        <w:rPr>
          <w:rFonts w:ascii="Helvetica" w:hAnsi="Helvetica" w:cstheme="minorHAnsi"/>
          <w:b/>
          <w:iCs/>
          <w:sz w:val="22"/>
          <w:szCs w:val="22"/>
          <w:lang w:val="fr-FR"/>
        </w:rPr>
        <w:t>Va</w:t>
      </w:r>
      <w:r w:rsidR="004010EC" w:rsidRPr="00BD4DAF">
        <w:rPr>
          <w:rFonts w:ascii="Helvetica" w:hAnsi="Helvetica" w:cstheme="minorHAnsi"/>
          <w:b/>
          <w:iCs/>
          <w:sz w:val="22"/>
          <w:szCs w:val="22"/>
          <w:lang w:val="fr-FR"/>
        </w:rPr>
        <w:t xml:space="preserve">ccine </w:t>
      </w:r>
      <w:proofErr w:type="spellStart"/>
      <w:r w:rsidR="004010EC" w:rsidRPr="00BD4DAF">
        <w:rPr>
          <w:rFonts w:ascii="Helvetica" w:hAnsi="Helvetica" w:cstheme="minorHAnsi"/>
          <w:b/>
          <w:iCs/>
          <w:sz w:val="22"/>
          <w:szCs w:val="22"/>
          <w:lang w:val="fr-FR"/>
        </w:rPr>
        <w:t>effectiveness</w:t>
      </w:r>
      <w:proofErr w:type="spellEnd"/>
      <w:r w:rsidR="004010EC" w:rsidRPr="00BD4DAF">
        <w:rPr>
          <w:rFonts w:ascii="Helvetica" w:hAnsi="Helvetica" w:cstheme="minorHAnsi"/>
          <w:b/>
          <w:iCs/>
          <w:sz w:val="22"/>
          <w:szCs w:val="22"/>
          <w:lang w:val="fr-FR"/>
        </w:rPr>
        <w:t xml:space="preserve"> in </w:t>
      </w:r>
      <w:proofErr w:type="spellStart"/>
      <w:r w:rsidR="00D649D9" w:rsidRPr="00BD4DAF">
        <w:rPr>
          <w:rFonts w:ascii="Helvetica" w:hAnsi="Helvetica" w:cstheme="minorHAnsi"/>
          <w:b/>
          <w:iCs/>
          <w:sz w:val="22"/>
          <w:szCs w:val="22"/>
          <w:lang w:val="fr-FR"/>
        </w:rPr>
        <w:t>different</w:t>
      </w:r>
      <w:proofErr w:type="spellEnd"/>
      <w:r w:rsidR="004010EC" w:rsidRPr="00BD4DAF">
        <w:rPr>
          <w:rFonts w:ascii="Helvetica" w:hAnsi="Helvetica" w:cstheme="minorHAnsi"/>
          <w:b/>
          <w:iCs/>
          <w:sz w:val="22"/>
          <w:szCs w:val="22"/>
          <w:lang w:val="fr-FR"/>
        </w:rPr>
        <w:t xml:space="preserve"> </w:t>
      </w:r>
      <w:proofErr w:type="spellStart"/>
      <w:r w:rsidR="004010EC" w:rsidRPr="00BD4DAF">
        <w:rPr>
          <w:rFonts w:ascii="Helvetica" w:hAnsi="Helvetica" w:cstheme="minorHAnsi"/>
          <w:b/>
          <w:iCs/>
          <w:sz w:val="22"/>
          <w:szCs w:val="22"/>
          <w:lang w:val="fr-FR"/>
        </w:rPr>
        <w:t>age</w:t>
      </w:r>
      <w:proofErr w:type="spellEnd"/>
      <w:r w:rsidR="004010EC" w:rsidRPr="00BD4DAF">
        <w:rPr>
          <w:rFonts w:ascii="Helvetica" w:hAnsi="Helvetica" w:cstheme="minorHAnsi"/>
          <w:b/>
          <w:iCs/>
          <w:sz w:val="22"/>
          <w:szCs w:val="22"/>
          <w:lang w:val="fr-FR"/>
        </w:rPr>
        <w:t xml:space="preserve"> groups </w:t>
      </w:r>
    </w:p>
    <w:p w14:paraId="4D50AD4B" w14:textId="77777777" w:rsidR="00232A95" w:rsidRDefault="00EA3068" w:rsidP="00B928F2">
      <w:pPr>
        <w:spacing w:line="480" w:lineRule="auto"/>
        <w:rPr>
          <w:rFonts w:ascii="Helvetica" w:hAnsi="Helvetica" w:cstheme="minorHAnsi"/>
          <w:sz w:val="22"/>
          <w:szCs w:val="22"/>
        </w:rPr>
      </w:pPr>
      <w:r w:rsidRPr="008828BB">
        <w:rPr>
          <w:rFonts w:ascii="Helvetica" w:hAnsi="Helvetica" w:cstheme="minorHAnsi"/>
          <w:sz w:val="22"/>
          <w:szCs w:val="22"/>
          <w:highlight w:val="green"/>
        </w:rPr>
        <w:t>Figure 3</w:t>
      </w:r>
      <w:r w:rsidRPr="00BD4DAF">
        <w:rPr>
          <w:rFonts w:ascii="Helvetica" w:hAnsi="Helvetica" w:cstheme="minorHAnsi"/>
          <w:sz w:val="22"/>
          <w:szCs w:val="22"/>
        </w:rPr>
        <w:t xml:space="preserve"> shows the </w:t>
      </w:r>
      <w:r w:rsidR="009A2D3A" w:rsidRPr="00BD4DAF">
        <w:rPr>
          <w:rFonts w:ascii="Helvetica" w:hAnsi="Helvetica" w:cstheme="minorHAnsi"/>
          <w:sz w:val="22"/>
          <w:szCs w:val="22"/>
          <w:lang w:val="en-US"/>
        </w:rPr>
        <w:t xml:space="preserve">association between age and COVID-19 outcomes after </w:t>
      </w:r>
      <w:r w:rsidR="0036536D" w:rsidRPr="00BD4DAF">
        <w:rPr>
          <w:rFonts w:ascii="Helvetica" w:hAnsi="Helvetica" w:cstheme="minorHAnsi"/>
          <w:sz w:val="22"/>
          <w:szCs w:val="22"/>
          <w:lang w:val="en-US"/>
        </w:rPr>
        <w:t xml:space="preserve">the </w:t>
      </w:r>
      <w:r w:rsidR="009A2D3A" w:rsidRPr="00BD4DAF">
        <w:rPr>
          <w:rFonts w:ascii="Helvetica" w:hAnsi="Helvetica" w:cstheme="minorHAnsi"/>
          <w:sz w:val="22"/>
          <w:szCs w:val="22"/>
          <w:lang w:val="en-US"/>
        </w:rPr>
        <w:t>first dose of the Oxford-AstraZeneca or Pfizer-</w:t>
      </w:r>
      <w:proofErr w:type="spellStart"/>
      <w:r w:rsidR="009A2D3A" w:rsidRPr="00BD4DAF">
        <w:rPr>
          <w:rFonts w:ascii="Helvetica" w:hAnsi="Helvetica" w:cstheme="minorHAnsi"/>
          <w:sz w:val="22"/>
          <w:szCs w:val="22"/>
          <w:lang w:val="en-US"/>
        </w:rPr>
        <w:t>BioNTech</w:t>
      </w:r>
      <w:proofErr w:type="spellEnd"/>
      <w:r w:rsidR="009A2D3A" w:rsidRPr="00BD4DAF">
        <w:rPr>
          <w:rFonts w:ascii="Helvetica" w:hAnsi="Helvetica" w:cstheme="minorHAnsi"/>
          <w:sz w:val="22"/>
          <w:szCs w:val="22"/>
          <w:lang w:val="en-US"/>
        </w:rPr>
        <w:t xml:space="preserve"> vaccines over the 14 to </w:t>
      </w:r>
      <w:proofErr w:type="gramStart"/>
      <w:r w:rsidR="009A2D3A" w:rsidRPr="00BD4DAF">
        <w:rPr>
          <w:rFonts w:ascii="Helvetica" w:hAnsi="Helvetica" w:cstheme="minorHAnsi"/>
          <w:sz w:val="22"/>
          <w:szCs w:val="22"/>
          <w:lang w:val="en-US"/>
        </w:rPr>
        <w:t>84 day</w:t>
      </w:r>
      <w:proofErr w:type="gramEnd"/>
      <w:r w:rsidR="009A2D3A" w:rsidRPr="00BD4DAF">
        <w:rPr>
          <w:rFonts w:ascii="Helvetica" w:hAnsi="Helvetica" w:cstheme="minorHAnsi"/>
          <w:sz w:val="22"/>
          <w:szCs w:val="22"/>
          <w:lang w:val="en-US"/>
        </w:rPr>
        <w:t xml:space="preserve"> follow-up period</w:t>
      </w:r>
      <w:r w:rsidRPr="00BD4DAF">
        <w:rPr>
          <w:rFonts w:ascii="Helvetica" w:hAnsi="Helvetica" w:cstheme="minorHAnsi"/>
          <w:sz w:val="22"/>
          <w:szCs w:val="22"/>
        </w:rPr>
        <w:t xml:space="preserve">. </w:t>
      </w:r>
    </w:p>
    <w:p w14:paraId="4DD4E15E" w14:textId="463DB742" w:rsidR="005E4B05" w:rsidRPr="00BD4DAF" w:rsidRDefault="007160D2" w:rsidP="00B928F2">
      <w:pPr>
        <w:spacing w:line="480" w:lineRule="auto"/>
        <w:rPr>
          <w:rFonts w:ascii="Helvetica" w:hAnsi="Helvetica" w:cstheme="minorHAnsi"/>
          <w:sz w:val="22"/>
          <w:szCs w:val="22"/>
        </w:rPr>
      </w:pPr>
      <w:r>
        <w:rPr>
          <w:rFonts w:ascii="Helvetica" w:eastAsia="Calibri" w:hAnsi="Helvetica" w:cs="Arial"/>
          <w:sz w:val="22"/>
          <w:szCs w:val="22"/>
        </w:rPr>
        <w:t>Age was an</w:t>
      </w:r>
      <w:r w:rsidRPr="0024547E">
        <w:rPr>
          <w:rFonts w:ascii="Helvetica" w:eastAsia="Calibri" w:hAnsi="Helvetica" w:cs="Arial"/>
          <w:sz w:val="22"/>
          <w:szCs w:val="22"/>
        </w:rPr>
        <w:t xml:space="preserve"> effect modifi</w:t>
      </w:r>
      <w:r>
        <w:rPr>
          <w:rFonts w:ascii="Helvetica" w:eastAsia="Calibri" w:hAnsi="Helvetica" w:cs="Arial"/>
          <w:sz w:val="22"/>
          <w:szCs w:val="22"/>
        </w:rPr>
        <w:t xml:space="preserve">er of the association between </w:t>
      </w:r>
      <w:r w:rsidRPr="0024547E">
        <w:rPr>
          <w:rFonts w:ascii="Helvetica" w:eastAsia="Calibri" w:hAnsi="Helvetica" w:cs="Arial"/>
          <w:sz w:val="22"/>
          <w:szCs w:val="22"/>
        </w:rPr>
        <w:t>vaccin</w:t>
      </w:r>
      <w:r>
        <w:rPr>
          <w:rFonts w:ascii="Helvetica" w:eastAsia="Calibri" w:hAnsi="Helvetica" w:cs="Arial"/>
          <w:sz w:val="22"/>
          <w:szCs w:val="22"/>
        </w:rPr>
        <w:t>ation</w:t>
      </w:r>
      <w:r w:rsidRPr="0024547E">
        <w:rPr>
          <w:rFonts w:ascii="Helvetica" w:eastAsia="Calibri" w:hAnsi="Helvetica" w:cs="Arial"/>
          <w:sz w:val="22"/>
          <w:szCs w:val="22"/>
        </w:rPr>
        <w:t xml:space="preserve"> </w:t>
      </w:r>
      <w:r>
        <w:rPr>
          <w:rFonts w:ascii="Helvetica" w:eastAsia="Calibri" w:hAnsi="Helvetica" w:cs="Arial"/>
          <w:sz w:val="22"/>
          <w:szCs w:val="22"/>
        </w:rPr>
        <w:t>and</w:t>
      </w:r>
      <w:r w:rsidRPr="0024547E">
        <w:rPr>
          <w:rFonts w:ascii="Helvetica" w:eastAsia="Calibri" w:hAnsi="Helvetica" w:cs="Arial"/>
          <w:sz w:val="22"/>
          <w:szCs w:val="22"/>
        </w:rPr>
        <w:t xml:space="preserve"> SARS-CoV-2 infection of any severity</w:t>
      </w:r>
      <w:r>
        <w:rPr>
          <w:rFonts w:ascii="Helvetica" w:eastAsia="Calibri" w:hAnsi="Helvetica" w:cs="Arial"/>
          <w:sz w:val="22"/>
          <w:szCs w:val="22"/>
        </w:rPr>
        <w:t>; lower hazard ratios</w:t>
      </w:r>
      <w:r>
        <w:rPr>
          <w:rFonts w:ascii="Helvetica" w:eastAsia="Calibri" w:hAnsi="Helvetica" w:cs="Arial"/>
          <w:sz w:val="22"/>
          <w:szCs w:val="22"/>
        </w:rPr>
        <w:t xml:space="preserve"> for increasing age.</w:t>
      </w:r>
      <w:r>
        <w:rPr>
          <w:rFonts w:ascii="Helvetica" w:hAnsi="Helvetica" w:cstheme="minorHAnsi"/>
          <w:sz w:val="22"/>
          <w:szCs w:val="22"/>
        </w:rPr>
        <w:t xml:space="preserve"> </w:t>
      </w:r>
      <w:r w:rsidR="009A7805" w:rsidRPr="00BD4DAF">
        <w:rPr>
          <w:rFonts w:ascii="Helvetica" w:hAnsi="Helvetica" w:cstheme="minorHAnsi"/>
          <w:sz w:val="22"/>
          <w:szCs w:val="22"/>
        </w:rPr>
        <w:t xml:space="preserve">In 40 year olds, the </w:t>
      </w:r>
      <w:r w:rsidR="00C1592C" w:rsidRPr="00BD4DAF">
        <w:rPr>
          <w:rFonts w:ascii="Helvetica" w:hAnsi="Helvetica" w:cstheme="minorHAnsi"/>
          <w:sz w:val="22"/>
          <w:szCs w:val="22"/>
        </w:rPr>
        <w:t>ha</w:t>
      </w:r>
      <w:r w:rsidR="004A47DE" w:rsidRPr="00BD4DAF">
        <w:rPr>
          <w:rFonts w:ascii="Helvetica" w:hAnsi="Helvetica" w:cstheme="minorHAnsi"/>
          <w:sz w:val="22"/>
          <w:szCs w:val="22"/>
        </w:rPr>
        <w:t>zard ratio</w:t>
      </w:r>
      <w:r w:rsidR="009A7805" w:rsidRPr="00BD4DAF">
        <w:rPr>
          <w:rFonts w:ascii="Helvetica" w:hAnsi="Helvetica" w:cstheme="minorHAnsi"/>
          <w:sz w:val="22"/>
          <w:szCs w:val="22"/>
        </w:rPr>
        <w:t xml:space="preserve"> for SARS-CoV-2 infection was </w:t>
      </w:r>
      <w:r w:rsidR="004E4F9E" w:rsidRPr="00BD4DAF">
        <w:rPr>
          <w:rFonts w:ascii="Helvetica" w:hAnsi="Helvetica" w:cstheme="minorHAnsi"/>
          <w:sz w:val="22"/>
          <w:szCs w:val="22"/>
        </w:rPr>
        <w:t>0.89 (0.61 to 1.3) and 0.62 (0.41 to 0.91)</w:t>
      </w:r>
      <w:r w:rsidR="004A47DE" w:rsidRPr="00BD4DAF">
        <w:rPr>
          <w:rFonts w:ascii="Helvetica" w:hAnsi="Helvetica" w:cstheme="minorHAnsi"/>
          <w:sz w:val="22"/>
          <w:szCs w:val="22"/>
        </w:rPr>
        <w:t xml:space="preserve"> for the </w:t>
      </w:r>
      <w:r w:rsidR="004E4F9E" w:rsidRPr="00BD4DAF">
        <w:rPr>
          <w:rFonts w:ascii="Helvetica" w:hAnsi="Helvetica" w:cstheme="minorHAnsi"/>
          <w:sz w:val="22"/>
          <w:szCs w:val="22"/>
        </w:rPr>
        <w:t xml:space="preserve">Oxford-AstraZeneca and </w:t>
      </w:r>
      <w:r w:rsidR="009A7805" w:rsidRPr="00BD4DAF">
        <w:rPr>
          <w:rFonts w:ascii="Helvetica" w:hAnsi="Helvetica" w:cstheme="minorHAnsi"/>
          <w:sz w:val="22"/>
          <w:szCs w:val="22"/>
        </w:rPr>
        <w:t>Pfizer-</w:t>
      </w:r>
      <w:proofErr w:type="spellStart"/>
      <w:r w:rsidR="009A7805" w:rsidRPr="00BD4DAF">
        <w:rPr>
          <w:rFonts w:ascii="Helvetica" w:hAnsi="Helvetica" w:cstheme="minorHAnsi"/>
          <w:sz w:val="22"/>
          <w:szCs w:val="22"/>
        </w:rPr>
        <w:t>BioNTech</w:t>
      </w:r>
      <w:proofErr w:type="spellEnd"/>
      <w:r w:rsidR="009A7805" w:rsidRPr="00BD4DAF">
        <w:rPr>
          <w:rFonts w:ascii="Helvetica" w:hAnsi="Helvetica" w:cstheme="minorHAnsi"/>
          <w:sz w:val="22"/>
          <w:szCs w:val="22"/>
        </w:rPr>
        <w:t xml:space="preserve"> </w:t>
      </w:r>
      <w:r w:rsidR="004A47DE" w:rsidRPr="00BD4DAF">
        <w:rPr>
          <w:rFonts w:ascii="Helvetica" w:hAnsi="Helvetica" w:cstheme="minorHAnsi"/>
          <w:sz w:val="22"/>
          <w:szCs w:val="22"/>
        </w:rPr>
        <w:t xml:space="preserve">vaccine, respectively, falling to </w:t>
      </w:r>
      <w:r w:rsidR="00922F59" w:rsidRPr="00BD4DAF">
        <w:rPr>
          <w:rFonts w:ascii="Helvetica" w:hAnsi="Helvetica" w:cstheme="minorHAnsi"/>
          <w:sz w:val="22"/>
          <w:szCs w:val="22"/>
        </w:rPr>
        <w:t>0.06</w:t>
      </w:r>
      <w:r w:rsidR="00841B63" w:rsidRPr="00BD4DAF">
        <w:rPr>
          <w:rFonts w:ascii="Helvetica" w:hAnsi="Helvetica" w:cstheme="minorHAnsi"/>
          <w:sz w:val="22"/>
          <w:szCs w:val="22"/>
        </w:rPr>
        <w:t xml:space="preserve"> </w:t>
      </w:r>
      <w:r w:rsidR="000512BA" w:rsidRPr="00BD4DAF">
        <w:rPr>
          <w:rFonts w:ascii="Helvetica" w:hAnsi="Helvetica" w:cstheme="minorHAnsi"/>
          <w:sz w:val="22"/>
          <w:szCs w:val="22"/>
        </w:rPr>
        <w:t>(</w:t>
      </w:r>
      <w:r w:rsidR="00922F59" w:rsidRPr="00BD4DAF">
        <w:rPr>
          <w:rFonts w:ascii="Helvetica" w:hAnsi="Helvetica" w:cstheme="minorHAnsi"/>
          <w:sz w:val="22"/>
          <w:szCs w:val="22"/>
        </w:rPr>
        <w:t>0.02</w:t>
      </w:r>
      <w:r w:rsidR="00812040" w:rsidRPr="00BD4DAF">
        <w:rPr>
          <w:rFonts w:ascii="Helvetica" w:hAnsi="Helvetica" w:cstheme="minorHAnsi"/>
          <w:sz w:val="22"/>
          <w:szCs w:val="22"/>
        </w:rPr>
        <w:t xml:space="preserve"> to </w:t>
      </w:r>
      <w:r w:rsidR="00922F59" w:rsidRPr="00BD4DAF">
        <w:rPr>
          <w:rFonts w:ascii="Helvetica" w:hAnsi="Helvetica" w:cstheme="minorHAnsi"/>
          <w:sz w:val="22"/>
          <w:szCs w:val="22"/>
        </w:rPr>
        <w:t>0.19</w:t>
      </w:r>
      <w:r w:rsidR="000512BA" w:rsidRPr="00BD4DAF">
        <w:rPr>
          <w:rFonts w:ascii="Helvetica" w:hAnsi="Helvetica" w:cstheme="minorHAnsi"/>
          <w:sz w:val="22"/>
          <w:szCs w:val="22"/>
        </w:rPr>
        <w:t>)</w:t>
      </w:r>
      <w:r w:rsidR="004E4F9E" w:rsidRPr="00BD4DAF">
        <w:rPr>
          <w:rFonts w:ascii="Helvetica" w:hAnsi="Helvetica" w:cstheme="minorHAnsi"/>
          <w:sz w:val="22"/>
          <w:szCs w:val="22"/>
        </w:rPr>
        <w:t xml:space="preserve"> and 0.18 (0.06 to 0.48) </w:t>
      </w:r>
      <w:r w:rsidR="00D30593" w:rsidRPr="00BD4DAF">
        <w:rPr>
          <w:rFonts w:ascii="Helvetica" w:hAnsi="Helvetica" w:cstheme="minorHAnsi"/>
          <w:sz w:val="22"/>
          <w:szCs w:val="22"/>
        </w:rPr>
        <w:t>in those aged 90 years</w:t>
      </w:r>
      <w:r w:rsidR="00841B63" w:rsidRPr="00BD4DAF">
        <w:rPr>
          <w:rFonts w:ascii="Helvetica" w:hAnsi="Helvetica" w:cstheme="minorHAnsi"/>
          <w:sz w:val="22"/>
          <w:szCs w:val="22"/>
        </w:rPr>
        <w:t xml:space="preserve">. </w:t>
      </w:r>
      <w:bookmarkStart w:id="7" w:name="OLE_LINK4"/>
      <w:bookmarkStart w:id="8" w:name="OLE_LINK5"/>
      <w:r w:rsidR="00FE3241" w:rsidRPr="00FE3241">
        <w:rPr>
          <w:rFonts w:ascii="Helvetica" w:hAnsi="Helvetica" w:cstheme="minorHAnsi"/>
          <w:sz w:val="22"/>
          <w:szCs w:val="22"/>
        </w:rPr>
        <w:t xml:space="preserve">Vaccine effect modification </w:t>
      </w:r>
      <w:r w:rsidR="00FE3241">
        <w:rPr>
          <w:rFonts w:ascii="Helvetica" w:hAnsi="Helvetica" w:cstheme="minorHAnsi"/>
          <w:sz w:val="22"/>
          <w:szCs w:val="22"/>
        </w:rPr>
        <w:t xml:space="preserve">by age </w:t>
      </w:r>
      <w:r w:rsidR="00FE3241" w:rsidRPr="00FE3241">
        <w:rPr>
          <w:rFonts w:ascii="Helvetica" w:hAnsi="Helvetica" w:cstheme="minorHAnsi"/>
          <w:sz w:val="22"/>
          <w:szCs w:val="22"/>
        </w:rPr>
        <w:t>was however less apparent for outcomes related to severe COVID-19 infection</w:t>
      </w:r>
      <w:r w:rsidR="00FE3241">
        <w:rPr>
          <w:rFonts w:ascii="Helvetica" w:hAnsi="Helvetica" w:cstheme="minorHAnsi"/>
          <w:sz w:val="22"/>
          <w:szCs w:val="22"/>
        </w:rPr>
        <w:t xml:space="preserve"> (</w:t>
      </w:r>
      <w:r w:rsidR="00FE3241" w:rsidRPr="0024547E">
        <w:rPr>
          <w:rFonts w:ascii="Helvetica" w:hAnsi="Helvetica" w:cstheme="minorHAnsi"/>
          <w:sz w:val="22"/>
          <w:szCs w:val="22"/>
          <w:highlight w:val="green"/>
        </w:rPr>
        <w:t>Figure 3B</w:t>
      </w:r>
      <w:r w:rsidR="00FE3241">
        <w:rPr>
          <w:rFonts w:ascii="Helvetica" w:hAnsi="Helvetica" w:cstheme="minorHAnsi"/>
          <w:sz w:val="22"/>
          <w:szCs w:val="22"/>
        </w:rPr>
        <w:t xml:space="preserve"> and </w:t>
      </w:r>
      <w:r w:rsidR="00FE3241" w:rsidRPr="0024547E">
        <w:rPr>
          <w:rFonts w:ascii="Helvetica" w:hAnsi="Helvetica" w:cstheme="minorHAnsi"/>
          <w:sz w:val="22"/>
          <w:szCs w:val="22"/>
          <w:highlight w:val="green"/>
        </w:rPr>
        <w:t>3C</w:t>
      </w:r>
      <w:r w:rsidR="00FE3241">
        <w:rPr>
          <w:rFonts w:ascii="Helvetica" w:hAnsi="Helvetica" w:cstheme="minorHAnsi"/>
          <w:sz w:val="22"/>
          <w:szCs w:val="22"/>
        </w:rPr>
        <w:t>)</w:t>
      </w:r>
      <w:r w:rsidR="00FE3241" w:rsidRPr="00FE3241">
        <w:rPr>
          <w:rFonts w:ascii="Helvetica" w:hAnsi="Helvetica" w:cstheme="minorHAnsi"/>
          <w:sz w:val="22"/>
          <w:szCs w:val="22"/>
        </w:rPr>
        <w:t>.</w:t>
      </w:r>
      <w:r w:rsidR="00FE3241">
        <w:rPr>
          <w:rFonts w:ascii="Helvetica" w:hAnsi="Helvetica" w:cstheme="minorHAnsi"/>
          <w:sz w:val="22"/>
          <w:szCs w:val="22"/>
        </w:rPr>
        <w:t xml:space="preserve"> </w:t>
      </w:r>
      <w:r w:rsidR="00FE3241" w:rsidRPr="00FE3241">
        <w:rPr>
          <w:rFonts w:ascii="Helvetica" w:hAnsi="Helvetica" w:cstheme="minorHAnsi"/>
          <w:sz w:val="22"/>
          <w:szCs w:val="22"/>
          <w:lang w:val="en-US"/>
        </w:rPr>
        <w:t>We were unable to assess for effect modification by age on COVID-19 mortality due to low event rates.</w:t>
      </w:r>
      <w:r w:rsidR="00FE3241">
        <w:rPr>
          <w:rFonts w:ascii="Helvetica" w:hAnsi="Helvetica" w:cstheme="minorHAnsi"/>
          <w:sz w:val="22"/>
          <w:szCs w:val="22"/>
          <w:lang w:val="en-US"/>
        </w:rPr>
        <w:t xml:space="preserve"> </w:t>
      </w:r>
      <w:r w:rsidR="00232A95">
        <w:rPr>
          <w:rFonts w:ascii="Helvetica" w:hAnsi="Helvetica" w:cstheme="minorHAnsi"/>
          <w:sz w:val="22"/>
          <w:szCs w:val="22"/>
        </w:rPr>
        <w:t>While t</w:t>
      </w:r>
      <w:r w:rsidR="0052737C" w:rsidRPr="00BD4DAF">
        <w:rPr>
          <w:rFonts w:ascii="Helvetica" w:hAnsi="Helvetica" w:cstheme="minorHAnsi"/>
          <w:sz w:val="22"/>
          <w:szCs w:val="22"/>
        </w:rPr>
        <w:t>he</w:t>
      </w:r>
      <w:r w:rsidR="006731F1" w:rsidRPr="00BD4DAF">
        <w:rPr>
          <w:rFonts w:ascii="Helvetica" w:hAnsi="Helvetica" w:cstheme="minorHAnsi"/>
          <w:sz w:val="22"/>
          <w:szCs w:val="22"/>
        </w:rPr>
        <w:t xml:space="preserve">re was a trend </w:t>
      </w:r>
      <w:r w:rsidR="005B40B1" w:rsidRPr="00BD4DAF">
        <w:rPr>
          <w:rFonts w:ascii="Helvetica" w:hAnsi="Helvetica" w:cstheme="minorHAnsi"/>
          <w:sz w:val="22"/>
          <w:szCs w:val="22"/>
        </w:rPr>
        <w:t xml:space="preserve">towards the </w:t>
      </w:r>
      <w:r w:rsidR="0052737C" w:rsidRPr="00BD4DAF">
        <w:rPr>
          <w:rFonts w:ascii="Helvetica" w:hAnsi="Helvetica" w:cstheme="minorHAnsi"/>
          <w:sz w:val="22"/>
          <w:szCs w:val="22"/>
        </w:rPr>
        <w:t>Pfizer-</w:t>
      </w:r>
      <w:proofErr w:type="spellStart"/>
      <w:r w:rsidR="0052737C" w:rsidRPr="00BD4DAF">
        <w:rPr>
          <w:rFonts w:ascii="Helvetica" w:hAnsi="Helvetica" w:cstheme="minorHAnsi"/>
          <w:sz w:val="22"/>
          <w:szCs w:val="22"/>
        </w:rPr>
        <w:t>BioNTech</w:t>
      </w:r>
      <w:proofErr w:type="spellEnd"/>
      <w:r w:rsidR="0052737C" w:rsidRPr="00BD4DAF">
        <w:rPr>
          <w:rFonts w:ascii="Helvetica" w:hAnsi="Helvetica" w:cstheme="minorHAnsi"/>
          <w:sz w:val="22"/>
          <w:szCs w:val="22"/>
        </w:rPr>
        <w:t xml:space="preserve"> vaccine</w:t>
      </w:r>
      <w:r w:rsidR="005B40B1" w:rsidRPr="00BD4DAF">
        <w:rPr>
          <w:rFonts w:ascii="Helvetica" w:hAnsi="Helvetica" w:cstheme="minorHAnsi"/>
          <w:sz w:val="22"/>
          <w:szCs w:val="22"/>
        </w:rPr>
        <w:t xml:space="preserve"> </w:t>
      </w:r>
      <w:r w:rsidR="00922F59" w:rsidRPr="00BD4DAF">
        <w:rPr>
          <w:rFonts w:ascii="Helvetica" w:hAnsi="Helvetica" w:cstheme="minorHAnsi"/>
          <w:sz w:val="22"/>
          <w:szCs w:val="22"/>
        </w:rPr>
        <w:t xml:space="preserve">having a </w:t>
      </w:r>
      <w:r w:rsidR="00232A95">
        <w:rPr>
          <w:rFonts w:ascii="Helvetica" w:hAnsi="Helvetica" w:cstheme="minorHAnsi"/>
          <w:sz w:val="22"/>
          <w:szCs w:val="22"/>
        </w:rPr>
        <w:t>lower</w:t>
      </w:r>
      <w:r w:rsidR="00232A95" w:rsidRPr="00BD4DAF">
        <w:rPr>
          <w:rFonts w:ascii="Helvetica" w:hAnsi="Helvetica" w:cstheme="minorHAnsi"/>
          <w:sz w:val="22"/>
          <w:szCs w:val="22"/>
        </w:rPr>
        <w:t xml:space="preserve"> </w:t>
      </w:r>
      <w:r w:rsidR="00922F59" w:rsidRPr="00BD4DAF">
        <w:rPr>
          <w:rFonts w:ascii="Helvetica" w:hAnsi="Helvetica" w:cstheme="minorHAnsi"/>
          <w:sz w:val="22"/>
          <w:szCs w:val="22"/>
        </w:rPr>
        <w:t>hazard ratio</w:t>
      </w:r>
      <w:r w:rsidR="005B40B1" w:rsidRPr="00BD4DAF">
        <w:rPr>
          <w:rFonts w:ascii="Helvetica" w:hAnsi="Helvetica" w:cstheme="minorHAnsi"/>
          <w:sz w:val="22"/>
          <w:szCs w:val="22"/>
        </w:rPr>
        <w:t xml:space="preserve"> than the Oxford-AstraZeneca vaccine in </w:t>
      </w:r>
      <w:r w:rsidR="00960CD8" w:rsidRPr="00BD4DAF">
        <w:rPr>
          <w:rFonts w:ascii="Helvetica" w:hAnsi="Helvetica" w:cstheme="minorHAnsi"/>
          <w:sz w:val="22"/>
          <w:szCs w:val="22"/>
        </w:rPr>
        <w:t>younger individuals</w:t>
      </w:r>
      <w:r w:rsidR="00EF7CA6" w:rsidRPr="00BD4DAF">
        <w:rPr>
          <w:rFonts w:ascii="Helvetica" w:hAnsi="Helvetica" w:cstheme="minorHAnsi"/>
          <w:sz w:val="22"/>
          <w:szCs w:val="22"/>
        </w:rPr>
        <w:t xml:space="preserve"> (Figure 3)</w:t>
      </w:r>
      <w:r w:rsidR="005B40B1" w:rsidRPr="00BD4DAF">
        <w:rPr>
          <w:rFonts w:ascii="Helvetica" w:hAnsi="Helvetica" w:cstheme="minorHAnsi"/>
          <w:sz w:val="22"/>
          <w:szCs w:val="22"/>
        </w:rPr>
        <w:t xml:space="preserve">, </w:t>
      </w:r>
      <w:r w:rsidR="00AD2340" w:rsidRPr="00BD4DAF">
        <w:rPr>
          <w:rFonts w:ascii="Helvetica" w:hAnsi="Helvetica" w:cstheme="minorHAnsi"/>
          <w:sz w:val="22"/>
          <w:szCs w:val="22"/>
        </w:rPr>
        <w:t xml:space="preserve">the number of events </w:t>
      </w:r>
      <w:r w:rsidR="007C6C26" w:rsidRPr="00BD4DAF">
        <w:rPr>
          <w:rFonts w:ascii="Helvetica" w:hAnsi="Helvetica" w:cstheme="minorHAnsi"/>
          <w:sz w:val="22"/>
          <w:szCs w:val="22"/>
        </w:rPr>
        <w:t xml:space="preserve">among the young was low so confidence intervals were wide. </w:t>
      </w:r>
      <w:bookmarkEnd w:id="7"/>
      <w:bookmarkEnd w:id="8"/>
    </w:p>
    <w:p w14:paraId="123DF8CC" w14:textId="77777777" w:rsidR="00E115EE" w:rsidRPr="00BD4DAF" w:rsidRDefault="00E115EE" w:rsidP="00B928F2">
      <w:pPr>
        <w:spacing w:line="480" w:lineRule="auto"/>
        <w:rPr>
          <w:rFonts w:ascii="Helvetica" w:hAnsi="Helvetica" w:cstheme="minorHAnsi"/>
          <w:b/>
          <w:sz w:val="22"/>
          <w:szCs w:val="22"/>
          <w:lang w:val="en-US"/>
        </w:rPr>
      </w:pPr>
    </w:p>
    <w:p w14:paraId="092BC6B1" w14:textId="77777777" w:rsidR="005E4064" w:rsidRDefault="005E4064" w:rsidP="00B928F2">
      <w:pPr>
        <w:spacing w:line="480" w:lineRule="auto"/>
        <w:rPr>
          <w:rFonts w:ascii="Helvetica" w:hAnsi="Helvetica" w:cstheme="minorHAnsi"/>
          <w:sz w:val="22"/>
          <w:szCs w:val="22"/>
          <w:lang w:val="en-US"/>
        </w:rPr>
      </w:pPr>
    </w:p>
    <w:p w14:paraId="14AF0028" w14:textId="009A675D" w:rsidR="00481CB7" w:rsidRPr="00C32601" w:rsidRDefault="00B928F2" w:rsidP="00B928F2">
      <w:pPr>
        <w:spacing w:line="480" w:lineRule="auto"/>
        <w:rPr>
          <w:rFonts w:ascii="Helvetica" w:hAnsi="Helvetica" w:cstheme="minorHAnsi"/>
          <w:b/>
          <w:sz w:val="26"/>
          <w:szCs w:val="26"/>
          <w:lang w:val="en-US"/>
        </w:rPr>
      </w:pPr>
      <w:r>
        <w:rPr>
          <w:rFonts w:ascii="Helvetica" w:hAnsi="Helvetica" w:cstheme="minorHAnsi"/>
          <w:b/>
          <w:sz w:val="26"/>
          <w:szCs w:val="26"/>
          <w:lang w:val="en-US"/>
        </w:rPr>
        <w:t>D</w:t>
      </w:r>
      <w:r w:rsidR="00481CB7" w:rsidRPr="00C32601">
        <w:rPr>
          <w:rFonts w:ascii="Helvetica" w:hAnsi="Helvetica" w:cstheme="minorHAnsi"/>
          <w:b/>
          <w:sz w:val="26"/>
          <w:szCs w:val="26"/>
          <w:lang w:val="en-US"/>
        </w:rPr>
        <w:t>iscussion</w:t>
      </w:r>
    </w:p>
    <w:p w14:paraId="50FC1296" w14:textId="48AC331F" w:rsidR="00576756" w:rsidRPr="00BD4DAF" w:rsidRDefault="007160D2" w:rsidP="00B928F2">
      <w:pPr>
        <w:spacing w:line="480" w:lineRule="auto"/>
        <w:rPr>
          <w:rFonts w:ascii="Helvetica" w:eastAsia="Calibri" w:hAnsi="Helvetica" w:cs="Arial"/>
          <w:sz w:val="22"/>
          <w:szCs w:val="22"/>
        </w:rPr>
      </w:pPr>
      <w:r>
        <w:rPr>
          <w:rFonts w:ascii="Helvetica" w:eastAsia="Calibri" w:hAnsi="Helvetica" w:cs="Arial"/>
          <w:sz w:val="22"/>
          <w:szCs w:val="22"/>
        </w:rPr>
        <w:lastRenderedPageBreak/>
        <w:t>To our knowledge, t</w:t>
      </w:r>
      <w:r w:rsidR="00CB7C85" w:rsidRPr="00BD4DAF">
        <w:rPr>
          <w:rFonts w:ascii="Helvetica" w:eastAsia="Calibri" w:hAnsi="Helvetica" w:cs="Arial"/>
          <w:sz w:val="22"/>
          <w:szCs w:val="22"/>
        </w:rPr>
        <w:t>his is the first study to us</w:t>
      </w:r>
      <w:r w:rsidR="008C68AE" w:rsidRPr="00BD4DAF">
        <w:rPr>
          <w:rFonts w:ascii="Helvetica" w:eastAsia="Calibri" w:hAnsi="Helvetica" w:cs="Arial"/>
          <w:sz w:val="22"/>
          <w:szCs w:val="22"/>
        </w:rPr>
        <w:t>e</w:t>
      </w:r>
      <w:r w:rsidR="00CB7C85" w:rsidRPr="00BD4DAF">
        <w:rPr>
          <w:rFonts w:ascii="Helvetica" w:eastAsia="Calibri" w:hAnsi="Helvetica" w:cs="Arial"/>
          <w:sz w:val="22"/>
          <w:szCs w:val="22"/>
        </w:rPr>
        <w:t xml:space="preserve"> real-world observational data to compare the effectiveness of a single dose of the Oxford-AstraZeneca and Pfizer-</w:t>
      </w:r>
      <w:proofErr w:type="spellStart"/>
      <w:r w:rsidR="00CB7C85" w:rsidRPr="00BD4DAF">
        <w:rPr>
          <w:rFonts w:ascii="Helvetica" w:eastAsia="Calibri" w:hAnsi="Helvetica" w:cs="Arial"/>
          <w:sz w:val="22"/>
          <w:szCs w:val="22"/>
        </w:rPr>
        <w:t>BioNTech</w:t>
      </w:r>
      <w:proofErr w:type="spellEnd"/>
      <w:r w:rsidR="00CB7C85" w:rsidRPr="00BD4DAF">
        <w:rPr>
          <w:rFonts w:ascii="Helvetica" w:eastAsia="Calibri" w:hAnsi="Helvetica" w:cs="Arial"/>
          <w:sz w:val="22"/>
          <w:szCs w:val="22"/>
        </w:rPr>
        <w:t xml:space="preserve"> vaccines against COVID-19</w:t>
      </w:r>
      <w:r w:rsidR="00CE526A" w:rsidRPr="00BD4DAF">
        <w:rPr>
          <w:rFonts w:ascii="Helvetica" w:eastAsia="Calibri" w:hAnsi="Helvetica" w:cs="Arial"/>
          <w:sz w:val="22"/>
          <w:szCs w:val="22"/>
        </w:rPr>
        <w:t xml:space="preserve"> over</w:t>
      </w:r>
      <w:r w:rsidR="00F811F6" w:rsidRPr="00BD4DAF">
        <w:rPr>
          <w:rFonts w:ascii="Helvetica" w:eastAsia="Calibri" w:hAnsi="Helvetica" w:cs="Arial"/>
          <w:sz w:val="22"/>
          <w:szCs w:val="22"/>
        </w:rPr>
        <w:t xml:space="preserve"> 3 </w:t>
      </w:r>
      <w:proofErr w:type="gramStart"/>
      <w:r w:rsidR="00F811F6" w:rsidRPr="00BD4DAF">
        <w:rPr>
          <w:rFonts w:ascii="Helvetica" w:eastAsia="Calibri" w:hAnsi="Helvetica" w:cs="Arial"/>
          <w:sz w:val="22"/>
          <w:szCs w:val="22"/>
        </w:rPr>
        <w:t>months</w:t>
      </w:r>
      <w:proofErr w:type="gramEnd"/>
      <w:r w:rsidR="000A23F6" w:rsidRPr="00BD4DAF">
        <w:rPr>
          <w:rFonts w:ascii="Helvetica" w:eastAsia="Calibri" w:hAnsi="Helvetica" w:cs="Arial"/>
          <w:sz w:val="22"/>
          <w:szCs w:val="22"/>
        </w:rPr>
        <w:t xml:space="preserve"> follow-up</w:t>
      </w:r>
      <w:r w:rsidR="00277B37" w:rsidRPr="00BD4DAF">
        <w:rPr>
          <w:rFonts w:ascii="Helvetica" w:eastAsia="Calibri" w:hAnsi="Helvetica" w:cs="Arial"/>
          <w:sz w:val="22"/>
          <w:szCs w:val="22"/>
        </w:rPr>
        <w:t xml:space="preserve"> </w:t>
      </w:r>
      <w:r w:rsidR="00981419" w:rsidRPr="00BD4DAF">
        <w:rPr>
          <w:rFonts w:ascii="Helvetica" w:eastAsia="Calibri" w:hAnsi="Helvetica" w:cs="Arial"/>
          <w:sz w:val="22"/>
          <w:szCs w:val="22"/>
        </w:rPr>
        <w:t xml:space="preserve">across the entire age </w:t>
      </w:r>
      <w:r w:rsidR="00772864" w:rsidRPr="00BD4DAF">
        <w:rPr>
          <w:rFonts w:ascii="Helvetica" w:eastAsia="Calibri" w:hAnsi="Helvetica" w:cs="Arial"/>
          <w:sz w:val="22"/>
          <w:szCs w:val="22"/>
        </w:rPr>
        <w:t>spectrum</w:t>
      </w:r>
      <w:r w:rsidR="00E1371C">
        <w:rPr>
          <w:rFonts w:ascii="Helvetica" w:eastAsia="Calibri" w:hAnsi="Helvetica" w:cs="Arial"/>
          <w:sz w:val="22"/>
          <w:szCs w:val="22"/>
        </w:rPr>
        <w:t xml:space="preserve"> in the general population</w:t>
      </w:r>
      <w:r w:rsidR="00CB7C85" w:rsidRPr="00BD4DAF">
        <w:rPr>
          <w:rFonts w:ascii="Helvetica" w:eastAsia="Calibri" w:hAnsi="Helvetica" w:cs="Arial"/>
          <w:sz w:val="22"/>
          <w:szCs w:val="22"/>
        </w:rPr>
        <w:t>.</w:t>
      </w:r>
      <w:r w:rsidR="00D8789E" w:rsidRPr="00BD4DAF">
        <w:rPr>
          <w:rFonts w:ascii="Helvetica" w:eastAsia="Calibri" w:hAnsi="Helvetica" w:cs="Arial"/>
          <w:sz w:val="22"/>
          <w:szCs w:val="22"/>
        </w:rPr>
        <w:t xml:space="preserve"> </w:t>
      </w:r>
      <w:r w:rsidR="00CB73D7" w:rsidRPr="00BD4DAF">
        <w:rPr>
          <w:rFonts w:ascii="Helvetica" w:eastAsia="Calibri" w:hAnsi="Helvetica" w:cs="Arial"/>
          <w:sz w:val="22"/>
          <w:szCs w:val="22"/>
        </w:rPr>
        <w:t>While</w:t>
      </w:r>
      <w:r w:rsidR="00006D99" w:rsidRPr="00BD4DAF">
        <w:rPr>
          <w:rFonts w:ascii="Helvetica" w:eastAsia="Calibri" w:hAnsi="Helvetica" w:cs="Arial"/>
          <w:sz w:val="22"/>
          <w:szCs w:val="22"/>
        </w:rPr>
        <w:t xml:space="preserve"> the Oxford-AstraZeneca and Pfizer-</w:t>
      </w:r>
      <w:proofErr w:type="spellStart"/>
      <w:r w:rsidR="00006D99" w:rsidRPr="00BD4DAF">
        <w:rPr>
          <w:rFonts w:ascii="Helvetica" w:eastAsia="Calibri" w:hAnsi="Helvetica" w:cs="Arial"/>
          <w:sz w:val="22"/>
          <w:szCs w:val="22"/>
        </w:rPr>
        <w:t>BioNTech</w:t>
      </w:r>
      <w:proofErr w:type="spellEnd"/>
      <w:r w:rsidR="00006D99" w:rsidRPr="00BD4DAF">
        <w:rPr>
          <w:rFonts w:ascii="Helvetica" w:eastAsia="Calibri" w:hAnsi="Helvetica" w:cs="Arial"/>
          <w:sz w:val="22"/>
          <w:szCs w:val="22"/>
        </w:rPr>
        <w:t xml:space="preserve"> </w:t>
      </w:r>
      <w:r w:rsidR="00610BD3" w:rsidRPr="00BD4DAF">
        <w:rPr>
          <w:rFonts w:ascii="Helvetica" w:eastAsia="Calibri" w:hAnsi="Helvetica" w:cs="Arial"/>
          <w:sz w:val="22"/>
          <w:szCs w:val="22"/>
        </w:rPr>
        <w:t xml:space="preserve">vaccines </w:t>
      </w:r>
      <w:r w:rsidR="00006D99" w:rsidRPr="00BD4DAF">
        <w:rPr>
          <w:rFonts w:ascii="Helvetica" w:eastAsia="Calibri" w:hAnsi="Helvetica" w:cs="Arial"/>
          <w:sz w:val="22"/>
          <w:szCs w:val="22"/>
        </w:rPr>
        <w:t xml:space="preserve">as a single dose </w:t>
      </w:r>
      <w:r w:rsidR="00610BD3" w:rsidRPr="00BD4DAF">
        <w:rPr>
          <w:rFonts w:ascii="Helvetica" w:eastAsia="Calibri" w:hAnsi="Helvetica" w:cs="Arial"/>
          <w:sz w:val="22"/>
          <w:szCs w:val="22"/>
        </w:rPr>
        <w:t>were</w:t>
      </w:r>
      <w:r w:rsidR="00132969" w:rsidRPr="00BD4DAF">
        <w:rPr>
          <w:rFonts w:ascii="Helvetica" w:eastAsia="Calibri" w:hAnsi="Helvetica" w:cs="Arial"/>
          <w:sz w:val="22"/>
          <w:szCs w:val="22"/>
        </w:rPr>
        <w:t xml:space="preserve"> associated with a </w:t>
      </w:r>
      <w:r w:rsidR="009075AD" w:rsidRPr="00BD4DAF">
        <w:rPr>
          <w:rFonts w:ascii="Helvetica" w:eastAsia="Calibri" w:hAnsi="Helvetica" w:cs="Arial"/>
          <w:sz w:val="22"/>
          <w:szCs w:val="22"/>
        </w:rPr>
        <w:t xml:space="preserve">relatively low </w:t>
      </w:r>
      <w:r w:rsidR="00132969" w:rsidRPr="00BD4DAF">
        <w:rPr>
          <w:rFonts w:ascii="Helvetica" w:eastAsia="Calibri" w:hAnsi="Helvetica" w:cs="Arial"/>
          <w:sz w:val="22"/>
          <w:szCs w:val="22"/>
        </w:rPr>
        <w:t>reduction in the rate of SARS-CoV-2 infection</w:t>
      </w:r>
      <w:r w:rsidR="00CB73D7" w:rsidRPr="00BD4DAF">
        <w:rPr>
          <w:rFonts w:ascii="Helvetica" w:eastAsia="Calibri" w:hAnsi="Helvetica" w:cs="Arial"/>
          <w:sz w:val="22"/>
          <w:szCs w:val="22"/>
        </w:rPr>
        <w:t xml:space="preserve"> </w:t>
      </w:r>
      <w:r w:rsidR="00006D99" w:rsidRPr="00BD4DAF">
        <w:rPr>
          <w:rFonts w:ascii="Helvetica" w:eastAsia="Calibri" w:hAnsi="Helvetica" w:cs="Arial"/>
          <w:sz w:val="22"/>
          <w:szCs w:val="22"/>
        </w:rPr>
        <w:t xml:space="preserve">at 3 months </w:t>
      </w:r>
      <w:r w:rsidR="009075AD" w:rsidRPr="00BD4DAF">
        <w:rPr>
          <w:rFonts w:ascii="Helvetica" w:eastAsia="Calibri" w:hAnsi="Helvetica" w:cs="Arial"/>
          <w:sz w:val="22"/>
          <w:szCs w:val="22"/>
        </w:rPr>
        <w:t xml:space="preserve">of 15% and 31% </w:t>
      </w:r>
      <w:r w:rsidR="00CB73D7" w:rsidRPr="00BD4DAF">
        <w:rPr>
          <w:rFonts w:ascii="Helvetica" w:eastAsia="Calibri" w:hAnsi="Helvetica" w:cs="Arial"/>
          <w:sz w:val="22"/>
          <w:szCs w:val="22"/>
        </w:rPr>
        <w:t>compared to being unvaccinated,</w:t>
      </w:r>
      <w:r w:rsidR="003C7278" w:rsidRPr="00BD4DAF">
        <w:rPr>
          <w:rFonts w:ascii="Helvetica" w:eastAsia="Calibri" w:hAnsi="Helvetica" w:cs="Arial"/>
          <w:sz w:val="22"/>
          <w:szCs w:val="22"/>
        </w:rPr>
        <w:t xml:space="preserve"> respectively,</w:t>
      </w:r>
      <w:r w:rsidR="00006D99" w:rsidRPr="00BD4DAF">
        <w:rPr>
          <w:rFonts w:ascii="Helvetica" w:eastAsia="Calibri" w:hAnsi="Helvetica" w:cs="Arial"/>
          <w:sz w:val="22"/>
          <w:szCs w:val="22"/>
        </w:rPr>
        <w:t xml:space="preserve"> </w:t>
      </w:r>
      <w:r w:rsidR="00D73A13" w:rsidRPr="00BD4DAF">
        <w:rPr>
          <w:rFonts w:ascii="Helvetica" w:eastAsia="Calibri" w:hAnsi="Helvetica" w:cs="Arial"/>
          <w:sz w:val="22"/>
          <w:szCs w:val="22"/>
        </w:rPr>
        <w:t xml:space="preserve">the effect estimate crossed the null for the Oxford-AstraZeneca vaccine. </w:t>
      </w:r>
      <w:r w:rsidR="00006D99" w:rsidRPr="00BD4DAF">
        <w:rPr>
          <w:rFonts w:ascii="Helvetica" w:eastAsia="Calibri" w:hAnsi="Helvetica" w:cs="Arial"/>
          <w:sz w:val="22"/>
          <w:szCs w:val="22"/>
        </w:rPr>
        <w:t>Vaccination with either vaccine was however associated with a marked reduction in outcomes related to severe COVID-19 infection.</w:t>
      </w:r>
      <w:r w:rsidR="00DB0AE2" w:rsidRPr="00BD4DAF">
        <w:rPr>
          <w:rFonts w:ascii="Helvetica" w:eastAsia="Calibri" w:hAnsi="Helvetica" w:cs="Arial"/>
          <w:sz w:val="22"/>
          <w:szCs w:val="22"/>
        </w:rPr>
        <w:t xml:space="preserve"> We observed effect modification in vaccine effectiveness </w:t>
      </w:r>
      <w:r w:rsidR="009872DF" w:rsidRPr="00BD4DAF">
        <w:rPr>
          <w:rFonts w:ascii="Helvetica" w:eastAsia="Calibri" w:hAnsi="Helvetica" w:cs="Arial"/>
          <w:sz w:val="22"/>
          <w:szCs w:val="22"/>
        </w:rPr>
        <w:t>by age across both the Oxford-AstraZeneca and Pfizer-</w:t>
      </w:r>
      <w:proofErr w:type="spellStart"/>
      <w:r w:rsidR="009872DF" w:rsidRPr="00BD4DAF">
        <w:rPr>
          <w:rFonts w:ascii="Helvetica" w:eastAsia="Calibri" w:hAnsi="Helvetica" w:cs="Arial"/>
          <w:sz w:val="22"/>
          <w:szCs w:val="22"/>
        </w:rPr>
        <w:t>BioNTech</w:t>
      </w:r>
      <w:proofErr w:type="spellEnd"/>
      <w:r w:rsidR="009872DF" w:rsidRPr="00BD4DAF">
        <w:rPr>
          <w:rFonts w:ascii="Helvetica" w:eastAsia="Calibri" w:hAnsi="Helvetica" w:cs="Arial"/>
          <w:sz w:val="22"/>
          <w:szCs w:val="22"/>
        </w:rPr>
        <w:t xml:space="preserve"> vaccines</w:t>
      </w:r>
      <w:r w:rsidR="006F6836" w:rsidRPr="00BD4DAF">
        <w:rPr>
          <w:rFonts w:ascii="Helvetica" w:eastAsia="Calibri" w:hAnsi="Helvetica" w:cs="Arial"/>
          <w:sz w:val="22"/>
          <w:szCs w:val="22"/>
        </w:rPr>
        <w:t xml:space="preserve">. </w:t>
      </w:r>
      <w:r w:rsidR="00B961A5" w:rsidRPr="00BD4DAF">
        <w:rPr>
          <w:rFonts w:ascii="Helvetica" w:eastAsia="Calibri" w:hAnsi="Helvetica" w:cs="Arial"/>
          <w:sz w:val="22"/>
          <w:szCs w:val="22"/>
        </w:rPr>
        <w:t xml:space="preserve">A single dose of either vaccine to prevent </w:t>
      </w:r>
      <w:r w:rsidR="006F6836" w:rsidRPr="00BD4DAF">
        <w:rPr>
          <w:rFonts w:ascii="Helvetica" w:eastAsia="Calibri" w:hAnsi="Helvetica" w:cs="Arial"/>
          <w:sz w:val="22"/>
          <w:szCs w:val="22"/>
        </w:rPr>
        <w:t xml:space="preserve">SARS-CoV-2 </w:t>
      </w:r>
      <w:r w:rsidR="00B961A5" w:rsidRPr="00BD4DAF">
        <w:rPr>
          <w:rFonts w:ascii="Helvetica" w:eastAsia="Calibri" w:hAnsi="Helvetica" w:cs="Arial"/>
          <w:sz w:val="22"/>
          <w:szCs w:val="22"/>
        </w:rPr>
        <w:t xml:space="preserve">infection was more effective with older age. </w:t>
      </w:r>
      <w:r w:rsidR="006F6836" w:rsidRPr="00BD4DAF">
        <w:rPr>
          <w:rFonts w:ascii="Helvetica" w:eastAsia="Calibri" w:hAnsi="Helvetica" w:cs="Arial"/>
          <w:sz w:val="22"/>
          <w:szCs w:val="22"/>
        </w:rPr>
        <w:t xml:space="preserve">This effect modification was less apparent for </w:t>
      </w:r>
      <w:r w:rsidR="00D62799" w:rsidRPr="00BD4DAF">
        <w:rPr>
          <w:rFonts w:ascii="Helvetica" w:eastAsia="Calibri" w:hAnsi="Helvetica" w:cs="Arial"/>
          <w:sz w:val="22"/>
          <w:szCs w:val="22"/>
        </w:rPr>
        <w:t xml:space="preserve">outcomes related to </w:t>
      </w:r>
      <w:r w:rsidR="006F6836" w:rsidRPr="00BD4DAF">
        <w:rPr>
          <w:rFonts w:ascii="Helvetica" w:eastAsia="Calibri" w:hAnsi="Helvetica" w:cs="Arial"/>
          <w:sz w:val="22"/>
          <w:szCs w:val="22"/>
        </w:rPr>
        <w:t>severe COVID</w:t>
      </w:r>
      <w:r w:rsidR="00201326">
        <w:rPr>
          <w:rFonts w:ascii="Helvetica" w:eastAsia="Calibri" w:hAnsi="Helvetica" w:cs="Arial"/>
          <w:sz w:val="22"/>
          <w:szCs w:val="22"/>
        </w:rPr>
        <w:t>-19 infection</w:t>
      </w:r>
      <w:r w:rsidR="006F6836" w:rsidRPr="00BD4DAF">
        <w:rPr>
          <w:rFonts w:ascii="Helvetica" w:eastAsia="Calibri" w:hAnsi="Helvetica" w:cs="Arial"/>
          <w:sz w:val="22"/>
          <w:szCs w:val="22"/>
        </w:rPr>
        <w:t xml:space="preserve">. </w:t>
      </w:r>
      <w:r w:rsidR="00576756" w:rsidRPr="00BD4DAF">
        <w:rPr>
          <w:rFonts w:ascii="Helvetica" w:eastAsia="Calibri" w:hAnsi="Helvetica" w:cs="Arial"/>
          <w:sz w:val="22"/>
          <w:szCs w:val="22"/>
        </w:rPr>
        <w:t xml:space="preserve">No difference in effectiveness after a single dose was observed between the vaccines at 3 </w:t>
      </w:r>
      <w:proofErr w:type="gramStart"/>
      <w:r w:rsidR="00576756" w:rsidRPr="00BD4DAF">
        <w:rPr>
          <w:rFonts w:ascii="Helvetica" w:eastAsia="Calibri" w:hAnsi="Helvetica" w:cs="Arial"/>
          <w:sz w:val="22"/>
          <w:szCs w:val="22"/>
        </w:rPr>
        <w:t>months</w:t>
      </w:r>
      <w:proofErr w:type="gramEnd"/>
      <w:r w:rsidR="00576756" w:rsidRPr="00BD4DAF">
        <w:rPr>
          <w:rFonts w:ascii="Helvetica" w:eastAsia="Calibri" w:hAnsi="Helvetica" w:cs="Arial"/>
          <w:sz w:val="22"/>
          <w:szCs w:val="22"/>
        </w:rPr>
        <w:t xml:space="preserve"> follow-up.</w:t>
      </w:r>
    </w:p>
    <w:p w14:paraId="09D752B9" w14:textId="77777777" w:rsidR="0005384C" w:rsidRPr="00BD4DAF" w:rsidRDefault="0005384C" w:rsidP="00B928F2">
      <w:pPr>
        <w:spacing w:line="480" w:lineRule="auto"/>
        <w:rPr>
          <w:rFonts w:ascii="Helvetica" w:eastAsia="Calibri" w:hAnsi="Helvetica" w:cs="Arial"/>
          <w:sz w:val="22"/>
          <w:szCs w:val="22"/>
        </w:rPr>
      </w:pPr>
    </w:p>
    <w:p w14:paraId="365CD77C" w14:textId="6E063D9C" w:rsidR="00481CB7" w:rsidRPr="00BD4DAF" w:rsidRDefault="0000270A" w:rsidP="00B928F2">
      <w:pPr>
        <w:spacing w:line="480" w:lineRule="auto"/>
        <w:rPr>
          <w:rFonts w:ascii="Helvetica" w:eastAsia="Calibri" w:hAnsi="Helvetica" w:cs="Arial"/>
          <w:sz w:val="22"/>
          <w:szCs w:val="22"/>
        </w:rPr>
      </w:pPr>
      <w:r w:rsidRPr="00BD4DAF">
        <w:rPr>
          <w:rFonts w:ascii="Helvetica" w:eastAsia="Calibri" w:hAnsi="Helvetica" w:cs="Arial"/>
          <w:sz w:val="22"/>
          <w:szCs w:val="22"/>
        </w:rPr>
        <w:t xml:space="preserve">COVID-19 vaccination has begun in several countries, with many more countries starting in the upcoming months. </w:t>
      </w:r>
      <w:r w:rsidR="006762E5" w:rsidRPr="00BD4DAF">
        <w:rPr>
          <w:rFonts w:ascii="Helvetica" w:eastAsia="Calibri" w:hAnsi="Helvetica" w:cs="Arial"/>
          <w:sz w:val="22"/>
          <w:szCs w:val="22"/>
        </w:rPr>
        <w:t xml:space="preserve">The current COVID-19 vaccination strategies of most countries consider vaccination with full dosage (two doses), but some, </w:t>
      </w:r>
      <w:r w:rsidR="00E96441" w:rsidRPr="00BD4DAF">
        <w:rPr>
          <w:rFonts w:ascii="Helvetica" w:eastAsia="Calibri" w:hAnsi="Helvetica" w:cs="Arial"/>
          <w:sz w:val="22"/>
          <w:szCs w:val="22"/>
        </w:rPr>
        <w:t>including</w:t>
      </w:r>
      <w:r w:rsidR="006762E5" w:rsidRPr="00BD4DAF">
        <w:rPr>
          <w:rFonts w:ascii="Helvetica" w:eastAsia="Calibri" w:hAnsi="Helvetica" w:cs="Arial"/>
          <w:sz w:val="22"/>
          <w:szCs w:val="22"/>
        </w:rPr>
        <w:t xml:space="preserve"> the UK, are vaccinating twice as many people with a single dose and delaying the second dose.</w:t>
      </w:r>
      <w:r w:rsidR="00AD635F">
        <w:rPr>
          <w:rFonts w:ascii="Helvetica" w:eastAsia="Calibri" w:hAnsi="Helvetica" w:cs="Arial"/>
          <w:sz w:val="22"/>
          <w:szCs w:val="22"/>
          <w:highlight w:val="yellow"/>
          <w:vertAlign w:val="superscript"/>
        </w:rPr>
        <w:t>14</w:t>
      </w:r>
      <w:r w:rsidR="006762E5" w:rsidRPr="00BD4DAF">
        <w:rPr>
          <w:rFonts w:ascii="Helvetica" w:eastAsia="Calibri" w:hAnsi="Helvetica" w:cs="Arial"/>
          <w:sz w:val="22"/>
          <w:szCs w:val="22"/>
        </w:rPr>
        <w:t xml:space="preserve"> </w:t>
      </w:r>
      <w:r w:rsidR="004F340C" w:rsidRPr="00BD4DAF">
        <w:rPr>
          <w:rFonts w:ascii="Helvetica" w:eastAsia="Calibri" w:hAnsi="Helvetica" w:cstheme="minorHAnsi"/>
          <w:sz w:val="22"/>
          <w:szCs w:val="22"/>
        </w:rPr>
        <w:t xml:space="preserve">While vaccine supply shortages are less of an issue in high-income countries, the situation is </w:t>
      </w:r>
      <w:r w:rsidR="000A23F6" w:rsidRPr="00BD4DAF">
        <w:rPr>
          <w:rFonts w:ascii="Helvetica" w:eastAsia="Calibri" w:hAnsi="Helvetica" w:cstheme="minorHAnsi"/>
          <w:sz w:val="22"/>
          <w:szCs w:val="22"/>
        </w:rPr>
        <w:t xml:space="preserve">less certain </w:t>
      </w:r>
      <w:r w:rsidR="00820C28" w:rsidRPr="00BD4DAF">
        <w:rPr>
          <w:rFonts w:ascii="Helvetica" w:eastAsia="Calibri" w:hAnsi="Helvetica" w:cstheme="minorHAnsi"/>
          <w:sz w:val="22"/>
          <w:szCs w:val="22"/>
        </w:rPr>
        <w:t>in low- and middle-income countries</w:t>
      </w:r>
      <w:r w:rsidR="004F340C" w:rsidRPr="00BD4DAF">
        <w:rPr>
          <w:rFonts w:ascii="Helvetica" w:eastAsia="Calibri" w:hAnsi="Helvetica" w:cstheme="minorHAnsi"/>
          <w:sz w:val="22"/>
          <w:szCs w:val="22"/>
        </w:rPr>
        <w:t>, where vaccine supplies are arriving in smaller quantities at later times.</w:t>
      </w:r>
      <w:r w:rsidR="00AD635F">
        <w:rPr>
          <w:rFonts w:ascii="Helvetica" w:eastAsia="Calibri" w:hAnsi="Helvetica" w:cstheme="minorHAnsi"/>
          <w:sz w:val="22"/>
          <w:szCs w:val="22"/>
          <w:highlight w:val="yellow"/>
          <w:vertAlign w:val="superscript"/>
        </w:rPr>
        <w:t>19</w:t>
      </w:r>
      <w:r w:rsidR="004262E9" w:rsidRPr="00BD4DAF">
        <w:rPr>
          <w:rFonts w:ascii="Helvetica" w:eastAsia="Calibri" w:hAnsi="Helvetica" w:cs="Arial"/>
          <w:sz w:val="22"/>
          <w:szCs w:val="22"/>
        </w:rPr>
        <w:t xml:space="preserve"> Mathematical models </w:t>
      </w:r>
      <w:r w:rsidR="00E96441" w:rsidRPr="00BD4DAF">
        <w:rPr>
          <w:rFonts w:ascii="Helvetica" w:eastAsia="Calibri" w:hAnsi="Helvetica" w:cs="Arial"/>
          <w:sz w:val="22"/>
          <w:szCs w:val="22"/>
        </w:rPr>
        <w:t>exploring</w:t>
      </w:r>
      <w:r w:rsidR="004262E9" w:rsidRPr="00BD4DAF">
        <w:rPr>
          <w:rFonts w:ascii="Helvetica" w:eastAsia="Calibri" w:hAnsi="Helvetica" w:cs="Arial"/>
          <w:sz w:val="22"/>
          <w:szCs w:val="22"/>
        </w:rPr>
        <w:t xml:space="preserve"> the use of </w:t>
      </w:r>
      <w:r w:rsidR="00634B9B">
        <w:rPr>
          <w:rFonts w:ascii="Helvetica" w:eastAsia="Calibri" w:hAnsi="Helvetica" w:cs="Arial"/>
          <w:sz w:val="22"/>
          <w:szCs w:val="22"/>
        </w:rPr>
        <w:t>single dose</w:t>
      </w:r>
      <w:r w:rsidR="00EC4737" w:rsidRPr="00BD4DAF">
        <w:rPr>
          <w:rFonts w:ascii="Helvetica" w:eastAsia="Calibri" w:hAnsi="Helvetica" w:cs="Arial"/>
          <w:sz w:val="22"/>
          <w:szCs w:val="22"/>
        </w:rPr>
        <w:t xml:space="preserve"> </w:t>
      </w:r>
      <w:r w:rsidR="003E0FE9" w:rsidRPr="00BD4DAF">
        <w:rPr>
          <w:rFonts w:ascii="Helvetica" w:eastAsia="Calibri" w:hAnsi="Helvetica" w:cs="Arial"/>
          <w:sz w:val="22"/>
          <w:szCs w:val="22"/>
        </w:rPr>
        <w:t>campaigns</w:t>
      </w:r>
      <w:r w:rsidR="00EC4737" w:rsidRPr="00BD4DAF">
        <w:rPr>
          <w:rFonts w:ascii="Helvetica" w:eastAsia="Calibri" w:hAnsi="Helvetica" w:cs="Arial"/>
          <w:sz w:val="22"/>
          <w:szCs w:val="22"/>
        </w:rPr>
        <w:t xml:space="preserve"> </w:t>
      </w:r>
      <w:r w:rsidR="00E96441" w:rsidRPr="00BD4DAF">
        <w:rPr>
          <w:rFonts w:ascii="Helvetica" w:eastAsia="Calibri" w:hAnsi="Helvetica" w:cs="Arial"/>
          <w:sz w:val="22"/>
          <w:szCs w:val="22"/>
        </w:rPr>
        <w:t xml:space="preserve">have shown that optimal use of resources depends </w:t>
      </w:r>
      <w:r w:rsidR="00533C34" w:rsidRPr="00BD4DAF">
        <w:rPr>
          <w:rFonts w:ascii="Helvetica" w:eastAsia="Calibri" w:hAnsi="Helvetica" w:cs="Arial"/>
          <w:sz w:val="22"/>
          <w:szCs w:val="22"/>
        </w:rPr>
        <w:t xml:space="preserve">primarily </w:t>
      </w:r>
      <w:r w:rsidR="00E96441" w:rsidRPr="00BD4DAF">
        <w:rPr>
          <w:rFonts w:ascii="Helvetica" w:eastAsia="Calibri" w:hAnsi="Helvetica" w:cs="Arial"/>
          <w:sz w:val="22"/>
          <w:szCs w:val="22"/>
        </w:rPr>
        <w:t xml:space="preserve">on </w:t>
      </w:r>
      <w:r w:rsidR="00533C34" w:rsidRPr="00BD4DAF">
        <w:rPr>
          <w:rFonts w:ascii="Helvetica" w:eastAsia="Calibri" w:hAnsi="Helvetica" w:cs="Arial"/>
          <w:sz w:val="22"/>
          <w:szCs w:val="22"/>
        </w:rPr>
        <w:t xml:space="preserve">the level of </w:t>
      </w:r>
      <w:r w:rsidR="00634B9B">
        <w:rPr>
          <w:rFonts w:ascii="Helvetica" w:eastAsia="Calibri" w:hAnsi="Helvetica" w:cs="Arial"/>
          <w:sz w:val="22"/>
          <w:szCs w:val="22"/>
        </w:rPr>
        <w:t>single dose</w:t>
      </w:r>
      <w:r w:rsidR="00533C34" w:rsidRPr="00BD4DAF">
        <w:rPr>
          <w:rFonts w:ascii="Helvetica" w:eastAsia="Calibri" w:hAnsi="Helvetica" w:cs="Arial"/>
          <w:sz w:val="22"/>
          <w:szCs w:val="22"/>
        </w:rPr>
        <w:t xml:space="preserve"> efficacy</w:t>
      </w:r>
      <w:r w:rsidR="001B0F14" w:rsidRPr="00BD4DAF">
        <w:rPr>
          <w:rFonts w:ascii="Helvetica" w:eastAsia="Calibri" w:hAnsi="Helvetica" w:cs="Arial"/>
          <w:sz w:val="22"/>
          <w:szCs w:val="22"/>
        </w:rPr>
        <w:t>.</w:t>
      </w:r>
      <w:r w:rsidR="00DD1D58">
        <w:rPr>
          <w:rFonts w:ascii="Helvetica" w:eastAsia="Calibri" w:hAnsi="Helvetica" w:cs="Arial"/>
          <w:sz w:val="22"/>
          <w:szCs w:val="22"/>
          <w:highlight w:val="yellow"/>
          <w:vertAlign w:val="superscript"/>
        </w:rPr>
        <w:t>13</w:t>
      </w:r>
      <w:r w:rsidR="009E0A87" w:rsidRPr="00BD4DAF">
        <w:rPr>
          <w:rFonts w:ascii="Helvetica" w:eastAsia="Calibri" w:hAnsi="Helvetica" w:cs="Arial"/>
          <w:sz w:val="22"/>
          <w:szCs w:val="22"/>
          <w:highlight w:val="yellow"/>
          <w:vertAlign w:val="superscript"/>
        </w:rPr>
        <w:t>,</w:t>
      </w:r>
      <w:r w:rsidR="00DD1D58">
        <w:rPr>
          <w:rFonts w:ascii="Helvetica" w:eastAsia="Calibri" w:hAnsi="Helvetica" w:cs="Arial"/>
          <w:sz w:val="22"/>
          <w:szCs w:val="22"/>
          <w:highlight w:val="yellow"/>
          <w:vertAlign w:val="superscript"/>
        </w:rPr>
        <w:t>20</w:t>
      </w:r>
      <w:r w:rsidR="009E0A87" w:rsidRPr="00BD4DAF">
        <w:rPr>
          <w:rFonts w:ascii="Helvetica" w:eastAsia="Calibri" w:hAnsi="Helvetica" w:cs="Arial"/>
          <w:sz w:val="22"/>
          <w:szCs w:val="22"/>
        </w:rPr>
        <w:t xml:space="preserve"> </w:t>
      </w:r>
      <w:r w:rsidR="00533C34" w:rsidRPr="00BD4DAF">
        <w:rPr>
          <w:rFonts w:ascii="Helvetica" w:eastAsia="Calibri" w:hAnsi="Helvetica" w:cs="Arial"/>
          <w:sz w:val="22"/>
          <w:szCs w:val="22"/>
        </w:rPr>
        <w:t xml:space="preserve"> </w:t>
      </w:r>
    </w:p>
    <w:p w14:paraId="2F16C43E" w14:textId="77777777" w:rsidR="0005384C" w:rsidRPr="00BD4DAF" w:rsidRDefault="0005384C" w:rsidP="00B928F2">
      <w:pPr>
        <w:spacing w:line="480" w:lineRule="auto"/>
        <w:rPr>
          <w:rFonts w:ascii="Helvetica" w:eastAsia="Calibri" w:hAnsi="Helvetica" w:cs="Arial"/>
          <w:sz w:val="22"/>
          <w:szCs w:val="22"/>
        </w:rPr>
      </w:pPr>
    </w:p>
    <w:p w14:paraId="1998740F" w14:textId="5B1070AD" w:rsidR="00A07CC7" w:rsidRPr="00BD4DAF" w:rsidRDefault="00FA7635" w:rsidP="00B928F2">
      <w:pPr>
        <w:spacing w:line="480" w:lineRule="auto"/>
        <w:rPr>
          <w:rFonts w:ascii="Helvetica" w:eastAsia="Calibri" w:hAnsi="Helvetica" w:cs="Arial"/>
          <w:color w:val="000000" w:themeColor="text1"/>
          <w:sz w:val="22"/>
          <w:szCs w:val="22"/>
        </w:rPr>
      </w:pPr>
      <w:r w:rsidRPr="00BD4DAF">
        <w:rPr>
          <w:rFonts w:ascii="Helvetica" w:eastAsia="Calibri" w:hAnsi="Helvetica" w:cs="Arial"/>
          <w:sz w:val="22"/>
          <w:szCs w:val="22"/>
        </w:rPr>
        <w:t xml:space="preserve">The efficacy of a single vaccine dose against </w:t>
      </w:r>
      <w:r w:rsidR="002D33A1" w:rsidRPr="00BD4DAF">
        <w:rPr>
          <w:rFonts w:ascii="Helvetica" w:eastAsia="Calibri" w:hAnsi="Helvetica" w:cs="Arial"/>
          <w:sz w:val="22"/>
          <w:szCs w:val="22"/>
        </w:rPr>
        <w:t>‘</w:t>
      </w:r>
      <w:r w:rsidRPr="00BD4DAF">
        <w:rPr>
          <w:rFonts w:ascii="Helvetica" w:eastAsia="Calibri" w:hAnsi="Helvetica" w:cs="Arial"/>
          <w:sz w:val="22"/>
          <w:szCs w:val="22"/>
        </w:rPr>
        <w:t>symptomatic</w:t>
      </w:r>
      <w:r w:rsidR="002D33A1" w:rsidRPr="00BD4DAF">
        <w:rPr>
          <w:rFonts w:ascii="Helvetica" w:eastAsia="Calibri" w:hAnsi="Helvetica" w:cs="Arial"/>
          <w:sz w:val="22"/>
          <w:szCs w:val="22"/>
        </w:rPr>
        <w:t>’</w:t>
      </w:r>
      <w:r w:rsidRPr="00BD4DAF">
        <w:rPr>
          <w:rFonts w:ascii="Helvetica" w:eastAsia="Calibri" w:hAnsi="Helvetica" w:cs="Arial"/>
          <w:sz w:val="22"/>
          <w:szCs w:val="22"/>
        </w:rPr>
        <w:t xml:space="preserve"> COVID-19 infection has been reported in l</w:t>
      </w:r>
      <w:r w:rsidR="00531700" w:rsidRPr="00BD4DAF">
        <w:rPr>
          <w:rFonts w:ascii="Helvetica" w:eastAsia="Calibri" w:hAnsi="Helvetica" w:cs="Arial"/>
          <w:sz w:val="22"/>
          <w:szCs w:val="22"/>
        </w:rPr>
        <w:t xml:space="preserve">arge </w:t>
      </w:r>
      <w:r w:rsidR="008E05C9" w:rsidRPr="00BD4DAF">
        <w:rPr>
          <w:rFonts w:ascii="Helvetica" w:eastAsia="Calibri" w:hAnsi="Helvetica" w:cs="Arial"/>
          <w:sz w:val="22"/>
          <w:szCs w:val="22"/>
        </w:rPr>
        <w:t>randomised controlled trials (</w:t>
      </w:r>
      <w:r w:rsidR="00531700" w:rsidRPr="00BD4DAF">
        <w:rPr>
          <w:rFonts w:ascii="Helvetica" w:eastAsia="Calibri" w:hAnsi="Helvetica" w:cs="Arial"/>
          <w:sz w:val="22"/>
          <w:szCs w:val="22"/>
        </w:rPr>
        <w:t>RCTs</w:t>
      </w:r>
      <w:r w:rsidR="008E05C9" w:rsidRPr="00BD4DAF">
        <w:rPr>
          <w:rFonts w:ascii="Helvetica" w:eastAsia="Calibri" w:hAnsi="Helvetica" w:cs="Arial"/>
          <w:sz w:val="22"/>
          <w:szCs w:val="22"/>
        </w:rPr>
        <w:t>)</w:t>
      </w:r>
      <w:r w:rsidR="00531700" w:rsidRPr="00BD4DAF">
        <w:rPr>
          <w:rFonts w:ascii="Helvetica" w:eastAsia="Calibri" w:hAnsi="Helvetica" w:cs="Arial"/>
          <w:sz w:val="22"/>
          <w:szCs w:val="22"/>
        </w:rPr>
        <w:t xml:space="preserve"> as 52% (95%CI, 30 to </w:t>
      </w:r>
      <w:r w:rsidRPr="00BD4DAF">
        <w:rPr>
          <w:rFonts w:ascii="Helvetica" w:eastAsia="Calibri" w:hAnsi="Helvetica" w:cs="Arial"/>
          <w:sz w:val="22"/>
          <w:szCs w:val="22"/>
        </w:rPr>
        <w:t>6</w:t>
      </w:r>
      <w:r w:rsidR="00531700" w:rsidRPr="00BD4DAF">
        <w:rPr>
          <w:rFonts w:ascii="Helvetica" w:eastAsia="Calibri" w:hAnsi="Helvetica" w:cs="Arial"/>
          <w:sz w:val="22"/>
          <w:szCs w:val="22"/>
        </w:rPr>
        <w:t>8</w:t>
      </w:r>
      <w:r w:rsidRPr="00BD4DAF">
        <w:rPr>
          <w:rFonts w:ascii="Helvetica" w:eastAsia="Calibri" w:hAnsi="Helvetica" w:cs="Arial"/>
          <w:sz w:val="22"/>
          <w:szCs w:val="22"/>
        </w:rPr>
        <w:t xml:space="preserve">%) from day 1 </w:t>
      </w:r>
      <w:r w:rsidRPr="00BD4DAF">
        <w:rPr>
          <w:rFonts w:ascii="Helvetica" w:eastAsia="Calibri" w:hAnsi="Helvetica" w:cs="Arial"/>
          <w:sz w:val="22"/>
          <w:szCs w:val="22"/>
        </w:rPr>
        <w:lastRenderedPageBreak/>
        <w:t>to 21 after a single dose of the Pfizer-</w:t>
      </w:r>
      <w:proofErr w:type="spellStart"/>
      <w:r w:rsidRPr="00BD4DAF">
        <w:rPr>
          <w:rFonts w:ascii="Helvetica" w:eastAsia="Calibri" w:hAnsi="Helvetica" w:cs="Arial"/>
          <w:sz w:val="22"/>
          <w:szCs w:val="22"/>
        </w:rPr>
        <w:t>BioNTech</w:t>
      </w:r>
      <w:proofErr w:type="spellEnd"/>
      <w:r w:rsidRPr="00BD4DAF">
        <w:rPr>
          <w:rFonts w:ascii="Helvetica" w:eastAsia="Calibri" w:hAnsi="Helvetica" w:cs="Arial"/>
          <w:sz w:val="22"/>
          <w:szCs w:val="22"/>
        </w:rPr>
        <w:t xml:space="preserve"> vaccine</w:t>
      </w:r>
      <w:r w:rsidR="00DD1D58">
        <w:rPr>
          <w:rFonts w:ascii="Helvetica" w:eastAsia="Calibri" w:hAnsi="Helvetica" w:cs="Arial"/>
          <w:sz w:val="22"/>
          <w:szCs w:val="22"/>
          <w:highlight w:val="yellow"/>
          <w:vertAlign w:val="superscript"/>
        </w:rPr>
        <w:t>2</w:t>
      </w:r>
      <w:r w:rsidRPr="00BD4DAF">
        <w:rPr>
          <w:rFonts w:ascii="Helvetica" w:eastAsia="Calibri" w:hAnsi="Helvetica" w:cs="Arial"/>
          <w:sz w:val="22"/>
          <w:szCs w:val="22"/>
        </w:rPr>
        <w:t xml:space="preserve"> and 76% (95% CI, 59.3</w:t>
      </w:r>
      <w:r w:rsidR="008B249E" w:rsidRPr="00BD4DAF">
        <w:rPr>
          <w:rFonts w:ascii="Helvetica" w:eastAsia="Calibri" w:hAnsi="Helvetica" w:cs="Arial"/>
          <w:sz w:val="22"/>
          <w:szCs w:val="22"/>
        </w:rPr>
        <w:t xml:space="preserve"> to </w:t>
      </w:r>
      <w:r w:rsidRPr="00BD4DAF">
        <w:rPr>
          <w:rFonts w:ascii="Helvetica" w:eastAsia="Calibri" w:hAnsi="Helvetica" w:cs="Arial"/>
          <w:sz w:val="22"/>
          <w:szCs w:val="22"/>
        </w:rPr>
        <w:t>95.9%) from day 22 to 90 after a single dose of the Oxford-AstraZeneca vaccine in exploratory analyses.</w:t>
      </w:r>
      <w:r w:rsidR="005E427F" w:rsidRPr="00BD4DAF">
        <w:rPr>
          <w:rFonts w:ascii="Helvetica" w:eastAsia="Calibri" w:hAnsi="Helvetica" w:cs="Arial"/>
          <w:sz w:val="22"/>
          <w:szCs w:val="22"/>
          <w:highlight w:val="yellow"/>
          <w:vertAlign w:val="superscript"/>
        </w:rPr>
        <w:t>21</w:t>
      </w:r>
      <w:r w:rsidRPr="00BD4DAF">
        <w:rPr>
          <w:rFonts w:ascii="Helvetica" w:eastAsia="Calibri" w:hAnsi="Helvetica" w:cs="Arial"/>
          <w:sz w:val="22"/>
          <w:szCs w:val="22"/>
        </w:rPr>
        <w:t xml:space="preserve"> These studies were not designed to assess the efficacy of a </w:t>
      </w:r>
      <w:r w:rsidR="00634B9B">
        <w:rPr>
          <w:rFonts w:ascii="Helvetica" w:eastAsia="Calibri" w:hAnsi="Helvetica" w:cs="Arial"/>
          <w:sz w:val="22"/>
          <w:szCs w:val="22"/>
        </w:rPr>
        <w:t>single dose</w:t>
      </w:r>
      <w:r w:rsidRPr="00BD4DAF">
        <w:rPr>
          <w:rFonts w:ascii="Helvetica" w:eastAsia="Calibri" w:hAnsi="Helvetica" w:cs="Arial"/>
          <w:sz w:val="22"/>
          <w:szCs w:val="22"/>
        </w:rPr>
        <w:t xml:space="preserve"> regimen. Individuals were vaccinated with their second dose at 21 days in the Pfizer-</w:t>
      </w:r>
      <w:proofErr w:type="spellStart"/>
      <w:r w:rsidRPr="00BD4DAF">
        <w:rPr>
          <w:rFonts w:ascii="Helvetica" w:eastAsia="Calibri" w:hAnsi="Helvetica" w:cs="Arial"/>
          <w:sz w:val="22"/>
          <w:szCs w:val="22"/>
        </w:rPr>
        <w:t>BioNTech</w:t>
      </w:r>
      <w:proofErr w:type="spellEnd"/>
      <w:r w:rsidRPr="00BD4DAF">
        <w:rPr>
          <w:rFonts w:ascii="Helvetica" w:eastAsia="Calibri" w:hAnsi="Helvetica" w:cs="Arial"/>
          <w:sz w:val="22"/>
          <w:szCs w:val="22"/>
        </w:rPr>
        <w:t xml:space="preserve"> trial.</w:t>
      </w:r>
      <w:r w:rsidR="00DD1D58">
        <w:rPr>
          <w:rFonts w:ascii="Helvetica" w:eastAsia="Calibri" w:hAnsi="Helvetica" w:cs="Arial"/>
          <w:sz w:val="22"/>
          <w:szCs w:val="22"/>
          <w:highlight w:val="yellow"/>
          <w:vertAlign w:val="superscript"/>
        </w:rPr>
        <w:t>2</w:t>
      </w:r>
      <w:r w:rsidR="00E139E6" w:rsidRPr="00BD4DAF">
        <w:rPr>
          <w:rFonts w:ascii="Helvetica" w:eastAsia="Calibri" w:hAnsi="Helvetica" w:cs="Arial"/>
          <w:sz w:val="22"/>
          <w:szCs w:val="22"/>
          <w:vertAlign w:val="superscript"/>
        </w:rPr>
        <w:t xml:space="preserve"> </w:t>
      </w:r>
      <w:r w:rsidR="00E139E6" w:rsidRPr="00BD4DAF">
        <w:rPr>
          <w:rFonts w:ascii="Helvetica" w:eastAsia="Calibri" w:hAnsi="Helvetica" w:cs="Arial"/>
          <w:sz w:val="22"/>
          <w:szCs w:val="22"/>
        </w:rPr>
        <w:t xml:space="preserve">We observed a </w:t>
      </w:r>
      <w:r w:rsidR="00E9643E" w:rsidRPr="00BD4DAF">
        <w:rPr>
          <w:rFonts w:ascii="Helvetica" w:eastAsia="Calibri" w:hAnsi="Helvetica" w:cs="Arial"/>
          <w:sz w:val="22"/>
          <w:szCs w:val="22"/>
        </w:rPr>
        <w:t xml:space="preserve">single dose </w:t>
      </w:r>
      <w:r w:rsidR="00E139E6" w:rsidRPr="00BD4DAF">
        <w:rPr>
          <w:rFonts w:ascii="Helvetica" w:eastAsia="Calibri" w:hAnsi="Helvetica" w:cs="Arial"/>
          <w:sz w:val="22"/>
          <w:szCs w:val="22"/>
        </w:rPr>
        <w:t xml:space="preserve">vaccine effectiveness of </w:t>
      </w:r>
      <w:r w:rsidR="008C01DC" w:rsidRPr="00BD4DAF">
        <w:rPr>
          <w:rFonts w:ascii="Helvetica" w:hAnsi="Helvetica" w:cstheme="minorHAnsi"/>
          <w:sz w:val="22"/>
          <w:szCs w:val="22"/>
          <w:lang w:val="en-US"/>
        </w:rPr>
        <w:t>15% (-5</w:t>
      </w:r>
      <w:r w:rsidR="008B249E" w:rsidRPr="00BD4DAF">
        <w:rPr>
          <w:rFonts w:ascii="Helvetica" w:hAnsi="Helvetica" w:cstheme="minorHAnsi"/>
          <w:sz w:val="22"/>
          <w:szCs w:val="22"/>
          <w:lang w:val="en-US"/>
        </w:rPr>
        <w:t xml:space="preserve"> to </w:t>
      </w:r>
      <w:r w:rsidR="008C01DC" w:rsidRPr="00BD4DAF">
        <w:rPr>
          <w:rFonts w:ascii="Helvetica" w:hAnsi="Helvetica" w:cstheme="minorHAnsi"/>
          <w:sz w:val="22"/>
          <w:szCs w:val="22"/>
          <w:lang w:val="en-US"/>
        </w:rPr>
        <w:t>31) for the Oxford-Astra-Zeneca vaccine, and 31% (14</w:t>
      </w:r>
      <w:r w:rsidR="008B249E" w:rsidRPr="00BD4DAF">
        <w:rPr>
          <w:rFonts w:ascii="Helvetica" w:hAnsi="Helvetica" w:cstheme="minorHAnsi"/>
          <w:sz w:val="22"/>
          <w:szCs w:val="22"/>
          <w:lang w:val="en-US"/>
        </w:rPr>
        <w:t xml:space="preserve"> to </w:t>
      </w:r>
      <w:r w:rsidR="008C01DC" w:rsidRPr="00BD4DAF">
        <w:rPr>
          <w:rFonts w:ascii="Helvetica" w:hAnsi="Helvetica" w:cstheme="minorHAnsi"/>
          <w:sz w:val="22"/>
          <w:szCs w:val="22"/>
          <w:lang w:val="en-US"/>
        </w:rPr>
        <w:t>45) for the Pfizer-</w:t>
      </w:r>
      <w:proofErr w:type="spellStart"/>
      <w:r w:rsidR="008C01DC" w:rsidRPr="00BD4DAF">
        <w:rPr>
          <w:rFonts w:ascii="Helvetica" w:hAnsi="Helvetica" w:cstheme="minorHAnsi"/>
          <w:sz w:val="22"/>
          <w:szCs w:val="22"/>
          <w:lang w:val="en-US"/>
        </w:rPr>
        <w:t>BioNTech</w:t>
      </w:r>
      <w:proofErr w:type="spellEnd"/>
      <w:r w:rsidR="008C01DC" w:rsidRPr="00BD4DAF">
        <w:rPr>
          <w:rFonts w:ascii="Helvetica" w:hAnsi="Helvetica" w:cstheme="minorHAnsi"/>
          <w:sz w:val="22"/>
          <w:szCs w:val="22"/>
          <w:lang w:val="en-US"/>
        </w:rPr>
        <w:t xml:space="preserve"> vaccine</w:t>
      </w:r>
      <w:r w:rsidR="00C16ECF" w:rsidRPr="00BD4DAF">
        <w:rPr>
          <w:rFonts w:ascii="Helvetica" w:hAnsi="Helvetica" w:cstheme="minorHAnsi"/>
          <w:sz w:val="22"/>
          <w:szCs w:val="22"/>
          <w:lang w:val="en-US"/>
        </w:rPr>
        <w:t xml:space="preserve"> between 14 and 84 days. </w:t>
      </w:r>
      <w:r w:rsidR="00A07CC7" w:rsidRPr="00BD4DAF">
        <w:rPr>
          <w:rFonts w:ascii="Helvetica" w:eastAsia="Calibri" w:hAnsi="Helvetica" w:cs="Arial"/>
          <w:color w:val="000000" w:themeColor="text1"/>
          <w:sz w:val="22"/>
          <w:szCs w:val="22"/>
        </w:rPr>
        <w:t>It is difficult to compare results from these RCTs and our s</w:t>
      </w:r>
      <w:r w:rsidR="00E62CE6" w:rsidRPr="00BD4DAF">
        <w:rPr>
          <w:rFonts w:ascii="Helvetica" w:eastAsia="Calibri" w:hAnsi="Helvetica" w:cs="Arial"/>
          <w:color w:val="000000" w:themeColor="text1"/>
          <w:sz w:val="22"/>
          <w:szCs w:val="22"/>
        </w:rPr>
        <w:t>tudy due to differences in</w:t>
      </w:r>
      <w:r w:rsidR="00A07CC7" w:rsidRPr="00BD4DAF">
        <w:rPr>
          <w:rFonts w:ascii="Helvetica" w:eastAsia="Calibri" w:hAnsi="Helvetica" w:cs="Arial"/>
          <w:color w:val="000000" w:themeColor="text1"/>
          <w:sz w:val="22"/>
          <w:szCs w:val="22"/>
        </w:rPr>
        <w:t xml:space="preserve"> population characteristics, follow-up duration and the specific outcomes measured. Moreover, the differences in vaccine effectiveness reported between the Phase III trials and our study may additionally be due to variation in exposure to different SARS-CoV-2 variants. </w:t>
      </w:r>
    </w:p>
    <w:p w14:paraId="17735465" w14:textId="77777777" w:rsidR="0005384C" w:rsidRPr="00BD4DAF" w:rsidRDefault="0005384C" w:rsidP="00B928F2">
      <w:pPr>
        <w:spacing w:line="480" w:lineRule="auto"/>
        <w:rPr>
          <w:rFonts w:ascii="Helvetica" w:eastAsia="Calibri" w:hAnsi="Helvetica" w:cs="Arial"/>
          <w:color w:val="000000" w:themeColor="text1"/>
          <w:sz w:val="22"/>
          <w:szCs w:val="22"/>
        </w:rPr>
      </w:pPr>
    </w:p>
    <w:p w14:paraId="39B1CC6F" w14:textId="77777777" w:rsidR="00F830A7" w:rsidRDefault="00C16ECF" w:rsidP="00B928F2">
      <w:pPr>
        <w:spacing w:line="480" w:lineRule="auto"/>
        <w:rPr>
          <w:rFonts w:ascii="Helvetica" w:hAnsi="Helvetica" w:cstheme="minorHAnsi"/>
          <w:sz w:val="22"/>
          <w:szCs w:val="22"/>
        </w:rPr>
      </w:pPr>
      <w:r w:rsidRPr="00BD4DAF">
        <w:rPr>
          <w:rFonts w:ascii="Helvetica" w:hAnsi="Helvetica" w:cstheme="minorHAnsi"/>
          <w:sz w:val="22"/>
          <w:szCs w:val="22"/>
          <w:lang w:val="en-US"/>
        </w:rPr>
        <w:t xml:space="preserve">While overall, the effect estimate was lower for both vaccines </w:t>
      </w:r>
      <w:r w:rsidR="00E9643E" w:rsidRPr="00BD4DAF">
        <w:rPr>
          <w:rFonts w:ascii="Helvetica" w:hAnsi="Helvetica" w:cstheme="minorHAnsi"/>
          <w:sz w:val="22"/>
          <w:szCs w:val="22"/>
          <w:lang w:val="en-US"/>
        </w:rPr>
        <w:t xml:space="preserve">compared to trial results, there was effect modification with increasing vaccine effectiveness of a single dose in older individuals. </w:t>
      </w:r>
      <w:r w:rsidR="00E62CE6" w:rsidRPr="00BD4DAF">
        <w:rPr>
          <w:rFonts w:ascii="Helvetica" w:hAnsi="Helvetica" w:cstheme="minorHAnsi"/>
          <w:sz w:val="22"/>
          <w:szCs w:val="22"/>
        </w:rPr>
        <w:t>In 40-year-</w:t>
      </w:r>
      <w:r w:rsidR="00634E93" w:rsidRPr="00BD4DAF">
        <w:rPr>
          <w:rFonts w:ascii="Helvetica" w:hAnsi="Helvetica" w:cstheme="minorHAnsi"/>
          <w:sz w:val="22"/>
          <w:szCs w:val="22"/>
        </w:rPr>
        <w:t xml:space="preserve">olds, the effectiveness for preventing SARS-CoV-2 infection was </w:t>
      </w:r>
      <w:r w:rsidR="00AA73FE" w:rsidRPr="00BD4DAF">
        <w:rPr>
          <w:rFonts w:ascii="Helvetica" w:hAnsi="Helvetica" w:cstheme="minorHAnsi"/>
          <w:sz w:val="22"/>
          <w:szCs w:val="22"/>
        </w:rPr>
        <w:t xml:space="preserve">11% (-30 to 39) for the Oxford-AstraZeneca vaccine and </w:t>
      </w:r>
      <w:r w:rsidR="00634E93" w:rsidRPr="00BD4DAF">
        <w:rPr>
          <w:rFonts w:ascii="Helvetica" w:hAnsi="Helvetica" w:cstheme="minorHAnsi"/>
          <w:sz w:val="22"/>
          <w:szCs w:val="22"/>
        </w:rPr>
        <w:t>38% (95% CI, 9 to 59) for</w:t>
      </w:r>
      <w:r w:rsidR="00AA73FE" w:rsidRPr="00BD4DAF">
        <w:rPr>
          <w:rFonts w:ascii="Helvetica" w:hAnsi="Helvetica" w:cstheme="minorHAnsi"/>
          <w:sz w:val="22"/>
          <w:szCs w:val="22"/>
        </w:rPr>
        <w:t xml:space="preserve"> the Pfizer-</w:t>
      </w:r>
      <w:proofErr w:type="spellStart"/>
      <w:r w:rsidR="00AA73FE" w:rsidRPr="00BD4DAF">
        <w:rPr>
          <w:rFonts w:ascii="Helvetica" w:hAnsi="Helvetica" w:cstheme="minorHAnsi"/>
          <w:sz w:val="22"/>
          <w:szCs w:val="22"/>
        </w:rPr>
        <w:t>BioNTech</w:t>
      </w:r>
      <w:proofErr w:type="spellEnd"/>
      <w:r w:rsidR="00AA73FE" w:rsidRPr="00BD4DAF">
        <w:rPr>
          <w:rFonts w:ascii="Helvetica" w:hAnsi="Helvetica" w:cstheme="minorHAnsi"/>
          <w:sz w:val="22"/>
          <w:szCs w:val="22"/>
        </w:rPr>
        <w:t xml:space="preserve"> vaccine</w:t>
      </w:r>
      <w:r w:rsidR="006F39BD" w:rsidRPr="00BD4DAF">
        <w:rPr>
          <w:rFonts w:ascii="Helvetica" w:hAnsi="Helvetica" w:cstheme="minorHAnsi"/>
          <w:sz w:val="22"/>
          <w:szCs w:val="22"/>
        </w:rPr>
        <w:t xml:space="preserve">. </w:t>
      </w:r>
      <w:r w:rsidR="00634E93" w:rsidRPr="00BD4DAF">
        <w:rPr>
          <w:rFonts w:ascii="Helvetica" w:hAnsi="Helvetica" w:cstheme="minorHAnsi"/>
          <w:sz w:val="22"/>
          <w:szCs w:val="22"/>
        </w:rPr>
        <w:t xml:space="preserve">The effectiveness increased to </w:t>
      </w:r>
      <w:r w:rsidR="003E63D3" w:rsidRPr="00BD4DAF">
        <w:rPr>
          <w:rFonts w:ascii="Helvetica" w:hAnsi="Helvetica" w:cstheme="minorHAnsi"/>
          <w:sz w:val="22"/>
          <w:szCs w:val="22"/>
        </w:rPr>
        <w:t xml:space="preserve">94% (81 to 98) and </w:t>
      </w:r>
      <w:r w:rsidR="00634E93" w:rsidRPr="00BD4DAF">
        <w:rPr>
          <w:rFonts w:ascii="Helvetica" w:hAnsi="Helvetica" w:cstheme="minorHAnsi"/>
          <w:sz w:val="22"/>
          <w:szCs w:val="22"/>
        </w:rPr>
        <w:t>82% (</w:t>
      </w:r>
      <w:r w:rsidR="003E63D3" w:rsidRPr="00BD4DAF">
        <w:rPr>
          <w:rFonts w:ascii="Helvetica" w:hAnsi="Helvetica" w:cstheme="minorHAnsi"/>
          <w:sz w:val="22"/>
          <w:szCs w:val="22"/>
        </w:rPr>
        <w:t>52 to 94)</w:t>
      </w:r>
      <w:r w:rsidR="00870FF8" w:rsidRPr="00BD4DAF">
        <w:rPr>
          <w:rFonts w:ascii="Helvetica" w:hAnsi="Helvetica" w:cstheme="minorHAnsi"/>
          <w:sz w:val="22"/>
          <w:szCs w:val="22"/>
        </w:rPr>
        <w:t>, respectively, i</w:t>
      </w:r>
      <w:r w:rsidR="00634E93" w:rsidRPr="00BD4DAF">
        <w:rPr>
          <w:rFonts w:ascii="Helvetica" w:hAnsi="Helvetica" w:cstheme="minorHAnsi"/>
          <w:sz w:val="22"/>
          <w:szCs w:val="22"/>
        </w:rPr>
        <w:t>n those aged 90 years.</w:t>
      </w:r>
      <w:r w:rsidR="002F531A" w:rsidRPr="00BD4DAF">
        <w:rPr>
          <w:rFonts w:ascii="Helvetica" w:hAnsi="Helvetica" w:cstheme="minorHAnsi"/>
          <w:sz w:val="22"/>
          <w:szCs w:val="22"/>
        </w:rPr>
        <w:t xml:space="preserve"> </w:t>
      </w:r>
    </w:p>
    <w:p w14:paraId="15C2FED6" w14:textId="77777777" w:rsidR="00F830A7" w:rsidRDefault="00F830A7" w:rsidP="00B928F2">
      <w:pPr>
        <w:spacing w:line="480" w:lineRule="auto"/>
        <w:rPr>
          <w:rFonts w:ascii="Helvetica" w:hAnsi="Helvetica" w:cstheme="minorHAnsi"/>
          <w:sz w:val="22"/>
          <w:szCs w:val="22"/>
        </w:rPr>
      </w:pPr>
    </w:p>
    <w:p w14:paraId="733E4890" w14:textId="20BF75B7" w:rsidR="00DA32F3" w:rsidRPr="00BD4DAF" w:rsidRDefault="00A22E47" w:rsidP="00B928F2">
      <w:pPr>
        <w:spacing w:line="480" w:lineRule="auto"/>
        <w:rPr>
          <w:rFonts w:ascii="Helvetica" w:hAnsi="Helvetica" w:cstheme="minorHAnsi"/>
          <w:sz w:val="22"/>
          <w:szCs w:val="22"/>
        </w:rPr>
      </w:pPr>
      <w:r w:rsidRPr="00BD4DAF">
        <w:rPr>
          <w:rFonts w:ascii="Helvetica" w:hAnsi="Helvetica" w:cstheme="minorHAnsi"/>
          <w:sz w:val="22"/>
          <w:szCs w:val="22"/>
        </w:rPr>
        <w:t>Vaccine e</w:t>
      </w:r>
      <w:r w:rsidRPr="00BD4DAF">
        <w:rPr>
          <w:rFonts w:ascii="Helvetica" w:eastAsia="Calibri" w:hAnsi="Helvetica" w:cs="Arial"/>
          <w:sz w:val="22"/>
          <w:szCs w:val="22"/>
        </w:rPr>
        <w:t>ffectiveness was overall higher for more serious outcomes</w:t>
      </w:r>
      <w:r w:rsidRPr="00BD4DAF">
        <w:rPr>
          <w:rFonts w:ascii="Helvetica" w:hAnsi="Helvetica" w:cstheme="minorHAnsi"/>
          <w:sz w:val="22"/>
          <w:szCs w:val="22"/>
          <w:lang w:val="en-US"/>
        </w:rPr>
        <w:t xml:space="preserve"> reaching</w:t>
      </w:r>
      <w:r w:rsidR="00FF67AC" w:rsidRPr="00BD4DAF">
        <w:rPr>
          <w:rFonts w:ascii="Helvetica" w:hAnsi="Helvetica" w:cstheme="minorHAnsi"/>
          <w:sz w:val="22"/>
          <w:szCs w:val="22"/>
          <w:lang w:val="en-US"/>
        </w:rPr>
        <w:t xml:space="preserve"> 75% (45 to 91) and 86% (42 to 98) for reducing COVID-19 hospitalization and COVID-19 mortality, respectively</w:t>
      </w:r>
      <w:r w:rsidRPr="00BD4DAF">
        <w:rPr>
          <w:rFonts w:ascii="Helvetica" w:hAnsi="Helvetica" w:cstheme="minorHAnsi"/>
          <w:sz w:val="22"/>
          <w:szCs w:val="22"/>
          <w:lang w:val="en-US"/>
        </w:rPr>
        <w:t xml:space="preserve">, for both vaccines at 84 </w:t>
      </w:r>
      <w:proofErr w:type="gramStart"/>
      <w:r w:rsidRPr="00BD4DAF">
        <w:rPr>
          <w:rFonts w:ascii="Helvetica" w:hAnsi="Helvetica" w:cstheme="minorHAnsi"/>
          <w:sz w:val="22"/>
          <w:szCs w:val="22"/>
          <w:lang w:val="en-US"/>
        </w:rPr>
        <w:t>days</w:t>
      </w:r>
      <w:proofErr w:type="gramEnd"/>
      <w:r w:rsidRPr="00BD4DAF">
        <w:rPr>
          <w:rFonts w:ascii="Helvetica" w:hAnsi="Helvetica" w:cstheme="minorHAnsi"/>
          <w:sz w:val="22"/>
          <w:szCs w:val="22"/>
          <w:lang w:val="en-US"/>
        </w:rPr>
        <w:t xml:space="preserve"> follow-up. </w:t>
      </w:r>
      <w:r w:rsidR="00DC6C01" w:rsidRPr="00BD4DAF">
        <w:rPr>
          <w:rFonts w:ascii="Helvetica" w:hAnsi="Helvetica" w:cstheme="minorHAnsi"/>
          <w:sz w:val="22"/>
          <w:szCs w:val="22"/>
          <w:lang w:val="en-US"/>
        </w:rPr>
        <w:t xml:space="preserve">There was </w:t>
      </w:r>
      <w:r w:rsidR="0032595F" w:rsidRPr="00BD4DAF">
        <w:rPr>
          <w:rFonts w:ascii="Helvetica" w:hAnsi="Helvetica" w:cstheme="minorHAnsi"/>
          <w:sz w:val="22"/>
          <w:szCs w:val="22"/>
          <w:lang w:val="en-US"/>
        </w:rPr>
        <w:t>little effect modification due to age for the Pfizer</w:t>
      </w:r>
      <w:r w:rsidR="00D751E4" w:rsidRPr="00BD4DAF">
        <w:rPr>
          <w:rFonts w:ascii="Helvetica" w:hAnsi="Helvetica" w:cstheme="minorHAnsi"/>
          <w:sz w:val="22"/>
          <w:szCs w:val="22"/>
          <w:lang w:val="en-US"/>
        </w:rPr>
        <w:t>-</w:t>
      </w:r>
      <w:proofErr w:type="spellStart"/>
      <w:r w:rsidR="00D751E4" w:rsidRPr="00BD4DAF">
        <w:rPr>
          <w:rFonts w:ascii="Helvetica" w:hAnsi="Helvetica" w:cstheme="minorHAnsi"/>
          <w:sz w:val="22"/>
          <w:szCs w:val="22"/>
          <w:lang w:val="en-US"/>
        </w:rPr>
        <w:t>BioNTech</w:t>
      </w:r>
      <w:proofErr w:type="spellEnd"/>
      <w:r w:rsidR="0032595F" w:rsidRPr="00BD4DAF">
        <w:rPr>
          <w:rFonts w:ascii="Helvetica" w:hAnsi="Helvetica" w:cstheme="minorHAnsi"/>
          <w:sz w:val="22"/>
          <w:szCs w:val="22"/>
          <w:lang w:val="en-US"/>
        </w:rPr>
        <w:t xml:space="preserve"> vaccine for severe </w:t>
      </w:r>
      <w:r w:rsidR="006B323A" w:rsidRPr="00BD4DAF">
        <w:rPr>
          <w:rFonts w:ascii="Helvetica" w:hAnsi="Helvetica" w:cstheme="minorHAnsi"/>
          <w:sz w:val="22"/>
          <w:szCs w:val="22"/>
          <w:lang w:val="en-US"/>
        </w:rPr>
        <w:t>outcomes</w:t>
      </w:r>
      <w:r w:rsidR="0032595F" w:rsidRPr="00BD4DAF">
        <w:rPr>
          <w:rFonts w:ascii="Helvetica" w:hAnsi="Helvetica" w:cstheme="minorHAnsi"/>
          <w:sz w:val="22"/>
          <w:szCs w:val="22"/>
          <w:lang w:val="en-US"/>
        </w:rPr>
        <w:t xml:space="preserve">, although </w:t>
      </w:r>
      <w:r w:rsidR="006B323A" w:rsidRPr="00BD4DAF">
        <w:rPr>
          <w:rFonts w:ascii="Helvetica" w:hAnsi="Helvetica" w:cstheme="minorHAnsi"/>
          <w:sz w:val="22"/>
          <w:szCs w:val="22"/>
        </w:rPr>
        <w:t xml:space="preserve">the </w:t>
      </w:r>
      <w:r w:rsidR="0032595F" w:rsidRPr="00BD4DAF">
        <w:rPr>
          <w:rFonts w:ascii="Helvetica" w:hAnsi="Helvetica" w:cstheme="minorHAnsi"/>
          <w:sz w:val="22"/>
          <w:szCs w:val="22"/>
        </w:rPr>
        <w:t xml:space="preserve">Oxford-AstraZeneca vaccine </w:t>
      </w:r>
      <w:r w:rsidR="006B323A" w:rsidRPr="00BD4DAF">
        <w:rPr>
          <w:rFonts w:ascii="Helvetica" w:hAnsi="Helvetica" w:cstheme="minorHAnsi"/>
          <w:sz w:val="22"/>
          <w:szCs w:val="22"/>
        </w:rPr>
        <w:t xml:space="preserve">seemed to be less effective in </w:t>
      </w:r>
      <w:r w:rsidR="0032595F" w:rsidRPr="00BD4DAF">
        <w:rPr>
          <w:rFonts w:ascii="Helvetica" w:hAnsi="Helvetica" w:cstheme="minorHAnsi"/>
          <w:sz w:val="22"/>
          <w:szCs w:val="22"/>
        </w:rPr>
        <w:t>younger individuals</w:t>
      </w:r>
      <w:r w:rsidR="006B323A" w:rsidRPr="00BD4DAF">
        <w:rPr>
          <w:rFonts w:ascii="Helvetica" w:hAnsi="Helvetica" w:cstheme="minorHAnsi"/>
          <w:sz w:val="22"/>
          <w:szCs w:val="22"/>
        </w:rPr>
        <w:t xml:space="preserve">. </w:t>
      </w:r>
      <w:r w:rsidR="002F1629" w:rsidRPr="00BD4DAF">
        <w:rPr>
          <w:rFonts w:ascii="Helvetica" w:hAnsi="Helvetica" w:cstheme="minorHAnsi"/>
          <w:sz w:val="22"/>
          <w:szCs w:val="22"/>
        </w:rPr>
        <w:t xml:space="preserve">Neither of the </w:t>
      </w:r>
      <w:r w:rsidR="00D266F3" w:rsidRPr="00BD4DAF">
        <w:rPr>
          <w:rFonts w:ascii="Helvetica" w:hAnsi="Helvetica" w:cstheme="minorHAnsi"/>
          <w:sz w:val="22"/>
          <w:szCs w:val="22"/>
        </w:rPr>
        <w:t>vaccine trials stratified analyses for vaccine effectiveness after the first dose by age group.</w:t>
      </w:r>
      <w:r w:rsidR="00DD1D58">
        <w:rPr>
          <w:rFonts w:ascii="Helvetica" w:hAnsi="Helvetica" w:cstheme="minorHAnsi"/>
          <w:sz w:val="22"/>
          <w:szCs w:val="22"/>
          <w:highlight w:val="yellow"/>
          <w:vertAlign w:val="superscript"/>
        </w:rPr>
        <w:t>2</w:t>
      </w:r>
      <w:r w:rsidR="001C25AE" w:rsidRPr="00BD4DAF">
        <w:rPr>
          <w:rFonts w:ascii="Helvetica" w:hAnsi="Helvetica" w:cstheme="minorHAnsi"/>
          <w:sz w:val="22"/>
          <w:szCs w:val="22"/>
          <w:highlight w:val="yellow"/>
          <w:vertAlign w:val="superscript"/>
        </w:rPr>
        <w:t>,21</w:t>
      </w:r>
      <w:r w:rsidR="00DF473C" w:rsidRPr="00BD4DAF">
        <w:rPr>
          <w:rFonts w:ascii="Helvetica" w:hAnsi="Helvetica" w:cstheme="minorHAnsi"/>
          <w:sz w:val="22"/>
          <w:szCs w:val="22"/>
        </w:rPr>
        <w:t xml:space="preserve"> </w:t>
      </w:r>
      <w:r w:rsidR="00D266F3" w:rsidRPr="00BD4DAF">
        <w:rPr>
          <w:rFonts w:ascii="Helvetica" w:hAnsi="Helvetica" w:cstheme="minorHAnsi"/>
          <w:sz w:val="22"/>
          <w:szCs w:val="22"/>
        </w:rPr>
        <w:t xml:space="preserve"> </w:t>
      </w:r>
    </w:p>
    <w:p w14:paraId="212C8753" w14:textId="77777777" w:rsidR="009915C2" w:rsidRPr="00BD4DAF" w:rsidRDefault="009915C2" w:rsidP="00B928F2">
      <w:pPr>
        <w:spacing w:line="480" w:lineRule="auto"/>
        <w:rPr>
          <w:rFonts w:ascii="Helvetica" w:hAnsi="Helvetica" w:cstheme="minorHAnsi"/>
          <w:sz w:val="22"/>
          <w:szCs w:val="22"/>
        </w:rPr>
      </w:pPr>
    </w:p>
    <w:p w14:paraId="2A2E0FE0" w14:textId="5EE943BF" w:rsidR="00DA51B1" w:rsidRPr="00BD4DAF" w:rsidRDefault="00403BEB" w:rsidP="00B928F2">
      <w:pPr>
        <w:spacing w:line="480" w:lineRule="auto"/>
        <w:rPr>
          <w:rFonts w:ascii="Helvetica" w:eastAsia="Calibri" w:hAnsi="Helvetica" w:cs="Arial"/>
          <w:sz w:val="22"/>
          <w:szCs w:val="22"/>
        </w:rPr>
      </w:pPr>
      <w:r w:rsidRPr="00BD4DAF">
        <w:rPr>
          <w:rFonts w:ascii="Helvetica" w:eastAsia="Calibri" w:hAnsi="Helvetica" w:cs="Arial"/>
          <w:sz w:val="22"/>
          <w:szCs w:val="22"/>
        </w:rPr>
        <w:t xml:space="preserve">Other real world analyses of the effectiveness of </w:t>
      </w:r>
      <w:r w:rsidR="005E6A2E" w:rsidRPr="00BD4DAF">
        <w:rPr>
          <w:rFonts w:ascii="Helvetica" w:eastAsia="Calibri" w:hAnsi="Helvetica" w:cs="Arial"/>
          <w:sz w:val="22"/>
          <w:szCs w:val="22"/>
        </w:rPr>
        <w:t>either the</w:t>
      </w:r>
      <w:r w:rsidRPr="00BD4DAF">
        <w:rPr>
          <w:rFonts w:ascii="Helvetica" w:eastAsia="Calibri" w:hAnsi="Helvetica" w:cs="Arial"/>
          <w:sz w:val="22"/>
          <w:szCs w:val="22"/>
        </w:rPr>
        <w:t xml:space="preserve"> Oxford-AstraZeneca </w:t>
      </w:r>
      <w:r w:rsidR="005E6A2E" w:rsidRPr="00BD4DAF">
        <w:rPr>
          <w:rFonts w:ascii="Helvetica" w:eastAsia="Calibri" w:hAnsi="Helvetica" w:cs="Arial"/>
          <w:sz w:val="22"/>
          <w:szCs w:val="22"/>
        </w:rPr>
        <w:t>or</w:t>
      </w:r>
      <w:r w:rsidRPr="00BD4DAF">
        <w:rPr>
          <w:rFonts w:ascii="Helvetica" w:eastAsia="Calibri" w:hAnsi="Helvetica" w:cs="Arial"/>
          <w:sz w:val="22"/>
          <w:szCs w:val="22"/>
        </w:rPr>
        <w:t xml:space="preserve"> Pfizer-</w:t>
      </w:r>
      <w:proofErr w:type="spellStart"/>
      <w:r w:rsidRPr="00BD4DAF">
        <w:rPr>
          <w:rFonts w:ascii="Helvetica" w:eastAsia="Calibri" w:hAnsi="Helvetica" w:cs="Arial"/>
          <w:sz w:val="22"/>
          <w:szCs w:val="22"/>
        </w:rPr>
        <w:t>BioNTech</w:t>
      </w:r>
      <w:proofErr w:type="spellEnd"/>
      <w:r w:rsidRPr="00BD4DAF">
        <w:rPr>
          <w:rFonts w:ascii="Helvetica" w:eastAsia="Calibri" w:hAnsi="Helvetica" w:cs="Arial"/>
          <w:sz w:val="22"/>
          <w:szCs w:val="22"/>
        </w:rPr>
        <w:t xml:space="preserve"> COVID-19 vaccines are now emerging, which similarly demonstrate single dose vaccine effectiveness despite differences in</w:t>
      </w:r>
      <w:r w:rsidRPr="00BD4DAF">
        <w:rPr>
          <w:rFonts w:ascii="Helvetica" w:eastAsia="Calibri" w:hAnsi="Helvetica" w:cs="Arial"/>
          <w:color w:val="000000" w:themeColor="text1"/>
          <w:sz w:val="22"/>
          <w:szCs w:val="22"/>
        </w:rPr>
        <w:t xml:space="preserve"> study design, population characteristics and follow-up duration between all studies</w:t>
      </w:r>
      <w:r w:rsidRPr="00BD4DAF">
        <w:rPr>
          <w:rFonts w:ascii="Helvetica" w:eastAsia="Calibri" w:hAnsi="Helvetica" w:cs="Arial"/>
          <w:sz w:val="22"/>
          <w:szCs w:val="22"/>
        </w:rPr>
        <w:t>.</w:t>
      </w:r>
      <w:r w:rsidR="00DD1D58">
        <w:rPr>
          <w:rFonts w:ascii="Helvetica" w:eastAsia="Calibri" w:hAnsi="Helvetica" w:cs="Arial"/>
          <w:sz w:val="22"/>
          <w:szCs w:val="22"/>
          <w:highlight w:val="yellow"/>
          <w:vertAlign w:val="superscript"/>
        </w:rPr>
        <w:t>8</w:t>
      </w:r>
      <w:r w:rsidR="00A16A9E" w:rsidRPr="00BD4DAF">
        <w:rPr>
          <w:rFonts w:ascii="Helvetica" w:eastAsia="Calibri" w:hAnsi="Helvetica" w:cs="Arial"/>
          <w:sz w:val="22"/>
          <w:szCs w:val="22"/>
          <w:highlight w:val="yellow"/>
          <w:vertAlign w:val="superscript"/>
        </w:rPr>
        <w:t>,22</w:t>
      </w:r>
      <w:r w:rsidRPr="00BD4DAF">
        <w:rPr>
          <w:rFonts w:ascii="Helvetica" w:eastAsia="Calibri" w:hAnsi="Helvetica" w:cs="Arial"/>
          <w:sz w:val="22"/>
          <w:szCs w:val="22"/>
          <w:highlight w:val="yellow"/>
          <w:vertAlign w:val="superscript"/>
        </w:rPr>
        <w:t>,</w:t>
      </w:r>
      <w:r w:rsidR="00F577B7" w:rsidRPr="00BD4DAF">
        <w:rPr>
          <w:rFonts w:ascii="Helvetica" w:eastAsia="Calibri" w:hAnsi="Helvetica" w:cs="Arial"/>
          <w:sz w:val="22"/>
          <w:szCs w:val="22"/>
          <w:highlight w:val="yellow"/>
          <w:vertAlign w:val="superscript"/>
        </w:rPr>
        <w:t>23</w:t>
      </w:r>
      <w:r w:rsidRPr="00BD4DAF">
        <w:rPr>
          <w:rFonts w:ascii="Helvetica" w:eastAsia="Calibri" w:hAnsi="Helvetica" w:cs="Arial"/>
          <w:sz w:val="22"/>
          <w:szCs w:val="22"/>
        </w:rPr>
        <w:t xml:space="preserve"> </w:t>
      </w:r>
      <w:r w:rsidR="00BB4F48" w:rsidRPr="00BD4DAF">
        <w:rPr>
          <w:rFonts w:ascii="Helvetica" w:eastAsia="Calibri" w:hAnsi="Helvetica" w:cs="Arial"/>
          <w:sz w:val="22"/>
          <w:szCs w:val="22"/>
        </w:rPr>
        <w:t xml:space="preserve">An </w:t>
      </w:r>
      <w:r w:rsidR="00BB4F48" w:rsidRPr="00BD4DAF">
        <w:rPr>
          <w:rFonts w:ascii="Helvetica" w:eastAsia="Calibri" w:hAnsi="Helvetica" w:cs="Arial"/>
          <w:color w:val="000000" w:themeColor="text1"/>
          <w:sz w:val="22"/>
          <w:szCs w:val="22"/>
        </w:rPr>
        <w:t>analysis of data on over 1.1 million individuals showed that an effect of 60% for documented SARS-CoV-2 infection and 78% for COVID-19 hospital admission was found at 21-27 days after the first dose of the Pfizer-</w:t>
      </w:r>
      <w:proofErr w:type="spellStart"/>
      <w:r w:rsidR="00BB4F48" w:rsidRPr="00BD4DAF">
        <w:rPr>
          <w:rFonts w:ascii="Helvetica" w:eastAsia="Calibri" w:hAnsi="Helvetica" w:cs="Arial"/>
          <w:color w:val="000000" w:themeColor="text1"/>
          <w:sz w:val="22"/>
          <w:szCs w:val="22"/>
        </w:rPr>
        <w:t>BioNTech</w:t>
      </w:r>
      <w:proofErr w:type="spellEnd"/>
      <w:r w:rsidR="00BB4F48" w:rsidRPr="00BD4DAF">
        <w:rPr>
          <w:rFonts w:ascii="Helvetica" w:eastAsia="Calibri" w:hAnsi="Helvetica" w:cs="Arial"/>
          <w:color w:val="000000" w:themeColor="text1"/>
          <w:sz w:val="22"/>
          <w:szCs w:val="22"/>
        </w:rPr>
        <w:t xml:space="preserve"> vaccine.</w:t>
      </w:r>
      <w:r w:rsidR="00DD1D58">
        <w:rPr>
          <w:rFonts w:ascii="Helvetica" w:eastAsia="Calibri" w:hAnsi="Helvetica" w:cs="Arial"/>
          <w:color w:val="000000" w:themeColor="text1"/>
          <w:sz w:val="22"/>
          <w:szCs w:val="22"/>
          <w:highlight w:val="yellow"/>
          <w:vertAlign w:val="superscript"/>
        </w:rPr>
        <w:t>8</w:t>
      </w:r>
      <w:r w:rsidR="00BB4F48" w:rsidRPr="00BD4DAF">
        <w:rPr>
          <w:rFonts w:ascii="Helvetica" w:eastAsia="Calibri" w:hAnsi="Helvetica" w:cs="Arial"/>
          <w:color w:val="000000" w:themeColor="text1"/>
          <w:sz w:val="22"/>
          <w:szCs w:val="22"/>
        </w:rPr>
        <w:t xml:space="preserve"> </w:t>
      </w:r>
      <w:r w:rsidR="002370D0" w:rsidRPr="00BD4DAF">
        <w:rPr>
          <w:rFonts w:ascii="Helvetica" w:eastAsia="Calibri" w:hAnsi="Helvetica" w:cs="Arial"/>
          <w:color w:val="000000" w:themeColor="text1"/>
          <w:sz w:val="22"/>
          <w:szCs w:val="22"/>
        </w:rPr>
        <w:t xml:space="preserve">A test-negative case-control design has reported that single dose of either the </w:t>
      </w:r>
      <w:r w:rsidR="002370D0" w:rsidRPr="00BD4DAF">
        <w:rPr>
          <w:rFonts w:ascii="Helvetica" w:eastAsia="Calibri" w:hAnsi="Helvetica" w:cs="Arial"/>
          <w:sz w:val="22"/>
          <w:szCs w:val="22"/>
        </w:rPr>
        <w:t>Oxford-AstraZeneca or Pfizer-</w:t>
      </w:r>
      <w:proofErr w:type="spellStart"/>
      <w:r w:rsidR="002370D0" w:rsidRPr="00BD4DAF">
        <w:rPr>
          <w:rFonts w:ascii="Helvetica" w:eastAsia="Calibri" w:hAnsi="Helvetica" w:cs="Arial"/>
          <w:sz w:val="22"/>
          <w:szCs w:val="22"/>
        </w:rPr>
        <w:t>BioNTech</w:t>
      </w:r>
      <w:proofErr w:type="spellEnd"/>
      <w:r w:rsidR="002370D0" w:rsidRPr="00BD4DAF">
        <w:rPr>
          <w:rFonts w:ascii="Helvetica" w:eastAsia="Calibri" w:hAnsi="Helvetica" w:cs="Arial"/>
          <w:color w:val="000000" w:themeColor="text1"/>
          <w:sz w:val="22"/>
          <w:szCs w:val="22"/>
        </w:rPr>
        <w:t xml:space="preserve"> vaccine had 60-70% protection against symptomatic COVID-19 and about 80% effectiveness against COVID-19 hospital admission.</w:t>
      </w:r>
      <w:r w:rsidR="00A16A9E" w:rsidRPr="00BD4DAF">
        <w:rPr>
          <w:rFonts w:ascii="Helvetica" w:eastAsia="Calibri" w:hAnsi="Helvetica" w:cs="Arial"/>
          <w:color w:val="000000" w:themeColor="text1"/>
          <w:sz w:val="22"/>
          <w:szCs w:val="22"/>
          <w:highlight w:val="yellow"/>
          <w:vertAlign w:val="superscript"/>
        </w:rPr>
        <w:t>22</w:t>
      </w:r>
      <w:r w:rsidR="00745788" w:rsidRPr="00BD4DAF">
        <w:rPr>
          <w:rFonts w:ascii="Helvetica" w:eastAsia="Calibri" w:hAnsi="Helvetica" w:cs="Arial"/>
          <w:color w:val="000000" w:themeColor="text1"/>
          <w:sz w:val="22"/>
          <w:szCs w:val="22"/>
          <w:vertAlign w:val="superscript"/>
        </w:rPr>
        <w:t xml:space="preserve"> </w:t>
      </w:r>
      <w:r w:rsidR="00745788" w:rsidRPr="00BD4DAF">
        <w:rPr>
          <w:rFonts w:ascii="Helvetica" w:eastAsia="Calibri" w:hAnsi="Helvetica" w:cs="Arial"/>
          <w:sz w:val="22"/>
          <w:szCs w:val="22"/>
        </w:rPr>
        <w:t xml:space="preserve">The analysis was restricted to those </w:t>
      </w:r>
      <w:r w:rsidR="00AF6A19" w:rsidRPr="00BD4DAF">
        <w:rPr>
          <w:rFonts w:ascii="Helvetica" w:eastAsia="Calibri" w:hAnsi="Helvetica" w:cs="Arial"/>
          <w:sz w:val="22"/>
          <w:szCs w:val="22"/>
        </w:rPr>
        <w:t>over the age of 70</w:t>
      </w:r>
      <w:r w:rsidR="00C15D37" w:rsidRPr="00BD4DAF">
        <w:rPr>
          <w:rFonts w:ascii="Helvetica" w:eastAsia="Calibri" w:hAnsi="Helvetica" w:cs="Arial"/>
          <w:sz w:val="22"/>
          <w:szCs w:val="22"/>
        </w:rPr>
        <w:t xml:space="preserve"> with </w:t>
      </w:r>
      <w:r w:rsidR="0008544F" w:rsidRPr="00BD4DAF">
        <w:rPr>
          <w:rFonts w:ascii="Helvetica" w:eastAsia="Calibri" w:hAnsi="Helvetica" w:cs="Arial"/>
          <w:sz w:val="22"/>
          <w:szCs w:val="22"/>
        </w:rPr>
        <w:t xml:space="preserve">the median follow-up being less than 4 weeks for both vaccines. </w:t>
      </w:r>
      <w:r w:rsidR="00FD2ACA">
        <w:rPr>
          <w:rFonts w:ascii="Helvetica" w:eastAsia="Calibri" w:hAnsi="Helvetica" w:cs="Arial"/>
          <w:bCs/>
          <w:sz w:val="22"/>
          <w:szCs w:val="22"/>
        </w:rPr>
        <w:t xml:space="preserve">Similarly, </w:t>
      </w:r>
      <w:r w:rsidR="00D41AE4" w:rsidRPr="00D41AE4">
        <w:rPr>
          <w:rFonts w:ascii="Helvetica" w:eastAsia="Calibri" w:hAnsi="Helvetica" w:cs="Arial"/>
          <w:bCs/>
          <w:sz w:val="22"/>
          <w:szCs w:val="22"/>
        </w:rPr>
        <w:t>a single dose of the Pfizer-</w:t>
      </w:r>
      <w:proofErr w:type="spellStart"/>
      <w:r w:rsidR="00D41AE4" w:rsidRPr="00D41AE4">
        <w:rPr>
          <w:rFonts w:ascii="Helvetica" w:eastAsia="Calibri" w:hAnsi="Helvetica" w:cs="Arial"/>
          <w:bCs/>
          <w:sz w:val="22"/>
          <w:szCs w:val="22"/>
        </w:rPr>
        <w:t>BioNTech</w:t>
      </w:r>
      <w:proofErr w:type="spellEnd"/>
      <w:r w:rsidR="00D41AE4" w:rsidRPr="00D41AE4">
        <w:rPr>
          <w:rFonts w:ascii="Helvetica" w:eastAsia="Calibri" w:hAnsi="Helvetica" w:cs="Arial"/>
          <w:bCs/>
          <w:sz w:val="22"/>
          <w:szCs w:val="22"/>
        </w:rPr>
        <w:t xml:space="preserve"> vaccine has been shown to be effective in reducing the risk of SARS-CoV-2 infection by two-thirds in adults ≥70 years old </w:t>
      </w:r>
      <w:r w:rsidR="00FD2ACA">
        <w:rPr>
          <w:rFonts w:ascii="Helvetica" w:eastAsia="Calibri" w:hAnsi="Helvetica" w:cs="Arial"/>
          <w:sz w:val="22"/>
          <w:szCs w:val="22"/>
        </w:rPr>
        <w:t>in British Columbia</w:t>
      </w:r>
      <w:r w:rsidR="00FD2ACA" w:rsidRPr="00FD2ACA">
        <w:rPr>
          <w:rFonts w:ascii="Helvetica" w:eastAsia="Calibri" w:hAnsi="Helvetica" w:cs="Arial"/>
          <w:sz w:val="22"/>
          <w:szCs w:val="22"/>
        </w:rPr>
        <w:t>, Canada</w:t>
      </w:r>
      <w:r w:rsidR="00FD2ACA">
        <w:rPr>
          <w:rFonts w:ascii="Helvetica" w:eastAsia="Calibri" w:hAnsi="Helvetica" w:cs="Arial"/>
          <w:sz w:val="22"/>
          <w:szCs w:val="22"/>
        </w:rPr>
        <w:t>,</w:t>
      </w:r>
      <w:r w:rsidR="00FD2ACA" w:rsidRPr="00D41AE4">
        <w:rPr>
          <w:rFonts w:ascii="Helvetica" w:eastAsia="Calibri" w:hAnsi="Helvetica" w:cs="Arial"/>
          <w:bCs/>
          <w:sz w:val="22"/>
          <w:szCs w:val="22"/>
        </w:rPr>
        <w:t xml:space="preserve"> </w:t>
      </w:r>
      <w:r w:rsidR="00D41AE4" w:rsidRPr="00D41AE4">
        <w:rPr>
          <w:rFonts w:ascii="Helvetica" w:eastAsia="Calibri" w:hAnsi="Helvetica" w:cs="Arial"/>
          <w:bCs/>
          <w:sz w:val="22"/>
          <w:szCs w:val="22"/>
        </w:rPr>
        <w:t>at 5-weeks follow-up</w:t>
      </w:r>
      <w:r w:rsidR="00FD2ACA">
        <w:rPr>
          <w:rFonts w:ascii="Helvetica" w:eastAsia="Calibri" w:hAnsi="Helvetica" w:cs="Arial"/>
          <w:bCs/>
          <w:sz w:val="22"/>
          <w:szCs w:val="22"/>
        </w:rPr>
        <w:t>.</w:t>
      </w:r>
      <w:r w:rsidR="00DD1D58" w:rsidRPr="0024547E">
        <w:rPr>
          <w:rFonts w:ascii="Helvetica" w:eastAsia="Calibri" w:hAnsi="Helvetica" w:cs="Arial"/>
          <w:bCs/>
          <w:sz w:val="22"/>
          <w:szCs w:val="22"/>
          <w:highlight w:val="yellow"/>
          <w:vertAlign w:val="superscript"/>
        </w:rPr>
        <w:t>24</w:t>
      </w:r>
      <w:r w:rsidR="00FD2ACA">
        <w:rPr>
          <w:rFonts w:ascii="Helvetica" w:eastAsia="Calibri" w:hAnsi="Helvetica" w:cs="Arial"/>
          <w:sz w:val="22"/>
          <w:szCs w:val="22"/>
        </w:rPr>
        <w:t xml:space="preserve"> </w:t>
      </w:r>
      <w:r w:rsidR="00076C16" w:rsidRPr="00BD4DAF">
        <w:rPr>
          <w:rFonts w:ascii="Helvetica" w:eastAsia="Calibri" w:hAnsi="Helvetica" w:cs="Arial"/>
          <w:sz w:val="22"/>
          <w:szCs w:val="22"/>
        </w:rPr>
        <w:t>At 84</w:t>
      </w:r>
      <w:r w:rsidR="00D32BBF" w:rsidRPr="00BD4DAF">
        <w:rPr>
          <w:rFonts w:ascii="Helvetica" w:eastAsia="Calibri" w:hAnsi="Helvetica" w:cs="Arial"/>
          <w:sz w:val="22"/>
          <w:szCs w:val="22"/>
        </w:rPr>
        <w:t xml:space="preserve"> </w:t>
      </w:r>
      <w:proofErr w:type="gramStart"/>
      <w:r w:rsidR="00D32BBF" w:rsidRPr="00BD4DAF">
        <w:rPr>
          <w:rFonts w:ascii="Helvetica" w:eastAsia="Calibri" w:hAnsi="Helvetica" w:cs="Arial"/>
          <w:sz w:val="22"/>
          <w:szCs w:val="22"/>
        </w:rPr>
        <w:t>days</w:t>
      </w:r>
      <w:proofErr w:type="gramEnd"/>
      <w:r w:rsidR="00D32BBF" w:rsidRPr="00BD4DAF">
        <w:rPr>
          <w:rFonts w:ascii="Helvetica" w:eastAsia="Calibri" w:hAnsi="Helvetica" w:cs="Arial"/>
          <w:sz w:val="22"/>
          <w:szCs w:val="22"/>
        </w:rPr>
        <w:t xml:space="preserve"> follow-up in our study, we found a comparable vaccine effectiveness against COVID-19 admission</w:t>
      </w:r>
      <w:r w:rsidR="0018019E" w:rsidRPr="00BD4DAF">
        <w:rPr>
          <w:rFonts w:ascii="Helvetica" w:eastAsia="Calibri" w:hAnsi="Helvetica" w:cs="Arial"/>
          <w:sz w:val="22"/>
          <w:szCs w:val="22"/>
        </w:rPr>
        <w:t xml:space="preserve"> in those over the age of 70</w:t>
      </w:r>
      <w:r w:rsidR="00076C16" w:rsidRPr="00BD4DAF">
        <w:rPr>
          <w:rFonts w:ascii="Helvetica" w:eastAsia="Calibri" w:hAnsi="Helvetica" w:cs="Arial"/>
          <w:sz w:val="22"/>
          <w:szCs w:val="22"/>
        </w:rPr>
        <w:t xml:space="preserve"> (</w:t>
      </w:r>
      <w:r w:rsidR="00076C16" w:rsidRPr="008828BB">
        <w:rPr>
          <w:rFonts w:ascii="Helvetica" w:eastAsia="Calibri" w:hAnsi="Helvetica" w:cs="Arial"/>
          <w:sz w:val="22"/>
          <w:szCs w:val="22"/>
          <w:highlight w:val="green"/>
        </w:rPr>
        <w:t>Figure 3B</w:t>
      </w:r>
      <w:r w:rsidR="00076C16" w:rsidRPr="00BD4DAF">
        <w:rPr>
          <w:rFonts w:ascii="Helvetica" w:eastAsia="Calibri" w:hAnsi="Helvetica" w:cs="Arial"/>
          <w:sz w:val="22"/>
          <w:szCs w:val="22"/>
        </w:rPr>
        <w:t xml:space="preserve">). </w:t>
      </w:r>
    </w:p>
    <w:p w14:paraId="3E796050" w14:textId="77777777" w:rsidR="0005384C" w:rsidRPr="00BD4DAF" w:rsidRDefault="0005384C" w:rsidP="00B928F2">
      <w:pPr>
        <w:spacing w:line="480" w:lineRule="auto"/>
        <w:rPr>
          <w:rFonts w:ascii="Helvetica" w:eastAsia="Calibri" w:hAnsi="Helvetica" w:cs="Arial"/>
          <w:color w:val="000000" w:themeColor="text1"/>
          <w:sz w:val="22"/>
          <w:szCs w:val="22"/>
          <w:vertAlign w:val="superscript"/>
        </w:rPr>
      </w:pPr>
    </w:p>
    <w:p w14:paraId="7438CEB3" w14:textId="3C44B72D" w:rsidR="003D3A96" w:rsidRDefault="00BA2D7A" w:rsidP="00B928F2">
      <w:pPr>
        <w:spacing w:line="480" w:lineRule="auto"/>
        <w:rPr>
          <w:rFonts w:ascii="Helvetica" w:eastAsia="Calibri" w:hAnsi="Helvetica" w:cs="Arial"/>
          <w:sz w:val="22"/>
          <w:szCs w:val="22"/>
          <w:vertAlign w:val="superscript"/>
        </w:rPr>
      </w:pPr>
      <w:r w:rsidRPr="00BD4DAF">
        <w:rPr>
          <w:rFonts w:ascii="Helvetica" w:eastAsia="Calibri" w:hAnsi="Helvetica" w:cs="Arial"/>
          <w:color w:val="000000" w:themeColor="text1"/>
          <w:sz w:val="22"/>
          <w:szCs w:val="22"/>
        </w:rPr>
        <w:t>A</w:t>
      </w:r>
      <w:r w:rsidR="00906459" w:rsidRPr="00BD4DAF">
        <w:rPr>
          <w:rFonts w:ascii="Helvetica" w:eastAsia="Calibri" w:hAnsi="Helvetica" w:cs="Arial"/>
          <w:color w:val="000000" w:themeColor="text1"/>
          <w:sz w:val="22"/>
          <w:szCs w:val="22"/>
        </w:rPr>
        <w:t xml:space="preserve"> recent prospective cohort study from Scotland found the first dose of the Pfizer-</w:t>
      </w:r>
      <w:proofErr w:type="spellStart"/>
      <w:r w:rsidR="00906459" w:rsidRPr="00BD4DAF">
        <w:rPr>
          <w:rFonts w:ascii="Helvetica" w:eastAsia="Calibri" w:hAnsi="Helvetica" w:cs="Arial"/>
          <w:color w:val="000000" w:themeColor="text1"/>
          <w:sz w:val="22"/>
          <w:szCs w:val="22"/>
        </w:rPr>
        <w:t>BioNTech</w:t>
      </w:r>
      <w:proofErr w:type="spellEnd"/>
      <w:r w:rsidR="00906459" w:rsidRPr="00BD4DAF">
        <w:rPr>
          <w:rFonts w:ascii="Helvetica" w:eastAsia="Calibri" w:hAnsi="Helvetica" w:cs="Arial"/>
          <w:color w:val="000000" w:themeColor="text1"/>
          <w:sz w:val="22"/>
          <w:szCs w:val="22"/>
        </w:rPr>
        <w:t xml:space="preserve"> vaccine was associated with a vaccine effect of 91% (95% CI, 85 to 94) </w:t>
      </w:r>
      <w:r w:rsidR="00CC231F" w:rsidRPr="00BD4DAF">
        <w:rPr>
          <w:rFonts w:ascii="Helvetica" w:eastAsia="Calibri" w:hAnsi="Helvetica" w:cs="Arial"/>
          <w:color w:val="000000" w:themeColor="text1"/>
          <w:sz w:val="22"/>
          <w:szCs w:val="22"/>
        </w:rPr>
        <w:t>against</w:t>
      </w:r>
      <w:r w:rsidR="00906459" w:rsidRPr="00BD4DAF">
        <w:rPr>
          <w:rFonts w:ascii="Helvetica" w:eastAsia="Calibri" w:hAnsi="Helvetica" w:cs="Arial"/>
          <w:color w:val="000000" w:themeColor="text1"/>
          <w:sz w:val="22"/>
          <w:szCs w:val="22"/>
        </w:rPr>
        <w:t xml:space="preserve"> COVID-19 hospital admission at 28–34 days post-vaccination. Vaccine effect at the same time interval for the Oxford-AstraZeneca vaccine was 88% (95% CI, 75 to 94).</w:t>
      </w:r>
      <w:r w:rsidR="00F577B7" w:rsidRPr="00BD4DAF">
        <w:rPr>
          <w:rFonts w:ascii="Helvetica" w:eastAsia="Calibri" w:hAnsi="Helvetica" w:cs="Arial"/>
          <w:color w:val="000000" w:themeColor="text1"/>
          <w:sz w:val="22"/>
          <w:szCs w:val="22"/>
          <w:highlight w:val="yellow"/>
          <w:vertAlign w:val="superscript"/>
        </w:rPr>
        <w:t>23</w:t>
      </w:r>
      <w:r w:rsidR="00906459" w:rsidRPr="00BD4DAF">
        <w:rPr>
          <w:rFonts w:ascii="Helvetica" w:eastAsia="Calibri" w:hAnsi="Helvetica" w:cs="Arial"/>
          <w:color w:val="000000" w:themeColor="text1"/>
          <w:sz w:val="22"/>
          <w:szCs w:val="22"/>
        </w:rPr>
        <w:t> </w:t>
      </w:r>
      <w:r w:rsidR="00A41FBE" w:rsidRPr="00BD4DAF">
        <w:rPr>
          <w:rFonts w:ascii="Helvetica" w:eastAsia="Calibri" w:hAnsi="Helvetica" w:cs="Arial"/>
          <w:color w:val="000000" w:themeColor="text1"/>
          <w:sz w:val="22"/>
          <w:szCs w:val="22"/>
        </w:rPr>
        <w:t>Although limited to s</w:t>
      </w:r>
      <w:r w:rsidR="006E1889" w:rsidRPr="00BD4DAF">
        <w:rPr>
          <w:rFonts w:ascii="Helvetica" w:eastAsia="Calibri" w:hAnsi="Helvetica" w:cs="Arial"/>
          <w:color w:val="000000" w:themeColor="text1"/>
          <w:sz w:val="22"/>
          <w:szCs w:val="22"/>
        </w:rPr>
        <w:t>tratifying</w:t>
      </w:r>
      <w:r w:rsidR="00A41FBE" w:rsidRPr="00BD4DAF">
        <w:rPr>
          <w:rFonts w:ascii="Helvetica" w:eastAsia="Calibri" w:hAnsi="Helvetica" w:cs="Arial"/>
          <w:color w:val="000000" w:themeColor="text1"/>
          <w:sz w:val="22"/>
          <w:szCs w:val="22"/>
        </w:rPr>
        <w:t xml:space="preserve"> individuals in to three age groups rather than assessing the interaction of age as a continuous variable,</w:t>
      </w:r>
      <w:r w:rsidR="006E1889" w:rsidRPr="00BD4DAF">
        <w:rPr>
          <w:rFonts w:ascii="Helvetica" w:eastAsia="Calibri" w:hAnsi="Helvetica" w:cs="Arial"/>
          <w:color w:val="000000" w:themeColor="text1"/>
          <w:sz w:val="22"/>
          <w:szCs w:val="22"/>
        </w:rPr>
        <w:t xml:space="preserve"> they </w:t>
      </w:r>
      <w:r w:rsidR="00A41FBE" w:rsidRPr="00BD4DAF">
        <w:rPr>
          <w:rFonts w:ascii="Helvetica" w:eastAsia="Calibri" w:hAnsi="Helvetica" w:cs="Arial"/>
          <w:color w:val="000000" w:themeColor="text1"/>
          <w:sz w:val="22"/>
          <w:szCs w:val="22"/>
        </w:rPr>
        <w:t xml:space="preserve">showed </w:t>
      </w:r>
      <w:r w:rsidR="006E1889" w:rsidRPr="00BD4DAF">
        <w:rPr>
          <w:rFonts w:ascii="Helvetica" w:eastAsia="Calibri" w:hAnsi="Helvetica" w:cs="Arial"/>
          <w:color w:val="000000" w:themeColor="text1"/>
          <w:sz w:val="22"/>
          <w:szCs w:val="22"/>
        </w:rPr>
        <w:t xml:space="preserve">a similar trend to the present study of </w:t>
      </w:r>
      <w:r w:rsidR="009A77CC" w:rsidRPr="00BD4DAF">
        <w:rPr>
          <w:rFonts w:ascii="Helvetica" w:eastAsia="Calibri" w:hAnsi="Helvetica" w:cs="Arial"/>
          <w:color w:val="000000" w:themeColor="text1"/>
          <w:sz w:val="22"/>
          <w:szCs w:val="22"/>
        </w:rPr>
        <w:t xml:space="preserve">effect modification </w:t>
      </w:r>
      <w:r w:rsidR="00A41FBE" w:rsidRPr="00BD4DAF">
        <w:rPr>
          <w:rFonts w:ascii="Helvetica" w:eastAsia="Calibri" w:hAnsi="Helvetica" w:cs="Arial"/>
          <w:color w:val="000000" w:themeColor="text1"/>
          <w:sz w:val="22"/>
          <w:szCs w:val="22"/>
        </w:rPr>
        <w:t xml:space="preserve">of vaccine effectiveness </w:t>
      </w:r>
      <w:r w:rsidR="009A77CC" w:rsidRPr="00BD4DAF">
        <w:rPr>
          <w:rFonts w:ascii="Helvetica" w:eastAsia="Calibri" w:hAnsi="Helvetica" w:cs="Arial"/>
          <w:color w:val="000000" w:themeColor="text1"/>
          <w:sz w:val="22"/>
          <w:szCs w:val="22"/>
        </w:rPr>
        <w:t xml:space="preserve">by age, with higher vaccine effectiveness in </w:t>
      </w:r>
      <w:r w:rsidR="00A41FBE" w:rsidRPr="00BD4DAF">
        <w:rPr>
          <w:rFonts w:ascii="Helvetica" w:eastAsia="Calibri" w:hAnsi="Helvetica" w:cs="Arial"/>
          <w:color w:val="000000" w:themeColor="text1"/>
          <w:sz w:val="22"/>
          <w:szCs w:val="22"/>
        </w:rPr>
        <w:t xml:space="preserve">the oldest </w:t>
      </w:r>
      <w:r w:rsidR="009A77CC" w:rsidRPr="00BD4DAF">
        <w:rPr>
          <w:rFonts w:ascii="Helvetica" w:eastAsia="Calibri" w:hAnsi="Helvetica" w:cs="Arial"/>
          <w:color w:val="000000" w:themeColor="text1"/>
          <w:sz w:val="22"/>
          <w:szCs w:val="22"/>
        </w:rPr>
        <w:t>age group.</w:t>
      </w:r>
      <w:r w:rsidR="003D3A96">
        <w:rPr>
          <w:rFonts w:ascii="Helvetica" w:eastAsia="Calibri" w:hAnsi="Helvetica" w:cs="Arial"/>
          <w:sz w:val="22"/>
          <w:szCs w:val="22"/>
        </w:rPr>
        <w:t xml:space="preserve"> </w:t>
      </w:r>
      <w:r w:rsidR="00CA14FA" w:rsidRPr="00BD4DAF">
        <w:rPr>
          <w:rFonts w:ascii="Helvetica" w:eastAsia="Calibri" w:hAnsi="Helvetica" w:cs="Arial"/>
          <w:sz w:val="22"/>
          <w:szCs w:val="22"/>
        </w:rPr>
        <w:t xml:space="preserve">Vaccine effect modification by age may be due to multiple reasons. </w:t>
      </w:r>
      <w:r w:rsidR="003D18E3" w:rsidRPr="00BD4DAF">
        <w:rPr>
          <w:rFonts w:ascii="Helvetica" w:eastAsia="Calibri" w:hAnsi="Helvetica" w:cs="Arial"/>
          <w:sz w:val="22"/>
          <w:szCs w:val="22"/>
        </w:rPr>
        <w:t xml:space="preserve">While </w:t>
      </w:r>
      <w:r w:rsidR="007F0DCA" w:rsidRPr="00BD4DAF">
        <w:rPr>
          <w:rFonts w:ascii="Helvetica" w:eastAsia="Calibri" w:hAnsi="Helvetica" w:cs="Arial"/>
          <w:sz w:val="22"/>
          <w:szCs w:val="22"/>
        </w:rPr>
        <w:t xml:space="preserve">seroconversion rates and quantitative antibody levels after a single dose </w:t>
      </w:r>
      <w:r w:rsidR="00151738" w:rsidRPr="00BD4DAF">
        <w:rPr>
          <w:rFonts w:ascii="Helvetica" w:eastAsia="Calibri" w:hAnsi="Helvetica" w:cs="Arial"/>
          <w:sz w:val="22"/>
          <w:szCs w:val="22"/>
        </w:rPr>
        <w:t>have been shown to be</w:t>
      </w:r>
      <w:r w:rsidR="007F0DCA" w:rsidRPr="00BD4DAF">
        <w:rPr>
          <w:rFonts w:ascii="Helvetica" w:eastAsia="Calibri" w:hAnsi="Helvetica" w:cs="Arial"/>
          <w:sz w:val="22"/>
          <w:szCs w:val="22"/>
        </w:rPr>
        <w:t xml:space="preserve"> lower in </w:t>
      </w:r>
      <w:r w:rsidR="007F0DCA" w:rsidRPr="00BD4DAF">
        <w:rPr>
          <w:rFonts w:ascii="Helvetica" w:eastAsia="Calibri" w:hAnsi="Helvetica" w:cs="Arial"/>
          <w:sz w:val="22"/>
          <w:szCs w:val="22"/>
        </w:rPr>
        <w:lastRenderedPageBreak/>
        <w:t>older individuals, especially in those aged &gt;60 years</w:t>
      </w:r>
      <w:r w:rsidR="00B86680" w:rsidRPr="00BD4DAF">
        <w:rPr>
          <w:rFonts w:ascii="Helvetica" w:eastAsia="Calibri" w:hAnsi="Helvetica" w:cs="Arial"/>
          <w:sz w:val="22"/>
          <w:szCs w:val="22"/>
        </w:rPr>
        <w:t>,</w:t>
      </w:r>
      <w:r w:rsidR="00FD6795">
        <w:rPr>
          <w:rFonts w:ascii="Helvetica" w:eastAsia="Calibri" w:hAnsi="Helvetica" w:cs="Arial"/>
          <w:sz w:val="22"/>
          <w:szCs w:val="22"/>
          <w:highlight w:val="yellow"/>
          <w:vertAlign w:val="superscript"/>
        </w:rPr>
        <w:t>25</w:t>
      </w:r>
      <w:r w:rsidR="00151738" w:rsidRPr="00BD4DAF">
        <w:rPr>
          <w:rFonts w:ascii="Helvetica" w:eastAsia="Calibri" w:hAnsi="Helvetica" w:cs="Arial"/>
          <w:sz w:val="22"/>
          <w:szCs w:val="22"/>
        </w:rPr>
        <w:t xml:space="preserve"> </w:t>
      </w:r>
      <w:r w:rsidR="00D164F9" w:rsidRPr="00BD4DAF">
        <w:rPr>
          <w:rFonts w:ascii="Helvetica" w:eastAsia="Calibri" w:hAnsi="Helvetica" w:cs="Arial"/>
          <w:sz w:val="22"/>
          <w:szCs w:val="22"/>
        </w:rPr>
        <w:t>differences in potential behavio</w:t>
      </w:r>
      <w:r w:rsidR="00D117B3" w:rsidRPr="00BD4DAF">
        <w:rPr>
          <w:rFonts w:ascii="Helvetica" w:eastAsia="Calibri" w:hAnsi="Helvetica" w:cs="Arial"/>
          <w:sz w:val="22"/>
          <w:szCs w:val="22"/>
        </w:rPr>
        <w:t>u</w:t>
      </w:r>
      <w:r w:rsidR="00D164F9" w:rsidRPr="00BD4DAF">
        <w:rPr>
          <w:rFonts w:ascii="Helvetica" w:eastAsia="Calibri" w:hAnsi="Helvetica" w:cs="Arial"/>
          <w:sz w:val="22"/>
          <w:szCs w:val="22"/>
        </w:rPr>
        <w:t>ral effects associated with vaccination</w:t>
      </w:r>
      <w:r w:rsidR="00D117B3" w:rsidRPr="00BD4DAF">
        <w:rPr>
          <w:rFonts w:ascii="Helvetica" w:eastAsia="Calibri" w:hAnsi="Helvetica" w:cs="Arial"/>
          <w:sz w:val="22"/>
          <w:szCs w:val="22"/>
        </w:rPr>
        <w:t xml:space="preserve">, specifically </w:t>
      </w:r>
      <w:r w:rsidR="00D164F9" w:rsidRPr="00BD4DAF">
        <w:rPr>
          <w:rFonts w:ascii="Helvetica" w:eastAsia="Calibri" w:hAnsi="Helvetica" w:cs="Arial"/>
          <w:sz w:val="22"/>
          <w:szCs w:val="22"/>
        </w:rPr>
        <w:t>behavio</w:t>
      </w:r>
      <w:r w:rsidR="00D117B3" w:rsidRPr="00BD4DAF">
        <w:rPr>
          <w:rFonts w:ascii="Helvetica" w:eastAsia="Calibri" w:hAnsi="Helvetica" w:cs="Arial"/>
          <w:sz w:val="22"/>
          <w:szCs w:val="22"/>
        </w:rPr>
        <w:t>u</w:t>
      </w:r>
      <w:r w:rsidR="00D164F9" w:rsidRPr="00BD4DAF">
        <w:rPr>
          <w:rFonts w:ascii="Helvetica" w:eastAsia="Calibri" w:hAnsi="Helvetica" w:cs="Arial"/>
          <w:sz w:val="22"/>
          <w:szCs w:val="22"/>
        </w:rPr>
        <w:t>ral disinhibition</w:t>
      </w:r>
      <w:r w:rsidR="00D117B3" w:rsidRPr="00BD4DAF">
        <w:rPr>
          <w:rFonts w:ascii="Helvetica" w:eastAsia="Calibri" w:hAnsi="Helvetica" w:cs="Arial"/>
          <w:sz w:val="22"/>
          <w:szCs w:val="22"/>
        </w:rPr>
        <w:t xml:space="preserve">, with lower </w:t>
      </w:r>
      <w:r w:rsidR="00001B01" w:rsidRPr="00BD4DAF">
        <w:rPr>
          <w:rFonts w:ascii="Helvetica" w:eastAsia="Calibri" w:hAnsi="Helvetica" w:cs="Arial"/>
          <w:sz w:val="22"/>
          <w:szCs w:val="22"/>
        </w:rPr>
        <w:t>perceived risk, may lead to higher SARS-CoV-2 transmission rates in the young.</w:t>
      </w:r>
      <w:r w:rsidR="00FD6795">
        <w:rPr>
          <w:rFonts w:ascii="Helvetica" w:eastAsia="Calibri" w:hAnsi="Helvetica" w:cs="Arial"/>
          <w:sz w:val="22"/>
          <w:szCs w:val="22"/>
          <w:highlight w:val="yellow"/>
          <w:vertAlign w:val="superscript"/>
        </w:rPr>
        <w:t>26</w:t>
      </w:r>
      <w:r w:rsidR="00001B01" w:rsidRPr="00BD4DAF">
        <w:rPr>
          <w:rFonts w:ascii="Helvetica" w:eastAsia="Calibri" w:hAnsi="Helvetica" w:cs="Arial"/>
          <w:sz w:val="22"/>
          <w:szCs w:val="22"/>
        </w:rPr>
        <w:t xml:space="preserve"> </w:t>
      </w:r>
      <w:r w:rsidR="00704BCE">
        <w:rPr>
          <w:rFonts w:ascii="Helvetica" w:eastAsia="Calibri" w:hAnsi="Helvetica" w:cs="Arial"/>
          <w:sz w:val="22"/>
          <w:szCs w:val="22"/>
        </w:rPr>
        <w:t>These results therefore suggest that p</w:t>
      </w:r>
      <w:r w:rsidR="00704BCE" w:rsidRPr="00704BCE">
        <w:rPr>
          <w:rFonts w:ascii="Helvetica" w:eastAsia="Calibri" w:hAnsi="Helvetica" w:cs="Arial"/>
          <w:sz w:val="22"/>
          <w:szCs w:val="22"/>
        </w:rPr>
        <w:t>eople should continue to </w:t>
      </w:r>
      <w:r w:rsidR="00704BCE" w:rsidRPr="00704BCE">
        <w:rPr>
          <w:rFonts w:ascii="Helvetica" w:eastAsia="Calibri" w:hAnsi="Helvetica" w:cs="Arial"/>
          <w:bCs/>
          <w:sz w:val="22"/>
          <w:szCs w:val="22"/>
        </w:rPr>
        <w:t xml:space="preserve">wear </w:t>
      </w:r>
      <w:r w:rsidR="00704BCE" w:rsidRPr="00704BCE">
        <w:rPr>
          <w:rFonts w:ascii="Helvetica" w:eastAsia="Calibri" w:hAnsi="Helvetica" w:cs="Arial"/>
          <w:sz w:val="22"/>
          <w:szCs w:val="22"/>
        </w:rPr>
        <w:t>face </w:t>
      </w:r>
      <w:r w:rsidR="00704BCE" w:rsidRPr="00704BCE">
        <w:rPr>
          <w:rFonts w:ascii="Helvetica" w:eastAsia="Calibri" w:hAnsi="Helvetica" w:cs="Arial"/>
          <w:bCs/>
          <w:sz w:val="22"/>
          <w:szCs w:val="22"/>
        </w:rPr>
        <w:t>masks</w:t>
      </w:r>
      <w:r w:rsidR="00704BCE" w:rsidRPr="00704BCE">
        <w:rPr>
          <w:rFonts w:ascii="Helvetica" w:eastAsia="Calibri" w:hAnsi="Helvetica" w:cs="Arial"/>
          <w:sz w:val="22"/>
          <w:szCs w:val="22"/>
        </w:rPr>
        <w:t> and maintain physical distance after the first vaccine to prevent onward transmission.</w:t>
      </w:r>
      <w:r w:rsidR="00704BCE">
        <w:rPr>
          <w:rFonts w:ascii="Helvetica" w:eastAsia="Calibri" w:hAnsi="Helvetica" w:cs="Arial"/>
          <w:sz w:val="22"/>
          <w:szCs w:val="22"/>
        </w:rPr>
        <w:t xml:space="preserve"> </w:t>
      </w:r>
      <w:r w:rsidR="00CF6132" w:rsidRPr="00BD4DAF">
        <w:rPr>
          <w:rFonts w:ascii="Helvetica" w:eastAsia="Calibri" w:hAnsi="Helvetica" w:cs="Arial"/>
          <w:sz w:val="22"/>
          <w:szCs w:val="22"/>
        </w:rPr>
        <w:t>In addition, our study period</w:t>
      </w:r>
      <w:r w:rsidR="00F370AA" w:rsidRPr="00BD4DAF">
        <w:rPr>
          <w:rFonts w:ascii="Helvetica" w:eastAsia="Calibri" w:hAnsi="Helvetica" w:cs="Arial"/>
          <w:sz w:val="22"/>
          <w:szCs w:val="22"/>
        </w:rPr>
        <w:t xml:space="preserve"> included the early part of the vaccination </w:t>
      </w:r>
      <w:r w:rsidR="003E0FE9" w:rsidRPr="00BD4DAF">
        <w:rPr>
          <w:rFonts w:ascii="Helvetica" w:eastAsia="Calibri" w:hAnsi="Helvetica" w:cs="Arial"/>
          <w:sz w:val="22"/>
          <w:szCs w:val="22"/>
        </w:rPr>
        <w:t>campaign</w:t>
      </w:r>
      <w:r w:rsidR="00F370AA" w:rsidRPr="00BD4DAF">
        <w:rPr>
          <w:rFonts w:ascii="Helvetica" w:eastAsia="Calibri" w:hAnsi="Helvetica" w:cs="Arial"/>
          <w:sz w:val="22"/>
          <w:szCs w:val="22"/>
        </w:rPr>
        <w:t xml:space="preserve"> when the proportion of young individuals receiving the first dose of the vaccine was lo</w:t>
      </w:r>
      <w:r w:rsidR="00913CAC" w:rsidRPr="00BD4DAF">
        <w:rPr>
          <w:rFonts w:ascii="Helvetica" w:eastAsia="Calibri" w:hAnsi="Helvetica" w:cs="Arial"/>
          <w:sz w:val="22"/>
          <w:szCs w:val="22"/>
        </w:rPr>
        <w:t>w.</w:t>
      </w:r>
      <w:r w:rsidR="00FD6795">
        <w:rPr>
          <w:rFonts w:ascii="Helvetica" w:eastAsia="Calibri" w:hAnsi="Helvetica" w:cs="Arial"/>
          <w:sz w:val="22"/>
          <w:szCs w:val="22"/>
          <w:highlight w:val="yellow"/>
          <w:vertAlign w:val="superscript"/>
        </w:rPr>
        <w:t>27</w:t>
      </w:r>
      <w:r w:rsidR="00201326">
        <w:rPr>
          <w:rFonts w:ascii="Helvetica" w:eastAsia="Calibri" w:hAnsi="Helvetica" w:cs="Arial"/>
          <w:sz w:val="22"/>
          <w:szCs w:val="22"/>
          <w:vertAlign w:val="superscript"/>
        </w:rPr>
        <w:t xml:space="preserve"> </w:t>
      </w:r>
    </w:p>
    <w:p w14:paraId="76BF71B5" w14:textId="77777777" w:rsidR="003D3A96" w:rsidRDefault="003D3A96" w:rsidP="00B928F2">
      <w:pPr>
        <w:spacing w:line="480" w:lineRule="auto"/>
        <w:rPr>
          <w:rFonts w:ascii="Helvetica" w:eastAsia="Calibri" w:hAnsi="Helvetica" w:cs="Arial"/>
          <w:sz w:val="22"/>
          <w:szCs w:val="22"/>
          <w:vertAlign w:val="superscript"/>
        </w:rPr>
      </w:pPr>
    </w:p>
    <w:p w14:paraId="33B6D4DF" w14:textId="4E6D2917" w:rsidR="00D117B3" w:rsidRPr="00B25C2B" w:rsidRDefault="003D3A96" w:rsidP="00B928F2">
      <w:pPr>
        <w:spacing w:line="480" w:lineRule="auto"/>
        <w:rPr>
          <w:rFonts w:ascii="Helvetica" w:eastAsia="Calibri" w:hAnsi="Helvetica" w:cstheme="minorHAnsi"/>
          <w:sz w:val="22"/>
          <w:szCs w:val="22"/>
        </w:rPr>
      </w:pPr>
      <w:r>
        <w:rPr>
          <w:rFonts w:ascii="Helvetica" w:eastAsia="Calibri" w:hAnsi="Helvetica" w:cstheme="minorHAnsi"/>
          <w:sz w:val="22"/>
          <w:szCs w:val="22"/>
        </w:rPr>
        <w:t>Effect modification</w:t>
      </w:r>
      <w:r w:rsidRPr="00CB1596">
        <w:rPr>
          <w:rFonts w:ascii="Helvetica" w:eastAsia="Calibri" w:hAnsi="Helvetica" w:cstheme="minorHAnsi"/>
          <w:sz w:val="22"/>
          <w:szCs w:val="22"/>
        </w:rPr>
        <w:t xml:space="preserve"> </w:t>
      </w:r>
      <w:r w:rsidR="00B25C2B">
        <w:rPr>
          <w:rFonts w:ascii="Helvetica" w:eastAsia="Calibri" w:hAnsi="Helvetica" w:cstheme="minorHAnsi"/>
          <w:sz w:val="22"/>
          <w:szCs w:val="22"/>
        </w:rPr>
        <w:t xml:space="preserve">of vaccine effectiveness </w:t>
      </w:r>
      <w:r>
        <w:rPr>
          <w:rFonts w:ascii="Helvetica" w:eastAsia="Calibri" w:hAnsi="Helvetica" w:cstheme="minorHAnsi"/>
          <w:sz w:val="22"/>
          <w:szCs w:val="22"/>
        </w:rPr>
        <w:t xml:space="preserve">by age </w:t>
      </w:r>
      <w:r w:rsidR="00B25C2B">
        <w:rPr>
          <w:rFonts w:ascii="Helvetica" w:eastAsia="Calibri" w:hAnsi="Helvetica" w:cstheme="minorHAnsi"/>
          <w:sz w:val="22"/>
          <w:szCs w:val="22"/>
        </w:rPr>
        <w:t xml:space="preserve">was most apparent </w:t>
      </w:r>
      <w:r>
        <w:rPr>
          <w:rFonts w:ascii="Helvetica" w:eastAsia="Calibri" w:hAnsi="Helvetica" w:cstheme="minorHAnsi"/>
          <w:sz w:val="22"/>
          <w:szCs w:val="22"/>
        </w:rPr>
        <w:t xml:space="preserve">against SARS-CoV-2 infection </w:t>
      </w:r>
      <w:r w:rsidR="00B25C2B">
        <w:rPr>
          <w:rFonts w:ascii="Helvetica" w:eastAsia="Calibri" w:hAnsi="Helvetica" w:cstheme="minorHAnsi"/>
          <w:sz w:val="22"/>
          <w:szCs w:val="22"/>
        </w:rPr>
        <w:t>of any severity</w:t>
      </w:r>
      <w:r w:rsidR="00E07524">
        <w:rPr>
          <w:rFonts w:ascii="Helvetica" w:eastAsia="Calibri" w:hAnsi="Helvetica" w:cstheme="minorHAnsi"/>
          <w:sz w:val="22"/>
          <w:szCs w:val="22"/>
        </w:rPr>
        <w:t xml:space="preserve"> rather than for </w:t>
      </w:r>
      <w:r w:rsidR="00201326" w:rsidRPr="00BD4DAF">
        <w:rPr>
          <w:rFonts w:ascii="Helvetica" w:eastAsia="Calibri" w:hAnsi="Helvetica" w:cs="Arial"/>
          <w:sz w:val="22"/>
          <w:szCs w:val="22"/>
        </w:rPr>
        <w:t>outcomes related to severe COVID</w:t>
      </w:r>
      <w:r w:rsidR="00201326">
        <w:rPr>
          <w:rFonts w:ascii="Helvetica" w:eastAsia="Calibri" w:hAnsi="Helvetica" w:cs="Arial"/>
          <w:sz w:val="22"/>
          <w:szCs w:val="22"/>
        </w:rPr>
        <w:t>-19 infection</w:t>
      </w:r>
      <w:r w:rsidR="00AC3887">
        <w:rPr>
          <w:rFonts w:ascii="Helvetica" w:eastAsia="Calibri" w:hAnsi="Helvetica" w:cs="Arial"/>
          <w:sz w:val="22"/>
          <w:szCs w:val="22"/>
        </w:rPr>
        <w:t>; COVID-19 hospitalisation</w:t>
      </w:r>
      <w:r w:rsidR="00C06148">
        <w:rPr>
          <w:rFonts w:ascii="Helvetica" w:eastAsia="Calibri" w:hAnsi="Helvetica" w:cs="Arial"/>
          <w:sz w:val="22"/>
          <w:szCs w:val="22"/>
        </w:rPr>
        <w:t>,</w:t>
      </w:r>
      <w:r w:rsidR="00AC3887">
        <w:rPr>
          <w:rFonts w:ascii="Helvetica" w:eastAsia="Calibri" w:hAnsi="Helvetica" w:cs="Arial"/>
          <w:sz w:val="22"/>
          <w:szCs w:val="22"/>
        </w:rPr>
        <w:t xml:space="preserve"> and all-cause mortality</w:t>
      </w:r>
      <w:r w:rsidR="00201326" w:rsidRPr="00BD4DAF">
        <w:rPr>
          <w:rFonts w:ascii="Helvetica" w:eastAsia="Calibri" w:hAnsi="Helvetica" w:cs="Arial"/>
          <w:sz w:val="22"/>
          <w:szCs w:val="22"/>
        </w:rPr>
        <w:t>.</w:t>
      </w:r>
      <w:r w:rsidR="00201326">
        <w:rPr>
          <w:rFonts w:ascii="Helvetica" w:eastAsia="Calibri" w:hAnsi="Helvetica" w:cs="Arial"/>
          <w:sz w:val="22"/>
          <w:szCs w:val="22"/>
        </w:rPr>
        <w:t xml:space="preserve"> </w:t>
      </w:r>
      <w:r w:rsidR="00BB2F3B">
        <w:rPr>
          <w:rFonts w:ascii="Helvetica" w:eastAsia="Calibri" w:hAnsi="Helvetica" w:cs="Arial"/>
          <w:sz w:val="22"/>
          <w:szCs w:val="22"/>
        </w:rPr>
        <w:t xml:space="preserve">This finding may be explained by a three-way interaction between age, </w:t>
      </w:r>
      <w:r w:rsidR="00BB2F3B" w:rsidRPr="00BB2F3B">
        <w:rPr>
          <w:rFonts w:ascii="Helvetica" w:eastAsia="Calibri" w:hAnsi="Helvetica" w:cs="Arial"/>
          <w:sz w:val="22"/>
          <w:szCs w:val="22"/>
        </w:rPr>
        <w:t>COVID-19 severity and vaccine effectiveness</w:t>
      </w:r>
      <w:r w:rsidR="00BB2F3B">
        <w:rPr>
          <w:rFonts w:ascii="Helvetica" w:eastAsia="Calibri" w:hAnsi="Helvetica" w:cs="Arial"/>
          <w:sz w:val="22"/>
          <w:szCs w:val="22"/>
        </w:rPr>
        <w:t>.</w:t>
      </w:r>
      <w:r w:rsidR="00BB2F3B" w:rsidRPr="00BB2F3B">
        <w:rPr>
          <w:rFonts w:ascii="Helvetica" w:eastAsia="Calibri" w:hAnsi="Helvetica" w:cs="Arial"/>
          <w:sz w:val="22"/>
          <w:szCs w:val="22"/>
        </w:rPr>
        <w:t xml:space="preserve"> </w:t>
      </w:r>
      <w:r w:rsidR="00E07524">
        <w:rPr>
          <w:rFonts w:ascii="Helvetica" w:eastAsia="Calibri" w:hAnsi="Helvetica" w:cs="Arial"/>
          <w:sz w:val="22"/>
          <w:szCs w:val="22"/>
        </w:rPr>
        <w:t>A</w:t>
      </w:r>
      <w:r w:rsidR="00E07524" w:rsidRPr="00E07524">
        <w:rPr>
          <w:rFonts w:ascii="Helvetica" w:eastAsia="Calibri" w:hAnsi="Helvetica" w:cs="Arial"/>
          <w:sz w:val="22"/>
          <w:szCs w:val="22"/>
        </w:rPr>
        <w:t>s older individuals are more likely to have severe COVID-19 infection</w:t>
      </w:r>
      <w:r w:rsidR="00E07524">
        <w:rPr>
          <w:rFonts w:ascii="Helvetica" w:eastAsia="Calibri" w:hAnsi="Helvetica" w:cs="Arial"/>
          <w:sz w:val="22"/>
          <w:szCs w:val="22"/>
        </w:rPr>
        <w:t>,</w:t>
      </w:r>
      <w:r w:rsidR="002D053D" w:rsidRPr="0024547E">
        <w:rPr>
          <w:rFonts w:ascii="Helvetica" w:eastAsia="Calibri" w:hAnsi="Helvetica" w:cs="Arial"/>
          <w:sz w:val="22"/>
          <w:szCs w:val="22"/>
          <w:highlight w:val="yellow"/>
          <w:vertAlign w:val="superscript"/>
        </w:rPr>
        <w:t>28</w:t>
      </w:r>
      <w:r w:rsidR="00E07524" w:rsidRPr="00E07524">
        <w:rPr>
          <w:rFonts w:ascii="Helvetica" w:eastAsia="Calibri" w:hAnsi="Helvetica" w:cs="Arial"/>
          <w:sz w:val="22"/>
          <w:szCs w:val="22"/>
        </w:rPr>
        <w:t xml:space="preserve"> which </w:t>
      </w:r>
      <w:r w:rsidR="003B1651">
        <w:rPr>
          <w:rFonts w:ascii="Helvetica" w:eastAsia="Calibri" w:hAnsi="Helvetica" w:cs="Arial"/>
          <w:sz w:val="22"/>
          <w:szCs w:val="22"/>
        </w:rPr>
        <w:t>was shown</w:t>
      </w:r>
      <w:r w:rsidR="000E41D0">
        <w:rPr>
          <w:rFonts w:ascii="Helvetica" w:eastAsia="Calibri" w:hAnsi="Helvetica" w:cs="Arial"/>
          <w:sz w:val="22"/>
          <w:szCs w:val="22"/>
        </w:rPr>
        <w:t xml:space="preserve"> in our study</w:t>
      </w:r>
      <w:r w:rsidR="003B1651">
        <w:rPr>
          <w:rFonts w:ascii="Helvetica" w:eastAsia="Calibri" w:hAnsi="Helvetica" w:cs="Arial"/>
          <w:sz w:val="22"/>
          <w:szCs w:val="22"/>
        </w:rPr>
        <w:t xml:space="preserve"> to be </w:t>
      </w:r>
      <w:r w:rsidR="00E07524" w:rsidRPr="00E07524">
        <w:rPr>
          <w:rFonts w:ascii="Helvetica" w:eastAsia="Calibri" w:hAnsi="Helvetica" w:cs="Arial"/>
          <w:sz w:val="22"/>
          <w:szCs w:val="22"/>
        </w:rPr>
        <w:t xml:space="preserve">less likely following </w:t>
      </w:r>
      <w:r w:rsidR="00634B9B">
        <w:rPr>
          <w:rFonts w:ascii="Helvetica" w:eastAsia="Calibri" w:hAnsi="Helvetica" w:cs="Arial"/>
          <w:sz w:val="22"/>
          <w:szCs w:val="22"/>
        </w:rPr>
        <w:t>single dose</w:t>
      </w:r>
      <w:r w:rsidR="00E07524" w:rsidRPr="00E07524">
        <w:rPr>
          <w:rFonts w:ascii="Helvetica" w:eastAsia="Calibri" w:hAnsi="Helvetica" w:cs="Arial"/>
          <w:sz w:val="22"/>
          <w:szCs w:val="22"/>
        </w:rPr>
        <w:t xml:space="preserve"> vaccination, vaccine effectiveness for all SARS-CoV-2 infections will </w:t>
      </w:r>
      <w:r w:rsidR="009D1077">
        <w:rPr>
          <w:rFonts w:ascii="Helvetica" w:eastAsia="Calibri" w:hAnsi="Helvetica" w:cs="Arial"/>
          <w:sz w:val="22"/>
          <w:szCs w:val="22"/>
        </w:rPr>
        <w:t xml:space="preserve">appear to </w:t>
      </w:r>
      <w:r w:rsidR="00E07524" w:rsidRPr="00E07524">
        <w:rPr>
          <w:rFonts w:ascii="Helvetica" w:eastAsia="Calibri" w:hAnsi="Helvetica" w:cs="Arial"/>
          <w:sz w:val="22"/>
          <w:szCs w:val="22"/>
        </w:rPr>
        <w:t>increase with age.</w:t>
      </w:r>
      <w:r w:rsidR="00AC3887">
        <w:rPr>
          <w:rFonts w:ascii="Helvetica" w:eastAsia="Calibri" w:hAnsi="Helvetica" w:cs="Arial"/>
          <w:sz w:val="22"/>
          <w:szCs w:val="22"/>
        </w:rPr>
        <w:t xml:space="preserve"> </w:t>
      </w:r>
    </w:p>
    <w:p w14:paraId="6A5102AB" w14:textId="77777777" w:rsidR="0005384C" w:rsidRPr="00BD4DAF" w:rsidRDefault="0005384C" w:rsidP="00B928F2">
      <w:pPr>
        <w:spacing w:line="480" w:lineRule="auto"/>
        <w:rPr>
          <w:rFonts w:ascii="Helvetica" w:eastAsia="Calibri" w:hAnsi="Helvetica" w:cs="Arial"/>
          <w:color w:val="000000" w:themeColor="text1"/>
          <w:sz w:val="22"/>
          <w:szCs w:val="22"/>
        </w:rPr>
      </w:pPr>
    </w:p>
    <w:p w14:paraId="2F90AA28" w14:textId="71047C45" w:rsidR="006308FF" w:rsidRDefault="006F1585" w:rsidP="00B928F2">
      <w:pPr>
        <w:spacing w:line="480" w:lineRule="auto"/>
        <w:rPr>
          <w:rFonts w:ascii="Helvetica" w:eastAsia="Calibri" w:hAnsi="Helvetica" w:cs="Arial"/>
          <w:sz w:val="22"/>
          <w:szCs w:val="22"/>
        </w:rPr>
      </w:pPr>
      <w:r w:rsidRPr="006F1585">
        <w:rPr>
          <w:rFonts w:ascii="Helvetica" w:eastAsia="Calibri" w:hAnsi="Helvetica" w:cs="Arial"/>
          <w:sz w:val="22"/>
          <w:szCs w:val="22"/>
        </w:rPr>
        <w:t>The main limitations of our study relate to its observational nature</w:t>
      </w:r>
      <w:r w:rsidR="00265091">
        <w:rPr>
          <w:rFonts w:ascii="Helvetica" w:eastAsia="Calibri" w:hAnsi="Helvetica" w:cs="Arial"/>
          <w:sz w:val="22"/>
          <w:szCs w:val="22"/>
        </w:rPr>
        <w:t xml:space="preserve">. </w:t>
      </w:r>
      <w:r w:rsidR="00A972BA" w:rsidRPr="00BD4DAF">
        <w:rPr>
          <w:rFonts w:ascii="Helvetica" w:eastAsia="Calibri" w:hAnsi="Helvetica" w:cs="Arial"/>
          <w:sz w:val="22"/>
          <w:szCs w:val="22"/>
        </w:rPr>
        <w:t xml:space="preserve">As with any observational study, our results may have been affected by residual confounding due to differences between vaccinated and unvaccinated individuals, especially with regards to health-seeking behaviour and risk exposure. </w:t>
      </w:r>
      <w:r w:rsidR="006A37EC" w:rsidRPr="00BD4DAF">
        <w:rPr>
          <w:rFonts w:ascii="Helvetica" w:eastAsia="Calibri" w:hAnsi="Helvetica" w:cs="Arial"/>
          <w:sz w:val="22"/>
          <w:szCs w:val="22"/>
        </w:rPr>
        <w:t>Despite precise matching on multiple d</w:t>
      </w:r>
      <w:r w:rsidR="00380DEA" w:rsidRPr="00BD4DAF">
        <w:rPr>
          <w:rFonts w:ascii="Helvetica" w:eastAsia="Calibri" w:hAnsi="Helvetica" w:cs="Arial"/>
          <w:sz w:val="22"/>
          <w:szCs w:val="22"/>
        </w:rPr>
        <w:t xml:space="preserve">emographic and clinical factors, including pre-matching test seeking behaviour, </w:t>
      </w:r>
      <w:r w:rsidR="00A972BA" w:rsidRPr="00BD4DAF">
        <w:rPr>
          <w:rFonts w:ascii="Helvetica" w:eastAsia="Calibri" w:hAnsi="Helvetica" w:cs="Arial"/>
          <w:sz w:val="22"/>
          <w:szCs w:val="22"/>
        </w:rPr>
        <w:t>unmeasured confounders may still have influenced our results, including relevant social contact patterns. To account for variation in SARS-CoV-2 exposure rates during follow-up, individuals in the unvaccinated, Oxford-AstraZeneca and Pfizer-</w:t>
      </w:r>
      <w:proofErr w:type="spellStart"/>
      <w:r w:rsidR="00A972BA" w:rsidRPr="00BD4DAF">
        <w:rPr>
          <w:rFonts w:ascii="Helvetica" w:eastAsia="Calibri" w:hAnsi="Helvetica" w:cs="Arial"/>
          <w:sz w:val="22"/>
          <w:szCs w:val="22"/>
        </w:rPr>
        <w:t>BioNTech</w:t>
      </w:r>
      <w:proofErr w:type="spellEnd"/>
      <w:r w:rsidR="00A972BA" w:rsidRPr="00BD4DAF">
        <w:rPr>
          <w:rFonts w:ascii="Helvetica" w:eastAsia="Calibri" w:hAnsi="Helvetica" w:cs="Arial"/>
          <w:sz w:val="22"/>
          <w:szCs w:val="22"/>
        </w:rPr>
        <w:t xml:space="preserve"> vaccines were matched on a week</w:t>
      </w:r>
      <w:r w:rsidR="0092440E">
        <w:rPr>
          <w:rFonts w:ascii="Helvetica" w:eastAsia="Calibri" w:hAnsi="Helvetica" w:cs="Arial"/>
          <w:sz w:val="22"/>
          <w:szCs w:val="22"/>
        </w:rPr>
        <w:t>-</w:t>
      </w:r>
      <w:r w:rsidR="00A972BA" w:rsidRPr="00BD4DAF">
        <w:rPr>
          <w:rFonts w:ascii="Helvetica" w:eastAsia="Calibri" w:hAnsi="Helvetica" w:cs="Arial"/>
          <w:sz w:val="22"/>
          <w:szCs w:val="22"/>
        </w:rPr>
        <w:t>by</w:t>
      </w:r>
      <w:r w:rsidR="0092440E">
        <w:rPr>
          <w:rFonts w:ascii="Helvetica" w:eastAsia="Calibri" w:hAnsi="Helvetica" w:cs="Arial"/>
          <w:sz w:val="22"/>
          <w:szCs w:val="22"/>
        </w:rPr>
        <w:t>-</w:t>
      </w:r>
      <w:r w:rsidR="00A972BA" w:rsidRPr="00BD4DAF">
        <w:rPr>
          <w:rFonts w:ascii="Helvetica" w:eastAsia="Calibri" w:hAnsi="Helvetica" w:cs="Arial"/>
          <w:sz w:val="22"/>
          <w:szCs w:val="22"/>
        </w:rPr>
        <w:t xml:space="preserve">week basis to align </w:t>
      </w:r>
      <w:r w:rsidR="00A972BA" w:rsidRPr="00BD4DAF">
        <w:rPr>
          <w:rFonts w:ascii="Helvetica" w:eastAsia="Calibri" w:hAnsi="Helvetica" w:cs="Arial"/>
          <w:color w:val="000000" w:themeColor="text1"/>
          <w:sz w:val="22"/>
          <w:szCs w:val="22"/>
        </w:rPr>
        <w:t xml:space="preserve">local exposure rates between matched individuals during follow-up. </w:t>
      </w:r>
      <w:r w:rsidR="004C6441" w:rsidRPr="00BD4DAF">
        <w:rPr>
          <w:rFonts w:ascii="Helvetica" w:eastAsia="Calibri" w:hAnsi="Helvetica" w:cs="Arial"/>
          <w:color w:val="000000" w:themeColor="text1"/>
          <w:sz w:val="22"/>
          <w:szCs w:val="22"/>
        </w:rPr>
        <w:t>While we found the</w:t>
      </w:r>
      <w:r w:rsidR="006C60CE" w:rsidRPr="00BD4DAF">
        <w:rPr>
          <w:rFonts w:ascii="Helvetica" w:eastAsia="Calibri" w:hAnsi="Helvetica" w:cs="Arial"/>
          <w:color w:val="000000" w:themeColor="text1"/>
          <w:sz w:val="22"/>
          <w:szCs w:val="22"/>
        </w:rPr>
        <w:t xml:space="preserve"> SARS-CoV-2 testing rate was higher in</w:t>
      </w:r>
      <w:r w:rsidR="00513ACB" w:rsidRPr="00BD4DAF">
        <w:rPr>
          <w:rFonts w:ascii="Helvetica" w:eastAsia="Calibri" w:hAnsi="Helvetica" w:cs="Arial"/>
          <w:color w:val="000000" w:themeColor="text1"/>
          <w:sz w:val="22"/>
          <w:szCs w:val="22"/>
        </w:rPr>
        <w:t xml:space="preserve"> the vaccinated groups than the unvaccinated </w:t>
      </w:r>
      <w:r w:rsidR="00513ACB" w:rsidRPr="00BD4DAF">
        <w:rPr>
          <w:rFonts w:ascii="Helvetica" w:eastAsia="Calibri" w:hAnsi="Helvetica" w:cs="Arial"/>
          <w:color w:val="000000" w:themeColor="text1"/>
          <w:sz w:val="22"/>
          <w:szCs w:val="22"/>
        </w:rPr>
        <w:lastRenderedPageBreak/>
        <w:t>group</w:t>
      </w:r>
      <w:r w:rsidR="004C6441" w:rsidRPr="00BD4DAF">
        <w:rPr>
          <w:rFonts w:ascii="Helvetica" w:eastAsia="Calibri" w:hAnsi="Helvetica" w:cs="Arial"/>
          <w:color w:val="000000" w:themeColor="text1"/>
          <w:sz w:val="22"/>
          <w:szCs w:val="22"/>
        </w:rPr>
        <w:t>,</w:t>
      </w:r>
      <w:r w:rsidR="00513ACB" w:rsidRPr="00BD4DAF">
        <w:rPr>
          <w:rFonts w:ascii="Helvetica" w:eastAsia="Calibri" w:hAnsi="Helvetica" w:cs="Arial"/>
          <w:color w:val="000000" w:themeColor="text1"/>
          <w:sz w:val="22"/>
          <w:szCs w:val="22"/>
        </w:rPr>
        <w:t xml:space="preserve"> which may lead to an </w:t>
      </w:r>
      <w:r w:rsidR="00E62CE6" w:rsidRPr="00BD4DAF">
        <w:rPr>
          <w:rFonts w:ascii="Helvetica" w:eastAsia="Calibri" w:hAnsi="Helvetica" w:cs="Arial"/>
          <w:color w:val="000000" w:themeColor="text1"/>
          <w:sz w:val="22"/>
          <w:szCs w:val="22"/>
        </w:rPr>
        <w:t>underestimation</w:t>
      </w:r>
      <w:r w:rsidR="00513ACB" w:rsidRPr="00BD4DAF">
        <w:rPr>
          <w:rFonts w:ascii="Helvetica" w:eastAsia="Calibri" w:hAnsi="Helvetica" w:cs="Arial"/>
          <w:color w:val="000000" w:themeColor="text1"/>
          <w:sz w:val="22"/>
          <w:szCs w:val="22"/>
        </w:rPr>
        <w:t xml:space="preserve"> of vaccine effectiveness for SARS-CoV-2 related outcomes,</w:t>
      </w:r>
      <w:r w:rsidR="004C6441" w:rsidRPr="00BD4DAF">
        <w:rPr>
          <w:rFonts w:ascii="Helvetica" w:eastAsia="Calibri" w:hAnsi="Helvetica" w:cs="Arial"/>
          <w:color w:val="000000" w:themeColor="text1"/>
          <w:sz w:val="22"/>
          <w:szCs w:val="22"/>
        </w:rPr>
        <w:t xml:space="preserve"> the testing rate was similar between the vaccine groups.</w:t>
      </w:r>
      <w:r w:rsidR="00A972BA" w:rsidRPr="00BD4DAF">
        <w:rPr>
          <w:rFonts w:ascii="Helvetica" w:eastAsia="Calibri" w:hAnsi="Helvetica" w:cs="Arial"/>
          <w:sz w:val="22"/>
          <w:szCs w:val="22"/>
        </w:rPr>
        <w:t xml:space="preserve"> </w:t>
      </w:r>
      <w:r w:rsidR="00497440" w:rsidRPr="00BD4DAF">
        <w:rPr>
          <w:rFonts w:ascii="Helvetica" w:eastAsia="Calibri" w:hAnsi="Helvetica" w:cs="Arial"/>
          <w:sz w:val="22"/>
          <w:szCs w:val="22"/>
        </w:rPr>
        <w:t xml:space="preserve">Our rigorous </w:t>
      </w:r>
      <w:r w:rsidR="00E62CE6" w:rsidRPr="00BD4DAF">
        <w:rPr>
          <w:rFonts w:ascii="Helvetica" w:eastAsia="Calibri" w:hAnsi="Helvetica" w:cs="Arial"/>
          <w:sz w:val="22"/>
          <w:szCs w:val="22"/>
        </w:rPr>
        <w:t xml:space="preserve">week-by-week </w:t>
      </w:r>
      <w:r w:rsidR="00497440" w:rsidRPr="00BD4DAF">
        <w:rPr>
          <w:rFonts w:ascii="Helvetica" w:eastAsia="Calibri" w:hAnsi="Helvetica" w:cs="Arial"/>
          <w:sz w:val="22"/>
          <w:szCs w:val="22"/>
        </w:rPr>
        <w:t>matching process came at the cost of not including in t</w:t>
      </w:r>
      <w:r w:rsidR="00E626F3" w:rsidRPr="00BD4DAF">
        <w:rPr>
          <w:rFonts w:ascii="Helvetica" w:eastAsia="Calibri" w:hAnsi="Helvetica" w:cs="Arial"/>
          <w:sz w:val="22"/>
          <w:szCs w:val="22"/>
        </w:rPr>
        <w:t>he final cohort approximately 50</w:t>
      </w:r>
      <w:r w:rsidR="00497440" w:rsidRPr="00BD4DAF">
        <w:rPr>
          <w:rFonts w:ascii="Helvetica" w:eastAsia="Calibri" w:hAnsi="Helvetica" w:cs="Arial"/>
          <w:sz w:val="22"/>
          <w:szCs w:val="22"/>
        </w:rPr>
        <w:t>% of the vaccinated persons who otherwise met the study’s eligibility criteria.</w:t>
      </w:r>
    </w:p>
    <w:p w14:paraId="1F9CF317" w14:textId="77777777" w:rsidR="0050590E" w:rsidRDefault="0050590E" w:rsidP="00B928F2">
      <w:pPr>
        <w:spacing w:line="480" w:lineRule="auto"/>
        <w:rPr>
          <w:rFonts w:ascii="Helvetica" w:eastAsia="Calibri" w:hAnsi="Helvetica" w:cs="Arial"/>
          <w:sz w:val="22"/>
          <w:szCs w:val="22"/>
        </w:rPr>
      </w:pPr>
    </w:p>
    <w:p w14:paraId="15F477D7" w14:textId="43181006" w:rsidR="00727159" w:rsidRPr="00727159" w:rsidRDefault="00B27925" w:rsidP="00727159">
      <w:pPr>
        <w:spacing w:line="480" w:lineRule="auto"/>
        <w:rPr>
          <w:rFonts w:ascii="Helvetica" w:eastAsia="Calibri" w:hAnsi="Helvetica" w:cs="Arial"/>
          <w:sz w:val="22"/>
          <w:szCs w:val="22"/>
        </w:rPr>
      </w:pPr>
      <w:r>
        <w:rPr>
          <w:rFonts w:ascii="Helvetica" w:eastAsia="Calibri" w:hAnsi="Helvetica" w:cs="Arial"/>
          <w:sz w:val="22"/>
          <w:szCs w:val="22"/>
          <w:lang w:val="en-US"/>
        </w:rPr>
        <w:t>We</w:t>
      </w:r>
      <w:r w:rsidRPr="00B27925">
        <w:rPr>
          <w:rFonts w:ascii="Helvetica" w:eastAsia="Calibri" w:hAnsi="Helvetica" w:cs="Arial"/>
          <w:sz w:val="22"/>
          <w:szCs w:val="22"/>
          <w:lang w:val="en-US"/>
        </w:rPr>
        <w:t xml:space="preserve"> were unable to assess </w:t>
      </w:r>
      <w:r w:rsidR="00634B9B">
        <w:rPr>
          <w:rFonts w:ascii="Helvetica" w:eastAsia="Calibri" w:hAnsi="Helvetica" w:cs="Arial"/>
          <w:sz w:val="22"/>
          <w:szCs w:val="22"/>
          <w:lang w:val="en-US"/>
        </w:rPr>
        <w:t>single dose</w:t>
      </w:r>
      <w:r w:rsidRPr="00B27925">
        <w:rPr>
          <w:rFonts w:ascii="Helvetica" w:eastAsia="Calibri" w:hAnsi="Helvetica" w:cs="Arial"/>
          <w:sz w:val="22"/>
          <w:szCs w:val="22"/>
          <w:lang w:val="en-US"/>
        </w:rPr>
        <w:t xml:space="preserve"> vaccine effectiveness beyond 84 days,</w:t>
      </w:r>
      <w:r>
        <w:rPr>
          <w:rFonts w:ascii="Helvetica" w:eastAsia="Calibri" w:hAnsi="Helvetica" w:cs="Arial"/>
          <w:sz w:val="22"/>
          <w:szCs w:val="22"/>
          <w:lang w:val="en-US"/>
        </w:rPr>
        <w:t xml:space="preserve"> </w:t>
      </w:r>
      <w:bookmarkStart w:id="9" w:name="OLE_LINK16"/>
      <w:bookmarkStart w:id="10" w:name="OLE_LINK17"/>
      <w:r>
        <w:rPr>
          <w:rFonts w:ascii="Helvetica" w:eastAsia="Calibri" w:hAnsi="Helvetica" w:cs="Arial"/>
          <w:sz w:val="22"/>
          <w:szCs w:val="22"/>
          <w:lang w:val="en-US"/>
        </w:rPr>
        <w:t xml:space="preserve">when </w:t>
      </w:r>
      <w:r w:rsidR="007F5376">
        <w:rPr>
          <w:rFonts w:ascii="Helvetica" w:eastAsia="Calibri" w:hAnsi="Helvetica" w:cs="Arial"/>
          <w:sz w:val="22"/>
          <w:szCs w:val="22"/>
          <w:lang w:val="en-US"/>
        </w:rPr>
        <w:t>waning of vaccine effectiveness may become an issue.</w:t>
      </w:r>
      <w:bookmarkEnd w:id="9"/>
      <w:bookmarkEnd w:id="10"/>
      <w:r w:rsidRPr="00B27925">
        <w:rPr>
          <w:rFonts w:ascii="Helvetica" w:eastAsia="Calibri" w:hAnsi="Helvetica" w:cs="Arial"/>
          <w:sz w:val="22"/>
          <w:szCs w:val="22"/>
          <w:lang w:val="en-US"/>
        </w:rPr>
        <w:t xml:space="preserve"> It is difficult to assess </w:t>
      </w:r>
      <w:r w:rsidR="00634B9B">
        <w:rPr>
          <w:rFonts w:ascii="Helvetica" w:eastAsia="Calibri" w:hAnsi="Helvetica" w:cs="Arial"/>
          <w:sz w:val="22"/>
          <w:szCs w:val="22"/>
          <w:lang w:val="en-US"/>
        </w:rPr>
        <w:t>single dose</w:t>
      </w:r>
      <w:r w:rsidR="00BF1983">
        <w:rPr>
          <w:rFonts w:ascii="Helvetica" w:eastAsia="Calibri" w:hAnsi="Helvetica" w:cs="Arial"/>
          <w:sz w:val="22"/>
          <w:szCs w:val="22"/>
          <w:lang w:val="en-US"/>
        </w:rPr>
        <w:t xml:space="preserve"> </w:t>
      </w:r>
      <w:r w:rsidRPr="00B27925">
        <w:rPr>
          <w:rFonts w:ascii="Helvetica" w:eastAsia="Calibri" w:hAnsi="Helvetica" w:cs="Arial"/>
          <w:sz w:val="22"/>
          <w:szCs w:val="22"/>
          <w:lang w:val="en-US"/>
        </w:rPr>
        <w:t xml:space="preserve">vaccine effectiveness far beyond 84 days in the </w:t>
      </w:r>
      <w:r w:rsidR="007F5376">
        <w:rPr>
          <w:rFonts w:ascii="Helvetica" w:eastAsia="Calibri" w:hAnsi="Helvetica" w:cs="Arial"/>
          <w:sz w:val="22"/>
          <w:szCs w:val="22"/>
          <w:lang w:val="en-US"/>
        </w:rPr>
        <w:t>UK</w:t>
      </w:r>
      <w:r w:rsidRPr="00B27925">
        <w:rPr>
          <w:rFonts w:ascii="Helvetica" w:eastAsia="Calibri" w:hAnsi="Helvetica" w:cs="Arial"/>
          <w:sz w:val="22"/>
          <w:szCs w:val="22"/>
          <w:lang w:val="en-US"/>
        </w:rPr>
        <w:t xml:space="preserve"> as the </w:t>
      </w:r>
      <w:r w:rsidRPr="00B27925">
        <w:rPr>
          <w:rFonts w:ascii="Helvetica" w:eastAsia="Calibri" w:hAnsi="Helvetica" w:cs="Arial"/>
          <w:sz w:val="22"/>
          <w:szCs w:val="22"/>
        </w:rPr>
        <w:t>JCVI advised tha</w:t>
      </w:r>
      <w:r w:rsidR="007F5376">
        <w:rPr>
          <w:rFonts w:ascii="Helvetica" w:eastAsia="Calibri" w:hAnsi="Helvetica" w:cs="Arial"/>
          <w:sz w:val="22"/>
          <w:szCs w:val="22"/>
        </w:rPr>
        <w:t xml:space="preserve">t the </w:t>
      </w:r>
      <w:r w:rsidR="0046381D">
        <w:rPr>
          <w:rFonts w:ascii="Helvetica" w:eastAsia="Calibri" w:hAnsi="Helvetica" w:cs="Arial"/>
          <w:sz w:val="22"/>
          <w:szCs w:val="22"/>
        </w:rPr>
        <w:t>second dose</w:t>
      </w:r>
      <w:r w:rsidRPr="00B27925">
        <w:rPr>
          <w:rFonts w:ascii="Helvetica" w:eastAsia="Calibri" w:hAnsi="Helvetica" w:cs="Arial"/>
          <w:sz w:val="22"/>
          <w:szCs w:val="22"/>
        </w:rPr>
        <w:t xml:space="preserve"> of the Pfizer-</w:t>
      </w:r>
      <w:proofErr w:type="spellStart"/>
      <w:r w:rsidRPr="00B27925">
        <w:rPr>
          <w:rFonts w:ascii="Helvetica" w:eastAsia="Calibri" w:hAnsi="Helvetica" w:cs="Arial"/>
          <w:sz w:val="22"/>
          <w:szCs w:val="22"/>
        </w:rPr>
        <w:t>BioNTech</w:t>
      </w:r>
      <w:proofErr w:type="spellEnd"/>
      <w:r w:rsidRPr="00B27925">
        <w:rPr>
          <w:rFonts w:ascii="Helvetica" w:eastAsia="Calibri" w:hAnsi="Helvetica" w:cs="Arial"/>
          <w:sz w:val="22"/>
          <w:szCs w:val="22"/>
        </w:rPr>
        <w:t xml:space="preserve"> vaccine and Oxford-AstraZeneca vaccine should be given between 3 to 12 and 4 to 12 weeks following the first-dose, respectively. As highlighted in Table S2, approximately 25% of matched individuals in both the Pfizer-</w:t>
      </w:r>
      <w:proofErr w:type="spellStart"/>
      <w:r w:rsidRPr="00B27925">
        <w:rPr>
          <w:rFonts w:ascii="Helvetica" w:eastAsia="Calibri" w:hAnsi="Helvetica" w:cs="Arial"/>
          <w:sz w:val="22"/>
          <w:szCs w:val="22"/>
        </w:rPr>
        <w:t>BioNTech</w:t>
      </w:r>
      <w:proofErr w:type="spellEnd"/>
      <w:r w:rsidRPr="00B27925">
        <w:rPr>
          <w:rFonts w:ascii="Helvetica" w:eastAsia="Calibri" w:hAnsi="Helvetica" w:cs="Arial"/>
          <w:sz w:val="22"/>
          <w:szCs w:val="22"/>
        </w:rPr>
        <w:t xml:space="preserve"> and Oxford-AstraZeneca groups already had the second vaccination dose by 84 days.</w:t>
      </w:r>
      <w:r w:rsidR="00FD2ACA">
        <w:rPr>
          <w:rFonts w:ascii="Helvetica" w:eastAsia="Calibri" w:hAnsi="Helvetica" w:cs="Arial"/>
          <w:sz w:val="22"/>
          <w:szCs w:val="22"/>
        </w:rPr>
        <w:t xml:space="preserve"> </w:t>
      </w:r>
      <w:r w:rsidR="00727159" w:rsidRPr="00727159">
        <w:rPr>
          <w:rFonts w:ascii="Helvetica" w:eastAsia="Calibri" w:hAnsi="Helvetica" w:cs="Arial"/>
          <w:sz w:val="22"/>
          <w:szCs w:val="22"/>
        </w:rPr>
        <w:t>In Canada,</w:t>
      </w:r>
      <w:r w:rsidR="00D32244">
        <w:rPr>
          <w:rFonts w:ascii="Helvetica" w:eastAsia="Calibri" w:hAnsi="Helvetica" w:cs="Arial"/>
          <w:sz w:val="22"/>
          <w:szCs w:val="22"/>
        </w:rPr>
        <w:t xml:space="preserve"> first and second doses of vaccines </w:t>
      </w:r>
      <w:r w:rsidR="00727159" w:rsidRPr="00727159">
        <w:rPr>
          <w:rFonts w:ascii="Helvetica" w:eastAsia="Calibri" w:hAnsi="Helvetica" w:cs="Arial"/>
          <w:sz w:val="22"/>
          <w:szCs w:val="22"/>
        </w:rPr>
        <w:t>against SARS-CoV-2 were uniquely spaced 16 weeks apart</w:t>
      </w:r>
      <w:r w:rsidR="00727159">
        <w:rPr>
          <w:rFonts w:ascii="Helvetica" w:eastAsia="Calibri" w:hAnsi="Helvetica" w:cs="Arial"/>
          <w:sz w:val="22"/>
          <w:szCs w:val="22"/>
        </w:rPr>
        <w:t>. Whilst</w:t>
      </w:r>
      <w:r w:rsidR="00FB6825">
        <w:rPr>
          <w:rFonts w:ascii="Helvetica" w:eastAsia="Calibri" w:hAnsi="Helvetica" w:cs="Arial"/>
          <w:bCs/>
          <w:sz w:val="22"/>
          <w:szCs w:val="22"/>
        </w:rPr>
        <w:t xml:space="preserve"> a </w:t>
      </w:r>
      <w:r w:rsidR="00634B9B">
        <w:rPr>
          <w:rFonts w:ascii="Helvetica" w:eastAsia="Calibri" w:hAnsi="Helvetica" w:cs="Arial"/>
          <w:bCs/>
          <w:sz w:val="22"/>
          <w:szCs w:val="22"/>
        </w:rPr>
        <w:t>single dose</w:t>
      </w:r>
      <w:r w:rsidR="00727159" w:rsidRPr="00727159">
        <w:rPr>
          <w:rFonts w:ascii="Helvetica" w:eastAsia="Calibri" w:hAnsi="Helvetica" w:cs="Arial"/>
          <w:bCs/>
          <w:sz w:val="22"/>
          <w:szCs w:val="22"/>
        </w:rPr>
        <w:t xml:space="preserve"> of the Pfizer-</w:t>
      </w:r>
      <w:proofErr w:type="spellStart"/>
      <w:r w:rsidR="00727159" w:rsidRPr="00727159">
        <w:rPr>
          <w:rFonts w:ascii="Helvetica" w:eastAsia="Calibri" w:hAnsi="Helvetica" w:cs="Arial"/>
          <w:bCs/>
          <w:sz w:val="22"/>
          <w:szCs w:val="22"/>
        </w:rPr>
        <w:t>BioNTech</w:t>
      </w:r>
      <w:proofErr w:type="spellEnd"/>
      <w:r w:rsidR="00727159" w:rsidRPr="00727159">
        <w:rPr>
          <w:rFonts w:ascii="Helvetica" w:eastAsia="Calibri" w:hAnsi="Helvetica" w:cs="Arial"/>
          <w:bCs/>
          <w:sz w:val="22"/>
          <w:szCs w:val="22"/>
        </w:rPr>
        <w:t xml:space="preserve"> vaccine has been shown to be effective in reducing the risk of SARS-CoV-2 infection by at least three-quarters at 16 </w:t>
      </w:r>
      <w:proofErr w:type="gramStart"/>
      <w:r w:rsidR="00727159" w:rsidRPr="00727159">
        <w:rPr>
          <w:rFonts w:ascii="Helvetica" w:eastAsia="Calibri" w:hAnsi="Helvetica" w:cs="Arial"/>
          <w:bCs/>
          <w:sz w:val="22"/>
          <w:szCs w:val="22"/>
        </w:rPr>
        <w:t>weeks</w:t>
      </w:r>
      <w:proofErr w:type="gramEnd"/>
      <w:r w:rsidR="00727159" w:rsidRPr="00727159">
        <w:rPr>
          <w:rFonts w:ascii="Helvetica" w:eastAsia="Calibri" w:hAnsi="Helvetica" w:cs="Arial"/>
          <w:bCs/>
          <w:sz w:val="22"/>
          <w:szCs w:val="22"/>
        </w:rPr>
        <w:t xml:space="preserve"> follow-up</w:t>
      </w:r>
      <w:r w:rsidR="00727159">
        <w:rPr>
          <w:rFonts w:ascii="Helvetica" w:eastAsia="Calibri" w:hAnsi="Helvetica" w:cs="Arial"/>
          <w:bCs/>
          <w:sz w:val="22"/>
          <w:szCs w:val="22"/>
        </w:rPr>
        <w:t>, this was only assessed in the healthcare worker population, which are likely to have different health-seeking behaviour and exposure risk than the general population.</w:t>
      </w:r>
      <w:r w:rsidR="00506768" w:rsidRPr="0024547E">
        <w:rPr>
          <w:rFonts w:ascii="Helvetica" w:eastAsia="Calibri" w:hAnsi="Helvetica" w:cs="Arial"/>
          <w:bCs/>
          <w:sz w:val="22"/>
          <w:szCs w:val="22"/>
          <w:highlight w:val="yellow"/>
          <w:vertAlign w:val="superscript"/>
        </w:rPr>
        <w:t>29</w:t>
      </w:r>
    </w:p>
    <w:p w14:paraId="40E04711" w14:textId="77777777" w:rsidR="0005384C" w:rsidRPr="00BD4DAF" w:rsidRDefault="0005384C" w:rsidP="00B928F2">
      <w:pPr>
        <w:spacing w:line="480" w:lineRule="auto"/>
        <w:rPr>
          <w:rFonts w:ascii="Helvetica" w:eastAsia="Calibri" w:hAnsi="Helvetica" w:cs="Arial"/>
          <w:sz w:val="22"/>
          <w:szCs w:val="22"/>
        </w:rPr>
      </w:pPr>
    </w:p>
    <w:p w14:paraId="76E21EA2" w14:textId="46E680CA" w:rsidR="00A42743" w:rsidRPr="00BD4DAF" w:rsidRDefault="00EC68A3" w:rsidP="00B928F2">
      <w:pPr>
        <w:spacing w:line="480" w:lineRule="auto"/>
        <w:rPr>
          <w:rFonts w:ascii="Helvetica" w:eastAsia="Calibri" w:hAnsi="Helvetica" w:cs="Arial"/>
          <w:color w:val="000000" w:themeColor="text1"/>
          <w:sz w:val="22"/>
          <w:szCs w:val="22"/>
        </w:rPr>
      </w:pPr>
      <w:r w:rsidRPr="00BD4DAF">
        <w:rPr>
          <w:rFonts w:ascii="Helvetica" w:eastAsia="Calibri" w:hAnsi="Helvetica" w:cs="Arial"/>
          <w:color w:val="000000" w:themeColor="text1"/>
          <w:sz w:val="22"/>
          <w:szCs w:val="22"/>
        </w:rPr>
        <w:t>The vaccine effectiveness estimates calculated are an average over multiple SARS-CoV-2 variants. Data on specific SARS-CoV-2 isolates during PCR testing was not available. While several SARS-CoV-2 variants of concern have been identified in the UK, during the study period, the B.1.1.7 variant was the most dominant variant. This is particularly relevant as the B.1.1.7 variant has been detected in over 40 countries worldwide,</w:t>
      </w:r>
      <w:r w:rsidR="00CF7CA0">
        <w:rPr>
          <w:rFonts w:ascii="Helvetica" w:eastAsia="Calibri" w:hAnsi="Helvetica" w:cs="Arial"/>
          <w:color w:val="000000" w:themeColor="text1"/>
          <w:sz w:val="22"/>
          <w:szCs w:val="22"/>
          <w:highlight w:val="yellow"/>
          <w:vertAlign w:val="superscript"/>
        </w:rPr>
        <w:t>30</w:t>
      </w:r>
      <w:r w:rsidRPr="00BD4DAF">
        <w:rPr>
          <w:rFonts w:ascii="Helvetica" w:eastAsia="Calibri" w:hAnsi="Helvetica" w:cs="Arial"/>
          <w:color w:val="000000" w:themeColor="text1"/>
          <w:sz w:val="22"/>
          <w:szCs w:val="22"/>
        </w:rPr>
        <w:t xml:space="preserve"> and the major Phase III vaccine trials were conducted before this strain was dominant.</w:t>
      </w:r>
      <w:r w:rsidR="00CF7CA0">
        <w:rPr>
          <w:rFonts w:ascii="Helvetica" w:eastAsia="Calibri" w:hAnsi="Helvetica" w:cs="Arial"/>
          <w:color w:val="000000" w:themeColor="text1"/>
          <w:sz w:val="22"/>
          <w:szCs w:val="22"/>
          <w:highlight w:val="yellow"/>
          <w:vertAlign w:val="superscript"/>
        </w:rPr>
        <w:t>2</w:t>
      </w:r>
      <w:r w:rsidRPr="00BD4DAF">
        <w:rPr>
          <w:rFonts w:ascii="Helvetica" w:eastAsia="Calibri" w:hAnsi="Helvetica" w:cs="Arial"/>
          <w:color w:val="000000" w:themeColor="text1"/>
          <w:sz w:val="22"/>
          <w:szCs w:val="22"/>
          <w:highlight w:val="yellow"/>
          <w:vertAlign w:val="superscript"/>
        </w:rPr>
        <w:t>,</w:t>
      </w:r>
      <w:r w:rsidR="00CF7CA0">
        <w:rPr>
          <w:rFonts w:ascii="Helvetica" w:eastAsia="Calibri" w:hAnsi="Helvetica" w:cs="Arial"/>
          <w:color w:val="000000" w:themeColor="text1"/>
          <w:sz w:val="22"/>
          <w:szCs w:val="22"/>
          <w:highlight w:val="yellow"/>
          <w:vertAlign w:val="superscript"/>
        </w:rPr>
        <w:t>3</w:t>
      </w:r>
      <w:r w:rsidRPr="00BD4DAF">
        <w:rPr>
          <w:rFonts w:ascii="Helvetica" w:eastAsia="Calibri" w:hAnsi="Helvetica" w:cs="Arial"/>
          <w:color w:val="000000" w:themeColor="text1"/>
          <w:sz w:val="22"/>
          <w:szCs w:val="22"/>
        </w:rPr>
        <w:t xml:space="preserve"> Data on whether vaccine-induced immunity can protect against multiple variants are</w:t>
      </w:r>
      <w:r w:rsidR="00F706D4" w:rsidRPr="00BD4DAF">
        <w:rPr>
          <w:rFonts w:ascii="Helvetica" w:eastAsia="Calibri" w:hAnsi="Helvetica" w:cs="Arial"/>
          <w:color w:val="000000" w:themeColor="text1"/>
          <w:sz w:val="22"/>
          <w:szCs w:val="22"/>
        </w:rPr>
        <w:t xml:space="preserve"> limited. Based on preliminary </w:t>
      </w:r>
      <w:r w:rsidRPr="00BD4DAF">
        <w:rPr>
          <w:rFonts w:ascii="Helvetica" w:eastAsia="Calibri" w:hAnsi="Helvetica" w:cs="Arial"/>
          <w:color w:val="000000" w:themeColor="text1"/>
          <w:sz w:val="22"/>
          <w:szCs w:val="22"/>
        </w:rPr>
        <w:lastRenderedPageBreak/>
        <w:t>reports from efficacy trials and immunogenicity studies, COVID-19 vaccines likely retain some efficacy against multiple variants.</w:t>
      </w:r>
      <w:r w:rsidR="002B794A">
        <w:rPr>
          <w:rFonts w:ascii="Helvetica" w:eastAsia="Calibri" w:hAnsi="Helvetica" w:cs="Arial"/>
          <w:color w:val="000000" w:themeColor="text1"/>
          <w:sz w:val="22"/>
          <w:szCs w:val="22"/>
          <w:highlight w:val="yellow"/>
          <w:vertAlign w:val="superscript"/>
        </w:rPr>
        <w:t>31</w:t>
      </w:r>
      <w:r w:rsidR="00F706D4" w:rsidRPr="00BD4DAF">
        <w:rPr>
          <w:rFonts w:ascii="Helvetica" w:eastAsia="Calibri" w:hAnsi="Helvetica" w:cs="Arial"/>
          <w:color w:val="000000" w:themeColor="text1"/>
          <w:sz w:val="22"/>
          <w:szCs w:val="22"/>
          <w:highlight w:val="yellow"/>
          <w:vertAlign w:val="superscript"/>
        </w:rPr>
        <w:t>,</w:t>
      </w:r>
      <w:r w:rsidR="002B794A">
        <w:rPr>
          <w:rFonts w:ascii="Helvetica" w:eastAsia="Calibri" w:hAnsi="Helvetica" w:cs="Arial"/>
          <w:color w:val="000000" w:themeColor="text1"/>
          <w:sz w:val="22"/>
          <w:szCs w:val="22"/>
          <w:highlight w:val="yellow"/>
          <w:vertAlign w:val="superscript"/>
        </w:rPr>
        <w:t>32</w:t>
      </w:r>
      <w:r w:rsidR="003B7049" w:rsidRPr="00BD4DAF">
        <w:rPr>
          <w:rFonts w:ascii="Helvetica" w:eastAsia="Calibri" w:hAnsi="Helvetica" w:cs="Arial"/>
          <w:color w:val="000000" w:themeColor="text1"/>
          <w:sz w:val="22"/>
          <w:szCs w:val="22"/>
          <w:vertAlign w:val="superscript"/>
        </w:rPr>
        <w:t xml:space="preserve"> </w:t>
      </w:r>
      <w:r w:rsidR="003B7049" w:rsidRPr="00BD4DAF">
        <w:rPr>
          <w:rFonts w:ascii="Helvetica" w:eastAsia="Calibri" w:hAnsi="Helvetica" w:cs="Arial"/>
          <w:color w:val="000000" w:themeColor="text1"/>
          <w:sz w:val="22"/>
          <w:szCs w:val="22"/>
        </w:rPr>
        <w:t xml:space="preserve">Since the end of May 2021, infections compatible with the Delta variant have been the most common in England and in recent weeks in all four UK countries. </w:t>
      </w:r>
      <w:r w:rsidR="00D3452D" w:rsidRPr="00BD4DAF">
        <w:rPr>
          <w:rFonts w:ascii="Helvetica" w:eastAsia="Calibri" w:hAnsi="Helvetica" w:cs="Arial"/>
          <w:color w:val="000000" w:themeColor="text1"/>
          <w:sz w:val="22"/>
          <w:szCs w:val="22"/>
        </w:rPr>
        <w:t xml:space="preserve">The picture emerging from various countries does, however, suggest that the vaccines may be less </w:t>
      </w:r>
      <w:r w:rsidR="0024640D" w:rsidRPr="00BD4DAF">
        <w:rPr>
          <w:rFonts w:ascii="Helvetica" w:eastAsia="Calibri" w:hAnsi="Helvetica" w:cs="Arial"/>
          <w:color w:val="000000" w:themeColor="text1"/>
          <w:sz w:val="22"/>
          <w:szCs w:val="22"/>
        </w:rPr>
        <w:t>efficacious</w:t>
      </w:r>
      <w:r w:rsidR="00D3452D" w:rsidRPr="00BD4DAF">
        <w:rPr>
          <w:rFonts w:ascii="Helvetica" w:eastAsia="Calibri" w:hAnsi="Helvetica" w:cs="Arial"/>
          <w:color w:val="000000" w:themeColor="text1"/>
          <w:sz w:val="22"/>
          <w:szCs w:val="22"/>
        </w:rPr>
        <w:t xml:space="preserve"> against the Delta variant </w:t>
      </w:r>
      <w:r w:rsidR="0024640D" w:rsidRPr="00BD4DAF">
        <w:rPr>
          <w:rFonts w:ascii="Helvetica" w:eastAsia="Calibri" w:hAnsi="Helvetica" w:cs="Arial"/>
          <w:color w:val="000000" w:themeColor="text1"/>
          <w:sz w:val="22"/>
          <w:szCs w:val="22"/>
        </w:rPr>
        <w:t xml:space="preserve">for symptomatic infection </w:t>
      </w:r>
      <w:r w:rsidR="00D3452D" w:rsidRPr="00BD4DAF">
        <w:rPr>
          <w:rFonts w:ascii="Helvetica" w:eastAsia="Calibri" w:hAnsi="Helvetica" w:cs="Arial"/>
          <w:color w:val="000000" w:themeColor="text1"/>
          <w:sz w:val="22"/>
          <w:szCs w:val="22"/>
        </w:rPr>
        <w:t>compared with earlier forms of the virus.</w:t>
      </w:r>
      <w:r w:rsidR="002B794A">
        <w:rPr>
          <w:rFonts w:ascii="Helvetica" w:eastAsia="Calibri" w:hAnsi="Helvetica" w:cs="Arial"/>
          <w:color w:val="000000" w:themeColor="text1"/>
          <w:sz w:val="22"/>
          <w:szCs w:val="22"/>
          <w:highlight w:val="yellow"/>
          <w:vertAlign w:val="superscript"/>
        </w:rPr>
        <w:t>33,34</w:t>
      </w:r>
      <w:r w:rsidR="0024640D" w:rsidRPr="00BD4DAF">
        <w:rPr>
          <w:rFonts w:ascii="Helvetica" w:eastAsia="Calibri" w:hAnsi="Helvetica" w:cs="Arial"/>
          <w:color w:val="000000" w:themeColor="text1"/>
          <w:sz w:val="22"/>
          <w:szCs w:val="22"/>
          <w:vertAlign w:val="superscript"/>
        </w:rPr>
        <w:t xml:space="preserve"> </w:t>
      </w:r>
      <w:r w:rsidR="0024640D" w:rsidRPr="00BD4DAF">
        <w:rPr>
          <w:rFonts w:ascii="Helvetica" w:eastAsia="Calibri" w:hAnsi="Helvetica" w:cs="Arial"/>
          <w:color w:val="000000" w:themeColor="text1"/>
          <w:sz w:val="22"/>
          <w:szCs w:val="22"/>
        </w:rPr>
        <w:t>D</w:t>
      </w:r>
      <w:r w:rsidR="000E45B8" w:rsidRPr="00BD4DAF">
        <w:rPr>
          <w:rFonts w:ascii="Helvetica" w:eastAsia="Times New Roman" w:hAnsi="Helvetica"/>
          <w:color w:val="333333"/>
          <w:sz w:val="22"/>
          <w:szCs w:val="22"/>
          <w:shd w:val="clear" w:color="auto" w:fill="FFFFFF"/>
        </w:rPr>
        <w:t>espite these drops in efficacy, the Oxford-</w:t>
      </w:r>
      <w:r w:rsidR="00A42743" w:rsidRPr="00BD4DAF">
        <w:rPr>
          <w:rFonts w:ascii="Helvetica" w:eastAsia="Times New Roman" w:hAnsi="Helvetica"/>
          <w:color w:val="333333"/>
          <w:sz w:val="22"/>
          <w:szCs w:val="22"/>
          <w:shd w:val="clear" w:color="auto" w:fill="FFFFFF"/>
        </w:rPr>
        <w:t>AstraZeneca</w:t>
      </w:r>
      <w:r w:rsidR="000E45B8" w:rsidRPr="00BD4DAF">
        <w:rPr>
          <w:rFonts w:ascii="Helvetica" w:eastAsia="Times New Roman" w:hAnsi="Helvetica"/>
          <w:color w:val="333333"/>
          <w:sz w:val="22"/>
          <w:szCs w:val="22"/>
          <w:shd w:val="clear" w:color="auto" w:fill="FFFFFF"/>
        </w:rPr>
        <w:t xml:space="preserve"> </w:t>
      </w:r>
      <w:r w:rsidR="0096250A" w:rsidRPr="00BD4DAF">
        <w:rPr>
          <w:rFonts w:ascii="Helvetica" w:eastAsia="Times New Roman" w:hAnsi="Helvetica"/>
          <w:color w:val="333333"/>
          <w:sz w:val="22"/>
          <w:szCs w:val="22"/>
          <w:shd w:val="clear" w:color="auto" w:fill="FFFFFF"/>
        </w:rPr>
        <w:t>and Pfizer-</w:t>
      </w:r>
      <w:proofErr w:type="spellStart"/>
      <w:r w:rsidR="0096250A" w:rsidRPr="00BD4DAF">
        <w:rPr>
          <w:rFonts w:ascii="Helvetica" w:eastAsia="Times New Roman" w:hAnsi="Helvetica"/>
          <w:color w:val="333333"/>
          <w:sz w:val="22"/>
          <w:szCs w:val="22"/>
          <w:shd w:val="clear" w:color="auto" w:fill="FFFFFF"/>
        </w:rPr>
        <w:t>BioNTech</w:t>
      </w:r>
      <w:proofErr w:type="spellEnd"/>
      <w:r w:rsidR="0096250A" w:rsidRPr="00BD4DAF">
        <w:rPr>
          <w:rFonts w:ascii="Helvetica" w:eastAsia="Times New Roman" w:hAnsi="Helvetica"/>
          <w:color w:val="333333"/>
          <w:sz w:val="22"/>
          <w:szCs w:val="22"/>
          <w:shd w:val="clear" w:color="auto" w:fill="FFFFFF"/>
        </w:rPr>
        <w:t xml:space="preserve"> </w:t>
      </w:r>
      <w:r w:rsidR="000E45B8" w:rsidRPr="00BD4DAF">
        <w:rPr>
          <w:rFonts w:ascii="Helvetica" w:eastAsia="Times New Roman" w:hAnsi="Helvetica"/>
          <w:color w:val="333333"/>
          <w:sz w:val="22"/>
          <w:szCs w:val="22"/>
          <w:shd w:val="clear" w:color="auto" w:fill="FFFFFF"/>
        </w:rPr>
        <w:t xml:space="preserve">vaccines have been shown to </w:t>
      </w:r>
      <w:r w:rsidR="00A42743" w:rsidRPr="00BD4DAF">
        <w:rPr>
          <w:rFonts w:ascii="Helvetica" w:eastAsia="Times New Roman" w:hAnsi="Helvetica"/>
          <w:color w:val="333333"/>
          <w:sz w:val="22"/>
          <w:szCs w:val="22"/>
          <w:shd w:val="clear" w:color="auto" w:fill="FFFFFF"/>
        </w:rPr>
        <w:t>all reduce the risk of death by more than 85%, regardless of variant.</w:t>
      </w:r>
      <w:r w:rsidR="002B794A">
        <w:rPr>
          <w:rFonts w:ascii="Helvetica" w:eastAsia="Times New Roman" w:hAnsi="Helvetica"/>
          <w:color w:val="333333"/>
          <w:sz w:val="22"/>
          <w:szCs w:val="22"/>
          <w:highlight w:val="yellow"/>
          <w:shd w:val="clear" w:color="auto" w:fill="FFFFFF"/>
          <w:vertAlign w:val="superscript"/>
        </w:rPr>
        <w:t>34</w:t>
      </w:r>
      <w:r w:rsidR="0067777D" w:rsidRPr="00BD4DAF">
        <w:rPr>
          <w:rFonts w:ascii="Helvetica" w:eastAsia="Calibri" w:hAnsi="Helvetica" w:cs="Arial"/>
          <w:color w:val="000000" w:themeColor="text1"/>
          <w:sz w:val="22"/>
          <w:szCs w:val="22"/>
        </w:rPr>
        <w:t xml:space="preserve"> While reports suggest a similar level of effectiveness for severe COVID-19 infection against the Delta variant</w:t>
      </w:r>
      <w:r w:rsidR="00913CAC" w:rsidRPr="00BD4DAF">
        <w:rPr>
          <w:rFonts w:ascii="Helvetica" w:eastAsia="Calibri" w:hAnsi="Helvetica" w:cs="Arial"/>
          <w:color w:val="000000" w:themeColor="text1"/>
          <w:sz w:val="22"/>
          <w:szCs w:val="22"/>
        </w:rPr>
        <w:t xml:space="preserve"> as observed in our study</w:t>
      </w:r>
      <w:r w:rsidR="0067777D" w:rsidRPr="00BD4DAF">
        <w:rPr>
          <w:rFonts w:ascii="Helvetica" w:eastAsia="Calibri" w:hAnsi="Helvetica" w:cs="Arial"/>
          <w:color w:val="000000" w:themeColor="text1"/>
          <w:sz w:val="22"/>
          <w:szCs w:val="22"/>
        </w:rPr>
        <w:t>, f</w:t>
      </w:r>
      <w:r w:rsidR="000E45B8" w:rsidRPr="00BD4DAF">
        <w:rPr>
          <w:rFonts w:ascii="Helvetica" w:eastAsia="Calibri" w:hAnsi="Helvetica" w:cs="Arial"/>
          <w:color w:val="000000" w:themeColor="text1"/>
          <w:sz w:val="22"/>
          <w:szCs w:val="22"/>
        </w:rPr>
        <w:t xml:space="preserve">urther research </w:t>
      </w:r>
      <w:r w:rsidR="0067777D" w:rsidRPr="00BD4DAF">
        <w:rPr>
          <w:rFonts w:ascii="Helvetica" w:eastAsia="Calibri" w:hAnsi="Helvetica" w:cs="Arial"/>
          <w:color w:val="000000" w:themeColor="text1"/>
          <w:sz w:val="22"/>
          <w:szCs w:val="22"/>
        </w:rPr>
        <w:t xml:space="preserve">in the upcoming months </w:t>
      </w:r>
      <w:r w:rsidR="000E45B8" w:rsidRPr="00BD4DAF">
        <w:rPr>
          <w:rFonts w:ascii="Helvetica" w:eastAsia="Calibri" w:hAnsi="Helvetica" w:cs="Arial"/>
          <w:color w:val="000000" w:themeColor="text1"/>
          <w:sz w:val="22"/>
          <w:szCs w:val="22"/>
        </w:rPr>
        <w:t xml:space="preserve">is required to </w:t>
      </w:r>
      <w:r w:rsidR="0067777D" w:rsidRPr="00BD4DAF">
        <w:rPr>
          <w:rFonts w:ascii="Helvetica" w:eastAsia="Calibri" w:hAnsi="Helvetica" w:cs="Arial"/>
          <w:color w:val="000000" w:themeColor="text1"/>
          <w:sz w:val="22"/>
          <w:szCs w:val="22"/>
        </w:rPr>
        <w:t xml:space="preserve">assess the effect of the </w:t>
      </w:r>
      <w:r w:rsidR="0096250A" w:rsidRPr="00BD4DAF">
        <w:rPr>
          <w:rFonts w:ascii="Helvetica" w:eastAsia="Times New Roman" w:hAnsi="Helvetica"/>
          <w:color w:val="333333"/>
          <w:sz w:val="22"/>
          <w:szCs w:val="22"/>
          <w:shd w:val="clear" w:color="auto" w:fill="FFFFFF"/>
        </w:rPr>
        <w:t>Oxford-AstraZeneca and Pfizer-</w:t>
      </w:r>
      <w:proofErr w:type="spellStart"/>
      <w:r w:rsidR="0096250A" w:rsidRPr="00BD4DAF">
        <w:rPr>
          <w:rFonts w:ascii="Helvetica" w:eastAsia="Times New Roman" w:hAnsi="Helvetica"/>
          <w:color w:val="333333"/>
          <w:sz w:val="22"/>
          <w:szCs w:val="22"/>
          <w:shd w:val="clear" w:color="auto" w:fill="FFFFFF"/>
        </w:rPr>
        <w:t>BioNTech</w:t>
      </w:r>
      <w:proofErr w:type="spellEnd"/>
      <w:r w:rsidR="0096250A" w:rsidRPr="00BD4DAF">
        <w:rPr>
          <w:rFonts w:ascii="Helvetica" w:eastAsia="Times New Roman" w:hAnsi="Helvetica"/>
          <w:color w:val="333333"/>
          <w:sz w:val="22"/>
          <w:szCs w:val="22"/>
          <w:shd w:val="clear" w:color="auto" w:fill="FFFFFF"/>
        </w:rPr>
        <w:t xml:space="preserve"> </w:t>
      </w:r>
      <w:r w:rsidR="0067777D" w:rsidRPr="00BD4DAF">
        <w:rPr>
          <w:rFonts w:ascii="Helvetica" w:eastAsia="Times New Roman" w:hAnsi="Helvetica"/>
          <w:color w:val="333333"/>
          <w:sz w:val="22"/>
          <w:szCs w:val="22"/>
          <w:shd w:val="clear" w:color="auto" w:fill="FFFFFF"/>
        </w:rPr>
        <w:t>vaccines</w:t>
      </w:r>
      <w:r w:rsidR="0067777D" w:rsidRPr="00BD4DAF">
        <w:rPr>
          <w:rFonts w:ascii="Helvetica" w:eastAsia="Calibri" w:hAnsi="Helvetica" w:cs="Arial"/>
          <w:color w:val="000000" w:themeColor="text1"/>
          <w:sz w:val="22"/>
          <w:szCs w:val="22"/>
        </w:rPr>
        <w:t xml:space="preserve"> on the Delta variant.</w:t>
      </w:r>
    </w:p>
    <w:p w14:paraId="7713350F" w14:textId="77777777" w:rsidR="0005384C" w:rsidRPr="00BD4DAF" w:rsidRDefault="0005384C" w:rsidP="00B928F2">
      <w:pPr>
        <w:spacing w:line="480" w:lineRule="auto"/>
        <w:rPr>
          <w:rFonts w:ascii="Helvetica" w:eastAsia="Calibri" w:hAnsi="Helvetica" w:cs="Arial"/>
          <w:color w:val="000000" w:themeColor="text1"/>
          <w:sz w:val="22"/>
          <w:szCs w:val="22"/>
        </w:rPr>
      </w:pPr>
    </w:p>
    <w:p w14:paraId="1316A83D" w14:textId="13E7B09C" w:rsidR="004A3946" w:rsidRDefault="00A972BA" w:rsidP="004A3946">
      <w:pPr>
        <w:spacing w:line="480" w:lineRule="auto"/>
        <w:rPr>
          <w:rFonts w:ascii="Helvetica" w:eastAsia="Calibri" w:hAnsi="Helvetica" w:cs="Arial"/>
          <w:sz w:val="22"/>
          <w:szCs w:val="22"/>
        </w:rPr>
      </w:pPr>
      <w:r w:rsidRPr="00BD4DAF">
        <w:rPr>
          <w:rFonts w:ascii="Helvetica" w:eastAsia="Calibri" w:hAnsi="Helvetica" w:cs="Arial"/>
          <w:sz w:val="22"/>
          <w:szCs w:val="22"/>
        </w:rPr>
        <w:t>Neither of the vaccines are intended to be given as a single</w:t>
      </w:r>
      <w:r w:rsidR="00055C98">
        <w:rPr>
          <w:rFonts w:ascii="Helvetica" w:eastAsia="Calibri" w:hAnsi="Helvetica" w:cs="Arial"/>
          <w:sz w:val="22"/>
          <w:szCs w:val="22"/>
        </w:rPr>
        <w:t xml:space="preserve"> </w:t>
      </w:r>
      <w:r w:rsidRPr="00BD4DAF">
        <w:rPr>
          <w:rFonts w:ascii="Helvetica" w:eastAsia="Calibri" w:hAnsi="Helvetica" w:cs="Arial"/>
          <w:sz w:val="22"/>
          <w:szCs w:val="22"/>
        </w:rPr>
        <w:t>dose. Although we had a large population sample, there were insufficient number of individuals who had received the second dose of either the Oxford-AstraZeneca or Pfizer-</w:t>
      </w:r>
      <w:proofErr w:type="spellStart"/>
      <w:r w:rsidRPr="00BD4DAF">
        <w:rPr>
          <w:rFonts w:ascii="Helvetica" w:eastAsia="Calibri" w:hAnsi="Helvetica" w:cs="Arial"/>
          <w:sz w:val="22"/>
          <w:szCs w:val="22"/>
        </w:rPr>
        <w:t>BioNTech</w:t>
      </w:r>
      <w:proofErr w:type="spellEnd"/>
      <w:r w:rsidRPr="00BD4DAF">
        <w:rPr>
          <w:rFonts w:ascii="Helvetica" w:eastAsia="Calibri" w:hAnsi="Helvetica" w:cs="Arial"/>
          <w:sz w:val="22"/>
          <w:szCs w:val="22"/>
        </w:rPr>
        <w:t xml:space="preserve"> vaccines to reliably study vaccine effectivene</w:t>
      </w:r>
      <w:r w:rsidR="0010573F" w:rsidRPr="00BD4DAF">
        <w:rPr>
          <w:rFonts w:ascii="Helvetica" w:eastAsia="Calibri" w:hAnsi="Helvetica" w:cs="Arial"/>
          <w:sz w:val="22"/>
          <w:szCs w:val="22"/>
        </w:rPr>
        <w:t>ss after receiving the full two-</w:t>
      </w:r>
      <w:r w:rsidRPr="00BD4DAF">
        <w:rPr>
          <w:rFonts w:ascii="Helvetica" w:eastAsia="Calibri" w:hAnsi="Helvetica" w:cs="Arial"/>
          <w:sz w:val="22"/>
          <w:szCs w:val="22"/>
        </w:rPr>
        <w:t xml:space="preserve">dose schedule. </w:t>
      </w:r>
      <w:r w:rsidR="00E562C9">
        <w:rPr>
          <w:rFonts w:ascii="Helvetica" w:eastAsia="Calibri" w:hAnsi="Helvetica" w:cs="Arial"/>
          <w:sz w:val="22"/>
          <w:szCs w:val="22"/>
        </w:rPr>
        <w:t>A</w:t>
      </w:r>
      <w:r w:rsidRPr="00BD4DAF">
        <w:rPr>
          <w:rFonts w:ascii="Helvetica" w:eastAsia="Calibri" w:hAnsi="Helvetica" w:cs="Arial"/>
          <w:sz w:val="22"/>
          <w:szCs w:val="22"/>
        </w:rPr>
        <w:t xml:space="preserve">ssessing vaccine effectiveness of a single vaccine dose is of </w:t>
      </w:r>
      <w:r w:rsidR="0010573F" w:rsidRPr="00BD4DAF">
        <w:rPr>
          <w:rFonts w:ascii="Helvetica" w:eastAsia="Calibri" w:hAnsi="Helvetica" w:cs="Arial"/>
          <w:sz w:val="22"/>
          <w:szCs w:val="22"/>
        </w:rPr>
        <w:t xml:space="preserve">health </w:t>
      </w:r>
      <w:r w:rsidRPr="00BD4DAF">
        <w:rPr>
          <w:rFonts w:ascii="Helvetica" w:eastAsia="Calibri" w:hAnsi="Helvetica" w:cs="Arial"/>
          <w:sz w:val="22"/>
          <w:szCs w:val="22"/>
        </w:rPr>
        <w:t xml:space="preserve">policy interest worldwide given the uncertainty over whether a second dose of each vaccine should be deferred to allow more rapid coverage of the </w:t>
      </w:r>
      <w:r w:rsidR="0010573F" w:rsidRPr="00BD4DAF">
        <w:rPr>
          <w:rFonts w:ascii="Helvetica" w:eastAsia="Calibri" w:hAnsi="Helvetica" w:cs="Arial"/>
          <w:sz w:val="22"/>
          <w:szCs w:val="22"/>
        </w:rPr>
        <w:t xml:space="preserve">broader global </w:t>
      </w:r>
      <w:r w:rsidRPr="00BD4DAF">
        <w:rPr>
          <w:rFonts w:ascii="Helvetica" w:eastAsia="Calibri" w:hAnsi="Helvetica" w:cs="Arial"/>
          <w:sz w:val="22"/>
          <w:szCs w:val="22"/>
        </w:rPr>
        <w:t xml:space="preserve">population. </w:t>
      </w:r>
      <w:r w:rsidR="0047646C">
        <w:rPr>
          <w:rFonts w:ascii="Helvetica" w:eastAsia="Calibri" w:hAnsi="Helvetica" w:cs="Arial"/>
          <w:sz w:val="22"/>
          <w:szCs w:val="22"/>
        </w:rPr>
        <w:t>While s</w:t>
      </w:r>
      <w:r w:rsidR="0047646C" w:rsidRPr="00391363">
        <w:rPr>
          <w:rFonts w:ascii="Helvetica" w:eastAsia="Calibri" w:hAnsi="Helvetica" w:cs="Arial"/>
          <w:sz w:val="22"/>
          <w:szCs w:val="22"/>
        </w:rPr>
        <w:t>uccessful immunisation programmes generally result from high vaccine effectiveness</w:t>
      </w:r>
      <w:r w:rsidR="0047646C">
        <w:rPr>
          <w:rFonts w:ascii="Helvetica" w:eastAsia="Calibri" w:hAnsi="Helvetica" w:cs="Arial"/>
          <w:sz w:val="22"/>
          <w:szCs w:val="22"/>
        </w:rPr>
        <w:t xml:space="preserve"> with full dosage, fractional dosing with a </w:t>
      </w:r>
      <w:r w:rsidR="00634B9B">
        <w:rPr>
          <w:rFonts w:ascii="Helvetica" w:eastAsia="Calibri" w:hAnsi="Helvetica" w:cs="Arial"/>
          <w:sz w:val="22"/>
          <w:szCs w:val="22"/>
        </w:rPr>
        <w:t>single dose</w:t>
      </w:r>
      <w:r w:rsidR="0047646C">
        <w:rPr>
          <w:rFonts w:ascii="Helvetica" w:eastAsia="Calibri" w:hAnsi="Helvetica" w:cs="Arial"/>
          <w:sz w:val="22"/>
          <w:szCs w:val="22"/>
        </w:rPr>
        <w:t xml:space="preserve"> may be relevant in </w:t>
      </w:r>
      <w:r w:rsidR="0047646C" w:rsidRPr="00CE506A">
        <w:rPr>
          <w:rFonts w:ascii="Helvetica" w:eastAsia="Calibri" w:hAnsi="Helvetica" w:cs="Arial"/>
          <w:sz w:val="22"/>
          <w:szCs w:val="22"/>
        </w:rPr>
        <w:t xml:space="preserve">populations </w:t>
      </w:r>
      <w:r w:rsidR="0047646C">
        <w:rPr>
          <w:rFonts w:ascii="Helvetica" w:eastAsia="Calibri" w:hAnsi="Helvetica" w:cs="Arial"/>
          <w:sz w:val="22"/>
          <w:szCs w:val="22"/>
        </w:rPr>
        <w:t xml:space="preserve">that </w:t>
      </w:r>
      <w:r w:rsidR="0047646C" w:rsidRPr="00CE506A">
        <w:rPr>
          <w:rFonts w:ascii="Helvetica" w:eastAsia="Calibri" w:hAnsi="Helvetica" w:cs="Arial"/>
          <w:sz w:val="22"/>
          <w:szCs w:val="22"/>
        </w:rPr>
        <w:t xml:space="preserve">are difficult to reach, or </w:t>
      </w:r>
      <w:r w:rsidR="0047646C">
        <w:rPr>
          <w:rFonts w:ascii="Helvetica" w:eastAsia="Calibri" w:hAnsi="Helvetica" w:cs="Arial"/>
          <w:sz w:val="22"/>
          <w:szCs w:val="22"/>
        </w:rPr>
        <w:t xml:space="preserve">where </w:t>
      </w:r>
      <w:r w:rsidR="0047646C" w:rsidRPr="00CE506A">
        <w:rPr>
          <w:rFonts w:ascii="Helvetica" w:eastAsia="Calibri" w:hAnsi="Helvetica" w:cs="Arial"/>
          <w:sz w:val="22"/>
          <w:szCs w:val="22"/>
        </w:rPr>
        <w:t>background</w:t>
      </w:r>
      <w:r w:rsidR="0047646C">
        <w:rPr>
          <w:rFonts w:ascii="Helvetica" w:eastAsia="Calibri" w:hAnsi="Helvetica" w:cs="Arial"/>
          <w:sz w:val="22"/>
          <w:szCs w:val="22"/>
        </w:rPr>
        <w:t xml:space="preserve"> </w:t>
      </w:r>
      <w:proofErr w:type="spellStart"/>
      <w:r w:rsidR="0047646C">
        <w:rPr>
          <w:rFonts w:ascii="Helvetica" w:eastAsia="Calibri" w:hAnsi="Helvetica" w:cs="Arial"/>
          <w:sz w:val="22"/>
          <w:szCs w:val="22"/>
        </w:rPr>
        <w:t>seroprevalence</w:t>
      </w:r>
      <w:proofErr w:type="spellEnd"/>
      <w:r w:rsidR="0047646C">
        <w:rPr>
          <w:rFonts w:ascii="Helvetica" w:eastAsia="Calibri" w:hAnsi="Helvetica" w:cs="Arial"/>
          <w:sz w:val="22"/>
          <w:szCs w:val="22"/>
        </w:rPr>
        <w:t xml:space="preserve"> rates are high.</w:t>
      </w:r>
    </w:p>
    <w:p w14:paraId="20131922" w14:textId="77777777" w:rsidR="00017B0A" w:rsidRDefault="00017B0A" w:rsidP="00B928F2">
      <w:pPr>
        <w:spacing w:line="480" w:lineRule="auto"/>
        <w:rPr>
          <w:rFonts w:ascii="Helvetica" w:eastAsia="Calibri" w:hAnsi="Helvetica" w:cs="Arial"/>
          <w:b/>
          <w:bCs/>
          <w:sz w:val="26"/>
          <w:szCs w:val="26"/>
        </w:rPr>
      </w:pPr>
    </w:p>
    <w:p w14:paraId="34796188" w14:textId="26AB1165" w:rsidR="00FF5305" w:rsidRPr="00C46A9D" w:rsidRDefault="0028639B" w:rsidP="00B928F2">
      <w:pPr>
        <w:spacing w:line="480" w:lineRule="auto"/>
        <w:rPr>
          <w:rFonts w:ascii="Helvetica" w:eastAsia="Calibri" w:hAnsi="Helvetica" w:cs="Arial"/>
          <w:sz w:val="22"/>
          <w:szCs w:val="22"/>
        </w:rPr>
      </w:pPr>
      <w:r w:rsidRPr="00BD4DAF">
        <w:rPr>
          <w:rFonts w:ascii="Helvetica" w:eastAsia="Calibri" w:hAnsi="Helvetica" w:cs="Arial"/>
          <w:sz w:val="22"/>
          <w:szCs w:val="22"/>
        </w:rPr>
        <w:t>While the Oxford-AstraZen</w:t>
      </w:r>
      <w:r w:rsidR="00045E42" w:rsidRPr="00BD4DAF">
        <w:rPr>
          <w:rFonts w:ascii="Helvetica" w:eastAsia="Calibri" w:hAnsi="Helvetica" w:cs="Arial"/>
          <w:sz w:val="22"/>
          <w:szCs w:val="22"/>
        </w:rPr>
        <w:t>eca and Pfizer-</w:t>
      </w:r>
      <w:proofErr w:type="spellStart"/>
      <w:r w:rsidR="00045E42" w:rsidRPr="00BD4DAF">
        <w:rPr>
          <w:rFonts w:ascii="Helvetica" w:eastAsia="Calibri" w:hAnsi="Helvetica" w:cs="Arial"/>
          <w:sz w:val="22"/>
          <w:szCs w:val="22"/>
        </w:rPr>
        <w:t>BioNTech</w:t>
      </w:r>
      <w:proofErr w:type="spellEnd"/>
      <w:r w:rsidR="00045E42" w:rsidRPr="00BD4DAF">
        <w:rPr>
          <w:rFonts w:ascii="Helvetica" w:eastAsia="Calibri" w:hAnsi="Helvetica" w:cs="Arial"/>
          <w:sz w:val="22"/>
          <w:szCs w:val="22"/>
        </w:rPr>
        <w:t xml:space="preserve"> vaccine</w:t>
      </w:r>
      <w:r w:rsidRPr="00BD4DAF">
        <w:rPr>
          <w:rFonts w:ascii="Helvetica" w:eastAsia="Calibri" w:hAnsi="Helvetica" w:cs="Arial"/>
          <w:sz w:val="22"/>
          <w:szCs w:val="22"/>
        </w:rPr>
        <w:t xml:space="preserve"> as a single dose </w:t>
      </w:r>
      <w:r w:rsidR="00EA6CD6" w:rsidRPr="00BD4DAF">
        <w:rPr>
          <w:rFonts w:ascii="Helvetica" w:eastAsia="Calibri" w:hAnsi="Helvetica" w:cs="Arial"/>
          <w:sz w:val="22"/>
          <w:szCs w:val="22"/>
        </w:rPr>
        <w:t>was</w:t>
      </w:r>
      <w:r w:rsidRPr="00BD4DAF">
        <w:rPr>
          <w:rFonts w:ascii="Helvetica" w:eastAsia="Calibri" w:hAnsi="Helvetica" w:cs="Arial"/>
          <w:sz w:val="22"/>
          <w:szCs w:val="22"/>
        </w:rPr>
        <w:t xml:space="preserve"> associated with a relatively low reduction in the rate of SARS-CoV-2 infection at 3 months, there was significant effect modification by age, with higher effectiveness seen with older </w:t>
      </w:r>
      <w:r w:rsidRPr="00BD4DAF">
        <w:rPr>
          <w:rFonts w:ascii="Helvetica" w:eastAsia="Calibri" w:hAnsi="Helvetica" w:cs="Arial"/>
          <w:sz w:val="22"/>
          <w:szCs w:val="22"/>
        </w:rPr>
        <w:lastRenderedPageBreak/>
        <w:t xml:space="preserve">adults. </w:t>
      </w:r>
      <w:r w:rsidR="00045E42" w:rsidRPr="00BD4DAF">
        <w:rPr>
          <w:rFonts w:ascii="Helvetica" w:eastAsia="Calibri" w:hAnsi="Helvetica" w:cs="Arial"/>
          <w:sz w:val="22"/>
          <w:szCs w:val="22"/>
        </w:rPr>
        <w:t xml:space="preserve">A single dose of either vaccine was more effective for preventing more serious outcomes across all ages. </w:t>
      </w:r>
      <w:r w:rsidRPr="00BD4DAF">
        <w:rPr>
          <w:rFonts w:ascii="Helvetica" w:eastAsia="Calibri" w:hAnsi="Helvetica" w:cs="Arial"/>
          <w:sz w:val="22"/>
          <w:szCs w:val="22"/>
        </w:rPr>
        <w:t>No difference in effectiveness after a single dose was observed between the vaccines</w:t>
      </w:r>
      <w:r w:rsidR="00404FBC" w:rsidRPr="00BD4DAF">
        <w:rPr>
          <w:rFonts w:ascii="Helvetica" w:eastAsia="Calibri" w:hAnsi="Helvetica" w:cs="Arial"/>
          <w:sz w:val="22"/>
          <w:szCs w:val="22"/>
        </w:rPr>
        <w:t xml:space="preserve"> at 3 </w:t>
      </w:r>
      <w:proofErr w:type="gramStart"/>
      <w:r w:rsidR="00404FBC" w:rsidRPr="00BD4DAF">
        <w:rPr>
          <w:rFonts w:ascii="Helvetica" w:eastAsia="Calibri" w:hAnsi="Helvetica" w:cs="Arial"/>
          <w:sz w:val="22"/>
          <w:szCs w:val="22"/>
        </w:rPr>
        <w:t>months</w:t>
      </w:r>
      <w:proofErr w:type="gramEnd"/>
      <w:r w:rsidR="00404FBC" w:rsidRPr="00BD4DAF">
        <w:rPr>
          <w:rFonts w:ascii="Helvetica" w:eastAsia="Calibri" w:hAnsi="Helvetica" w:cs="Arial"/>
          <w:sz w:val="22"/>
          <w:szCs w:val="22"/>
        </w:rPr>
        <w:t xml:space="preserve"> follow-up</w:t>
      </w:r>
      <w:r w:rsidRPr="00BD4DAF">
        <w:rPr>
          <w:rFonts w:ascii="Helvetica" w:eastAsia="Calibri" w:hAnsi="Helvetica" w:cs="Arial"/>
          <w:sz w:val="22"/>
          <w:szCs w:val="22"/>
        </w:rPr>
        <w:t>. Our results provide an important metric for health system planning especially in low- and middle-income countries. </w:t>
      </w:r>
      <w:r w:rsidRPr="00BD4DAF">
        <w:rPr>
          <w:rFonts w:ascii="Helvetica" w:eastAsia="Calibri" w:hAnsi="Helvetica" w:cs="Arial"/>
          <w:sz w:val="22"/>
          <w:szCs w:val="22"/>
          <w:lang w:val="en-US"/>
        </w:rPr>
        <w:t> </w:t>
      </w:r>
    </w:p>
    <w:p w14:paraId="1DA3ABF8" w14:textId="77777777" w:rsidR="00C46A9D" w:rsidRDefault="00C46A9D" w:rsidP="00B928F2">
      <w:pPr>
        <w:spacing w:line="480" w:lineRule="auto"/>
        <w:rPr>
          <w:rFonts w:ascii="Helvetica" w:hAnsi="Helvetica" w:cstheme="minorHAnsi"/>
          <w:b/>
          <w:sz w:val="22"/>
          <w:szCs w:val="22"/>
        </w:rPr>
      </w:pPr>
    </w:p>
    <w:p w14:paraId="6DC53B10" w14:textId="77777777" w:rsidR="00691BF2" w:rsidRDefault="00691BF2" w:rsidP="00B928F2">
      <w:pPr>
        <w:spacing w:line="480" w:lineRule="auto"/>
        <w:rPr>
          <w:rFonts w:ascii="Helvetica" w:hAnsi="Helvetica" w:cstheme="minorHAnsi"/>
          <w:b/>
          <w:sz w:val="22"/>
          <w:szCs w:val="22"/>
        </w:rPr>
      </w:pPr>
      <w:r w:rsidRPr="00691BF2">
        <w:rPr>
          <w:rFonts w:ascii="Helvetica" w:hAnsi="Helvetica" w:cstheme="minorHAnsi"/>
          <w:b/>
          <w:sz w:val="22"/>
          <w:szCs w:val="22"/>
        </w:rPr>
        <w:t>Contributors</w:t>
      </w:r>
    </w:p>
    <w:p w14:paraId="1362E402" w14:textId="63291950" w:rsidR="00691BF2" w:rsidRPr="00FF5305" w:rsidRDefault="00691BF2" w:rsidP="00B928F2">
      <w:pPr>
        <w:spacing w:line="480" w:lineRule="auto"/>
        <w:rPr>
          <w:rFonts w:ascii="Helvetica" w:hAnsi="Helvetica" w:cstheme="minorHAnsi"/>
          <w:b/>
          <w:sz w:val="22"/>
          <w:szCs w:val="22"/>
        </w:rPr>
      </w:pPr>
      <w:r w:rsidRPr="00691BF2">
        <w:rPr>
          <w:rFonts w:ascii="Helvetica" w:hAnsi="Helvetica" w:cstheme="minorHAnsi"/>
          <w:sz w:val="22"/>
          <w:szCs w:val="22"/>
        </w:rPr>
        <w:t xml:space="preserve">AK, </w:t>
      </w:r>
      <w:r>
        <w:rPr>
          <w:rFonts w:ascii="Helvetica" w:hAnsi="Helvetica" w:cstheme="minorHAnsi"/>
          <w:sz w:val="22"/>
          <w:szCs w:val="22"/>
        </w:rPr>
        <w:t xml:space="preserve">AT, </w:t>
      </w:r>
      <w:r w:rsidRPr="00691BF2">
        <w:rPr>
          <w:rFonts w:ascii="Helvetica" w:hAnsi="Helvetica" w:cstheme="minorHAnsi"/>
          <w:sz w:val="22"/>
          <w:szCs w:val="22"/>
        </w:rPr>
        <w:t xml:space="preserve">UB, BG, EM and JM conceived the hypothesis. AK and </w:t>
      </w:r>
      <w:r>
        <w:rPr>
          <w:rFonts w:ascii="Helvetica" w:hAnsi="Helvetica" w:cstheme="minorHAnsi"/>
          <w:sz w:val="22"/>
          <w:szCs w:val="22"/>
        </w:rPr>
        <w:t>AT</w:t>
      </w:r>
      <w:r w:rsidRPr="00691BF2">
        <w:rPr>
          <w:rFonts w:ascii="Helvetica" w:hAnsi="Helvetica" w:cstheme="minorHAnsi"/>
          <w:sz w:val="22"/>
          <w:szCs w:val="22"/>
        </w:rPr>
        <w:t xml:space="preserve"> wrote the study protocol. BG, AM, LM, and AK carried out the programming to extract the </w:t>
      </w:r>
      <w:r w:rsidR="0092781B">
        <w:rPr>
          <w:rFonts w:ascii="Helvetica" w:hAnsi="Helvetica" w:cstheme="minorHAnsi"/>
          <w:sz w:val="22"/>
          <w:szCs w:val="22"/>
        </w:rPr>
        <w:t xml:space="preserve">data and curate the dataset. AK, AT and AM </w:t>
      </w:r>
      <w:r w:rsidR="00821B4A">
        <w:rPr>
          <w:rFonts w:ascii="Helvetica" w:hAnsi="Helvetica" w:cstheme="minorHAnsi"/>
          <w:sz w:val="22"/>
          <w:szCs w:val="22"/>
        </w:rPr>
        <w:t xml:space="preserve">had access to and </w:t>
      </w:r>
      <w:r w:rsidR="008A0A62">
        <w:rPr>
          <w:rFonts w:ascii="Helvetica" w:hAnsi="Helvetica" w:cstheme="minorHAnsi"/>
          <w:sz w:val="22"/>
          <w:szCs w:val="22"/>
        </w:rPr>
        <w:t xml:space="preserve">verified </w:t>
      </w:r>
      <w:r w:rsidR="0092781B">
        <w:rPr>
          <w:rFonts w:ascii="Helvetica" w:hAnsi="Helvetica" w:cstheme="minorHAnsi"/>
          <w:sz w:val="22"/>
          <w:szCs w:val="22"/>
        </w:rPr>
        <w:t xml:space="preserve">the dataset. AK, </w:t>
      </w:r>
      <w:r>
        <w:rPr>
          <w:rFonts w:ascii="Helvetica" w:hAnsi="Helvetica" w:cstheme="minorHAnsi"/>
          <w:sz w:val="22"/>
          <w:szCs w:val="22"/>
        </w:rPr>
        <w:t>AT</w:t>
      </w:r>
      <w:r w:rsidR="0092781B">
        <w:rPr>
          <w:rFonts w:ascii="Helvetica" w:hAnsi="Helvetica" w:cstheme="minorHAnsi"/>
          <w:sz w:val="22"/>
          <w:szCs w:val="22"/>
        </w:rPr>
        <w:t xml:space="preserve"> and AS</w:t>
      </w:r>
      <w:r w:rsidRPr="00691BF2">
        <w:rPr>
          <w:rFonts w:ascii="Helvetica" w:hAnsi="Helvetica" w:cstheme="minorHAnsi"/>
          <w:sz w:val="22"/>
          <w:szCs w:val="22"/>
        </w:rPr>
        <w:t xml:space="preserve"> u</w:t>
      </w:r>
      <w:r>
        <w:rPr>
          <w:rFonts w:ascii="Helvetica" w:hAnsi="Helvetica" w:cstheme="minorHAnsi"/>
          <w:sz w:val="22"/>
          <w:szCs w:val="22"/>
        </w:rPr>
        <w:t xml:space="preserve">ndertook all data analyses. AK </w:t>
      </w:r>
      <w:r w:rsidRPr="00691BF2">
        <w:rPr>
          <w:rFonts w:ascii="Helvetica" w:hAnsi="Helvetica" w:cstheme="minorHAnsi"/>
          <w:sz w:val="22"/>
          <w:szCs w:val="22"/>
        </w:rPr>
        <w:t xml:space="preserve">drafted the manuscript and revised it in response to reviewer comments. </w:t>
      </w:r>
      <w:r>
        <w:rPr>
          <w:rFonts w:ascii="Helvetica" w:hAnsi="Helvetica" w:cstheme="minorHAnsi"/>
          <w:sz w:val="22"/>
          <w:szCs w:val="22"/>
        </w:rPr>
        <w:t>AT,</w:t>
      </w:r>
      <w:r w:rsidR="0092781B">
        <w:rPr>
          <w:rFonts w:ascii="Helvetica" w:hAnsi="Helvetica" w:cstheme="minorHAnsi"/>
          <w:sz w:val="22"/>
          <w:szCs w:val="22"/>
        </w:rPr>
        <w:t xml:space="preserve"> AS,</w:t>
      </w:r>
      <w:r>
        <w:rPr>
          <w:rFonts w:ascii="Helvetica" w:hAnsi="Helvetica" w:cstheme="minorHAnsi"/>
          <w:sz w:val="22"/>
          <w:szCs w:val="22"/>
        </w:rPr>
        <w:t xml:space="preserve"> </w:t>
      </w:r>
      <w:r w:rsidRPr="00691BF2">
        <w:rPr>
          <w:rFonts w:ascii="Helvetica" w:hAnsi="Helvetica" w:cstheme="minorHAnsi"/>
          <w:sz w:val="22"/>
          <w:szCs w:val="22"/>
        </w:rPr>
        <w:t>BG, AM,</w:t>
      </w:r>
      <w:r>
        <w:rPr>
          <w:rFonts w:ascii="Helvetica" w:hAnsi="Helvetica" w:cstheme="minorHAnsi"/>
          <w:sz w:val="22"/>
          <w:szCs w:val="22"/>
        </w:rPr>
        <w:t xml:space="preserve"> LM, SG, SB, PA, TS, IG, JR, KS, </w:t>
      </w:r>
      <w:r w:rsidRPr="00691BF2">
        <w:rPr>
          <w:rFonts w:ascii="Helvetica" w:hAnsi="Helvetica" w:cstheme="minorHAnsi"/>
          <w:sz w:val="22"/>
          <w:szCs w:val="22"/>
        </w:rPr>
        <w:t>EM</w:t>
      </w:r>
      <w:r>
        <w:rPr>
          <w:rFonts w:ascii="Helvetica" w:hAnsi="Helvetica" w:cstheme="minorHAnsi"/>
          <w:sz w:val="22"/>
          <w:szCs w:val="22"/>
        </w:rPr>
        <w:t xml:space="preserve"> and JM</w:t>
      </w:r>
      <w:r w:rsidRPr="00691BF2">
        <w:rPr>
          <w:rFonts w:ascii="Helvetica" w:hAnsi="Helvetica" w:cstheme="minorHAnsi"/>
          <w:sz w:val="22"/>
          <w:szCs w:val="22"/>
        </w:rPr>
        <w:t xml:space="preserve"> provided a critical review of the manuscript. All authors read and approved the final version of the manuscript. AK is </w:t>
      </w:r>
      <w:r w:rsidR="00102558">
        <w:rPr>
          <w:rFonts w:ascii="Helvetica" w:hAnsi="Helvetica" w:cstheme="minorHAnsi"/>
          <w:sz w:val="22"/>
          <w:szCs w:val="22"/>
        </w:rPr>
        <w:t xml:space="preserve">the </w:t>
      </w:r>
      <w:r w:rsidRPr="00691BF2">
        <w:rPr>
          <w:rFonts w:ascii="Helvetica" w:hAnsi="Helvetica" w:cstheme="minorHAnsi"/>
          <w:sz w:val="22"/>
          <w:szCs w:val="22"/>
        </w:rPr>
        <w:t>guarantor for this paper. The corresponding author</w:t>
      </w:r>
      <w:r>
        <w:rPr>
          <w:rFonts w:ascii="Helvetica" w:hAnsi="Helvetica" w:cstheme="minorHAnsi"/>
          <w:sz w:val="22"/>
          <w:szCs w:val="22"/>
        </w:rPr>
        <w:t>,</w:t>
      </w:r>
      <w:r w:rsidRPr="00691BF2">
        <w:rPr>
          <w:rFonts w:ascii="Helvetica" w:hAnsi="Helvetica" w:cstheme="minorHAnsi"/>
          <w:sz w:val="22"/>
          <w:szCs w:val="22"/>
        </w:rPr>
        <w:t xml:space="preserve"> AK</w:t>
      </w:r>
      <w:r>
        <w:rPr>
          <w:rFonts w:ascii="Helvetica" w:hAnsi="Helvetica" w:cstheme="minorHAnsi"/>
          <w:sz w:val="22"/>
          <w:szCs w:val="22"/>
        </w:rPr>
        <w:t>,</w:t>
      </w:r>
      <w:r w:rsidRPr="00691BF2">
        <w:rPr>
          <w:rFonts w:ascii="Helvetica" w:hAnsi="Helvetica" w:cstheme="minorHAnsi"/>
          <w:sz w:val="22"/>
          <w:szCs w:val="22"/>
        </w:rPr>
        <w:t xml:space="preserve"> attests that all listed authors meet </w:t>
      </w:r>
      <w:r w:rsidR="00554FBD">
        <w:rPr>
          <w:rFonts w:ascii="Helvetica" w:hAnsi="Helvetica" w:cstheme="minorHAnsi"/>
          <w:sz w:val="22"/>
          <w:szCs w:val="22"/>
        </w:rPr>
        <w:t xml:space="preserve">the </w:t>
      </w:r>
      <w:r w:rsidRPr="00691BF2">
        <w:rPr>
          <w:rFonts w:ascii="Helvetica" w:hAnsi="Helvetica" w:cstheme="minorHAnsi"/>
          <w:sz w:val="22"/>
          <w:szCs w:val="22"/>
        </w:rPr>
        <w:t>authorship criteria and that no others meeting the criteria have been omitted, had full access to all the data in the study, and had final responsibility for the decision to submit for publication.</w:t>
      </w:r>
    </w:p>
    <w:p w14:paraId="462BBE25" w14:textId="77777777" w:rsidR="00693738" w:rsidRDefault="00693738" w:rsidP="00B928F2">
      <w:pPr>
        <w:spacing w:line="480" w:lineRule="auto"/>
        <w:rPr>
          <w:rFonts w:ascii="Helvetica" w:hAnsi="Helvetica" w:cstheme="minorHAnsi"/>
          <w:sz w:val="22"/>
          <w:szCs w:val="22"/>
          <w:lang w:val="en-US"/>
        </w:rPr>
      </w:pPr>
    </w:p>
    <w:p w14:paraId="00F447D2" w14:textId="77777777" w:rsidR="00821B4A" w:rsidRPr="00FF5305" w:rsidRDefault="00821B4A" w:rsidP="00821B4A">
      <w:pPr>
        <w:spacing w:line="480" w:lineRule="auto"/>
        <w:rPr>
          <w:rFonts w:ascii="Helvetica" w:hAnsi="Helvetica" w:cstheme="minorHAnsi"/>
          <w:b/>
          <w:bCs/>
          <w:sz w:val="22"/>
          <w:szCs w:val="22"/>
        </w:rPr>
      </w:pPr>
      <w:r w:rsidRPr="00FF5305">
        <w:rPr>
          <w:rFonts w:ascii="Helvetica" w:hAnsi="Helvetica" w:cstheme="minorHAnsi"/>
          <w:b/>
          <w:sz w:val="22"/>
          <w:szCs w:val="22"/>
        </w:rPr>
        <w:t xml:space="preserve">Declaration of interests </w:t>
      </w:r>
    </w:p>
    <w:p w14:paraId="20286333" w14:textId="47070648" w:rsidR="001D6F1E" w:rsidRPr="001D6F1E" w:rsidRDefault="000605A9" w:rsidP="001D6F1E">
      <w:pPr>
        <w:spacing w:line="480" w:lineRule="auto"/>
        <w:rPr>
          <w:rFonts w:ascii="Helvetica" w:hAnsi="Helvetica" w:cstheme="minorHAnsi"/>
          <w:sz w:val="22"/>
          <w:szCs w:val="22"/>
        </w:rPr>
      </w:pPr>
      <w:r w:rsidRPr="00FF5305">
        <w:rPr>
          <w:rFonts w:ascii="Helvetica" w:hAnsi="Helvetica" w:cstheme="minorHAnsi"/>
          <w:sz w:val="22"/>
          <w:szCs w:val="22"/>
        </w:rPr>
        <w:t xml:space="preserve">This research was enabled by the </w:t>
      </w:r>
      <w:proofErr w:type="spellStart"/>
      <w:r w:rsidRPr="00FF5305">
        <w:rPr>
          <w:rFonts w:ascii="Helvetica" w:hAnsi="Helvetica" w:cstheme="minorHAnsi"/>
          <w:sz w:val="22"/>
          <w:szCs w:val="22"/>
        </w:rPr>
        <w:t>iCARE</w:t>
      </w:r>
      <w:proofErr w:type="spellEnd"/>
      <w:r>
        <w:rPr>
          <w:rFonts w:ascii="Helvetica" w:hAnsi="Helvetica" w:cstheme="minorHAnsi"/>
          <w:sz w:val="22"/>
          <w:szCs w:val="22"/>
        </w:rPr>
        <w:t xml:space="preserve"> environment</w:t>
      </w:r>
      <w:r w:rsidRPr="00FF5305">
        <w:rPr>
          <w:rFonts w:ascii="Helvetica" w:hAnsi="Helvetica" w:cstheme="minorHAnsi"/>
          <w:sz w:val="22"/>
          <w:szCs w:val="22"/>
        </w:rPr>
        <w:t xml:space="preserve"> </w:t>
      </w:r>
      <w:r>
        <w:rPr>
          <w:rFonts w:ascii="Helvetica" w:hAnsi="Helvetica" w:cstheme="minorHAnsi"/>
          <w:sz w:val="22"/>
          <w:szCs w:val="22"/>
        </w:rPr>
        <w:t>and</w:t>
      </w:r>
      <w:r w:rsidRPr="00FF5305">
        <w:rPr>
          <w:rFonts w:ascii="Helvetica" w:hAnsi="Helvetica" w:cstheme="minorHAnsi"/>
          <w:sz w:val="22"/>
          <w:szCs w:val="22"/>
        </w:rPr>
        <w:t xml:space="preserve"> WSIC </w:t>
      </w:r>
      <w:r>
        <w:rPr>
          <w:rFonts w:ascii="Helvetica" w:hAnsi="Helvetica" w:cstheme="minorHAnsi"/>
          <w:sz w:val="22"/>
          <w:szCs w:val="22"/>
        </w:rPr>
        <w:t xml:space="preserve">data resource </w:t>
      </w:r>
      <w:r w:rsidRPr="00FF5305">
        <w:rPr>
          <w:rFonts w:ascii="Helvetica" w:hAnsi="Helvetica" w:cstheme="minorHAnsi"/>
          <w:sz w:val="22"/>
          <w:szCs w:val="22"/>
        </w:rPr>
        <w:t>team</w:t>
      </w:r>
      <w:r>
        <w:rPr>
          <w:rFonts w:ascii="Helvetica" w:hAnsi="Helvetica" w:cstheme="minorHAnsi"/>
          <w:sz w:val="22"/>
          <w:szCs w:val="22"/>
        </w:rPr>
        <w:t xml:space="preserve"> </w:t>
      </w:r>
      <w:r w:rsidRPr="00FF5305">
        <w:rPr>
          <w:rFonts w:ascii="Helvetica" w:hAnsi="Helvetica" w:cstheme="minorHAnsi"/>
          <w:sz w:val="22"/>
          <w:szCs w:val="22"/>
        </w:rPr>
        <w:t>(https://imperialbrc.nihr.ac.uk/facilities/icare/). The research was supported by the National Institute for Health Research (NIHR) Imperial Biomedical Research Centre (BRC), t</w:t>
      </w:r>
      <w:r>
        <w:rPr>
          <w:rFonts w:ascii="Helvetica" w:hAnsi="Helvetica" w:cstheme="minorHAnsi"/>
          <w:sz w:val="22"/>
          <w:szCs w:val="22"/>
        </w:rPr>
        <w:t>he NIHR</w:t>
      </w:r>
      <w:r w:rsidRPr="00FF5305">
        <w:rPr>
          <w:rFonts w:ascii="Helvetica" w:hAnsi="Helvetica" w:cstheme="minorHAnsi"/>
          <w:sz w:val="22"/>
          <w:szCs w:val="22"/>
        </w:rPr>
        <w:t xml:space="preserve"> Imperial Patient Safety Translational Research Centre and the NW</w:t>
      </w:r>
      <w:r>
        <w:rPr>
          <w:rFonts w:ascii="Helvetica" w:hAnsi="Helvetica" w:cstheme="minorHAnsi"/>
          <w:sz w:val="22"/>
          <w:szCs w:val="22"/>
        </w:rPr>
        <w:t xml:space="preserve">L </w:t>
      </w:r>
      <w:r w:rsidRPr="00FF5305">
        <w:rPr>
          <w:rFonts w:ascii="Helvetica" w:hAnsi="Helvetica" w:cstheme="minorHAnsi"/>
          <w:sz w:val="22"/>
          <w:szCs w:val="22"/>
        </w:rPr>
        <w:t xml:space="preserve">NIHR Applied Research Collaboration. AK is funded by a British Heart Foundation clinical research training fellowship (FS/20/18/34972). </w:t>
      </w:r>
      <w:r w:rsidRPr="00821B4A">
        <w:rPr>
          <w:rFonts w:ascii="Helvetica" w:hAnsi="Helvetica" w:cstheme="minorHAnsi"/>
          <w:sz w:val="22"/>
          <w:szCs w:val="22"/>
        </w:rPr>
        <w:t xml:space="preserve">AT </w:t>
      </w:r>
      <w:r>
        <w:rPr>
          <w:rFonts w:ascii="Helvetica" w:hAnsi="Helvetica" w:cstheme="minorHAnsi"/>
          <w:sz w:val="22"/>
          <w:szCs w:val="22"/>
        </w:rPr>
        <w:t xml:space="preserve">is funded by </w:t>
      </w:r>
      <w:r w:rsidRPr="00821B4A">
        <w:rPr>
          <w:rFonts w:ascii="Helvetica" w:hAnsi="Helvetica" w:cstheme="minorHAnsi"/>
          <w:sz w:val="22"/>
          <w:szCs w:val="22"/>
        </w:rPr>
        <w:t xml:space="preserve">a Sir Henry </w:t>
      </w:r>
      <w:proofErr w:type="spellStart"/>
      <w:r w:rsidRPr="00821B4A">
        <w:rPr>
          <w:rFonts w:ascii="Helvetica" w:hAnsi="Helvetica" w:cstheme="minorHAnsi"/>
          <w:sz w:val="22"/>
          <w:szCs w:val="22"/>
        </w:rPr>
        <w:t>Wellcome</w:t>
      </w:r>
      <w:proofErr w:type="spellEnd"/>
      <w:r w:rsidRPr="00821B4A">
        <w:rPr>
          <w:rFonts w:ascii="Helvetica" w:hAnsi="Helvetica" w:cstheme="minorHAnsi"/>
          <w:sz w:val="22"/>
          <w:szCs w:val="22"/>
        </w:rPr>
        <w:t xml:space="preserve"> Postdoctoral Fellowship (222770/Z/21/Z).</w:t>
      </w:r>
      <w:r>
        <w:rPr>
          <w:rFonts w:ascii="Helvetica" w:hAnsi="Helvetica" w:cstheme="minorHAnsi"/>
          <w:sz w:val="22"/>
          <w:szCs w:val="22"/>
        </w:rPr>
        <w:t xml:space="preserve"> </w:t>
      </w:r>
      <w:r w:rsidRPr="00FF5305">
        <w:rPr>
          <w:rFonts w:ascii="Helvetica" w:hAnsi="Helvetica" w:cstheme="minorHAnsi"/>
          <w:sz w:val="22"/>
          <w:szCs w:val="22"/>
        </w:rPr>
        <w:t>JM is supported by the BHF Imperial Centre for Research Excellence (RE/18/4/34215). </w:t>
      </w:r>
      <w:r w:rsidR="001D6F1E" w:rsidRPr="001D6F1E">
        <w:rPr>
          <w:rFonts w:ascii="Helvetica" w:hAnsi="Helvetica" w:cstheme="minorHAnsi"/>
          <w:sz w:val="22"/>
          <w:szCs w:val="22"/>
        </w:rPr>
        <w:t>All other</w:t>
      </w:r>
      <w:bookmarkStart w:id="11" w:name="_GoBack"/>
      <w:bookmarkEnd w:id="11"/>
      <w:r w:rsidR="001D6F1E" w:rsidRPr="001D6F1E">
        <w:rPr>
          <w:rFonts w:ascii="Helvetica" w:hAnsi="Helvetica" w:cstheme="minorHAnsi"/>
          <w:sz w:val="22"/>
          <w:szCs w:val="22"/>
        </w:rPr>
        <w:t xml:space="preserve"> authors have none to declare.</w:t>
      </w:r>
    </w:p>
    <w:p w14:paraId="3673F6B1" w14:textId="761FDF78" w:rsidR="00821B4A" w:rsidRDefault="00821B4A" w:rsidP="00821B4A">
      <w:pPr>
        <w:spacing w:line="480" w:lineRule="auto"/>
        <w:rPr>
          <w:rFonts w:ascii="Helvetica" w:hAnsi="Helvetica" w:cstheme="minorHAnsi"/>
          <w:sz w:val="22"/>
          <w:szCs w:val="22"/>
        </w:rPr>
      </w:pPr>
    </w:p>
    <w:p w14:paraId="76C736B8" w14:textId="77777777" w:rsidR="00506D63" w:rsidRDefault="00506D63" w:rsidP="00506D63">
      <w:pPr>
        <w:spacing w:line="480" w:lineRule="auto"/>
        <w:rPr>
          <w:rFonts w:ascii="Helvetica" w:hAnsi="Helvetica" w:cstheme="minorHAnsi"/>
          <w:b/>
          <w:sz w:val="22"/>
          <w:szCs w:val="22"/>
        </w:rPr>
      </w:pPr>
      <w:r w:rsidRPr="00FF5305">
        <w:rPr>
          <w:rFonts w:ascii="Helvetica" w:hAnsi="Helvetica" w:cstheme="minorHAnsi"/>
          <w:b/>
          <w:sz w:val="22"/>
          <w:szCs w:val="22"/>
        </w:rPr>
        <w:t>Funding</w:t>
      </w:r>
    </w:p>
    <w:p w14:paraId="4C6E2D8C" w14:textId="3C079E41" w:rsidR="00506D63" w:rsidRPr="00FF5305" w:rsidRDefault="00506D63" w:rsidP="00821B4A">
      <w:pPr>
        <w:spacing w:line="480" w:lineRule="auto"/>
        <w:rPr>
          <w:rFonts w:ascii="Helvetica" w:hAnsi="Helvetica" w:cstheme="minorHAnsi"/>
          <w:sz w:val="22"/>
          <w:szCs w:val="22"/>
        </w:rPr>
      </w:pPr>
      <w:r w:rsidRPr="00506D63">
        <w:rPr>
          <w:rFonts w:ascii="Helvetica" w:hAnsi="Helvetica" w:cstheme="minorHAnsi"/>
          <w:sz w:val="22"/>
          <w:szCs w:val="22"/>
        </w:rPr>
        <w:t>This research is funded </w:t>
      </w:r>
      <w:r>
        <w:rPr>
          <w:rFonts w:ascii="Helvetica" w:hAnsi="Helvetica" w:cstheme="minorHAnsi"/>
          <w:sz w:val="22"/>
          <w:szCs w:val="22"/>
        </w:rPr>
        <w:t>by</w:t>
      </w:r>
      <w:r w:rsidR="001D6F1E">
        <w:rPr>
          <w:rFonts w:ascii="Helvetica" w:hAnsi="Helvetica" w:cstheme="minorHAnsi"/>
          <w:sz w:val="22"/>
          <w:szCs w:val="22"/>
        </w:rPr>
        <w:t xml:space="preserve"> the</w:t>
      </w:r>
      <w:r>
        <w:rPr>
          <w:rFonts w:ascii="Helvetica" w:hAnsi="Helvetica" w:cstheme="minorHAnsi"/>
          <w:sz w:val="22"/>
          <w:szCs w:val="22"/>
        </w:rPr>
        <w:t xml:space="preserve"> </w:t>
      </w:r>
      <w:r w:rsidRPr="002518BC">
        <w:rPr>
          <w:rFonts w:ascii="Helvetica" w:hAnsi="Helvetica" w:cstheme="minorHAnsi"/>
          <w:sz w:val="22"/>
          <w:szCs w:val="22"/>
        </w:rPr>
        <w:t>National</w:t>
      </w:r>
      <w:r>
        <w:rPr>
          <w:rFonts w:ascii="Helvetica" w:hAnsi="Helvetica" w:cstheme="minorHAnsi"/>
          <w:sz w:val="22"/>
          <w:szCs w:val="22"/>
        </w:rPr>
        <w:t xml:space="preserve"> Institute for Health Research</w:t>
      </w:r>
      <w:r w:rsidRPr="002518BC">
        <w:rPr>
          <w:rFonts w:ascii="Helvetica" w:hAnsi="Helvetica" w:cstheme="minorHAnsi"/>
          <w:sz w:val="22"/>
          <w:szCs w:val="22"/>
        </w:rPr>
        <w:t xml:space="preserve"> Imperial Biomedical Research Centre</w:t>
      </w:r>
      <w:r>
        <w:rPr>
          <w:rFonts w:ascii="Helvetica" w:hAnsi="Helvetica" w:cstheme="minorHAnsi"/>
          <w:sz w:val="22"/>
          <w:szCs w:val="22"/>
        </w:rPr>
        <w:t xml:space="preserve">, </w:t>
      </w:r>
      <w:r w:rsidRPr="00FF5305">
        <w:rPr>
          <w:rFonts w:ascii="Helvetica" w:hAnsi="Helvetica" w:cstheme="minorHAnsi"/>
          <w:sz w:val="22"/>
          <w:szCs w:val="22"/>
        </w:rPr>
        <w:t>British Heart Foundation</w:t>
      </w:r>
      <w:r>
        <w:rPr>
          <w:rFonts w:ascii="Helvetica" w:hAnsi="Helvetica" w:cstheme="minorHAnsi"/>
          <w:sz w:val="22"/>
          <w:szCs w:val="22"/>
        </w:rPr>
        <w:t xml:space="preserve"> and</w:t>
      </w:r>
      <w:r>
        <w:rPr>
          <w:rFonts w:ascii="Helvetica" w:hAnsi="Helvetica" w:cstheme="minorHAnsi"/>
          <w:sz w:val="22"/>
          <w:szCs w:val="22"/>
        </w:rPr>
        <w:t xml:space="preserve"> </w:t>
      </w:r>
      <w:proofErr w:type="spellStart"/>
      <w:r>
        <w:rPr>
          <w:rFonts w:ascii="Helvetica" w:hAnsi="Helvetica" w:cstheme="minorHAnsi"/>
          <w:sz w:val="22"/>
          <w:szCs w:val="22"/>
        </w:rPr>
        <w:t>Wellcome</w:t>
      </w:r>
      <w:proofErr w:type="spellEnd"/>
      <w:r>
        <w:rPr>
          <w:rFonts w:ascii="Helvetica" w:hAnsi="Helvetica" w:cstheme="minorHAnsi"/>
          <w:sz w:val="22"/>
          <w:szCs w:val="22"/>
        </w:rPr>
        <w:t xml:space="preserve"> Trust.</w:t>
      </w:r>
      <w:r>
        <w:rPr>
          <w:rFonts w:ascii="Helvetica" w:hAnsi="Helvetica" w:cstheme="minorHAnsi"/>
          <w:sz w:val="22"/>
          <w:szCs w:val="22"/>
        </w:rPr>
        <w:t xml:space="preserve"> </w:t>
      </w:r>
      <w:r w:rsidRPr="00CE3F81">
        <w:rPr>
          <w:rFonts w:ascii="Helvetica" w:hAnsi="Helvetica" w:cstheme="minorHAnsi"/>
          <w:sz w:val="22"/>
          <w:szCs w:val="22"/>
        </w:rPr>
        <w:t>The funders had no role in study design, data collection and analysis, decision to</w:t>
      </w:r>
      <w:r>
        <w:rPr>
          <w:rFonts w:ascii="Helvetica" w:hAnsi="Helvetica" w:cstheme="minorHAnsi"/>
          <w:sz w:val="22"/>
          <w:szCs w:val="22"/>
        </w:rPr>
        <w:t xml:space="preserve"> </w:t>
      </w:r>
      <w:r w:rsidRPr="00CE3F81">
        <w:rPr>
          <w:rFonts w:ascii="Helvetica" w:hAnsi="Helvetica" w:cstheme="minorHAnsi"/>
          <w:sz w:val="22"/>
          <w:szCs w:val="22"/>
        </w:rPr>
        <w:t>publish, or preparation of the manuscript.</w:t>
      </w:r>
      <w:r w:rsidR="001D6F1E">
        <w:rPr>
          <w:rFonts w:ascii="Helvetica" w:hAnsi="Helvetica" w:cstheme="minorHAnsi"/>
          <w:sz w:val="22"/>
          <w:szCs w:val="22"/>
        </w:rPr>
        <w:t xml:space="preserve"> </w:t>
      </w:r>
      <w:r w:rsidR="001D6F1E" w:rsidRPr="00FF5305">
        <w:rPr>
          <w:rFonts w:ascii="Helvetica" w:hAnsi="Helvetica" w:cstheme="minorHAnsi"/>
          <w:sz w:val="22"/>
          <w:szCs w:val="22"/>
        </w:rPr>
        <w:t>The views expressed are those of the authors and not necessarily those of the NHS, the NIHR or the Department of Health and Social Care.</w:t>
      </w:r>
    </w:p>
    <w:p w14:paraId="767D83D2" w14:textId="77777777" w:rsidR="00821B4A" w:rsidRDefault="00821B4A" w:rsidP="00B928F2">
      <w:pPr>
        <w:spacing w:line="480" w:lineRule="auto"/>
        <w:rPr>
          <w:rFonts w:ascii="Helvetica" w:hAnsi="Helvetica" w:cstheme="minorHAnsi"/>
          <w:sz w:val="22"/>
          <w:szCs w:val="22"/>
          <w:lang w:val="en-US"/>
        </w:rPr>
      </w:pPr>
    </w:p>
    <w:p w14:paraId="0E234124" w14:textId="7388D045" w:rsidR="00821B4A" w:rsidRPr="00821B4A" w:rsidRDefault="00821B4A" w:rsidP="00821B4A">
      <w:pPr>
        <w:spacing w:line="480" w:lineRule="auto"/>
        <w:rPr>
          <w:rFonts w:ascii="Helvetica" w:hAnsi="Helvetica" w:cstheme="minorHAnsi"/>
          <w:b/>
          <w:bCs/>
          <w:sz w:val="22"/>
          <w:szCs w:val="22"/>
        </w:rPr>
      </w:pPr>
      <w:r w:rsidRPr="00821B4A">
        <w:rPr>
          <w:rFonts w:ascii="Helvetica" w:hAnsi="Helvetica" w:cstheme="minorHAnsi"/>
          <w:b/>
          <w:sz w:val="22"/>
          <w:szCs w:val="22"/>
        </w:rPr>
        <w:t>Data sharing </w:t>
      </w:r>
      <w:r w:rsidR="008E0B31">
        <w:rPr>
          <w:rFonts w:ascii="Helvetica" w:hAnsi="Helvetica" w:cstheme="minorHAnsi"/>
          <w:b/>
          <w:sz w:val="22"/>
          <w:szCs w:val="22"/>
        </w:rPr>
        <w:t>statement</w:t>
      </w:r>
    </w:p>
    <w:p w14:paraId="4CF2D3C4" w14:textId="6976FDE4" w:rsidR="00EC766C" w:rsidRPr="00FF5305" w:rsidRDefault="00821B4A" w:rsidP="00EC766C">
      <w:pPr>
        <w:spacing w:line="480" w:lineRule="auto"/>
        <w:rPr>
          <w:rFonts w:ascii="Helvetica" w:hAnsi="Helvetica" w:cstheme="minorHAnsi"/>
          <w:sz w:val="22"/>
          <w:szCs w:val="22"/>
        </w:rPr>
      </w:pPr>
      <w:r w:rsidRPr="00821B4A">
        <w:rPr>
          <w:rFonts w:ascii="Helvetica" w:hAnsi="Helvetica" w:cstheme="minorHAnsi"/>
          <w:sz w:val="22"/>
          <w:szCs w:val="22"/>
        </w:rPr>
        <w:t xml:space="preserve">We are unable to extract or publish patient level data </w:t>
      </w:r>
      <w:r w:rsidR="00B14DBB">
        <w:rPr>
          <w:rFonts w:ascii="Helvetica" w:hAnsi="Helvetica" w:cstheme="minorHAnsi"/>
          <w:sz w:val="22"/>
          <w:szCs w:val="22"/>
        </w:rPr>
        <w:t xml:space="preserve">from the </w:t>
      </w:r>
      <w:proofErr w:type="spellStart"/>
      <w:r w:rsidR="00B14DBB">
        <w:rPr>
          <w:rFonts w:ascii="Helvetica" w:hAnsi="Helvetica" w:cstheme="minorHAnsi"/>
          <w:sz w:val="22"/>
          <w:szCs w:val="22"/>
        </w:rPr>
        <w:t>iCARE</w:t>
      </w:r>
      <w:proofErr w:type="spellEnd"/>
      <w:r w:rsidR="00B14DBB">
        <w:rPr>
          <w:rFonts w:ascii="Helvetica" w:hAnsi="Helvetica" w:cstheme="minorHAnsi"/>
          <w:sz w:val="22"/>
          <w:szCs w:val="22"/>
        </w:rPr>
        <w:t xml:space="preserve"> environment </w:t>
      </w:r>
      <w:r w:rsidRPr="00821B4A">
        <w:rPr>
          <w:rFonts w:ascii="Helvetica" w:hAnsi="Helvetica" w:cstheme="minorHAnsi"/>
          <w:sz w:val="22"/>
          <w:szCs w:val="22"/>
        </w:rPr>
        <w:t>due to data protection restrictions. Any request to access data can be made to Nwlccgs.covid19IG@nhs.net referring to the title of this paper. </w:t>
      </w:r>
      <w:r w:rsidR="00EC766C" w:rsidRPr="00FF5305">
        <w:rPr>
          <w:rFonts w:ascii="Helvetica" w:hAnsi="Helvetica" w:cstheme="minorHAnsi"/>
          <w:sz w:val="22"/>
          <w:szCs w:val="22"/>
        </w:rPr>
        <w:t>This work uses data provided by patients and collected by the NHS as part of their care and support. Using patient data is vital to improve health and care for everyone. There is huge potential to make better use of information from people’s patient records, to understand more about disease, develop new treatments, monitor safety, and plan NHS services. Patient data should be kept safe and secure, to protect everyone’s privacy, and it’s important that there are safeguards to make sure that it is stored and used responsibly. Everyone should be able to find out about how patient data is used. #</w:t>
      </w:r>
      <w:proofErr w:type="spellStart"/>
      <w:r w:rsidR="00EC766C" w:rsidRPr="00FF5305">
        <w:rPr>
          <w:rFonts w:ascii="Helvetica" w:hAnsi="Helvetica" w:cstheme="minorHAnsi"/>
          <w:sz w:val="22"/>
          <w:szCs w:val="22"/>
        </w:rPr>
        <w:t>datasaveslives</w:t>
      </w:r>
      <w:proofErr w:type="spellEnd"/>
    </w:p>
    <w:p w14:paraId="74290ED3" w14:textId="77777777" w:rsidR="00821B4A" w:rsidRPr="00BD4DAF" w:rsidRDefault="00821B4A" w:rsidP="00B928F2">
      <w:pPr>
        <w:spacing w:line="480" w:lineRule="auto"/>
        <w:rPr>
          <w:rFonts w:ascii="Helvetica" w:hAnsi="Helvetica" w:cstheme="minorHAnsi"/>
          <w:sz w:val="22"/>
          <w:szCs w:val="22"/>
          <w:lang w:val="en-US"/>
        </w:rPr>
      </w:pPr>
    </w:p>
    <w:p w14:paraId="2728455F" w14:textId="77777777" w:rsidR="00FF5305" w:rsidRDefault="00FF5305" w:rsidP="00B928F2">
      <w:pPr>
        <w:spacing w:line="480" w:lineRule="auto"/>
        <w:rPr>
          <w:rFonts w:ascii="Helvetica" w:hAnsi="Helvetica" w:cstheme="minorHAnsi"/>
          <w:b/>
          <w:sz w:val="22"/>
          <w:szCs w:val="22"/>
        </w:rPr>
      </w:pPr>
      <w:r w:rsidRPr="00FF5305">
        <w:rPr>
          <w:rFonts w:ascii="Helvetica" w:hAnsi="Helvetica" w:cstheme="minorHAnsi"/>
          <w:b/>
          <w:sz w:val="22"/>
          <w:szCs w:val="22"/>
        </w:rPr>
        <w:t xml:space="preserve">Acknowledgements </w:t>
      </w:r>
    </w:p>
    <w:p w14:paraId="4EFA0B41" w14:textId="62AAD848" w:rsidR="00FF5305" w:rsidRPr="00FF5305" w:rsidRDefault="00FF5305" w:rsidP="00B928F2">
      <w:pPr>
        <w:spacing w:line="480" w:lineRule="auto"/>
        <w:rPr>
          <w:rFonts w:ascii="Helvetica" w:hAnsi="Helvetica" w:cstheme="minorHAnsi"/>
          <w:sz w:val="22"/>
          <w:szCs w:val="22"/>
        </w:rPr>
      </w:pPr>
      <w:r w:rsidRPr="00FF5305">
        <w:rPr>
          <w:rFonts w:ascii="Helvetica" w:hAnsi="Helvetica" w:cstheme="minorHAnsi"/>
          <w:sz w:val="22"/>
          <w:szCs w:val="22"/>
        </w:rPr>
        <w:t xml:space="preserve">The authors would like to acknowledge members of the NWL Data &amp; Analytics Gold Command for contribution to interpretation of the findings; Roger Chinn, Martin </w:t>
      </w:r>
      <w:proofErr w:type="spellStart"/>
      <w:r w:rsidRPr="00FF5305">
        <w:rPr>
          <w:rFonts w:ascii="Helvetica" w:hAnsi="Helvetica" w:cstheme="minorHAnsi"/>
          <w:sz w:val="22"/>
          <w:szCs w:val="22"/>
        </w:rPr>
        <w:t>Kuper</w:t>
      </w:r>
      <w:proofErr w:type="spellEnd"/>
      <w:r w:rsidRPr="00FF5305">
        <w:rPr>
          <w:rFonts w:ascii="Helvetica" w:hAnsi="Helvetica" w:cstheme="minorHAnsi"/>
          <w:sz w:val="22"/>
          <w:szCs w:val="22"/>
        </w:rPr>
        <w:t xml:space="preserve">, </w:t>
      </w:r>
      <w:proofErr w:type="spellStart"/>
      <w:r w:rsidRPr="00FF5305">
        <w:rPr>
          <w:rFonts w:ascii="Helvetica" w:hAnsi="Helvetica" w:cstheme="minorHAnsi"/>
          <w:sz w:val="22"/>
          <w:szCs w:val="22"/>
        </w:rPr>
        <w:t>Merav</w:t>
      </w:r>
      <w:proofErr w:type="spellEnd"/>
      <w:r w:rsidRPr="00FF5305">
        <w:rPr>
          <w:rFonts w:ascii="Helvetica" w:hAnsi="Helvetica" w:cstheme="minorHAnsi"/>
          <w:sz w:val="22"/>
          <w:szCs w:val="22"/>
        </w:rPr>
        <w:t xml:space="preserve"> Dover, James </w:t>
      </w:r>
      <w:proofErr w:type="spellStart"/>
      <w:r w:rsidRPr="00FF5305">
        <w:rPr>
          <w:rFonts w:ascii="Helvetica" w:hAnsi="Helvetica" w:cstheme="minorHAnsi"/>
          <w:sz w:val="22"/>
          <w:szCs w:val="22"/>
        </w:rPr>
        <w:t>Biggin</w:t>
      </w:r>
      <w:proofErr w:type="spellEnd"/>
      <w:r w:rsidRPr="00FF5305">
        <w:rPr>
          <w:rFonts w:ascii="Helvetica" w:hAnsi="Helvetica" w:cstheme="minorHAnsi"/>
          <w:sz w:val="22"/>
          <w:szCs w:val="22"/>
        </w:rPr>
        <w:t xml:space="preserve">-Lamming, Sanjay Gautama, Kevin </w:t>
      </w:r>
      <w:proofErr w:type="spellStart"/>
      <w:r w:rsidRPr="00FF5305">
        <w:rPr>
          <w:rFonts w:ascii="Helvetica" w:hAnsi="Helvetica" w:cstheme="minorHAnsi"/>
          <w:sz w:val="22"/>
          <w:szCs w:val="22"/>
        </w:rPr>
        <w:t>Jarrold</w:t>
      </w:r>
      <w:proofErr w:type="spellEnd"/>
      <w:r w:rsidRPr="00FF5305">
        <w:rPr>
          <w:rFonts w:ascii="Helvetica" w:hAnsi="Helvetica" w:cstheme="minorHAnsi"/>
          <w:sz w:val="22"/>
          <w:szCs w:val="22"/>
        </w:rPr>
        <w:t xml:space="preserve">. The authors would also like to acknowledge </w:t>
      </w:r>
      <w:proofErr w:type="spellStart"/>
      <w:r w:rsidRPr="00FF5305">
        <w:rPr>
          <w:rFonts w:ascii="Helvetica" w:hAnsi="Helvetica" w:cstheme="minorHAnsi"/>
          <w:sz w:val="22"/>
          <w:szCs w:val="22"/>
        </w:rPr>
        <w:t>Owain</w:t>
      </w:r>
      <w:proofErr w:type="spellEnd"/>
      <w:r w:rsidRPr="00FF5305">
        <w:rPr>
          <w:rFonts w:ascii="Helvetica" w:hAnsi="Helvetica" w:cstheme="minorHAnsi"/>
          <w:sz w:val="22"/>
          <w:szCs w:val="22"/>
        </w:rPr>
        <w:t xml:space="preserve"> Griffiths from </w:t>
      </w:r>
      <w:r w:rsidR="00CE2522">
        <w:rPr>
          <w:rFonts w:ascii="Helvetica" w:hAnsi="Helvetica" w:cstheme="minorHAnsi"/>
          <w:sz w:val="22"/>
          <w:szCs w:val="22"/>
        </w:rPr>
        <w:t>WSIC</w:t>
      </w:r>
      <w:r w:rsidRPr="00FF5305">
        <w:rPr>
          <w:rFonts w:ascii="Helvetica" w:hAnsi="Helvetica" w:cstheme="minorHAnsi"/>
          <w:sz w:val="22"/>
          <w:szCs w:val="22"/>
        </w:rPr>
        <w:t xml:space="preserve"> for helping with </w:t>
      </w:r>
      <w:r w:rsidR="00CE2522">
        <w:rPr>
          <w:rFonts w:ascii="Helvetica" w:hAnsi="Helvetica" w:cstheme="minorHAnsi"/>
          <w:sz w:val="22"/>
          <w:szCs w:val="22"/>
        </w:rPr>
        <w:t>d</w:t>
      </w:r>
      <w:r w:rsidRPr="00FF5305">
        <w:rPr>
          <w:rFonts w:ascii="Helvetica" w:hAnsi="Helvetica" w:cstheme="minorHAnsi"/>
          <w:sz w:val="22"/>
          <w:szCs w:val="22"/>
        </w:rPr>
        <w:t>ata access and data quality checks. </w:t>
      </w:r>
    </w:p>
    <w:p w14:paraId="79C74A33" w14:textId="77777777" w:rsidR="00CE3F81" w:rsidRPr="00C46A9D" w:rsidRDefault="00CE3F81" w:rsidP="00B928F2">
      <w:pPr>
        <w:spacing w:line="480" w:lineRule="auto"/>
        <w:rPr>
          <w:rFonts w:ascii="Helvetica" w:hAnsi="Helvetica" w:cstheme="minorHAnsi"/>
          <w:sz w:val="22"/>
          <w:szCs w:val="22"/>
        </w:rPr>
      </w:pPr>
    </w:p>
    <w:p w14:paraId="037ACCB2" w14:textId="77777777" w:rsidR="00FF5305" w:rsidRPr="00FF5305" w:rsidRDefault="00FF5305" w:rsidP="00B928F2">
      <w:pPr>
        <w:spacing w:line="480" w:lineRule="auto"/>
        <w:rPr>
          <w:rFonts w:ascii="Helvetica" w:hAnsi="Helvetica" w:cstheme="minorHAnsi"/>
          <w:b/>
          <w:sz w:val="22"/>
          <w:szCs w:val="22"/>
        </w:rPr>
      </w:pPr>
    </w:p>
    <w:p w14:paraId="1B7EFC80" w14:textId="77777777" w:rsidR="00EA3BE5" w:rsidRDefault="00EA3BE5" w:rsidP="00B928F2">
      <w:pPr>
        <w:spacing w:line="480" w:lineRule="auto"/>
        <w:rPr>
          <w:rFonts w:ascii="Helvetica" w:hAnsi="Helvetica" w:cstheme="minorHAnsi"/>
          <w:sz w:val="22"/>
          <w:szCs w:val="22"/>
          <w:lang w:val="en-US"/>
        </w:rPr>
      </w:pPr>
    </w:p>
    <w:p w14:paraId="7D805736" w14:textId="4053BD01" w:rsidR="00E60C24" w:rsidRPr="00B928F2" w:rsidRDefault="00A0461C" w:rsidP="00B928F2">
      <w:pPr>
        <w:spacing w:line="480" w:lineRule="auto"/>
        <w:rPr>
          <w:rFonts w:ascii="Helvetica" w:hAnsi="Helvetica" w:cstheme="minorHAnsi"/>
          <w:b/>
          <w:sz w:val="26"/>
          <w:szCs w:val="26"/>
          <w:lang w:val="en-US"/>
        </w:rPr>
      </w:pPr>
      <w:r w:rsidRPr="00EA3BE5">
        <w:rPr>
          <w:rFonts w:ascii="Helvetica" w:hAnsi="Helvetica" w:cstheme="minorHAnsi"/>
          <w:b/>
          <w:sz w:val="26"/>
          <w:szCs w:val="26"/>
          <w:lang w:val="en-US"/>
        </w:rPr>
        <w:t>References</w:t>
      </w:r>
    </w:p>
    <w:p w14:paraId="0883947F" w14:textId="42A5596A" w:rsidR="001C6F21" w:rsidRPr="00E60C24" w:rsidRDefault="001C6F21" w:rsidP="00B928F2">
      <w:pPr>
        <w:spacing w:line="480" w:lineRule="auto"/>
        <w:rPr>
          <w:rFonts w:ascii="Helvetica" w:hAnsi="Helvetica" w:cstheme="minorHAnsi"/>
          <w:sz w:val="22"/>
          <w:szCs w:val="22"/>
        </w:rPr>
      </w:pPr>
      <w:r w:rsidRPr="00E60C24">
        <w:rPr>
          <w:rFonts w:ascii="Helvetica" w:hAnsi="Helvetica" w:cstheme="minorHAnsi"/>
          <w:sz w:val="22"/>
          <w:szCs w:val="22"/>
          <w:lang w:val="en-US"/>
        </w:rPr>
        <w:t>1</w:t>
      </w:r>
      <w:r w:rsidRPr="00E60C24">
        <w:rPr>
          <w:rFonts w:ascii="Helvetica" w:hAnsi="Helvetica" w:cstheme="minorHAnsi"/>
          <w:sz w:val="22"/>
          <w:szCs w:val="22"/>
          <w:lang w:val="en-US"/>
        </w:rPr>
        <w:tab/>
      </w:r>
      <w:r w:rsidRPr="00E60C24">
        <w:rPr>
          <w:rFonts w:ascii="Helvetica" w:hAnsi="Helvetica" w:cstheme="minorHAnsi"/>
          <w:sz w:val="22"/>
          <w:szCs w:val="22"/>
        </w:rPr>
        <w:t>Johns Hopkins University and Medicine. </w:t>
      </w:r>
      <w:r w:rsidRPr="00E60C24">
        <w:rPr>
          <w:rFonts w:ascii="Helvetica" w:hAnsi="Helvetica" w:cstheme="minorHAnsi"/>
          <w:iCs/>
          <w:sz w:val="22"/>
          <w:szCs w:val="22"/>
        </w:rPr>
        <w:t xml:space="preserve">Coronavirus COVID-19 Global Cases by the </w:t>
      </w:r>
      <w:proofErr w:type="spellStart"/>
      <w:r w:rsidRPr="00E60C24">
        <w:rPr>
          <w:rFonts w:ascii="Helvetica" w:hAnsi="Helvetica" w:cstheme="minorHAnsi"/>
          <w:iCs/>
          <w:sz w:val="22"/>
          <w:szCs w:val="22"/>
        </w:rPr>
        <w:t>Center</w:t>
      </w:r>
      <w:proofErr w:type="spellEnd"/>
      <w:r w:rsidRPr="00E60C24">
        <w:rPr>
          <w:rFonts w:ascii="Helvetica" w:hAnsi="Helvetica" w:cstheme="minorHAnsi"/>
          <w:iCs/>
          <w:sz w:val="22"/>
          <w:szCs w:val="22"/>
        </w:rPr>
        <w:t xml:space="preserve"> for Systems Science and Engineering (CSSE) at Johns Hopkins University (JHU)</w:t>
      </w:r>
      <w:r w:rsidR="00E60C24" w:rsidRPr="00E60C24">
        <w:rPr>
          <w:rFonts w:ascii="Helvetica" w:hAnsi="Helvetica" w:cstheme="minorHAnsi"/>
          <w:iCs/>
          <w:sz w:val="22"/>
          <w:szCs w:val="22"/>
        </w:rPr>
        <w:t xml:space="preserve"> </w:t>
      </w:r>
      <w:r w:rsidRPr="00E60C24">
        <w:rPr>
          <w:rFonts w:ascii="Helvetica" w:hAnsi="Helvetica" w:cstheme="minorHAnsi"/>
          <w:sz w:val="22"/>
          <w:szCs w:val="22"/>
        </w:rPr>
        <w:t>https://coronavirus.jhu.edu/map.html.</w:t>
      </w:r>
      <w:r w:rsidR="00A71E3C">
        <w:rPr>
          <w:rFonts w:ascii="Helvetica" w:hAnsi="Helvetica" w:cstheme="minorHAnsi"/>
          <w:sz w:val="22"/>
          <w:szCs w:val="22"/>
        </w:rPr>
        <w:t xml:space="preserve"> </w:t>
      </w:r>
      <w:r w:rsidR="00A71E3C" w:rsidRPr="00E60C24">
        <w:rPr>
          <w:rFonts w:ascii="Helvetica" w:eastAsia="Times New Roman" w:hAnsi="Helvetica" w:cs="Arial"/>
          <w:color w:val="000000" w:themeColor="text1"/>
          <w:sz w:val="22"/>
          <w:szCs w:val="22"/>
          <w:bdr w:val="none" w:sz="0" w:space="0" w:color="auto" w:frame="1"/>
        </w:rPr>
        <w:t xml:space="preserve">(Date accessed: </w:t>
      </w:r>
      <w:r w:rsidR="00DD629E">
        <w:rPr>
          <w:rFonts w:ascii="Helvetica" w:eastAsia="Times New Roman" w:hAnsi="Helvetica" w:cs="Arial"/>
          <w:color w:val="000000" w:themeColor="text1"/>
          <w:sz w:val="22"/>
          <w:szCs w:val="22"/>
          <w:bdr w:val="none" w:sz="0" w:space="0" w:color="auto" w:frame="1"/>
        </w:rPr>
        <w:t>January 01</w:t>
      </w:r>
      <w:r w:rsidR="00A71E3C" w:rsidRPr="00E60C24">
        <w:rPr>
          <w:rFonts w:ascii="Helvetica" w:eastAsia="Times New Roman" w:hAnsi="Helvetica" w:cs="Arial"/>
          <w:color w:val="000000" w:themeColor="text1"/>
          <w:sz w:val="22"/>
          <w:szCs w:val="22"/>
          <w:bdr w:val="none" w:sz="0" w:space="0" w:color="auto" w:frame="1"/>
        </w:rPr>
        <w:t>, 202</w:t>
      </w:r>
      <w:r w:rsidR="00DD629E">
        <w:rPr>
          <w:rFonts w:ascii="Helvetica" w:eastAsia="Times New Roman" w:hAnsi="Helvetica" w:cs="Arial"/>
          <w:color w:val="000000" w:themeColor="text1"/>
          <w:sz w:val="22"/>
          <w:szCs w:val="22"/>
          <w:bdr w:val="none" w:sz="0" w:space="0" w:color="auto" w:frame="1"/>
        </w:rPr>
        <w:t>2</w:t>
      </w:r>
      <w:r w:rsidR="00A71E3C" w:rsidRPr="00E60C24">
        <w:rPr>
          <w:rFonts w:ascii="Helvetica" w:eastAsia="Times New Roman" w:hAnsi="Helvetica" w:cs="Arial"/>
          <w:color w:val="000000" w:themeColor="text1"/>
          <w:sz w:val="22"/>
          <w:szCs w:val="22"/>
          <w:bdr w:val="none" w:sz="0" w:space="0" w:color="auto" w:frame="1"/>
        </w:rPr>
        <w:t>)</w:t>
      </w:r>
    </w:p>
    <w:p w14:paraId="7D555F7A" w14:textId="77777777" w:rsidR="00BD4DAF" w:rsidRPr="00E60C24" w:rsidRDefault="00BD4DAF" w:rsidP="00B928F2">
      <w:pPr>
        <w:spacing w:line="480" w:lineRule="auto"/>
        <w:rPr>
          <w:rFonts w:ascii="Helvetica" w:hAnsi="Helvetica" w:cstheme="minorHAnsi"/>
          <w:sz w:val="22"/>
          <w:szCs w:val="22"/>
          <w:lang w:eastAsia="en-US"/>
        </w:rPr>
      </w:pPr>
    </w:p>
    <w:p w14:paraId="104794DA" w14:textId="00A729FF" w:rsidR="00A77719" w:rsidRPr="00E60C24" w:rsidRDefault="00A77719" w:rsidP="00B928F2">
      <w:pPr>
        <w:spacing w:line="480" w:lineRule="auto"/>
        <w:rPr>
          <w:rFonts w:ascii="Helvetica" w:hAnsi="Helvetica" w:cstheme="minorHAnsi"/>
          <w:sz w:val="22"/>
          <w:szCs w:val="22"/>
        </w:rPr>
      </w:pPr>
      <w:r w:rsidRPr="008E3FCF">
        <w:rPr>
          <w:rFonts w:ascii="Helvetica" w:hAnsi="Helvetica" w:cstheme="minorHAnsi"/>
          <w:sz w:val="22"/>
          <w:szCs w:val="22"/>
          <w:lang w:val="en-US"/>
        </w:rPr>
        <w:t>2</w:t>
      </w:r>
      <w:r w:rsidR="00CE3DC2" w:rsidRPr="00E60C24">
        <w:rPr>
          <w:rFonts w:ascii="Helvetica" w:hAnsi="Helvetica" w:cstheme="minorHAnsi"/>
          <w:sz w:val="22"/>
          <w:szCs w:val="22"/>
          <w:lang w:val="en-US"/>
        </w:rPr>
        <w:tab/>
      </w:r>
      <w:r w:rsidR="00CE3DC2" w:rsidRPr="00E60C24">
        <w:rPr>
          <w:rFonts w:ascii="Helvetica" w:hAnsi="Helvetica" w:cstheme="minorHAnsi"/>
          <w:sz w:val="22"/>
          <w:szCs w:val="22"/>
        </w:rPr>
        <w:t xml:space="preserve">Polack FP, Thomas SJ, </w:t>
      </w:r>
      <w:proofErr w:type="spellStart"/>
      <w:r w:rsidR="00CE3DC2" w:rsidRPr="00E60C24">
        <w:rPr>
          <w:rFonts w:ascii="Helvetica" w:hAnsi="Helvetica" w:cstheme="minorHAnsi"/>
          <w:sz w:val="22"/>
          <w:szCs w:val="22"/>
        </w:rPr>
        <w:t>Kitchin</w:t>
      </w:r>
      <w:proofErr w:type="spellEnd"/>
      <w:r w:rsidR="00CE3DC2" w:rsidRPr="00E60C24">
        <w:rPr>
          <w:rFonts w:ascii="Helvetica" w:hAnsi="Helvetica" w:cstheme="minorHAnsi"/>
          <w:sz w:val="22"/>
          <w:szCs w:val="22"/>
        </w:rPr>
        <w:t xml:space="preserve"> N, et al. Safety and effectiveness of the BNT162b2 mRNA Covid-19 vaccine. </w:t>
      </w:r>
      <w:r w:rsidR="00CE3DC2" w:rsidRPr="00A71E3C">
        <w:rPr>
          <w:rFonts w:ascii="Helvetica" w:hAnsi="Helvetica" w:cstheme="minorHAnsi"/>
          <w:i/>
          <w:sz w:val="22"/>
          <w:szCs w:val="22"/>
        </w:rPr>
        <w:t xml:space="preserve">N </w:t>
      </w:r>
      <w:proofErr w:type="spellStart"/>
      <w:r w:rsidR="00CE3DC2" w:rsidRPr="00A71E3C">
        <w:rPr>
          <w:rFonts w:ascii="Helvetica" w:hAnsi="Helvetica" w:cstheme="minorHAnsi"/>
          <w:i/>
          <w:sz w:val="22"/>
          <w:szCs w:val="22"/>
        </w:rPr>
        <w:t>Engl</w:t>
      </w:r>
      <w:proofErr w:type="spellEnd"/>
      <w:r w:rsidR="00CE3DC2" w:rsidRPr="00A71E3C">
        <w:rPr>
          <w:rFonts w:ascii="Helvetica" w:hAnsi="Helvetica" w:cstheme="minorHAnsi"/>
          <w:i/>
          <w:sz w:val="22"/>
          <w:szCs w:val="22"/>
        </w:rPr>
        <w:t xml:space="preserve"> J Med</w:t>
      </w:r>
      <w:r w:rsidR="00CE3DC2" w:rsidRPr="00E60C24">
        <w:rPr>
          <w:rFonts w:ascii="Helvetica" w:hAnsi="Helvetica" w:cstheme="minorHAnsi"/>
          <w:sz w:val="22"/>
          <w:szCs w:val="22"/>
        </w:rPr>
        <w:t xml:space="preserve"> 2020; </w:t>
      </w:r>
      <w:r w:rsidR="00CE3DC2" w:rsidRPr="00E60C24">
        <w:rPr>
          <w:rFonts w:ascii="Helvetica" w:hAnsi="Helvetica" w:cstheme="minorHAnsi"/>
          <w:b/>
          <w:sz w:val="22"/>
          <w:szCs w:val="22"/>
        </w:rPr>
        <w:t>383</w:t>
      </w:r>
      <w:r w:rsidR="00CE3DC2" w:rsidRPr="00E60C24">
        <w:rPr>
          <w:rFonts w:ascii="Helvetica" w:hAnsi="Helvetica" w:cstheme="minorHAnsi"/>
          <w:sz w:val="22"/>
          <w:szCs w:val="22"/>
        </w:rPr>
        <w:t>: 2603-2615.</w:t>
      </w:r>
    </w:p>
    <w:p w14:paraId="371FB2A9" w14:textId="77777777" w:rsidR="00BD4DAF" w:rsidRPr="00E60C24" w:rsidRDefault="00BD4DAF" w:rsidP="00B928F2">
      <w:pPr>
        <w:spacing w:line="480" w:lineRule="auto"/>
        <w:rPr>
          <w:rFonts w:ascii="Helvetica" w:hAnsi="Helvetica" w:cstheme="minorHAnsi"/>
          <w:sz w:val="22"/>
          <w:szCs w:val="22"/>
        </w:rPr>
      </w:pPr>
    </w:p>
    <w:p w14:paraId="642AAEEC" w14:textId="2802C214" w:rsidR="00CE3DC2" w:rsidRPr="00E60C24" w:rsidRDefault="008E3FCF" w:rsidP="00B928F2">
      <w:pPr>
        <w:spacing w:line="480" w:lineRule="auto"/>
        <w:rPr>
          <w:rFonts w:ascii="Helvetica" w:hAnsi="Helvetica" w:cstheme="minorHAnsi"/>
          <w:sz w:val="22"/>
          <w:szCs w:val="22"/>
        </w:rPr>
      </w:pPr>
      <w:r>
        <w:rPr>
          <w:rFonts w:ascii="Helvetica" w:hAnsi="Helvetica" w:cstheme="minorHAnsi"/>
          <w:sz w:val="22"/>
          <w:szCs w:val="22"/>
          <w:lang w:val="en-US"/>
        </w:rPr>
        <w:t>3</w:t>
      </w:r>
      <w:r w:rsidR="00CE3DC2" w:rsidRPr="00E60C24">
        <w:rPr>
          <w:rFonts w:ascii="Helvetica" w:hAnsi="Helvetica" w:cstheme="minorHAnsi"/>
          <w:sz w:val="22"/>
          <w:szCs w:val="22"/>
          <w:lang w:val="en-US"/>
        </w:rPr>
        <w:tab/>
      </w:r>
      <w:proofErr w:type="spellStart"/>
      <w:r w:rsidR="00CE3DC2" w:rsidRPr="00E60C24">
        <w:rPr>
          <w:rFonts w:ascii="Helvetica" w:hAnsi="Helvetica" w:cstheme="minorHAnsi"/>
          <w:sz w:val="22"/>
          <w:szCs w:val="22"/>
        </w:rPr>
        <w:t>Voysey</w:t>
      </w:r>
      <w:proofErr w:type="spellEnd"/>
      <w:r w:rsidR="00CE3DC2" w:rsidRPr="00E60C24">
        <w:rPr>
          <w:rFonts w:ascii="Helvetica" w:hAnsi="Helvetica" w:cstheme="minorHAnsi"/>
          <w:sz w:val="22"/>
          <w:szCs w:val="22"/>
        </w:rPr>
        <w:t xml:space="preserve"> M, Clemens SAC, </w:t>
      </w:r>
      <w:proofErr w:type="spellStart"/>
      <w:r w:rsidR="00CE3DC2" w:rsidRPr="00E60C24">
        <w:rPr>
          <w:rFonts w:ascii="Helvetica" w:hAnsi="Helvetica" w:cstheme="minorHAnsi"/>
          <w:sz w:val="22"/>
          <w:szCs w:val="22"/>
        </w:rPr>
        <w:t>Madhi</w:t>
      </w:r>
      <w:proofErr w:type="spellEnd"/>
      <w:r w:rsidR="00CE3DC2" w:rsidRPr="00E60C24">
        <w:rPr>
          <w:rFonts w:ascii="Helvetica" w:hAnsi="Helvetica" w:cstheme="minorHAnsi"/>
          <w:sz w:val="22"/>
          <w:szCs w:val="22"/>
        </w:rPr>
        <w:t xml:space="preserve"> SA, et al. Safety and effectiveness of the ChAdOx1 nCoV-19 vaccine (AZD1222) against SARS-CoV-2: an interim analysis of four randomised controlled trials in Brazil, South Africa, and the UK. </w:t>
      </w:r>
      <w:r w:rsidR="00CE3DC2" w:rsidRPr="00A71E3C">
        <w:rPr>
          <w:rFonts w:ascii="Helvetica" w:hAnsi="Helvetica" w:cstheme="minorHAnsi"/>
          <w:i/>
          <w:sz w:val="22"/>
          <w:szCs w:val="22"/>
        </w:rPr>
        <w:t>Lancet</w:t>
      </w:r>
      <w:r w:rsidR="00CE3DC2" w:rsidRPr="00E60C24">
        <w:rPr>
          <w:rFonts w:ascii="Helvetica" w:hAnsi="Helvetica" w:cstheme="minorHAnsi"/>
          <w:sz w:val="22"/>
          <w:szCs w:val="22"/>
        </w:rPr>
        <w:t xml:space="preserve"> 2021; </w:t>
      </w:r>
      <w:r w:rsidR="00CE3DC2" w:rsidRPr="00E60C24">
        <w:rPr>
          <w:rFonts w:ascii="Helvetica" w:hAnsi="Helvetica" w:cstheme="minorHAnsi"/>
          <w:b/>
          <w:sz w:val="22"/>
          <w:szCs w:val="22"/>
        </w:rPr>
        <w:t>397</w:t>
      </w:r>
      <w:r w:rsidR="00CE3DC2" w:rsidRPr="00E60C24">
        <w:rPr>
          <w:rFonts w:ascii="Helvetica" w:hAnsi="Helvetica" w:cstheme="minorHAnsi"/>
          <w:sz w:val="22"/>
          <w:szCs w:val="22"/>
        </w:rPr>
        <w:t>: 99-111.</w:t>
      </w:r>
    </w:p>
    <w:p w14:paraId="112F1694" w14:textId="77777777" w:rsidR="00221A75" w:rsidRPr="00E60C24" w:rsidRDefault="00221A75" w:rsidP="00B928F2">
      <w:pPr>
        <w:spacing w:line="480" w:lineRule="auto"/>
        <w:rPr>
          <w:rFonts w:ascii="Helvetica" w:hAnsi="Helvetica" w:cstheme="minorHAnsi"/>
          <w:sz w:val="22"/>
          <w:szCs w:val="22"/>
        </w:rPr>
      </w:pPr>
    </w:p>
    <w:p w14:paraId="2FA6D5E3" w14:textId="09E5A0AA" w:rsidR="00221A75" w:rsidRPr="00E60C24" w:rsidRDefault="008E3FCF" w:rsidP="00B928F2">
      <w:pPr>
        <w:spacing w:line="480" w:lineRule="auto"/>
        <w:rPr>
          <w:rFonts w:ascii="Helvetica" w:hAnsi="Helvetica" w:cstheme="minorHAnsi"/>
          <w:sz w:val="22"/>
          <w:szCs w:val="22"/>
        </w:rPr>
      </w:pPr>
      <w:r>
        <w:rPr>
          <w:rFonts w:ascii="Helvetica" w:hAnsi="Helvetica" w:cstheme="minorHAnsi"/>
          <w:sz w:val="22"/>
          <w:szCs w:val="22"/>
          <w:lang w:val="en-US"/>
        </w:rPr>
        <w:t>4</w:t>
      </w:r>
      <w:r w:rsidR="00221A75" w:rsidRPr="00E60C24">
        <w:rPr>
          <w:rFonts w:ascii="Helvetica" w:hAnsi="Helvetica" w:cstheme="minorHAnsi"/>
          <w:sz w:val="22"/>
          <w:szCs w:val="22"/>
          <w:lang w:val="en-US"/>
        </w:rPr>
        <w:tab/>
      </w:r>
      <w:r w:rsidR="00221A75" w:rsidRPr="00E60C24">
        <w:rPr>
          <w:rFonts w:ascii="Helvetica" w:hAnsi="Helvetica" w:cstheme="minorHAnsi"/>
          <w:sz w:val="22"/>
          <w:szCs w:val="22"/>
        </w:rPr>
        <w:t>AstraZeneca. </w:t>
      </w:r>
      <w:r w:rsidR="00221A75" w:rsidRPr="00E60C24">
        <w:rPr>
          <w:rFonts w:ascii="Helvetica" w:hAnsi="Helvetica" w:cstheme="minorHAnsi"/>
          <w:iCs/>
          <w:sz w:val="22"/>
          <w:szCs w:val="22"/>
        </w:rPr>
        <w:t>AZD1222 Vaccine Met Primary Efficacy Endpoint in Preventing COVID-19</w:t>
      </w:r>
      <w:r w:rsidR="00221A75" w:rsidRPr="00E60C24">
        <w:rPr>
          <w:rFonts w:ascii="Helvetica" w:hAnsi="Helvetica" w:cstheme="minorHAnsi"/>
          <w:sz w:val="22"/>
          <w:szCs w:val="22"/>
        </w:rPr>
        <w:t xml:space="preserve">. https://www.astrazeneca.com/media-centre/press-releases/2020/azd1222hlr.html. </w:t>
      </w:r>
      <w:r w:rsidR="00A71E3C" w:rsidRPr="00E60C24">
        <w:rPr>
          <w:rFonts w:ascii="Helvetica" w:eastAsia="Times New Roman" w:hAnsi="Helvetica" w:cs="Arial"/>
          <w:color w:val="000000" w:themeColor="text1"/>
          <w:sz w:val="22"/>
          <w:szCs w:val="22"/>
          <w:bdr w:val="none" w:sz="0" w:space="0" w:color="auto" w:frame="1"/>
        </w:rPr>
        <w:t xml:space="preserve">(Date accessed: </w:t>
      </w:r>
      <w:r w:rsidR="00DD629E">
        <w:rPr>
          <w:rFonts w:ascii="Helvetica" w:eastAsia="Times New Roman" w:hAnsi="Helvetica" w:cs="Arial"/>
          <w:color w:val="000000" w:themeColor="text1"/>
          <w:sz w:val="22"/>
          <w:szCs w:val="22"/>
          <w:bdr w:val="none" w:sz="0" w:space="0" w:color="auto" w:frame="1"/>
        </w:rPr>
        <w:t>January 01</w:t>
      </w:r>
      <w:r w:rsidR="00A71E3C" w:rsidRPr="00E60C24">
        <w:rPr>
          <w:rFonts w:ascii="Helvetica" w:eastAsia="Times New Roman" w:hAnsi="Helvetica" w:cs="Arial"/>
          <w:color w:val="000000" w:themeColor="text1"/>
          <w:sz w:val="22"/>
          <w:szCs w:val="22"/>
          <w:bdr w:val="none" w:sz="0" w:space="0" w:color="auto" w:frame="1"/>
        </w:rPr>
        <w:t>, 202</w:t>
      </w:r>
      <w:r w:rsidR="00DD629E">
        <w:rPr>
          <w:rFonts w:ascii="Helvetica" w:eastAsia="Times New Roman" w:hAnsi="Helvetica" w:cs="Arial"/>
          <w:color w:val="000000" w:themeColor="text1"/>
          <w:sz w:val="22"/>
          <w:szCs w:val="22"/>
          <w:bdr w:val="none" w:sz="0" w:space="0" w:color="auto" w:frame="1"/>
        </w:rPr>
        <w:t>2</w:t>
      </w:r>
      <w:r w:rsidR="00A71E3C" w:rsidRPr="00E60C24">
        <w:rPr>
          <w:rFonts w:ascii="Helvetica" w:eastAsia="Times New Roman" w:hAnsi="Helvetica" w:cs="Arial"/>
          <w:color w:val="000000" w:themeColor="text1"/>
          <w:sz w:val="22"/>
          <w:szCs w:val="22"/>
          <w:bdr w:val="none" w:sz="0" w:space="0" w:color="auto" w:frame="1"/>
        </w:rPr>
        <w:t>)</w:t>
      </w:r>
    </w:p>
    <w:p w14:paraId="17B0A4A5" w14:textId="77777777" w:rsidR="00733DF1" w:rsidRPr="00E60C24" w:rsidRDefault="00733DF1" w:rsidP="00B928F2">
      <w:pPr>
        <w:spacing w:line="480" w:lineRule="auto"/>
        <w:rPr>
          <w:rFonts w:ascii="Helvetica" w:hAnsi="Helvetica" w:cstheme="minorHAnsi"/>
          <w:sz w:val="22"/>
          <w:szCs w:val="22"/>
        </w:rPr>
      </w:pPr>
    </w:p>
    <w:p w14:paraId="2E68242E" w14:textId="4DB0F81E" w:rsidR="00221A75" w:rsidRPr="00E60C24" w:rsidRDefault="008E3FCF" w:rsidP="00B928F2">
      <w:pPr>
        <w:spacing w:line="480" w:lineRule="auto"/>
        <w:rPr>
          <w:rFonts w:ascii="Helvetica" w:hAnsi="Helvetica" w:cstheme="minorHAnsi"/>
          <w:sz w:val="22"/>
          <w:szCs w:val="22"/>
        </w:rPr>
      </w:pPr>
      <w:r>
        <w:rPr>
          <w:rFonts w:ascii="Helvetica" w:hAnsi="Helvetica" w:cstheme="minorHAnsi"/>
          <w:sz w:val="22"/>
          <w:szCs w:val="22"/>
          <w:lang w:val="en-US"/>
        </w:rPr>
        <w:t>5</w:t>
      </w:r>
      <w:r w:rsidR="00221A75" w:rsidRPr="00E60C24">
        <w:rPr>
          <w:rFonts w:ascii="Helvetica" w:hAnsi="Helvetica" w:cstheme="minorHAnsi"/>
          <w:sz w:val="22"/>
          <w:szCs w:val="22"/>
          <w:lang w:val="en-US"/>
        </w:rPr>
        <w:tab/>
      </w:r>
      <w:r w:rsidR="00A71E3C">
        <w:rPr>
          <w:rFonts w:ascii="Helvetica" w:hAnsi="Helvetica" w:cstheme="minorHAnsi"/>
          <w:sz w:val="22"/>
          <w:szCs w:val="22"/>
        </w:rPr>
        <w:t xml:space="preserve">Amit S, </w:t>
      </w:r>
      <w:proofErr w:type="spellStart"/>
      <w:r w:rsidR="00A71E3C">
        <w:rPr>
          <w:rFonts w:ascii="Helvetica" w:hAnsi="Helvetica" w:cstheme="minorHAnsi"/>
          <w:sz w:val="22"/>
          <w:szCs w:val="22"/>
        </w:rPr>
        <w:t>Regev-Yochay</w:t>
      </w:r>
      <w:proofErr w:type="spellEnd"/>
      <w:r w:rsidR="00A71E3C">
        <w:rPr>
          <w:rFonts w:ascii="Helvetica" w:hAnsi="Helvetica" w:cstheme="minorHAnsi"/>
          <w:sz w:val="22"/>
          <w:szCs w:val="22"/>
        </w:rPr>
        <w:t xml:space="preserve"> G, </w:t>
      </w:r>
      <w:proofErr w:type="spellStart"/>
      <w:r w:rsidR="00A71E3C">
        <w:rPr>
          <w:rFonts w:ascii="Helvetica" w:hAnsi="Helvetica" w:cstheme="minorHAnsi"/>
          <w:sz w:val="22"/>
          <w:szCs w:val="22"/>
        </w:rPr>
        <w:t>Afek</w:t>
      </w:r>
      <w:proofErr w:type="spellEnd"/>
      <w:r w:rsidR="00A71E3C">
        <w:rPr>
          <w:rFonts w:ascii="Helvetica" w:hAnsi="Helvetica" w:cstheme="minorHAnsi"/>
          <w:sz w:val="22"/>
          <w:szCs w:val="22"/>
        </w:rPr>
        <w:t xml:space="preserve"> A, </w:t>
      </w:r>
      <w:proofErr w:type="spellStart"/>
      <w:r w:rsidR="00A71E3C">
        <w:rPr>
          <w:rFonts w:ascii="Helvetica" w:hAnsi="Helvetica" w:cstheme="minorHAnsi"/>
          <w:sz w:val="22"/>
          <w:szCs w:val="22"/>
        </w:rPr>
        <w:t>Kreiss</w:t>
      </w:r>
      <w:proofErr w:type="spellEnd"/>
      <w:r w:rsidR="00A71E3C">
        <w:rPr>
          <w:rFonts w:ascii="Helvetica" w:hAnsi="Helvetica" w:cstheme="minorHAnsi"/>
          <w:sz w:val="22"/>
          <w:szCs w:val="22"/>
        </w:rPr>
        <w:t xml:space="preserve"> Y,</w:t>
      </w:r>
      <w:r w:rsidR="00221A75" w:rsidRPr="00E60C24">
        <w:rPr>
          <w:rFonts w:ascii="Helvetica" w:hAnsi="Helvetica" w:cstheme="minorHAnsi"/>
          <w:sz w:val="22"/>
          <w:szCs w:val="22"/>
        </w:rPr>
        <w:t xml:space="preserve"> </w:t>
      </w:r>
      <w:proofErr w:type="spellStart"/>
      <w:r w:rsidR="00A71E3C">
        <w:rPr>
          <w:rFonts w:ascii="Helvetica" w:hAnsi="Helvetica" w:cstheme="minorHAnsi"/>
          <w:sz w:val="22"/>
          <w:szCs w:val="22"/>
        </w:rPr>
        <w:t>Leshem</w:t>
      </w:r>
      <w:proofErr w:type="spellEnd"/>
      <w:r w:rsidR="00221A75" w:rsidRPr="00E60C24">
        <w:rPr>
          <w:rFonts w:ascii="Helvetica" w:hAnsi="Helvetica" w:cstheme="minorHAnsi"/>
          <w:sz w:val="22"/>
          <w:szCs w:val="22"/>
        </w:rPr>
        <w:t xml:space="preserve"> E. Early rate reductions of SARS-CoV-2 infection and COVID-19 in BNT162b2 vaccine recipients. </w:t>
      </w:r>
      <w:r w:rsidR="00221A75" w:rsidRPr="00E60C24">
        <w:rPr>
          <w:rFonts w:ascii="Helvetica" w:hAnsi="Helvetica" w:cstheme="minorHAnsi"/>
          <w:iCs/>
          <w:sz w:val="22"/>
          <w:szCs w:val="22"/>
        </w:rPr>
        <w:t>Lancet</w:t>
      </w:r>
      <w:r w:rsidR="00221A75" w:rsidRPr="00E60C24">
        <w:rPr>
          <w:rFonts w:ascii="Helvetica" w:hAnsi="Helvetica" w:cstheme="minorHAnsi"/>
          <w:sz w:val="22"/>
          <w:szCs w:val="22"/>
        </w:rPr>
        <w:t> </w:t>
      </w:r>
      <w:r w:rsidR="00A71E3C">
        <w:rPr>
          <w:rFonts w:ascii="Helvetica" w:hAnsi="Helvetica" w:cstheme="minorHAnsi"/>
          <w:sz w:val="22"/>
          <w:szCs w:val="22"/>
        </w:rPr>
        <w:t xml:space="preserve">2021; </w:t>
      </w:r>
      <w:r w:rsidR="00221A75" w:rsidRPr="00E60C24">
        <w:rPr>
          <w:rFonts w:ascii="Helvetica" w:hAnsi="Helvetica" w:cstheme="minorHAnsi"/>
          <w:b/>
          <w:bCs/>
          <w:sz w:val="22"/>
          <w:szCs w:val="22"/>
        </w:rPr>
        <w:t>6736</w:t>
      </w:r>
      <w:r w:rsidR="00A71E3C">
        <w:rPr>
          <w:rFonts w:ascii="Helvetica" w:hAnsi="Helvetica" w:cstheme="minorHAnsi"/>
          <w:sz w:val="22"/>
          <w:szCs w:val="22"/>
        </w:rPr>
        <w:t>; 18-19.</w:t>
      </w:r>
    </w:p>
    <w:p w14:paraId="6EA8FF2B" w14:textId="77777777" w:rsidR="00733DF1" w:rsidRPr="00E60C24" w:rsidRDefault="00733DF1" w:rsidP="00B928F2">
      <w:pPr>
        <w:spacing w:line="480" w:lineRule="auto"/>
        <w:rPr>
          <w:rFonts w:ascii="Helvetica" w:hAnsi="Helvetica" w:cstheme="minorHAnsi"/>
          <w:sz w:val="22"/>
          <w:szCs w:val="22"/>
        </w:rPr>
      </w:pPr>
    </w:p>
    <w:p w14:paraId="6C40D3D2" w14:textId="192B7037" w:rsidR="00221A75" w:rsidRPr="00E60C24" w:rsidRDefault="008E3FCF" w:rsidP="00B928F2">
      <w:pPr>
        <w:spacing w:line="480" w:lineRule="auto"/>
        <w:rPr>
          <w:rFonts w:ascii="Helvetica" w:hAnsi="Helvetica" w:cstheme="minorHAnsi"/>
          <w:sz w:val="22"/>
          <w:szCs w:val="22"/>
        </w:rPr>
      </w:pPr>
      <w:r>
        <w:rPr>
          <w:rFonts w:ascii="Helvetica" w:hAnsi="Helvetica" w:cstheme="minorHAnsi"/>
          <w:sz w:val="22"/>
          <w:szCs w:val="22"/>
          <w:lang w:val="en-US"/>
        </w:rPr>
        <w:t>6</w:t>
      </w:r>
      <w:r w:rsidR="00221A75" w:rsidRPr="00E60C24">
        <w:rPr>
          <w:rFonts w:ascii="Helvetica" w:hAnsi="Helvetica" w:cstheme="minorHAnsi"/>
          <w:sz w:val="22"/>
          <w:szCs w:val="22"/>
          <w:lang w:val="en-US"/>
        </w:rPr>
        <w:tab/>
      </w:r>
      <w:proofErr w:type="spellStart"/>
      <w:r w:rsidR="00221A75" w:rsidRPr="00E60C24">
        <w:rPr>
          <w:rFonts w:ascii="Helvetica" w:hAnsi="Helvetica" w:cstheme="minorHAnsi"/>
          <w:sz w:val="22"/>
          <w:szCs w:val="22"/>
        </w:rPr>
        <w:t>Chodick</w:t>
      </w:r>
      <w:proofErr w:type="spellEnd"/>
      <w:r w:rsidR="00221A75" w:rsidRPr="00E60C24">
        <w:rPr>
          <w:rFonts w:ascii="Helvetica" w:hAnsi="Helvetica" w:cstheme="minorHAnsi"/>
          <w:sz w:val="22"/>
          <w:szCs w:val="22"/>
        </w:rPr>
        <w:t xml:space="preserve"> G, </w:t>
      </w:r>
      <w:proofErr w:type="spellStart"/>
      <w:r w:rsidR="00221A75" w:rsidRPr="00E60C24">
        <w:rPr>
          <w:rFonts w:ascii="Helvetica" w:hAnsi="Helvetica" w:cstheme="minorHAnsi"/>
          <w:sz w:val="22"/>
          <w:szCs w:val="22"/>
        </w:rPr>
        <w:t>Tene</w:t>
      </w:r>
      <w:proofErr w:type="spellEnd"/>
      <w:r w:rsidR="00221A75" w:rsidRPr="00E60C24">
        <w:rPr>
          <w:rFonts w:ascii="Helvetica" w:hAnsi="Helvetica" w:cstheme="minorHAnsi"/>
          <w:sz w:val="22"/>
          <w:szCs w:val="22"/>
        </w:rPr>
        <w:t xml:space="preserve"> L, </w:t>
      </w:r>
      <w:proofErr w:type="spellStart"/>
      <w:r w:rsidR="00221A75" w:rsidRPr="00E60C24">
        <w:rPr>
          <w:rFonts w:ascii="Helvetica" w:hAnsi="Helvetica" w:cstheme="minorHAnsi"/>
          <w:sz w:val="22"/>
          <w:szCs w:val="22"/>
        </w:rPr>
        <w:t>Patalon</w:t>
      </w:r>
      <w:proofErr w:type="spellEnd"/>
      <w:r w:rsidR="00221A75" w:rsidRPr="00E60C24">
        <w:rPr>
          <w:rFonts w:ascii="Helvetica" w:hAnsi="Helvetica" w:cstheme="minorHAnsi"/>
          <w:sz w:val="22"/>
          <w:szCs w:val="22"/>
        </w:rPr>
        <w:t xml:space="preserve"> T, et al. Assessment of Effectiveness of 1 Dose of BNT162b2 Vaccine for SARS-CoV-2 Infection 13 to 24 Days After Immunization. </w:t>
      </w:r>
      <w:r w:rsidR="00A71E3C">
        <w:rPr>
          <w:rFonts w:ascii="Helvetica" w:hAnsi="Helvetica" w:cstheme="minorHAnsi"/>
          <w:i/>
          <w:iCs/>
          <w:sz w:val="22"/>
          <w:szCs w:val="22"/>
        </w:rPr>
        <w:t xml:space="preserve">JAMA </w:t>
      </w:r>
      <w:proofErr w:type="spellStart"/>
      <w:r w:rsidR="00A71E3C">
        <w:rPr>
          <w:rFonts w:ascii="Helvetica" w:hAnsi="Helvetica" w:cstheme="minorHAnsi"/>
          <w:i/>
          <w:iCs/>
          <w:sz w:val="22"/>
          <w:szCs w:val="22"/>
        </w:rPr>
        <w:t>Netw</w:t>
      </w:r>
      <w:proofErr w:type="spellEnd"/>
      <w:r w:rsidR="00A71E3C">
        <w:rPr>
          <w:rFonts w:ascii="Helvetica" w:hAnsi="Helvetica" w:cstheme="minorHAnsi"/>
          <w:i/>
          <w:iCs/>
          <w:sz w:val="22"/>
          <w:szCs w:val="22"/>
        </w:rPr>
        <w:t xml:space="preserve"> Open</w:t>
      </w:r>
      <w:r w:rsidR="00221A75" w:rsidRPr="00A71E3C">
        <w:rPr>
          <w:rFonts w:ascii="Helvetica" w:hAnsi="Helvetica" w:cstheme="minorHAnsi"/>
          <w:i/>
          <w:sz w:val="22"/>
          <w:szCs w:val="22"/>
        </w:rPr>
        <w:t> </w:t>
      </w:r>
      <w:r w:rsidR="00221A75" w:rsidRPr="00E60C24">
        <w:rPr>
          <w:rFonts w:ascii="Helvetica" w:hAnsi="Helvetica" w:cstheme="minorHAnsi"/>
          <w:sz w:val="22"/>
          <w:szCs w:val="22"/>
        </w:rPr>
        <w:t>2021;</w:t>
      </w:r>
      <w:r w:rsidR="00A71E3C">
        <w:rPr>
          <w:rFonts w:ascii="Helvetica" w:hAnsi="Helvetica" w:cstheme="minorHAnsi"/>
          <w:sz w:val="22"/>
          <w:szCs w:val="22"/>
        </w:rPr>
        <w:t xml:space="preserve"> </w:t>
      </w:r>
      <w:r w:rsidR="00221A75" w:rsidRPr="00A71E3C">
        <w:rPr>
          <w:rFonts w:ascii="Helvetica" w:hAnsi="Helvetica" w:cstheme="minorHAnsi"/>
          <w:b/>
          <w:sz w:val="22"/>
          <w:szCs w:val="22"/>
        </w:rPr>
        <w:t>4(6)</w:t>
      </w:r>
      <w:r w:rsidR="00221A75" w:rsidRPr="00E60C24">
        <w:rPr>
          <w:rFonts w:ascii="Helvetica" w:hAnsi="Helvetica" w:cstheme="minorHAnsi"/>
          <w:sz w:val="22"/>
          <w:szCs w:val="22"/>
        </w:rPr>
        <w:t>:</w:t>
      </w:r>
      <w:r w:rsidR="00A71E3C">
        <w:rPr>
          <w:rFonts w:ascii="Helvetica" w:hAnsi="Helvetica" w:cstheme="minorHAnsi"/>
          <w:sz w:val="22"/>
          <w:szCs w:val="22"/>
        </w:rPr>
        <w:t xml:space="preserve"> </w:t>
      </w:r>
      <w:r w:rsidR="00221A75" w:rsidRPr="00E60C24">
        <w:rPr>
          <w:rFonts w:ascii="Helvetica" w:hAnsi="Helvetica" w:cstheme="minorHAnsi"/>
          <w:sz w:val="22"/>
          <w:szCs w:val="22"/>
        </w:rPr>
        <w:t xml:space="preserve">e2115985. </w:t>
      </w:r>
    </w:p>
    <w:p w14:paraId="6451FB6C" w14:textId="77777777" w:rsidR="00733DF1" w:rsidRPr="00E60C24" w:rsidRDefault="00733DF1" w:rsidP="00B928F2">
      <w:pPr>
        <w:spacing w:line="480" w:lineRule="auto"/>
        <w:rPr>
          <w:rFonts w:ascii="Helvetica" w:hAnsi="Helvetica" w:cstheme="minorHAnsi"/>
          <w:sz w:val="22"/>
          <w:szCs w:val="22"/>
        </w:rPr>
      </w:pPr>
    </w:p>
    <w:p w14:paraId="0E0B1AB3" w14:textId="26E1807E" w:rsidR="00221A75" w:rsidRPr="00E60C24" w:rsidRDefault="008E3FCF" w:rsidP="00B928F2">
      <w:pPr>
        <w:spacing w:line="480" w:lineRule="auto"/>
        <w:rPr>
          <w:rFonts w:ascii="Helvetica" w:hAnsi="Helvetica" w:cstheme="minorHAnsi"/>
          <w:sz w:val="22"/>
          <w:szCs w:val="22"/>
        </w:rPr>
      </w:pPr>
      <w:r>
        <w:rPr>
          <w:rFonts w:ascii="Helvetica" w:hAnsi="Helvetica" w:cstheme="minorHAnsi"/>
          <w:sz w:val="22"/>
          <w:szCs w:val="22"/>
          <w:lang w:val="en-US"/>
        </w:rPr>
        <w:t>7</w:t>
      </w:r>
      <w:r w:rsidR="009815BF" w:rsidRPr="00E60C24">
        <w:rPr>
          <w:rFonts w:ascii="Helvetica" w:hAnsi="Helvetica" w:cstheme="minorHAnsi"/>
          <w:sz w:val="22"/>
          <w:szCs w:val="22"/>
          <w:lang w:val="en-US"/>
        </w:rPr>
        <w:t xml:space="preserve"> </w:t>
      </w:r>
      <w:r w:rsidR="00221A75" w:rsidRPr="00E60C24">
        <w:rPr>
          <w:rFonts w:ascii="Helvetica" w:hAnsi="Helvetica" w:cstheme="minorHAnsi"/>
          <w:sz w:val="22"/>
          <w:szCs w:val="22"/>
          <w:lang w:val="en-US"/>
        </w:rPr>
        <w:tab/>
      </w:r>
      <w:r w:rsidR="00221A75" w:rsidRPr="00E60C24">
        <w:rPr>
          <w:rFonts w:ascii="Helvetica" w:hAnsi="Helvetica" w:cstheme="minorHAnsi"/>
          <w:sz w:val="22"/>
          <w:szCs w:val="22"/>
        </w:rPr>
        <w:t>Lopez Bernal J, Andrews N, Gower C, et al. Effectiveness of the Pfizer-</w:t>
      </w:r>
      <w:proofErr w:type="spellStart"/>
      <w:r w:rsidR="00221A75" w:rsidRPr="00E60C24">
        <w:rPr>
          <w:rFonts w:ascii="Helvetica" w:hAnsi="Helvetica" w:cstheme="minorHAnsi"/>
          <w:sz w:val="22"/>
          <w:szCs w:val="22"/>
        </w:rPr>
        <w:t>BioNTech</w:t>
      </w:r>
      <w:proofErr w:type="spellEnd"/>
      <w:r w:rsidR="00221A75" w:rsidRPr="00E60C24">
        <w:rPr>
          <w:rFonts w:ascii="Helvetica" w:hAnsi="Helvetica" w:cstheme="minorHAnsi"/>
          <w:sz w:val="22"/>
          <w:szCs w:val="22"/>
        </w:rPr>
        <w:t xml:space="preserve"> and Oxford-AstraZeneca vaccines on covid-19 related symptoms, hospital admissions, and mortality in older adults in England: test negative case-control study</w:t>
      </w:r>
      <w:r w:rsidR="00A71E3C">
        <w:rPr>
          <w:rFonts w:ascii="Helvetica" w:hAnsi="Helvetica" w:cstheme="minorHAnsi"/>
          <w:sz w:val="22"/>
          <w:szCs w:val="22"/>
        </w:rPr>
        <w:t xml:space="preserve">. </w:t>
      </w:r>
      <w:r w:rsidR="00221A75" w:rsidRPr="00A71E3C">
        <w:rPr>
          <w:rFonts w:ascii="Helvetica" w:hAnsi="Helvetica" w:cstheme="minorHAnsi"/>
          <w:i/>
          <w:iCs/>
          <w:sz w:val="22"/>
          <w:szCs w:val="22"/>
        </w:rPr>
        <w:t>BMJ</w:t>
      </w:r>
      <w:r w:rsidR="00221A75" w:rsidRPr="00E60C24">
        <w:rPr>
          <w:rFonts w:ascii="Helvetica" w:hAnsi="Helvetica" w:cstheme="minorHAnsi"/>
          <w:iCs/>
          <w:sz w:val="22"/>
          <w:szCs w:val="22"/>
        </w:rPr>
        <w:t> </w:t>
      </w:r>
      <w:r w:rsidR="00221A75" w:rsidRPr="00E60C24">
        <w:rPr>
          <w:rFonts w:ascii="Helvetica" w:hAnsi="Helvetica" w:cstheme="minorHAnsi"/>
          <w:sz w:val="22"/>
          <w:szCs w:val="22"/>
        </w:rPr>
        <w:t>2021; </w:t>
      </w:r>
      <w:r w:rsidR="00221A75" w:rsidRPr="00A71E3C">
        <w:rPr>
          <w:rFonts w:ascii="Helvetica" w:hAnsi="Helvetica" w:cstheme="minorHAnsi"/>
          <w:b/>
          <w:sz w:val="22"/>
          <w:szCs w:val="22"/>
        </w:rPr>
        <w:t>373</w:t>
      </w:r>
      <w:r w:rsidR="00221A75" w:rsidRPr="00E60C24">
        <w:rPr>
          <w:rFonts w:ascii="Helvetica" w:hAnsi="Helvetica" w:cstheme="minorHAnsi"/>
          <w:sz w:val="22"/>
          <w:szCs w:val="22"/>
        </w:rPr>
        <w:t>:</w:t>
      </w:r>
      <w:r w:rsidR="00A71E3C">
        <w:rPr>
          <w:rFonts w:ascii="Helvetica" w:hAnsi="Helvetica" w:cstheme="minorHAnsi"/>
          <w:sz w:val="22"/>
          <w:szCs w:val="22"/>
        </w:rPr>
        <w:t xml:space="preserve"> n1088.</w:t>
      </w:r>
    </w:p>
    <w:p w14:paraId="3827402B" w14:textId="77777777" w:rsidR="00733DF1" w:rsidRPr="00E60C24" w:rsidRDefault="00733DF1" w:rsidP="00B928F2">
      <w:pPr>
        <w:spacing w:line="480" w:lineRule="auto"/>
        <w:rPr>
          <w:rFonts w:ascii="Helvetica" w:hAnsi="Helvetica" w:cstheme="minorHAnsi"/>
          <w:sz w:val="22"/>
          <w:szCs w:val="22"/>
        </w:rPr>
      </w:pPr>
    </w:p>
    <w:p w14:paraId="5B0BFECC" w14:textId="340B2B94" w:rsidR="00221A75" w:rsidRPr="00E60C24" w:rsidRDefault="008E3FCF" w:rsidP="00B928F2">
      <w:pPr>
        <w:spacing w:line="480" w:lineRule="auto"/>
        <w:rPr>
          <w:rFonts w:ascii="Helvetica" w:hAnsi="Helvetica" w:cstheme="minorHAnsi"/>
          <w:bCs/>
          <w:sz w:val="22"/>
          <w:szCs w:val="22"/>
        </w:rPr>
      </w:pPr>
      <w:r>
        <w:rPr>
          <w:rFonts w:ascii="Helvetica" w:hAnsi="Helvetica" w:cstheme="minorHAnsi"/>
          <w:sz w:val="22"/>
          <w:szCs w:val="22"/>
        </w:rPr>
        <w:t>8</w:t>
      </w:r>
      <w:r w:rsidR="009815BF" w:rsidRPr="00E60C24">
        <w:rPr>
          <w:rFonts w:ascii="Helvetica" w:hAnsi="Helvetica" w:cstheme="minorHAnsi"/>
          <w:sz w:val="22"/>
          <w:szCs w:val="22"/>
        </w:rPr>
        <w:t xml:space="preserve"> </w:t>
      </w:r>
      <w:r w:rsidR="00221A75" w:rsidRPr="00E60C24">
        <w:rPr>
          <w:rFonts w:ascii="Helvetica" w:hAnsi="Helvetica" w:cstheme="minorHAnsi"/>
          <w:sz w:val="22"/>
          <w:szCs w:val="22"/>
        </w:rPr>
        <w:tab/>
        <w:t xml:space="preserve">Dagan N, </w:t>
      </w:r>
      <w:proofErr w:type="spellStart"/>
      <w:r w:rsidR="00221A75" w:rsidRPr="00E60C24">
        <w:rPr>
          <w:rFonts w:ascii="Helvetica" w:hAnsi="Helvetica" w:cstheme="minorHAnsi"/>
          <w:sz w:val="22"/>
          <w:szCs w:val="22"/>
        </w:rPr>
        <w:t>Barda</w:t>
      </w:r>
      <w:proofErr w:type="spellEnd"/>
      <w:r w:rsidR="00221A75" w:rsidRPr="00E60C24">
        <w:rPr>
          <w:rFonts w:ascii="Helvetica" w:hAnsi="Helvetica" w:cstheme="minorHAnsi"/>
          <w:sz w:val="22"/>
          <w:szCs w:val="22"/>
        </w:rPr>
        <w:t xml:space="preserve"> N, </w:t>
      </w:r>
      <w:proofErr w:type="spellStart"/>
      <w:r w:rsidR="00221A75" w:rsidRPr="00E60C24">
        <w:rPr>
          <w:rFonts w:ascii="Helvetica" w:hAnsi="Helvetica" w:cstheme="minorHAnsi"/>
          <w:sz w:val="22"/>
          <w:szCs w:val="22"/>
        </w:rPr>
        <w:t>Kepten</w:t>
      </w:r>
      <w:proofErr w:type="spellEnd"/>
      <w:r w:rsidR="00221A75" w:rsidRPr="00E60C24">
        <w:rPr>
          <w:rFonts w:ascii="Helvetica" w:hAnsi="Helvetica" w:cstheme="minorHAnsi"/>
          <w:sz w:val="22"/>
          <w:szCs w:val="22"/>
        </w:rPr>
        <w:t xml:space="preserve"> E, et al. </w:t>
      </w:r>
      <w:r w:rsidR="00221A75" w:rsidRPr="00E60C24">
        <w:rPr>
          <w:rFonts w:ascii="Helvetica" w:hAnsi="Helvetica" w:cstheme="minorHAnsi"/>
          <w:bCs/>
          <w:sz w:val="22"/>
          <w:szCs w:val="22"/>
        </w:rPr>
        <w:t xml:space="preserve">BNT162b2 mRNA Covid-19 vaccine in a nationwide mass vaccination setting. </w:t>
      </w:r>
      <w:r w:rsidR="00221A75" w:rsidRPr="00A71E3C">
        <w:rPr>
          <w:rFonts w:ascii="Helvetica" w:hAnsi="Helvetica" w:cstheme="minorHAnsi"/>
          <w:bCs/>
          <w:i/>
          <w:sz w:val="22"/>
          <w:szCs w:val="22"/>
        </w:rPr>
        <w:t xml:space="preserve">N </w:t>
      </w:r>
      <w:proofErr w:type="spellStart"/>
      <w:r w:rsidR="00221A75" w:rsidRPr="00A71E3C">
        <w:rPr>
          <w:rFonts w:ascii="Helvetica" w:hAnsi="Helvetica" w:cstheme="minorHAnsi"/>
          <w:bCs/>
          <w:i/>
          <w:sz w:val="22"/>
          <w:szCs w:val="22"/>
        </w:rPr>
        <w:t>Eng</w:t>
      </w:r>
      <w:proofErr w:type="spellEnd"/>
      <w:r w:rsidR="00221A75" w:rsidRPr="00A71E3C">
        <w:rPr>
          <w:rFonts w:ascii="Helvetica" w:hAnsi="Helvetica" w:cstheme="minorHAnsi"/>
          <w:bCs/>
          <w:i/>
          <w:sz w:val="22"/>
          <w:szCs w:val="22"/>
        </w:rPr>
        <w:t xml:space="preserve"> J Med</w:t>
      </w:r>
      <w:r w:rsidR="00221A75" w:rsidRPr="00E60C24">
        <w:rPr>
          <w:rFonts w:ascii="Helvetica" w:hAnsi="Helvetica" w:cstheme="minorHAnsi"/>
          <w:bCs/>
          <w:sz w:val="22"/>
          <w:szCs w:val="22"/>
        </w:rPr>
        <w:t xml:space="preserve"> 2021; </w:t>
      </w:r>
      <w:r w:rsidR="00221A75" w:rsidRPr="00E60C24">
        <w:rPr>
          <w:rFonts w:ascii="Helvetica" w:hAnsi="Helvetica" w:cstheme="minorHAnsi"/>
          <w:b/>
          <w:bCs/>
          <w:sz w:val="22"/>
          <w:szCs w:val="22"/>
        </w:rPr>
        <w:t>384</w:t>
      </w:r>
      <w:r w:rsidR="00221A75" w:rsidRPr="00E60C24">
        <w:rPr>
          <w:rFonts w:ascii="Helvetica" w:hAnsi="Helvetica" w:cstheme="minorHAnsi"/>
          <w:bCs/>
          <w:sz w:val="22"/>
          <w:szCs w:val="22"/>
        </w:rPr>
        <w:t>: 1412-1423.</w:t>
      </w:r>
    </w:p>
    <w:p w14:paraId="54D5749B" w14:textId="77777777" w:rsidR="00733DF1" w:rsidRPr="00E60C24" w:rsidRDefault="00733DF1" w:rsidP="00B928F2">
      <w:pPr>
        <w:spacing w:line="480" w:lineRule="auto"/>
        <w:rPr>
          <w:rFonts w:ascii="Helvetica" w:hAnsi="Helvetica" w:cstheme="minorHAnsi"/>
          <w:sz w:val="22"/>
          <w:szCs w:val="22"/>
        </w:rPr>
      </w:pPr>
    </w:p>
    <w:p w14:paraId="12E2BDCC" w14:textId="12281BE9" w:rsidR="00147069" w:rsidRPr="00E60C24" w:rsidRDefault="008E3FCF" w:rsidP="00B928F2">
      <w:pPr>
        <w:spacing w:line="480" w:lineRule="auto"/>
        <w:rPr>
          <w:rFonts w:ascii="Helvetica" w:hAnsi="Helvetica" w:cstheme="minorHAnsi"/>
          <w:sz w:val="22"/>
          <w:szCs w:val="22"/>
        </w:rPr>
      </w:pPr>
      <w:r>
        <w:rPr>
          <w:rFonts w:ascii="Helvetica" w:hAnsi="Helvetica" w:cstheme="minorHAnsi"/>
          <w:sz w:val="22"/>
          <w:szCs w:val="22"/>
        </w:rPr>
        <w:t>9</w:t>
      </w:r>
      <w:r w:rsidR="002C6EC4" w:rsidRPr="00E60C24">
        <w:rPr>
          <w:rFonts w:ascii="Helvetica" w:hAnsi="Helvetica" w:cstheme="minorHAnsi"/>
          <w:sz w:val="22"/>
          <w:szCs w:val="22"/>
        </w:rPr>
        <w:t xml:space="preserve"> </w:t>
      </w:r>
      <w:r w:rsidR="00147069" w:rsidRPr="00E60C24">
        <w:rPr>
          <w:rFonts w:ascii="Helvetica" w:hAnsi="Helvetica" w:cstheme="minorHAnsi"/>
          <w:sz w:val="22"/>
          <w:szCs w:val="22"/>
        </w:rPr>
        <w:tab/>
      </w:r>
      <w:proofErr w:type="spellStart"/>
      <w:r w:rsidR="00233E2B" w:rsidRPr="00233E2B">
        <w:rPr>
          <w:rFonts w:ascii="Helvetica" w:hAnsi="Helvetica" w:cstheme="minorHAnsi"/>
          <w:sz w:val="22"/>
          <w:szCs w:val="22"/>
        </w:rPr>
        <w:t>Ferreras</w:t>
      </w:r>
      <w:proofErr w:type="spellEnd"/>
      <w:r w:rsidR="00233E2B" w:rsidRPr="00233E2B">
        <w:rPr>
          <w:rFonts w:ascii="Helvetica" w:hAnsi="Helvetica" w:cstheme="minorHAnsi"/>
          <w:sz w:val="22"/>
          <w:szCs w:val="22"/>
        </w:rPr>
        <w:t xml:space="preserve"> E, </w:t>
      </w:r>
      <w:proofErr w:type="spellStart"/>
      <w:r w:rsidR="00233E2B" w:rsidRPr="00233E2B">
        <w:rPr>
          <w:rFonts w:ascii="Helvetica" w:hAnsi="Helvetica" w:cstheme="minorHAnsi"/>
          <w:sz w:val="22"/>
          <w:szCs w:val="22"/>
        </w:rPr>
        <w:t>Chizema-Kawesha</w:t>
      </w:r>
      <w:proofErr w:type="spellEnd"/>
      <w:r w:rsidR="00233E2B" w:rsidRPr="00233E2B">
        <w:rPr>
          <w:rFonts w:ascii="Helvetica" w:hAnsi="Helvetica" w:cstheme="minorHAnsi"/>
          <w:sz w:val="22"/>
          <w:szCs w:val="22"/>
        </w:rPr>
        <w:t xml:space="preserve"> E, Blake A, </w:t>
      </w:r>
      <w:r w:rsidR="00233E2B">
        <w:rPr>
          <w:rFonts w:ascii="Helvetica" w:hAnsi="Helvetica" w:cstheme="minorHAnsi"/>
          <w:sz w:val="22"/>
          <w:szCs w:val="22"/>
        </w:rPr>
        <w:t xml:space="preserve">et al. </w:t>
      </w:r>
      <w:r w:rsidR="00147069" w:rsidRPr="00E60C24">
        <w:rPr>
          <w:rFonts w:ascii="Helvetica" w:hAnsi="Helvetica" w:cstheme="minorHAnsi"/>
          <w:sz w:val="22"/>
          <w:szCs w:val="22"/>
        </w:rPr>
        <w:t xml:space="preserve">Single-dose cholera vaccine in response to an outbreak in </w:t>
      </w:r>
      <w:proofErr w:type="spellStart"/>
      <w:r w:rsidR="00147069" w:rsidRPr="00E60C24">
        <w:rPr>
          <w:rFonts w:ascii="Helvetica" w:hAnsi="Helvetica" w:cstheme="minorHAnsi"/>
          <w:sz w:val="22"/>
          <w:szCs w:val="22"/>
        </w:rPr>
        <w:t>zambia</w:t>
      </w:r>
      <w:proofErr w:type="spellEnd"/>
      <w:r w:rsidR="00147069" w:rsidRPr="00E60C24">
        <w:rPr>
          <w:rFonts w:ascii="Helvetica" w:hAnsi="Helvetica" w:cstheme="minorHAnsi"/>
          <w:sz w:val="22"/>
          <w:szCs w:val="22"/>
        </w:rPr>
        <w:t>. </w:t>
      </w:r>
      <w:r w:rsidR="00A71E3C">
        <w:rPr>
          <w:rFonts w:ascii="Helvetica" w:hAnsi="Helvetica" w:cstheme="minorHAnsi"/>
          <w:i/>
          <w:iCs/>
          <w:sz w:val="22"/>
          <w:szCs w:val="22"/>
        </w:rPr>
        <w:t xml:space="preserve">N </w:t>
      </w:r>
      <w:proofErr w:type="spellStart"/>
      <w:r w:rsidR="00A71E3C">
        <w:rPr>
          <w:rFonts w:ascii="Helvetica" w:hAnsi="Helvetica" w:cstheme="minorHAnsi"/>
          <w:i/>
          <w:iCs/>
          <w:sz w:val="22"/>
          <w:szCs w:val="22"/>
        </w:rPr>
        <w:t>Engl</w:t>
      </w:r>
      <w:proofErr w:type="spellEnd"/>
      <w:r w:rsidR="00A71E3C">
        <w:rPr>
          <w:rFonts w:ascii="Helvetica" w:hAnsi="Helvetica" w:cstheme="minorHAnsi"/>
          <w:i/>
          <w:iCs/>
          <w:sz w:val="22"/>
          <w:szCs w:val="22"/>
        </w:rPr>
        <w:t xml:space="preserve"> J</w:t>
      </w:r>
      <w:r w:rsidR="00147069" w:rsidRPr="00A71E3C">
        <w:rPr>
          <w:rFonts w:ascii="Helvetica" w:hAnsi="Helvetica" w:cstheme="minorHAnsi"/>
          <w:i/>
          <w:iCs/>
          <w:sz w:val="22"/>
          <w:szCs w:val="22"/>
        </w:rPr>
        <w:t xml:space="preserve"> Med</w:t>
      </w:r>
      <w:r w:rsidR="00147069" w:rsidRPr="00E60C24">
        <w:rPr>
          <w:rFonts w:ascii="Helvetica" w:hAnsi="Helvetica" w:cstheme="minorHAnsi"/>
          <w:sz w:val="22"/>
          <w:szCs w:val="22"/>
        </w:rPr>
        <w:t> </w:t>
      </w:r>
      <w:r w:rsidR="00A71E3C">
        <w:rPr>
          <w:rFonts w:ascii="Helvetica" w:hAnsi="Helvetica" w:cstheme="minorHAnsi"/>
          <w:sz w:val="22"/>
          <w:szCs w:val="22"/>
        </w:rPr>
        <w:t xml:space="preserve">2018; </w:t>
      </w:r>
      <w:r w:rsidR="00147069" w:rsidRPr="00E60C24">
        <w:rPr>
          <w:rFonts w:ascii="Helvetica" w:hAnsi="Helvetica" w:cstheme="minorHAnsi"/>
          <w:b/>
          <w:bCs/>
          <w:sz w:val="22"/>
          <w:szCs w:val="22"/>
        </w:rPr>
        <w:t>378</w:t>
      </w:r>
      <w:r w:rsidR="00234BF2">
        <w:rPr>
          <w:rFonts w:ascii="Helvetica" w:hAnsi="Helvetica" w:cstheme="minorHAnsi"/>
          <w:sz w:val="22"/>
          <w:szCs w:val="22"/>
        </w:rPr>
        <w:t>:</w:t>
      </w:r>
      <w:r w:rsidR="00A71E3C">
        <w:rPr>
          <w:rFonts w:ascii="Helvetica" w:hAnsi="Helvetica" w:cstheme="minorHAnsi"/>
          <w:sz w:val="22"/>
          <w:szCs w:val="22"/>
        </w:rPr>
        <w:t xml:space="preserve"> 577-579</w:t>
      </w:r>
      <w:r w:rsidR="00147069" w:rsidRPr="00E60C24">
        <w:rPr>
          <w:rFonts w:ascii="Helvetica" w:hAnsi="Helvetica" w:cstheme="minorHAnsi"/>
          <w:sz w:val="22"/>
          <w:szCs w:val="22"/>
        </w:rPr>
        <w:t>.</w:t>
      </w:r>
    </w:p>
    <w:p w14:paraId="1BE746FC" w14:textId="77777777" w:rsidR="00733DF1" w:rsidRPr="00E60C24" w:rsidRDefault="00733DF1" w:rsidP="00B928F2">
      <w:pPr>
        <w:spacing w:line="480" w:lineRule="auto"/>
        <w:rPr>
          <w:rFonts w:ascii="Helvetica" w:hAnsi="Helvetica" w:cstheme="minorHAnsi"/>
          <w:sz w:val="22"/>
          <w:szCs w:val="22"/>
        </w:rPr>
      </w:pPr>
    </w:p>
    <w:p w14:paraId="36F8E2AE" w14:textId="1293C987" w:rsidR="00234BF2" w:rsidRDefault="008E3FCF" w:rsidP="00B928F2">
      <w:pPr>
        <w:spacing w:line="480" w:lineRule="auto"/>
        <w:rPr>
          <w:rFonts w:ascii="Helvetica" w:hAnsi="Helvetica" w:cstheme="minorHAnsi"/>
          <w:sz w:val="22"/>
          <w:szCs w:val="22"/>
        </w:rPr>
      </w:pPr>
      <w:r>
        <w:rPr>
          <w:rFonts w:ascii="Helvetica" w:hAnsi="Helvetica" w:cstheme="minorHAnsi"/>
          <w:sz w:val="22"/>
          <w:szCs w:val="22"/>
        </w:rPr>
        <w:t>10</w:t>
      </w:r>
      <w:r w:rsidR="00147069" w:rsidRPr="00E60C24">
        <w:rPr>
          <w:rFonts w:ascii="Helvetica" w:hAnsi="Helvetica" w:cstheme="minorHAnsi"/>
          <w:sz w:val="22"/>
          <w:szCs w:val="22"/>
        </w:rPr>
        <w:tab/>
      </w:r>
      <w:r w:rsidR="00234BF2" w:rsidRPr="00234BF2">
        <w:rPr>
          <w:rFonts w:ascii="Helvetica" w:hAnsi="Helvetica" w:cstheme="minorHAnsi"/>
          <w:sz w:val="22"/>
          <w:szCs w:val="22"/>
        </w:rPr>
        <w:t xml:space="preserve">Casey RM, Harris JB, </w:t>
      </w:r>
      <w:proofErr w:type="spellStart"/>
      <w:r w:rsidR="00234BF2" w:rsidRPr="00234BF2">
        <w:rPr>
          <w:rFonts w:ascii="Helvetica" w:hAnsi="Helvetica" w:cstheme="minorHAnsi"/>
          <w:sz w:val="22"/>
          <w:szCs w:val="22"/>
        </w:rPr>
        <w:t>Ahuka-Mundeke</w:t>
      </w:r>
      <w:proofErr w:type="spellEnd"/>
      <w:r w:rsidR="00234BF2" w:rsidRPr="00234BF2">
        <w:rPr>
          <w:rFonts w:ascii="Helvetica" w:hAnsi="Helvetica" w:cstheme="minorHAnsi"/>
          <w:sz w:val="22"/>
          <w:szCs w:val="22"/>
        </w:rPr>
        <w:t xml:space="preserve"> S, </w:t>
      </w:r>
      <w:r w:rsidR="00233E2B">
        <w:rPr>
          <w:rFonts w:ascii="Helvetica" w:hAnsi="Helvetica" w:cstheme="minorHAnsi"/>
          <w:sz w:val="22"/>
          <w:szCs w:val="22"/>
        </w:rPr>
        <w:t>et al.</w:t>
      </w:r>
      <w:r w:rsidR="00234BF2" w:rsidRPr="00234BF2">
        <w:rPr>
          <w:rFonts w:ascii="Helvetica" w:hAnsi="Helvetica" w:cstheme="minorHAnsi"/>
          <w:sz w:val="22"/>
          <w:szCs w:val="22"/>
        </w:rPr>
        <w:t xml:space="preserve"> Immunogenicity of Fractional-Dose Vaccine during a Yellow Fever Outbreak - Final Report. </w:t>
      </w:r>
      <w:r w:rsidR="00234BF2" w:rsidRPr="00234BF2">
        <w:rPr>
          <w:rFonts w:ascii="Helvetica" w:hAnsi="Helvetica" w:cstheme="minorHAnsi"/>
          <w:i/>
          <w:iCs/>
          <w:sz w:val="22"/>
          <w:szCs w:val="22"/>
        </w:rPr>
        <w:t xml:space="preserve">N </w:t>
      </w:r>
      <w:proofErr w:type="spellStart"/>
      <w:r w:rsidR="00234BF2" w:rsidRPr="00234BF2">
        <w:rPr>
          <w:rFonts w:ascii="Helvetica" w:hAnsi="Helvetica" w:cstheme="minorHAnsi"/>
          <w:i/>
          <w:iCs/>
          <w:sz w:val="22"/>
          <w:szCs w:val="22"/>
        </w:rPr>
        <w:t>Engl</w:t>
      </w:r>
      <w:proofErr w:type="spellEnd"/>
      <w:r w:rsidR="00234BF2" w:rsidRPr="00234BF2">
        <w:rPr>
          <w:rFonts w:ascii="Helvetica" w:hAnsi="Helvetica" w:cstheme="minorHAnsi"/>
          <w:i/>
          <w:iCs/>
          <w:sz w:val="22"/>
          <w:szCs w:val="22"/>
        </w:rPr>
        <w:t xml:space="preserve"> J Med</w:t>
      </w:r>
      <w:r w:rsidR="00234BF2">
        <w:rPr>
          <w:rFonts w:ascii="Helvetica" w:hAnsi="Helvetica" w:cstheme="minorHAnsi"/>
          <w:sz w:val="22"/>
          <w:szCs w:val="22"/>
        </w:rPr>
        <w:t xml:space="preserve"> </w:t>
      </w:r>
      <w:r w:rsidR="00234BF2" w:rsidRPr="00234BF2">
        <w:rPr>
          <w:rFonts w:ascii="Helvetica" w:hAnsi="Helvetica" w:cstheme="minorHAnsi"/>
          <w:sz w:val="22"/>
          <w:szCs w:val="22"/>
        </w:rPr>
        <w:t>2019;</w:t>
      </w:r>
      <w:r w:rsidR="00234BF2">
        <w:rPr>
          <w:rFonts w:ascii="Helvetica" w:hAnsi="Helvetica" w:cstheme="minorHAnsi"/>
          <w:sz w:val="22"/>
          <w:szCs w:val="22"/>
        </w:rPr>
        <w:t xml:space="preserve"> </w:t>
      </w:r>
      <w:r w:rsidR="00234BF2" w:rsidRPr="00673691">
        <w:rPr>
          <w:rFonts w:ascii="Helvetica" w:hAnsi="Helvetica" w:cstheme="minorHAnsi"/>
          <w:b/>
          <w:sz w:val="22"/>
          <w:szCs w:val="22"/>
        </w:rPr>
        <w:t>381</w:t>
      </w:r>
      <w:r w:rsidR="00234BF2" w:rsidRPr="00234BF2">
        <w:rPr>
          <w:rFonts w:ascii="Helvetica" w:hAnsi="Helvetica" w:cstheme="minorHAnsi"/>
          <w:sz w:val="22"/>
          <w:szCs w:val="22"/>
        </w:rPr>
        <w:t>(5):</w:t>
      </w:r>
      <w:r w:rsidR="00234BF2">
        <w:rPr>
          <w:rFonts w:ascii="Helvetica" w:hAnsi="Helvetica" w:cstheme="minorHAnsi"/>
          <w:sz w:val="22"/>
          <w:szCs w:val="22"/>
        </w:rPr>
        <w:t xml:space="preserve"> </w:t>
      </w:r>
      <w:r w:rsidR="00234BF2" w:rsidRPr="00234BF2">
        <w:rPr>
          <w:rFonts w:ascii="Helvetica" w:hAnsi="Helvetica" w:cstheme="minorHAnsi"/>
          <w:sz w:val="22"/>
          <w:szCs w:val="22"/>
        </w:rPr>
        <w:t xml:space="preserve">444-454. </w:t>
      </w:r>
    </w:p>
    <w:p w14:paraId="500D774E" w14:textId="77777777" w:rsidR="00221A75" w:rsidRPr="00E60C24" w:rsidRDefault="00221A75" w:rsidP="00B928F2">
      <w:pPr>
        <w:spacing w:line="480" w:lineRule="auto"/>
        <w:rPr>
          <w:rFonts w:ascii="Helvetica" w:hAnsi="Helvetica" w:cstheme="minorHAnsi"/>
          <w:sz w:val="22"/>
          <w:szCs w:val="22"/>
        </w:rPr>
      </w:pPr>
    </w:p>
    <w:p w14:paraId="0E78EB43" w14:textId="4B033F57" w:rsidR="00A1225E" w:rsidRPr="00A1225E" w:rsidRDefault="003212F8" w:rsidP="00B928F2">
      <w:pPr>
        <w:spacing w:line="480" w:lineRule="auto"/>
        <w:rPr>
          <w:rFonts w:ascii="Helvetica" w:hAnsi="Helvetica" w:cstheme="minorHAnsi"/>
          <w:sz w:val="22"/>
          <w:szCs w:val="22"/>
          <w:lang w:eastAsia="en-US"/>
        </w:rPr>
      </w:pPr>
      <w:r>
        <w:rPr>
          <w:rFonts w:ascii="Helvetica" w:hAnsi="Helvetica" w:cstheme="minorHAnsi"/>
          <w:sz w:val="22"/>
          <w:szCs w:val="22"/>
          <w:lang w:eastAsia="en-US"/>
        </w:rPr>
        <w:t>11</w:t>
      </w:r>
      <w:r w:rsidR="00B70DDB" w:rsidRPr="00E60C24">
        <w:rPr>
          <w:rFonts w:ascii="Helvetica" w:hAnsi="Helvetica" w:cstheme="minorHAnsi"/>
          <w:sz w:val="22"/>
          <w:szCs w:val="22"/>
          <w:lang w:eastAsia="en-US"/>
        </w:rPr>
        <w:t xml:space="preserve"> </w:t>
      </w:r>
      <w:r w:rsidR="00A71E3C">
        <w:rPr>
          <w:rFonts w:ascii="Helvetica" w:hAnsi="Helvetica" w:cstheme="minorHAnsi"/>
          <w:sz w:val="22"/>
          <w:szCs w:val="22"/>
          <w:lang w:eastAsia="en-US"/>
        </w:rPr>
        <w:tab/>
        <w:t>Barnabas RV, Wald, A</w:t>
      </w:r>
      <w:r w:rsidR="00A1225E">
        <w:rPr>
          <w:rFonts w:ascii="Helvetica" w:hAnsi="Helvetica" w:cstheme="minorHAnsi"/>
          <w:sz w:val="22"/>
          <w:szCs w:val="22"/>
          <w:lang w:eastAsia="en-US"/>
        </w:rPr>
        <w:t xml:space="preserve">. </w:t>
      </w:r>
      <w:r w:rsidR="00B70DDB" w:rsidRPr="00E60C24">
        <w:rPr>
          <w:rFonts w:ascii="Helvetica" w:hAnsi="Helvetica" w:cstheme="minorHAnsi"/>
          <w:sz w:val="22"/>
          <w:szCs w:val="22"/>
          <w:lang w:eastAsia="en-US"/>
        </w:rPr>
        <w:t>A public health covid-19 vaccination strategy to maximize the health gains for every single vaccine dose. </w:t>
      </w:r>
      <w:r w:rsidR="00A71E3C" w:rsidRPr="00A1225E">
        <w:rPr>
          <w:rFonts w:ascii="Helvetica" w:hAnsi="Helvetica" w:cstheme="minorHAnsi"/>
          <w:i/>
          <w:iCs/>
          <w:sz w:val="22"/>
          <w:szCs w:val="22"/>
          <w:lang w:eastAsia="en-US"/>
        </w:rPr>
        <w:t xml:space="preserve">Ann </w:t>
      </w:r>
      <w:proofErr w:type="spellStart"/>
      <w:r w:rsidR="00A71E3C" w:rsidRPr="00A1225E">
        <w:rPr>
          <w:rFonts w:ascii="Helvetica" w:hAnsi="Helvetica" w:cstheme="minorHAnsi"/>
          <w:i/>
          <w:iCs/>
          <w:sz w:val="22"/>
          <w:szCs w:val="22"/>
          <w:lang w:eastAsia="en-US"/>
        </w:rPr>
        <w:t>Int</w:t>
      </w:r>
      <w:proofErr w:type="spellEnd"/>
      <w:r w:rsidR="00C97B1E" w:rsidRPr="00A1225E">
        <w:rPr>
          <w:rFonts w:ascii="Helvetica" w:hAnsi="Helvetica" w:cstheme="minorHAnsi"/>
          <w:i/>
          <w:iCs/>
          <w:sz w:val="22"/>
          <w:szCs w:val="22"/>
          <w:lang w:eastAsia="en-US"/>
        </w:rPr>
        <w:t xml:space="preserve"> </w:t>
      </w:r>
      <w:r w:rsidR="00B70DDB" w:rsidRPr="00A1225E">
        <w:rPr>
          <w:rFonts w:ascii="Helvetica" w:hAnsi="Helvetica" w:cstheme="minorHAnsi"/>
          <w:i/>
          <w:iCs/>
          <w:sz w:val="22"/>
          <w:szCs w:val="22"/>
          <w:lang w:eastAsia="en-US"/>
        </w:rPr>
        <w:t>Med</w:t>
      </w:r>
      <w:r w:rsidR="00A71E3C">
        <w:rPr>
          <w:rFonts w:ascii="Helvetica" w:hAnsi="Helvetica" w:cstheme="minorHAnsi"/>
          <w:sz w:val="22"/>
          <w:szCs w:val="22"/>
          <w:lang w:eastAsia="en-US"/>
        </w:rPr>
        <w:t xml:space="preserve"> 2021;</w:t>
      </w:r>
      <w:r w:rsidR="00B70DDB" w:rsidRPr="00E60C24">
        <w:rPr>
          <w:rFonts w:ascii="Helvetica" w:hAnsi="Helvetica" w:cstheme="minorHAnsi"/>
          <w:sz w:val="22"/>
          <w:szCs w:val="22"/>
          <w:lang w:eastAsia="en-US"/>
        </w:rPr>
        <w:t> </w:t>
      </w:r>
      <w:r w:rsidR="00A1225E" w:rsidRPr="00A1225E">
        <w:rPr>
          <w:rFonts w:ascii="Helvetica" w:hAnsi="Helvetica" w:cstheme="minorHAnsi"/>
          <w:b/>
          <w:sz w:val="22"/>
          <w:szCs w:val="22"/>
          <w:lang w:eastAsia="en-US"/>
        </w:rPr>
        <w:t>174(4)</w:t>
      </w:r>
      <w:r w:rsidR="00A1225E" w:rsidRPr="00A1225E">
        <w:rPr>
          <w:rFonts w:ascii="Helvetica" w:hAnsi="Helvetica" w:cstheme="minorHAnsi"/>
          <w:sz w:val="22"/>
          <w:szCs w:val="22"/>
          <w:lang w:eastAsia="en-US"/>
        </w:rPr>
        <w:t>:</w:t>
      </w:r>
      <w:r w:rsidR="00A1225E">
        <w:rPr>
          <w:rFonts w:ascii="Helvetica" w:hAnsi="Helvetica" w:cstheme="minorHAnsi"/>
          <w:sz w:val="22"/>
          <w:szCs w:val="22"/>
          <w:lang w:eastAsia="en-US"/>
        </w:rPr>
        <w:t xml:space="preserve"> </w:t>
      </w:r>
      <w:r w:rsidR="00A1225E" w:rsidRPr="00A1225E">
        <w:rPr>
          <w:rFonts w:ascii="Helvetica" w:hAnsi="Helvetica" w:cstheme="minorHAnsi"/>
          <w:sz w:val="22"/>
          <w:szCs w:val="22"/>
          <w:lang w:eastAsia="en-US"/>
        </w:rPr>
        <w:t>552-553.</w:t>
      </w:r>
    </w:p>
    <w:p w14:paraId="129B01E0" w14:textId="77777777" w:rsidR="00733DF1" w:rsidRPr="00E60C24" w:rsidRDefault="00733DF1" w:rsidP="00B928F2">
      <w:pPr>
        <w:spacing w:line="480" w:lineRule="auto"/>
        <w:rPr>
          <w:rFonts w:ascii="Helvetica" w:hAnsi="Helvetica" w:cstheme="minorHAnsi"/>
          <w:sz w:val="22"/>
          <w:szCs w:val="22"/>
          <w:lang w:eastAsia="en-US"/>
        </w:rPr>
      </w:pPr>
    </w:p>
    <w:p w14:paraId="2944A0B7" w14:textId="18B6C489" w:rsidR="00B70DDB" w:rsidRPr="00E60C24" w:rsidRDefault="003212F8" w:rsidP="00B928F2">
      <w:pPr>
        <w:spacing w:line="480" w:lineRule="auto"/>
        <w:rPr>
          <w:rFonts w:ascii="Helvetica" w:hAnsi="Helvetica" w:cstheme="minorHAnsi"/>
          <w:sz w:val="22"/>
          <w:szCs w:val="22"/>
        </w:rPr>
      </w:pPr>
      <w:r>
        <w:rPr>
          <w:rFonts w:ascii="Helvetica" w:hAnsi="Helvetica" w:cstheme="minorHAnsi"/>
          <w:sz w:val="22"/>
          <w:szCs w:val="22"/>
          <w:lang w:val="en-US"/>
        </w:rPr>
        <w:t>12</w:t>
      </w:r>
      <w:r w:rsidR="006B4F08" w:rsidRPr="00E60C24">
        <w:rPr>
          <w:rFonts w:ascii="Helvetica" w:hAnsi="Helvetica" w:cstheme="minorHAnsi"/>
          <w:sz w:val="22"/>
          <w:szCs w:val="22"/>
          <w:lang w:val="en-US"/>
        </w:rPr>
        <w:t xml:space="preserve"> </w:t>
      </w:r>
      <w:r w:rsidR="00B70DDB" w:rsidRPr="00E60C24">
        <w:rPr>
          <w:rFonts w:ascii="Helvetica" w:hAnsi="Helvetica" w:cstheme="minorHAnsi"/>
          <w:sz w:val="22"/>
          <w:szCs w:val="22"/>
          <w:lang w:val="en-US"/>
        </w:rPr>
        <w:tab/>
      </w:r>
      <w:proofErr w:type="spellStart"/>
      <w:r w:rsidR="00A1225E">
        <w:rPr>
          <w:rFonts w:ascii="Helvetica" w:hAnsi="Helvetica" w:cstheme="minorHAnsi"/>
          <w:sz w:val="22"/>
          <w:szCs w:val="22"/>
        </w:rPr>
        <w:t>Paltiel</w:t>
      </w:r>
      <w:proofErr w:type="spellEnd"/>
      <w:r w:rsidR="00A1225E">
        <w:rPr>
          <w:rFonts w:ascii="Helvetica" w:hAnsi="Helvetica" w:cstheme="minorHAnsi"/>
          <w:sz w:val="22"/>
          <w:szCs w:val="22"/>
        </w:rPr>
        <w:t xml:space="preserve"> AD, Zheng A, Schwartz J</w:t>
      </w:r>
      <w:r w:rsidR="00B70DDB" w:rsidRPr="00E60C24">
        <w:rPr>
          <w:rFonts w:ascii="Helvetica" w:hAnsi="Helvetica" w:cstheme="minorHAnsi"/>
          <w:sz w:val="22"/>
          <w:szCs w:val="22"/>
        </w:rPr>
        <w:t xml:space="preserve">L. Speed versus efficacy: quantifying potential </w:t>
      </w:r>
      <w:proofErr w:type="spellStart"/>
      <w:r w:rsidR="00B70DDB" w:rsidRPr="00E60C24">
        <w:rPr>
          <w:rFonts w:ascii="Helvetica" w:hAnsi="Helvetica" w:cstheme="minorHAnsi"/>
          <w:sz w:val="22"/>
          <w:szCs w:val="22"/>
        </w:rPr>
        <w:t>tradeoffs</w:t>
      </w:r>
      <w:proofErr w:type="spellEnd"/>
      <w:r w:rsidR="00B70DDB" w:rsidRPr="00E60C24">
        <w:rPr>
          <w:rFonts w:ascii="Helvetica" w:hAnsi="Helvetica" w:cstheme="minorHAnsi"/>
          <w:sz w:val="22"/>
          <w:szCs w:val="22"/>
        </w:rPr>
        <w:t xml:space="preserve"> in COVID-19 vaccine deployment. </w:t>
      </w:r>
      <w:r w:rsidR="00A1225E" w:rsidRPr="00A1225E">
        <w:rPr>
          <w:rFonts w:ascii="Helvetica" w:hAnsi="Helvetica" w:cstheme="minorHAnsi"/>
          <w:i/>
          <w:iCs/>
          <w:sz w:val="22"/>
          <w:szCs w:val="22"/>
        </w:rPr>
        <w:t xml:space="preserve">Ann </w:t>
      </w:r>
      <w:proofErr w:type="spellStart"/>
      <w:r w:rsidR="00A1225E" w:rsidRPr="00A1225E">
        <w:rPr>
          <w:rFonts w:ascii="Helvetica" w:hAnsi="Helvetica" w:cstheme="minorHAnsi"/>
          <w:i/>
          <w:iCs/>
          <w:sz w:val="22"/>
          <w:szCs w:val="22"/>
        </w:rPr>
        <w:t>Int</w:t>
      </w:r>
      <w:proofErr w:type="spellEnd"/>
      <w:r w:rsidR="00B70DDB" w:rsidRPr="00A1225E">
        <w:rPr>
          <w:rFonts w:ascii="Helvetica" w:hAnsi="Helvetica" w:cstheme="minorHAnsi"/>
          <w:i/>
          <w:iCs/>
          <w:sz w:val="22"/>
          <w:szCs w:val="22"/>
        </w:rPr>
        <w:t xml:space="preserve"> Med</w:t>
      </w:r>
      <w:r w:rsidR="00A1225E">
        <w:rPr>
          <w:rFonts w:ascii="Helvetica" w:hAnsi="Helvetica" w:cstheme="minorHAnsi"/>
          <w:sz w:val="22"/>
          <w:szCs w:val="22"/>
        </w:rPr>
        <w:t xml:space="preserve"> 2021;</w:t>
      </w:r>
      <w:r w:rsidR="00B70DDB" w:rsidRPr="00E60C24">
        <w:rPr>
          <w:rFonts w:ascii="Helvetica" w:hAnsi="Helvetica" w:cstheme="minorHAnsi"/>
          <w:sz w:val="22"/>
          <w:szCs w:val="22"/>
        </w:rPr>
        <w:t> </w:t>
      </w:r>
      <w:r w:rsidR="00B70DDB" w:rsidRPr="00E60C24">
        <w:rPr>
          <w:rFonts w:ascii="Helvetica" w:hAnsi="Helvetica" w:cstheme="minorHAnsi"/>
          <w:b/>
          <w:bCs/>
          <w:sz w:val="22"/>
          <w:szCs w:val="22"/>
        </w:rPr>
        <w:t>174</w:t>
      </w:r>
      <w:r w:rsidR="00A1225E">
        <w:rPr>
          <w:rFonts w:ascii="Helvetica" w:hAnsi="Helvetica" w:cstheme="minorHAnsi"/>
          <w:sz w:val="22"/>
          <w:szCs w:val="22"/>
        </w:rPr>
        <w:t>: 568-570</w:t>
      </w:r>
      <w:r w:rsidR="00B70DDB" w:rsidRPr="00E60C24">
        <w:rPr>
          <w:rFonts w:ascii="Helvetica" w:hAnsi="Helvetica" w:cstheme="minorHAnsi"/>
          <w:sz w:val="22"/>
          <w:szCs w:val="22"/>
        </w:rPr>
        <w:t>.</w:t>
      </w:r>
    </w:p>
    <w:p w14:paraId="5FA3970F" w14:textId="77777777" w:rsidR="00733DF1" w:rsidRPr="00E60C24" w:rsidRDefault="00733DF1" w:rsidP="00B928F2">
      <w:pPr>
        <w:spacing w:line="480" w:lineRule="auto"/>
        <w:rPr>
          <w:rFonts w:ascii="Helvetica" w:hAnsi="Helvetica" w:cstheme="minorHAnsi"/>
          <w:sz w:val="22"/>
          <w:szCs w:val="22"/>
        </w:rPr>
      </w:pPr>
    </w:p>
    <w:p w14:paraId="74A3CFC5" w14:textId="787D45C7" w:rsidR="00193676" w:rsidRPr="00193676" w:rsidRDefault="003212F8" w:rsidP="00B928F2">
      <w:pPr>
        <w:spacing w:line="480" w:lineRule="auto"/>
        <w:rPr>
          <w:rFonts w:ascii="Helvetica" w:hAnsi="Helvetica" w:cstheme="minorHAnsi"/>
          <w:iCs/>
          <w:sz w:val="22"/>
          <w:szCs w:val="22"/>
        </w:rPr>
      </w:pPr>
      <w:r>
        <w:rPr>
          <w:rFonts w:ascii="Helvetica" w:hAnsi="Helvetica" w:cstheme="minorHAnsi"/>
          <w:sz w:val="22"/>
          <w:szCs w:val="22"/>
          <w:lang w:val="en-US"/>
        </w:rPr>
        <w:t>13</w:t>
      </w:r>
      <w:r w:rsidR="006B4F08" w:rsidRPr="00E60C24">
        <w:rPr>
          <w:rFonts w:ascii="Helvetica" w:hAnsi="Helvetica" w:cstheme="minorHAnsi"/>
          <w:sz w:val="22"/>
          <w:szCs w:val="22"/>
          <w:lang w:val="en-US"/>
        </w:rPr>
        <w:t xml:space="preserve"> </w:t>
      </w:r>
      <w:r w:rsidR="00B70DDB" w:rsidRPr="00E60C24">
        <w:rPr>
          <w:rFonts w:ascii="Helvetica" w:hAnsi="Helvetica" w:cstheme="minorHAnsi"/>
          <w:sz w:val="22"/>
          <w:szCs w:val="22"/>
          <w:lang w:val="en-US"/>
        </w:rPr>
        <w:tab/>
      </w:r>
      <w:r w:rsidR="00A1225E">
        <w:rPr>
          <w:rFonts w:ascii="Helvetica" w:hAnsi="Helvetica" w:cstheme="minorHAnsi"/>
          <w:sz w:val="22"/>
          <w:szCs w:val="22"/>
        </w:rPr>
        <w:t>Tuite AR, Zhu L</w:t>
      </w:r>
      <w:r w:rsidR="00B70DDB" w:rsidRPr="00E60C24">
        <w:rPr>
          <w:rFonts w:ascii="Helvetica" w:hAnsi="Helvetica" w:cstheme="minorHAnsi"/>
          <w:sz w:val="22"/>
          <w:szCs w:val="22"/>
        </w:rPr>
        <w:t xml:space="preserve">, </w:t>
      </w:r>
      <w:proofErr w:type="spellStart"/>
      <w:r w:rsidR="00A1225E">
        <w:rPr>
          <w:rFonts w:ascii="Helvetica" w:hAnsi="Helvetica" w:cstheme="minorHAnsi"/>
          <w:sz w:val="22"/>
          <w:szCs w:val="22"/>
        </w:rPr>
        <w:t>Fisman</w:t>
      </w:r>
      <w:proofErr w:type="spellEnd"/>
      <w:r w:rsidR="00A1225E">
        <w:rPr>
          <w:rFonts w:ascii="Helvetica" w:hAnsi="Helvetica" w:cstheme="minorHAnsi"/>
          <w:sz w:val="22"/>
          <w:szCs w:val="22"/>
        </w:rPr>
        <w:t xml:space="preserve"> D</w:t>
      </w:r>
      <w:r w:rsidR="00B70DDB" w:rsidRPr="00E60C24">
        <w:rPr>
          <w:rFonts w:ascii="Helvetica" w:hAnsi="Helvetica" w:cstheme="minorHAnsi"/>
          <w:sz w:val="22"/>
          <w:szCs w:val="22"/>
        </w:rPr>
        <w:t>N</w:t>
      </w:r>
      <w:r w:rsidR="00A1225E">
        <w:rPr>
          <w:rFonts w:ascii="Helvetica" w:hAnsi="Helvetica" w:cstheme="minorHAnsi"/>
          <w:sz w:val="22"/>
          <w:szCs w:val="22"/>
        </w:rPr>
        <w:t>, Salomon J</w:t>
      </w:r>
      <w:r w:rsidR="00B70DDB" w:rsidRPr="00E60C24">
        <w:rPr>
          <w:rFonts w:ascii="Helvetica" w:hAnsi="Helvetica" w:cstheme="minorHAnsi"/>
          <w:sz w:val="22"/>
          <w:szCs w:val="22"/>
        </w:rPr>
        <w:t>A. Alternative dose allocation strategies to increase benefits from constrained covid-19 vaccine supply. </w:t>
      </w:r>
      <w:r w:rsidR="00193676">
        <w:rPr>
          <w:rFonts w:ascii="Helvetica" w:hAnsi="Helvetica" w:cstheme="minorHAnsi"/>
          <w:iCs/>
          <w:sz w:val="22"/>
          <w:szCs w:val="22"/>
        </w:rPr>
        <w:t xml:space="preserve">Ann </w:t>
      </w:r>
      <w:proofErr w:type="spellStart"/>
      <w:r w:rsidR="00193676">
        <w:rPr>
          <w:rFonts w:ascii="Helvetica" w:hAnsi="Helvetica" w:cstheme="minorHAnsi"/>
          <w:iCs/>
          <w:sz w:val="22"/>
          <w:szCs w:val="22"/>
        </w:rPr>
        <w:t>Int</w:t>
      </w:r>
      <w:proofErr w:type="spellEnd"/>
      <w:r w:rsidR="00B70DDB" w:rsidRPr="00E60C24">
        <w:rPr>
          <w:rFonts w:ascii="Helvetica" w:hAnsi="Helvetica" w:cstheme="minorHAnsi"/>
          <w:iCs/>
          <w:sz w:val="22"/>
          <w:szCs w:val="22"/>
        </w:rPr>
        <w:t xml:space="preserve"> Med</w:t>
      </w:r>
      <w:r w:rsidR="00193676">
        <w:rPr>
          <w:rFonts w:ascii="Helvetica" w:hAnsi="Helvetica" w:cstheme="minorHAnsi"/>
          <w:iCs/>
          <w:sz w:val="22"/>
          <w:szCs w:val="22"/>
        </w:rPr>
        <w:t xml:space="preserve"> 2021; </w:t>
      </w:r>
      <w:r w:rsidR="00193676" w:rsidRPr="00193676">
        <w:rPr>
          <w:rFonts w:ascii="Helvetica" w:hAnsi="Helvetica" w:cstheme="minorHAnsi"/>
          <w:b/>
          <w:iCs/>
          <w:sz w:val="22"/>
          <w:szCs w:val="22"/>
        </w:rPr>
        <w:t>174(4)</w:t>
      </w:r>
      <w:r w:rsidR="00193676" w:rsidRPr="00193676">
        <w:rPr>
          <w:rFonts w:ascii="Helvetica" w:hAnsi="Helvetica" w:cstheme="minorHAnsi"/>
          <w:iCs/>
          <w:sz w:val="22"/>
          <w:szCs w:val="22"/>
        </w:rPr>
        <w:t>:</w:t>
      </w:r>
      <w:r w:rsidR="00193676">
        <w:rPr>
          <w:rFonts w:ascii="Helvetica" w:hAnsi="Helvetica" w:cstheme="minorHAnsi"/>
          <w:iCs/>
          <w:sz w:val="22"/>
          <w:szCs w:val="22"/>
        </w:rPr>
        <w:t xml:space="preserve"> </w:t>
      </w:r>
      <w:r w:rsidR="00193676" w:rsidRPr="00193676">
        <w:rPr>
          <w:rFonts w:ascii="Helvetica" w:hAnsi="Helvetica" w:cstheme="minorHAnsi"/>
          <w:iCs/>
          <w:sz w:val="22"/>
          <w:szCs w:val="22"/>
        </w:rPr>
        <w:t>570-572.</w:t>
      </w:r>
    </w:p>
    <w:p w14:paraId="525FB20A" w14:textId="77777777" w:rsidR="00B70DDB" w:rsidRPr="00E60C24" w:rsidRDefault="00B70DDB" w:rsidP="00B928F2">
      <w:pPr>
        <w:spacing w:line="480" w:lineRule="auto"/>
        <w:rPr>
          <w:rFonts w:ascii="Helvetica" w:hAnsi="Helvetica" w:cstheme="minorHAnsi"/>
          <w:sz w:val="22"/>
          <w:szCs w:val="22"/>
        </w:rPr>
      </w:pPr>
    </w:p>
    <w:p w14:paraId="288F95DB" w14:textId="19EE97A6" w:rsidR="006B4F08" w:rsidRPr="00E60C24" w:rsidRDefault="003212F8" w:rsidP="00B928F2">
      <w:pPr>
        <w:spacing w:line="480" w:lineRule="auto"/>
        <w:rPr>
          <w:rFonts w:ascii="Helvetica" w:hAnsi="Helvetica" w:cstheme="minorHAnsi"/>
          <w:sz w:val="22"/>
          <w:szCs w:val="22"/>
        </w:rPr>
      </w:pPr>
      <w:r>
        <w:rPr>
          <w:rFonts w:ascii="Helvetica" w:hAnsi="Helvetica" w:cstheme="minorHAnsi"/>
          <w:sz w:val="22"/>
          <w:szCs w:val="22"/>
        </w:rPr>
        <w:lastRenderedPageBreak/>
        <w:t>14</w:t>
      </w:r>
      <w:r w:rsidR="006B4F08" w:rsidRPr="00E60C24">
        <w:rPr>
          <w:rFonts w:ascii="Helvetica" w:hAnsi="Helvetica" w:cstheme="minorHAnsi"/>
          <w:sz w:val="22"/>
          <w:szCs w:val="22"/>
        </w:rPr>
        <w:tab/>
        <w:t xml:space="preserve">United Kingdom Department of Health and Social Care. Joint Committee on Vaccination and Immunisation: advice on priority groups for COVID-19 vaccination. https://www.gov.uk/government/publications/priority-groups-for-coronavirus-covid-19-vaccination-advice-from-the-jcvi-30-december-2020/joint-committee-on-vaccination-and-immunisation-advice-on-priority-groups-for-covid-19-vaccination-30-december-2020 </w:t>
      </w:r>
      <w:r w:rsidR="00A71E3C" w:rsidRPr="00E60C24">
        <w:rPr>
          <w:rFonts w:ascii="Helvetica" w:eastAsia="Times New Roman" w:hAnsi="Helvetica" w:cs="Arial"/>
          <w:color w:val="000000" w:themeColor="text1"/>
          <w:sz w:val="22"/>
          <w:szCs w:val="22"/>
          <w:bdr w:val="none" w:sz="0" w:space="0" w:color="auto" w:frame="1"/>
        </w:rPr>
        <w:t xml:space="preserve">(Date accessed: </w:t>
      </w:r>
      <w:r w:rsidR="00234BF2">
        <w:rPr>
          <w:rFonts w:ascii="Helvetica" w:eastAsia="Times New Roman" w:hAnsi="Helvetica" w:cs="Arial"/>
          <w:color w:val="000000" w:themeColor="text1"/>
          <w:sz w:val="22"/>
          <w:szCs w:val="22"/>
          <w:bdr w:val="none" w:sz="0" w:space="0" w:color="auto" w:frame="1"/>
        </w:rPr>
        <w:t>January 0</w:t>
      </w:r>
      <w:r w:rsidR="00A71E3C">
        <w:rPr>
          <w:rFonts w:ascii="Helvetica" w:eastAsia="Times New Roman" w:hAnsi="Helvetica" w:cs="Arial"/>
          <w:color w:val="000000" w:themeColor="text1"/>
          <w:sz w:val="22"/>
          <w:szCs w:val="22"/>
          <w:bdr w:val="none" w:sz="0" w:space="0" w:color="auto" w:frame="1"/>
        </w:rPr>
        <w:t>1</w:t>
      </w:r>
      <w:r w:rsidR="00A71E3C" w:rsidRPr="00E60C24">
        <w:rPr>
          <w:rFonts w:ascii="Helvetica" w:eastAsia="Times New Roman" w:hAnsi="Helvetica" w:cs="Arial"/>
          <w:color w:val="000000" w:themeColor="text1"/>
          <w:sz w:val="22"/>
          <w:szCs w:val="22"/>
          <w:bdr w:val="none" w:sz="0" w:space="0" w:color="auto" w:frame="1"/>
        </w:rPr>
        <w:t>, 202</w:t>
      </w:r>
      <w:r w:rsidR="00234BF2">
        <w:rPr>
          <w:rFonts w:ascii="Helvetica" w:eastAsia="Times New Roman" w:hAnsi="Helvetica" w:cs="Arial"/>
          <w:color w:val="000000" w:themeColor="text1"/>
          <w:sz w:val="22"/>
          <w:szCs w:val="22"/>
          <w:bdr w:val="none" w:sz="0" w:space="0" w:color="auto" w:frame="1"/>
        </w:rPr>
        <w:t>2</w:t>
      </w:r>
      <w:r w:rsidR="00A71E3C" w:rsidRPr="00E60C24">
        <w:rPr>
          <w:rFonts w:ascii="Helvetica" w:eastAsia="Times New Roman" w:hAnsi="Helvetica" w:cs="Arial"/>
          <w:color w:val="000000" w:themeColor="text1"/>
          <w:sz w:val="22"/>
          <w:szCs w:val="22"/>
          <w:bdr w:val="none" w:sz="0" w:space="0" w:color="auto" w:frame="1"/>
        </w:rPr>
        <w:t>)</w:t>
      </w:r>
    </w:p>
    <w:p w14:paraId="3C3E0DBD" w14:textId="77777777" w:rsidR="00B70DDB" w:rsidRDefault="00B70DDB" w:rsidP="00B928F2">
      <w:pPr>
        <w:spacing w:line="480" w:lineRule="auto"/>
        <w:rPr>
          <w:rFonts w:ascii="Helvetica" w:hAnsi="Helvetica" w:cstheme="minorHAnsi"/>
          <w:sz w:val="22"/>
          <w:szCs w:val="22"/>
        </w:rPr>
      </w:pPr>
    </w:p>
    <w:p w14:paraId="48F45BC3" w14:textId="4845D4CB" w:rsidR="00B55F46" w:rsidRDefault="00B55F46" w:rsidP="00B928F2">
      <w:pPr>
        <w:spacing w:line="480" w:lineRule="auto"/>
        <w:rPr>
          <w:rFonts w:ascii="Helvetica" w:hAnsi="Helvetica" w:cstheme="minorHAnsi"/>
          <w:sz w:val="22"/>
          <w:szCs w:val="22"/>
        </w:rPr>
      </w:pPr>
      <w:r>
        <w:rPr>
          <w:rFonts w:ascii="Helvetica" w:hAnsi="Helvetica" w:cstheme="minorHAnsi"/>
          <w:sz w:val="22"/>
          <w:szCs w:val="22"/>
        </w:rPr>
        <w:t>15</w:t>
      </w:r>
      <w:r>
        <w:rPr>
          <w:rFonts w:ascii="Helvetica" w:hAnsi="Helvetica" w:cstheme="minorHAnsi"/>
          <w:sz w:val="22"/>
          <w:szCs w:val="22"/>
        </w:rPr>
        <w:tab/>
      </w:r>
      <w:r w:rsidR="009C4EA1">
        <w:rPr>
          <w:rFonts w:ascii="Helvetica" w:hAnsi="Helvetica" w:cstheme="minorHAnsi"/>
          <w:sz w:val="22"/>
          <w:szCs w:val="22"/>
        </w:rPr>
        <w:t xml:space="preserve">Imperial Biomedical Research Centre. </w:t>
      </w:r>
      <w:r w:rsidR="009C4EA1" w:rsidRPr="0024547E">
        <w:rPr>
          <w:rFonts w:ascii="Helvetica" w:hAnsi="Helvetica" w:cstheme="minorHAnsi"/>
          <w:bCs/>
          <w:sz w:val="22"/>
          <w:szCs w:val="22"/>
        </w:rPr>
        <w:t>Imperial Clinical Analytics, Research and Evaluation (</w:t>
      </w:r>
      <w:proofErr w:type="spellStart"/>
      <w:r w:rsidR="009C4EA1" w:rsidRPr="0024547E">
        <w:rPr>
          <w:rFonts w:ascii="Helvetica" w:hAnsi="Helvetica" w:cstheme="minorHAnsi"/>
          <w:bCs/>
          <w:sz w:val="22"/>
          <w:szCs w:val="22"/>
        </w:rPr>
        <w:t>iCARE</w:t>
      </w:r>
      <w:proofErr w:type="spellEnd"/>
      <w:r w:rsidR="009C4EA1" w:rsidRPr="0024547E">
        <w:rPr>
          <w:rFonts w:ascii="Helvetica" w:hAnsi="Helvetica" w:cstheme="minorHAnsi"/>
          <w:bCs/>
          <w:sz w:val="22"/>
          <w:szCs w:val="22"/>
        </w:rPr>
        <w:t xml:space="preserve">). </w:t>
      </w:r>
      <w:hyperlink r:id="rId8" w:history="1">
        <w:r w:rsidR="00AD67AA" w:rsidRPr="00AD67AA">
          <w:rPr>
            <w:rStyle w:val="Hyperlink"/>
            <w:rFonts w:ascii="Helvetica" w:hAnsi="Helvetica" w:cstheme="minorHAnsi"/>
            <w:sz w:val="22"/>
            <w:szCs w:val="22"/>
          </w:rPr>
          <w:t>https://imperialbrc.nihr.ac.uk/facilities/icare/</w:t>
        </w:r>
      </w:hyperlink>
      <w:r w:rsidR="009C4EA1">
        <w:rPr>
          <w:rFonts w:ascii="Helvetica" w:hAnsi="Helvetica" w:cstheme="minorHAnsi"/>
          <w:sz w:val="22"/>
          <w:szCs w:val="22"/>
        </w:rPr>
        <w:t xml:space="preserve"> </w:t>
      </w:r>
      <w:r w:rsidR="009C4EA1" w:rsidRPr="00E60C24">
        <w:rPr>
          <w:rFonts w:ascii="Helvetica" w:eastAsia="Times New Roman" w:hAnsi="Helvetica" w:cs="Arial"/>
          <w:color w:val="000000" w:themeColor="text1"/>
          <w:sz w:val="22"/>
          <w:szCs w:val="22"/>
          <w:bdr w:val="none" w:sz="0" w:space="0" w:color="auto" w:frame="1"/>
        </w:rPr>
        <w:t xml:space="preserve">(Date accessed: </w:t>
      </w:r>
      <w:r w:rsidR="009C4EA1">
        <w:rPr>
          <w:rFonts w:ascii="Helvetica" w:eastAsia="Times New Roman" w:hAnsi="Helvetica" w:cs="Arial"/>
          <w:color w:val="000000" w:themeColor="text1"/>
          <w:sz w:val="22"/>
          <w:szCs w:val="22"/>
          <w:bdr w:val="none" w:sz="0" w:space="0" w:color="auto" w:frame="1"/>
        </w:rPr>
        <w:t xml:space="preserve">January </w:t>
      </w:r>
      <w:r w:rsidR="00234BF2">
        <w:rPr>
          <w:rFonts w:ascii="Helvetica" w:eastAsia="Times New Roman" w:hAnsi="Helvetica" w:cs="Arial"/>
          <w:color w:val="000000" w:themeColor="text1"/>
          <w:sz w:val="22"/>
          <w:szCs w:val="22"/>
          <w:bdr w:val="none" w:sz="0" w:space="0" w:color="auto" w:frame="1"/>
        </w:rPr>
        <w:t>0</w:t>
      </w:r>
      <w:r w:rsidR="009C4EA1">
        <w:rPr>
          <w:rFonts w:ascii="Helvetica" w:eastAsia="Times New Roman" w:hAnsi="Helvetica" w:cs="Arial"/>
          <w:color w:val="000000" w:themeColor="text1"/>
          <w:sz w:val="22"/>
          <w:szCs w:val="22"/>
          <w:bdr w:val="none" w:sz="0" w:space="0" w:color="auto" w:frame="1"/>
        </w:rPr>
        <w:t>1</w:t>
      </w:r>
      <w:r w:rsidR="00234BF2">
        <w:rPr>
          <w:rFonts w:ascii="Helvetica" w:eastAsia="Times New Roman" w:hAnsi="Helvetica" w:cs="Arial"/>
          <w:color w:val="000000" w:themeColor="text1"/>
          <w:sz w:val="22"/>
          <w:szCs w:val="22"/>
          <w:bdr w:val="none" w:sz="0" w:space="0" w:color="auto" w:frame="1"/>
        </w:rPr>
        <w:t>, 2022</w:t>
      </w:r>
      <w:r w:rsidR="009C4EA1" w:rsidRPr="00E60C24">
        <w:rPr>
          <w:rFonts w:ascii="Helvetica" w:eastAsia="Times New Roman" w:hAnsi="Helvetica" w:cs="Arial"/>
          <w:color w:val="000000" w:themeColor="text1"/>
          <w:sz w:val="22"/>
          <w:szCs w:val="22"/>
          <w:bdr w:val="none" w:sz="0" w:space="0" w:color="auto" w:frame="1"/>
        </w:rPr>
        <w:t>)</w:t>
      </w:r>
    </w:p>
    <w:p w14:paraId="66B5B39F" w14:textId="77777777" w:rsidR="00B55F46" w:rsidRPr="00E60C24" w:rsidRDefault="00B55F46" w:rsidP="00B928F2">
      <w:pPr>
        <w:spacing w:line="480" w:lineRule="auto"/>
        <w:rPr>
          <w:rFonts w:ascii="Helvetica" w:hAnsi="Helvetica" w:cstheme="minorHAnsi"/>
          <w:sz w:val="22"/>
          <w:szCs w:val="22"/>
        </w:rPr>
      </w:pPr>
    </w:p>
    <w:p w14:paraId="33A1D8EA" w14:textId="6922871B" w:rsidR="00B70DDB" w:rsidRPr="00E60C24" w:rsidRDefault="009C462E" w:rsidP="00B928F2">
      <w:pPr>
        <w:spacing w:line="480" w:lineRule="auto"/>
        <w:rPr>
          <w:rFonts w:ascii="Helvetica" w:hAnsi="Helvetica" w:cstheme="minorHAnsi"/>
          <w:sz w:val="22"/>
          <w:szCs w:val="22"/>
        </w:rPr>
      </w:pPr>
      <w:r>
        <w:rPr>
          <w:rFonts w:ascii="Helvetica" w:hAnsi="Helvetica" w:cstheme="minorHAnsi"/>
          <w:sz w:val="22"/>
          <w:szCs w:val="22"/>
        </w:rPr>
        <w:t>16</w:t>
      </w:r>
      <w:r w:rsidR="006B4F08" w:rsidRPr="00E60C24">
        <w:rPr>
          <w:rFonts w:ascii="Helvetica" w:hAnsi="Helvetica" w:cstheme="minorHAnsi"/>
          <w:sz w:val="22"/>
          <w:szCs w:val="22"/>
        </w:rPr>
        <w:tab/>
        <w:t>Bottle A, Cohen C, Lucas A </w:t>
      </w:r>
      <w:r w:rsidR="006B4F08" w:rsidRPr="00E60C24">
        <w:rPr>
          <w:rFonts w:ascii="Helvetica" w:hAnsi="Helvetica" w:cstheme="minorHAnsi"/>
          <w:iCs/>
          <w:sz w:val="22"/>
          <w:szCs w:val="22"/>
        </w:rPr>
        <w:t>et al.</w:t>
      </w:r>
      <w:r w:rsidR="006B4F08" w:rsidRPr="00E60C24">
        <w:rPr>
          <w:rFonts w:ascii="Helvetica" w:hAnsi="Helvetica" w:cstheme="minorHAnsi"/>
          <w:sz w:val="22"/>
          <w:szCs w:val="22"/>
        </w:rPr>
        <w:t> How an electronic health record became a real-world research resource: comparison between London’s Whole Systems Integrated Care database and the Clinical Practice Research Datalink. </w:t>
      </w:r>
      <w:r w:rsidR="006B4F08" w:rsidRPr="00193676">
        <w:rPr>
          <w:rFonts w:ascii="Helvetica" w:hAnsi="Helvetica" w:cstheme="minorHAnsi"/>
          <w:i/>
          <w:iCs/>
          <w:sz w:val="22"/>
          <w:szCs w:val="22"/>
        </w:rPr>
        <w:t xml:space="preserve">BMC Med Inform </w:t>
      </w:r>
      <w:proofErr w:type="spellStart"/>
      <w:r w:rsidR="006B4F08" w:rsidRPr="00193676">
        <w:rPr>
          <w:rFonts w:ascii="Helvetica" w:hAnsi="Helvetica" w:cstheme="minorHAnsi"/>
          <w:i/>
          <w:iCs/>
          <w:sz w:val="22"/>
          <w:szCs w:val="22"/>
        </w:rPr>
        <w:t>Decis</w:t>
      </w:r>
      <w:proofErr w:type="spellEnd"/>
      <w:r w:rsidR="006B4F08" w:rsidRPr="00193676">
        <w:rPr>
          <w:rFonts w:ascii="Helvetica" w:hAnsi="Helvetica" w:cstheme="minorHAnsi"/>
          <w:i/>
          <w:iCs/>
          <w:sz w:val="22"/>
          <w:szCs w:val="22"/>
        </w:rPr>
        <w:t xml:space="preserve"> </w:t>
      </w:r>
      <w:proofErr w:type="spellStart"/>
      <w:r w:rsidR="006B4F08" w:rsidRPr="00193676">
        <w:rPr>
          <w:rFonts w:ascii="Helvetica" w:hAnsi="Helvetica" w:cstheme="minorHAnsi"/>
          <w:i/>
          <w:iCs/>
          <w:sz w:val="22"/>
          <w:szCs w:val="22"/>
        </w:rPr>
        <w:t>Mak</w:t>
      </w:r>
      <w:proofErr w:type="spellEnd"/>
      <w:r w:rsidR="006B4F08" w:rsidRPr="00E60C24">
        <w:rPr>
          <w:rFonts w:ascii="Helvetica" w:hAnsi="Helvetica" w:cstheme="minorHAnsi"/>
          <w:iCs/>
          <w:sz w:val="22"/>
          <w:szCs w:val="22"/>
        </w:rPr>
        <w:t xml:space="preserve"> 2020;</w:t>
      </w:r>
      <w:r w:rsidR="006B4F08" w:rsidRPr="00E60C24">
        <w:rPr>
          <w:rFonts w:ascii="Helvetica" w:hAnsi="Helvetica" w:cstheme="minorHAnsi"/>
          <w:sz w:val="22"/>
          <w:szCs w:val="22"/>
        </w:rPr>
        <w:t> </w:t>
      </w:r>
      <w:r w:rsidR="006B4F08" w:rsidRPr="00E60C24">
        <w:rPr>
          <w:rFonts w:ascii="Helvetica" w:hAnsi="Helvetica" w:cstheme="minorHAnsi"/>
          <w:b/>
          <w:bCs/>
          <w:sz w:val="22"/>
          <w:szCs w:val="22"/>
        </w:rPr>
        <w:t>20</w:t>
      </w:r>
      <w:r w:rsidR="006B4F08" w:rsidRPr="00193676">
        <w:rPr>
          <w:rFonts w:ascii="Helvetica" w:hAnsi="Helvetica" w:cstheme="minorHAnsi"/>
          <w:bCs/>
          <w:sz w:val="22"/>
          <w:szCs w:val="22"/>
        </w:rPr>
        <w:t>:</w:t>
      </w:r>
      <w:r w:rsidR="006B4F08" w:rsidRPr="00E60C24">
        <w:rPr>
          <w:rFonts w:ascii="Helvetica" w:hAnsi="Helvetica" w:cstheme="minorHAnsi"/>
          <w:b/>
          <w:bCs/>
          <w:sz w:val="22"/>
          <w:szCs w:val="22"/>
        </w:rPr>
        <w:t> </w:t>
      </w:r>
      <w:r w:rsidR="006B4F08" w:rsidRPr="00E60C24">
        <w:rPr>
          <w:rFonts w:ascii="Helvetica" w:hAnsi="Helvetica" w:cstheme="minorHAnsi"/>
          <w:sz w:val="22"/>
          <w:szCs w:val="22"/>
        </w:rPr>
        <w:t>71. </w:t>
      </w:r>
    </w:p>
    <w:p w14:paraId="630B46E6" w14:textId="77777777" w:rsidR="00B70DDB" w:rsidRPr="00E60C24" w:rsidRDefault="00B70DDB" w:rsidP="00B928F2">
      <w:pPr>
        <w:spacing w:line="480" w:lineRule="auto"/>
        <w:rPr>
          <w:rFonts w:ascii="Helvetica" w:hAnsi="Helvetica" w:cstheme="minorHAnsi"/>
          <w:sz w:val="22"/>
          <w:szCs w:val="22"/>
        </w:rPr>
      </w:pPr>
    </w:p>
    <w:p w14:paraId="058D3C80" w14:textId="44961147" w:rsidR="006B4F08" w:rsidRPr="00E60C24" w:rsidRDefault="003A366F" w:rsidP="00B928F2">
      <w:pPr>
        <w:spacing w:line="480" w:lineRule="auto"/>
        <w:rPr>
          <w:rFonts w:ascii="Helvetica" w:eastAsia="Calibri" w:hAnsi="Helvetica" w:cstheme="minorHAnsi"/>
          <w:color w:val="000000" w:themeColor="text1"/>
          <w:sz w:val="22"/>
          <w:szCs w:val="22"/>
        </w:rPr>
      </w:pPr>
      <w:r>
        <w:rPr>
          <w:rFonts w:ascii="Helvetica" w:hAnsi="Helvetica" w:cstheme="minorHAnsi"/>
          <w:sz w:val="22"/>
          <w:szCs w:val="22"/>
          <w:lang w:val="en-US"/>
        </w:rPr>
        <w:t>17</w:t>
      </w:r>
      <w:r w:rsidR="006B4F08" w:rsidRPr="00E60C24">
        <w:rPr>
          <w:rFonts w:ascii="Helvetica" w:hAnsi="Helvetica" w:cstheme="minorHAnsi"/>
          <w:sz w:val="22"/>
          <w:szCs w:val="22"/>
          <w:lang w:val="en-US"/>
        </w:rPr>
        <w:tab/>
      </w:r>
      <w:r w:rsidR="006B4F08" w:rsidRPr="00E60C24">
        <w:rPr>
          <w:rFonts w:ascii="Helvetica" w:eastAsia="Calibri" w:hAnsi="Helvetica" w:cstheme="minorHAnsi"/>
          <w:color w:val="000000" w:themeColor="text1"/>
          <w:sz w:val="22"/>
          <w:szCs w:val="22"/>
        </w:rPr>
        <w:t xml:space="preserve">Public Health England. Technical summary: Public Health England data series on deaths in people with COVID-19. https://assets.publishing.service.gov.uk/government/uploads/system/uploads/attachment_data/file/908781/Technical_Summary_PHE_Data_Series_COVID-19_Deaths_20200812.pdf (Date accessed: </w:t>
      </w:r>
      <w:r w:rsidR="00234BF2">
        <w:rPr>
          <w:rFonts w:ascii="Helvetica" w:eastAsia="Calibri" w:hAnsi="Helvetica" w:cstheme="minorHAnsi"/>
          <w:color w:val="000000" w:themeColor="text1"/>
          <w:sz w:val="22"/>
          <w:szCs w:val="22"/>
        </w:rPr>
        <w:t>January</w:t>
      </w:r>
      <w:r w:rsidR="00234BF2" w:rsidRPr="00E60C24">
        <w:rPr>
          <w:rFonts w:ascii="Helvetica" w:eastAsia="Calibri" w:hAnsi="Helvetica" w:cstheme="minorHAnsi"/>
          <w:color w:val="000000" w:themeColor="text1"/>
          <w:sz w:val="22"/>
          <w:szCs w:val="22"/>
        </w:rPr>
        <w:t xml:space="preserve"> </w:t>
      </w:r>
      <w:r w:rsidR="00234BF2">
        <w:rPr>
          <w:rFonts w:ascii="Helvetica" w:eastAsia="Calibri" w:hAnsi="Helvetica" w:cstheme="minorHAnsi"/>
          <w:color w:val="000000" w:themeColor="text1"/>
          <w:sz w:val="22"/>
          <w:szCs w:val="22"/>
        </w:rPr>
        <w:t>01</w:t>
      </w:r>
      <w:r w:rsidR="006B4F08" w:rsidRPr="00E60C24">
        <w:rPr>
          <w:rFonts w:ascii="Helvetica" w:eastAsia="Calibri" w:hAnsi="Helvetica" w:cstheme="minorHAnsi"/>
          <w:color w:val="000000" w:themeColor="text1"/>
          <w:sz w:val="22"/>
          <w:szCs w:val="22"/>
        </w:rPr>
        <w:t>, 202</w:t>
      </w:r>
      <w:r w:rsidR="00234BF2">
        <w:rPr>
          <w:rFonts w:ascii="Helvetica" w:eastAsia="Calibri" w:hAnsi="Helvetica" w:cstheme="minorHAnsi"/>
          <w:color w:val="000000" w:themeColor="text1"/>
          <w:sz w:val="22"/>
          <w:szCs w:val="22"/>
        </w:rPr>
        <w:t>2</w:t>
      </w:r>
      <w:r w:rsidR="006B4F08" w:rsidRPr="00E60C24">
        <w:rPr>
          <w:rFonts w:ascii="Helvetica" w:eastAsia="Calibri" w:hAnsi="Helvetica" w:cstheme="minorHAnsi"/>
          <w:color w:val="000000" w:themeColor="text1"/>
          <w:sz w:val="22"/>
          <w:szCs w:val="22"/>
        </w:rPr>
        <w:t>)</w:t>
      </w:r>
    </w:p>
    <w:p w14:paraId="0E484682" w14:textId="77777777" w:rsidR="00BD4DAF" w:rsidRPr="00E60C24" w:rsidRDefault="00BD4DAF" w:rsidP="00B928F2">
      <w:pPr>
        <w:spacing w:line="480" w:lineRule="auto"/>
        <w:rPr>
          <w:rFonts w:ascii="Helvetica" w:eastAsia="Calibri" w:hAnsi="Helvetica" w:cstheme="minorHAnsi"/>
          <w:color w:val="000000" w:themeColor="text1"/>
          <w:sz w:val="22"/>
          <w:szCs w:val="22"/>
        </w:rPr>
      </w:pPr>
    </w:p>
    <w:p w14:paraId="1C3E2DC8" w14:textId="45423C01" w:rsidR="00B23E44" w:rsidRPr="00E60C24" w:rsidRDefault="009B5260" w:rsidP="00B928F2">
      <w:pPr>
        <w:spacing w:line="480" w:lineRule="auto"/>
        <w:rPr>
          <w:rFonts w:ascii="Helvetica" w:eastAsia="Calibri" w:hAnsi="Helvetica" w:cstheme="minorHAnsi"/>
          <w:color w:val="000000" w:themeColor="text1"/>
          <w:sz w:val="22"/>
          <w:szCs w:val="22"/>
        </w:rPr>
      </w:pPr>
      <w:r>
        <w:rPr>
          <w:rFonts w:ascii="Helvetica" w:eastAsia="Calibri" w:hAnsi="Helvetica" w:cstheme="minorHAnsi"/>
          <w:color w:val="000000" w:themeColor="text1"/>
          <w:sz w:val="22"/>
          <w:szCs w:val="22"/>
        </w:rPr>
        <w:t>18</w:t>
      </w:r>
      <w:r w:rsidR="00B23E44" w:rsidRPr="00E60C24">
        <w:rPr>
          <w:rFonts w:ascii="Helvetica" w:eastAsia="Calibri" w:hAnsi="Helvetica" w:cstheme="minorHAnsi"/>
          <w:color w:val="000000" w:themeColor="text1"/>
          <w:sz w:val="22"/>
          <w:szCs w:val="22"/>
        </w:rPr>
        <w:t xml:space="preserve"> </w:t>
      </w:r>
      <w:r w:rsidR="00B23E44" w:rsidRPr="00E60C24">
        <w:rPr>
          <w:rFonts w:ascii="Helvetica" w:eastAsia="Calibri" w:hAnsi="Helvetica" w:cstheme="minorHAnsi"/>
          <w:color w:val="000000" w:themeColor="text1"/>
          <w:sz w:val="22"/>
          <w:szCs w:val="22"/>
        </w:rPr>
        <w:tab/>
        <w:t xml:space="preserve">Kaplan EL, Meier P. Nonparametric estimation from incomplete observations. </w:t>
      </w:r>
      <w:r w:rsidR="00B23E44" w:rsidRPr="00193676">
        <w:rPr>
          <w:rFonts w:ascii="Helvetica" w:eastAsia="Calibri" w:hAnsi="Helvetica" w:cstheme="minorHAnsi"/>
          <w:i/>
          <w:color w:val="000000" w:themeColor="text1"/>
          <w:sz w:val="22"/>
          <w:szCs w:val="22"/>
        </w:rPr>
        <w:t xml:space="preserve">J Am Stat </w:t>
      </w:r>
      <w:proofErr w:type="spellStart"/>
      <w:r w:rsidR="00B23E44" w:rsidRPr="00193676">
        <w:rPr>
          <w:rFonts w:ascii="Helvetica" w:eastAsia="Calibri" w:hAnsi="Helvetica" w:cstheme="minorHAnsi"/>
          <w:i/>
          <w:color w:val="000000" w:themeColor="text1"/>
          <w:sz w:val="22"/>
          <w:szCs w:val="22"/>
        </w:rPr>
        <w:t>Assoc</w:t>
      </w:r>
      <w:proofErr w:type="spellEnd"/>
      <w:r w:rsidR="00B23E44" w:rsidRPr="00193676">
        <w:rPr>
          <w:rFonts w:ascii="Helvetica" w:eastAsia="Calibri" w:hAnsi="Helvetica" w:cstheme="minorHAnsi"/>
          <w:i/>
          <w:color w:val="000000" w:themeColor="text1"/>
          <w:sz w:val="22"/>
          <w:szCs w:val="22"/>
        </w:rPr>
        <w:t> </w:t>
      </w:r>
      <w:r w:rsidR="00B23E44" w:rsidRPr="00E60C24">
        <w:rPr>
          <w:rFonts w:ascii="Helvetica" w:eastAsia="Calibri" w:hAnsi="Helvetica" w:cstheme="minorHAnsi"/>
          <w:color w:val="000000" w:themeColor="text1"/>
          <w:sz w:val="22"/>
          <w:szCs w:val="22"/>
        </w:rPr>
        <w:t>1958;</w:t>
      </w:r>
      <w:r w:rsidR="00193676">
        <w:rPr>
          <w:rFonts w:ascii="Helvetica" w:eastAsia="Calibri" w:hAnsi="Helvetica" w:cstheme="minorHAnsi"/>
          <w:color w:val="000000" w:themeColor="text1"/>
          <w:sz w:val="22"/>
          <w:szCs w:val="22"/>
        </w:rPr>
        <w:t xml:space="preserve"> </w:t>
      </w:r>
      <w:r w:rsidR="00B23E44" w:rsidRPr="00193676">
        <w:rPr>
          <w:rFonts w:ascii="Helvetica" w:eastAsia="Calibri" w:hAnsi="Helvetica" w:cstheme="minorHAnsi"/>
          <w:b/>
          <w:color w:val="000000" w:themeColor="text1"/>
          <w:sz w:val="22"/>
          <w:szCs w:val="22"/>
        </w:rPr>
        <w:t>53</w:t>
      </w:r>
      <w:r w:rsidR="00B23E44" w:rsidRPr="00E60C24">
        <w:rPr>
          <w:rFonts w:ascii="Helvetica" w:eastAsia="Calibri" w:hAnsi="Helvetica" w:cstheme="minorHAnsi"/>
          <w:color w:val="000000" w:themeColor="text1"/>
          <w:sz w:val="22"/>
          <w:szCs w:val="22"/>
        </w:rPr>
        <w:t>:</w:t>
      </w:r>
      <w:r w:rsidR="00193676">
        <w:rPr>
          <w:rFonts w:ascii="Helvetica" w:eastAsia="Calibri" w:hAnsi="Helvetica" w:cstheme="minorHAnsi"/>
          <w:color w:val="000000" w:themeColor="text1"/>
          <w:sz w:val="22"/>
          <w:szCs w:val="22"/>
        </w:rPr>
        <w:t xml:space="preserve"> </w:t>
      </w:r>
      <w:r w:rsidR="00B23E44" w:rsidRPr="00E60C24">
        <w:rPr>
          <w:rFonts w:ascii="Helvetica" w:eastAsia="Calibri" w:hAnsi="Helvetica" w:cstheme="minorHAnsi"/>
          <w:color w:val="000000" w:themeColor="text1"/>
          <w:sz w:val="22"/>
          <w:szCs w:val="22"/>
        </w:rPr>
        <w:t>457-481.</w:t>
      </w:r>
    </w:p>
    <w:p w14:paraId="14325A74" w14:textId="77777777" w:rsidR="006B4F08" w:rsidRPr="00E60C24" w:rsidRDefault="006B4F08" w:rsidP="00B928F2">
      <w:pPr>
        <w:spacing w:line="480" w:lineRule="auto"/>
        <w:rPr>
          <w:rFonts w:ascii="Helvetica" w:hAnsi="Helvetica" w:cstheme="minorHAnsi"/>
          <w:sz w:val="22"/>
          <w:szCs w:val="22"/>
        </w:rPr>
      </w:pPr>
    </w:p>
    <w:p w14:paraId="51D02E8F" w14:textId="38DF3103" w:rsidR="00951105" w:rsidRPr="00E60C24" w:rsidRDefault="00AD635F" w:rsidP="00B928F2">
      <w:pPr>
        <w:spacing w:line="480" w:lineRule="auto"/>
        <w:rPr>
          <w:rFonts w:ascii="Helvetica" w:hAnsi="Helvetica" w:cstheme="minorHAnsi"/>
          <w:sz w:val="22"/>
          <w:szCs w:val="22"/>
        </w:rPr>
      </w:pPr>
      <w:r>
        <w:rPr>
          <w:rFonts w:ascii="Helvetica" w:hAnsi="Helvetica" w:cstheme="minorHAnsi"/>
          <w:sz w:val="22"/>
          <w:szCs w:val="22"/>
          <w:lang w:val="en-US"/>
        </w:rPr>
        <w:lastRenderedPageBreak/>
        <w:t>19</w:t>
      </w:r>
      <w:r w:rsidR="00B0288C" w:rsidRPr="00E60C24">
        <w:rPr>
          <w:rFonts w:ascii="Helvetica" w:hAnsi="Helvetica" w:cstheme="minorHAnsi"/>
          <w:sz w:val="22"/>
          <w:szCs w:val="22"/>
          <w:lang w:val="en-US"/>
        </w:rPr>
        <w:t xml:space="preserve"> </w:t>
      </w:r>
      <w:r w:rsidR="00FA6398" w:rsidRPr="00E60C24">
        <w:rPr>
          <w:rFonts w:ascii="Helvetica" w:hAnsi="Helvetica" w:cstheme="minorHAnsi"/>
          <w:sz w:val="22"/>
          <w:szCs w:val="22"/>
          <w:lang w:val="en-US"/>
        </w:rPr>
        <w:tab/>
      </w:r>
      <w:r w:rsidR="00951105" w:rsidRPr="00E60C24">
        <w:rPr>
          <w:rFonts w:ascii="Helvetica" w:hAnsi="Helvetica" w:cstheme="minorHAnsi"/>
          <w:sz w:val="22"/>
          <w:szCs w:val="22"/>
        </w:rPr>
        <w:t>WHO. </w:t>
      </w:r>
      <w:r w:rsidR="00951105" w:rsidRPr="00E60C24">
        <w:rPr>
          <w:rFonts w:ascii="Helvetica" w:hAnsi="Helvetica" w:cstheme="minorHAnsi"/>
          <w:iCs/>
          <w:sz w:val="22"/>
          <w:szCs w:val="22"/>
        </w:rPr>
        <w:t>Global Equitable Access to COVID-19 Vaccines Estimated to Generate Economic Benefits of At Least US$ 153 Billion in 2020–21, and US$ 466 Billion by 2025, in 10 Major Economies, According to New Report by the Eurasia Group</w:t>
      </w:r>
      <w:r w:rsidR="00951105" w:rsidRPr="00E60C24">
        <w:rPr>
          <w:rFonts w:ascii="Helvetica" w:hAnsi="Helvetica" w:cstheme="minorHAnsi"/>
          <w:sz w:val="22"/>
          <w:szCs w:val="22"/>
        </w:rPr>
        <w:t>. </w:t>
      </w:r>
      <w:r w:rsidR="00EA33A6" w:rsidRPr="00E60C24">
        <w:rPr>
          <w:rFonts w:ascii="Helvetica" w:hAnsi="Helvetica" w:cstheme="minorHAnsi"/>
          <w:sz w:val="22"/>
          <w:szCs w:val="22"/>
        </w:rPr>
        <w:t>https://www.who.int/news/item/03-12-2020-global-access-to-covid-19-vaccines-estimated-to-generate-economic-benefits-of-at-least-153-billion-in-2020-21</w:t>
      </w:r>
      <w:r w:rsidR="00951105" w:rsidRPr="00E60C24">
        <w:rPr>
          <w:rFonts w:ascii="Helvetica" w:hAnsi="Helvetica" w:cstheme="minorHAnsi"/>
          <w:sz w:val="22"/>
          <w:szCs w:val="22"/>
        </w:rPr>
        <w:t xml:space="preserve">. </w:t>
      </w:r>
      <w:r w:rsidR="00A71E3C" w:rsidRPr="00E60C24">
        <w:rPr>
          <w:rFonts w:ascii="Helvetica" w:eastAsia="Times New Roman" w:hAnsi="Helvetica" w:cs="Arial"/>
          <w:color w:val="000000" w:themeColor="text1"/>
          <w:sz w:val="22"/>
          <w:szCs w:val="22"/>
          <w:bdr w:val="none" w:sz="0" w:space="0" w:color="auto" w:frame="1"/>
        </w:rPr>
        <w:t xml:space="preserve">(Date accessed: </w:t>
      </w:r>
      <w:r w:rsidR="00234BF2">
        <w:rPr>
          <w:rFonts w:ascii="Helvetica" w:eastAsia="Times New Roman" w:hAnsi="Helvetica" w:cs="Arial"/>
          <w:color w:val="000000" w:themeColor="text1"/>
          <w:sz w:val="22"/>
          <w:szCs w:val="22"/>
          <w:bdr w:val="none" w:sz="0" w:space="0" w:color="auto" w:frame="1"/>
        </w:rPr>
        <w:t>January 01</w:t>
      </w:r>
      <w:r w:rsidR="00A71E3C" w:rsidRPr="00E60C24">
        <w:rPr>
          <w:rFonts w:ascii="Helvetica" w:eastAsia="Times New Roman" w:hAnsi="Helvetica" w:cs="Arial"/>
          <w:color w:val="000000" w:themeColor="text1"/>
          <w:sz w:val="22"/>
          <w:szCs w:val="22"/>
          <w:bdr w:val="none" w:sz="0" w:space="0" w:color="auto" w:frame="1"/>
        </w:rPr>
        <w:t>, 202</w:t>
      </w:r>
      <w:r w:rsidR="00234BF2">
        <w:rPr>
          <w:rFonts w:ascii="Helvetica" w:eastAsia="Times New Roman" w:hAnsi="Helvetica" w:cs="Arial"/>
          <w:color w:val="000000" w:themeColor="text1"/>
          <w:sz w:val="22"/>
          <w:szCs w:val="22"/>
          <w:bdr w:val="none" w:sz="0" w:space="0" w:color="auto" w:frame="1"/>
        </w:rPr>
        <w:t>2</w:t>
      </w:r>
      <w:r w:rsidR="00A71E3C" w:rsidRPr="00E60C24">
        <w:rPr>
          <w:rFonts w:ascii="Helvetica" w:eastAsia="Times New Roman" w:hAnsi="Helvetica" w:cs="Arial"/>
          <w:color w:val="000000" w:themeColor="text1"/>
          <w:sz w:val="22"/>
          <w:szCs w:val="22"/>
          <w:bdr w:val="none" w:sz="0" w:space="0" w:color="auto" w:frame="1"/>
        </w:rPr>
        <w:t>)</w:t>
      </w:r>
    </w:p>
    <w:p w14:paraId="20CFAF12" w14:textId="77777777" w:rsidR="002C6EC4" w:rsidRDefault="002C6EC4" w:rsidP="00B928F2">
      <w:pPr>
        <w:spacing w:line="480" w:lineRule="auto"/>
        <w:rPr>
          <w:rFonts w:ascii="Helvetica" w:hAnsi="Helvetica" w:cstheme="minorHAnsi"/>
          <w:sz w:val="22"/>
          <w:szCs w:val="22"/>
        </w:rPr>
      </w:pPr>
    </w:p>
    <w:p w14:paraId="6EF74AD4" w14:textId="6EC91619" w:rsidR="00DD1D58" w:rsidRPr="00E60C24" w:rsidRDefault="00DD1D58" w:rsidP="00DD1D58">
      <w:pPr>
        <w:spacing w:line="480" w:lineRule="auto"/>
        <w:rPr>
          <w:rFonts w:ascii="Helvetica" w:hAnsi="Helvetica" w:cstheme="minorHAnsi"/>
          <w:sz w:val="22"/>
          <w:szCs w:val="22"/>
        </w:rPr>
      </w:pPr>
      <w:r>
        <w:rPr>
          <w:rFonts w:ascii="Helvetica" w:hAnsi="Helvetica" w:cstheme="minorHAnsi"/>
          <w:sz w:val="22"/>
          <w:szCs w:val="22"/>
          <w:lang w:val="en-US"/>
        </w:rPr>
        <w:t>20</w:t>
      </w:r>
      <w:r w:rsidRPr="00E60C24">
        <w:rPr>
          <w:rFonts w:ascii="Helvetica" w:hAnsi="Helvetica" w:cstheme="minorHAnsi"/>
          <w:sz w:val="22"/>
          <w:szCs w:val="22"/>
          <w:lang w:val="en-US"/>
        </w:rPr>
        <w:t xml:space="preserve"> </w:t>
      </w:r>
      <w:r w:rsidRPr="00E60C24">
        <w:rPr>
          <w:rFonts w:ascii="Helvetica" w:hAnsi="Helvetica" w:cstheme="minorHAnsi"/>
          <w:sz w:val="22"/>
          <w:szCs w:val="22"/>
          <w:lang w:val="en-US"/>
        </w:rPr>
        <w:tab/>
      </w:r>
      <w:proofErr w:type="spellStart"/>
      <w:r w:rsidR="00233E2B">
        <w:rPr>
          <w:rFonts w:ascii="Helvetica" w:hAnsi="Helvetica" w:cstheme="minorHAnsi"/>
          <w:sz w:val="22"/>
          <w:szCs w:val="22"/>
        </w:rPr>
        <w:t>Matrajt</w:t>
      </w:r>
      <w:proofErr w:type="spellEnd"/>
      <w:r w:rsidRPr="00E60C24">
        <w:rPr>
          <w:rFonts w:ascii="Helvetica" w:hAnsi="Helvetica" w:cstheme="minorHAnsi"/>
          <w:sz w:val="22"/>
          <w:szCs w:val="22"/>
        </w:rPr>
        <w:t xml:space="preserve"> L</w:t>
      </w:r>
      <w:r w:rsidR="00233E2B">
        <w:rPr>
          <w:rFonts w:ascii="Helvetica" w:hAnsi="Helvetica" w:cstheme="minorHAnsi"/>
          <w:sz w:val="22"/>
          <w:szCs w:val="22"/>
        </w:rPr>
        <w:t>, Eaton J, Leung T,</w:t>
      </w:r>
      <w:r w:rsidRPr="00E60C24">
        <w:rPr>
          <w:rFonts w:ascii="Helvetica" w:hAnsi="Helvetica" w:cstheme="minorHAnsi"/>
          <w:sz w:val="22"/>
          <w:szCs w:val="22"/>
        </w:rPr>
        <w:t> </w:t>
      </w:r>
      <w:r w:rsidRPr="00E60C24">
        <w:rPr>
          <w:rFonts w:ascii="Helvetica" w:hAnsi="Helvetica" w:cstheme="minorHAnsi"/>
          <w:iCs/>
          <w:sz w:val="22"/>
          <w:szCs w:val="22"/>
        </w:rPr>
        <w:t>et al.</w:t>
      </w:r>
      <w:r w:rsidRPr="00E60C24">
        <w:rPr>
          <w:rFonts w:ascii="Helvetica" w:hAnsi="Helvetica" w:cstheme="minorHAnsi"/>
          <w:sz w:val="22"/>
          <w:szCs w:val="22"/>
        </w:rPr>
        <w:t> Optimizing vaccine allocation for COVID-19 vaccines shows the potential role of single-dose vaccination.</w:t>
      </w:r>
      <w:r>
        <w:rPr>
          <w:rFonts w:ascii="Helvetica" w:hAnsi="Helvetica" w:cstheme="minorHAnsi"/>
          <w:sz w:val="22"/>
          <w:szCs w:val="22"/>
        </w:rPr>
        <w:t xml:space="preserve"> </w:t>
      </w:r>
      <w:r w:rsidRPr="00193676">
        <w:rPr>
          <w:rFonts w:ascii="Helvetica" w:hAnsi="Helvetica" w:cstheme="minorHAnsi"/>
          <w:i/>
          <w:iCs/>
          <w:sz w:val="22"/>
          <w:szCs w:val="22"/>
        </w:rPr>
        <w:t xml:space="preserve">Nat </w:t>
      </w:r>
      <w:proofErr w:type="spellStart"/>
      <w:r w:rsidRPr="00193676">
        <w:rPr>
          <w:rFonts w:ascii="Helvetica" w:hAnsi="Helvetica" w:cstheme="minorHAnsi"/>
          <w:i/>
          <w:iCs/>
          <w:sz w:val="22"/>
          <w:szCs w:val="22"/>
        </w:rPr>
        <w:t>Commun</w:t>
      </w:r>
      <w:proofErr w:type="spellEnd"/>
      <w:r w:rsidRPr="00E60C24">
        <w:rPr>
          <w:rFonts w:ascii="Helvetica" w:hAnsi="Helvetica" w:cstheme="minorHAnsi"/>
          <w:sz w:val="22"/>
          <w:szCs w:val="22"/>
        </w:rPr>
        <w:t> </w:t>
      </w:r>
      <w:r>
        <w:rPr>
          <w:rFonts w:ascii="Helvetica" w:hAnsi="Helvetica" w:cstheme="minorHAnsi"/>
          <w:sz w:val="22"/>
          <w:szCs w:val="22"/>
        </w:rPr>
        <w:t xml:space="preserve">2021; </w:t>
      </w:r>
      <w:r>
        <w:rPr>
          <w:rFonts w:ascii="Helvetica" w:hAnsi="Helvetica" w:cstheme="minorHAnsi"/>
          <w:b/>
          <w:bCs/>
          <w:sz w:val="22"/>
          <w:szCs w:val="22"/>
        </w:rPr>
        <w:t>12</w:t>
      </w:r>
      <w:r w:rsidRPr="00193676">
        <w:rPr>
          <w:rFonts w:ascii="Helvetica" w:hAnsi="Helvetica" w:cstheme="minorHAnsi"/>
          <w:bCs/>
          <w:sz w:val="22"/>
          <w:szCs w:val="22"/>
        </w:rPr>
        <w:t>:</w:t>
      </w:r>
      <w:r w:rsidRPr="00E60C24">
        <w:rPr>
          <w:rFonts w:ascii="Helvetica" w:hAnsi="Helvetica" w:cstheme="minorHAnsi"/>
          <w:b/>
          <w:bCs/>
          <w:sz w:val="22"/>
          <w:szCs w:val="22"/>
        </w:rPr>
        <w:t> </w:t>
      </w:r>
      <w:r>
        <w:rPr>
          <w:rFonts w:ascii="Helvetica" w:hAnsi="Helvetica" w:cstheme="minorHAnsi"/>
          <w:sz w:val="22"/>
          <w:szCs w:val="22"/>
        </w:rPr>
        <w:t>3449</w:t>
      </w:r>
      <w:r w:rsidRPr="00E60C24">
        <w:rPr>
          <w:rFonts w:ascii="Helvetica" w:hAnsi="Helvetica" w:cstheme="minorHAnsi"/>
          <w:sz w:val="22"/>
          <w:szCs w:val="22"/>
        </w:rPr>
        <w:t xml:space="preserve">. </w:t>
      </w:r>
    </w:p>
    <w:p w14:paraId="6DCD2222" w14:textId="77777777" w:rsidR="00DD1D58" w:rsidRPr="00E60C24" w:rsidRDefault="00DD1D58" w:rsidP="00B928F2">
      <w:pPr>
        <w:spacing w:line="480" w:lineRule="auto"/>
        <w:rPr>
          <w:rFonts w:ascii="Helvetica" w:hAnsi="Helvetica" w:cstheme="minorHAnsi"/>
          <w:sz w:val="22"/>
          <w:szCs w:val="22"/>
        </w:rPr>
      </w:pPr>
    </w:p>
    <w:p w14:paraId="4F7D755C" w14:textId="6567FFED" w:rsidR="00733DF1" w:rsidRDefault="000C6F9E" w:rsidP="00B928F2">
      <w:pPr>
        <w:spacing w:line="480" w:lineRule="auto"/>
        <w:rPr>
          <w:rFonts w:ascii="Helvetica" w:eastAsia="Times New Roman" w:hAnsi="Helvetica" w:cs="Arial"/>
          <w:color w:val="000000" w:themeColor="text1"/>
          <w:sz w:val="22"/>
          <w:szCs w:val="22"/>
          <w:shd w:val="clear" w:color="auto" w:fill="FFFFFF"/>
        </w:rPr>
      </w:pPr>
      <w:r w:rsidRPr="00E60C24">
        <w:rPr>
          <w:rFonts w:ascii="Helvetica" w:eastAsia="Calibri" w:hAnsi="Helvetica" w:cs="Arial"/>
          <w:color w:val="000000" w:themeColor="text1"/>
          <w:sz w:val="22"/>
          <w:szCs w:val="22"/>
        </w:rPr>
        <w:t>21</w:t>
      </w:r>
      <w:r w:rsidRPr="00E60C24">
        <w:rPr>
          <w:rFonts w:ascii="Helvetica" w:eastAsia="Calibri" w:hAnsi="Helvetica" w:cs="Arial"/>
          <w:color w:val="000000" w:themeColor="text1"/>
          <w:sz w:val="22"/>
          <w:szCs w:val="22"/>
        </w:rPr>
        <w:tab/>
      </w:r>
      <w:proofErr w:type="spellStart"/>
      <w:r w:rsidRPr="00E60C24">
        <w:rPr>
          <w:rFonts w:ascii="Helvetica" w:eastAsia="Times New Roman" w:hAnsi="Helvetica" w:cs="Arial"/>
          <w:color w:val="000000" w:themeColor="text1"/>
          <w:sz w:val="22"/>
          <w:szCs w:val="22"/>
          <w:shd w:val="clear" w:color="auto" w:fill="FFFFFF"/>
        </w:rPr>
        <w:t>Voysey</w:t>
      </w:r>
      <w:proofErr w:type="spellEnd"/>
      <w:r w:rsidRPr="00E60C24">
        <w:rPr>
          <w:rFonts w:ascii="Helvetica" w:eastAsia="Times New Roman" w:hAnsi="Helvetica" w:cs="Arial"/>
          <w:color w:val="000000" w:themeColor="text1"/>
          <w:sz w:val="22"/>
          <w:szCs w:val="22"/>
          <w:shd w:val="clear" w:color="auto" w:fill="FFFFFF"/>
        </w:rPr>
        <w:t xml:space="preserve"> M, Costa Clemens SA, </w:t>
      </w:r>
      <w:proofErr w:type="spellStart"/>
      <w:r w:rsidRPr="00E60C24">
        <w:rPr>
          <w:rFonts w:ascii="Helvetica" w:eastAsia="Times New Roman" w:hAnsi="Helvetica" w:cs="Arial"/>
          <w:color w:val="000000" w:themeColor="text1"/>
          <w:sz w:val="22"/>
          <w:szCs w:val="22"/>
          <w:shd w:val="clear" w:color="auto" w:fill="FFFFFF"/>
        </w:rPr>
        <w:t>Madhi</w:t>
      </w:r>
      <w:proofErr w:type="spellEnd"/>
      <w:r w:rsidRPr="00E60C24">
        <w:rPr>
          <w:rFonts w:ascii="Helvetica" w:eastAsia="Times New Roman" w:hAnsi="Helvetica" w:cs="Arial"/>
          <w:color w:val="000000" w:themeColor="text1"/>
          <w:sz w:val="22"/>
          <w:szCs w:val="22"/>
          <w:shd w:val="clear" w:color="auto" w:fill="FFFFFF"/>
        </w:rPr>
        <w:t xml:space="preserve"> SA, et al. Single-dose administration and the influence of the timing of the booster dose on immunogenicity and efficacy of ChAdOx1 nCoV-19 (AZD1222) vaccine: a pooled analysis of four randomised trials. </w:t>
      </w:r>
      <w:r w:rsidRPr="00A71E3C">
        <w:rPr>
          <w:rFonts w:ascii="Helvetica" w:eastAsia="Times New Roman" w:hAnsi="Helvetica" w:cs="Arial"/>
          <w:i/>
          <w:color w:val="000000" w:themeColor="text1"/>
          <w:sz w:val="22"/>
          <w:szCs w:val="22"/>
          <w:shd w:val="clear" w:color="auto" w:fill="FFFFFF"/>
        </w:rPr>
        <w:t>Lancet</w:t>
      </w:r>
      <w:r w:rsidRPr="00E60C24">
        <w:rPr>
          <w:rFonts w:ascii="Helvetica" w:eastAsia="Times New Roman" w:hAnsi="Helvetica" w:cs="Arial"/>
          <w:color w:val="000000" w:themeColor="text1"/>
          <w:sz w:val="22"/>
          <w:szCs w:val="22"/>
          <w:shd w:val="clear" w:color="auto" w:fill="FFFFFF"/>
        </w:rPr>
        <w:t xml:space="preserve"> 2021; </w:t>
      </w:r>
      <w:r w:rsidRPr="00193676">
        <w:rPr>
          <w:rFonts w:ascii="Helvetica" w:eastAsia="Times New Roman" w:hAnsi="Helvetica" w:cs="Arial"/>
          <w:b/>
          <w:color w:val="000000" w:themeColor="text1"/>
          <w:sz w:val="22"/>
          <w:szCs w:val="22"/>
          <w:shd w:val="clear" w:color="auto" w:fill="FFFFFF"/>
        </w:rPr>
        <w:t>397</w:t>
      </w:r>
      <w:r w:rsidRPr="00E60C24">
        <w:rPr>
          <w:rFonts w:ascii="Helvetica" w:eastAsia="Times New Roman" w:hAnsi="Helvetica" w:cs="Arial"/>
          <w:color w:val="000000" w:themeColor="text1"/>
          <w:sz w:val="22"/>
          <w:szCs w:val="22"/>
          <w:shd w:val="clear" w:color="auto" w:fill="FFFFFF"/>
        </w:rPr>
        <w:t>: 881-891.</w:t>
      </w:r>
    </w:p>
    <w:p w14:paraId="1D348BCF" w14:textId="77777777" w:rsidR="00A71E3C" w:rsidRPr="00E60C24" w:rsidRDefault="00A71E3C" w:rsidP="00B928F2">
      <w:pPr>
        <w:spacing w:line="480" w:lineRule="auto"/>
        <w:rPr>
          <w:rFonts w:ascii="Helvetica" w:eastAsia="Times New Roman" w:hAnsi="Helvetica" w:cs="Arial"/>
          <w:color w:val="000000" w:themeColor="text1"/>
          <w:sz w:val="22"/>
          <w:szCs w:val="22"/>
          <w:shd w:val="clear" w:color="auto" w:fill="FFFFFF"/>
        </w:rPr>
      </w:pPr>
    </w:p>
    <w:p w14:paraId="5A07412E" w14:textId="557C4EF6" w:rsidR="00F577B7" w:rsidRPr="00E60C24" w:rsidRDefault="00A16A9E" w:rsidP="00B928F2">
      <w:pPr>
        <w:spacing w:line="480" w:lineRule="auto"/>
        <w:rPr>
          <w:rFonts w:ascii="Helvetica" w:eastAsia="Times New Roman" w:hAnsi="Helvetica" w:cs="Arial"/>
          <w:color w:val="000000" w:themeColor="text1"/>
          <w:sz w:val="22"/>
          <w:szCs w:val="22"/>
          <w:shd w:val="clear" w:color="auto" w:fill="FFFFFF"/>
        </w:rPr>
      </w:pPr>
      <w:r w:rsidRPr="00E60C24">
        <w:rPr>
          <w:rFonts w:ascii="Helvetica" w:hAnsi="Helvetica" w:cstheme="minorHAnsi"/>
          <w:sz w:val="22"/>
          <w:szCs w:val="22"/>
          <w:lang w:val="en-US"/>
        </w:rPr>
        <w:t>22</w:t>
      </w:r>
      <w:r w:rsidRPr="00E60C24">
        <w:rPr>
          <w:rFonts w:ascii="Helvetica" w:hAnsi="Helvetica" w:cstheme="minorHAnsi"/>
          <w:sz w:val="22"/>
          <w:szCs w:val="22"/>
          <w:lang w:val="en-US"/>
        </w:rPr>
        <w:tab/>
      </w:r>
      <w:r w:rsidRPr="00E60C24">
        <w:rPr>
          <w:rFonts w:ascii="Helvetica" w:hAnsi="Helvetica" w:cstheme="minorHAnsi"/>
          <w:sz w:val="22"/>
          <w:szCs w:val="22"/>
        </w:rPr>
        <w:t>Lope</w:t>
      </w:r>
      <w:r w:rsidR="00003705">
        <w:rPr>
          <w:rFonts w:ascii="Helvetica" w:hAnsi="Helvetica" w:cstheme="minorHAnsi"/>
          <w:sz w:val="22"/>
          <w:szCs w:val="22"/>
        </w:rPr>
        <w:t>z Bernal J, Andrews N, Gower C,</w:t>
      </w:r>
      <w:r w:rsidR="00003705" w:rsidRPr="00E60C24">
        <w:rPr>
          <w:rFonts w:ascii="Helvetica" w:hAnsi="Helvetica" w:cstheme="minorHAnsi"/>
          <w:sz w:val="22"/>
          <w:szCs w:val="22"/>
        </w:rPr>
        <w:t xml:space="preserve"> </w:t>
      </w:r>
      <w:r w:rsidRPr="00E60C24">
        <w:rPr>
          <w:rFonts w:ascii="Helvetica" w:hAnsi="Helvetica" w:cstheme="minorHAnsi"/>
          <w:sz w:val="22"/>
          <w:szCs w:val="22"/>
        </w:rPr>
        <w:t>et al. Effectiveness of the Pfizer-</w:t>
      </w:r>
      <w:proofErr w:type="spellStart"/>
      <w:r w:rsidRPr="00E60C24">
        <w:rPr>
          <w:rFonts w:ascii="Helvetica" w:hAnsi="Helvetica" w:cstheme="minorHAnsi"/>
          <w:sz w:val="22"/>
          <w:szCs w:val="22"/>
        </w:rPr>
        <w:t>BioNTech</w:t>
      </w:r>
      <w:proofErr w:type="spellEnd"/>
      <w:r w:rsidRPr="00E60C24">
        <w:rPr>
          <w:rFonts w:ascii="Helvetica" w:hAnsi="Helvetica" w:cstheme="minorHAnsi"/>
          <w:sz w:val="22"/>
          <w:szCs w:val="22"/>
        </w:rPr>
        <w:t xml:space="preserve"> and Oxford-AstraZeneca vaccines on covid-19 related symptoms, hospital admissions, and mortality in older adults in England: test negative case-c</w:t>
      </w:r>
      <w:r w:rsidR="00A71E3C">
        <w:rPr>
          <w:rFonts w:ascii="Helvetica" w:hAnsi="Helvetica" w:cstheme="minorHAnsi"/>
          <w:sz w:val="22"/>
          <w:szCs w:val="22"/>
        </w:rPr>
        <w:t>ontrol study.</w:t>
      </w:r>
      <w:r w:rsidRPr="00E60C24">
        <w:rPr>
          <w:rFonts w:ascii="Helvetica" w:hAnsi="Helvetica" w:cstheme="minorHAnsi"/>
          <w:sz w:val="22"/>
          <w:szCs w:val="22"/>
        </w:rPr>
        <w:t xml:space="preserve"> </w:t>
      </w:r>
      <w:r w:rsidRPr="00A71E3C">
        <w:rPr>
          <w:rFonts w:ascii="Helvetica" w:hAnsi="Helvetica" w:cstheme="minorHAnsi"/>
          <w:i/>
          <w:iCs/>
          <w:sz w:val="22"/>
          <w:szCs w:val="22"/>
        </w:rPr>
        <w:t>BMJ </w:t>
      </w:r>
      <w:r w:rsidR="00A71E3C">
        <w:rPr>
          <w:rFonts w:ascii="Helvetica" w:hAnsi="Helvetica" w:cstheme="minorHAnsi"/>
          <w:sz w:val="22"/>
          <w:szCs w:val="22"/>
        </w:rPr>
        <w:t>2021; </w:t>
      </w:r>
      <w:r w:rsidR="00A71E3C" w:rsidRPr="00193676">
        <w:rPr>
          <w:rFonts w:ascii="Helvetica" w:hAnsi="Helvetica" w:cstheme="minorHAnsi"/>
          <w:b/>
          <w:sz w:val="22"/>
          <w:szCs w:val="22"/>
        </w:rPr>
        <w:t>373</w:t>
      </w:r>
      <w:r w:rsidRPr="00E60C24">
        <w:rPr>
          <w:rFonts w:ascii="Helvetica" w:hAnsi="Helvetica" w:cstheme="minorHAnsi"/>
          <w:sz w:val="22"/>
          <w:szCs w:val="22"/>
        </w:rPr>
        <w:t>:</w:t>
      </w:r>
      <w:r w:rsidR="00A71E3C">
        <w:rPr>
          <w:rFonts w:ascii="Helvetica" w:hAnsi="Helvetica" w:cstheme="minorHAnsi"/>
          <w:sz w:val="22"/>
          <w:szCs w:val="22"/>
        </w:rPr>
        <w:t xml:space="preserve"> </w:t>
      </w:r>
      <w:r w:rsidRPr="00E60C24">
        <w:rPr>
          <w:rFonts w:ascii="Helvetica" w:hAnsi="Helvetica" w:cstheme="minorHAnsi"/>
          <w:sz w:val="22"/>
          <w:szCs w:val="22"/>
        </w:rPr>
        <w:t>n1088</w:t>
      </w:r>
      <w:r w:rsidR="00A71E3C">
        <w:rPr>
          <w:rFonts w:ascii="Helvetica" w:hAnsi="Helvetica" w:cstheme="minorHAnsi"/>
          <w:sz w:val="22"/>
          <w:szCs w:val="22"/>
        </w:rPr>
        <w:t>.</w:t>
      </w:r>
    </w:p>
    <w:p w14:paraId="355B414C" w14:textId="77777777" w:rsidR="00733DF1" w:rsidRPr="00E60C24" w:rsidRDefault="00733DF1" w:rsidP="00B928F2">
      <w:pPr>
        <w:spacing w:line="480" w:lineRule="auto"/>
        <w:rPr>
          <w:rFonts w:ascii="Helvetica" w:hAnsi="Helvetica" w:cstheme="minorHAnsi"/>
          <w:sz w:val="22"/>
          <w:szCs w:val="22"/>
        </w:rPr>
      </w:pPr>
    </w:p>
    <w:p w14:paraId="7C6D794E" w14:textId="73947AE3" w:rsidR="00F577B7" w:rsidRPr="00E60C24" w:rsidRDefault="00F577B7" w:rsidP="00B928F2">
      <w:pPr>
        <w:spacing w:line="480" w:lineRule="auto"/>
        <w:rPr>
          <w:rFonts w:ascii="Helvetica" w:eastAsia="Times New Roman" w:hAnsi="Helvetica" w:cs="Arial"/>
          <w:color w:val="000000" w:themeColor="text1"/>
          <w:sz w:val="22"/>
          <w:szCs w:val="22"/>
          <w:shd w:val="clear" w:color="auto" w:fill="FFFFFF"/>
        </w:rPr>
      </w:pPr>
      <w:r w:rsidRPr="00E60C24">
        <w:rPr>
          <w:rFonts w:ascii="Helvetica" w:hAnsi="Helvetica" w:cstheme="minorHAnsi"/>
          <w:sz w:val="22"/>
          <w:szCs w:val="22"/>
        </w:rPr>
        <w:t>23</w:t>
      </w:r>
      <w:r w:rsidRPr="00E60C24">
        <w:rPr>
          <w:rFonts w:ascii="Helvetica" w:eastAsia="Times New Roman" w:hAnsi="Helvetica" w:cs="Arial"/>
          <w:color w:val="000000" w:themeColor="text1"/>
          <w:sz w:val="22"/>
          <w:szCs w:val="22"/>
        </w:rPr>
        <w:tab/>
      </w:r>
      <w:proofErr w:type="spellStart"/>
      <w:r w:rsidRPr="00E60C24">
        <w:rPr>
          <w:rFonts w:ascii="Helvetica" w:eastAsia="Times New Roman" w:hAnsi="Helvetica" w:cs="Arial"/>
          <w:color w:val="000000" w:themeColor="text1"/>
          <w:sz w:val="22"/>
          <w:szCs w:val="22"/>
        </w:rPr>
        <w:t>Vasileiou</w:t>
      </w:r>
      <w:proofErr w:type="spellEnd"/>
      <w:r w:rsidRPr="00E60C24">
        <w:rPr>
          <w:rFonts w:ascii="Helvetica" w:eastAsia="Times New Roman" w:hAnsi="Helvetica" w:cs="Arial"/>
          <w:color w:val="000000" w:themeColor="text1"/>
          <w:sz w:val="22"/>
          <w:szCs w:val="22"/>
        </w:rPr>
        <w:t xml:space="preserve"> E,</w:t>
      </w:r>
      <w:r w:rsidRPr="00E60C24">
        <w:rPr>
          <w:rStyle w:val="apple-converted-space"/>
          <w:rFonts w:ascii="Helvetica" w:eastAsia="Times New Roman" w:hAnsi="Helvetica" w:cs="Arial"/>
          <w:color w:val="000000" w:themeColor="text1"/>
          <w:sz w:val="22"/>
          <w:szCs w:val="22"/>
        </w:rPr>
        <w:t> </w:t>
      </w:r>
      <w:r w:rsidRPr="00E60C24">
        <w:rPr>
          <w:rFonts w:ascii="Helvetica" w:eastAsia="Times New Roman" w:hAnsi="Helvetica" w:cs="Arial"/>
          <w:color w:val="000000" w:themeColor="text1"/>
          <w:sz w:val="22"/>
          <w:szCs w:val="22"/>
        </w:rPr>
        <w:t>Simpson CR</w:t>
      </w:r>
      <w:r w:rsidRPr="00E60C24">
        <w:rPr>
          <w:rStyle w:val="apple-converted-space"/>
          <w:rFonts w:ascii="Helvetica" w:eastAsia="Times New Roman" w:hAnsi="Helvetica" w:cs="Arial"/>
          <w:color w:val="000000" w:themeColor="text1"/>
          <w:sz w:val="22"/>
          <w:szCs w:val="22"/>
        </w:rPr>
        <w:t xml:space="preserve">, </w:t>
      </w:r>
      <w:r w:rsidRPr="00E60C24">
        <w:rPr>
          <w:rFonts w:ascii="Helvetica" w:eastAsia="Times New Roman" w:hAnsi="Helvetica" w:cs="Arial"/>
          <w:color w:val="000000" w:themeColor="text1"/>
          <w:sz w:val="22"/>
          <w:szCs w:val="22"/>
        </w:rPr>
        <w:t xml:space="preserve">Shi T, et al. </w:t>
      </w:r>
      <w:r w:rsidRPr="00E60C24">
        <w:rPr>
          <w:rFonts w:ascii="Helvetica" w:eastAsia="Times New Roman" w:hAnsi="Helvetica" w:cs="Arial"/>
          <w:bCs/>
          <w:color w:val="000000" w:themeColor="text1"/>
          <w:sz w:val="22"/>
          <w:szCs w:val="22"/>
        </w:rPr>
        <w:t xml:space="preserve">Interim findings from first-dose mass COVID-19 vaccination roll-out and COVID-19 hospital admissions in Scotland: a national prospective cohort study. </w:t>
      </w:r>
      <w:r w:rsidRPr="00A71E3C">
        <w:rPr>
          <w:rStyle w:val="refseries"/>
          <w:rFonts w:ascii="Helvetica" w:eastAsia="Times New Roman" w:hAnsi="Helvetica" w:cs="Arial"/>
          <w:i/>
          <w:iCs/>
          <w:color w:val="000000" w:themeColor="text1"/>
          <w:sz w:val="22"/>
          <w:szCs w:val="22"/>
        </w:rPr>
        <w:t>Lancet</w:t>
      </w:r>
      <w:r w:rsidRPr="00E60C24">
        <w:rPr>
          <w:rStyle w:val="apple-converted-space"/>
          <w:rFonts w:ascii="Helvetica" w:eastAsia="Times New Roman" w:hAnsi="Helvetica" w:cs="Arial"/>
          <w:color w:val="000000" w:themeColor="text1"/>
          <w:sz w:val="22"/>
          <w:szCs w:val="22"/>
        </w:rPr>
        <w:t> </w:t>
      </w:r>
      <w:r w:rsidRPr="00E60C24">
        <w:rPr>
          <w:rStyle w:val="refseriesdate"/>
          <w:rFonts w:ascii="Helvetica" w:eastAsia="Times New Roman" w:hAnsi="Helvetica" w:cs="Arial"/>
          <w:color w:val="000000" w:themeColor="text1"/>
          <w:sz w:val="22"/>
          <w:szCs w:val="22"/>
        </w:rPr>
        <w:t>2021</w:t>
      </w:r>
      <w:r w:rsidR="00193676">
        <w:rPr>
          <w:rStyle w:val="refseriesdate"/>
          <w:rFonts w:ascii="Helvetica" w:eastAsia="Times New Roman" w:hAnsi="Helvetica" w:cs="Arial"/>
          <w:color w:val="000000" w:themeColor="text1"/>
          <w:sz w:val="22"/>
          <w:szCs w:val="22"/>
        </w:rPr>
        <w:t>;</w:t>
      </w:r>
      <w:r w:rsidR="00337858" w:rsidRPr="00337858">
        <w:rPr>
          <w:rFonts w:ascii="Segoe UI" w:eastAsia="Times New Roman" w:hAnsi="Segoe UI" w:cs="Segoe UI"/>
          <w:color w:val="5B616B"/>
          <w:shd w:val="clear" w:color="auto" w:fill="FFFFFF"/>
        </w:rPr>
        <w:t xml:space="preserve"> </w:t>
      </w:r>
      <w:r w:rsidR="00337858" w:rsidRPr="00193676">
        <w:rPr>
          <w:rFonts w:ascii="Helvetica" w:eastAsia="Times New Roman" w:hAnsi="Helvetica" w:cs="Arial"/>
          <w:b/>
          <w:color w:val="000000" w:themeColor="text1"/>
          <w:sz w:val="22"/>
          <w:szCs w:val="22"/>
        </w:rPr>
        <w:t>397(10285)</w:t>
      </w:r>
      <w:r w:rsidR="00337858" w:rsidRPr="00337858">
        <w:rPr>
          <w:rFonts w:ascii="Helvetica" w:eastAsia="Times New Roman" w:hAnsi="Helvetica" w:cs="Arial"/>
          <w:color w:val="000000" w:themeColor="text1"/>
          <w:sz w:val="22"/>
          <w:szCs w:val="22"/>
        </w:rPr>
        <w:t>:</w:t>
      </w:r>
      <w:r w:rsidR="00193676">
        <w:rPr>
          <w:rFonts w:ascii="Helvetica" w:eastAsia="Times New Roman" w:hAnsi="Helvetica" w:cs="Arial"/>
          <w:color w:val="000000" w:themeColor="text1"/>
          <w:sz w:val="22"/>
          <w:szCs w:val="22"/>
        </w:rPr>
        <w:t xml:space="preserve"> </w:t>
      </w:r>
      <w:r w:rsidR="00337858" w:rsidRPr="00337858">
        <w:rPr>
          <w:rFonts w:ascii="Helvetica" w:eastAsia="Times New Roman" w:hAnsi="Helvetica" w:cs="Arial"/>
          <w:color w:val="000000" w:themeColor="text1"/>
          <w:sz w:val="22"/>
          <w:szCs w:val="22"/>
        </w:rPr>
        <w:t>1646-1657.</w:t>
      </w:r>
    </w:p>
    <w:p w14:paraId="7D7C05D5" w14:textId="77777777" w:rsidR="00A16A9E" w:rsidRDefault="00A16A9E" w:rsidP="00B928F2">
      <w:pPr>
        <w:spacing w:line="480" w:lineRule="auto"/>
        <w:rPr>
          <w:rFonts w:ascii="Helvetica" w:hAnsi="Helvetica" w:cstheme="minorHAnsi"/>
          <w:sz w:val="22"/>
          <w:szCs w:val="22"/>
        </w:rPr>
      </w:pPr>
    </w:p>
    <w:p w14:paraId="13EE11F4" w14:textId="7100ADC2" w:rsidR="00DD1D58" w:rsidRDefault="00DD1D58" w:rsidP="00B928F2">
      <w:pPr>
        <w:spacing w:line="480" w:lineRule="auto"/>
        <w:rPr>
          <w:rFonts w:ascii="Helvetica" w:hAnsi="Helvetica" w:cstheme="minorHAnsi"/>
          <w:sz w:val="22"/>
          <w:szCs w:val="22"/>
        </w:rPr>
      </w:pPr>
      <w:r>
        <w:rPr>
          <w:rFonts w:ascii="Helvetica" w:hAnsi="Helvetica" w:cstheme="minorHAnsi"/>
          <w:sz w:val="22"/>
          <w:szCs w:val="22"/>
        </w:rPr>
        <w:t>24</w:t>
      </w:r>
      <w:r>
        <w:rPr>
          <w:rFonts w:ascii="Helvetica" w:hAnsi="Helvetica" w:cstheme="minorHAnsi"/>
          <w:sz w:val="22"/>
          <w:szCs w:val="22"/>
        </w:rPr>
        <w:tab/>
      </w:r>
      <w:proofErr w:type="spellStart"/>
      <w:r w:rsidR="00FD6795" w:rsidRPr="00FD6795">
        <w:rPr>
          <w:rFonts w:ascii="Helvetica" w:hAnsi="Helvetica" w:cstheme="minorHAnsi"/>
          <w:sz w:val="22"/>
          <w:szCs w:val="22"/>
        </w:rPr>
        <w:t>Skowronski</w:t>
      </w:r>
      <w:proofErr w:type="spellEnd"/>
      <w:r w:rsidR="00FD6795" w:rsidRPr="00FD6795">
        <w:rPr>
          <w:rFonts w:ascii="Helvetica" w:hAnsi="Helvetica" w:cstheme="minorHAnsi"/>
          <w:sz w:val="22"/>
          <w:szCs w:val="22"/>
        </w:rPr>
        <w:t xml:space="preserve"> DM, </w:t>
      </w:r>
      <w:proofErr w:type="spellStart"/>
      <w:r w:rsidR="00FD6795" w:rsidRPr="00FD6795">
        <w:rPr>
          <w:rFonts w:ascii="Helvetica" w:hAnsi="Helvetica" w:cstheme="minorHAnsi"/>
          <w:sz w:val="22"/>
          <w:szCs w:val="22"/>
        </w:rPr>
        <w:t>Setayeshgar</w:t>
      </w:r>
      <w:proofErr w:type="spellEnd"/>
      <w:r w:rsidR="00FD6795" w:rsidRPr="00FD6795">
        <w:rPr>
          <w:rFonts w:ascii="Helvetica" w:hAnsi="Helvetica" w:cstheme="minorHAnsi"/>
          <w:sz w:val="22"/>
          <w:szCs w:val="22"/>
        </w:rPr>
        <w:t xml:space="preserve"> S, Zou M, </w:t>
      </w:r>
      <w:r w:rsidR="00233E2B">
        <w:rPr>
          <w:rFonts w:ascii="Helvetica" w:hAnsi="Helvetica" w:cstheme="minorHAnsi"/>
          <w:sz w:val="22"/>
          <w:szCs w:val="22"/>
        </w:rPr>
        <w:t xml:space="preserve">et al. </w:t>
      </w:r>
      <w:r w:rsidR="00FD6795" w:rsidRPr="00FD6795">
        <w:rPr>
          <w:rFonts w:ascii="Helvetica" w:hAnsi="Helvetica" w:cstheme="minorHAnsi"/>
          <w:sz w:val="22"/>
          <w:szCs w:val="22"/>
        </w:rPr>
        <w:t xml:space="preserve">Single-dose mRNA vaccine effectiveness against SARS-CoV-2, including Alpha and Gamma variants: a test-negative </w:t>
      </w:r>
      <w:r w:rsidR="00FD6795" w:rsidRPr="00FD6795">
        <w:rPr>
          <w:rFonts w:ascii="Helvetica" w:hAnsi="Helvetica" w:cstheme="minorHAnsi"/>
          <w:sz w:val="22"/>
          <w:szCs w:val="22"/>
        </w:rPr>
        <w:lastRenderedPageBreak/>
        <w:t xml:space="preserve">design in adults 70 years and older in British Columbia, Canada. </w:t>
      </w:r>
      <w:proofErr w:type="spellStart"/>
      <w:r w:rsidR="00FD6795" w:rsidRPr="0024547E">
        <w:rPr>
          <w:rFonts w:ascii="Helvetica" w:hAnsi="Helvetica" w:cstheme="minorHAnsi"/>
          <w:i/>
          <w:sz w:val="22"/>
          <w:szCs w:val="22"/>
        </w:rPr>
        <w:t>Clin</w:t>
      </w:r>
      <w:proofErr w:type="spellEnd"/>
      <w:r w:rsidR="00FD6795" w:rsidRPr="0024547E">
        <w:rPr>
          <w:rFonts w:ascii="Helvetica" w:hAnsi="Helvetica" w:cstheme="minorHAnsi"/>
          <w:i/>
          <w:sz w:val="22"/>
          <w:szCs w:val="22"/>
        </w:rPr>
        <w:t xml:space="preserve"> Infect Dis</w:t>
      </w:r>
      <w:r w:rsidR="00FD6795">
        <w:rPr>
          <w:rFonts w:ascii="Helvetica" w:hAnsi="Helvetica" w:cstheme="minorHAnsi"/>
          <w:sz w:val="22"/>
          <w:szCs w:val="22"/>
        </w:rPr>
        <w:t xml:space="preserve"> </w:t>
      </w:r>
      <w:proofErr w:type="gramStart"/>
      <w:r w:rsidR="00FD6795">
        <w:rPr>
          <w:rFonts w:ascii="Helvetica" w:hAnsi="Helvetica" w:cstheme="minorHAnsi"/>
          <w:sz w:val="22"/>
          <w:szCs w:val="22"/>
        </w:rPr>
        <w:t>2021</w:t>
      </w:r>
      <w:r w:rsidR="00FD6795" w:rsidRPr="00FD6795">
        <w:rPr>
          <w:rFonts w:ascii="Helvetica" w:hAnsi="Helvetica" w:cstheme="minorHAnsi"/>
          <w:sz w:val="22"/>
          <w:szCs w:val="22"/>
        </w:rPr>
        <w:t>:ciab</w:t>
      </w:r>
      <w:proofErr w:type="gramEnd"/>
      <w:r w:rsidR="00FD6795" w:rsidRPr="00FD6795">
        <w:rPr>
          <w:rFonts w:ascii="Helvetica" w:hAnsi="Helvetica" w:cstheme="minorHAnsi"/>
          <w:sz w:val="22"/>
          <w:szCs w:val="22"/>
        </w:rPr>
        <w:t>616. </w:t>
      </w:r>
    </w:p>
    <w:p w14:paraId="0830B407" w14:textId="77777777" w:rsidR="00DD1D58" w:rsidRPr="00E60C24" w:rsidRDefault="00DD1D58" w:rsidP="00B928F2">
      <w:pPr>
        <w:spacing w:line="480" w:lineRule="auto"/>
        <w:rPr>
          <w:rFonts w:ascii="Helvetica" w:hAnsi="Helvetica" w:cstheme="minorHAnsi"/>
          <w:sz w:val="22"/>
          <w:szCs w:val="22"/>
        </w:rPr>
      </w:pPr>
    </w:p>
    <w:p w14:paraId="195E04B8" w14:textId="5A366755" w:rsidR="005E427F" w:rsidRDefault="00FD6795" w:rsidP="00B928F2">
      <w:pPr>
        <w:spacing w:line="480" w:lineRule="auto"/>
        <w:rPr>
          <w:rFonts w:ascii="Helvetica" w:eastAsia="Times New Roman" w:hAnsi="Helvetica" w:cs="Segoe UI"/>
          <w:color w:val="222222"/>
          <w:sz w:val="22"/>
          <w:szCs w:val="22"/>
          <w:shd w:val="clear" w:color="auto" w:fill="FFFFFF"/>
        </w:rPr>
      </w:pPr>
      <w:r>
        <w:rPr>
          <w:rFonts w:ascii="Helvetica" w:eastAsia="Times New Roman" w:hAnsi="Helvetica" w:cs="Segoe UI"/>
          <w:color w:val="222222"/>
          <w:sz w:val="22"/>
          <w:szCs w:val="22"/>
          <w:shd w:val="clear" w:color="auto" w:fill="FFFFFF"/>
        </w:rPr>
        <w:t>25</w:t>
      </w:r>
      <w:r w:rsidR="00A03FDC" w:rsidRPr="00E60C24">
        <w:rPr>
          <w:rFonts w:ascii="Helvetica" w:eastAsia="Times New Roman" w:hAnsi="Helvetica" w:cs="Segoe UI"/>
          <w:color w:val="222222"/>
          <w:sz w:val="22"/>
          <w:szCs w:val="22"/>
          <w:shd w:val="clear" w:color="auto" w:fill="FFFFFF"/>
        </w:rPr>
        <w:tab/>
      </w:r>
      <w:r w:rsidR="00A71E3C">
        <w:rPr>
          <w:rFonts w:ascii="Helvetica" w:eastAsia="Times New Roman" w:hAnsi="Helvetica" w:cs="Segoe UI"/>
          <w:color w:val="222222"/>
          <w:sz w:val="22"/>
          <w:szCs w:val="22"/>
          <w:shd w:val="clear" w:color="auto" w:fill="FFFFFF"/>
        </w:rPr>
        <w:t xml:space="preserve">Wei J, </w:t>
      </w:r>
      <w:proofErr w:type="spellStart"/>
      <w:r w:rsidR="00A71E3C">
        <w:rPr>
          <w:rFonts w:ascii="Helvetica" w:eastAsia="Times New Roman" w:hAnsi="Helvetica" w:cs="Segoe UI"/>
          <w:color w:val="222222"/>
          <w:sz w:val="22"/>
          <w:szCs w:val="22"/>
          <w:shd w:val="clear" w:color="auto" w:fill="FFFFFF"/>
        </w:rPr>
        <w:t>Stoesser</w:t>
      </w:r>
      <w:proofErr w:type="spellEnd"/>
      <w:r w:rsidR="00A71E3C">
        <w:rPr>
          <w:rFonts w:ascii="Helvetica" w:eastAsia="Times New Roman" w:hAnsi="Helvetica" w:cs="Segoe UI"/>
          <w:color w:val="222222"/>
          <w:sz w:val="22"/>
          <w:szCs w:val="22"/>
          <w:shd w:val="clear" w:color="auto" w:fill="FFFFFF"/>
        </w:rPr>
        <w:t xml:space="preserve"> N, Matthews P</w:t>
      </w:r>
      <w:r w:rsidR="00A03FDC" w:rsidRPr="00E60C24">
        <w:rPr>
          <w:rFonts w:ascii="Helvetica" w:eastAsia="Times New Roman" w:hAnsi="Helvetica" w:cs="Segoe UI"/>
          <w:color w:val="222222"/>
          <w:sz w:val="22"/>
          <w:szCs w:val="22"/>
          <w:shd w:val="clear" w:color="auto" w:fill="FFFFFF"/>
        </w:rPr>
        <w:t>C</w:t>
      </w:r>
      <w:r w:rsidR="00A71E3C">
        <w:rPr>
          <w:rFonts w:ascii="Helvetica" w:eastAsia="Times New Roman" w:hAnsi="Helvetica" w:cs="Segoe UI"/>
          <w:color w:val="222222"/>
          <w:sz w:val="22"/>
          <w:szCs w:val="22"/>
          <w:shd w:val="clear" w:color="auto" w:fill="FFFFFF"/>
        </w:rPr>
        <w:t>,</w:t>
      </w:r>
      <w:r w:rsidR="00A03FDC" w:rsidRPr="00E60C24">
        <w:rPr>
          <w:rStyle w:val="apple-converted-space"/>
          <w:rFonts w:ascii="Helvetica" w:eastAsia="Times New Roman" w:hAnsi="Helvetica" w:cs="Segoe UI"/>
          <w:color w:val="222222"/>
          <w:sz w:val="22"/>
          <w:szCs w:val="22"/>
          <w:shd w:val="clear" w:color="auto" w:fill="FFFFFF"/>
        </w:rPr>
        <w:t> </w:t>
      </w:r>
      <w:r w:rsidR="00A03FDC" w:rsidRPr="00E60C24">
        <w:rPr>
          <w:rFonts w:ascii="Helvetica" w:eastAsia="Times New Roman" w:hAnsi="Helvetica" w:cs="Segoe UI"/>
          <w:iCs/>
          <w:color w:val="222222"/>
          <w:sz w:val="22"/>
          <w:szCs w:val="22"/>
        </w:rPr>
        <w:t>et al.</w:t>
      </w:r>
      <w:r w:rsidR="00A03FDC" w:rsidRPr="00E60C24">
        <w:rPr>
          <w:rStyle w:val="apple-converted-space"/>
          <w:rFonts w:ascii="Helvetica" w:eastAsia="Times New Roman" w:hAnsi="Helvetica" w:cs="Segoe UI"/>
          <w:color w:val="222222"/>
          <w:sz w:val="22"/>
          <w:szCs w:val="22"/>
          <w:shd w:val="clear" w:color="auto" w:fill="FFFFFF"/>
        </w:rPr>
        <w:t> </w:t>
      </w:r>
      <w:r w:rsidR="00A03FDC" w:rsidRPr="00E60C24">
        <w:rPr>
          <w:rFonts w:ascii="Helvetica" w:eastAsia="Times New Roman" w:hAnsi="Helvetica" w:cs="Segoe UI"/>
          <w:color w:val="222222"/>
          <w:sz w:val="22"/>
          <w:szCs w:val="22"/>
          <w:shd w:val="clear" w:color="auto" w:fill="FFFFFF"/>
        </w:rPr>
        <w:t>Antibody responses to SARS-CoV-2 vaccines in 45,965 adults from the general population of the United Kingdom.</w:t>
      </w:r>
      <w:r w:rsidR="00A03FDC" w:rsidRPr="00E60C24">
        <w:rPr>
          <w:rStyle w:val="apple-converted-space"/>
          <w:rFonts w:ascii="Helvetica" w:eastAsia="Times New Roman" w:hAnsi="Helvetica" w:cs="Segoe UI"/>
          <w:color w:val="222222"/>
          <w:sz w:val="22"/>
          <w:szCs w:val="22"/>
          <w:shd w:val="clear" w:color="auto" w:fill="FFFFFF"/>
        </w:rPr>
        <w:t> </w:t>
      </w:r>
      <w:r w:rsidR="00A03FDC" w:rsidRPr="00A71E3C">
        <w:rPr>
          <w:rFonts w:ascii="Helvetica" w:eastAsia="Times New Roman" w:hAnsi="Helvetica" w:cs="Segoe UI"/>
          <w:i/>
          <w:iCs/>
          <w:color w:val="222222"/>
          <w:sz w:val="22"/>
          <w:szCs w:val="22"/>
        </w:rPr>
        <w:t xml:space="preserve">Nat </w:t>
      </w:r>
      <w:proofErr w:type="spellStart"/>
      <w:r w:rsidR="00A03FDC" w:rsidRPr="00A71E3C">
        <w:rPr>
          <w:rFonts w:ascii="Helvetica" w:eastAsia="Times New Roman" w:hAnsi="Helvetica" w:cs="Segoe UI"/>
          <w:i/>
          <w:iCs/>
          <w:color w:val="222222"/>
          <w:sz w:val="22"/>
          <w:szCs w:val="22"/>
        </w:rPr>
        <w:t>Microbiol</w:t>
      </w:r>
      <w:proofErr w:type="spellEnd"/>
      <w:r w:rsidR="00A03FDC" w:rsidRPr="00A71E3C">
        <w:rPr>
          <w:rStyle w:val="apple-converted-space"/>
          <w:rFonts w:ascii="Helvetica" w:eastAsia="Times New Roman" w:hAnsi="Helvetica" w:cs="Segoe UI"/>
          <w:i/>
          <w:color w:val="222222"/>
          <w:sz w:val="22"/>
          <w:szCs w:val="22"/>
          <w:shd w:val="clear" w:color="auto" w:fill="FFFFFF"/>
        </w:rPr>
        <w:t> </w:t>
      </w:r>
      <w:r w:rsidR="00A71E3C">
        <w:rPr>
          <w:rFonts w:ascii="Helvetica" w:eastAsia="Times New Roman" w:hAnsi="Helvetica" w:cs="Segoe UI"/>
          <w:color w:val="222222"/>
          <w:sz w:val="22"/>
          <w:szCs w:val="22"/>
          <w:shd w:val="clear" w:color="auto" w:fill="FFFFFF"/>
        </w:rPr>
        <w:t xml:space="preserve">2021; </w:t>
      </w:r>
      <w:r w:rsidR="00A71E3C" w:rsidRPr="00337858">
        <w:rPr>
          <w:rFonts w:ascii="Helvetica" w:eastAsia="Times New Roman" w:hAnsi="Helvetica" w:cs="Segoe UI"/>
          <w:b/>
          <w:color w:val="222222"/>
          <w:sz w:val="22"/>
          <w:szCs w:val="22"/>
          <w:shd w:val="clear" w:color="auto" w:fill="FFFFFF"/>
        </w:rPr>
        <w:t>6(9)</w:t>
      </w:r>
      <w:r w:rsidR="00A71E3C" w:rsidRPr="00A71E3C">
        <w:rPr>
          <w:rFonts w:ascii="Helvetica" w:eastAsia="Times New Roman" w:hAnsi="Helvetica" w:cs="Segoe UI"/>
          <w:color w:val="222222"/>
          <w:sz w:val="22"/>
          <w:szCs w:val="22"/>
          <w:shd w:val="clear" w:color="auto" w:fill="FFFFFF"/>
        </w:rPr>
        <w:t>:</w:t>
      </w:r>
      <w:r w:rsidR="00A71E3C">
        <w:rPr>
          <w:rFonts w:ascii="Helvetica" w:eastAsia="Times New Roman" w:hAnsi="Helvetica" w:cs="Segoe UI"/>
          <w:color w:val="222222"/>
          <w:sz w:val="22"/>
          <w:szCs w:val="22"/>
          <w:shd w:val="clear" w:color="auto" w:fill="FFFFFF"/>
        </w:rPr>
        <w:t xml:space="preserve"> </w:t>
      </w:r>
      <w:r w:rsidR="00A71E3C" w:rsidRPr="00A71E3C">
        <w:rPr>
          <w:rFonts w:ascii="Helvetica" w:eastAsia="Times New Roman" w:hAnsi="Helvetica" w:cs="Segoe UI"/>
          <w:color w:val="222222"/>
          <w:sz w:val="22"/>
          <w:szCs w:val="22"/>
          <w:shd w:val="clear" w:color="auto" w:fill="FFFFFF"/>
        </w:rPr>
        <w:t>1140-1149.</w:t>
      </w:r>
    </w:p>
    <w:p w14:paraId="59196FC0" w14:textId="77777777" w:rsidR="00337858" w:rsidRPr="00A71E3C" w:rsidRDefault="00337858" w:rsidP="00B928F2">
      <w:pPr>
        <w:spacing w:line="480" w:lineRule="auto"/>
        <w:rPr>
          <w:rFonts w:ascii="Helvetica" w:eastAsia="Times New Roman" w:hAnsi="Helvetica" w:cs="Segoe UI"/>
          <w:color w:val="222222"/>
          <w:sz w:val="22"/>
          <w:szCs w:val="22"/>
          <w:shd w:val="clear" w:color="auto" w:fill="FFFFFF"/>
        </w:rPr>
      </w:pPr>
    </w:p>
    <w:p w14:paraId="4E3B3746" w14:textId="17EF9C37" w:rsidR="00A71E3C" w:rsidRPr="00A71E3C" w:rsidRDefault="00FD6795" w:rsidP="00B928F2">
      <w:pPr>
        <w:spacing w:line="480" w:lineRule="auto"/>
        <w:rPr>
          <w:rFonts w:ascii="Helvetica" w:eastAsia="Times New Roman" w:hAnsi="Helvetica" w:cs="Segoe UI"/>
          <w:color w:val="212121"/>
          <w:sz w:val="22"/>
          <w:szCs w:val="22"/>
          <w:shd w:val="clear" w:color="auto" w:fill="FFFFFF"/>
        </w:rPr>
      </w:pPr>
      <w:r>
        <w:rPr>
          <w:rFonts w:ascii="Helvetica" w:eastAsia="Times New Roman" w:hAnsi="Helvetica" w:cs="Segoe UI"/>
          <w:color w:val="212121"/>
          <w:sz w:val="22"/>
          <w:szCs w:val="22"/>
          <w:shd w:val="clear" w:color="auto" w:fill="FFFFFF"/>
        </w:rPr>
        <w:t>26</w:t>
      </w:r>
      <w:r w:rsidR="00A03FDC" w:rsidRPr="00E60C24">
        <w:rPr>
          <w:rFonts w:ascii="Helvetica" w:eastAsia="Times New Roman" w:hAnsi="Helvetica" w:cs="Segoe UI"/>
          <w:color w:val="212121"/>
          <w:sz w:val="22"/>
          <w:szCs w:val="22"/>
          <w:shd w:val="clear" w:color="auto" w:fill="FFFFFF"/>
        </w:rPr>
        <w:tab/>
        <w:t>Monod M, Blenkinsop A, Xi X,</w:t>
      </w:r>
      <w:r w:rsidR="00A71E3C">
        <w:rPr>
          <w:rFonts w:ascii="Helvetica" w:eastAsia="Times New Roman" w:hAnsi="Helvetica" w:cs="Segoe UI"/>
          <w:color w:val="212121"/>
          <w:sz w:val="22"/>
          <w:szCs w:val="22"/>
          <w:shd w:val="clear" w:color="auto" w:fill="FFFFFF"/>
        </w:rPr>
        <w:t xml:space="preserve"> et al.</w:t>
      </w:r>
      <w:r w:rsidR="00A03FDC" w:rsidRPr="00E60C24">
        <w:rPr>
          <w:rFonts w:ascii="Helvetica" w:eastAsia="Times New Roman" w:hAnsi="Helvetica" w:cs="Segoe UI"/>
          <w:color w:val="212121"/>
          <w:sz w:val="22"/>
          <w:szCs w:val="22"/>
          <w:shd w:val="clear" w:color="auto" w:fill="FFFFFF"/>
        </w:rPr>
        <w:t xml:space="preserve"> Age groups that sustain resurging COVID-19 epidemics in t</w:t>
      </w:r>
      <w:r w:rsidR="00A71E3C">
        <w:rPr>
          <w:rFonts w:ascii="Helvetica" w:eastAsia="Times New Roman" w:hAnsi="Helvetica" w:cs="Segoe UI"/>
          <w:color w:val="212121"/>
          <w:sz w:val="22"/>
          <w:szCs w:val="22"/>
          <w:shd w:val="clear" w:color="auto" w:fill="FFFFFF"/>
        </w:rPr>
        <w:t xml:space="preserve">he United States. </w:t>
      </w:r>
      <w:r w:rsidR="00A71E3C" w:rsidRPr="00A71E3C">
        <w:rPr>
          <w:rFonts w:ascii="Helvetica" w:eastAsia="Times New Roman" w:hAnsi="Helvetica" w:cs="Segoe UI"/>
          <w:i/>
          <w:color w:val="212121"/>
          <w:sz w:val="22"/>
          <w:szCs w:val="22"/>
          <w:shd w:val="clear" w:color="auto" w:fill="FFFFFF"/>
        </w:rPr>
        <w:t>Science</w:t>
      </w:r>
      <w:r w:rsidR="00A71E3C">
        <w:rPr>
          <w:rFonts w:ascii="Helvetica" w:eastAsia="Times New Roman" w:hAnsi="Helvetica" w:cs="Segoe UI"/>
          <w:color w:val="212121"/>
          <w:sz w:val="22"/>
          <w:szCs w:val="22"/>
          <w:shd w:val="clear" w:color="auto" w:fill="FFFFFF"/>
        </w:rPr>
        <w:t xml:space="preserve"> 2021</w:t>
      </w:r>
      <w:r w:rsidR="00A03FDC" w:rsidRPr="00E60C24">
        <w:rPr>
          <w:rFonts w:ascii="Helvetica" w:eastAsia="Times New Roman" w:hAnsi="Helvetica" w:cs="Segoe UI"/>
          <w:color w:val="212121"/>
          <w:sz w:val="22"/>
          <w:szCs w:val="22"/>
          <w:shd w:val="clear" w:color="auto" w:fill="FFFFFF"/>
        </w:rPr>
        <w:t>;</w:t>
      </w:r>
      <w:r w:rsidR="00A71E3C">
        <w:rPr>
          <w:rFonts w:ascii="Helvetica" w:eastAsia="Times New Roman" w:hAnsi="Helvetica" w:cs="Segoe UI"/>
          <w:color w:val="212121"/>
          <w:sz w:val="22"/>
          <w:szCs w:val="22"/>
          <w:shd w:val="clear" w:color="auto" w:fill="FFFFFF"/>
        </w:rPr>
        <w:t xml:space="preserve"> </w:t>
      </w:r>
      <w:r w:rsidR="00A03FDC" w:rsidRPr="00337858">
        <w:rPr>
          <w:rFonts w:ascii="Helvetica" w:eastAsia="Times New Roman" w:hAnsi="Helvetica" w:cs="Segoe UI"/>
          <w:b/>
          <w:color w:val="212121"/>
          <w:sz w:val="22"/>
          <w:szCs w:val="22"/>
          <w:shd w:val="clear" w:color="auto" w:fill="FFFFFF"/>
        </w:rPr>
        <w:t>371(6536)</w:t>
      </w:r>
      <w:r w:rsidR="00A03FDC" w:rsidRPr="00E60C24">
        <w:rPr>
          <w:rFonts w:ascii="Helvetica" w:eastAsia="Times New Roman" w:hAnsi="Helvetica" w:cs="Segoe UI"/>
          <w:color w:val="212121"/>
          <w:sz w:val="22"/>
          <w:szCs w:val="22"/>
          <w:shd w:val="clear" w:color="auto" w:fill="FFFFFF"/>
        </w:rPr>
        <w:t>:</w:t>
      </w:r>
      <w:r w:rsidR="00A71E3C">
        <w:rPr>
          <w:rFonts w:ascii="Helvetica" w:eastAsia="Times New Roman" w:hAnsi="Helvetica" w:cs="Segoe UI"/>
          <w:color w:val="212121"/>
          <w:sz w:val="22"/>
          <w:szCs w:val="22"/>
          <w:shd w:val="clear" w:color="auto" w:fill="FFFFFF"/>
        </w:rPr>
        <w:t xml:space="preserve"> </w:t>
      </w:r>
      <w:r w:rsidR="00A03FDC" w:rsidRPr="00E60C24">
        <w:rPr>
          <w:rFonts w:ascii="Helvetica" w:eastAsia="Times New Roman" w:hAnsi="Helvetica" w:cs="Segoe UI"/>
          <w:color w:val="212121"/>
          <w:sz w:val="22"/>
          <w:szCs w:val="22"/>
          <w:shd w:val="clear" w:color="auto" w:fill="FFFFFF"/>
        </w:rPr>
        <w:t xml:space="preserve">eabe8372. </w:t>
      </w:r>
    </w:p>
    <w:p w14:paraId="46E7D1D9" w14:textId="77777777" w:rsidR="005E427F" w:rsidRPr="00E60C24" w:rsidRDefault="005E427F" w:rsidP="00B928F2">
      <w:pPr>
        <w:spacing w:line="480" w:lineRule="auto"/>
        <w:rPr>
          <w:rFonts w:ascii="Helvetica" w:hAnsi="Helvetica" w:cstheme="minorHAnsi"/>
          <w:sz w:val="22"/>
          <w:szCs w:val="22"/>
        </w:rPr>
      </w:pPr>
    </w:p>
    <w:p w14:paraId="11F1D872" w14:textId="262BBC61" w:rsidR="00233E2B" w:rsidRDefault="00FD6795" w:rsidP="00233E2B">
      <w:pPr>
        <w:spacing w:line="480" w:lineRule="auto"/>
        <w:rPr>
          <w:rFonts w:ascii="Helvetica" w:hAnsi="Helvetica" w:cstheme="minorHAnsi"/>
          <w:sz w:val="22"/>
          <w:szCs w:val="22"/>
        </w:rPr>
      </w:pPr>
      <w:r>
        <w:rPr>
          <w:rFonts w:ascii="Helvetica" w:hAnsi="Helvetica" w:cstheme="minorHAnsi"/>
          <w:sz w:val="22"/>
          <w:szCs w:val="22"/>
        </w:rPr>
        <w:t>27</w:t>
      </w:r>
      <w:r w:rsidR="00F146B8" w:rsidRPr="00E60C24">
        <w:rPr>
          <w:rFonts w:ascii="Helvetica" w:hAnsi="Helvetica" w:cstheme="minorHAnsi"/>
          <w:sz w:val="22"/>
          <w:szCs w:val="22"/>
        </w:rPr>
        <w:tab/>
      </w:r>
      <w:proofErr w:type="spellStart"/>
      <w:r w:rsidR="00F146B8" w:rsidRPr="00E60C24">
        <w:rPr>
          <w:rFonts w:ascii="Helvetica" w:hAnsi="Helvetica" w:cstheme="minorHAnsi"/>
          <w:sz w:val="22"/>
          <w:szCs w:val="22"/>
        </w:rPr>
        <w:t>Glampson</w:t>
      </w:r>
      <w:proofErr w:type="spellEnd"/>
      <w:r w:rsidR="00F146B8" w:rsidRPr="00E60C24">
        <w:rPr>
          <w:rFonts w:ascii="Helvetica" w:hAnsi="Helvetica" w:cstheme="minorHAnsi"/>
          <w:sz w:val="22"/>
          <w:szCs w:val="22"/>
        </w:rPr>
        <w:t xml:space="preserve"> B, </w:t>
      </w:r>
      <w:proofErr w:type="spellStart"/>
      <w:r w:rsidR="00F146B8" w:rsidRPr="00E60C24">
        <w:rPr>
          <w:rFonts w:ascii="Helvetica" w:hAnsi="Helvetica" w:cstheme="minorHAnsi"/>
          <w:sz w:val="22"/>
          <w:szCs w:val="22"/>
        </w:rPr>
        <w:t>Brittain</w:t>
      </w:r>
      <w:proofErr w:type="spellEnd"/>
      <w:r w:rsidR="00F146B8" w:rsidRPr="00E60C24">
        <w:rPr>
          <w:rFonts w:ascii="Helvetica" w:hAnsi="Helvetica" w:cstheme="minorHAnsi"/>
          <w:sz w:val="22"/>
          <w:szCs w:val="22"/>
        </w:rPr>
        <w:t xml:space="preserve"> J, Kaura A, </w:t>
      </w:r>
      <w:r w:rsidR="00540511">
        <w:rPr>
          <w:rFonts w:ascii="Helvetica" w:hAnsi="Helvetica" w:cstheme="minorHAnsi"/>
          <w:sz w:val="22"/>
          <w:szCs w:val="22"/>
        </w:rPr>
        <w:t>et al</w:t>
      </w:r>
      <w:r w:rsidR="00F146B8" w:rsidRPr="00E60C24">
        <w:rPr>
          <w:rFonts w:ascii="Helvetica" w:hAnsi="Helvetica" w:cstheme="minorHAnsi"/>
          <w:sz w:val="22"/>
          <w:szCs w:val="22"/>
        </w:rPr>
        <w:t xml:space="preserve">. North West London Covid-19 Vaccination Programme: Real-world evidence for Vaccine uptake and effectiveness: Retrospective Cohort Study. </w:t>
      </w:r>
      <w:r w:rsidR="00F146B8" w:rsidRPr="00540511">
        <w:rPr>
          <w:rFonts w:ascii="Helvetica" w:hAnsi="Helvetica" w:cstheme="minorHAnsi"/>
          <w:i/>
          <w:sz w:val="22"/>
          <w:szCs w:val="22"/>
        </w:rPr>
        <w:t xml:space="preserve">JMIR Public Health </w:t>
      </w:r>
      <w:proofErr w:type="spellStart"/>
      <w:r w:rsidR="00F146B8" w:rsidRPr="00540511">
        <w:rPr>
          <w:rFonts w:ascii="Helvetica" w:hAnsi="Helvetica" w:cstheme="minorHAnsi"/>
          <w:i/>
          <w:sz w:val="22"/>
          <w:szCs w:val="22"/>
        </w:rPr>
        <w:t>Surveill</w:t>
      </w:r>
      <w:proofErr w:type="spellEnd"/>
      <w:r w:rsidR="00F146B8" w:rsidRPr="00E60C24">
        <w:rPr>
          <w:rFonts w:ascii="Helvetica" w:hAnsi="Helvetica" w:cstheme="minorHAnsi"/>
          <w:sz w:val="22"/>
          <w:szCs w:val="22"/>
        </w:rPr>
        <w:t xml:space="preserve"> </w:t>
      </w:r>
      <w:r w:rsidR="00233E2B" w:rsidRPr="00233E2B">
        <w:rPr>
          <w:rFonts w:ascii="Helvetica" w:hAnsi="Helvetica" w:cstheme="minorHAnsi"/>
          <w:sz w:val="22"/>
          <w:szCs w:val="22"/>
        </w:rPr>
        <w:t>2021;</w:t>
      </w:r>
      <w:r w:rsidR="00233E2B">
        <w:rPr>
          <w:rFonts w:ascii="Helvetica" w:hAnsi="Helvetica" w:cstheme="minorHAnsi"/>
          <w:sz w:val="22"/>
          <w:szCs w:val="22"/>
        </w:rPr>
        <w:t xml:space="preserve"> </w:t>
      </w:r>
      <w:r w:rsidR="00233E2B" w:rsidRPr="0024547E">
        <w:rPr>
          <w:rFonts w:ascii="Helvetica" w:hAnsi="Helvetica" w:cstheme="minorHAnsi"/>
          <w:b/>
          <w:sz w:val="22"/>
          <w:szCs w:val="22"/>
        </w:rPr>
        <w:t>7(9)</w:t>
      </w:r>
      <w:r w:rsidR="00233E2B" w:rsidRPr="00233E2B">
        <w:rPr>
          <w:rFonts w:ascii="Helvetica" w:hAnsi="Helvetica" w:cstheme="minorHAnsi"/>
          <w:sz w:val="22"/>
          <w:szCs w:val="22"/>
        </w:rPr>
        <w:t>:</w:t>
      </w:r>
      <w:r w:rsidR="00233E2B">
        <w:rPr>
          <w:rFonts w:ascii="Helvetica" w:hAnsi="Helvetica" w:cstheme="minorHAnsi"/>
          <w:sz w:val="22"/>
          <w:szCs w:val="22"/>
        </w:rPr>
        <w:t xml:space="preserve"> </w:t>
      </w:r>
      <w:r w:rsidR="00233E2B" w:rsidRPr="00233E2B">
        <w:rPr>
          <w:rFonts w:ascii="Helvetica" w:hAnsi="Helvetica" w:cstheme="minorHAnsi"/>
          <w:sz w:val="22"/>
          <w:szCs w:val="22"/>
        </w:rPr>
        <w:t>e30010</w:t>
      </w:r>
      <w:r w:rsidR="00233E2B">
        <w:rPr>
          <w:rFonts w:ascii="Helvetica" w:hAnsi="Helvetica" w:cstheme="minorHAnsi"/>
          <w:sz w:val="22"/>
          <w:szCs w:val="22"/>
        </w:rPr>
        <w:t>.</w:t>
      </w:r>
    </w:p>
    <w:p w14:paraId="13F96A61" w14:textId="77777777" w:rsidR="00233E2B" w:rsidRDefault="00233E2B" w:rsidP="00233E2B">
      <w:pPr>
        <w:spacing w:line="480" w:lineRule="auto"/>
        <w:rPr>
          <w:rFonts w:ascii="Helvetica" w:hAnsi="Helvetica" w:cstheme="minorHAnsi"/>
          <w:sz w:val="22"/>
          <w:szCs w:val="22"/>
        </w:rPr>
      </w:pPr>
    </w:p>
    <w:p w14:paraId="4E572BA8" w14:textId="09098764" w:rsidR="002D053D" w:rsidRDefault="00A33522" w:rsidP="002D053D">
      <w:pPr>
        <w:spacing w:line="480" w:lineRule="auto"/>
        <w:rPr>
          <w:rFonts w:ascii="Helvetica" w:hAnsi="Helvetica" w:cstheme="minorHAnsi"/>
          <w:sz w:val="22"/>
          <w:szCs w:val="22"/>
        </w:rPr>
      </w:pPr>
      <w:r>
        <w:rPr>
          <w:rFonts w:ascii="Helvetica" w:hAnsi="Helvetica" w:cstheme="minorHAnsi"/>
          <w:sz w:val="22"/>
          <w:szCs w:val="22"/>
        </w:rPr>
        <w:t>28</w:t>
      </w:r>
      <w:r>
        <w:rPr>
          <w:rFonts w:ascii="Helvetica" w:hAnsi="Helvetica" w:cstheme="minorHAnsi"/>
          <w:sz w:val="22"/>
          <w:szCs w:val="22"/>
        </w:rPr>
        <w:tab/>
      </w:r>
      <w:r w:rsidR="002D053D" w:rsidRPr="002D053D">
        <w:rPr>
          <w:rFonts w:ascii="Helvetica" w:hAnsi="Helvetica" w:cstheme="minorHAnsi"/>
          <w:sz w:val="22"/>
          <w:szCs w:val="22"/>
        </w:rPr>
        <w:t xml:space="preserve">Davies NG, </w:t>
      </w:r>
      <w:proofErr w:type="spellStart"/>
      <w:r w:rsidR="002D053D" w:rsidRPr="002D053D">
        <w:rPr>
          <w:rFonts w:ascii="Helvetica" w:hAnsi="Helvetica" w:cstheme="minorHAnsi"/>
          <w:sz w:val="22"/>
          <w:szCs w:val="22"/>
        </w:rPr>
        <w:t>Klepac</w:t>
      </w:r>
      <w:proofErr w:type="spellEnd"/>
      <w:r w:rsidR="002D053D" w:rsidRPr="002D053D">
        <w:rPr>
          <w:rFonts w:ascii="Helvetica" w:hAnsi="Helvetica" w:cstheme="minorHAnsi"/>
          <w:sz w:val="22"/>
          <w:szCs w:val="22"/>
        </w:rPr>
        <w:t xml:space="preserve"> P, Liu Y, </w:t>
      </w:r>
      <w:proofErr w:type="spellStart"/>
      <w:r w:rsidR="002D053D" w:rsidRPr="002D053D">
        <w:rPr>
          <w:rFonts w:ascii="Helvetica" w:hAnsi="Helvetica" w:cstheme="minorHAnsi"/>
          <w:sz w:val="22"/>
          <w:szCs w:val="22"/>
        </w:rPr>
        <w:t>Prem</w:t>
      </w:r>
      <w:proofErr w:type="spellEnd"/>
      <w:r w:rsidR="002D053D" w:rsidRPr="002D053D">
        <w:rPr>
          <w:rFonts w:ascii="Helvetica" w:hAnsi="Helvetica" w:cstheme="minorHAnsi"/>
          <w:sz w:val="22"/>
          <w:szCs w:val="22"/>
        </w:rPr>
        <w:t xml:space="preserve"> K, Jit M; CMMID COVID-19 working group, </w:t>
      </w:r>
      <w:proofErr w:type="spellStart"/>
      <w:r w:rsidR="002D053D" w:rsidRPr="002D053D">
        <w:rPr>
          <w:rFonts w:ascii="Helvetica" w:hAnsi="Helvetica" w:cstheme="minorHAnsi"/>
          <w:sz w:val="22"/>
          <w:szCs w:val="22"/>
        </w:rPr>
        <w:t>Eggo</w:t>
      </w:r>
      <w:proofErr w:type="spellEnd"/>
      <w:r w:rsidR="002D053D" w:rsidRPr="002D053D">
        <w:rPr>
          <w:rFonts w:ascii="Helvetica" w:hAnsi="Helvetica" w:cstheme="minorHAnsi"/>
          <w:sz w:val="22"/>
          <w:szCs w:val="22"/>
        </w:rPr>
        <w:t xml:space="preserve"> RM. Age-dependent effects in the transmission and control</w:t>
      </w:r>
      <w:r w:rsidR="002D053D">
        <w:rPr>
          <w:rFonts w:ascii="Helvetica" w:hAnsi="Helvetica" w:cstheme="minorHAnsi"/>
          <w:sz w:val="22"/>
          <w:szCs w:val="22"/>
        </w:rPr>
        <w:t xml:space="preserve"> of COVID-19 epidemics. </w:t>
      </w:r>
      <w:r w:rsidR="002D053D" w:rsidRPr="0024547E">
        <w:rPr>
          <w:rFonts w:ascii="Helvetica" w:hAnsi="Helvetica" w:cstheme="minorHAnsi"/>
          <w:i/>
          <w:sz w:val="22"/>
          <w:szCs w:val="22"/>
        </w:rPr>
        <w:t>Nat Med</w:t>
      </w:r>
      <w:r w:rsidR="002D053D" w:rsidRPr="002D053D">
        <w:rPr>
          <w:rFonts w:ascii="Helvetica" w:hAnsi="Helvetica" w:cstheme="minorHAnsi"/>
          <w:sz w:val="22"/>
          <w:szCs w:val="22"/>
        </w:rPr>
        <w:t xml:space="preserve"> 2020</w:t>
      </w:r>
      <w:r w:rsidR="002D053D">
        <w:rPr>
          <w:rFonts w:ascii="Helvetica" w:hAnsi="Helvetica" w:cstheme="minorHAnsi"/>
          <w:sz w:val="22"/>
          <w:szCs w:val="22"/>
        </w:rPr>
        <w:t>;</w:t>
      </w:r>
      <w:r w:rsidR="00233E2B">
        <w:rPr>
          <w:rFonts w:ascii="Helvetica" w:hAnsi="Helvetica" w:cstheme="minorHAnsi"/>
          <w:sz w:val="22"/>
          <w:szCs w:val="22"/>
        </w:rPr>
        <w:t xml:space="preserve"> </w:t>
      </w:r>
      <w:r w:rsidR="002D053D" w:rsidRPr="0024547E">
        <w:rPr>
          <w:rFonts w:ascii="Helvetica" w:hAnsi="Helvetica" w:cstheme="minorHAnsi"/>
          <w:b/>
          <w:sz w:val="22"/>
          <w:szCs w:val="22"/>
        </w:rPr>
        <w:t>26(8)</w:t>
      </w:r>
      <w:r w:rsidR="002D053D" w:rsidRPr="002D053D">
        <w:rPr>
          <w:rFonts w:ascii="Helvetica" w:hAnsi="Helvetica" w:cstheme="minorHAnsi"/>
          <w:sz w:val="22"/>
          <w:szCs w:val="22"/>
        </w:rPr>
        <w:t>:</w:t>
      </w:r>
      <w:r w:rsidR="00233E2B">
        <w:rPr>
          <w:rFonts w:ascii="Helvetica" w:hAnsi="Helvetica" w:cstheme="minorHAnsi"/>
          <w:sz w:val="22"/>
          <w:szCs w:val="22"/>
        </w:rPr>
        <w:t xml:space="preserve"> </w:t>
      </w:r>
      <w:r w:rsidR="002D053D" w:rsidRPr="002D053D">
        <w:rPr>
          <w:rFonts w:ascii="Helvetica" w:hAnsi="Helvetica" w:cstheme="minorHAnsi"/>
          <w:sz w:val="22"/>
          <w:szCs w:val="22"/>
        </w:rPr>
        <w:t>1205-1211</w:t>
      </w:r>
      <w:r w:rsidR="002D053D">
        <w:rPr>
          <w:rFonts w:ascii="Helvetica" w:hAnsi="Helvetica" w:cstheme="minorHAnsi"/>
          <w:sz w:val="22"/>
          <w:szCs w:val="22"/>
        </w:rPr>
        <w:t>.</w:t>
      </w:r>
    </w:p>
    <w:p w14:paraId="4E480B1D" w14:textId="77777777" w:rsidR="002D053D" w:rsidRDefault="002D053D" w:rsidP="002D053D">
      <w:pPr>
        <w:spacing w:line="480" w:lineRule="auto"/>
        <w:rPr>
          <w:rFonts w:ascii="Helvetica" w:hAnsi="Helvetica" w:cstheme="minorHAnsi"/>
          <w:sz w:val="22"/>
          <w:szCs w:val="22"/>
        </w:rPr>
      </w:pPr>
    </w:p>
    <w:p w14:paraId="29288B4A" w14:textId="4E02C69A" w:rsidR="00506768" w:rsidRPr="00506768" w:rsidRDefault="002D053D" w:rsidP="00506768">
      <w:pPr>
        <w:spacing w:line="480" w:lineRule="auto"/>
        <w:rPr>
          <w:rFonts w:ascii="Helvetica" w:hAnsi="Helvetica" w:cstheme="minorHAnsi"/>
          <w:sz w:val="22"/>
          <w:szCs w:val="22"/>
        </w:rPr>
      </w:pPr>
      <w:r>
        <w:rPr>
          <w:rFonts w:ascii="Helvetica" w:hAnsi="Helvetica" w:cstheme="minorHAnsi"/>
          <w:sz w:val="22"/>
          <w:szCs w:val="22"/>
        </w:rPr>
        <w:t>29</w:t>
      </w:r>
      <w:r>
        <w:rPr>
          <w:rFonts w:ascii="Helvetica" w:hAnsi="Helvetica" w:cstheme="minorHAnsi"/>
          <w:sz w:val="22"/>
          <w:szCs w:val="22"/>
        </w:rPr>
        <w:tab/>
      </w:r>
      <w:r w:rsidR="00506768" w:rsidRPr="00506768">
        <w:rPr>
          <w:rFonts w:ascii="Helvetica" w:hAnsi="Helvetica" w:cstheme="minorHAnsi"/>
          <w:sz w:val="22"/>
          <w:szCs w:val="22"/>
        </w:rPr>
        <w:t xml:space="preserve">Carazo S, Talbot D, </w:t>
      </w:r>
      <w:proofErr w:type="spellStart"/>
      <w:r w:rsidR="00506768" w:rsidRPr="00506768">
        <w:rPr>
          <w:rFonts w:ascii="Helvetica" w:hAnsi="Helvetica" w:cstheme="minorHAnsi"/>
          <w:sz w:val="22"/>
          <w:szCs w:val="22"/>
        </w:rPr>
        <w:t>Boulianne</w:t>
      </w:r>
      <w:proofErr w:type="spellEnd"/>
      <w:r w:rsidR="00506768" w:rsidRPr="00506768">
        <w:rPr>
          <w:rFonts w:ascii="Helvetica" w:hAnsi="Helvetica" w:cstheme="minorHAnsi"/>
          <w:sz w:val="22"/>
          <w:szCs w:val="22"/>
        </w:rPr>
        <w:t xml:space="preserve"> N, </w:t>
      </w:r>
      <w:r w:rsidR="00233E2B">
        <w:rPr>
          <w:rFonts w:ascii="Helvetica" w:hAnsi="Helvetica" w:cstheme="minorHAnsi"/>
          <w:sz w:val="22"/>
          <w:szCs w:val="22"/>
        </w:rPr>
        <w:t xml:space="preserve">et al. </w:t>
      </w:r>
      <w:r w:rsidR="00506768" w:rsidRPr="00506768">
        <w:rPr>
          <w:rFonts w:ascii="Helvetica" w:hAnsi="Helvetica" w:cstheme="minorHAnsi"/>
          <w:sz w:val="22"/>
          <w:szCs w:val="22"/>
        </w:rPr>
        <w:t xml:space="preserve">Single-dose mRNA vaccine effectiveness against SARS-CoV-2 in healthcare workers extending 16 </w:t>
      </w:r>
      <w:proofErr w:type="gramStart"/>
      <w:r w:rsidR="00506768" w:rsidRPr="00506768">
        <w:rPr>
          <w:rFonts w:ascii="Helvetica" w:hAnsi="Helvetica" w:cstheme="minorHAnsi"/>
          <w:sz w:val="22"/>
          <w:szCs w:val="22"/>
        </w:rPr>
        <w:t>weeks</w:t>
      </w:r>
      <w:proofErr w:type="gramEnd"/>
      <w:r w:rsidR="00506768" w:rsidRPr="00506768">
        <w:rPr>
          <w:rFonts w:ascii="Helvetica" w:hAnsi="Helvetica" w:cstheme="minorHAnsi"/>
          <w:sz w:val="22"/>
          <w:szCs w:val="22"/>
        </w:rPr>
        <w:t xml:space="preserve"> post-vaccination: a test-negative design from Quebec, Canada. </w:t>
      </w:r>
      <w:proofErr w:type="spellStart"/>
      <w:r w:rsidR="00506768" w:rsidRPr="0024547E">
        <w:rPr>
          <w:rFonts w:ascii="Helvetica" w:hAnsi="Helvetica" w:cstheme="minorHAnsi"/>
          <w:i/>
          <w:sz w:val="22"/>
          <w:szCs w:val="22"/>
        </w:rPr>
        <w:t>Clin</w:t>
      </w:r>
      <w:proofErr w:type="spellEnd"/>
      <w:r w:rsidR="00506768" w:rsidRPr="0024547E">
        <w:rPr>
          <w:rFonts w:ascii="Helvetica" w:hAnsi="Helvetica" w:cstheme="minorHAnsi"/>
          <w:i/>
          <w:sz w:val="22"/>
          <w:szCs w:val="22"/>
        </w:rPr>
        <w:t xml:space="preserve"> Infect Dis</w:t>
      </w:r>
      <w:r w:rsidR="00506768" w:rsidRPr="00506768">
        <w:rPr>
          <w:rFonts w:ascii="Helvetica" w:hAnsi="Helvetica" w:cstheme="minorHAnsi"/>
          <w:sz w:val="22"/>
          <w:szCs w:val="22"/>
        </w:rPr>
        <w:t xml:space="preserve"> </w:t>
      </w:r>
      <w:proofErr w:type="gramStart"/>
      <w:r w:rsidR="00506768" w:rsidRPr="00506768">
        <w:rPr>
          <w:rFonts w:ascii="Helvetica" w:hAnsi="Helvetica" w:cstheme="minorHAnsi"/>
          <w:sz w:val="22"/>
          <w:szCs w:val="22"/>
        </w:rPr>
        <w:t>2021:ciab</w:t>
      </w:r>
      <w:proofErr w:type="gramEnd"/>
      <w:r w:rsidR="00506768" w:rsidRPr="00506768">
        <w:rPr>
          <w:rFonts w:ascii="Helvetica" w:hAnsi="Helvetica" w:cstheme="minorHAnsi"/>
          <w:sz w:val="22"/>
          <w:szCs w:val="22"/>
        </w:rPr>
        <w:t>739. </w:t>
      </w:r>
    </w:p>
    <w:p w14:paraId="28BA93E9" w14:textId="77777777" w:rsidR="00733DF1" w:rsidRPr="00E60C24" w:rsidRDefault="00733DF1" w:rsidP="00B928F2">
      <w:pPr>
        <w:spacing w:line="480" w:lineRule="auto"/>
        <w:rPr>
          <w:rFonts w:ascii="Helvetica" w:eastAsia="Times New Roman" w:hAnsi="Helvetica" w:cs="Arial"/>
          <w:color w:val="000000" w:themeColor="text1"/>
          <w:sz w:val="22"/>
          <w:szCs w:val="22"/>
          <w:shd w:val="clear" w:color="auto" w:fill="FFFFFF"/>
        </w:rPr>
      </w:pPr>
    </w:p>
    <w:p w14:paraId="1AABE74D" w14:textId="244E7BCE" w:rsidR="00F706D4" w:rsidRPr="00337858" w:rsidRDefault="00CF7CA0" w:rsidP="00B928F2">
      <w:pPr>
        <w:spacing w:line="480" w:lineRule="auto"/>
        <w:rPr>
          <w:rFonts w:ascii="Helvetica" w:eastAsia="Times New Roman" w:hAnsi="Helvetica" w:cs="Arial"/>
          <w:color w:val="000000" w:themeColor="text1"/>
          <w:sz w:val="22"/>
          <w:szCs w:val="22"/>
          <w:shd w:val="clear" w:color="auto" w:fill="FFFFFF"/>
        </w:rPr>
      </w:pPr>
      <w:r>
        <w:rPr>
          <w:rFonts w:ascii="Helvetica" w:eastAsia="Times New Roman" w:hAnsi="Helvetica" w:cs="Arial"/>
          <w:color w:val="000000" w:themeColor="text1"/>
          <w:sz w:val="22"/>
          <w:szCs w:val="22"/>
          <w:shd w:val="clear" w:color="auto" w:fill="FFFFFF"/>
        </w:rPr>
        <w:t>30</w:t>
      </w:r>
      <w:r w:rsidR="00F706D4" w:rsidRPr="00E60C24">
        <w:rPr>
          <w:rFonts w:ascii="Helvetica" w:eastAsia="Times New Roman" w:hAnsi="Helvetica" w:cs="Arial"/>
          <w:color w:val="000000" w:themeColor="text1"/>
          <w:sz w:val="22"/>
          <w:szCs w:val="22"/>
          <w:shd w:val="clear" w:color="auto" w:fill="FFFFFF"/>
        </w:rPr>
        <w:tab/>
      </w:r>
      <w:proofErr w:type="spellStart"/>
      <w:r w:rsidR="00F706D4" w:rsidRPr="00E60C24">
        <w:rPr>
          <w:rFonts w:ascii="Helvetica" w:eastAsia="Times New Roman" w:hAnsi="Helvetica" w:cs="Arial"/>
          <w:color w:val="000000" w:themeColor="text1"/>
          <w:sz w:val="22"/>
          <w:szCs w:val="22"/>
          <w:shd w:val="clear" w:color="auto" w:fill="FFFFFF"/>
        </w:rPr>
        <w:t>Chaillon</w:t>
      </w:r>
      <w:proofErr w:type="spellEnd"/>
      <w:r w:rsidR="00F706D4" w:rsidRPr="00E60C24">
        <w:rPr>
          <w:rFonts w:ascii="Helvetica" w:eastAsia="Times New Roman" w:hAnsi="Helvetica" w:cs="Arial"/>
          <w:color w:val="000000" w:themeColor="text1"/>
          <w:sz w:val="22"/>
          <w:szCs w:val="22"/>
          <w:shd w:val="clear" w:color="auto" w:fill="FFFFFF"/>
        </w:rPr>
        <w:t xml:space="preserve"> A, Smith DM. Phylogenetic analyses of SARS-CoV-2 B.1.1.7 lineage suggest a single origin followed by multiple exportation events versus convergent evolution. </w:t>
      </w:r>
      <w:proofErr w:type="spellStart"/>
      <w:r w:rsidR="00F706D4" w:rsidRPr="00E60C24">
        <w:rPr>
          <w:rFonts w:ascii="Helvetica" w:eastAsia="Times New Roman" w:hAnsi="Helvetica" w:cs="Arial"/>
          <w:i/>
          <w:color w:val="000000" w:themeColor="text1"/>
          <w:sz w:val="22"/>
          <w:szCs w:val="22"/>
          <w:shd w:val="clear" w:color="auto" w:fill="FFFFFF"/>
        </w:rPr>
        <w:t>Clin</w:t>
      </w:r>
      <w:proofErr w:type="spellEnd"/>
      <w:r w:rsidR="00F706D4" w:rsidRPr="00E60C24">
        <w:rPr>
          <w:rFonts w:ascii="Helvetica" w:eastAsia="Times New Roman" w:hAnsi="Helvetica" w:cs="Arial"/>
          <w:i/>
          <w:color w:val="000000" w:themeColor="text1"/>
          <w:sz w:val="22"/>
          <w:szCs w:val="22"/>
          <w:shd w:val="clear" w:color="auto" w:fill="FFFFFF"/>
        </w:rPr>
        <w:t xml:space="preserve"> Infect Dis</w:t>
      </w:r>
      <w:r w:rsidR="00F706D4" w:rsidRPr="00E60C24">
        <w:rPr>
          <w:rFonts w:ascii="Helvetica" w:eastAsia="Times New Roman" w:hAnsi="Helvetica" w:cs="Arial"/>
          <w:color w:val="000000" w:themeColor="text1"/>
          <w:sz w:val="22"/>
          <w:szCs w:val="22"/>
          <w:shd w:val="clear" w:color="auto" w:fill="FFFFFF"/>
        </w:rPr>
        <w:t xml:space="preserve"> 2021:</w:t>
      </w:r>
      <w:r w:rsidR="00F706D4" w:rsidRPr="00337858">
        <w:rPr>
          <w:rFonts w:ascii="Helvetica" w:eastAsia="Times New Roman" w:hAnsi="Helvetica" w:cs="Arial"/>
          <w:color w:val="000000" w:themeColor="text1"/>
          <w:sz w:val="22"/>
          <w:szCs w:val="22"/>
          <w:shd w:val="clear" w:color="auto" w:fill="FFFFFF"/>
        </w:rPr>
        <w:t xml:space="preserve"> ciab265.</w:t>
      </w:r>
    </w:p>
    <w:p w14:paraId="699232FA" w14:textId="77777777" w:rsidR="00733DF1" w:rsidRPr="00E60C24" w:rsidRDefault="00733DF1" w:rsidP="00B928F2">
      <w:pPr>
        <w:spacing w:line="480" w:lineRule="auto"/>
        <w:rPr>
          <w:rFonts w:ascii="Helvetica" w:eastAsia="Times New Roman" w:hAnsi="Helvetica" w:cs="Arial"/>
          <w:color w:val="000000" w:themeColor="text1"/>
          <w:sz w:val="22"/>
          <w:szCs w:val="22"/>
          <w:shd w:val="clear" w:color="auto" w:fill="FFFFFF"/>
        </w:rPr>
      </w:pPr>
    </w:p>
    <w:p w14:paraId="72966EBB" w14:textId="78088E89" w:rsidR="00275578" w:rsidRPr="00E60C24" w:rsidRDefault="002B794A" w:rsidP="00B928F2">
      <w:pPr>
        <w:spacing w:line="480" w:lineRule="auto"/>
        <w:rPr>
          <w:rFonts w:ascii="Helvetica" w:eastAsia="Times New Roman" w:hAnsi="Helvetica" w:cs="Arial"/>
          <w:bCs/>
          <w:color w:val="000000" w:themeColor="text1"/>
          <w:sz w:val="22"/>
          <w:szCs w:val="22"/>
          <w:shd w:val="clear" w:color="auto" w:fill="FFFFFF"/>
        </w:rPr>
      </w:pPr>
      <w:r>
        <w:rPr>
          <w:rFonts w:ascii="Helvetica" w:eastAsia="Times New Roman" w:hAnsi="Helvetica" w:cs="Arial"/>
          <w:color w:val="000000" w:themeColor="text1"/>
          <w:sz w:val="22"/>
          <w:szCs w:val="22"/>
          <w:shd w:val="clear" w:color="auto" w:fill="FFFFFF"/>
        </w:rPr>
        <w:lastRenderedPageBreak/>
        <w:t>31</w:t>
      </w:r>
      <w:r w:rsidR="00275578" w:rsidRPr="00E60C24">
        <w:rPr>
          <w:rFonts w:ascii="Helvetica" w:eastAsia="Times New Roman" w:hAnsi="Helvetica" w:cs="Arial"/>
          <w:color w:val="000000" w:themeColor="text1"/>
          <w:sz w:val="22"/>
          <w:szCs w:val="22"/>
          <w:shd w:val="clear" w:color="auto" w:fill="FFFFFF"/>
        </w:rPr>
        <w:tab/>
      </w:r>
      <w:proofErr w:type="spellStart"/>
      <w:r w:rsidR="00275578" w:rsidRPr="00E60C24">
        <w:rPr>
          <w:rFonts w:ascii="Helvetica" w:eastAsia="Times New Roman" w:hAnsi="Helvetica" w:cs="Arial"/>
          <w:color w:val="000000" w:themeColor="text1"/>
          <w:sz w:val="22"/>
          <w:szCs w:val="22"/>
          <w:shd w:val="clear" w:color="auto" w:fill="FFFFFF"/>
        </w:rPr>
        <w:t>Emary</w:t>
      </w:r>
      <w:proofErr w:type="spellEnd"/>
      <w:r w:rsidR="00275578" w:rsidRPr="00E60C24">
        <w:rPr>
          <w:rFonts w:ascii="Helvetica" w:eastAsia="Times New Roman" w:hAnsi="Helvetica" w:cs="Arial"/>
          <w:color w:val="000000" w:themeColor="text1"/>
          <w:sz w:val="22"/>
          <w:szCs w:val="22"/>
          <w:shd w:val="clear" w:color="auto" w:fill="FFFFFF"/>
        </w:rPr>
        <w:t xml:space="preserve"> KRW, </w:t>
      </w:r>
      <w:proofErr w:type="spellStart"/>
      <w:r w:rsidR="00275578" w:rsidRPr="00E60C24">
        <w:rPr>
          <w:rFonts w:ascii="Helvetica" w:eastAsia="Times New Roman" w:hAnsi="Helvetica" w:cs="Arial"/>
          <w:color w:val="000000" w:themeColor="text1"/>
          <w:sz w:val="22"/>
          <w:szCs w:val="22"/>
          <w:shd w:val="clear" w:color="auto" w:fill="FFFFFF"/>
        </w:rPr>
        <w:t>Golubchik</w:t>
      </w:r>
      <w:proofErr w:type="spellEnd"/>
      <w:r w:rsidR="00275578" w:rsidRPr="00E60C24">
        <w:rPr>
          <w:rFonts w:ascii="Helvetica" w:eastAsia="Times New Roman" w:hAnsi="Helvetica" w:cs="Arial"/>
          <w:color w:val="000000" w:themeColor="text1"/>
          <w:sz w:val="22"/>
          <w:szCs w:val="22"/>
          <w:shd w:val="clear" w:color="auto" w:fill="FFFFFF"/>
        </w:rPr>
        <w:t xml:space="preserve"> T, </w:t>
      </w:r>
      <w:proofErr w:type="spellStart"/>
      <w:r w:rsidR="00275578" w:rsidRPr="00E60C24">
        <w:rPr>
          <w:rFonts w:ascii="Helvetica" w:eastAsia="Times New Roman" w:hAnsi="Helvetica" w:cs="Arial"/>
          <w:color w:val="000000" w:themeColor="text1"/>
          <w:sz w:val="22"/>
          <w:szCs w:val="22"/>
          <w:shd w:val="clear" w:color="auto" w:fill="FFFFFF"/>
        </w:rPr>
        <w:t>Aley</w:t>
      </w:r>
      <w:proofErr w:type="spellEnd"/>
      <w:r w:rsidR="00275578" w:rsidRPr="00E60C24">
        <w:rPr>
          <w:rFonts w:ascii="Helvetica" w:eastAsia="Times New Roman" w:hAnsi="Helvetica" w:cs="Arial"/>
          <w:color w:val="000000" w:themeColor="text1"/>
          <w:sz w:val="22"/>
          <w:szCs w:val="22"/>
          <w:shd w:val="clear" w:color="auto" w:fill="FFFFFF"/>
        </w:rPr>
        <w:t xml:space="preserve">, PK, et al. </w:t>
      </w:r>
      <w:r w:rsidR="00275578" w:rsidRPr="00E60C24">
        <w:rPr>
          <w:rFonts w:ascii="Helvetica" w:eastAsia="Times New Roman" w:hAnsi="Helvetica" w:cs="Arial"/>
          <w:bCs/>
          <w:color w:val="000000" w:themeColor="text1"/>
          <w:sz w:val="22"/>
          <w:szCs w:val="22"/>
          <w:shd w:val="clear" w:color="auto" w:fill="FFFFFF"/>
        </w:rPr>
        <w:t xml:space="preserve">Efficacy of ChAdOx1 nCoV-19 (AZD1222) vaccine against SARS-CoV-2 variant of concern 202012/01 (B.1.1.7): an exploratory analysis of a randomised controlled trial. </w:t>
      </w:r>
      <w:r w:rsidR="00275578" w:rsidRPr="00E60C24">
        <w:rPr>
          <w:rFonts w:ascii="Helvetica" w:eastAsia="Times New Roman" w:hAnsi="Helvetica" w:cs="Arial"/>
          <w:bCs/>
          <w:i/>
          <w:color w:val="000000" w:themeColor="text1"/>
          <w:sz w:val="22"/>
          <w:szCs w:val="22"/>
          <w:shd w:val="clear" w:color="auto" w:fill="FFFFFF"/>
        </w:rPr>
        <w:t>Lancet</w:t>
      </w:r>
      <w:r w:rsidR="00275578" w:rsidRPr="00E60C24">
        <w:rPr>
          <w:rFonts w:ascii="Helvetica" w:eastAsia="Times New Roman" w:hAnsi="Helvetica" w:cs="Arial"/>
          <w:bCs/>
          <w:color w:val="000000" w:themeColor="text1"/>
          <w:sz w:val="22"/>
          <w:szCs w:val="22"/>
          <w:shd w:val="clear" w:color="auto" w:fill="FFFFFF"/>
        </w:rPr>
        <w:t xml:space="preserve"> </w:t>
      </w:r>
      <w:r w:rsidR="00337858">
        <w:rPr>
          <w:rFonts w:ascii="Helvetica" w:eastAsia="Times New Roman" w:hAnsi="Helvetica" w:cs="Arial"/>
          <w:bCs/>
          <w:color w:val="000000" w:themeColor="text1"/>
          <w:sz w:val="22"/>
          <w:szCs w:val="22"/>
          <w:shd w:val="clear" w:color="auto" w:fill="FFFFFF"/>
        </w:rPr>
        <w:t xml:space="preserve">2021; </w:t>
      </w:r>
      <w:r w:rsidR="00275578" w:rsidRPr="00337858">
        <w:rPr>
          <w:rFonts w:ascii="Helvetica" w:eastAsia="Times New Roman" w:hAnsi="Helvetica" w:cs="Arial"/>
          <w:b/>
          <w:bCs/>
          <w:color w:val="000000" w:themeColor="text1"/>
          <w:sz w:val="22"/>
          <w:szCs w:val="22"/>
          <w:shd w:val="clear" w:color="auto" w:fill="FFFFFF"/>
        </w:rPr>
        <w:t>397</w:t>
      </w:r>
      <w:r w:rsidR="00275578" w:rsidRPr="00E60C24">
        <w:rPr>
          <w:rFonts w:ascii="Helvetica" w:eastAsia="Times New Roman" w:hAnsi="Helvetica" w:cs="Arial"/>
          <w:bCs/>
          <w:color w:val="000000" w:themeColor="text1"/>
          <w:sz w:val="22"/>
          <w:szCs w:val="22"/>
          <w:shd w:val="clear" w:color="auto" w:fill="FFFFFF"/>
        </w:rPr>
        <w:t>; 1351-1362.</w:t>
      </w:r>
    </w:p>
    <w:p w14:paraId="18C92B7C" w14:textId="77777777" w:rsidR="00733DF1" w:rsidRPr="00E60C24" w:rsidRDefault="00733DF1" w:rsidP="00B928F2">
      <w:pPr>
        <w:spacing w:line="480" w:lineRule="auto"/>
        <w:rPr>
          <w:rFonts w:ascii="Helvetica" w:eastAsia="Times New Roman" w:hAnsi="Helvetica" w:cs="Arial"/>
          <w:bCs/>
          <w:color w:val="000000" w:themeColor="text1"/>
          <w:sz w:val="22"/>
          <w:szCs w:val="22"/>
          <w:shd w:val="clear" w:color="auto" w:fill="FFFFFF"/>
        </w:rPr>
      </w:pPr>
    </w:p>
    <w:p w14:paraId="1022FACA" w14:textId="6F744E5A" w:rsidR="00275578" w:rsidRPr="00E60C24" w:rsidRDefault="002B794A" w:rsidP="00B928F2">
      <w:pPr>
        <w:spacing w:line="480" w:lineRule="auto"/>
        <w:rPr>
          <w:rFonts w:ascii="Helvetica" w:eastAsia="Times New Roman" w:hAnsi="Helvetica" w:cs="Arial"/>
          <w:bCs/>
          <w:color w:val="000000" w:themeColor="text1"/>
          <w:sz w:val="22"/>
          <w:szCs w:val="22"/>
          <w:shd w:val="clear" w:color="auto" w:fill="FFFFFF"/>
        </w:rPr>
      </w:pPr>
      <w:r>
        <w:rPr>
          <w:rFonts w:ascii="Helvetica" w:eastAsia="Times New Roman" w:hAnsi="Helvetica" w:cs="Arial"/>
          <w:bCs/>
          <w:color w:val="000000" w:themeColor="text1"/>
          <w:sz w:val="22"/>
          <w:szCs w:val="22"/>
          <w:shd w:val="clear" w:color="auto" w:fill="FFFFFF"/>
        </w:rPr>
        <w:t>32</w:t>
      </w:r>
      <w:r w:rsidR="00275578" w:rsidRPr="00E60C24">
        <w:rPr>
          <w:rFonts w:ascii="Helvetica" w:eastAsia="Times New Roman" w:hAnsi="Helvetica" w:cs="Arial"/>
          <w:bCs/>
          <w:color w:val="000000" w:themeColor="text1"/>
          <w:sz w:val="22"/>
          <w:szCs w:val="22"/>
          <w:shd w:val="clear" w:color="auto" w:fill="FFFFFF"/>
        </w:rPr>
        <w:tab/>
        <w:t xml:space="preserve">Sanders RW, de Jong MD. Pandemic moves and countermoves: vaccines and viral variants. </w:t>
      </w:r>
      <w:r w:rsidR="00275578" w:rsidRPr="00E60C24">
        <w:rPr>
          <w:rFonts w:ascii="Helvetica" w:eastAsia="Times New Roman" w:hAnsi="Helvetica" w:cs="Arial"/>
          <w:bCs/>
          <w:i/>
          <w:color w:val="000000" w:themeColor="text1"/>
          <w:sz w:val="22"/>
          <w:szCs w:val="22"/>
          <w:shd w:val="clear" w:color="auto" w:fill="FFFFFF"/>
        </w:rPr>
        <w:t>Lancet</w:t>
      </w:r>
      <w:r w:rsidR="00275578" w:rsidRPr="00E60C24">
        <w:rPr>
          <w:rFonts w:ascii="Helvetica" w:eastAsia="Times New Roman" w:hAnsi="Helvetica" w:cs="Arial"/>
          <w:bCs/>
          <w:color w:val="000000" w:themeColor="text1"/>
          <w:sz w:val="22"/>
          <w:szCs w:val="22"/>
          <w:shd w:val="clear" w:color="auto" w:fill="FFFFFF"/>
        </w:rPr>
        <w:t xml:space="preserve"> </w:t>
      </w:r>
      <w:r w:rsidR="00540511">
        <w:rPr>
          <w:rFonts w:ascii="Helvetica" w:eastAsia="Times New Roman" w:hAnsi="Helvetica" w:cs="Arial"/>
          <w:bCs/>
          <w:color w:val="000000" w:themeColor="text1"/>
          <w:sz w:val="22"/>
          <w:szCs w:val="22"/>
          <w:shd w:val="clear" w:color="auto" w:fill="FFFFFF"/>
        </w:rPr>
        <w:t xml:space="preserve">2021; </w:t>
      </w:r>
      <w:r w:rsidR="00275578" w:rsidRPr="00337858">
        <w:rPr>
          <w:rFonts w:ascii="Helvetica" w:eastAsia="Times New Roman" w:hAnsi="Helvetica" w:cs="Arial"/>
          <w:b/>
          <w:bCs/>
          <w:color w:val="000000" w:themeColor="text1"/>
          <w:sz w:val="22"/>
          <w:szCs w:val="22"/>
          <w:shd w:val="clear" w:color="auto" w:fill="FFFFFF"/>
        </w:rPr>
        <w:t>397</w:t>
      </w:r>
      <w:r w:rsidR="00540511">
        <w:rPr>
          <w:rFonts w:ascii="Helvetica" w:eastAsia="Times New Roman" w:hAnsi="Helvetica" w:cs="Arial"/>
          <w:bCs/>
          <w:color w:val="000000" w:themeColor="text1"/>
          <w:sz w:val="22"/>
          <w:szCs w:val="22"/>
          <w:shd w:val="clear" w:color="auto" w:fill="FFFFFF"/>
        </w:rPr>
        <w:t>:</w:t>
      </w:r>
      <w:r w:rsidR="00275578" w:rsidRPr="00E60C24">
        <w:rPr>
          <w:rFonts w:ascii="Helvetica" w:eastAsia="Times New Roman" w:hAnsi="Helvetica" w:cs="Arial"/>
          <w:bCs/>
          <w:color w:val="000000" w:themeColor="text1"/>
          <w:sz w:val="22"/>
          <w:szCs w:val="22"/>
          <w:shd w:val="clear" w:color="auto" w:fill="FFFFFF"/>
        </w:rPr>
        <w:t xml:space="preserve"> 1326-1327.</w:t>
      </w:r>
    </w:p>
    <w:p w14:paraId="790A1C4F" w14:textId="77777777" w:rsidR="00BD4DAF" w:rsidRPr="00E60C24" w:rsidRDefault="00BD4DAF" w:rsidP="00B928F2">
      <w:pPr>
        <w:spacing w:line="480" w:lineRule="auto"/>
        <w:rPr>
          <w:rFonts w:ascii="Helvetica" w:eastAsia="Times New Roman" w:hAnsi="Helvetica" w:cs="Segoe UI"/>
          <w:color w:val="212121"/>
          <w:sz w:val="22"/>
          <w:szCs w:val="22"/>
          <w:shd w:val="clear" w:color="auto" w:fill="FFFFFF"/>
        </w:rPr>
      </w:pPr>
    </w:p>
    <w:p w14:paraId="4D38E47F" w14:textId="6DFF0356" w:rsidR="00820E36" w:rsidRPr="00E60C24" w:rsidRDefault="002B794A" w:rsidP="00B928F2">
      <w:pPr>
        <w:spacing w:line="480" w:lineRule="auto"/>
        <w:rPr>
          <w:rFonts w:ascii="Helvetica" w:hAnsi="Helvetica" w:cstheme="minorHAnsi"/>
          <w:sz w:val="22"/>
          <w:szCs w:val="22"/>
        </w:rPr>
      </w:pPr>
      <w:r>
        <w:rPr>
          <w:rFonts w:ascii="Helvetica" w:eastAsia="Times New Roman" w:hAnsi="Helvetica" w:cs="Segoe UI"/>
          <w:color w:val="212121"/>
          <w:sz w:val="22"/>
          <w:szCs w:val="22"/>
          <w:shd w:val="clear" w:color="auto" w:fill="FFFFFF"/>
        </w:rPr>
        <w:t>33</w:t>
      </w:r>
      <w:r w:rsidR="00BD4DAF" w:rsidRPr="00E60C24">
        <w:rPr>
          <w:rFonts w:ascii="Helvetica" w:eastAsia="Times New Roman" w:hAnsi="Helvetica" w:cs="Segoe UI"/>
          <w:color w:val="212121"/>
          <w:sz w:val="22"/>
          <w:szCs w:val="22"/>
          <w:shd w:val="clear" w:color="auto" w:fill="FFFFFF"/>
        </w:rPr>
        <w:tab/>
      </w:r>
      <w:r w:rsidR="00D3452D" w:rsidRPr="00E60C24">
        <w:rPr>
          <w:rFonts w:ascii="Helvetica" w:eastAsia="Times New Roman" w:hAnsi="Helvetica" w:cs="Segoe UI"/>
          <w:color w:val="212121"/>
          <w:sz w:val="22"/>
          <w:szCs w:val="22"/>
          <w:shd w:val="clear" w:color="auto" w:fill="FFFFFF"/>
        </w:rPr>
        <w:t xml:space="preserve">Sheikh A, </w:t>
      </w:r>
      <w:proofErr w:type="spellStart"/>
      <w:r w:rsidR="00D3452D" w:rsidRPr="00E60C24">
        <w:rPr>
          <w:rFonts w:ascii="Helvetica" w:eastAsia="Times New Roman" w:hAnsi="Helvetica" w:cs="Segoe UI"/>
          <w:color w:val="212121"/>
          <w:sz w:val="22"/>
          <w:szCs w:val="22"/>
          <w:shd w:val="clear" w:color="auto" w:fill="FFFFFF"/>
        </w:rPr>
        <w:t>McMenamin</w:t>
      </w:r>
      <w:proofErr w:type="spellEnd"/>
      <w:r w:rsidR="00D3452D" w:rsidRPr="00E60C24">
        <w:rPr>
          <w:rFonts w:ascii="Helvetica" w:eastAsia="Times New Roman" w:hAnsi="Helvetica" w:cs="Segoe UI"/>
          <w:color w:val="212121"/>
          <w:sz w:val="22"/>
          <w:szCs w:val="22"/>
          <w:shd w:val="clear" w:color="auto" w:fill="FFFFFF"/>
        </w:rPr>
        <w:t xml:space="preserve"> J, Taylor B, Robertson C; Public Health Scotland and the EAVE II Collaborators. SARS-CoV-2 Delta VOC in Scotland: demographics, risk of hospital admission, and vaccine effectiveness. </w:t>
      </w:r>
      <w:r w:rsidR="00D3452D" w:rsidRPr="00E60C24">
        <w:rPr>
          <w:rFonts w:ascii="Helvetica" w:eastAsia="Times New Roman" w:hAnsi="Helvetica" w:cs="Segoe UI"/>
          <w:i/>
          <w:color w:val="212121"/>
          <w:sz w:val="22"/>
          <w:szCs w:val="22"/>
          <w:shd w:val="clear" w:color="auto" w:fill="FFFFFF"/>
        </w:rPr>
        <w:t>Lancet</w:t>
      </w:r>
      <w:r w:rsidR="00D3452D" w:rsidRPr="00E60C24">
        <w:rPr>
          <w:rFonts w:ascii="Helvetica" w:eastAsia="Times New Roman" w:hAnsi="Helvetica" w:cs="Segoe UI"/>
          <w:color w:val="212121"/>
          <w:sz w:val="22"/>
          <w:szCs w:val="22"/>
          <w:shd w:val="clear" w:color="auto" w:fill="FFFFFF"/>
        </w:rPr>
        <w:t xml:space="preserve"> 2021</w:t>
      </w:r>
      <w:r w:rsidR="00E60C24">
        <w:rPr>
          <w:rFonts w:ascii="Helvetica" w:eastAsia="Times New Roman" w:hAnsi="Helvetica" w:cs="Segoe UI"/>
          <w:color w:val="212121"/>
          <w:sz w:val="22"/>
          <w:szCs w:val="22"/>
          <w:shd w:val="clear" w:color="auto" w:fill="FFFFFF"/>
        </w:rPr>
        <w:t>;</w:t>
      </w:r>
      <w:r w:rsidR="00A71E3C">
        <w:rPr>
          <w:rFonts w:ascii="Helvetica" w:eastAsia="Times New Roman" w:hAnsi="Helvetica" w:cs="Segoe UI"/>
          <w:color w:val="212121"/>
          <w:sz w:val="22"/>
          <w:szCs w:val="22"/>
          <w:shd w:val="clear" w:color="auto" w:fill="FFFFFF"/>
        </w:rPr>
        <w:t xml:space="preserve"> </w:t>
      </w:r>
      <w:r w:rsidR="00D3452D" w:rsidRPr="00A1225E">
        <w:rPr>
          <w:rFonts w:ascii="Helvetica" w:eastAsia="Times New Roman" w:hAnsi="Helvetica" w:cs="Segoe UI"/>
          <w:b/>
          <w:color w:val="212121"/>
          <w:sz w:val="22"/>
          <w:szCs w:val="22"/>
          <w:shd w:val="clear" w:color="auto" w:fill="FFFFFF"/>
        </w:rPr>
        <w:t>397(10293)</w:t>
      </w:r>
      <w:r w:rsidR="00D3452D" w:rsidRPr="00E60C24">
        <w:rPr>
          <w:rFonts w:ascii="Helvetica" w:eastAsia="Times New Roman" w:hAnsi="Helvetica" w:cs="Segoe UI"/>
          <w:color w:val="212121"/>
          <w:sz w:val="22"/>
          <w:szCs w:val="22"/>
          <w:shd w:val="clear" w:color="auto" w:fill="FFFFFF"/>
        </w:rPr>
        <w:t>:</w:t>
      </w:r>
      <w:r w:rsidR="00E60C24">
        <w:rPr>
          <w:rFonts w:ascii="Helvetica" w:eastAsia="Times New Roman" w:hAnsi="Helvetica" w:cs="Segoe UI"/>
          <w:color w:val="212121"/>
          <w:sz w:val="22"/>
          <w:szCs w:val="22"/>
          <w:shd w:val="clear" w:color="auto" w:fill="FFFFFF"/>
        </w:rPr>
        <w:t xml:space="preserve"> </w:t>
      </w:r>
      <w:r w:rsidR="00D3452D" w:rsidRPr="00E60C24">
        <w:rPr>
          <w:rFonts w:ascii="Helvetica" w:eastAsia="Times New Roman" w:hAnsi="Helvetica" w:cs="Segoe UI"/>
          <w:color w:val="212121"/>
          <w:sz w:val="22"/>
          <w:szCs w:val="22"/>
          <w:shd w:val="clear" w:color="auto" w:fill="FFFFFF"/>
        </w:rPr>
        <w:t xml:space="preserve">2461-2462. </w:t>
      </w:r>
    </w:p>
    <w:p w14:paraId="45016CF2" w14:textId="77777777" w:rsidR="00BD4DAF" w:rsidRPr="00E60C24" w:rsidRDefault="00BD4DAF" w:rsidP="00B928F2">
      <w:pPr>
        <w:spacing w:line="480" w:lineRule="auto"/>
        <w:rPr>
          <w:rFonts w:ascii="Helvetica" w:hAnsi="Helvetica" w:cstheme="minorHAnsi"/>
          <w:sz w:val="22"/>
          <w:szCs w:val="22"/>
        </w:rPr>
      </w:pPr>
    </w:p>
    <w:p w14:paraId="039CB48E" w14:textId="293659D2" w:rsidR="00480403" w:rsidRDefault="002B794A" w:rsidP="00B928F2">
      <w:pPr>
        <w:spacing w:line="480" w:lineRule="auto"/>
        <w:rPr>
          <w:rFonts w:ascii="Helvetica" w:hAnsi="Helvetica" w:cstheme="minorHAnsi"/>
          <w:sz w:val="22"/>
          <w:szCs w:val="22"/>
        </w:rPr>
      </w:pPr>
      <w:r>
        <w:rPr>
          <w:rFonts w:ascii="Helvetica" w:hAnsi="Helvetica" w:cstheme="minorHAnsi"/>
          <w:sz w:val="22"/>
          <w:szCs w:val="22"/>
        </w:rPr>
        <w:t>34</w:t>
      </w:r>
      <w:r w:rsidR="00BD4DAF" w:rsidRPr="00E60C24">
        <w:rPr>
          <w:rFonts w:ascii="Helvetica" w:hAnsi="Helvetica" w:cstheme="minorHAnsi"/>
          <w:sz w:val="22"/>
          <w:szCs w:val="22"/>
        </w:rPr>
        <w:tab/>
      </w:r>
      <w:proofErr w:type="spellStart"/>
      <w:r w:rsidR="00820E36" w:rsidRPr="00E60C24">
        <w:rPr>
          <w:rFonts w:ascii="Helvetica" w:hAnsi="Helvetica" w:cstheme="minorHAnsi"/>
          <w:sz w:val="22"/>
          <w:szCs w:val="22"/>
        </w:rPr>
        <w:t>Baraniuk</w:t>
      </w:r>
      <w:proofErr w:type="spellEnd"/>
      <w:r w:rsidR="00820E36" w:rsidRPr="00E60C24">
        <w:rPr>
          <w:rFonts w:ascii="Helvetica" w:hAnsi="Helvetica" w:cstheme="minorHAnsi"/>
          <w:sz w:val="22"/>
          <w:szCs w:val="22"/>
        </w:rPr>
        <w:t xml:space="preserve"> C. Covid-19: How effective are vaccines against the delta variant?  </w:t>
      </w:r>
      <w:r w:rsidR="00820E36" w:rsidRPr="00E60C24">
        <w:rPr>
          <w:rFonts w:ascii="Helvetica" w:hAnsi="Helvetica" w:cstheme="minorHAnsi"/>
          <w:i/>
          <w:iCs/>
          <w:sz w:val="22"/>
          <w:szCs w:val="22"/>
        </w:rPr>
        <w:t>BMJ  </w:t>
      </w:r>
      <w:r w:rsidR="00E60C24">
        <w:rPr>
          <w:rFonts w:ascii="Helvetica" w:hAnsi="Helvetica" w:cstheme="minorHAnsi"/>
          <w:sz w:val="22"/>
          <w:szCs w:val="22"/>
        </w:rPr>
        <w:t>2021; </w:t>
      </w:r>
      <w:r w:rsidR="00E60C24" w:rsidRPr="00A1225E">
        <w:rPr>
          <w:rFonts w:ascii="Helvetica" w:hAnsi="Helvetica" w:cstheme="minorHAnsi"/>
          <w:b/>
          <w:sz w:val="22"/>
          <w:szCs w:val="22"/>
        </w:rPr>
        <w:t>374</w:t>
      </w:r>
      <w:r w:rsidR="00A1225E">
        <w:rPr>
          <w:rFonts w:ascii="Helvetica" w:hAnsi="Helvetica" w:cstheme="minorHAnsi"/>
          <w:sz w:val="22"/>
          <w:szCs w:val="22"/>
        </w:rPr>
        <w:t xml:space="preserve">: </w:t>
      </w:r>
      <w:r w:rsidR="00A1225E" w:rsidRPr="00A1225E">
        <w:rPr>
          <w:rFonts w:ascii="Helvetica" w:hAnsi="Helvetica" w:cstheme="minorHAnsi"/>
          <w:sz w:val="22"/>
          <w:szCs w:val="22"/>
        </w:rPr>
        <w:t>n1960</w:t>
      </w:r>
      <w:r w:rsidR="00E60C24">
        <w:rPr>
          <w:rFonts w:ascii="Helvetica" w:hAnsi="Helvetica" w:cstheme="minorHAnsi"/>
          <w:sz w:val="22"/>
          <w:szCs w:val="22"/>
        </w:rPr>
        <w:t>.</w:t>
      </w:r>
    </w:p>
    <w:p w14:paraId="6767DC37" w14:textId="77777777" w:rsidR="005E4064" w:rsidRDefault="005E4064" w:rsidP="00B928F2">
      <w:pPr>
        <w:spacing w:line="480" w:lineRule="auto"/>
        <w:rPr>
          <w:rFonts w:ascii="Helvetica" w:hAnsi="Helvetica" w:cstheme="minorHAnsi"/>
          <w:sz w:val="22"/>
          <w:szCs w:val="22"/>
        </w:rPr>
      </w:pPr>
    </w:p>
    <w:p w14:paraId="1D6E051A" w14:textId="77777777" w:rsidR="00234C6C" w:rsidRDefault="00234C6C" w:rsidP="00B928F2">
      <w:pPr>
        <w:spacing w:line="480" w:lineRule="auto"/>
        <w:rPr>
          <w:rFonts w:ascii="Helvetica" w:hAnsi="Helvetica" w:cstheme="minorHAnsi"/>
          <w:sz w:val="22"/>
          <w:szCs w:val="22"/>
        </w:rPr>
      </w:pPr>
    </w:p>
    <w:p w14:paraId="66E6852C" w14:textId="0C7E119F" w:rsidR="00EA3BE5" w:rsidRDefault="00EA3BE5" w:rsidP="00B928F2">
      <w:pPr>
        <w:spacing w:line="480" w:lineRule="auto"/>
        <w:rPr>
          <w:rFonts w:ascii="Helvetica" w:hAnsi="Helvetica" w:cstheme="minorHAnsi"/>
          <w:b/>
          <w:sz w:val="26"/>
          <w:szCs w:val="26"/>
          <w:lang w:val="en-US"/>
        </w:rPr>
      </w:pPr>
      <w:r>
        <w:rPr>
          <w:rFonts w:ascii="Helvetica" w:hAnsi="Helvetica" w:cstheme="minorHAnsi"/>
          <w:b/>
          <w:sz w:val="26"/>
          <w:szCs w:val="26"/>
          <w:lang w:val="en-US"/>
        </w:rPr>
        <w:t xml:space="preserve">Figure </w:t>
      </w:r>
      <w:r w:rsidR="009C67B2">
        <w:rPr>
          <w:rFonts w:ascii="Helvetica" w:hAnsi="Helvetica" w:cstheme="minorHAnsi"/>
          <w:b/>
          <w:sz w:val="26"/>
          <w:szCs w:val="26"/>
          <w:lang w:val="en-US"/>
        </w:rPr>
        <w:t>captions</w:t>
      </w:r>
      <w:r w:rsidR="009C67B2">
        <w:rPr>
          <w:rFonts w:ascii="Helvetica" w:hAnsi="Helvetica" w:cstheme="minorHAnsi"/>
          <w:b/>
          <w:sz w:val="26"/>
          <w:szCs w:val="26"/>
          <w:lang w:val="en-US"/>
        </w:rPr>
        <w:t xml:space="preserve"> </w:t>
      </w:r>
    </w:p>
    <w:p w14:paraId="6B8139C3" w14:textId="77777777" w:rsidR="00B928F2" w:rsidRDefault="00B928F2" w:rsidP="00B928F2">
      <w:pPr>
        <w:spacing w:line="480" w:lineRule="auto"/>
        <w:rPr>
          <w:rFonts w:ascii="Helvetica" w:hAnsi="Helvetica" w:cstheme="minorHAnsi"/>
          <w:b/>
          <w:sz w:val="26"/>
          <w:szCs w:val="26"/>
          <w:lang w:val="en-US"/>
        </w:rPr>
      </w:pPr>
    </w:p>
    <w:p w14:paraId="0106E12B" w14:textId="77777777" w:rsidR="00FA1CAC" w:rsidRPr="00354744" w:rsidRDefault="00FA1CAC" w:rsidP="00B928F2">
      <w:pPr>
        <w:spacing w:line="480" w:lineRule="auto"/>
        <w:rPr>
          <w:rFonts w:ascii="Helvetica" w:hAnsi="Helvetica" w:cstheme="minorHAnsi"/>
          <w:b/>
          <w:bCs/>
          <w:sz w:val="22"/>
          <w:szCs w:val="22"/>
        </w:rPr>
      </w:pPr>
      <w:r w:rsidRPr="00354744">
        <w:rPr>
          <w:rFonts w:ascii="Helvetica" w:hAnsi="Helvetica" w:cstheme="minorHAnsi"/>
          <w:b/>
          <w:sz w:val="22"/>
          <w:szCs w:val="22"/>
          <w:lang w:val="en-US"/>
        </w:rPr>
        <w:t>Figure 1.</w:t>
      </w:r>
      <w:r w:rsidRPr="00354744">
        <w:rPr>
          <w:rFonts w:ascii="Helvetica" w:hAnsi="Helvetica" w:cstheme="minorHAnsi"/>
          <w:b/>
          <w:bCs/>
          <w:sz w:val="22"/>
          <w:szCs w:val="22"/>
        </w:rPr>
        <w:t> </w:t>
      </w:r>
      <w:r w:rsidRPr="00354744">
        <w:rPr>
          <w:rFonts w:ascii="Helvetica" w:hAnsi="Helvetica" w:cstheme="minorHAnsi"/>
          <w:bCs/>
          <w:sz w:val="22"/>
          <w:szCs w:val="22"/>
        </w:rPr>
        <w:t>Study population and cohort enrolment process</w:t>
      </w:r>
    </w:p>
    <w:p w14:paraId="316FA016" w14:textId="77777777" w:rsidR="00B928F2" w:rsidRDefault="00B928F2" w:rsidP="00B928F2">
      <w:pPr>
        <w:spacing w:line="480" w:lineRule="auto"/>
        <w:rPr>
          <w:rFonts w:ascii="Helvetica" w:hAnsi="Helvetica" w:cstheme="minorHAnsi"/>
          <w:b/>
          <w:sz w:val="22"/>
          <w:szCs w:val="22"/>
          <w:lang w:val="en-US"/>
        </w:rPr>
      </w:pPr>
    </w:p>
    <w:p w14:paraId="219588B1" w14:textId="77777777" w:rsidR="00FA1CAC" w:rsidRPr="00354744" w:rsidRDefault="00FA1CAC" w:rsidP="00B928F2">
      <w:pPr>
        <w:spacing w:line="480" w:lineRule="auto"/>
        <w:rPr>
          <w:rFonts w:ascii="Helvetica" w:hAnsi="Helvetica" w:cstheme="minorHAnsi"/>
          <w:sz w:val="22"/>
          <w:szCs w:val="22"/>
          <w:lang w:val="en-US"/>
        </w:rPr>
      </w:pPr>
      <w:r w:rsidRPr="00354744">
        <w:rPr>
          <w:rFonts w:ascii="Helvetica" w:hAnsi="Helvetica" w:cstheme="minorHAnsi"/>
          <w:b/>
          <w:sz w:val="22"/>
          <w:szCs w:val="22"/>
          <w:lang w:val="en-US"/>
        </w:rPr>
        <w:t xml:space="preserve">Figure 2. </w:t>
      </w:r>
      <w:r w:rsidRPr="00354744">
        <w:rPr>
          <w:rFonts w:ascii="Helvetica" w:hAnsi="Helvetica" w:cstheme="minorHAnsi"/>
          <w:sz w:val="22"/>
          <w:szCs w:val="22"/>
          <w:lang w:val="en-US"/>
        </w:rPr>
        <w:t>Cumulative incidence of COVID-19 outcomes at 14 to 84 days after first dose of Oxford-AstraZeneca and Pfizer-</w:t>
      </w:r>
      <w:proofErr w:type="spellStart"/>
      <w:r w:rsidRPr="00354744">
        <w:rPr>
          <w:rFonts w:ascii="Helvetica" w:hAnsi="Helvetica" w:cstheme="minorHAnsi"/>
          <w:sz w:val="22"/>
          <w:szCs w:val="22"/>
          <w:lang w:val="en-US"/>
        </w:rPr>
        <w:t>BioNTech</w:t>
      </w:r>
      <w:proofErr w:type="spellEnd"/>
      <w:r w:rsidRPr="00354744">
        <w:rPr>
          <w:rFonts w:ascii="Helvetica" w:hAnsi="Helvetica" w:cstheme="minorHAnsi"/>
          <w:sz w:val="22"/>
          <w:szCs w:val="22"/>
          <w:lang w:val="en-US"/>
        </w:rPr>
        <w:t xml:space="preserve"> vaccines</w:t>
      </w:r>
    </w:p>
    <w:p w14:paraId="67869784" w14:textId="77777777" w:rsidR="00B928F2" w:rsidRDefault="00B928F2" w:rsidP="00B928F2">
      <w:pPr>
        <w:spacing w:line="480" w:lineRule="auto"/>
        <w:rPr>
          <w:rFonts w:ascii="Helvetica" w:hAnsi="Helvetica" w:cstheme="minorHAnsi"/>
          <w:b/>
          <w:sz w:val="22"/>
          <w:szCs w:val="22"/>
          <w:lang w:val="en-US"/>
        </w:rPr>
      </w:pPr>
    </w:p>
    <w:p w14:paraId="104E45E0" w14:textId="77777777" w:rsidR="00FA1CAC" w:rsidRPr="00354744" w:rsidRDefault="00FA1CAC" w:rsidP="00B928F2">
      <w:pPr>
        <w:spacing w:line="480" w:lineRule="auto"/>
        <w:rPr>
          <w:rFonts w:ascii="Helvetica" w:hAnsi="Helvetica" w:cstheme="minorHAnsi"/>
          <w:b/>
          <w:sz w:val="22"/>
          <w:szCs w:val="22"/>
          <w:lang w:val="en-US"/>
        </w:rPr>
      </w:pPr>
      <w:r w:rsidRPr="00354744">
        <w:rPr>
          <w:rFonts w:ascii="Helvetica" w:hAnsi="Helvetica" w:cstheme="minorHAnsi"/>
          <w:b/>
          <w:sz w:val="22"/>
          <w:szCs w:val="22"/>
          <w:lang w:val="en-US"/>
        </w:rPr>
        <w:t xml:space="preserve">Figure 3. </w:t>
      </w:r>
      <w:r w:rsidRPr="00354744">
        <w:rPr>
          <w:rFonts w:ascii="Helvetica" w:hAnsi="Helvetica" w:cstheme="minorHAnsi"/>
          <w:sz w:val="22"/>
          <w:szCs w:val="22"/>
          <w:lang w:val="en-US"/>
        </w:rPr>
        <w:t>Association between age and COVID-19 outcomes after the first dose of the Oxford-AstraZeneca or Pfizer-</w:t>
      </w:r>
      <w:proofErr w:type="spellStart"/>
      <w:r w:rsidRPr="00354744">
        <w:rPr>
          <w:rFonts w:ascii="Helvetica" w:hAnsi="Helvetica" w:cstheme="minorHAnsi"/>
          <w:sz w:val="22"/>
          <w:szCs w:val="22"/>
          <w:lang w:val="en-US"/>
        </w:rPr>
        <w:t>BioNTech</w:t>
      </w:r>
      <w:proofErr w:type="spellEnd"/>
      <w:r w:rsidRPr="00354744">
        <w:rPr>
          <w:rFonts w:ascii="Helvetica" w:hAnsi="Helvetica" w:cstheme="minorHAnsi"/>
          <w:sz w:val="22"/>
          <w:szCs w:val="22"/>
          <w:lang w:val="en-US"/>
        </w:rPr>
        <w:t xml:space="preserve"> vaccines over the 14 to </w:t>
      </w:r>
      <w:proofErr w:type="gramStart"/>
      <w:r w:rsidRPr="00354744">
        <w:rPr>
          <w:rFonts w:ascii="Helvetica" w:hAnsi="Helvetica" w:cstheme="minorHAnsi"/>
          <w:sz w:val="22"/>
          <w:szCs w:val="22"/>
          <w:lang w:val="en-US"/>
        </w:rPr>
        <w:t>84 day</w:t>
      </w:r>
      <w:proofErr w:type="gramEnd"/>
      <w:r w:rsidRPr="00354744">
        <w:rPr>
          <w:rFonts w:ascii="Helvetica" w:hAnsi="Helvetica" w:cstheme="minorHAnsi"/>
          <w:sz w:val="22"/>
          <w:szCs w:val="22"/>
          <w:lang w:val="en-US"/>
        </w:rPr>
        <w:t xml:space="preserve"> follow-up period </w:t>
      </w:r>
    </w:p>
    <w:p w14:paraId="39B282BC" w14:textId="69376C59" w:rsidR="00FA1CAC" w:rsidRPr="00354744" w:rsidRDefault="00FA1CAC" w:rsidP="00B928F2">
      <w:pPr>
        <w:spacing w:line="480" w:lineRule="auto"/>
        <w:rPr>
          <w:rFonts w:ascii="Helvetica" w:hAnsi="Helvetica" w:cstheme="minorHAnsi"/>
          <w:b/>
          <w:i/>
          <w:sz w:val="22"/>
          <w:szCs w:val="22"/>
          <w:lang w:val="en-US"/>
        </w:rPr>
      </w:pPr>
      <w:r w:rsidRPr="00354744">
        <w:rPr>
          <w:rFonts w:ascii="Helvetica" w:hAnsi="Helvetica" w:cstheme="minorHAnsi"/>
          <w:i/>
          <w:sz w:val="22"/>
          <w:szCs w:val="22"/>
          <w:lang w:val="en-US"/>
        </w:rPr>
        <w:t xml:space="preserve">Restricted cubic splines displaying hazard ratios of COVID-19 outcomes with 95% confidence intervals (dotted lines). The reference for each hazard ratio was the outcome in </w:t>
      </w:r>
      <w:r w:rsidRPr="00354744">
        <w:rPr>
          <w:rFonts w:ascii="Helvetica" w:hAnsi="Helvetica" w:cstheme="minorHAnsi"/>
          <w:i/>
          <w:sz w:val="22"/>
          <w:szCs w:val="22"/>
          <w:lang w:val="en-US"/>
        </w:rPr>
        <w:lastRenderedPageBreak/>
        <w:t xml:space="preserve">the unvaccinated group at corresponding ages. </w:t>
      </w:r>
      <w:r w:rsidRPr="00354744">
        <w:rPr>
          <w:rFonts w:ascii="Helvetica" w:hAnsi="Helvetica" w:cstheme="minorHAnsi"/>
          <w:i/>
          <w:sz w:val="22"/>
          <w:szCs w:val="22"/>
          <w:lang w:eastAsia="en-US"/>
        </w:rPr>
        <w:t>The 95% confidence intervals (dotted lines) are based on 10,000 predictions from the model using bootstrapped samples of the corresponding age-specific outcome counts. The spline for documented SARs-CoV-2 infection was adjusted by testing rate at baseline.</w:t>
      </w:r>
    </w:p>
    <w:p w14:paraId="678E31D7" w14:textId="77777777" w:rsidR="00CF77EF" w:rsidRDefault="00CF77EF" w:rsidP="00B928F2">
      <w:pPr>
        <w:spacing w:line="480" w:lineRule="auto"/>
        <w:rPr>
          <w:rFonts w:ascii="Helvetica" w:hAnsi="Helvetica" w:cstheme="minorHAnsi"/>
          <w:sz w:val="22"/>
          <w:szCs w:val="22"/>
        </w:rPr>
      </w:pPr>
    </w:p>
    <w:p w14:paraId="1E104C03" w14:textId="77777777" w:rsidR="009C67B2" w:rsidRDefault="009C67B2" w:rsidP="00B928F2">
      <w:pPr>
        <w:spacing w:line="480" w:lineRule="auto"/>
        <w:rPr>
          <w:rFonts w:ascii="Helvetica" w:hAnsi="Helvetica" w:cstheme="minorHAnsi"/>
          <w:sz w:val="22"/>
          <w:szCs w:val="22"/>
        </w:rPr>
      </w:pPr>
    </w:p>
    <w:p w14:paraId="7B533CD3" w14:textId="77777777" w:rsidR="009C67B2" w:rsidRDefault="009C67B2" w:rsidP="00B928F2">
      <w:pPr>
        <w:spacing w:line="480" w:lineRule="auto"/>
        <w:rPr>
          <w:rFonts w:ascii="Helvetica" w:hAnsi="Helvetica" w:cstheme="minorHAnsi"/>
          <w:sz w:val="22"/>
          <w:szCs w:val="22"/>
        </w:rPr>
      </w:pPr>
    </w:p>
    <w:p w14:paraId="5B4D508D" w14:textId="10465146" w:rsidR="00106795" w:rsidRPr="00C46A9D" w:rsidRDefault="00106795" w:rsidP="00B928F2">
      <w:pPr>
        <w:spacing w:line="480" w:lineRule="auto"/>
        <w:rPr>
          <w:rFonts w:ascii="Helvetica" w:hAnsi="Helvetica" w:cstheme="minorHAnsi"/>
          <w:b/>
          <w:sz w:val="26"/>
          <w:szCs w:val="26"/>
          <w:lang w:val="en-US"/>
        </w:rPr>
      </w:pPr>
      <w:r>
        <w:rPr>
          <w:rFonts w:ascii="Helvetica" w:hAnsi="Helvetica" w:cstheme="minorHAnsi"/>
          <w:b/>
          <w:sz w:val="26"/>
          <w:szCs w:val="26"/>
          <w:lang w:val="en-US"/>
        </w:rPr>
        <w:t>Tables</w:t>
      </w:r>
    </w:p>
    <w:p w14:paraId="5612296A" w14:textId="01BDFCE4" w:rsidR="00480403" w:rsidRPr="00354744" w:rsidRDefault="00480403" w:rsidP="00B928F2">
      <w:pPr>
        <w:spacing w:line="480" w:lineRule="auto"/>
        <w:rPr>
          <w:rFonts w:ascii="Helvetica" w:hAnsi="Helvetica" w:cstheme="minorHAnsi"/>
          <w:lang w:val="en-US"/>
        </w:rPr>
      </w:pPr>
      <w:r w:rsidRPr="00354744">
        <w:rPr>
          <w:rFonts w:ascii="Helvetica" w:hAnsi="Helvetica" w:cstheme="minorHAnsi"/>
          <w:b/>
          <w:lang w:val="en-US"/>
        </w:rPr>
        <w:t>Table 1.</w:t>
      </w:r>
      <w:r w:rsidRPr="00354744">
        <w:rPr>
          <w:rFonts w:ascii="Helvetica" w:hAnsi="Helvetica" w:cstheme="minorHAnsi"/>
          <w:lang w:val="en-US"/>
        </w:rPr>
        <w:t xml:space="preserve"> Demographic and clinical characteristics of the matched populations at baseline that were unvaccinated or received a single dose of the Oxford-AstraZeneca or Pfizer-</w:t>
      </w:r>
      <w:proofErr w:type="spellStart"/>
      <w:r w:rsidRPr="00354744">
        <w:rPr>
          <w:rFonts w:ascii="Helvetica" w:hAnsi="Helvetica" w:cstheme="minorHAnsi"/>
          <w:lang w:val="en-US"/>
        </w:rPr>
        <w:t>BioNTech</w:t>
      </w:r>
      <w:proofErr w:type="spellEnd"/>
      <w:r w:rsidRPr="00354744">
        <w:rPr>
          <w:rFonts w:ascii="Helvetica" w:hAnsi="Helvetica" w:cstheme="minorHAnsi"/>
          <w:lang w:val="en-US"/>
        </w:rPr>
        <w:t xml:space="preserve"> vaccines</w:t>
      </w:r>
    </w:p>
    <w:p w14:paraId="11CB9A02" w14:textId="77777777" w:rsidR="00480403" w:rsidRPr="00426739" w:rsidRDefault="00480403" w:rsidP="00B928F2">
      <w:pPr>
        <w:spacing w:line="480" w:lineRule="auto"/>
        <w:rPr>
          <w:rFonts w:asciiTheme="minorHAnsi" w:hAnsiTheme="minorHAnsi" w:cstheme="minorHAnsi"/>
          <w:lang w:val="en-US"/>
        </w:rPr>
      </w:pPr>
    </w:p>
    <w:tbl>
      <w:tblPr>
        <w:tblStyle w:val="TableGrid"/>
        <w:tblW w:w="9355" w:type="dxa"/>
        <w:tblLook w:val="04A0" w:firstRow="1" w:lastRow="0" w:firstColumn="1" w:lastColumn="0" w:noHBand="0" w:noVBand="1"/>
      </w:tblPr>
      <w:tblGrid>
        <w:gridCol w:w="3235"/>
        <w:gridCol w:w="2070"/>
        <w:gridCol w:w="1985"/>
        <w:gridCol w:w="2065"/>
      </w:tblGrid>
      <w:tr w:rsidR="00480403" w:rsidRPr="00426739" w14:paraId="6DB61391" w14:textId="77777777" w:rsidTr="008C3F8A">
        <w:tc>
          <w:tcPr>
            <w:tcW w:w="3235" w:type="dxa"/>
          </w:tcPr>
          <w:p w14:paraId="4ADFF1AD" w14:textId="77777777" w:rsidR="00480403" w:rsidRPr="00426739" w:rsidRDefault="00480403" w:rsidP="00B928F2">
            <w:pPr>
              <w:spacing w:line="480" w:lineRule="auto"/>
              <w:rPr>
                <w:rFonts w:asciiTheme="minorHAnsi" w:hAnsiTheme="minorHAnsi" w:cstheme="minorHAnsi"/>
                <w:sz w:val="18"/>
                <w:szCs w:val="18"/>
                <w:lang w:val="en-US"/>
              </w:rPr>
            </w:pPr>
          </w:p>
        </w:tc>
        <w:tc>
          <w:tcPr>
            <w:tcW w:w="2070" w:type="dxa"/>
          </w:tcPr>
          <w:p w14:paraId="0C476779" w14:textId="77777777" w:rsidR="00480403" w:rsidRPr="00426739" w:rsidRDefault="00480403" w:rsidP="00B928F2">
            <w:pPr>
              <w:spacing w:line="480" w:lineRule="auto"/>
              <w:rPr>
                <w:rFonts w:asciiTheme="minorHAnsi" w:hAnsiTheme="minorHAnsi" w:cstheme="minorHAnsi"/>
                <w:b/>
                <w:sz w:val="18"/>
                <w:szCs w:val="18"/>
                <w:lang w:val="en-US"/>
              </w:rPr>
            </w:pPr>
            <w:r w:rsidRPr="00426739">
              <w:rPr>
                <w:rFonts w:asciiTheme="minorHAnsi" w:hAnsiTheme="minorHAnsi" w:cstheme="minorHAnsi"/>
                <w:b/>
                <w:sz w:val="18"/>
                <w:lang w:val="en-US"/>
              </w:rPr>
              <w:t>Unvaccinated (N=127,216)</w:t>
            </w:r>
          </w:p>
        </w:tc>
        <w:tc>
          <w:tcPr>
            <w:tcW w:w="1985" w:type="dxa"/>
          </w:tcPr>
          <w:p w14:paraId="2A593678" w14:textId="77777777" w:rsidR="00480403" w:rsidRPr="00426739" w:rsidRDefault="00480403" w:rsidP="00B928F2">
            <w:pPr>
              <w:spacing w:line="480" w:lineRule="auto"/>
              <w:rPr>
                <w:rFonts w:asciiTheme="minorHAnsi" w:hAnsiTheme="minorHAnsi" w:cstheme="minorHAnsi"/>
                <w:b/>
                <w:sz w:val="18"/>
                <w:szCs w:val="18"/>
                <w:lang w:val="en-US"/>
              </w:rPr>
            </w:pPr>
            <w:r w:rsidRPr="00B27409">
              <w:rPr>
                <w:rFonts w:asciiTheme="minorHAnsi" w:hAnsiTheme="minorHAnsi" w:cstheme="minorHAnsi"/>
                <w:b/>
                <w:sz w:val="18"/>
                <w:lang w:val="en-US"/>
              </w:rPr>
              <w:t xml:space="preserve">Oxford-AstraZeneca </w:t>
            </w:r>
            <w:r w:rsidRPr="00426739">
              <w:rPr>
                <w:rFonts w:asciiTheme="minorHAnsi" w:hAnsiTheme="minorHAnsi" w:cstheme="minorHAnsi"/>
                <w:b/>
                <w:sz w:val="18"/>
                <w:lang w:val="en-US"/>
              </w:rPr>
              <w:t>(N=63,608)</w:t>
            </w:r>
          </w:p>
        </w:tc>
        <w:tc>
          <w:tcPr>
            <w:tcW w:w="2065" w:type="dxa"/>
          </w:tcPr>
          <w:p w14:paraId="3B8B6532" w14:textId="77777777" w:rsidR="00480403" w:rsidRPr="00426739" w:rsidRDefault="00480403" w:rsidP="00B928F2">
            <w:pPr>
              <w:spacing w:line="480" w:lineRule="auto"/>
              <w:rPr>
                <w:rFonts w:asciiTheme="minorHAnsi" w:hAnsiTheme="minorHAnsi" w:cstheme="minorHAnsi"/>
                <w:b/>
                <w:sz w:val="18"/>
                <w:szCs w:val="18"/>
                <w:lang w:val="en-US"/>
              </w:rPr>
            </w:pPr>
            <w:r w:rsidRPr="00426739">
              <w:rPr>
                <w:rFonts w:asciiTheme="minorHAnsi" w:hAnsiTheme="minorHAnsi" w:cstheme="minorHAnsi"/>
                <w:b/>
                <w:sz w:val="18"/>
                <w:lang w:val="en-US"/>
              </w:rPr>
              <w:t>Pfizer (N=63,608)</w:t>
            </w:r>
          </w:p>
        </w:tc>
      </w:tr>
      <w:tr w:rsidR="00480403" w:rsidRPr="00426739" w14:paraId="4F129AFB" w14:textId="77777777" w:rsidTr="008C3F8A">
        <w:tc>
          <w:tcPr>
            <w:tcW w:w="3235" w:type="dxa"/>
          </w:tcPr>
          <w:p w14:paraId="7D198ACC" w14:textId="77777777" w:rsidR="00480403" w:rsidRPr="00426739" w:rsidRDefault="00480403" w:rsidP="00B928F2">
            <w:pPr>
              <w:spacing w:line="480" w:lineRule="auto"/>
              <w:rPr>
                <w:rFonts w:asciiTheme="minorHAnsi" w:hAnsiTheme="minorHAnsi" w:cstheme="minorHAnsi"/>
                <w:sz w:val="18"/>
                <w:szCs w:val="18"/>
                <w:lang w:val="en-US"/>
              </w:rPr>
            </w:pPr>
            <w:r>
              <w:rPr>
                <w:rFonts w:asciiTheme="minorHAnsi" w:hAnsiTheme="minorHAnsi" w:cstheme="minorHAnsi"/>
                <w:b/>
                <w:sz w:val="18"/>
                <w:lang w:val="en-US"/>
              </w:rPr>
              <w:t>A</w:t>
            </w:r>
            <w:r w:rsidRPr="00426739">
              <w:rPr>
                <w:rFonts w:asciiTheme="minorHAnsi" w:hAnsiTheme="minorHAnsi" w:cstheme="minorHAnsi"/>
                <w:b/>
                <w:sz w:val="18"/>
                <w:lang w:val="en-US"/>
              </w:rPr>
              <w:t xml:space="preserve">ge in years </w:t>
            </w:r>
            <w:r>
              <w:rPr>
                <w:rFonts w:asciiTheme="minorHAnsi" w:hAnsiTheme="minorHAnsi" w:cstheme="minorHAnsi"/>
                <w:b/>
                <w:sz w:val="18"/>
                <w:lang w:val="en-US"/>
              </w:rPr>
              <w:t xml:space="preserve">[median </w:t>
            </w:r>
            <w:r w:rsidRPr="00426739">
              <w:rPr>
                <w:rFonts w:asciiTheme="minorHAnsi" w:hAnsiTheme="minorHAnsi" w:cstheme="minorHAnsi"/>
                <w:b/>
                <w:sz w:val="18"/>
                <w:lang w:val="en-US"/>
              </w:rPr>
              <w:t>(IQR)</w:t>
            </w:r>
            <w:r>
              <w:rPr>
                <w:rFonts w:asciiTheme="minorHAnsi" w:hAnsiTheme="minorHAnsi" w:cstheme="minorHAnsi"/>
                <w:b/>
                <w:sz w:val="18"/>
                <w:lang w:val="en-US"/>
              </w:rPr>
              <w:t>]</w:t>
            </w:r>
          </w:p>
        </w:tc>
        <w:tc>
          <w:tcPr>
            <w:tcW w:w="2070" w:type="dxa"/>
          </w:tcPr>
          <w:p w14:paraId="57EEAE51"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53 (41-61)</w:t>
            </w:r>
          </w:p>
        </w:tc>
        <w:tc>
          <w:tcPr>
            <w:tcW w:w="1985" w:type="dxa"/>
          </w:tcPr>
          <w:p w14:paraId="7AA23D27"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53 (41-61)</w:t>
            </w:r>
          </w:p>
        </w:tc>
        <w:tc>
          <w:tcPr>
            <w:tcW w:w="2065" w:type="dxa"/>
          </w:tcPr>
          <w:p w14:paraId="3D10F84E"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53 (41-61)</w:t>
            </w:r>
          </w:p>
        </w:tc>
      </w:tr>
      <w:tr w:rsidR="00480403" w:rsidRPr="00426739" w14:paraId="41F20DB9" w14:textId="77777777" w:rsidTr="008C3F8A">
        <w:tc>
          <w:tcPr>
            <w:tcW w:w="3235" w:type="dxa"/>
          </w:tcPr>
          <w:p w14:paraId="17D07670"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b/>
                <w:sz w:val="18"/>
                <w:lang w:val="en-US"/>
              </w:rPr>
              <w:t>Male</w:t>
            </w:r>
            <w:r>
              <w:rPr>
                <w:rFonts w:asciiTheme="minorHAnsi" w:hAnsiTheme="minorHAnsi" w:cstheme="minorHAnsi"/>
                <w:b/>
                <w:sz w:val="18"/>
                <w:lang w:val="en-US"/>
              </w:rPr>
              <w:t xml:space="preserve"> [</w:t>
            </w:r>
            <w:proofErr w:type="gramStart"/>
            <w:r>
              <w:rPr>
                <w:rFonts w:asciiTheme="minorHAnsi" w:hAnsiTheme="minorHAnsi" w:cstheme="minorHAnsi"/>
                <w:b/>
                <w:sz w:val="18"/>
                <w:lang w:val="en-US"/>
              </w:rPr>
              <w:t>n(</w:t>
            </w:r>
            <w:proofErr w:type="gramEnd"/>
            <w:r>
              <w:rPr>
                <w:rFonts w:asciiTheme="minorHAnsi" w:hAnsiTheme="minorHAnsi" w:cstheme="minorHAnsi"/>
                <w:b/>
                <w:sz w:val="18"/>
                <w:lang w:val="en-US"/>
              </w:rPr>
              <w:t>%)]</w:t>
            </w:r>
          </w:p>
        </w:tc>
        <w:tc>
          <w:tcPr>
            <w:tcW w:w="2070" w:type="dxa"/>
          </w:tcPr>
          <w:p w14:paraId="335C65B4"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58,796 (46.2%)</w:t>
            </w:r>
          </w:p>
        </w:tc>
        <w:tc>
          <w:tcPr>
            <w:tcW w:w="1985" w:type="dxa"/>
          </w:tcPr>
          <w:p w14:paraId="7AB67B03"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29,398 (46.2%)</w:t>
            </w:r>
          </w:p>
        </w:tc>
        <w:tc>
          <w:tcPr>
            <w:tcW w:w="2065" w:type="dxa"/>
          </w:tcPr>
          <w:p w14:paraId="459A0D03"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29,398 (46.2%)</w:t>
            </w:r>
          </w:p>
        </w:tc>
      </w:tr>
      <w:tr w:rsidR="00480403" w:rsidRPr="00426739" w14:paraId="745BD280" w14:textId="77777777" w:rsidTr="008C3F8A">
        <w:tc>
          <w:tcPr>
            <w:tcW w:w="3235" w:type="dxa"/>
          </w:tcPr>
          <w:p w14:paraId="7E053FAE"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b/>
                <w:sz w:val="18"/>
                <w:lang w:val="en-US"/>
              </w:rPr>
              <w:t>At risk age 16-64</w:t>
            </w:r>
            <w:r>
              <w:rPr>
                <w:rFonts w:asciiTheme="minorHAnsi" w:hAnsiTheme="minorHAnsi" w:cstheme="minorHAnsi"/>
                <w:b/>
                <w:sz w:val="18"/>
                <w:lang w:val="en-US"/>
              </w:rPr>
              <w:t xml:space="preserve"> [</w:t>
            </w:r>
            <w:proofErr w:type="gramStart"/>
            <w:r>
              <w:rPr>
                <w:rFonts w:asciiTheme="minorHAnsi" w:hAnsiTheme="minorHAnsi" w:cstheme="minorHAnsi"/>
                <w:b/>
                <w:sz w:val="18"/>
                <w:lang w:val="en-US"/>
              </w:rPr>
              <w:t>n(</w:t>
            </w:r>
            <w:proofErr w:type="gramEnd"/>
            <w:r>
              <w:rPr>
                <w:rFonts w:asciiTheme="minorHAnsi" w:hAnsiTheme="minorHAnsi" w:cstheme="minorHAnsi"/>
                <w:b/>
                <w:sz w:val="18"/>
                <w:lang w:val="en-US"/>
              </w:rPr>
              <w:t>%)]</w:t>
            </w:r>
          </w:p>
        </w:tc>
        <w:tc>
          <w:tcPr>
            <w:tcW w:w="2070" w:type="dxa"/>
          </w:tcPr>
          <w:p w14:paraId="2A68EF5F"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12,938 (10.2%)</w:t>
            </w:r>
          </w:p>
        </w:tc>
        <w:tc>
          <w:tcPr>
            <w:tcW w:w="1985" w:type="dxa"/>
          </w:tcPr>
          <w:p w14:paraId="16B3DE6A"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6,469 (10.2%)</w:t>
            </w:r>
          </w:p>
        </w:tc>
        <w:tc>
          <w:tcPr>
            <w:tcW w:w="2065" w:type="dxa"/>
          </w:tcPr>
          <w:p w14:paraId="0D684641"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6,469 (10.2%)</w:t>
            </w:r>
          </w:p>
        </w:tc>
      </w:tr>
      <w:tr w:rsidR="00480403" w:rsidRPr="00426739" w14:paraId="0C165593" w14:textId="77777777" w:rsidTr="008C3F8A">
        <w:tc>
          <w:tcPr>
            <w:tcW w:w="3235" w:type="dxa"/>
          </w:tcPr>
          <w:p w14:paraId="01A75CC2"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b/>
                <w:sz w:val="18"/>
                <w:lang w:val="en-US"/>
              </w:rPr>
              <w:t>Care home resident</w:t>
            </w:r>
            <w:r>
              <w:rPr>
                <w:rFonts w:asciiTheme="minorHAnsi" w:hAnsiTheme="minorHAnsi" w:cstheme="minorHAnsi"/>
                <w:b/>
                <w:sz w:val="18"/>
                <w:lang w:val="en-US"/>
              </w:rPr>
              <w:t xml:space="preserve"> [</w:t>
            </w:r>
            <w:proofErr w:type="gramStart"/>
            <w:r>
              <w:rPr>
                <w:rFonts w:asciiTheme="minorHAnsi" w:hAnsiTheme="minorHAnsi" w:cstheme="minorHAnsi"/>
                <w:b/>
                <w:sz w:val="18"/>
                <w:lang w:val="en-US"/>
              </w:rPr>
              <w:t>n(</w:t>
            </w:r>
            <w:proofErr w:type="gramEnd"/>
            <w:r>
              <w:rPr>
                <w:rFonts w:asciiTheme="minorHAnsi" w:hAnsiTheme="minorHAnsi" w:cstheme="minorHAnsi"/>
                <w:b/>
                <w:sz w:val="18"/>
                <w:lang w:val="en-US"/>
              </w:rPr>
              <w:t>%)]</w:t>
            </w:r>
          </w:p>
        </w:tc>
        <w:tc>
          <w:tcPr>
            <w:tcW w:w="2070" w:type="dxa"/>
          </w:tcPr>
          <w:p w14:paraId="0C9E3374"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6 (0.005%)</w:t>
            </w:r>
          </w:p>
        </w:tc>
        <w:tc>
          <w:tcPr>
            <w:tcW w:w="1985" w:type="dxa"/>
          </w:tcPr>
          <w:p w14:paraId="2C28ACBB"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3 (0.005%)</w:t>
            </w:r>
          </w:p>
        </w:tc>
        <w:tc>
          <w:tcPr>
            <w:tcW w:w="2065" w:type="dxa"/>
          </w:tcPr>
          <w:p w14:paraId="2F773AC5"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3 (0.005%)</w:t>
            </w:r>
          </w:p>
        </w:tc>
      </w:tr>
      <w:tr w:rsidR="00480403" w:rsidRPr="00426739" w14:paraId="3E921C9A" w14:textId="77777777" w:rsidTr="008C3F8A">
        <w:tc>
          <w:tcPr>
            <w:tcW w:w="3235" w:type="dxa"/>
          </w:tcPr>
          <w:p w14:paraId="4FDD947F"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b/>
                <w:sz w:val="18"/>
                <w:lang w:val="en-US"/>
              </w:rPr>
              <w:t>Clinically extremely vulnerable</w:t>
            </w:r>
            <w:r>
              <w:rPr>
                <w:rFonts w:asciiTheme="minorHAnsi" w:hAnsiTheme="minorHAnsi" w:cstheme="minorHAnsi"/>
                <w:b/>
                <w:sz w:val="18"/>
                <w:lang w:val="en-US"/>
              </w:rPr>
              <w:t xml:space="preserve"> [</w:t>
            </w:r>
            <w:proofErr w:type="gramStart"/>
            <w:r>
              <w:rPr>
                <w:rFonts w:asciiTheme="minorHAnsi" w:hAnsiTheme="minorHAnsi" w:cstheme="minorHAnsi"/>
                <w:b/>
                <w:sz w:val="18"/>
                <w:lang w:val="en-US"/>
              </w:rPr>
              <w:t>n(</w:t>
            </w:r>
            <w:proofErr w:type="gramEnd"/>
            <w:r>
              <w:rPr>
                <w:rFonts w:asciiTheme="minorHAnsi" w:hAnsiTheme="minorHAnsi" w:cstheme="minorHAnsi"/>
                <w:b/>
                <w:sz w:val="18"/>
                <w:lang w:val="en-US"/>
              </w:rPr>
              <w:t>%)]</w:t>
            </w:r>
          </w:p>
        </w:tc>
        <w:tc>
          <w:tcPr>
            <w:tcW w:w="2070" w:type="dxa"/>
          </w:tcPr>
          <w:p w14:paraId="0296B527"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2,114 (1.7%)</w:t>
            </w:r>
          </w:p>
        </w:tc>
        <w:tc>
          <w:tcPr>
            <w:tcW w:w="1985" w:type="dxa"/>
          </w:tcPr>
          <w:p w14:paraId="6AB04F44"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1,057 (1.7%)</w:t>
            </w:r>
          </w:p>
        </w:tc>
        <w:tc>
          <w:tcPr>
            <w:tcW w:w="2065" w:type="dxa"/>
          </w:tcPr>
          <w:p w14:paraId="08DDC318"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1,057 (1.7%)</w:t>
            </w:r>
          </w:p>
        </w:tc>
      </w:tr>
      <w:tr w:rsidR="00480403" w:rsidRPr="00426739" w14:paraId="5754429A" w14:textId="77777777" w:rsidTr="008C3F8A">
        <w:tc>
          <w:tcPr>
            <w:tcW w:w="3235" w:type="dxa"/>
          </w:tcPr>
          <w:p w14:paraId="06601238"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b/>
                <w:sz w:val="18"/>
                <w:lang w:val="en-US"/>
              </w:rPr>
              <w:t>Ethnicity</w:t>
            </w:r>
            <w:r>
              <w:rPr>
                <w:rFonts w:asciiTheme="minorHAnsi" w:hAnsiTheme="minorHAnsi" w:cstheme="minorHAnsi"/>
                <w:b/>
                <w:sz w:val="18"/>
                <w:lang w:val="en-US"/>
              </w:rPr>
              <w:t xml:space="preserve"> [</w:t>
            </w:r>
            <w:proofErr w:type="gramStart"/>
            <w:r>
              <w:rPr>
                <w:rFonts w:asciiTheme="minorHAnsi" w:hAnsiTheme="minorHAnsi" w:cstheme="minorHAnsi"/>
                <w:b/>
                <w:sz w:val="18"/>
                <w:lang w:val="en-US"/>
              </w:rPr>
              <w:t>n(</w:t>
            </w:r>
            <w:proofErr w:type="gramEnd"/>
            <w:r>
              <w:rPr>
                <w:rFonts w:asciiTheme="minorHAnsi" w:hAnsiTheme="minorHAnsi" w:cstheme="minorHAnsi"/>
                <w:b/>
                <w:sz w:val="18"/>
                <w:lang w:val="en-US"/>
              </w:rPr>
              <w:t>%)]</w:t>
            </w:r>
          </w:p>
        </w:tc>
        <w:tc>
          <w:tcPr>
            <w:tcW w:w="2070" w:type="dxa"/>
          </w:tcPr>
          <w:p w14:paraId="2EA7B2C1" w14:textId="77777777" w:rsidR="00480403" w:rsidRPr="00426739" w:rsidRDefault="00480403" w:rsidP="00B928F2">
            <w:pPr>
              <w:spacing w:line="480" w:lineRule="auto"/>
              <w:rPr>
                <w:rFonts w:asciiTheme="minorHAnsi" w:hAnsiTheme="minorHAnsi" w:cstheme="minorHAnsi"/>
                <w:sz w:val="18"/>
                <w:szCs w:val="18"/>
                <w:lang w:val="en-US"/>
              </w:rPr>
            </w:pPr>
          </w:p>
        </w:tc>
        <w:tc>
          <w:tcPr>
            <w:tcW w:w="1985" w:type="dxa"/>
          </w:tcPr>
          <w:p w14:paraId="728169BB" w14:textId="77777777" w:rsidR="00480403" w:rsidRPr="00426739" w:rsidRDefault="00480403" w:rsidP="00B928F2">
            <w:pPr>
              <w:spacing w:line="480" w:lineRule="auto"/>
              <w:rPr>
                <w:rFonts w:asciiTheme="minorHAnsi" w:hAnsiTheme="minorHAnsi" w:cstheme="minorHAnsi"/>
                <w:sz w:val="18"/>
                <w:szCs w:val="18"/>
                <w:lang w:val="en-US"/>
              </w:rPr>
            </w:pPr>
          </w:p>
        </w:tc>
        <w:tc>
          <w:tcPr>
            <w:tcW w:w="2065" w:type="dxa"/>
          </w:tcPr>
          <w:p w14:paraId="69C2200B" w14:textId="77777777" w:rsidR="00480403" w:rsidRPr="00426739" w:rsidRDefault="00480403" w:rsidP="00B928F2">
            <w:pPr>
              <w:spacing w:line="480" w:lineRule="auto"/>
              <w:rPr>
                <w:rFonts w:asciiTheme="minorHAnsi" w:hAnsiTheme="minorHAnsi" w:cstheme="minorHAnsi"/>
                <w:sz w:val="18"/>
                <w:szCs w:val="18"/>
                <w:lang w:val="en-US"/>
              </w:rPr>
            </w:pPr>
          </w:p>
        </w:tc>
      </w:tr>
      <w:tr w:rsidR="00480403" w:rsidRPr="00426739" w14:paraId="306BDAB6" w14:textId="77777777" w:rsidTr="008C3F8A">
        <w:tc>
          <w:tcPr>
            <w:tcW w:w="3235" w:type="dxa"/>
          </w:tcPr>
          <w:p w14:paraId="568BEA68"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 xml:space="preserve">   White</w:t>
            </w:r>
          </w:p>
        </w:tc>
        <w:tc>
          <w:tcPr>
            <w:tcW w:w="2070" w:type="dxa"/>
          </w:tcPr>
          <w:p w14:paraId="50AC772A"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58,644 (46.1%)</w:t>
            </w:r>
          </w:p>
        </w:tc>
        <w:tc>
          <w:tcPr>
            <w:tcW w:w="1985" w:type="dxa"/>
          </w:tcPr>
          <w:p w14:paraId="036468DE"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29,322 (46.1%)</w:t>
            </w:r>
          </w:p>
        </w:tc>
        <w:tc>
          <w:tcPr>
            <w:tcW w:w="2065" w:type="dxa"/>
          </w:tcPr>
          <w:p w14:paraId="3E17C1A0"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29,322 (46.1%)</w:t>
            </w:r>
          </w:p>
        </w:tc>
      </w:tr>
      <w:tr w:rsidR="00480403" w:rsidRPr="00426739" w14:paraId="767DCE9B" w14:textId="77777777" w:rsidTr="008C3F8A">
        <w:tc>
          <w:tcPr>
            <w:tcW w:w="3235" w:type="dxa"/>
          </w:tcPr>
          <w:p w14:paraId="34B24BD0"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 xml:space="preserve">   South Asian</w:t>
            </w:r>
          </w:p>
        </w:tc>
        <w:tc>
          <w:tcPr>
            <w:tcW w:w="2070" w:type="dxa"/>
          </w:tcPr>
          <w:p w14:paraId="37134048"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28,252 (22.2%)</w:t>
            </w:r>
          </w:p>
        </w:tc>
        <w:tc>
          <w:tcPr>
            <w:tcW w:w="1985" w:type="dxa"/>
          </w:tcPr>
          <w:p w14:paraId="7895DC33"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14,126 (22.2%)</w:t>
            </w:r>
          </w:p>
        </w:tc>
        <w:tc>
          <w:tcPr>
            <w:tcW w:w="2065" w:type="dxa"/>
          </w:tcPr>
          <w:p w14:paraId="282D8CC3"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14,126 (22.2%)</w:t>
            </w:r>
          </w:p>
        </w:tc>
      </w:tr>
      <w:tr w:rsidR="00480403" w:rsidRPr="00426739" w14:paraId="6F243847" w14:textId="77777777" w:rsidTr="008C3F8A">
        <w:tc>
          <w:tcPr>
            <w:tcW w:w="3235" w:type="dxa"/>
          </w:tcPr>
          <w:p w14:paraId="536C123C"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 xml:space="preserve">   Black</w:t>
            </w:r>
          </w:p>
        </w:tc>
        <w:tc>
          <w:tcPr>
            <w:tcW w:w="2070" w:type="dxa"/>
          </w:tcPr>
          <w:p w14:paraId="7404606F"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8,464 (6.7%)</w:t>
            </w:r>
          </w:p>
        </w:tc>
        <w:tc>
          <w:tcPr>
            <w:tcW w:w="1985" w:type="dxa"/>
          </w:tcPr>
          <w:p w14:paraId="66F47DF4"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4,232 (6.7%)</w:t>
            </w:r>
          </w:p>
        </w:tc>
        <w:tc>
          <w:tcPr>
            <w:tcW w:w="2065" w:type="dxa"/>
          </w:tcPr>
          <w:p w14:paraId="4C90EEC1"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4,232 (6.7%)</w:t>
            </w:r>
          </w:p>
        </w:tc>
      </w:tr>
      <w:tr w:rsidR="00480403" w:rsidRPr="00426739" w14:paraId="398027AF" w14:textId="77777777" w:rsidTr="008C3F8A">
        <w:tc>
          <w:tcPr>
            <w:tcW w:w="3235" w:type="dxa"/>
          </w:tcPr>
          <w:p w14:paraId="5B8FF7A6"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 xml:space="preserve">   </w:t>
            </w:r>
            <w:proofErr w:type="gramStart"/>
            <w:r w:rsidRPr="00426739">
              <w:rPr>
                <w:rFonts w:asciiTheme="minorHAnsi" w:hAnsiTheme="minorHAnsi" w:cstheme="minorHAnsi"/>
                <w:sz w:val="18"/>
                <w:lang w:val="en-US"/>
              </w:rPr>
              <w:t>Other</w:t>
            </w:r>
            <w:proofErr w:type="gramEnd"/>
            <w:r w:rsidRPr="00426739">
              <w:rPr>
                <w:rFonts w:asciiTheme="minorHAnsi" w:hAnsiTheme="minorHAnsi" w:cstheme="minorHAnsi"/>
                <w:sz w:val="18"/>
                <w:lang w:val="en-US"/>
              </w:rPr>
              <w:t xml:space="preserve"> Asian</w:t>
            </w:r>
          </w:p>
        </w:tc>
        <w:tc>
          <w:tcPr>
            <w:tcW w:w="2070" w:type="dxa"/>
          </w:tcPr>
          <w:p w14:paraId="3D1C7EE3"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11,692 (9.2%)</w:t>
            </w:r>
          </w:p>
        </w:tc>
        <w:tc>
          <w:tcPr>
            <w:tcW w:w="1985" w:type="dxa"/>
          </w:tcPr>
          <w:p w14:paraId="093C8D4E"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5,846 (9.2%)</w:t>
            </w:r>
          </w:p>
        </w:tc>
        <w:tc>
          <w:tcPr>
            <w:tcW w:w="2065" w:type="dxa"/>
          </w:tcPr>
          <w:p w14:paraId="73059DB5"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5,846 (9.2%)</w:t>
            </w:r>
          </w:p>
        </w:tc>
      </w:tr>
      <w:tr w:rsidR="00480403" w:rsidRPr="00426739" w14:paraId="01130927" w14:textId="77777777" w:rsidTr="008C3F8A">
        <w:tc>
          <w:tcPr>
            <w:tcW w:w="3235" w:type="dxa"/>
          </w:tcPr>
          <w:p w14:paraId="047F3307"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 xml:space="preserve">   Mixed/other</w:t>
            </w:r>
          </w:p>
        </w:tc>
        <w:tc>
          <w:tcPr>
            <w:tcW w:w="2070" w:type="dxa"/>
          </w:tcPr>
          <w:p w14:paraId="1ED54DD7"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8,278 (6.5%)</w:t>
            </w:r>
          </w:p>
        </w:tc>
        <w:tc>
          <w:tcPr>
            <w:tcW w:w="1985" w:type="dxa"/>
          </w:tcPr>
          <w:p w14:paraId="7817F0B7"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4,139 (6.5%)</w:t>
            </w:r>
          </w:p>
        </w:tc>
        <w:tc>
          <w:tcPr>
            <w:tcW w:w="2065" w:type="dxa"/>
          </w:tcPr>
          <w:p w14:paraId="497AA4DA"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4,139 (6.5%)</w:t>
            </w:r>
          </w:p>
        </w:tc>
      </w:tr>
      <w:tr w:rsidR="00480403" w:rsidRPr="00426739" w14:paraId="22F09F72" w14:textId="77777777" w:rsidTr="008C3F8A">
        <w:tc>
          <w:tcPr>
            <w:tcW w:w="3235" w:type="dxa"/>
          </w:tcPr>
          <w:p w14:paraId="5252DB5C"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 xml:space="preserve">   Not reported/recorded</w:t>
            </w:r>
          </w:p>
        </w:tc>
        <w:tc>
          <w:tcPr>
            <w:tcW w:w="2070" w:type="dxa"/>
          </w:tcPr>
          <w:p w14:paraId="4FB6291F"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11,886 (9.3%)</w:t>
            </w:r>
          </w:p>
        </w:tc>
        <w:tc>
          <w:tcPr>
            <w:tcW w:w="1985" w:type="dxa"/>
          </w:tcPr>
          <w:p w14:paraId="1A546142"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5,943 (9.3%)</w:t>
            </w:r>
          </w:p>
        </w:tc>
        <w:tc>
          <w:tcPr>
            <w:tcW w:w="2065" w:type="dxa"/>
          </w:tcPr>
          <w:p w14:paraId="3223D008"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5,943 (9.3%)</w:t>
            </w:r>
          </w:p>
        </w:tc>
      </w:tr>
      <w:tr w:rsidR="00480403" w:rsidRPr="00426739" w14:paraId="206CBE77" w14:textId="77777777" w:rsidTr="008C3F8A">
        <w:tc>
          <w:tcPr>
            <w:tcW w:w="3235" w:type="dxa"/>
          </w:tcPr>
          <w:p w14:paraId="04219868" w14:textId="77777777" w:rsidR="00480403" w:rsidRPr="00426739" w:rsidRDefault="00480403" w:rsidP="00B928F2">
            <w:pPr>
              <w:spacing w:line="480" w:lineRule="auto"/>
              <w:rPr>
                <w:rFonts w:asciiTheme="minorHAnsi" w:hAnsiTheme="minorHAnsi" w:cstheme="minorHAnsi"/>
                <w:b/>
                <w:sz w:val="18"/>
                <w:szCs w:val="18"/>
                <w:lang w:val="en-US"/>
              </w:rPr>
            </w:pPr>
            <w:r w:rsidRPr="00426739">
              <w:rPr>
                <w:rFonts w:asciiTheme="minorHAnsi" w:hAnsiTheme="minorHAnsi" w:cstheme="minorHAnsi"/>
                <w:b/>
                <w:sz w:val="18"/>
                <w:lang w:val="en-US"/>
              </w:rPr>
              <w:t>Comorbidities</w:t>
            </w:r>
            <w:r>
              <w:rPr>
                <w:rFonts w:asciiTheme="minorHAnsi" w:hAnsiTheme="minorHAnsi" w:cstheme="minorHAnsi"/>
                <w:b/>
                <w:sz w:val="18"/>
                <w:lang w:val="en-US"/>
              </w:rPr>
              <w:t xml:space="preserve"> [</w:t>
            </w:r>
            <w:proofErr w:type="gramStart"/>
            <w:r>
              <w:rPr>
                <w:rFonts w:asciiTheme="minorHAnsi" w:hAnsiTheme="minorHAnsi" w:cstheme="minorHAnsi"/>
                <w:b/>
                <w:sz w:val="18"/>
                <w:lang w:val="en-US"/>
              </w:rPr>
              <w:t>n(</w:t>
            </w:r>
            <w:proofErr w:type="gramEnd"/>
            <w:r>
              <w:rPr>
                <w:rFonts w:asciiTheme="minorHAnsi" w:hAnsiTheme="minorHAnsi" w:cstheme="minorHAnsi"/>
                <w:b/>
                <w:sz w:val="18"/>
                <w:lang w:val="en-US"/>
              </w:rPr>
              <w:t>%)]</w:t>
            </w:r>
          </w:p>
        </w:tc>
        <w:tc>
          <w:tcPr>
            <w:tcW w:w="2070" w:type="dxa"/>
          </w:tcPr>
          <w:p w14:paraId="17E085E8" w14:textId="77777777" w:rsidR="00480403" w:rsidRPr="00426739" w:rsidRDefault="00480403" w:rsidP="00B928F2">
            <w:pPr>
              <w:spacing w:line="480" w:lineRule="auto"/>
              <w:rPr>
                <w:rFonts w:asciiTheme="minorHAnsi" w:hAnsiTheme="minorHAnsi" w:cstheme="minorHAnsi"/>
                <w:sz w:val="18"/>
                <w:szCs w:val="18"/>
                <w:lang w:val="en-US"/>
              </w:rPr>
            </w:pPr>
          </w:p>
        </w:tc>
        <w:tc>
          <w:tcPr>
            <w:tcW w:w="1985" w:type="dxa"/>
          </w:tcPr>
          <w:p w14:paraId="1B7DCAA2" w14:textId="77777777" w:rsidR="00480403" w:rsidRPr="00426739" w:rsidRDefault="00480403" w:rsidP="00B928F2">
            <w:pPr>
              <w:spacing w:line="480" w:lineRule="auto"/>
              <w:rPr>
                <w:rFonts w:asciiTheme="minorHAnsi" w:hAnsiTheme="minorHAnsi" w:cstheme="minorHAnsi"/>
                <w:sz w:val="18"/>
                <w:szCs w:val="18"/>
                <w:lang w:val="en-US"/>
              </w:rPr>
            </w:pPr>
          </w:p>
        </w:tc>
        <w:tc>
          <w:tcPr>
            <w:tcW w:w="2065" w:type="dxa"/>
          </w:tcPr>
          <w:p w14:paraId="43D368EA" w14:textId="77777777" w:rsidR="00480403" w:rsidRPr="00426739" w:rsidRDefault="00480403" w:rsidP="00B928F2">
            <w:pPr>
              <w:spacing w:line="480" w:lineRule="auto"/>
              <w:rPr>
                <w:rFonts w:asciiTheme="minorHAnsi" w:hAnsiTheme="minorHAnsi" w:cstheme="minorHAnsi"/>
                <w:sz w:val="18"/>
                <w:szCs w:val="18"/>
                <w:lang w:val="en-US"/>
              </w:rPr>
            </w:pPr>
          </w:p>
        </w:tc>
      </w:tr>
      <w:tr w:rsidR="00480403" w:rsidRPr="00426739" w14:paraId="33C04658" w14:textId="77777777" w:rsidTr="008C3F8A">
        <w:tc>
          <w:tcPr>
            <w:tcW w:w="3235" w:type="dxa"/>
          </w:tcPr>
          <w:p w14:paraId="06D38C76"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 xml:space="preserve">   0</w:t>
            </w:r>
          </w:p>
        </w:tc>
        <w:tc>
          <w:tcPr>
            <w:tcW w:w="2070" w:type="dxa"/>
          </w:tcPr>
          <w:p w14:paraId="7CC04B4D"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74,912 (58.9%)</w:t>
            </w:r>
          </w:p>
        </w:tc>
        <w:tc>
          <w:tcPr>
            <w:tcW w:w="1985" w:type="dxa"/>
          </w:tcPr>
          <w:p w14:paraId="7815D144"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37,456 (58.9%)</w:t>
            </w:r>
          </w:p>
        </w:tc>
        <w:tc>
          <w:tcPr>
            <w:tcW w:w="2065" w:type="dxa"/>
          </w:tcPr>
          <w:p w14:paraId="780A0720"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37,456 (58.9%)</w:t>
            </w:r>
          </w:p>
        </w:tc>
      </w:tr>
      <w:tr w:rsidR="00480403" w:rsidRPr="00426739" w14:paraId="09943302" w14:textId="77777777" w:rsidTr="008C3F8A">
        <w:tc>
          <w:tcPr>
            <w:tcW w:w="3235" w:type="dxa"/>
          </w:tcPr>
          <w:p w14:paraId="72577136"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lastRenderedPageBreak/>
              <w:t xml:space="preserve">   1</w:t>
            </w:r>
          </w:p>
        </w:tc>
        <w:tc>
          <w:tcPr>
            <w:tcW w:w="2070" w:type="dxa"/>
          </w:tcPr>
          <w:p w14:paraId="1F9F1D41"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30,228 (23.8%)</w:t>
            </w:r>
          </w:p>
        </w:tc>
        <w:tc>
          <w:tcPr>
            <w:tcW w:w="1985" w:type="dxa"/>
          </w:tcPr>
          <w:p w14:paraId="36320B2C"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15,114 (23.8%)</w:t>
            </w:r>
          </w:p>
        </w:tc>
        <w:tc>
          <w:tcPr>
            <w:tcW w:w="2065" w:type="dxa"/>
          </w:tcPr>
          <w:p w14:paraId="38E3788B"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15,114 (23.8%)</w:t>
            </w:r>
          </w:p>
        </w:tc>
      </w:tr>
      <w:tr w:rsidR="00480403" w:rsidRPr="00426739" w14:paraId="4CACCCC2" w14:textId="77777777" w:rsidTr="008C3F8A">
        <w:tc>
          <w:tcPr>
            <w:tcW w:w="3235" w:type="dxa"/>
          </w:tcPr>
          <w:p w14:paraId="15758448"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 xml:space="preserve">   2</w:t>
            </w:r>
          </w:p>
        </w:tc>
        <w:tc>
          <w:tcPr>
            <w:tcW w:w="2070" w:type="dxa"/>
          </w:tcPr>
          <w:p w14:paraId="58608C9B"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14,680 (11.5%)</w:t>
            </w:r>
          </w:p>
        </w:tc>
        <w:tc>
          <w:tcPr>
            <w:tcW w:w="1985" w:type="dxa"/>
          </w:tcPr>
          <w:p w14:paraId="0AFEF6F8"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7,340 (11.5%)</w:t>
            </w:r>
          </w:p>
        </w:tc>
        <w:tc>
          <w:tcPr>
            <w:tcW w:w="2065" w:type="dxa"/>
          </w:tcPr>
          <w:p w14:paraId="725547B5"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7,340 (11.5%)</w:t>
            </w:r>
          </w:p>
        </w:tc>
      </w:tr>
      <w:tr w:rsidR="00480403" w:rsidRPr="00426739" w14:paraId="44881287" w14:textId="77777777" w:rsidTr="008C3F8A">
        <w:tc>
          <w:tcPr>
            <w:tcW w:w="3235" w:type="dxa"/>
          </w:tcPr>
          <w:p w14:paraId="1C381ECC"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 xml:space="preserve">   3</w:t>
            </w:r>
          </w:p>
        </w:tc>
        <w:tc>
          <w:tcPr>
            <w:tcW w:w="2070" w:type="dxa"/>
          </w:tcPr>
          <w:p w14:paraId="3002364D"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5,076 (4.0%)</w:t>
            </w:r>
          </w:p>
        </w:tc>
        <w:tc>
          <w:tcPr>
            <w:tcW w:w="1985" w:type="dxa"/>
          </w:tcPr>
          <w:p w14:paraId="5FE9F8AB"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2,538 (4.0%)</w:t>
            </w:r>
          </w:p>
        </w:tc>
        <w:tc>
          <w:tcPr>
            <w:tcW w:w="2065" w:type="dxa"/>
          </w:tcPr>
          <w:p w14:paraId="2DF5AA03"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2,538 (4.0%)</w:t>
            </w:r>
          </w:p>
        </w:tc>
      </w:tr>
      <w:tr w:rsidR="00480403" w:rsidRPr="00426739" w14:paraId="61391AD9" w14:textId="77777777" w:rsidTr="008C3F8A">
        <w:tc>
          <w:tcPr>
            <w:tcW w:w="3235" w:type="dxa"/>
          </w:tcPr>
          <w:p w14:paraId="333B8BED" w14:textId="77777777" w:rsidR="00480403" w:rsidRPr="00426739" w:rsidRDefault="00480403" w:rsidP="00B928F2">
            <w:pPr>
              <w:spacing w:line="480" w:lineRule="auto"/>
              <w:rPr>
                <w:rFonts w:asciiTheme="minorHAnsi" w:hAnsiTheme="minorHAnsi" w:cstheme="minorHAnsi"/>
                <w:sz w:val="18"/>
                <w:szCs w:val="18"/>
              </w:rPr>
            </w:pPr>
            <w:r w:rsidRPr="00426739">
              <w:rPr>
                <w:rFonts w:asciiTheme="minorHAnsi" w:hAnsiTheme="minorHAnsi" w:cstheme="minorHAnsi"/>
                <w:sz w:val="18"/>
                <w:lang w:val="en-US"/>
              </w:rPr>
              <w:t xml:space="preserve">   4+</w:t>
            </w:r>
          </w:p>
        </w:tc>
        <w:tc>
          <w:tcPr>
            <w:tcW w:w="2070" w:type="dxa"/>
          </w:tcPr>
          <w:p w14:paraId="0E73D67F"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2,320 (1.8%)</w:t>
            </w:r>
          </w:p>
        </w:tc>
        <w:tc>
          <w:tcPr>
            <w:tcW w:w="1985" w:type="dxa"/>
          </w:tcPr>
          <w:p w14:paraId="0CF87FFC"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1,160 (1.8%)</w:t>
            </w:r>
          </w:p>
        </w:tc>
        <w:tc>
          <w:tcPr>
            <w:tcW w:w="2065" w:type="dxa"/>
          </w:tcPr>
          <w:p w14:paraId="3452A2B7"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1,160 (1.8%)</w:t>
            </w:r>
          </w:p>
        </w:tc>
      </w:tr>
      <w:tr w:rsidR="00480403" w:rsidRPr="00426739" w14:paraId="778E04BF" w14:textId="77777777" w:rsidTr="008C3F8A">
        <w:tc>
          <w:tcPr>
            <w:tcW w:w="3235" w:type="dxa"/>
          </w:tcPr>
          <w:p w14:paraId="66C7E4E6" w14:textId="77777777" w:rsidR="00480403" w:rsidRPr="00426739" w:rsidRDefault="00480403" w:rsidP="00B928F2">
            <w:pPr>
              <w:spacing w:line="480" w:lineRule="auto"/>
              <w:rPr>
                <w:rFonts w:asciiTheme="minorHAnsi" w:hAnsiTheme="minorHAnsi" w:cstheme="minorHAnsi"/>
                <w:b/>
                <w:sz w:val="18"/>
                <w:szCs w:val="18"/>
                <w:lang w:val="en-US"/>
              </w:rPr>
            </w:pPr>
            <w:r w:rsidRPr="00426739">
              <w:rPr>
                <w:rFonts w:asciiTheme="minorHAnsi" w:hAnsiTheme="minorHAnsi" w:cstheme="minorHAnsi"/>
                <w:b/>
                <w:sz w:val="18"/>
                <w:lang w:val="en-US"/>
              </w:rPr>
              <w:t>IMD decile</w:t>
            </w:r>
            <w:r>
              <w:rPr>
                <w:rFonts w:asciiTheme="minorHAnsi" w:hAnsiTheme="minorHAnsi" w:cstheme="minorHAnsi"/>
                <w:b/>
                <w:sz w:val="18"/>
                <w:lang w:val="en-US"/>
              </w:rPr>
              <w:t xml:space="preserve"> [</w:t>
            </w:r>
            <w:proofErr w:type="gramStart"/>
            <w:r>
              <w:rPr>
                <w:rFonts w:asciiTheme="minorHAnsi" w:hAnsiTheme="minorHAnsi" w:cstheme="minorHAnsi"/>
                <w:b/>
                <w:sz w:val="18"/>
                <w:lang w:val="en-US"/>
              </w:rPr>
              <w:t>n(</w:t>
            </w:r>
            <w:proofErr w:type="gramEnd"/>
            <w:r>
              <w:rPr>
                <w:rFonts w:asciiTheme="minorHAnsi" w:hAnsiTheme="minorHAnsi" w:cstheme="minorHAnsi"/>
                <w:b/>
                <w:sz w:val="18"/>
                <w:lang w:val="en-US"/>
              </w:rPr>
              <w:t>%)]</w:t>
            </w:r>
          </w:p>
        </w:tc>
        <w:tc>
          <w:tcPr>
            <w:tcW w:w="2070" w:type="dxa"/>
          </w:tcPr>
          <w:p w14:paraId="1DA5453E" w14:textId="77777777" w:rsidR="00480403" w:rsidRPr="00426739" w:rsidRDefault="00480403" w:rsidP="00B928F2">
            <w:pPr>
              <w:spacing w:line="480" w:lineRule="auto"/>
              <w:rPr>
                <w:rFonts w:asciiTheme="minorHAnsi" w:hAnsiTheme="minorHAnsi" w:cstheme="minorHAnsi"/>
                <w:sz w:val="18"/>
                <w:szCs w:val="18"/>
                <w:lang w:val="en-US"/>
              </w:rPr>
            </w:pPr>
          </w:p>
        </w:tc>
        <w:tc>
          <w:tcPr>
            <w:tcW w:w="1985" w:type="dxa"/>
          </w:tcPr>
          <w:p w14:paraId="685E0E66" w14:textId="77777777" w:rsidR="00480403" w:rsidRPr="00426739" w:rsidRDefault="00480403" w:rsidP="00B928F2">
            <w:pPr>
              <w:spacing w:line="480" w:lineRule="auto"/>
              <w:rPr>
                <w:rFonts w:asciiTheme="minorHAnsi" w:hAnsiTheme="minorHAnsi" w:cstheme="minorHAnsi"/>
                <w:sz w:val="18"/>
                <w:szCs w:val="18"/>
                <w:lang w:val="en-US"/>
              </w:rPr>
            </w:pPr>
          </w:p>
        </w:tc>
        <w:tc>
          <w:tcPr>
            <w:tcW w:w="2065" w:type="dxa"/>
          </w:tcPr>
          <w:p w14:paraId="7B5B45B4" w14:textId="77777777" w:rsidR="00480403" w:rsidRPr="00426739" w:rsidRDefault="00480403" w:rsidP="00B928F2">
            <w:pPr>
              <w:spacing w:line="480" w:lineRule="auto"/>
              <w:rPr>
                <w:rFonts w:asciiTheme="minorHAnsi" w:hAnsiTheme="minorHAnsi" w:cstheme="minorHAnsi"/>
                <w:sz w:val="18"/>
                <w:szCs w:val="18"/>
                <w:lang w:val="en-US"/>
              </w:rPr>
            </w:pPr>
          </w:p>
        </w:tc>
      </w:tr>
      <w:tr w:rsidR="00480403" w:rsidRPr="00426739" w14:paraId="21B828AB" w14:textId="77777777" w:rsidTr="008C3F8A">
        <w:tc>
          <w:tcPr>
            <w:tcW w:w="3235" w:type="dxa"/>
          </w:tcPr>
          <w:p w14:paraId="1E59050E"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 xml:space="preserve">   1</w:t>
            </w:r>
          </w:p>
        </w:tc>
        <w:tc>
          <w:tcPr>
            <w:tcW w:w="2070" w:type="dxa"/>
          </w:tcPr>
          <w:p w14:paraId="5823B2B1"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1,372 (1.1%)</w:t>
            </w:r>
          </w:p>
        </w:tc>
        <w:tc>
          <w:tcPr>
            <w:tcW w:w="1985" w:type="dxa"/>
          </w:tcPr>
          <w:p w14:paraId="6C8B0A83"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686 (1.1%)</w:t>
            </w:r>
          </w:p>
        </w:tc>
        <w:tc>
          <w:tcPr>
            <w:tcW w:w="2065" w:type="dxa"/>
          </w:tcPr>
          <w:p w14:paraId="2D1F381B"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686 (1.1%)</w:t>
            </w:r>
          </w:p>
        </w:tc>
      </w:tr>
      <w:tr w:rsidR="00480403" w:rsidRPr="00426739" w14:paraId="3F2DC1F5" w14:textId="77777777" w:rsidTr="008C3F8A">
        <w:tc>
          <w:tcPr>
            <w:tcW w:w="3235" w:type="dxa"/>
          </w:tcPr>
          <w:p w14:paraId="30FCFF30"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 xml:space="preserve">   2</w:t>
            </w:r>
          </w:p>
        </w:tc>
        <w:tc>
          <w:tcPr>
            <w:tcW w:w="2070" w:type="dxa"/>
          </w:tcPr>
          <w:p w14:paraId="74D6B0D2"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12,308 (9.7%)</w:t>
            </w:r>
          </w:p>
        </w:tc>
        <w:tc>
          <w:tcPr>
            <w:tcW w:w="1985" w:type="dxa"/>
          </w:tcPr>
          <w:p w14:paraId="6B4A6711"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6,154 (9.7%)</w:t>
            </w:r>
          </w:p>
        </w:tc>
        <w:tc>
          <w:tcPr>
            <w:tcW w:w="2065" w:type="dxa"/>
          </w:tcPr>
          <w:p w14:paraId="2060DDE8"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6,154 (9.7%)</w:t>
            </w:r>
          </w:p>
        </w:tc>
      </w:tr>
      <w:tr w:rsidR="00480403" w:rsidRPr="00426739" w14:paraId="40860F2F" w14:textId="77777777" w:rsidTr="008C3F8A">
        <w:tc>
          <w:tcPr>
            <w:tcW w:w="3235" w:type="dxa"/>
          </w:tcPr>
          <w:p w14:paraId="5976A214"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 xml:space="preserve">   3</w:t>
            </w:r>
          </w:p>
        </w:tc>
        <w:tc>
          <w:tcPr>
            <w:tcW w:w="2070" w:type="dxa"/>
          </w:tcPr>
          <w:p w14:paraId="3734BD72"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19,244 (15.1%)</w:t>
            </w:r>
          </w:p>
        </w:tc>
        <w:tc>
          <w:tcPr>
            <w:tcW w:w="1985" w:type="dxa"/>
          </w:tcPr>
          <w:p w14:paraId="7D5492A1"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9,622 (15.1%)</w:t>
            </w:r>
          </w:p>
        </w:tc>
        <w:tc>
          <w:tcPr>
            <w:tcW w:w="2065" w:type="dxa"/>
          </w:tcPr>
          <w:p w14:paraId="308A30FC"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9,622 (15.1%)</w:t>
            </w:r>
          </w:p>
        </w:tc>
      </w:tr>
      <w:tr w:rsidR="00480403" w:rsidRPr="00426739" w14:paraId="7F71BD4C" w14:textId="77777777" w:rsidTr="008C3F8A">
        <w:tc>
          <w:tcPr>
            <w:tcW w:w="3235" w:type="dxa"/>
          </w:tcPr>
          <w:p w14:paraId="72015D88"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 xml:space="preserve">   4</w:t>
            </w:r>
          </w:p>
        </w:tc>
        <w:tc>
          <w:tcPr>
            <w:tcW w:w="2070" w:type="dxa"/>
          </w:tcPr>
          <w:p w14:paraId="396E13FB"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22,548 (17.7%)</w:t>
            </w:r>
          </w:p>
        </w:tc>
        <w:tc>
          <w:tcPr>
            <w:tcW w:w="1985" w:type="dxa"/>
          </w:tcPr>
          <w:p w14:paraId="4F015B79"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11,274 (17.7%)</w:t>
            </w:r>
          </w:p>
        </w:tc>
        <w:tc>
          <w:tcPr>
            <w:tcW w:w="2065" w:type="dxa"/>
          </w:tcPr>
          <w:p w14:paraId="021F2241"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11,274 (17.7%)</w:t>
            </w:r>
          </w:p>
        </w:tc>
      </w:tr>
      <w:tr w:rsidR="00480403" w:rsidRPr="00426739" w14:paraId="39CC44F7" w14:textId="77777777" w:rsidTr="008C3F8A">
        <w:tc>
          <w:tcPr>
            <w:tcW w:w="3235" w:type="dxa"/>
          </w:tcPr>
          <w:p w14:paraId="49781AD3"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 xml:space="preserve">   5</w:t>
            </w:r>
          </w:p>
        </w:tc>
        <w:tc>
          <w:tcPr>
            <w:tcW w:w="2070" w:type="dxa"/>
          </w:tcPr>
          <w:p w14:paraId="1FA9F821"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20,804 (16.4%)</w:t>
            </w:r>
          </w:p>
        </w:tc>
        <w:tc>
          <w:tcPr>
            <w:tcW w:w="1985" w:type="dxa"/>
          </w:tcPr>
          <w:p w14:paraId="56A0DDE8"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10,402 (16.4%)</w:t>
            </w:r>
          </w:p>
        </w:tc>
        <w:tc>
          <w:tcPr>
            <w:tcW w:w="2065" w:type="dxa"/>
          </w:tcPr>
          <w:p w14:paraId="746DF7E7"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10,402 (16.4%)</w:t>
            </w:r>
          </w:p>
        </w:tc>
      </w:tr>
      <w:tr w:rsidR="00480403" w:rsidRPr="00426739" w14:paraId="39696F64" w14:textId="77777777" w:rsidTr="008C3F8A">
        <w:tc>
          <w:tcPr>
            <w:tcW w:w="3235" w:type="dxa"/>
          </w:tcPr>
          <w:p w14:paraId="6C7E8EDF"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 xml:space="preserve">   6</w:t>
            </w:r>
          </w:p>
        </w:tc>
        <w:tc>
          <w:tcPr>
            <w:tcW w:w="2070" w:type="dxa"/>
          </w:tcPr>
          <w:p w14:paraId="4E3BE45E"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17,396 (13.7%)</w:t>
            </w:r>
          </w:p>
        </w:tc>
        <w:tc>
          <w:tcPr>
            <w:tcW w:w="1985" w:type="dxa"/>
          </w:tcPr>
          <w:p w14:paraId="6AB4BE97"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8,698 (13.7%)</w:t>
            </w:r>
          </w:p>
        </w:tc>
        <w:tc>
          <w:tcPr>
            <w:tcW w:w="2065" w:type="dxa"/>
          </w:tcPr>
          <w:p w14:paraId="33009BE5"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8,698 (13.7%)</w:t>
            </w:r>
          </w:p>
        </w:tc>
      </w:tr>
      <w:tr w:rsidR="00480403" w:rsidRPr="00426739" w14:paraId="4A56B1C5" w14:textId="77777777" w:rsidTr="008C3F8A">
        <w:tc>
          <w:tcPr>
            <w:tcW w:w="3235" w:type="dxa"/>
          </w:tcPr>
          <w:p w14:paraId="1CE328F2"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 xml:space="preserve">   7</w:t>
            </w:r>
          </w:p>
        </w:tc>
        <w:tc>
          <w:tcPr>
            <w:tcW w:w="2070" w:type="dxa"/>
          </w:tcPr>
          <w:p w14:paraId="51A688AE"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11,828 (9.3%)</w:t>
            </w:r>
          </w:p>
        </w:tc>
        <w:tc>
          <w:tcPr>
            <w:tcW w:w="1985" w:type="dxa"/>
          </w:tcPr>
          <w:p w14:paraId="7CD660F6"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5,914 (9.3%)</w:t>
            </w:r>
          </w:p>
        </w:tc>
        <w:tc>
          <w:tcPr>
            <w:tcW w:w="2065" w:type="dxa"/>
          </w:tcPr>
          <w:p w14:paraId="4752B0D5"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5,914 (9.3%)</w:t>
            </w:r>
          </w:p>
        </w:tc>
      </w:tr>
      <w:tr w:rsidR="00480403" w:rsidRPr="00426739" w14:paraId="2CAD3E32" w14:textId="77777777" w:rsidTr="008C3F8A">
        <w:tc>
          <w:tcPr>
            <w:tcW w:w="3235" w:type="dxa"/>
          </w:tcPr>
          <w:p w14:paraId="7AEEBCF6"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 xml:space="preserve">   8</w:t>
            </w:r>
          </w:p>
        </w:tc>
        <w:tc>
          <w:tcPr>
            <w:tcW w:w="2070" w:type="dxa"/>
          </w:tcPr>
          <w:p w14:paraId="33D426E0"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11,896 (9.4%)</w:t>
            </w:r>
          </w:p>
        </w:tc>
        <w:tc>
          <w:tcPr>
            <w:tcW w:w="1985" w:type="dxa"/>
          </w:tcPr>
          <w:p w14:paraId="6CE41C70"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5,948 (9.4%)</w:t>
            </w:r>
          </w:p>
        </w:tc>
        <w:tc>
          <w:tcPr>
            <w:tcW w:w="2065" w:type="dxa"/>
          </w:tcPr>
          <w:p w14:paraId="0623F651"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5,948 (9.4%)</w:t>
            </w:r>
          </w:p>
        </w:tc>
      </w:tr>
      <w:tr w:rsidR="00480403" w:rsidRPr="00426739" w14:paraId="1A19FB43" w14:textId="77777777" w:rsidTr="008C3F8A">
        <w:tc>
          <w:tcPr>
            <w:tcW w:w="3235" w:type="dxa"/>
          </w:tcPr>
          <w:p w14:paraId="0D37C38F"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 xml:space="preserve">   9</w:t>
            </w:r>
          </w:p>
        </w:tc>
        <w:tc>
          <w:tcPr>
            <w:tcW w:w="2070" w:type="dxa"/>
          </w:tcPr>
          <w:p w14:paraId="2F55EBB0"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7,206 (5.7%)</w:t>
            </w:r>
          </w:p>
        </w:tc>
        <w:tc>
          <w:tcPr>
            <w:tcW w:w="1985" w:type="dxa"/>
          </w:tcPr>
          <w:p w14:paraId="0E3F9542"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3,603 (5.7%)</w:t>
            </w:r>
          </w:p>
        </w:tc>
        <w:tc>
          <w:tcPr>
            <w:tcW w:w="2065" w:type="dxa"/>
          </w:tcPr>
          <w:p w14:paraId="384DC20B"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3,603 (5.7%)</w:t>
            </w:r>
          </w:p>
        </w:tc>
      </w:tr>
      <w:tr w:rsidR="00480403" w:rsidRPr="00426739" w14:paraId="1FEC5F59" w14:textId="77777777" w:rsidTr="008C3F8A">
        <w:tc>
          <w:tcPr>
            <w:tcW w:w="3235" w:type="dxa"/>
          </w:tcPr>
          <w:p w14:paraId="71C8F5F4"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 xml:space="preserve">   10</w:t>
            </w:r>
          </w:p>
        </w:tc>
        <w:tc>
          <w:tcPr>
            <w:tcW w:w="2070" w:type="dxa"/>
          </w:tcPr>
          <w:p w14:paraId="45908FD2"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2,614 (2.1%)</w:t>
            </w:r>
          </w:p>
        </w:tc>
        <w:tc>
          <w:tcPr>
            <w:tcW w:w="1985" w:type="dxa"/>
          </w:tcPr>
          <w:p w14:paraId="55EA40A2"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1,307 (2.1%)</w:t>
            </w:r>
          </w:p>
        </w:tc>
        <w:tc>
          <w:tcPr>
            <w:tcW w:w="2065" w:type="dxa"/>
          </w:tcPr>
          <w:p w14:paraId="16BE5C6C"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1,307 (2.1%)</w:t>
            </w:r>
          </w:p>
        </w:tc>
      </w:tr>
      <w:tr w:rsidR="00480403" w:rsidRPr="00426739" w14:paraId="735080B9" w14:textId="77777777" w:rsidTr="008C3F8A">
        <w:tc>
          <w:tcPr>
            <w:tcW w:w="3235" w:type="dxa"/>
          </w:tcPr>
          <w:p w14:paraId="4A129114" w14:textId="77777777" w:rsidR="00480403" w:rsidRPr="00426739" w:rsidRDefault="00480403" w:rsidP="00B928F2">
            <w:pPr>
              <w:spacing w:line="480" w:lineRule="auto"/>
              <w:rPr>
                <w:rFonts w:asciiTheme="minorHAnsi" w:hAnsiTheme="minorHAnsi" w:cstheme="minorHAnsi"/>
                <w:b/>
                <w:sz w:val="18"/>
                <w:szCs w:val="18"/>
                <w:lang w:val="en-US"/>
              </w:rPr>
            </w:pPr>
            <w:r w:rsidRPr="00426739">
              <w:rPr>
                <w:rFonts w:asciiTheme="minorHAnsi" w:hAnsiTheme="minorHAnsi" w:cstheme="minorHAnsi"/>
                <w:b/>
                <w:sz w:val="18"/>
                <w:lang w:val="en-US"/>
              </w:rPr>
              <w:t>Number of tests before week of matching</w:t>
            </w:r>
            <w:r>
              <w:rPr>
                <w:rFonts w:asciiTheme="minorHAnsi" w:hAnsiTheme="minorHAnsi" w:cstheme="minorHAnsi"/>
                <w:b/>
                <w:sz w:val="18"/>
                <w:lang w:val="en-US"/>
              </w:rPr>
              <w:t xml:space="preserve"> [</w:t>
            </w:r>
            <w:proofErr w:type="gramStart"/>
            <w:r>
              <w:rPr>
                <w:rFonts w:asciiTheme="minorHAnsi" w:hAnsiTheme="minorHAnsi" w:cstheme="minorHAnsi"/>
                <w:b/>
                <w:sz w:val="18"/>
                <w:lang w:val="en-US"/>
              </w:rPr>
              <w:t>n(</w:t>
            </w:r>
            <w:proofErr w:type="gramEnd"/>
            <w:r>
              <w:rPr>
                <w:rFonts w:asciiTheme="minorHAnsi" w:hAnsiTheme="minorHAnsi" w:cstheme="minorHAnsi"/>
                <w:b/>
                <w:sz w:val="18"/>
                <w:lang w:val="en-US"/>
              </w:rPr>
              <w:t>%)]</w:t>
            </w:r>
          </w:p>
        </w:tc>
        <w:tc>
          <w:tcPr>
            <w:tcW w:w="2070" w:type="dxa"/>
          </w:tcPr>
          <w:p w14:paraId="45548B80" w14:textId="77777777" w:rsidR="00480403" w:rsidRPr="00426739" w:rsidRDefault="00480403" w:rsidP="00B928F2">
            <w:pPr>
              <w:spacing w:line="480" w:lineRule="auto"/>
              <w:rPr>
                <w:rFonts w:asciiTheme="minorHAnsi" w:hAnsiTheme="minorHAnsi" w:cstheme="minorHAnsi"/>
                <w:sz w:val="18"/>
                <w:szCs w:val="18"/>
                <w:lang w:val="en-US"/>
              </w:rPr>
            </w:pPr>
          </w:p>
        </w:tc>
        <w:tc>
          <w:tcPr>
            <w:tcW w:w="1985" w:type="dxa"/>
          </w:tcPr>
          <w:p w14:paraId="5778822B" w14:textId="77777777" w:rsidR="00480403" w:rsidRPr="00426739" w:rsidRDefault="00480403" w:rsidP="00B928F2">
            <w:pPr>
              <w:spacing w:line="480" w:lineRule="auto"/>
              <w:rPr>
                <w:rFonts w:asciiTheme="minorHAnsi" w:hAnsiTheme="minorHAnsi" w:cstheme="minorHAnsi"/>
                <w:sz w:val="18"/>
                <w:szCs w:val="18"/>
                <w:lang w:val="en-US"/>
              </w:rPr>
            </w:pPr>
          </w:p>
        </w:tc>
        <w:tc>
          <w:tcPr>
            <w:tcW w:w="2065" w:type="dxa"/>
          </w:tcPr>
          <w:p w14:paraId="45268F33" w14:textId="77777777" w:rsidR="00480403" w:rsidRPr="00426739" w:rsidRDefault="00480403" w:rsidP="00B928F2">
            <w:pPr>
              <w:spacing w:line="480" w:lineRule="auto"/>
              <w:rPr>
                <w:rFonts w:asciiTheme="minorHAnsi" w:hAnsiTheme="minorHAnsi" w:cstheme="minorHAnsi"/>
                <w:sz w:val="18"/>
                <w:szCs w:val="18"/>
                <w:lang w:val="en-US"/>
              </w:rPr>
            </w:pPr>
          </w:p>
        </w:tc>
      </w:tr>
      <w:tr w:rsidR="00480403" w:rsidRPr="00426739" w14:paraId="09731EE4" w14:textId="77777777" w:rsidTr="008C3F8A">
        <w:tc>
          <w:tcPr>
            <w:tcW w:w="3235" w:type="dxa"/>
          </w:tcPr>
          <w:p w14:paraId="72673A4E"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 xml:space="preserve">   0</w:t>
            </w:r>
          </w:p>
        </w:tc>
        <w:tc>
          <w:tcPr>
            <w:tcW w:w="2070" w:type="dxa"/>
          </w:tcPr>
          <w:p w14:paraId="7D34C156"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124,566 (97.9%)</w:t>
            </w:r>
          </w:p>
        </w:tc>
        <w:tc>
          <w:tcPr>
            <w:tcW w:w="1985" w:type="dxa"/>
          </w:tcPr>
          <w:p w14:paraId="6BE9FBF2"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62,283 (97.9%)</w:t>
            </w:r>
          </w:p>
        </w:tc>
        <w:tc>
          <w:tcPr>
            <w:tcW w:w="2065" w:type="dxa"/>
          </w:tcPr>
          <w:p w14:paraId="0A736EED"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62,283 (97.9%)</w:t>
            </w:r>
          </w:p>
        </w:tc>
      </w:tr>
      <w:tr w:rsidR="00480403" w:rsidRPr="00426739" w14:paraId="1113E083" w14:textId="77777777" w:rsidTr="008C3F8A">
        <w:tc>
          <w:tcPr>
            <w:tcW w:w="3235" w:type="dxa"/>
          </w:tcPr>
          <w:p w14:paraId="2074CB6D"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 xml:space="preserve">   1</w:t>
            </w:r>
          </w:p>
        </w:tc>
        <w:tc>
          <w:tcPr>
            <w:tcW w:w="2070" w:type="dxa"/>
          </w:tcPr>
          <w:p w14:paraId="3BACC9B9"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2,394 (1.9%)</w:t>
            </w:r>
          </w:p>
        </w:tc>
        <w:tc>
          <w:tcPr>
            <w:tcW w:w="1985" w:type="dxa"/>
          </w:tcPr>
          <w:p w14:paraId="6EC38FBA"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1,197 (1.9%)</w:t>
            </w:r>
          </w:p>
        </w:tc>
        <w:tc>
          <w:tcPr>
            <w:tcW w:w="2065" w:type="dxa"/>
          </w:tcPr>
          <w:p w14:paraId="5F6DC463"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1,197 (1.9%)</w:t>
            </w:r>
          </w:p>
        </w:tc>
      </w:tr>
      <w:tr w:rsidR="00480403" w:rsidRPr="00426739" w14:paraId="7A81A2D4" w14:textId="77777777" w:rsidTr="008C3F8A">
        <w:tc>
          <w:tcPr>
            <w:tcW w:w="3235" w:type="dxa"/>
          </w:tcPr>
          <w:p w14:paraId="4298AD33"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 xml:space="preserve">   2+</w:t>
            </w:r>
          </w:p>
        </w:tc>
        <w:tc>
          <w:tcPr>
            <w:tcW w:w="2070" w:type="dxa"/>
          </w:tcPr>
          <w:p w14:paraId="76394C6D"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256 (0.2%)</w:t>
            </w:r>
          </w:p>
        </w:tc>
        <w:tc>
          <w:tcPr>
            <w:tcW w:w="1985" w:type="dxa"/>
          </w:tcPr>
          <w:p w14:paraId="0F35D5B5"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128 (0.2%)</w:t>
            </w:r>
          </w:p>
        </w:tc>
        <w:tc>
          <w:tcPr>
            <w:tcW w:w="2065" w:type="dxa"/>
          </w:tcPr>
          <w:p w14:paraId="1F5427A5"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128 (0.2%)</w:t>
            </w:r>
          </w:p>
        </w:tc>
      </w:tr>
      <w:tr w:rsidR="00480403" w:rsidRPr="00426739" w14:paraId="09D14844" w14:textId="77777777" w:rsidTr="008C3F8A">
        <w:tc>
          <w:tcPr>
            <w:tcW w:w="3235" w:type="dxa"/>
          </w:tcPr>
          <w:p w14:paraId="5A50A091" w14:textId="77777777" w:rsidR="00480403" w:rsidRPr="00426739" w:rsidRDefault="00480403" w:rsidP="00B928F2">
            <w:pPr>
              <w:spacing w:line="480" w:lineRule="auto"/>
              <w:rPr>
                <w:rFonts w:asciiTheme="minorHAnsi" w:hAnsiTheme="minorHAnsi" w:cstheme="minorHAnsi"/>
                <w:b/>
                <w:sz w:val="18"/>
                <w:szCs w:val="18"/>
                <w:lang w:val="en-US"/>
              </w:rPr>
            </w:pPr>
            <w:r w:rsidRPr="00426739">
              <w:rPr>
                <w:rFonts w:asciiTheme="minorHAnsi" w:hAnsiTheme="minorHAnsi" w:cstheme="minorHAnsi"/>
                <w:b/>
                <w:sz w:val="18"/>
                <w:lang w:val="en-US"/>
              </w:rPr>
              <w:t>Comorbidities</w:t>
            </w:r>
            <w:r>
              <w:rPr>
                <w:rFonts w:asciiTheme="minorHAnsi" w:hAnsiTheme="minorHAnsi" w:cstheme="minorHAnsi"/>
                <w:b/>
                <w:sz w:val="18"/>
                <w:lang w:val="en-US"/>
              </w:rPr>
              <w:t xml:space="preserve"> [</w:t>
            </w:r>
            <w:proofErr w:type="gramStart"/>
            <w:r>
              <w:rPr>
                <w:rFonts w:asciiTheme="minorHAnsi" w:hAnsiTheme="minorHAnsi" w:cstheme="minorHAnsi"/>
                <w:b/>
                <w:sz w:val="18"/>
                <w:lang w:val="en-US"/>
              </w:rPr>
              <w:t>n(</w:t>
            </w:r>
            <w:proofErr w:type="gramEnd"/>
            <w:r>
              <w:rPr>
                <w:rFonts w:asciiTheme="minorHAnsi" w:hAnsiTheme="minorHAnsi" w:cstheme="minorHAnsi"/>
                <w:b/>
                <w:sz w:val="18"/>
                <w:lang w:val="en-US"/>
              </w:rPr>
              <w:t>%)]</w:t>
            </w:r>
          </w:p>
        </w:tc>
        <w:tc>
          <w:tcPr>
            <w:tcW w:w="2070" w:type="dxa"/>
          </w:tcPr>
          <w:p w14:paraId="622CB6C3" w14:textId="77777777" w:rsidR="00480403" w:rsidRPr="00426739" w:rsidRDefault="00480403" w:rsidP="00B928F2">
            <w:pPr>
              <w:spacing w:line="480" w:lineRule="auto"/>
              <w:rPr>
                <w:rFonts w:asciiTheme="minorHAnsi" w:hAnsiTheme="minorHAnsi" w:cstheme="minorHAnsi"/>
                <w:sz w:val="18"/>
                <w:szCs w:val="18"/>
                <w:lang w:val="en-US"/>
              </w:rPr>
            </w:pPr>
          </w:p>
        </w:tc>
        <w:tc>
          <w:tcPr>
            <w:tcW w:w="1985" w:type="dxa"/>
          </w:tcPr>
          <w:p w14:paraId="686C39BE" w14:textId="77777777" w:rsidR="00480403" w:rsidRPr="00426739" w:rsidRDefault="00480403" w:rsidP="00B928F2">
            <w:pPr>
              <w:spacing w:line="480" w:lineRule="auto"/>
              <w:rPr>
                <w:rFonts w:asciiTheme="minorHAnsi" w:hAnsiTheme="minorHAnsi" w:cstheme="minorHAnsi"/>
                <w:sz w:val="18"/>
                <w:szCs w:val="18"/>
                <w:lang w:val="en-US"/>
              </w:rPr>
            </w:pPr>
          </w:p>
        </w:tc>
        <w:tc>
          <w:tcPr>
            <w:tcW w:w="2065" w:type="dxa"/>
          </w:tcPr>
          <w:p w14:paraId="1AF0253D" w14:textId="77777777" w:rsidR="00480403" w:rsidRPr="00426739" w:rsidRDefault="00480403" w:rsidP="00B928F2">
            <w:pPr>
              <w:spacing w:line="480" w:lineRule="auto"/>
              <w:rPr>
                <w:rFonts w:asciiTheme="minorHAnsi" w:hAnsiTheme="minorHAnsi" w:cstheme="minorHAnsi"/>
                <w:sz w:val="18"/>
                <w:szCs w:val="18"/>
                <w:lang w:val="en-US"/>
              </w:rPr>
            </w:pPr>
          </w:p>
        </w:tc>
      </w:tr>
      <w:tr w:rsidR="00480403" w:rsidRPr="00426739" w14:paraId="7D3E9985" w14:textId="77777777" w:rsidTr="008C3F8A">
        <w:tc>
          <w:tcPr>
            <w:tcW w:w="3235" w:type="dxa"/>
          </w:tcPr>
          <w:p w14:paraId="3CCE0789" w14:textId="77777777" w:rsidR="00480403" w:rsidRPr="00426739" w:rsidRDefault="00480403" w:rsidP="00B928F2">
            <w:pPr>
              <w:spacing w:line="480" w:lineRule="auto"/>
              <w:rPr>
                <w:rFonts w:asciiTheme="minorHAnsi" w:hAnsiTheme="minorHAnsi" w:cstheme="minorHAnsi"/>
                <w:b/>
                <w:sz w:val="18"/>
                <w:lang w:val="en-US"/>
              </w:rPr>
            </w:pPr>
            <w:r w:rsidRPr="00426739">
              <w:rPr>
                <w:rFonts w:asciiTheme="minorHAnsi" w:hAnsiTheme="minorHAnsi" w:cstheme="minorHAnsi"/>
                <w:sz w:val="18"/>
                <w:lang w:val="en-US"/>
              </w:rPr>
              <w:t xml:space="preserve">   Anxiety</w:t>
            </w:r>
          </w:p>
        </w:tc>
        <w:tc>
          <w:tcPr>
            <w:tcW w:w="2070" w:type="dxa"/>
          </w:tcPr>
          <w:p w14:paraId="4703DA67"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13,631 (10.7%)</w:t>
            </w:r>
          </w:p>
        </w:tc>
        <w:tc>
          <w:tcPr>
            <w:tcW w:w="1985" w:type="dxa"/>
          </w:tcPr>
          <w:p w14:paraId="79DE6DC4"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4,842 (7.6%)</w:t>
            </w:r>
          </w:p>
        </w:tc>
        <w:tc>
          <w:tcPr>
            <w:tcW w:w="2065" w:type="dxa"/>
          </w:tcPr>
          <w:p w14:paraId="6525FBED"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4,505 (7.1%)</w:t>
            </w:r>
          </w:p>
        </w:tc>
      </w:tr>
      <w:tr w:rsidR="00480403" w:rsidRPr="00426739" w14:paraId="049937E2" w14:textId="77777777" w:rsidTr="008C3F8A">
        <w:tc>
          <w:tcPr>
            <w:tcW w:w="3235" w:type="dxa"/>
          </w:tcPr>
          <w:p w14:paraId="65948F21"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 xml:space="preserve">   Asthma</w:t>
            </w:r>
          </w:p>
        </w:tc>
        <w:tc>
          <w:tcPr>
            <w:tcW w:w="2070" w:type="dxa"/>
          </w:tcPr>
          <w:p w14:paraId="0F43E319"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122,626 (3.6%)</w:t>
            </w:r>
          </w:p>
        </w:tc>
        <w:tc>
          <w:tcPr>
            <w:tcW w:w="1985" w:type="dxa"/>
          </w:tcPr>
          <w:p w14:paraId="3A6BDE18"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3,947 (6.2%)</w:t>
            </w:r>
          </w:p>
        </w:tc>
        <w:tc>
          <w:tcPr>
            <w:tcW w:w="2065" w:type="dxa"/>
          </w:tcPr>
          <w:p w14:paraId="57341868"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4,245 (6.7%)</w:t>
            </w:r>
          </w:p>
        </w:tc>
      </w:tr>
      <w:tr w:rsidR="00480403" w:rsidRPr="00426739" w14:paraId="43FF1DE7" w14:textId="77777777" w:rsidTr="008C3F8A">
        <w:tc>
          <w:tcPr>
            <w:tcW w:w="3235" w:type="dxa"/>
          </w:tcPr>
          <w:p w14:paraId="05019460"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 xml:space="preserve">   Atrial fibrillation</w:t>
            </w:r>
          </w:p>
        </w:tc>
        <w:tc>
          <w:tcPr>
            <w:tcW w:w="2070" w:type="dxa"/>
          </w:tcPr>
          <w:p w14:paraId="28A5CDFD"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796 (0.6%)</w:t>
            </w:r>
          </w:p>
        </w:tc>
        <w:tc>
          <w:tcPr>
            <w:tcW w:w="1985" w:type="dxa"/>
          </w:tcPr>
          <w:p w14:paraId="7BDC35B4"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459 (0.7%)</w:t>
            </w:r>
          </w:p>
        </w:tc>
        <w:tc>
          <w:tcPr>
            <w:tcW w:w="2065" w:type="dxa"/>
          </w:tcPr>
          <w:p w14:paraId="4A052F94"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584 (0.9%)</w:t>
            </w:r>
          </w:p>
        </w:tc>
      </w:tr>
      <w:tr w:rsidR="00480403" w:rsidRPr="00426739" w14:paraId="09FEEA63" w14:textId="77777777" w:rsidTr="008C3F8A">
        <w:tc>
          <w:tcPr>
            <w:tcW w:w="3235" w:type="dxa"/>
          </w:tcPr>
          <w:p w14:paraId="2D2AF84B"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 xml:space="preserve">   Cancer</w:t>
            </w:r>
          </w:p>
        </w:tc>
        <w:tc>
          <w:tcPr>
            <w:tcW w:w="2070" w:type="dxa"/>
          </w:tcPr>
          <w:p w14:paraId="648412C3"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1,821 (1.4%)</w:t>
            </w:r>
          </w:p>
        </w:tc>
        <w:tc>
          <w:tcPr>
            <w:tcW w:w="1985" w:type="dxa"/>
          </w:tcPr>
          <w:p w14:paraId="39D0A18D"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1,184 (1.9%)</w:t>
            </w:r>
          </w:p>
        </w:tc>
        <w:tc>
          <w:tcPr>
            <w:tcW w:w="2065" w:type="dxa"/>
          </w:tcPr>
          <w:p w14:paraId="13D2687B"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1,336 (2.1%)</w:t>
            </w:r>
          </w:p>
        </w:tc>
      </w:tr>
      <w:tr w:rsidR="00480403" w:rsidRPr="00426739" w14:paraId="3C61A1AE" w14:textId="77777777" w:rsidTr="008C3F8A">
        <w:tc>
          <w:tcPr>
            <w:tcW w:w="3235" w:type="dxa"/>
          </w:tcPr>
          <w:p w14:paraId="1372982E"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 xml:space="preserve">   CKD</w:t>
            </w:r>
          </w:p>
        </w:tc>
        <w:tc>
          <w:tcPr>
            <w:tcW w:w="2070" w:type="dxa"/>
          </w:tcPr>
          <w:p w14:paraId="2E44E9BD"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782 (0.6%)</w:t>
            </w:r>
          </w:p>
        </w:tc>
        <w:tc>
          <w:tcPr>
            <w:tcW w:w="1985" w:type="dxa"/>
          </w:tcPr>
          <w:p w14:paraId="24C7C703"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419 (0.7%)</w:t>
            </w:r>
          </w:p>
        </w:tc>
        <w:tc>
          <w:tcPr>
            <w:tcW w:w="2065" w:type="dxa"/>
          </w:tcPr>
          <w:p w14:paraId="1F2A7F48"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517 (0.8%)</w:t>
            </w:r>
          </w:p>
        </w:tc>
      </w:tr>
      <w:tr w:rsidR="00480403" w:rsidRPr="00426739" w14:paraId="3B684BBF" w14:textId="77777777" w:rsidTr="008C3F8A">
        <w:tc>
          <w:tcPr>
            <w:tcW w:w="3235" w:type="dxa"/>
          </w:tcPr>
          <w:p w14:paraId="088476B7"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 xml:space="preserve">   COPD</w:t>
            </w:r>
          </w:p>
        </w:tc>
        <w:tc>
          <w:tcPr>
            <w:tcW w:w="2070" w:type="dxa"/>
          </w:tcPr>
          <w:p w14:paraId="5CCB1089"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913 (0.7%)</w:t>
            </w:r>
          </w:p>
        </w:tc>
        <w:tc>
          <w:tcPr>
            <w:tcW w:w="1985" w:type="dxa"/>
          </w:tcPr>
          <w:p w14:paraId="7546519A"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507 (0.8%)</w:t>
            </w:r>
          </w:p>
        </w:tc>
        <w:tc>
          <w:tcPr>
            <w:tcW w:w="2065" w:type="dxa"/>
          </w:tcPr>
          <w:p w14:paraId="25B56820"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564 (0.9%)</w:t>
            </w:r>
          </w:p>
        </w:tc>
      </w:tr>
      <w:tr w:rsidR="00480403" w:rsidRPr="00426739" w14:paraId="678D1446" w14:textId="77777777" w:rsidTr="008C3F8A">
        <w:tc>
          <w:tcPr>
            <w:tcW w:w="3235" w:type="dxa"/>
          </w:tcPr>
          <w:p w14:paraId="2B2EBA1A"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 xml:space="preserve">   Dementia</w:t>
            </w:r>
          </w:p>
        </w:tc>
        <w:tc>
          <w:tcPr>
            <w:tcW w:w="2070" w:type="dxa"/>
          </w:tcPr>
          <w:p w14:paraId="3AA63782"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195 (0.2%)</w:t>
            </w:r>
          </w:p>
        </w:tc>
        <w:tc>
          <w:tcPr>
            <w:tcW w:w="1985" w:type="dxa"/>
          </w:tcPr>
          <w:p w14:paraId="15AC5BAF"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124 (0.2%)</w:t>
            </w:r>
          </w:p>
        </w:tc>
        <w:tc>
          <w:tcPr>
            <w:tcW w:w="2065" w:type="dxa"/>
          </w:tcPr>
          <w:p w14:paraId="1045F9CE"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87 (0.1%)</w:t>
            </w:r>
          </w:p>
        </w:tc>
      </w:tr>
      <w:tr w:rsidR="00480403" w:rsidRPr="00426739" w14:paraId="01C5B0E3" w14:textId="77777777" w:rsidTr="008C3F8A">
        <w:tc>
          <w:tcPr>
            <w:tcW w:w="3235" w:type="dxa"/>
          </w:tcPr>
          <w:p w14:paraId="2A4FA35D"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 xml:space="preserve">   Depression</w:t>
            </w:r>
          </w:p>
        </w:tc>
        <w:tc>
          <w:tcPr>
            <w:tcW w:w="2070" w:type="dxa"/>
          </w:tcPr>
          <w:p w14:paraId="4C3AE9C5"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13,441 (10.6%)</w:t>
            </w:r>
          </w:p>
        </w:tc>
        <w:tc>
          <w:tcPr>
            <w:tcW w:w="1985" w:type="dxa"/>
          </w:tcPr>
          <w:p w14:paraId="0B27133F"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4,882 (7.7%)</w:t>
            </w:r>
          </w:p>
        </w:tc>
        <w:tc>
          <w:tcPr>
            <w:tcW w:w="2065" w:type="dxa"/>
          </w:tcPr>
          <w:p w14:paraId="751A01D8"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4,561 (7.2%)</w:t>
            </w:r>
          </w:p>
        </w:tc>
      </w:tr>
      <w:tr w:rsidR="00480403" w:rsidRPr="00426739" w14:paraId="7DB13483" w14:textId="77777777" w:rsidTr="008C3F8A">
        <w:tc>
          <w:tcPr>
            <w:tcW w:w="3235" w:type="dxa"/>
          </w:tcPr>
          <w:p w14:paraId="181F99DB"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 xml:space="preserve">   Diabetes</w:t>
            </w:r>
          </w:p>
        </w:tc>
        <w:tc>
          <w:tcPr>
            <w:tcW w:w="2070" w:type="dxa"/>
          </w:tcPr>
          <w:p w14:paraId="0F5E328B"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8,153 (6.4%)</w:t>
            </w:r>
          </w:p>
        </w:tc>
        <w:tc>
          <w:tcPr>
            <w:tcW w:w="1985" w:type="dxa"/>
          </w:tcPr>
          <w:p w14:paraId="2BC5A9A8"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6,355 (10.0%)</w:t>
            </w:r>
          </w:p>
        </w:tc>
        <w:tc>
          <w:tcPr>
            <w:tcW w:w="2065" w:type="dxa"/>
          </w:tcPr>
          <w:p w14:paraId="590A5D7C"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6,807 (10.7%)</w:t>
            </w:r>
          </w:p>
        </w:tc>
      </w:tr>
      <w:tr w:rsidR="00480403" w:rsidRPr="00426739" w14:paraId="4813F392" w14:textId="77777777" w:rsidTr="008C3F8A">
        <w:tc>
          <w:tcPr>
            <w:tcW w:w="3235" w:type="dxa"/>
          </w:tcPr>
          <w:p w14:paraId="123876F6"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 xml:space="preserve">   Heart failure</w:t>
            </w:r>
          </w:p>
        </w:tc>
        <w:tc>
          <w:tcPr>
            <w:tcW w:w="2070" w:type="dxa"/>
          </w:tcPr>
          <w:p w14:paraId="1B38681A"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340 (0.3%)</w:t>
            </w:r>
          </w:p>
        </w:tc>
        <w:tc>
          <w:tcPr>
            <w:tcW w:w="1985" w:type="dxa"/>
          </w:tcPr>
          <w:p w14:paraId="5DFE71C7"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187 (0.3%)</w:t>
            </w:r>
          </w:p>
        </w:tc>
        <w:tc>
          <w:tcPr>
            <w:tcW w:w="2065" w:type="dxa"/>
          </w:tcPr>
          <w:p w14:paraId="055FD250"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198 (0.3%)</w:t>
            </w:r>
          </w:p>
        </w:tc>
      </w:tr>
      <w:tr w:rsidR="00480403" w:rsidRPr="00426739" w14:paraId="4A7DF077" w14:textId="77777777" w:rsidTr="008C3F8A">
        <w:tc>
          <w:tcPr>
            <w:tcW w:w="3235" w:type="dxa"/>
          </w:tcPr>
          <w:p w14:paraId="4073FDD5"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lastRenderedPageBreak/>
              <w:t xml:space="preserve">   Hypertension</w:t>
            </w:r>
          </w:p>
        </w:tc>
        <w:tc>
          <w:tcPr>
            <w:tcW w:w="2070" w:type="dxa"/>
          </w:tcPr>
          <w:p w14:paraId="3CDDAD65"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19,014 (15.0%)</w:t>
            </w:r>
          </w:p>
        </w:tc>
        <w:tc>
          <w:tcPr>
            <w:tcW w:w="1985" w:type="dxa"/>
          </w:tcPr>
          <w:p w14:paraId="1F51CD71"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9,258 (14.6%)</w:t>
            </w:r>
          </w:p>
        </w:tc>
        <w:tc>
          <w:tcPr>
            <w:tcW w:w="2065" w:type="dxa"/>
          </w:tcPr>
          <w:p w14:paraId="2043220C"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9,046 (14.2%)</w:t>
            </w:r>
          </w:p>
        </w:tc>
      </w:tr>
      <w:tr w:rsidR="00480403" w:rsidRPr="00426739" w14:paraId="0DEEB5DF" w14:textId="77777777" w:rsidTr="008C3F8A">
        <w:tc>
          <w:tcPr>
            <w:tcW w:w="3235" w:type="dxa"/>
          </w:tcPr>
          <w:p w14:paraId="5C7ED15B" w14:textId="77777777" w:rsidR="00480403" w:rsidRPr="00426739" w:rsidRDefault="00480403" w:rsidP="00B928F2">
            <w:pPr>
              <w:spacing w:line="480" w:lineRule="auto"/>
              <w:rPr>
                <w:rFonts w:asciiTheme="minorHAnsi" w:hAnsiTheme="minorHAnsi" w:cstheme="minorHAnsi"/>
                <w:sz w:val="18"/>
                <w:lang w:val="en-US"/>
              </w:rPr>
            </w:pPr>
            <w:r w:rsidRPr="00426739">
              <w:rPr>
                <w:rFonts w:asciiTheme="minorHAnsi" w:hAnsiTheme="minorHAnsi" w:cstheme="minorHAnsi"/>
                <w:sz w:val="18"/>
                <w:lang w:val="en-US"/>
              </w:rPr>
              <w:t xml:space="preserve">   Hypothyroidism</w:t>
            </w:r>
          </w:p>
        </w:tc>
        <w:tc>
          <w:tcPr>
            <w:tcW w:w="2070" w:type="dxa"/>
          </w:tcPr>
          <w:p w14:paraId="08327EE2" w14:textId="77777777" w:rsidR="00480403" w:rsidRPr="00426739" w:rsidRDefault="00480403" w:rsidP="00B928F2">
            <w:pPr>
              <w:spacing w:line="480" w:lineRule="auto"/>
              <w:rPr>
                <w:rFonts w:asciiTheme="minorHAnsi" w:hAnsiTheme="minorHAnsi" w:cstheme="minorHAnsi"/>
                <w:sz w:val="18"/>
                <w:lang w:val="en-US"/>
              </w:rPr>
            </w:pPr>
            <w:r w:rsidRPr="00426739">
              <w:rPr>
                <w:rFonts w:asciiTheme="minorHAnsi" w:hAnsiTheme="minorHAnsi" w:cstheme="minorHAnsi"/>
                <w:sz w:val="18"/>
                <w:lang w:val="en-US"/>
              </w:rPr>
              <w:t>6,505 (5.1%)</w:t>
            </w:r>
          </w:p>
        </w:tc>
        <w:tc>
          <w:tcPr>
            <w:tcW w:w="1985" w:type="dxa"/>
          </w:tcPr>
          <w:p w14:paraId="143A4A05" w14:textId="77777777" w:rsidR="00480403" w:rsidRPr="00426739" w:rsidRDefault="00480403" w:rsidP="00B928F2">
            <w:pPr>
              <w:spacing w:line="480" w:lineRule="auto"/>
              <w:rPr>
                <w:rFonts w:asciiTheme="minorHAnsi" w:hAnsiTheme="minorHAnsi" w:cstheme="minorHAnsi"/>
                <w:sz w:val="18"/>
                <w:lang w:val="en-US"/>
              </w:rPr>
            </w:pPr>
            <w:r w:rsidRPr="00426739">
              <w:rPr>
                <w:rFonts w:asciiTheme="minorHAnsi" w:hAnsiTheme="minorHAnsi" w:cstheme="minorHAnsi"/>
                <w:sz w:val="18"/>
                <w:lang w:val="en-US"/>
              </w:rPr>
              <w:t>2,748 (4.3%)</w:t>
            </w:r>
          </w:p>
        </w:tc>
        <w:tc>
          <w:tcPr>
            <w:tcW w:w="2065" w:type="dxa"/>
          </w:tcPr>
          <w:p w14:paraId="1B3651D9" w14:textId="77777777" w:rsidR="00480403" w:rsidRPr="00426739" w:rsidRDefault="00480403" w:rsidP="00B928F2">
            <w:pPr>
              <w:spacing w:line="480" w:lineRule="auto"/>
              <w:rPr>
                <w:rFonts w:asciiTheme="minorHAnsi" w:hAnsiTheme="minorHAnsi" w:cstheme="minorHAnsi"/>
                <w:sz w:val="18"/>
                <w:lang w:val="en-US"/>
              </w:rPr>
            </w:pPr>
            <w:r w:rsidRPr="00426739">
              <w:rPr>
                <w:rFonts w:asciiTheme="minorHAnsi" w:hAnsiTheme="minorHAnsi" w:cstheme="minorHAnsi"/>
                <w:sz w:val="18"/>
                <w:lang w:val="en-US"/>
              </w:rPr>
              <w:t>2,557 (4.0%)</w:t>
            </w:r>
          </w:p>
        </w:tc>
      </w:tr>
      <w:tr w:rsidR="00480403" w:rsidRPr="00426739" w14:paraId="6FAAC576" w14:textId="77777777" w:rsidTr="008C3F8A">
        <w:tc>
          <w:tcPr>
            <w:tcW w:w="3235" w:type="dxa"/>
          </w:tcPr>
          <w:p w14:paraId="19C3DCCB" w14:textId="77777777" w:rsidR="00480403" w:rsidRPr="00426739" w:rsidRDefault="00480403" w:rsidP="00B928F2">
            <w:pPr>
              <w:spacing w:line="480" w:lineRule="auto"/>
              <w:rPr>
                <w:rFonts w:asciiTheme="minorHAnsi" w:hAnsiTheme="minorHAnsi" w:cstheme="minorHAnsi"/>
                <w:sz w:val="18"/>
                <w:lang w:val="en-US"/>
              </w:rPr>
            </w:pPr>
            <w:r w:rsidRPr="00426739">
              <w:rPr>
                <w:rFonts w:asciiTheme="minorHAnsi" w:hAnsiTheme="minorHAnsi" w:cstheme="minorHAnsi"/>
                <w:sz w:val="18"/>
                <w:lang w:val="en-US"/>
              </w:rPr>
              <w:t xml:space="preserve">   IHD</w:t>
            </w:r>
          </w:p>
        </w:tc>
        <w:tc>
          <w:tcPr>
            <w:tcW w:w="2070" w:type="dxa"/>
          </w:tcPr>
          <w:p w14:paraId="09FA14BE" w14:textId="77777777" w:rsidR="00480403" w:rsidRPr="00426739" w:rsidRDefault="00480403" w:rsidP="00B928F2">
            <w:pPr>
              <w:spacing w:line="480" w:lineRule="auto"/>
              <w:rPr>
                <w:rFonts w:asciiTheme="minorHAnsi" w:hAnsiTheme="minorHAnsi" w:cstheme="minorHAnsi"/>
                <w:sz w:val="18"/>
                <w:lang w:val="en-US"/>
              </w:rPr>
            </w:pPr>
            <w:r w:rsidRPr="00426739">
              <w:rPr>
                <w:rFonts w:asciiTheme="minorHAnsi" w:hAnsiTheme="minorHAnsi" w:cstheme="minorHAnsi"/>
                <w:sz w:val="18"/>
                <w:lang w:val="en-US"/>
              </w:rPr>
              <w:t>2,085 (1.6%)</w:t>
            </w:r>
          </w:p>
        </w:tc>
        <w:tc>
          <w:tcPr>
            <w:tcW w:w="1985" w:type="dxa"/>
          </w:tcPr>
          <w:p w14:paraId="59FA6AF4" w14:textId="77777777" w:rsidR="00480403" w:rsidRPr="00426739" w:rsidRDefault="00480403" w:rsidP="00B928F2">
            <w:pPr>
              <w:spacing w:line="480" w:lineRule="auto"/>
              <w:rPr>
                <w:rFonts w:asciiTheme="minorHAnsi" w:hAnsiTheme="minorHAnsi" w:cstheme="minorHAnsi"/>
                <w:sz w:val="18"/>
                <w:lang w:val="en-US"/>
              </w:rPr>
            </w:pPr>
            <w:r w:rsidRPr="00426739">
              <w:rPr>
                <w:rFonts w:asciiTheme="minorHAnsi" w:hAnsiTheme="minorHAnsi" w:cstheme="minorHAnsi"/>
                <w:sz w:val="18"/>
                <w:lang w:val="en-US"/>
              </w:rPr>
              <w:t>1,321 (2.1%)</w:t>
            </w:r>
          </w:p>
        </w:tc>
        <w:tc>
          <w:tcPr>
            <w:tcW w:w="2065" w:type="dxa"/>
          </w:tcPr>
          <w:p w14:paraId="76E5F9BD" w14:textId="77777777" w:rsidR="00480403" w:rsidRPr="00426739" w:rsidRDefault="00480403" w:rsidP="00B928F2">
            <w:pPr>
              <w:spacing w:line="480" w:lineRule="auto"/>
              <w:rPr>
                <w:rFonts w:asciiTheme="minorHAnsi" w:hAnsiTheme="minorHAnsi" w:cstheme="minorHAnsi"/>
                <w:sz w:val="18"/>
                <w:lang w:val="en-US"/>
              </w:rPr>
            </w:pPr>
            <w:r w:rsidRPr="00426739">
              <w:rPr>
                <w:rFonts w:asciiTheme="minorHAnsi" w:hAnsiTheme="minorHAnsi" w:cstheme="minorHAnsi"/>
                <w:sz w:val="18"/>
                <w:lang w:val="en-US"/>
              </w:rPr>
              <w:t>1,337 (2.1%)</w:t>
            </w:r>
          </w:p>
        </w:tc>
      </w:tr>
      <w:tr w:rsidR="00480403" w:rsidRPr="00426739" w14:paraId="1B98132C" w14:textId="77777777" w:rsidTr="008C3F8A">
        <w:tc>
          <w:tcPr>
            <w:tcW w:w="3235" w:type="dxa"/>
          </w:tcPr>
          <w:p w14:paraId="05663F2D"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 xml:space="preserve">   Learning disability</w:t>
            </w:r>
          </w:p>
        </w:tc>
        <w:tc>
          <w:tcPr>
            <w:tcW w:w="2070" w:type="dxa"/>
          </w:tcPr>
          <w:p w14:paraId="3E9245D7"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241 (0.2%)</w:t>
            </w:r>
          </w:p>
        </w:tc>
        <w:tc>
          <w:tcPr>
            <w:tcW w:w="1985" w:type="dxa"/>
          </w:tcPr>
          <w:p w14:paraId="0C8E0E31"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225 (0.4%)</w:t>
            </w:r>
          </w:p>
        </w:tc>
        <w:tc>
          <w:tcPr>
            <w:tcW w:w="2065" w:type="dxa"/>
          </w:tcPr>
          <w:p w14:paraId="40C33369"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162 (0.3%)</w:t>
            </w:r>
          </w:p>
        </w:tc>
      </w:tr>
      <w:tr w:rsidR="00480403" w:rsidRPr="00426739" w14:paraId="416E7D6E" w14:textId="77777777" w:rsidTr="008C3F8A">
        <w:tc>
          <w:tcPr>
            <w:tcW w:w="3235" w:type="dxa"/>
          </w:tcPr>
          <w:p w14:paraId="34243229"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 xml:space="preserve">   Mental health</w:t>
            </w:r>
          </w:p>
        </w:tc>
        <w:tc>
          <w:tcPr>
            <w:tcW w:w="2070" w:type="dxa"/>
          </w:tcPr>
          <w:p w14:paraId="6BA52B0E"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2,282 (1.8%)</w:t>
            </w:r>
          </w:p>
        </w:tc>
        <w:tc>
          <w:tcPr>
            <w:tcW w:w="1985" w:type="dxa"/>
          </w:tcPr>
          <w:p w14:paraId="3A71A1F6"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642 (1.0%)</w:t>
            </w:r>
          </w:p>
        </w:tc>
        <w:tc>
          <w:tcPr>
            <w:tcW w:w="2065" w:type="dxa"/>
          </w:tcPr>
          <w:p w14:paraId="345F272B"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559 (0.9%)</w:t>
            </w:r>
          </w:p>
        </w:tc>
      </w:tr>
      <w:tr w:rsidR="00480403" w:rsidRPr="00426739" w14:paraId="56F8AD8C" w14:textId="77777777" w:rsidTr="008C3F8A">
        <w:tc>
          <w:tcPr>
            <w:tcW w:w="3235" w:type="dxa"/>
          </w:tcPr>
          <w:p w14:paraId="46CEB283"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 xml:space="preserve">   Obesity</w:t>
            </w:r>
          </w:p>
        </w:tc>
        <w:tc>
          <w:tcPr>
            <w:tcW w:w="2070" w:type="dxa"/>
          </w:tcPr>
          <w:p w14:paraId="02A3255C"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8,554 (6.7%)</w:t>
            </w:r>
          </w:p>
        </w:tc>
        <w:tc>
          <w:tcPr>
            <w:tcW w:w="1985" w:type="dxa"/>
          </w:tcPr>
          <w:p w14:paraId="47DCDEC3"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4,559 (7.2%)</w:t>
            </w:r>
          </w:p>
        </w:tc>
        <w:tc>
          <w:tcPr>
            <w:tcW w:w="2065" w:type="dxa"/>
          </w:tcPr>
          <w:p w14:paraId="7F5ABC59"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4,588 (7.2%)</w:t>
            </w:r>
          </w:p>
        </w:tc>
      </w:tr>
      <w:tr w:rsidR="00480403" w:rsidRPr="00426739" w14:paraId="5B0203C4" w14:textId="77777777" w:rsidTr="008C3F8A">
        <w:tc>
          <w:tcPr>
            <w:tcW w:w="3235" w:type="dxa"/>
          </w:tcPr>
          <w:p w14:paraId="1D26C095"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 xml:space="preserve">   PAD</w:t>
            </w:r>
          </w:p>
        </w:tc>
        <w:tc>
          <w:tcPr>
            <w:tcW w:w="2070" w:type="dxa"/>
          </w:tcPr>
          <w:p w14:paraId="72B6DD1B"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273 (0.2%)</w:t>
            </w:r>
          </w:p>
        </w:tc>
        <w:tc>
          <w:tcPr>
            <w:tcW w:w="1985" w:type="dxa"/>
          </w:tcPr>
          <w:p w14:paraId="6C4D51DD"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182 (0.3%)</w:t>
            </w:r>
          </w:p>
        </w:tc>
        <w:tc>
          <w:tcPr>
            <w:tcW w:w="2065" w:type="dxa"/>
          </w:tcPr>
          <w:p w14:paraId="6D4A6B44"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134 (0.2%)</w:t>
            </w:r>
          </w:p>
        </w:tc>
      </w:tr>
      <w:tr w:rsidR="00480403" w:rsidRPr="00426739" w14:paraId="0F906F2F" w14:textId="77777777" w:rsidTr="008C3F8A">
        <w:tc>
          <w:tcPr>
            <w:tcW w:w="3235" w:type="dxa"/>
          </w:tcPr>
          <w:p w14:paraId="77575DFA"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 xml:space="preserve">   Palliative care</w:t>
            </w:r>
          </w:p>
        </w:tc>
        <w:tc>
          <w:tcPr>
            <w:tcW w:w="2070" w:type="dxa"/>
          </w:tcPr>
          <w:p w14:paraId="6DBD2F9C"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144 (0.1%)</w:t>
            </w:r>
          </w:p>
        </w:tc>
        <w:tc>
          <w:tcPr>
            <w:tcW w:w="1985" w:type="dxa"/>
          </w:tcPr>
          <w:p w14:paraId="0DD8742D"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86 (0.1%)</w:t>
            </w:r>
          </w:p>
        </w:tc>
        <w:tc>
          <w:tcPr>
            <w:tcW w:w="2065" w:type="dxa"/>
          </w:tcPr>
          <w:p w14:paraId="43EDA99B"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50 (0.1%)</w:t>
            </w:r>
          </w:p>
        </w:tc>
      </w:tr>
      <w:tr w:rsidR="00480403" w:rsidRPr="00426739" w14:paraId="3FC742C7" w14:textId="77777777" w:rsidTr="008C3F8A">
        <w:tc>
          <w:tcPr>
            <w:tcW w:w="3235" w:type="dxa"/>
          </w:tcPr>
          <w:p w14:paraId="330629AE" w14:textId="77777777" w:rsidR="00480403" w:rsidRPr="00426739" w:rsidRDefault="00480403" w:rsidP="00B928F2">
            <w:pPr>
              <w:spacing w:line="480" w:lineRule="auto"/>
              <w:rPr>
                <w:rFonts w:asciiTheme="minorHAnsi" w:hAnsiTheme="minorHAnsi" w:cstheme="minorHAnsi"/>
                <w:sz w:val="18"/>
                <w:lang w:val="en-US"/>
              </w:rPr>
            </w:pPr>
            <w:r w:rsidRPr="00426739">
              <w:rPr>
                <w:rFonts w:asciiTheme="minorHAnsi" w:hAnsiTheme="minorHAnsi" w:cstheme="minorHAnsi"/>
                <w:sz w:val="18"/>
                <w:lang w:val="en-US"/>
              </w:rPr>
              <w:t xml:space="preserve">   Parkinson’s</w:t>
            </w:r>
          </w:p>
        </w:tc>
        <w:tc>
          <w:tcPr>
            <w:tcW w:w="2070" w:type="dxa"/>
          </w:tcPr>
          <w:p w14:paraId="0E79B641" w14:textId="77777777" w:rsidR="00480403" w:rsidRPr="00426739" w:rsidRDefault="00480403" w:rsidP="00B928F2">
            <w:pPr>
              <w:spacing w:line="480" w:lineRule="auto"/>
              <w:rPr>
                <w:rFonts w:asciiTheme="minorHAnsi" w:hAnsiTheme="minorHAnsi" w:cstheme="minorHAnsi"/>
                <w:sz w:val="18"/>
                <w:lang w:val="en-US"/>
              </w:rPr>
            </w:pPr>
            <w:r w:rsidRPr="00426739">
              <w:rPr>
                <w:rFonts w:asciiTheme="minorHAnsi" w:hAnsiTheme="minorHAnsi" w:cstheme="minorHAnsi"/>
                <w:sz w:val="18"/>
                <w:lang w:val="en-US"/>
              </w:rPr>
              <w:t>102 (0.1%)</w:t>
            </w:r>
          </w:p>
        </w:tc>
        <w:tc>
          <w:tcPr>
            <w:tcW w:w="1985" w:type="dxa"/>
          </w:tcPr>
          <w:p w14:paraId="6E519E5F" w14:textId="77777777" w:rsidR="00480403" w:rsidRPr="00426739" w:rsidRDefault="00480403" w:rsidP="00B928F2">
            <w:pPr>
              <w:spacing w:line="480" w:lineRule="auto"/>
              <w:rPr>
                <w:rFonts w:asciiTheme="minorHAnsi" w:hAnsiTheme="minorHAnsi" w:cstheme="minorHAnsi"/>
                <w:sz w:val="18"/>
                <w:lang w:val="en-US"/>
              </w:rPr>
            </w:pPr>
            <w:r w:rsidRPr="00426739">
              <w:rPr>
                <w:rFonts w:asciiTheme="minorHAnsi" w:hAnsiTheme="minorHAnsi" w:cstheme="minorHAnsi"/>
                <w:sz w:val="18"/>
                <w:lang w:val="en-US"/>
              </w:rPr>
              <w:t>54 (0.1%)</w:t>
            </w:r>
          </w:p>
        </w:tc>
        <w:tc>
          <w:tcPr>
            <w:tcW w:w="2065" w:type="dxa"/>
          </w:tcPr>
          <w:p w14:paraId="4C359CA5" w14:textId="77777777" w:rsidR="00480403" w:rsidRPr="00426739" w:rsidRDefault="00480403" w:rsidP="00B928F2">
            <w:pPr>
              <w:spacing w:line="480" w:lineRule="auto"/>
              <w:rPr>
                <w:rFonts w:asciiTheme="minorHAnsi" w:hAnsiTheme="minorHAnsi" w:cstheme="minorHAnsi"/>
                <w:sz w:val="18"/>
                <w:lang w:val="en-US"/>
              </w:rPr>
            </w:pPr>
            <w:r w:rsidRPr="00426739">
              <w:rPr>
                <w:rFonts w:asciiTheme="minorHAnsi" w:hAnsiTheme="minorHAnsi" w:cstheme="minorHAnsi"/>
                <w:sz w:val="18"/>
                <w:lang w:val="en-US"/>
              </w:rPr>
              <w:t>54 (0.1%)</w:t>
            </w:r>
          </w:p>
        </w:tc>
      </w:tr>
      <w:tr w:rsidR="00480403" w:rsidRPr="00426739" w14:paraId="2D93556C" w14:textId="77777777" w:rsidTr="008C3F8A">
        <w:tc>
          <w:tcPr>
            <w:tcW w:w="3235" w:type="dxa"/>
          </w:tcPr>
          <w:p w14:paraId="5A59A827"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 xml:space="preserve">   Rheumatoid arthritis</w:t>
            </w:r>
          </w:p>
        </w:tc>
        <w:tc>
          <w:tcPr>
            <w:tcW w:w="2070" w:type="dxa"/>
          </w:tcPr>
          <w:p w14:paraId="3C94D488"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568 (0.4%)</w:t>
            </w:r>
          </w:p>
        </w:tc>
        <w:tc>
          <w:tcPr>
            <w:tcW w:w="1985" w:type="dxa"/>
          </w:tcPr>
          <w:p w14:paraId="34AA429E"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312 (0.5%)</w:t>
            </w:r>
          </w:p>
        </w:tc>
        <w:tc>
          <w:tcPr>
            <w:tcW w:w="2065" w:type="dxa"/>
          </w:tcPr>
          <w:p w14:paraId="02CA7FBE"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354 (0.6%)</w:t>
            </w:r>
          </w:p>
        </w:tc>
      </w:tr>
      <w:tr w:rsidR="00480403" w:rsidRPr="00426739" w14:paraId="1231625E" w14:textId="77777777" w:rsidTr="008C3F8A">
        <w:tc>
          <w:tcPr>
            <w:tcW w:w="3235" w:type="dxa"/>
          </w:tcPr>
          <w:p w14:paraId="0840C8F6" w14:textId="77777777" w:rsidR="00480403" w:rsidRPr="00426739" w:rsidRDefault="00480403" w:rsidP="00B928F2">
            <w:pPr>
              <w:spacing w:line="480" w:lineRule="auto"/>
              <w:rPr>
                <w:rFonts w:asciiTheme="minorHAnsi" w:hAnsiTheme="minorHAnsi" w:cstheme="minorHAnsi"/>
                <w:sz w:val="18"/>
                <w:szCs w:val="18"/>
                <w:lang w:val="en-US"/>
              </w:rPr>
            </w:pPr>
            <w:r>
              <w:rPr>
                <w:rFonts w:asciiTheme="minorHAnsi" w:hAnsiTheme="minorHAnsi" w:cstheme="minorHAnsi"/>
                <w:sz w:val="18"/>
                <w:lang w:val="en-US"/>
              </w:rPr>
              <w:t xml:space="preserve">   Stroke or TI</w:t>
            </w:r>
            <w:r w:rsidRPr="00426739">
              <w:rPr>
                <w:rFonts w:asciiTheme="minorHAnsi" w:hAnsiTheme="minorHAnsi" w:cstheme="minorHAnsi"/>
                <w:sz w:val="18"/>
                <w:lang w:val="en-US"/>
              </w:rPr>
              <w:t>A</w:t>
            </w:r>
          </w:p>
        </w:tc>
        <w:tc>
          <w:tcPr>
            <w:tcW w:w="2070" w:type="dxa"/>
          </w:tcPr>
          <w:p w14:paraId="386A3CBD"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1,056 (0.8%)</w:t>
            </w:r>
          </w:p>
        </w:tc>
        <w:tc>
          <w:tcPr>
            <w:tcW w:w="1985" w:type="dxa"/>
          </w:tcPr>
          <w:p w14:paraId="5EA9016A"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551 (0.9%)</w:t>
            </w:r>
          </w:p>
        </w:tc>
        <w:tc>
          <w:tcPr>
            <w:tcW w:w="2065" w:type="dxa"/>
          </w:tcPr>
          <w:p w14:paraId="14A828C9" w14:textId="77777777" w:rsidR="00480403" w:rsidRPr="00426739" w:rsidRDefault="00480403" w:rsidP="00B928F2">
            <w:pPr>
              <w:spacing w:line="480" w:lineRule="auto"/>
              <w:rPr>
                <w:rFonts w:asciiTheme="minorHAnsi" w:hAnsiTheme="minorHAnsi" w:cstheme="minorHAnsi"/>
                <w:sz w:val="18"/>
                <w:szCs w:val="18"/>
                <w:lang w:val="en-US"/>
              </w:rPr>
            </w:pPr>
            <w:r w:rsidRPr="00426739">
              <w:rPr>
                <w:rFonts w:asciiTheme="minorHAnsi" w:hAnsiTheme="minorHAnsi" w:cstheme="minorHAnsi"/>
                <w:sz w:val="18"/>
                <w:lang w:val="en-US"/>
              </w:rPr>
              <w:t>533 (0.8%)</w:t>
            </w:r>
          </w:p>
        </w:tc>
      </w:tr>
    </w:tbl>
    <w:p w14:paraId="0B975E3C" w14:textId="77777777" w:rsidR="00480403" w:rsidRPr="00426739" w:rsidRDefault="00480403" w:rsidP="00B928F2">
      <w:pPr>
        <w:spacing w:line="480" w:lineRule="auto"/>
        <w:rPr>
          <w:rFonts w:asciiTheme="minorHAnsi" w:hAnsiTheme="minorHAnsi" w:cstheme="minorHAnsi"/>
          <w:lang w:val="en-US"/>
        </w:rPr>
      </w:pPr>
    </w:p>
    <w:p w14:paraId="4906CC1C" w14:textId="77777777" w:rsidR="00480403" w:rsidRPr="00354744" w:rsidRDefault="00480403" w:rsidP="00B928F2">
      <w:pPr>
        <w:spacing w:line="480" w:lineRule="auto"/>
        <w:rPr>
          <w:rFonts w:ascii="Helvetica" w:hAnsi="Helvetica" w:cstheme="minorHAnsi"/>
          <w:sz w:val="22"/>
          <w:szCs w:val="22"/>
          <w:lang w:val="en-US"/>
        </w:rPr>
      </w:pPr>
      <w:r w:rsidRPr="00354744">
        <w:rPr>
          <w:rFonts w:ascii="Helvetica" w:hAnsi="Helvetica" w:cstheme="minorHAnsi"/>
          <w:sz w:val="22"/>
          <w:szCs w:val="22"/>
          <w:lang w:val="en-US"/>
        </w:rPr>
        <w:t>CKD, chronic kidney disease; COPD, chronic obstructive pulmonary disease; PAD, peripheral arterial disease; IHD, Ischaemic heart disease; IQR, Interquartile range; TIA, Transient ischaemic attack.</w:t>
      </w:r>
    </w:p>
    <w:p w14:paraId="24D11D60" w14:textId="77777777" w:rsidR="00480403" w:rsidRDefault="00480403" w:rsidP="00B928F2">
      <w:pPr>
        <w:spacing w:line="480" w:lineRule="auto"/>
        <w:rPr>
          <w:rFonts w:asciiTheme="minorHAnsi" w:hAnsiTheme="minorHAnsi" w:cstheme="minorHAnsi"/>
        </w:rPr>
      </w:pPr>
    </w:p>
    <w:p w14:paraId="1D1A9EFA" w14:textId="77777777" w:rsidR="004726EF" w:rsidRDefault="004726EF" w:rsidP="00B928F2">
      <w:pPr>
        <w:spacing w:line="480" w:lineRule="auto"/>
        <w:rPr>
          <w:rFonts w:asciiTheme="minorHAnsi" w:hAnsiTheme="minorHAnsi" w:cstheme="minorHAnsi"/>
        </w:rPr>
      </w:pPr>
    </w:p>
    <w:p w14:paraId="2151904C" w14:textId="77777777" w:rsidR="004726EF" w:rsidRDefault="004726EF" w:rsidP="00B928F2">
      <w:pPr>
        <w:spacing w:line="480" w:lineRule="auto"/>
        <w:rPr>
          <w:rFonts w:asciiTheme="minorHAnsi" w:hAnsiTheme="minorHAnsi" w:cstheme="minorHAnsi"/>
        </w:rPr>
      </w:pPr>
    </w:p>
    <w:p w14:paraId="51198548" w14:textId="77777777" w:rsidR="004726EF" w:rsidRDefault="004726EF" w:rsidP="00B928F2">
      <w:pPr>
        <w:spacing w:line="480" w:lineRule="auto"/>
        <w:rPr>
          <w:rFonts w:asciiTheme="minorHAnsi" w:hAnsiTheme="minorHAnsi" w:cstheme="minorHAnsi"/>
        </w:rPr>
      </w:pPr>
    </w:p>
    <w:p w14:paraId="5B1AF48B" w14:textId="77777777" w:rsidR="004726EF" w:rsidRDefault="004726EF" w:rsidP="00B928F2">
      <w:pPr>
        <w:spacing w:line="480" w:lineRule="auto"/>
        <w:rPr>
          <w:rFonts w:asciiTheme="minorHAnsi" w:hAnsiTheme="minorHAnsi" w:cstheme="minorHAnsi"/>
        </w:rPr>
      </w:pPr>
    </w:p>
    <w:p w14:paraId="64ABCEFC" w14:textId="77777777" w:rsidR="00142711" w:rsidRDefault="00142711" w:rsidP="00B928F2">
      <w:pPr>
        <w:spacing w:line="480" w:lineRule="auto"/>
        <w:rPr>
          <w:rFonts w:asciiTheme="minorHAnsi" w:hAnsiTheme="minorHAnsi" w:cstheme="minorHAnsi"/>
        </w:rPr>
      </w:pPr>
    </w:p>
    <w:p w14:paraId="2E308B24" w14:textId="77777777" w:rsidR="00142711" w:rsidRDefault="00142711" w:rsidP="00B928F2">
      <w:pPr>
        <w:spacing w:line="480" w:lineRule="auto"/>
        <w:rPr>
          <w:rFonts w:asciiTheme="minorHAnsi" w:hAnsiTheme="minorHAnsi" w:cstheme="minorHAnsi"/>
        </w:rPr>
      </w:pPr>
    </w:p>
    <w:p w14:paraId="1756A5A5" w14:textId="77777777" w:rsidR="00142711" w:rsidRDefault="00142711" w:rsidP="00B928F2">
      <w:pPr>
        <w:spacing w:line="480" w:lineRule="auto"/>
        <w:rPr>
          <w:rFonts w:asciiTheme="minorHAnsi" w:hAnsiTheme="minorHAnsi" w:cstheme="minorHAnsi"/>
        </w:rPr>
      </w:pPr>
    </w:p>
    <w:p w14:paraId="721D5BF1" w14:textId="77777777" w:rsidR="00142711" w:rsidRDefault="00142711" w:rsidP="00B928F2">
      <w:pPr>
        <w:spacing w:line="480" w:lineRule="auto"/>
        <w:rPr>
          <w:rFonts w:asciiTheme="minorHAnsi" w:hAnsiTheme="minorHAnsi" w:cstheme="minorHAnsi"/>
        </w:rPr>
      </w:pPr>
    </w:p>
    <w:p w14:paraId="6B5D24CF" w14:textId="77777777" w:rsidR="00142711" w:rsidRDefault="00142711" w:rsidP="00B928F2">
      <w:pPr>
        <w:spacing w:line="480" w:lineRule="auto"/>
        <w:rPr>
          <w:rFonts w:asciiTheme="minorHAnsi" w:hAnsiTheme="minorHAnsi" w:cstheme="minorHAnsi"/>
        </w:rPr>
      </w:pPr>
    </w:p>
    <w:p w14:paraId="6F5A0791" w14:textId="77777777" w:rsidR="00142711" w:rsidRDefault="00142711" w:rsidP="00B928F2">
      <w:pPr>
        <w:spacing w:line="480" w:lineRule="auto"/>
        <w:rPr>
          <w:rFonts w:asciiTheme="minorHAnsi" w:hAnsiTheme="minorHAnsi" w:cstheme="minorHAnsi"/>
        </w:rPr>
      </w:pPr>
    </w:p>
    <w:p w14:paraId="6BE134F1" w14:textId="77777777" w:rsidR="00142711" w:rsidRDefault="00142711" w:rsidP="00B928F2">
      <w:pPr>
        <w:spacing w:line="480" w:lineRule="auto"/>
        <w:rPr>
          <w:rFonts w:asciiTheme="minorHAnsi" w:hAnsiTheme="minorHAnsi" w:cstheme="minorHAnsi"/>
        </w:rPr>
      </w:pPr>
    </w:p>
    <w:p w14:paraId="39B8F7B7" w14:textId="77777777" w:rsidR="00142711" w:rsidRDefault="00142711" w:rsidP="00B928F2">
      <w:pPr>
        <w:spacing w:line="480" w:lineRule="auto"/>
        <w:rPr>
          <w:rFonts w:asciiTheme="minorHAnsi" w:hAnsiTheme="minorHAnsi" w:cstheme="minorHAnsi"/>
        </w:rPr>
      </w:pPr>
    </w:p>
    <w:p w14:paraId="0803EC32" w14:textId="77777777" w:rsidR="00142711" w:rsidRDefault="00142711" w:rsidP="00B928F2">
      <w:pPr>
        <w:spacing w:line="480" w:lineRule="auto"/>
        <w:rPr>
          <w:rFonts w:asciiTheme="minorHAnsi" w:hAnsiTheme="minorHAnsi" w:cstheme="minorHAnsi"/>
        </w:rPr>
      </w:pPr>
    </w:p>
    <w:p w14:paraId="1988DCEF" w14:textId="77777777" w:rsidR="00142711" w:rsidRDefault="00142711" w:rsidP="00B928F2">
      <w:pPr>
        <w:spacing w:line="480" w:lineRule="auto"/>
        <w:rPr>
          <w:rFonts w:asciiTheme="minorHAnsi" w:hAnsiTheme="minorHAnsi" w:cstheme="minorHAnsi"/>
        </w:rPr>
      </w:pPr>
    </w:p>
    <w:p w14:paraId="7479B0BE" w14:textId="77777777" w:rsidR="004726EF" w:rsidRPr="00426739" w:rsidRDefault="004726EF" w:rsidP="00B928F2">
      <w:pPr>
        <w:spacing w:line="480" w:lineRule="auto"/>
        <w:rPr>
          <w:rFonts w:asciiTheme="minorHAnsi" w:hAnsiTheme="minorHAnsi" w:cstheme="minorHAnsi"/>
        </w:rPr>
      </w:pPr>
    </w:p>
    <w:p w14:paraId="64BD8ADB" w14:textId="77777777" w:rsidR="004726EF" w:rsidRPr="004726EF" w:rsidRDefault="004726EF" w:rsidP="004726EF">
      <w:pPr>
        <w:spacing w:line="480" w:lineRule="auto"/>
        <w:rPr>
          <w:rFonts w:ascii="Helvetica" w:hAnsi="Helvetica" w:cstheme="minorHAnsi"/>
          <w:b/>
          <w:lang w:val="en-US"/>
        </w:rPr>
      </w:pPr>
      <w:r w:rsidRPr="004726EF">
        <w:rPr>
          <w:rFonts w:ascii="Helvetica" w:hAnsi="Helvetica" w:cstheme="minorHAnsi"/>
          <w:b/>
          <w:lang w:val="en-US"/>
        </w:rPr>
        <w:t xml:space="preserve">Table 2. </w:t>
      </w:r>
      <w:r w:rsidRPr="004726EF">
        <w:rPr>
          <w:rFonts w:ascii="Helvetica" w:hAnsi="Helvetica" w:cstheme="minorHAnsi"/>
          <w:lang w:val="en-US"/>
        </w:rPr>
        <w:t>Estimated vaccine effectiveness against COVID-19 outcomes 14 to 84 days after matching of the first dose of Oxford-AstraZeneca and Pfizer-</w:t>
      </w:r>
      <w:proofErr w:type="spellStart"/>
      <w:r w:rsidRPr="004726EF">
        <w:rPr>
          <w:rFonts w:ascii="Helvetica" w:hAnsi="Helvetica" w:cstheme="minorHAnsi"/>
          <w:lang w:val="en-US"/>
        </w:rPr>
        <w:t>BioNTech</w:t>
      </w:r>
      <w:proofErr w:type="spellEnd"/>
      <w:r w:rsidRPr="004726EF">
        <w:rPr>
          <w:rFonts w:ascii="Helvetica" w:hAnsi="Helvetica" w:cstheme="minorHAnsi"/>
          <w:lang w:val="en-US"/>
        </w:rPr>
        <w:t xml:space="preserve"> vaccines</w:t>
      </w:r>
    </w:p>
    <w:p w14:paraId="5684E839" w14:textId="77777777" w:rsidR="004726EF" w:rsidRPr="004726EF" w:rsidRDefault="004726EF" w:rsidP="004726EF">
      <w:pPr>
        <w:rPr>
          <w:rFonts w:ascii="Helvetica" w:hAnsi="Helvetica" w:cstheme="minorHAnsi"/>
          <w:lang w:val="en-US"/>
        </w:rPr>
      </w:pPr>
    </w:p>
    <w:tbl>
      <w:tblPr>
        <w:tblStyle w:val="TableGrid"/>
        <w:tblW w:w="10081" w:type="dxa"/>
        <w:tblInd w:w="-5" w:type="dxa"/>
        <w:tblLook w:val="04A0" w:firstRow="1" w:lastRow="0" w:firstColumn="1" w:lastColumn="0" w:noHBand="0" w:noVBand="1"/>
      </w:tblPr>
      <w:tblGrid>
        <w:gridCol w:w="1774"/>
        <w:gridCol w:w="2383"/>
        <w:gridCol w:w="1966"/>
        <w:gridCol w:w="2013"/>
        <w:gridCol w:w="1945"/>
      </w:tblGrid>
      <w:tr w:rsidR="00784E46" w:rsidRPr="004726EF" w14:paraId="22B38E60" w14:textId="77777777" w:rsidTr="00784E46">
        <w:tc>
          <w:tcPr>
            <w:tcW w:w="1774" w:type="dxa"/>
          </w:tcPr>
          <w:p w14:paraId="43CDA56E" w14:textId="77777777" w:rsidR="004726EF" w:rsidRPr="004726EF" w:rsidRDefault="004726EF" w:rsidP="00784E46">
            <w:pPr>
              <w:spacing w:line="480" w:lineRule="auto"/>
              <w:rPr>
                <w:rFonts w:ascii="Helvetica" w:hAnsi="Helvetica" w:cstheme="minorHAnsi"/>
                <w:sz w:val="18"/>
                <w:szCs w:val="18"/>
                <w:lang w:val="en-US"/>
              </w:rPr>
            </w:pPr>
          </w:p>
        </w:tc>
        <w:tc>
          <w:tcPr>
            <w:tcW w:w="2383" w:type="dxa"/>
          </w:tcPr>
          <w:p w14:paraId="435034D1" w14:textId="77777777" w:rsidR="004726EF" w:rsidRPr="004726EF" w:rsidRDefault="004726EF" w:rsidP="00784E46">
            <w:pPr>
              <w:spacing w:line="480" w:lineRule="auto"/>
              <w:rPr>
                <w:rFonts w:ascii="Helvetica" w:hAnsi="Helvetica" w:cstheme="minorHAnsi"/>
                <w:b/>
                <w:sz w:val="18"/>
                <w:szCs w:val="18"/>
                <w:lang w:val="en-US"/>
              </w:rPr>
            </w:pPr>
            <w:r w:rsidRPr="004726EF">
              <w:rPr>
                <w:rFonts w:ascii="Helvetica" w:hAnsi="Helvetica" w:cstheme="minorHAnsi"/>
                <w:b/>
                <w:sz w:val="18"/>
                <w:szCs w:val="18"/>
                <w:lang w:val="en-US"/>
              </w:rPr>
              <w:t>Documented SARS-CoV-2 infection</w:t>
            </w:r>
          </w:p>
        </w:tc>
        <w:tc>
          <w:tcPr>
            <w:tcW w:w="1966" w:type="dxa"/>
          </w:tcPr>
          <w:p w14:paraId="7707172E" w14:textId="77777777" w:rsidR="004726EF" w:rsidRPr="004726EF" w:rsidRDefault="004726EF" w:rsidP="00784E46">
            <w:pPr>
              <w:spacing w:line="480" w:lineRule="auto"/>
              <w:rPr>
                <w:rFonts w:ascii="Helvetica" w:hAnsi="Helvetica" w:cstheme="minorHAnsi"/>
                <w:b/>
                <w:sz w:val="18"/>
                <w:szCs w:val="18"/>
                <w:lang w:val="en-US"/>
              </w:rPr>
            </w:pPr>
            <w:r w:rsidRPr="004726EF">
              <w:rPr>
                <w:rFonts w:ascii="Helvetica" w:hAnsi="Helvetica" w:cstheme="minorHAnsi"/>
                <w:b/>
                <w:sz w:val="18"/>
                <w:szCs w:val="18"/>
                <w:lang w:val="en-US"/>
              </w:rPr>
              <w:t xml:space="preserve">COVID-19 </w:t>
            </w:r>
            <w:proofErr w:type="spellStart"/>
            <w:r w:rsidRPr="004726EF">
              <w:rPr>
                <w:rFonts w:ascii="Helvetica" w:hAnsi="Helvetica" w:cstheme="minorHAnsi"/>
                <w:b/>
                <w:sz w:val="18"/>
                <w:szCs w:val="18"/>
                <w:lang w:val="en-US"/>
              </w:rPr>
              <w:t>hospitalisation</w:t>
            </w:r>
            <w:proofErr w:type="spellEnd"/>
            <w:r w:rsidRPr="004726EF">
              <w:rPr>
                <w:rFonts w:ascii="Helvetica" w:hAnsi="Helvetica" w:cstheme="minorHAnsi"/>
                <w:b/>
                <w:sz w:val="18"/>
                <w:szCs w:val="18"/>
                <w:lang w:val="en-US"/>
              </w:rPr>
              <w:t>*</w:t>
            </w:r>
          </w:p>
        </w:tc>
        <w:tc>
          <w:tcPr>
            <w:tcW w:w="2013" w:type="dxa"/>
          </w:tcPr>
          <w:p w14:paraId="66113712" w14:textId="77777777" w:rsidR="004726EF" w:rsidRPr="004726EF" w:rsidRDefault="004726EF" w:rsidP="00784E46">
            <w:pPr>
              <w:spacing w:line="480" w:lineRule="auto"/>
              <w:rPr>
                <w:rFonts w:ascii="Helvetica" w:hAnsi="Helvetica" w:cstheme="minorHAnsi"/>
                <w:b/>
                <w:sz w:val="18"/>
                <w:szCs w:val="18"/>
                <w:lang w:val="en-US"/>
              </w:rPr>
            </w:pPr>
            <w:r w:rsidRPr="004726EF">
              <w:rPr>
                <w:rFonts w:ascii="Helvetica" w:hAnsi="Helvetica" w:cstheme="minorHAnsi"/>
                <w:b/>
                <w:sz w:val="18"/>
                <w:szCs w:val="18"/>
                <w:lang w:val="en-US"/>
              </w:rPr>
              <w:t xml:space="preserve">COVID-19 mortality </w:t>
            </w:r>
            <w:r w:rsidRPr="004726EF">
              <w:rPr>
                <w:rFonts w:ascii="Helvetica" w:hAnsi="Helvetica" w:cstheme="minorHAnsi"/>
                <w:b/>
                <w:sz w:val="18"/>
                <w:szCs w:val="18"/>
                <w:vertAlign w:val="superscript"/>
                <w:lang w:val="en-US"/>
              </w:rPr>
              <w:t>¥</w:t>
            </w:r>
          </w:p>
        </w:tc>
        <w:tc>
          <w:tcPr>
            <w:tcW w:w="1945" w:type="dxa"/>
          </w:tcPr>
          <w:p w14:paraId="3D7A9504" w14:textId="77777777" w:rsidR="004726EF" w:rsidRPr="004726EF" w:rsidRDefault="004726EF" w:rsidP="00784E46">
            <w:pPr>
              <w:spacing w:line="480" w:lineRule="auto"/>
              <w:rPr>
                <w:rFonts w:ascii="Helvetica" w:hAnsi="Helvetica" w:cstheme="minorHAnsi"/>
                <w:b/>
                <w:sz w:val="18"/>
                <w:szCs w:val="18"/>
                <w:lang w:val="en-US"/>
              </w:rPr>
            </w:pPr>
            <w:r w:rsidRPr="004726EF">
              <w:rPr>
                <w:rFonts w:ascii="Helvetica" w:hAnsi="Helvetica" w:cstheme="minorHAnsi"/>
                <w:b/>
                <w:sz w:val="18"/>
                <w:szCs w:val="18"/>
                <w:lang w:val="en-US"/>
              </w:rPr>
              <w:t>All-cause mortality</w:t>
            </w:r>
          </w:p>
        </w:tc>
      </w:tr>
      <w:tr w:rsidR="00784E46" w:rsidRPr="004726EF" w14:paraId="60D816C7" w14:textId="77777777" w:rsidTr="00784E46">
        <w:tc>
          <w:tcPr>
            <w:tcW w:w="1774" w:type="dxa"/>
          </w:tcPr>
          <w:p w14:paraId="5D69BD22" w14:textId="77777777" w:rsidR="004726EF" w:rsidRPr="004726EF" w:rsidRDefault="004726EF" w:rsidP="00784E46">
            <w:pPr>
              <w:spacing w:line="480" w:lineRule="auto"/>
              <w:rPr>
                <w:rFonts w:ascii="Helvetica" w:hAnsi="Helvetica" w:cstheme="minorHAnsi"/>
                <w:sz w:val="18"/>
                <w:szCs w:val="18"/>
                <w:lang w:val="en-US"/>
              </w:rPr>
            </w:pPr>
          </w:p>
        </w:tc>
        <w:tc>
          <w:tcPr>
            <w:tcW w:w="8307" w:type="dxa"/>
            <w:gridSpan w:val="4"/>
          </w:tcPr>
          <w:p w14:paraId="3C89AD66" w14:textId="77777777" w:rsidR="004726EF" w:rsidRPr="004726EF" w:rsidRDefault="004726EF" w:rsidP="00784E46">
            <w:pPr>
              <w:spacing w:line="480" w:lineRule="auto"/>
              <w:rPr>
                <w:rFonts w:ascii="Helvetica" w:hAnsi="Helvetica" w:cstheme="minorHAnsi"/>
                <w:b/>
                <w:sz w:val="18"/>
                <w:szCs w:val="18"/>
                <w:lang w:val="en-US"/>
              </w:rPr>
            </w:pPr>
            <w:r w:rsidRPr="004726EF">
              <w:rPr>
                <w:rFonts w:ascii="Helvetica" w:hAnsi="Helvetica" w:cstheme="minorHAnsi"/>
                <w:b/>
                <w:sz w:val="18"/>
                <w:szCs w:val="18"/>
                <w:lang w:val="en-US"/>
              </w:rPr>
              <w:t>Number of events</w:t>
            </w:r>
          </w:p>
          <w:p w14:paraId="08CDF90D" w14:textId="77777777" w:rsidR="004726EF" w:rsidRPr="004726EF" w:rsidRDefault="004726EF" w:rsidP="00784E46">
            <w:pPr>
              <w:spacing w:line="480" w:lineRule="auto"/>
              <w:rPr>
                <w:rFonts w:ascii="Helvetica" w:hAnsi="Helvetica" w:cstheme="minorHAnsi"/>
                <w:sz w:val="18"/>
                <w:szCs w:val="18"/>
                <w:lang w:val="en-US"/>
              </w:rPr>
            </w:pPr>
            <w:r w:rsidRPr="004726EF">
              <w:rPr>
                <w:rFonts w:ascii="Helvetica" w:hAnsi="Helvetica" w:cstheme="minorHAnsi"/>
                <w:b/>
                <w:sz w:val="18"/>
                <w:szCs w:val="18"/>
                <w:lang w:val="en-US"/>
              </w:rPr>
              <w:t xml:space="preserve">(rate per 1000 person-years [95%CI]) </w:t>
            </w:r>
          </w:p>
        </w:tc>
      </w:tr>
      <w:tr w:rsidR="00784E46" w:rsidRPr="004726EF" w14:paraId="5028B88A" w14:textId="77777777" w:rsidTr="00784E46">
        <w:tc>
          <w:tcPr>
            <w:tcW w:w="1774" w:type="dxa"/>
          </w:tcPr>
          <w:p w14:paraId="5CEEACD4" w14:textId="77777777" w:rsidR="004726EF" w:rsidRPr="004726EF" w:rsidRDefault="004726EF" w:rsidP="00784E46">
            <w:pPr>
              <w:spacing w:line="480" w:lineRule="auto"/>
              <w:rPr>
                <w:rFonts w:ascii="Helvetica" w:hAnsi="Helvetica" w:cstheme="minorHAnsi"/>
                <w:sz w:val="18"/>
                <w:szCs w:val="18"/>
                <w:lang w:val="en-US"/>
              </w:rPr>
            </w:pPr>
            <w:r w:rsidRPr="004726EF">
              <w:rPr>
                <w:rFonts w:ascii="Helvetica" w:hAnsi="Helvetica" w:cstheme="minorHAnsi"/>
                <w:sz w:val="18"/>
                <w:szCs w:val="18"/>
                <w:lang w:val="en-US"/>
              </w:rPr>
              <w:t>Unvaccinated [U]</w:t>
            </w:r>
          </w:p>
        </w:tc>
        <w:tc>
          <w:tcPr>
            <w:tcW w:w="2383" w:type="dxa"/>
          </w:tcPr>
          <w:p w14:paraId="4B69275E" w14:textId="77777777" w:rsidR="004726EF" w:rsidRPr="004726EF" w:rsidRDefault="004726EF" w:rsidP="00784E46">
            <w:pPr>
              <w:spacing w:line="480" w:lineRule="auto"/>
              <w:rPr>
                <w:rFonts w:ascii="Helvetica" w:hAnsi="Helvetica" w:cstheme="minorHAnsi"/>
                <w:sz w:val="18"/>
                <w:szCs w:val="18"/>
                <w:lang w:val="en-US"/>
              </w:rPr>
            </w:pPr>
            <w:r w:rsidRPr="004726EF">
              <w:rPr>
                <w:rFonts w:ascii="Helvetica" w:hAnsi="Helvetica" w:cstheme="minorHAnsi"/>
                <w:sz w:val="18"/>
                <w:szCs w:val="18"/>
                <w:lang w:val="en-US"/>
              </w:rPr>
              <w:t xml:space="preserve">288 </w:t>
            </w:r>
          </w:p>
          <w:p w14:paraId="1C181FA3" w14:textId="77777777" w:rsidR="004726EF" w:rsidRPr="004726EF" w:rsidRDefault="004726EF" w:rsidP="00784E46">
            <w:pPr>
              <w:spacing w:line="480" w:lineRule="auto"/>
              <w:rPr>
                <w:rFonts w:ascii="Helvetica" w:hAnsi="Helvetica" w:cstheme="minorHAnsi"/>
                <w:sz w:val="18"/>
                <w:szCs w:val="18"/>
                <w:lang w:val="en-US"/>
              </w:rPr>
            </w:pPr>
            <w:r w:rsidRPr="004726EF">
              <w:rPr>
                <w:rFonts w:ascii="Helvetica" w:hAnsi="Helvetica" w:cstheme="minorHAnsi"/>
                <w:sz w:val="18"/>
                <w:szCs w:val="18"/>
                <w:lang w:val="en-US"/>
              </w:rPr>
              <w:t>(18.23 [16.24 to 20.46])</w:t>
            </w:r>
          </w:p>
        </w:tc>
        <w:tc>
          <w:tcPr>
            <w:tcW w:w="1966" w:type="dxa"/>
          </w:tcPr>
          <w:p w14:paraId="64826590" w14:textId="77777777" w:rsidR="004726EF" w:rsidRPr="004726EF" w:rsidRDefault="004726EF" w:rsidP="00784E46">
            <w:pPr>
              <w:spacing w:line="480" w:lineRule="auto"/>
              <w:rPr>
                <w:rFonts w:ascii="Helvetica" w:hAnsi="Helvetica" w:cstheme="minorHAnsi"/>
                <w:sz w:val="18"/>
                <w:szCs w:val="18"/>
                <w:lang w:val="en-US"/>
              </w:rPr>
            </w:pPr>
            <w:r w:rsidRPr="004726EF">
              <w:rPr>
                <w:rFonts w:ascii="Helvetica" w:hAnsi="Helvetica" w:cstheme="minorHAnsi"/>
                <w:sz w:val="18"/>
                <w:szCs w:val="18"/>
                <w:lang w:val="en-US"/>
              </w:rPr>
              <w:t xml:space="preserve">51 </w:t>
            </w:r>
          </w:p>
          <w:p w14:paraId="797F2BBC" w14:textId="77777777" w:rsidR="004726EF" w:rsidRPr="004726EF" w:rsidRDefault="004726EF" w:rsidP="00784E46">
            <w:pPr>
              <w:spacing w:line="480" w:lineRule="auto"/>
              <w:rPr>
                <w:rFonts w:ascii="Helvetica" w:hAnsi="Helvetica" w:cstheme="minorHAnsi"/>
                <w:sz w:val="18"/>
                <w:szCs w:val="18"/>
                <w:lang w:val="en-US"/>
              </w:rPr>
            </w:pPr>
            <w:r w:rsidRPr="004726EF">
              <w:rPr>
                <w:rFonts w:ascii="Helvetica" w:hAnsi="Helvetica" w:cstheme="minorHAnsi"/>
                <w:sz w:val="18"/>
                <w:szCs w:val="18"/>
                <w:lang w:val="en-US"/>
              </w:rPr>
              <w:t>(3.20 [2.43 to 4.21])</w:t>
            </w:r>
          </w:p>
        </w:tc>
        <w:tc>
          <w:tcPr>
            <w:tcW w:w="2013" w:type="dxa"/>
          </w:tcPr>
          <w:p w14:paraId="1EBDD71E" w14:textId="77777777" w:rsidR="004726EF" w:rsidRPr="004726EF" w:rsidRDefault="004726EF" w:rsidP="00784E46">
            <w:pPr>
              <w:spacing w:line="480" w:lineRule="auto"/>
              <w:rPr>
                <w:rFonts w:ascii="Helvetica" w:hAnsi="Helvetica" w:cstheme="minorHAnsi"/>
                <w:sz w:val="18"/>
                <w:szCs w:val="18"/>
                <w:lang w:val="en-US"/>
              </w:rPr>
            </w:pPr>
            <w:r w:rsidRPr="004726EF">
              <w:rPr>
                <w:rFonts w:ascii="Helvetica" w:hAnsi="Helvetica" w:cstheme="minorHAnsi"/>
                <w:sz w:val="18"/>
                <w:szCs w:val="18"/>
                <w:lang w:val="en-US"/>
              </w:rPr>
              <w:t xml:space="preserve">25 </w:t>
            </w:r>
          </w:p>
          <w:p w14:paraId="73F24B46" w14:textId="77777777" w:rsidR="004726EF" w:rsidRPr="004726EF" w:rsidRDefault="004726EF" w:rsidP="00784E46">
            <w:pPr>
              <w:spacing w:line="480" w:lineRule="auto"/>
              <w:rPr>
                <w:rFonts w:ascii="Helvetica" w:hAnsi="Helvetica" w:cstheme="minorHAnsi"/>
                <w:sz w:val="18"/>
                <w:szCs w:val="18"/>
                <w:highlight w:val="cyan"/>
                <w:lang w:val="en-US"/>
              </w:rPr>
            </w:pPr>
            <w:r w:rsidRPr="004726EF">
              <w:rPr>
                <w:rFonts w:ascii="Helvetica" w:hAnsi="Helvetica" w:cstheme="minorHAnsi"/>
                <w:sz w:val="18"/>
                <w:szCs w:val="18"/>
                <w:lang w:val="en-US"/>
              </w:rPr>
              <w:t>(1.57 [1.06 to 2.32])</w:t>
            </w:r>
          </w:p>
        </w:tc>
        <w:tc>
          <w:tcPr>
            <w:tcW w:w="1945" w:type="dxa"/>
          </w:tcPr>
          <w:p w14:paraId="313EB12B" w14:textId="77777777" w:rsidR="004726EF" w:rsidRPr="004726EF" w:rsidRDefault="004726EF" w:rsidP="00784E46">
            <w:pPr>
              <w:spacing w:line="480" w:lineRule="auto"/>
              <w:rPr>
                <w:rFonts w:ascii="Helvetica" w:hAnsi="Helvetica" w:cstheme="minorHAnsi"/>
                <w:sz w:val="18"/>
                <w:szCs w:val="18"/>
                <w:lang w:val="en-US"/>
              </w:rPr>
            </w:pPr>
            <w:r w:rsidRPr="004726EF">
              <w:rPr>
                <w:rFonts w:ascii="Helvetica" w:hAnsi="Helvetica" w:cstheme="minorHAnsi"/>
                <w:sz w:val="18"/>
                <w:szCs w:val="18"/>
                <w:lang w:val="en-US"/>
              </w:rPr>
              <w:t xml:space="preserve">154 </w:t>
            </w:r>
          </w:p>
          <w:p w14:paraId="4D1F9876" w14:textId="77777777" w:rsidR="004726EF" w:rsidRPr="004726EF" w:rsidRDefault="004726EF" w:rsidP="00784E46">
            <w:pPr>
              <w:spacing w:line="480" w:lineRule="auto"/>
              <w:rPr>
                <w:rFonts w:ascii="Helvetica" w:hAnsi="Helvetica" w:cstheme="minorHAnsi"/>
                <w:sz w:val="18"/>
                <w:szCs w:val="18"/>
                <w:lang w:val="en-US"/>
              </w:rPr>
            </w:pPr>
            <w:r w:rsidRPr="004726EF">
              <w:rPr>
                <w:rFonts w:ascii="Helvetica" w:hAnsi="Helvetica" w:cstheme="minorHAnsi"/>
                <w:sz w:val="18"/>
                <w:szCs w:val="18"/>
                <w:lang w:val="en-US"/>
              </w:rPr>
              <w:t>(9.65 [8.24 to 11.31])</w:t>
            </w:r>
          </w:p>
        </w:tc>
      </w:tr>
      <w:tr w:rsidR="00784E46" w:rsidRPr="004726EF" w14:paraId="09E13E69" w14:textId="77777777" w:rsidTr="00784E46">
        <w:tc>
          <w:tcPr>
            <w:tcW w:w="1774" w:type="dxa"/>
          </w:tcPr>
          <w:p w14:paraId="453C5F86" w14:textId="77777777" w:rsidR="004726EF" w:rsidRPr="004726EF" w:rsidRDefault="004726EF" w:rsidP="00784E46">
            <w:pPr>
              <w:spacing w:line="480" w:lineRule="auto"/>
              <w:rPr>
                <w:rFonts w:ascii="Helvetica" w:hAnsi="Helvetica" w:cstheme="minorHAnsi"/>
                <w:sz w:val="18"/>
                <w:szCs w:val="18"/>
                <w:lang w:val="en-US"/>
              </w:rPr>
            </w:pPr>
            <w:r w:rsidRPr="004726EF">
              <w:rPr>
                <w:rFonts w:ascii="Helvetica" w:hAnsi="Helvetica" w:cstheme="minorHAnsi"/>
                <w:sz w:val="18"/>
                <w:szCs w:val="18"/>
                <w:lang w:val="en-US"/>
              </w:rPr>
              <w:t>Oxford-AstraZeneca [AZ]</w:t>
            </w:r>
          </w:p>
        </w:tc>
        <w:tc>
          <w:tcPr>
            <w:tcW w:w="2383" w:type="dxa"/>
          </w:tcPr>
          <w:p w14:paraId="382965E8" w14:textId="77777777" w:rsidR="004726EF" w:rsidRPr="004726EF" w:rsidRDefault="004726EF" w:rsidP="00784E46">
            <w:pPr>
              <w:spacing w:line="480" w:lineRule="auto"/>
              <w:rPr>
                <w:rFonts w:ascii="Helvetica" w:hAnsi="Helvetica" w:cstheme="minorHAnsi"/>
                <w:sz w:val="18"/>
                <w:szCs w:val="18"/>
                <w:lang w:val="en-US"/>
              </w:rPr>
            </w:pPr>
            <w:r w:rsidRPr="004726EF">
              <w:rPr>
                <w:rFonts w:ascii="Helvetica" w:hAnsi="Helvetica" w:cstheme="minorHAnsi"/>
                <w:sz w:val="18"/>
                <w:szCs w:val="18"/>
                <w:lang w:val="en-US"/>
              </w:rPr>
              <w:t xml:space="preserve">136 </w:t>
            </w:r>
          </w:p>
          <w:p w14:paraId="27374109" w14:textId="77777777" w:rsidR="004726EF" w:rsidRPr="004726EF" w:rsidRDefault="004726EF" w:rsidP="00784E46">
            <w:pPr>
              <w:spacing w:line="480" w:lineRule="auto"/>
              <w:rPr>
                <w:rFonts w:ascii="Helvetica" w:hAnsi="Helvetica" w:cstheme="minorHAnsi"/>
                <w:sz w:val="18"/>
                <w:szCs w:val="18"/>
                <w:lang w:val="en-US"/>
              </w:rPr>
            </w:pPr>
            <w:r w:rsidRPr="004726EF">
              <w:rPr>
                <w:rFonts w:ascii="Helvetica" w:hAnsi="Helvetica" w:cstheme="minorHAnsi"/>
                <w:sz w:val="18"/>
                <w:szCs w:val="18"/>
                <w:lang w:val="en-US"/>
              </w:rPr>
              <w:t>(15.11 [12.77 to 17.88])</w:t>
            </w:r>
          </w:p>
        </w:tc>
        <w:tc>
          <w:tcPr>
            <w:tcW w:w="1966" w:type="dxa"/>
          </w:tcPr>
          <w:p w14:paraId="0DC6C240" w14:textId="77777777" w:rsidR="004726EF" w:rsidRPr="004726EF" w:rsidRDefault="004726EF" w:rsidP="00784E46">
            <w:pPr>
              <w:spacing w:line="480" w:lineRule="auto"/>
              <w:rPr>
                <w:rFonts w:ascii="Helvetica" w:hAnsi="Helvetica" w:cstheme="minorHAnsi"/>
                <w:sz w:val="18"/>
                <w:szCs w:val="18"/>
                <w:lang w:val="en-US"/>
              </w:rPr>
            </w:pPr>
            <w:r w:rsidRPr="004726EF">
              <w:rPr>
                <w:rFonts w:ascii="Helvetica" w:hAnsi="Helvetica" w:cstheme="minorHAnsi"/>
                <w:sz w:val="18"/>
                <w:szCs w:val="18"/>
                <w:lang w:val="en-US"/>
              </w:rPr>
              <w:t xml:space="preserve">7 </w:t>
            </w:r>
          </w:p>
          <w:p w14:paraId="1D16CBC5" w14:textId="77777777" w:rsidR="004726EF" w:rsidRPr="004726EF" w:rsidRDefault="004726EF" w:rsidP="00784E46">
            <w:pPr>
              <w:spacing w:line="480" w:lineRule="auto"/>
              <w:rPr>
                <w:rFonts w:ascii="Helvetica" w:hAnsi="Helvetica" w:cstheme="minorHAnsi"/>
                <w:sz w:val="18"/>
                <w:szCs w:val="18"/>
                <w:lang w:val="en-US"/>
              </w:rPr>
            </w:pPr>
            <w:r w:rsidRPr="004726EF">
              <w:rPr>
                <w:rFonts w:ascii="Helvetica" w:hAnsi="Helvetica" w:cstheme="minorHAnsi"/>
                <w:sz w:val="18"/>
                <w:szCs w:val="18"/>
                <w:lang w:val="en-US"/>
              </w:rPr>
              <w:t>(0.77 [0.37 to 1.62])</w:t>
            </w:r>
          </w:p>
        </w:tc>
        <w:tc>
          <w:tcPr>
            <w:tcW w:w="2013" w:type="dxa"/>
          </w:tcPr>
          <w:p w14:paraId="0E941917" w14:textId="77777777" w:rsidR="004726EF" w:rsidRPr="004726EF" w:rsidRDefault="004726EF" w:rsidP="00784E46">
            <w:pPr>
              <w:spacing w:line="480" w:lineRule="auto"/>
              <w:rPr>
                <w:rFonts w:ascii="Helvetica" w:hAnsi="Helvetica" w:cstheme="minorHAnsi"/>
                <w:sz w:val="18"/>
                <w:szCs w:val="18"/>
                <w:lang w:val="en-US"/>
              </w:rPr>
            </w:pPr>
            <w:r w:rsidRPr="004726EF">
              <w:rPr>
                <w:rFonts w:ascii="Helvetica" w:hAnsi="Helvetica" w:cstheme="minorHAnsi"/>
                <w:sz w:val="18"/>
                <w:szCs w:val="18"/>
                <w:lang w:val="en-US"/>
              </w:rPr>
              <w:t xml:space="preserve">2 </w:t>
            </w:r>
          </w:p>
          <w:p w14:paraId="629336A2" w14:textId="77777777" w:rsidR="004726EF" w:rsidRPr="004726EF" w:rsidRDefault="004726EF" w:rsidP="00784E46">
            <w:pPr>
              <w:spacing w:line="480" w:lineRule="auto"/>
              <w:rPr>
                <w:rFonts w:ascii="Helvetica" w:hAnsi="Helvetica" w:cstheme="minorHAnsi"/>
                <w:sz w:val="18"/>
                <w:szCs w:val="18"/>
                <w:highlight w:val="cyan"/>
                <w:lang w:val="en-US"/>
              </w:rPr>
            </w:pPr>
            <w:r w:rsidRPr="004726EF">
              <w:rPr>
                <w:rFonts w:ascii="Helvetica" w:hAnsi="Helvetica" w:cstheme="minorHAnsi"/>
                <w:sz w:val="18"/>
                <w:szCs w:val="18"/>
                <w:lang w:val="en-US"/>
              </w:rPr>
              <w:t>(0.22 [0.06 to 0.88])</w:t>
            </w:r>
          </w:p>
        </w:tc>
        <w:tc>
          <w:tcPr>
            <w:tcW w:w="1945" w:type="dxa"/>
          </w:tcPr>
          <w:p w14:paraId="44A3D64B" w14:textId="77777777" w:rsidR="004726EF" w:rsidRPr="004726EF" w:rsidRDefault="004726EF" w:rsidP="00784E46">
            <w:pPr>
              <w:spacing w:line="480" w:lineRule="auto"/>
              <w:rPr>
                <w:rFonts w:ascii="Helvetica" w:hAnsi="Helvetica" w:cstheme="minorHAnsi"/>
                <w:sz w:val="18"/>
                <w:szCs w:val="18"/>
                <w:lang w:val="en-US"/>
              </w:rPr>
            </w:pPr>
            <w:r w:rsidRPr="004726EF">
              <w:rPr>
                <w:rFonts w:ascii="Helvetica" w:hAnsi="Helvetica" w:cstheme="minorHAnsi"/>
                <w:sz w:val="18"/>
                <w:szCs w:val="18"/>
                <w:lang w:val="en-US"/>
              </w:rPr>
              <w:t xml:space="preserve">21 </w:t>
            </w:r>
          </w:p>
          <w:p w14:paraId="5C60D53C" w14:textId="77777777" w:rsidR="004726EF" w:rsidRPr="004726EF" w:rsidRDefault="004726EF" w:rsidP="00784E46">
            <w:pPr>
              <w:spacing w:line="480" w:lineRule="auto"/>
              <w:rPr>
                <w:rFonts w:ascii="Helvetica" w:hAnsi="Helvetica" w:cstheme="minorHAnsi"/>
                <w:sz w:val="18"/>
                <w:szCs w:val="18"/>
                <w:lang w:val="en-US"/>
              </w:rPr>
            </w:pPr>
            <w:r w:rsidRPr="004726EF">
              <w:rPr>
                <w:rFonts w:ascii="Helvetica" w:hAnsi="Helvetica" w:cstheme="minorHAnsi"/>
                <w:sz w:val="18"/>
                <w:szCs w:val="18"/>
                <w:lang w:val="en-US"/>
              </w:rPr>
              <w:t>(2.31 [1.51 to 3.55])</w:t>
            </w:r>
          </w:p>
        </w:tc>
      </w:tr>
      <w:tr w:rsidR="00784E46" w:rsidRPr="004726EF" w14:paraId="1E14C452" w14:textId="77777777" w:rsidTr="00784E46">
        <w:tc>
          <w:tcPr>
            <w:tcW w:w="1774" w:type="dxa"/>
          </w:tcPr>
          <w:p w14:paraId="2123ECEE" w14:textId="77777777" w:rsidR="004726EF" w:rsidRPr="004726EF" w:rsidRDefault="004726EF" w:rsidP="00784E46">
            <w:pPr>
              <w:spacing w:line="480" w:lineRule="auto"/>
              <w:rPr>
                <w:rFonts w:ascii="Helvetica" w:hAnsi="Helvetica" w:cstheme="minorHAnsi"/>
                <w:sz w:val="18"/>
                <w:szCs w:val="18"/>
                <w:lang w:val="en-US"/>
              </w:rPr>
            </w:pPr>
            <w:r w:rsidRPr="004726EF">
              <w:rPr>
                <w:rFonts w:ascii="Helvetica" w:hAnsi="Helvetica" w:cstheme="minorHAnsi"/>
                <w:sz w:val="18"/>
                <w:szCs w:val="18"/>
                <w:lang w:val="en-US"/>
              </w:rPr>
              <w:t>Pfizer-</w:t>
            </w:r>
            <w:proofErr w:type="spellStart"/>
            <w:r w:rsidRPr="004726EF">
              <w:rPr>
                <w:rFonts w:ascii="Helvetica" w:hAnsi="Helvetica" w:cstheme="minorHAnsi"/>
                <w:sz w:val="18"/>
                <w:szCs w:val="18"/>
                <w:lang w:val="en-US"/>
              </w:rPr>
              <w:t>BioNTech</w:t>
            </w:r>
            <w:proofErr w:type="spellEnd"/>
            <w:r w:rsidRPr="004726EF">
              <w:rPr>
                <w:rFonts w:ascii="Helvetica" w:hAnsi="Helvetica" w:cstheme="minorHAnsi"/>
                <w:sz w:val="18"/>
                <w:szCs w:val="18"/>
                <w:lang w:val="en-US"/>
              </w:rPr>
              <w:t xml:space="preserve"> [P]</w:t>
            </w:r>
          </w:p>
        </w:tc>
        <w:tc>
          <w:tcPr>
            <w:tcW w:w="2383" w:type="dxa"/>
          </w:tcPr>
          <w:p w14:paraId="7A45356F" w14:textId="77777777" w:rsidR="004726EF" w:rsidRPr="004726EF" w:rsidRDefault="004726EF" w:rsidP="00784E46">
            <w:pPr>
              <w:spacing w:line="480" w:lineRule="auto"/>
              <w:rPr>
                <w:rFonts w:ascii="Helvetica" w:hAnsi="Helvetica" w:cstheme="minorHAnsi"/>
                <w:sz w:val="18"/>
                <w:szCs w:val="18"/>
                <w:lang w:val="en-US"/>
              </w:rPr>
            </w:pPr>
            <w:r w:rsidRPr="004726EF">
              <w:rPr>
                <w:rFonts w:ascii="Helvetica" w:hAnsi="Helvetica" w:cstheme="minorHAnsi"/>
                <w:sz w:val="18"/>
                <w:szCs w:val="18"/>
                <w:lang w:val="en-US"/>
              </w:rPr>
              <w:t xml:space="preserve">110 </w:t>
            </w:r>
          </w:p>
          <w:p w14:paraId="4C1FCE65" w14:textId="77777777" w:rsidR="004726EF" w:rsidRPr="004726EF" w:rsidRDefault="004726EF" w:rsidP="00784E46">
            <w:pPr>
              <w:spacing w:line="480" w:lineRule="auto"/>
              <w:rPr>
                <w:rFonts w:ascii="Helvetica" w:hAnsi="Helvetica" w:cstheme="minorHAnsi"/>
                <w:sz w:val="18"/>
                <w:szCs w:val="18"/>
                <w:lang w:val="en-US"/>
              </w:rPr>
            </w:pPr>
            <w:r w:rsidRPr="004726EF">
              <w:rPr>
                <w:rFonts w:ascii="Helvetica" w:hAnsi="Helvetica" w:cstheme="minorHAnsi"/>
                <w:sz w:val="18"/>
                <w:szCs w:val="18"/>
                <w:lang w:val="en-US"/>
              </w:rPr>
              <w:t>(12.44 [10.32 to 14.99])</w:t>
            </w:r>
          </w:p>
        </w:tc>
        <w:tc>
          <w:tcPr>
            <w:tcW w:w="1966" w:type="dxa"/>
          </w:tcPr>
          <w:p w14:paraId="7B3DE842" w14:textId="77777777" w:rsidR="004726EF" w:rsidRPr="004726EF" w:rsidRDefault="004726EF" w:rsidP="00784E46">
            <w:pPr>
              <w:spacing w:line="480" w:lineRule="auto"/>
              <w:rPr>
                <w:rFonts w:ascii="Helvetica" w:hAnsi="Helvetica" w:cstheme="minorHAnsi"/>
                <w:sz w:val="18"/>
                <w:szCs w:val="18"/>
                <w:lang w:val="en-US"/>
              </w:rPr>
            </w:pPr>
            <w:r w:rsidRPr="004726EF">
              <w:rPr>
                <w:rFonts w:ascii="Helvetica" w:hAnsi="Helvetica" w:cstheme="minorHAnsi"/>
                <w:sz w:val="18"/>
                <w:szCs w:val="18"/>
                <w:lang w:val="en-US"/>
              </w:rPr>
              <w:t xml:space="preserve">7 </w:t>
            </w:r>
          </w:p>
          <w:p w14:paraId="11041794" w14:textId="77777777" w:rsidR="004726EF" w:rsidRPr="004726EF" w:rsidRDefault="004726EF" w:rsidP="00784E46">
            <w:pPr>
              <w:spacing w:line="480" w:lineRule="auto"/>
              <w:rPr>
                <w:rFonts w:ascii="Helvetica" w:hAnsi="Helvetica" w:cstheme="minorHAnsi"/>
                <w:sz w:val="18"/>
                <w:szCs w:val="18"/>
                <w:lang w:val="en-US"/>
              </w:rPr>
            </w:pPr>
            <w:r w:rsidRPr="004726EF">
              <w:rPr>
                <w:rFonts w:ascii="Helvetica" w:hAnsi="Helvetica" w:cstheme="minorHAnsi"/>
                <w:sz w:val="18"/>
                <w:szCs w:val="18"/>
                <w:lang w:val="en-US"/>
              </w:rPr>
              <w:t>(0.78 [0.37 to 1.65])</w:t>
            </w:r>
          </w:p>
        </w:tc>
        <w:tc>
          <w:tcPr>
            <w:tcW w:w="2013" w:type="dxa"/>
          </w:tcPr>
          <w:p w14:paraId="650935F2" w14:textId="77777777" w:rsidR="004726EF" w:rsidRPr="004726EF" w:rsidRDefault="004726EF" w:rsidP="00784E46">
            <w:pPr>
              <w:spacing w:line="480" w:lineRule="auto"/>
              <w:rPr>
                <w:rFonts w:ascii="Helvetica" w:hAnsi="Helvetica" w:cstheme="minorHAnsi"/>
                <w:sz w:val="18"/>
                <w:szCs w:val="18"/>
                <w:lang w:val="en-US"/>
              </w:rPr>
            </w:pPr>
            <w:r w:rsidRPr="004726EF">
              <w:rPr>
                <w:rFonts w:ascii="Helvetica" w:hAnsi="Helvetica" w:cstheme="minorHAnsi"/>
                <w:sz w:val="18"/>
                <w:szCs w:val="18"/>
                <w:lang w:val="en-US"/>
              </w:rPr>
              <w:t xml:space="preserve">2 </w:t>
            </w:r>
          </w:p>
          <w:p w14:paraId="2D67730F" w14:textId="77777777" w:rsidR="004726EF" w:rsidRPr="004726EF" w:rsidRDefault="004726EF" w:rsidP="00784E46">
            <w:pPr>
              <w:spacing w:line="480" w:lineRule="auto"/>
              <w:rPr>
                <w:rFonts w:ascii="Helvetica" w:hAnsi="Helvetica" w:cstheme="minorHAnsi"/>
                <w:sz w:val="18"/>
                <w:szCs w:val="18"/>
                <w:highlight w:val="cyan"/>
                <w:lang w:val="en-US"/>
              </w:rPr>
            </w:pPr>
            <w:r w:rsidRPr="004726EF">
              <w:rPr>
                <w:rFonts w:ascii="Helvetica" w:hAnsi="Helvetica" w:cstheme="minorHAnsi"/>
                <w:sz w:val="18"/>
                <w:szCs w:val="18"/>
                <w:lang w:val="en-US"/>
              </w:rPr>
              <w:t>(0.22 [0.06 to 0.90])</w:t>
            </w:r>
          </w:p>
        </w:tc>
        <w:tc>
          <w:tcPr>
            <w:tcW w:w="1945" w:type="dxa"/>
          </w:tcPr>
          <w:p w14:paraId="74B5E0BC" w14:textId="77777777" w:rsidR="004726EF" w:rsidRPr="004726EF" w:rsidRDefault="004726EF" w:rsidP="00784E46">
            <w:pPr>
              <w:spacing w:line="480" w:lineRule="auto"/>
              <w:rPr>
                <w:rFonts w:ascii="Helvetica" w:hAnsi="Helvetica" w:cstheme="minorHAnsi"/>
                <w:sz w:val="18"/>
                <w:szCs w:val="18"/>
                <w:lang w:val="en-US"/>
              </w:rPr>
            </w:pPr>
            <w:r w:rsidRPr="004726EF">
              <w:rPr>
                <w:rFonts w:ascii="Helvetica" w:hAnsi="Helvetica" w:cstheme="minorHAnsi"/>
                <w:sz w:val="18"/>
                <w:szCs w:val="18"/>
                <w:lang w:val="en-US"/>
              </w:rPr>
              <w:t xml:space="preserve">15 </w:t>
            </w:r>
          </w:p>
          <w:p w14:paraId="007B87C8" w14:textId="77777777" w:rsidR="004726EF" w:rsidRPr="004726EF" w:rsidRDefault="004726EF" w:rsidP="00784E46">
            <w:pPr>
              <w:spacing w:line="480" w:lineRule="auto"/>
              <w:rPr>
                <w:rFonts w:ascii="Helvetica" w:hAnsi="Helvetica" w:cstheme="minorHAnsi"/>
                <w:sz w:val="18"/>
                <w:szCs w:val="18"/>
                <w:lang w:val="en-US"/>
              </w:rPr>
            </w:pPr>
            <w:r w:rsidRPr="004726EF">
              <w:rPr>
                <w:rFonts w:ascii="Helvetica" w:hAnsi="Helvetica" w:cstheme="minorHAnsi"/>
                <w:sz w:val="18"/>
                <w:szCs w:val="18"/>
                <w:lang w:val="en-US"/>
              </w:rPr>
              <w:t>(1.68 [1.01 to 2.79])</w:t>
            </w:r>
          </w:p>
        </w:tc>
      </w:tr>
      <w:tr w:rsidR="00784E46" w:rsidRPr="004726EF" w14:paraId="6ADDBF19" w14:textId="77777777" w:rsidTr="00784E46">
        <w:tc>
          <w:tcPr>
            <w:tcW w:w="1774" w:type="dxa"/>
          </w:tcPr>
          <w:p w14:paraId="1DBC4E44" w14:textId="77777777" w:rsidR="004726EF" w:rsidRPr="004726EF" w:rsidRDefault="004726EF" w:rsidP="00784E46">
            <w:pPr>
              <w:spacing w:line="480" w:lineRule="auto"/>
              <w:rPr>
                <w:rFonts w:ascii="Helvetica" w:hAnsi="Helvetica" w:cstheme="minorHAnsi"/>
                <w:sz w:val="18"/>
                <w:szCs w:val="18"/>
                <w:lang w:val="en-US"/>
              </w:rPr>
            </w:pPr>
          </w:p>
        </w:tc>
        <w:tc>
          <w:tcPr>
            <w:tcW w:w="8307" w:type="dxa"/>
            <w:gridSpan w:val="4"/>
          </w:tcPr>
          <w:p w14:paraId="5C1348D3" w14:textId="77777777" w:rsidR="004726EF" w:rsidRPr="004726EF" w:rsidRDefault="004726EF" w:rsidP="00784E46">
            <w:pPr>
              <w:spacing w:line="480" w:lineRule="auto"/>
              <w:rPr>
                <w:rFonts w:ascii="Helvetica" w:hAnsi="Helvetica" w:cstheme="minorHAnsi"/>
                <w:b/>
                <w:sz w:val="18"/>
                <w:szCs w:val="18"/>
                <w:lang w:val="en-US"/>
              </w:rPr>
            </w:pPr>
            <w:r w:rsidRPr="004726EF">
              <w:rPr>
                <w:rFonts w:ascii="Helvetica" w:hAnsi="Helvetica" w:cstheme="minorHAnsi"/>
                <w:b/>
                <w:sz w:val="18"/>
                <w:szCs w:val="18"/>
                <w:lang w:val="en-US"/>
              </w:rPr>
              <w:t>Incidence rate ratios (95%CI) – p-value)</w:t>
            </w:r>
          </w:p>
        </w:tc>
      </w:tr>
      <w:tr w:rsidR="00784E46" w:rsidRPr="004726EF" w14:paraId="39BD9232" w14:textId="77777777" w:rsidTr="00784E46">
        <w:trPr>
          <w:trHeight w:val="197"/>
        </w:trPr>
        <w:tc>
          <w:tcPr>
            <w:tcW w:w="1774" w:type="dxa"/>
          </w:tcPr>
          <w:p w14:paraId="57F90E94" w14:textId="77777777" w:rsidR="004726EF" w:rsidRPr="004726EF" w:rsidRDefault="004726EF" w:rsidP="00784E46">
            <w:pPr>
              <w:spacing w:line="480" w:lineRule="auto"/>
              <w:rPr>
                <w:rFonts w:ascii="Helvetica" w:hAnsi="Helvetica" w:cstheme="minorHAnsi"/>
                <w:sz w:val="18"/>
                <w:szCs w:val="18"/>
                <w:lang w:val="en-US"/>
              </w:rPr>
            </w:pPr>
            <w:r w:rsidRPr="004726EF">
              <w:rPr>
                <w:rFonts w:ascii="Helvetica" w:hAnsi="Helvetica" w:cstheme="minorHAnsi"/>
                <w:sz w:val="18"/>
                <w:szCs w:val="18"/>
                <w:lang w:val="en-US"/>
              </w:rPr>
              <w:t>AZ vs U</w:t>
            </w:r>
          </w:p>
        </w:tc>
        <w:tc>
          <w:tcPr>
            <w:tcW w:w="2383" w:type="dxa"/>
            <w:vAlign w:val="bottom"/>
          </w:tcPr>
          <w:p w14:paraId="08B11E35" w14:textId="77777777" w:rsidR="004726EF" w:rsidRPr="004726EF" w:rsidRDefault="004726EF" w:rsidP="00784E46">
            <w:pPr>
              <w:spacing w:line="480" w:lineRule="auto"/>
              <w:rPr>
                <w:rFonts w:ascii="Helvetica" w:hAnsi="Helvetica" w:cstheme="minorHAnsi"/>
                <w:color w:val="000000"/>
                <w:sz w:val="18"/>
                <w:szCs w:val="18"/>
              </w:rPr>
            </w:pPr>
            <w:r w:rsidRPr="004726EF">
              <w:rPr>
                <w:rFonts w:ascii="Helvetica" w:hAnsi="Helvetica" w:cstheme="minorHAnsi"/>
                <w:color w:val="000000"/>
                <w:sz w:val="18"/>
                <w:szCs w:val="18"/>
              </w:rPr>
              <w:t>0.85 (0.69 to 1.05) - p=0.121</w:t>
            </w:r>
          </w:p>
        </w:tc>
        <w:tc>
          <w:tcPr>
            <w:tcW w:w="1966" w:type="dxa"/>
            <w:vAlign w:val="bottom"/>
          </w:tcPr>
          <w:p w14:paraId="0DE093F3" w14:textId="77777777" w:rsidR="004726EF" w:rsidRPr="004726EF" w:rsidRDefault="004726EF" w:rsidP="00784E46">
            <w:pPr>
              <w:spacing w:line="480" w:lineRule="auto"/>
              <w:rPr>
                <w:rFonts w:ascii="Helvetica" w:hAnsi="Helvetica" w:cstheme="minorHAnsi"/>
                <w:color w:val="000000"/>
                <w:sz w:val="18"/>
                <w:szCs w:val="18"/>
              </w:rPr>
            </w:pPr>
            <w:r w:rsidRPr="004726EF">
              <w:rPr>
                <w:rFonts w:ascii="Helvetica" w:hAnsi="Helvetica" w:cstheme="minorHAnsi"/>
                <w:color w:val="000000"/>
                <w:sz w:val="18"/>
                <w:szCs w:val="18"/>
              </w:rPr>
              <w:t>0.25 (0.09 to 0.55) - p&lt;0.001</w:t>
            </w:r>
          </w:p>
        </w:tc>
        <w:tc>
          <w:tcPr>
            <w:tcW w:w="2013" w:type="dxa"/>
            <w:vAlign w:val="bottom"/>
          </w:tcPr>
          <w:p w14:paraId="7B9889B2" w14:textId="77777777" w:rsidR="004726EF" w:rsidRPr="004726EF" w:rsidRDefault="004726EF" w:rsidP="00784E46">
            <w:pPr>
              <w:spacing w:line="480" w:lineRule="auto"/>
              <w:rPr>
                <w:rFonts w:ascii="Helvetica" w:hAnsi="Helvetica" w:cstheme="minorHAnsi"/>
                <w:color w:val="000000"/>
                <w:sz w:val="18"/>
                <w:szCs w:val="18"/>
                <w:highlight w:val="cyan"/>
              </w:rPr>
            </w:pPr>
            <w:r w:rsidRPr="004726EF">
              <w:rPr>
                <w:rFonts w:ascii="Helvetica" w:hAnsi="Helvetica" w:cstheme="minorHAnsi"/>
                <w:color w:val="000000"/>
                <w:sz w:val="18"/>
                <w:szCs w:val="18"/>
              </w:rPr>
              <w:t>0.14 (0.02 to 0.58) - p&lt;0.001</w:t>
            </w:r>
          </w:p>
        </w:tc>
        <w:tc>
          <w:tcPr>
            <w:tcW w:w="1945" w:type="dxa"/>
            <w:vAlign w:val="bottom"/>
          </w:tcPr>
          <w:p w14:paraId="25E76940" w14:textId="77777777" w:rsidR="004726EF" w:rsidRPr="004726EF" w:rsidRDefault="004726EF" w:rsidP="00784E46">
            <w:pPr>
              <w:spacing w:line="480" w:lineRule="auto"/>
              <w:rPr>
                <w:rFonts w:ascii="Helvetica" w:hAnsi="Helvetica" w:cstheme="minorHAnsi"/>
                <w:color w:val="000000"/>
                <w:sz w:val="18"/>
                <w:szCs w:val="18"/>
              </w:rPr>
            </w:pPr>
            <w:r w:rsidRPr="004726EF">
              <w:rPr>
                <w:rFonts w:ascii="Helvetica" w:hAnsi="Helvetica" w:cstheme="minorHAnsi"/>
                <w:color w:val="000000"/>
                <w:sz w:val="18"/>
                <w:szCs w:val="18"/>
              </w:rPr>
              <w:t>0.25 (0.15 to 0.39) - p&lt;0.001</w:t>
            </w:r>
          </w:p>
        </w:tc>
      </w:tr>
      <w:tr w:rsidR="00784E46" w:rsidRPr="004726EF" w14:paraId="27055876" w14:textId="77777777" w:rsidTr="00784E46">
        <w:tc>
          <w:tcPr>
            <w:tcW w:w="1774" w:type="dxa"/>
          </w:tcPr>
          <w:p w14:paraId="389E48C1" w14:textId="77777777" w:rsidR="004726EF" w:rsidRPr="004726EF" w:rsidRDefault="004726EF" w:rsidP="00784E46">
            <w:pPr>
              <w:spacing w:line="480" w:lineRule="auto"/>
              <w:rPr>
                <w:rFonts w:ascii="Helvetica" w:hAnsi="Helvetica" w:cstheme="minorHAnsi"/>
                <w:sz w:val="18"/>
                <w:szCs w:val="18"/>
                <w:lang w:val="en-US"/>
              </w:rPr>
            </w:pPr>
            <w:r w:rsidRPr="004726EF">
              <w:rPr>
                <w:rFonts w:ascii="Helvetica" w:hAnsi="Helvetica" w:cstheme="minorHAnsi"/>
                <w:sz w:val="18"/>
                <w:szCs w:val="18"/>
                <w:lang w:val="en-US"/>
              </w:rPr>
              <w:t>P vs U</w:t>
            </w:r>
          </w:p>
        </w:tc>
        <w:tc>
          <w:tcPr>
            <w:tcW w:w="2383" w:type="dxa"/>
            <w:vAlign w:val="bottom"/>
          </w:tcPr>
          <w:p w14:paraId="2B59DD9F" w14:textId="77777777" w:rsidR="004726EF" w:rsidRPr="004726EF" w:rsidRDefault="004726EF" w:rsidP="00784E46">
            <w:pPr>
              <w:spacing w:line="480" w:lineRule="auto"/>
              <w:rPr>
                <w:rFonts w:ascii="Helvetica" w:hAnsi="Helvetica" w:cstheme="minorHAnsi"/>
                <w:color w:val="000000"/>
                <w:sz w:val="18"/>
                <w:szCs w:val="18"/>
              </w:rPr>
            </w:pPr>
            <w:r w:rsidRPr="004726EF">
              <w:rPr>
                <w:rFonts w:ascii="Helvetica" w:hAnsi="Helvetica" w:cstheme="minorHAnsi"/>
                <w:color w:val="000000"/>
                <w:sz w:val="18"/>
                <w:szCs w:val="18"/>
              </w:rPr>
              <w:t>0.69 (0.55 to 0.86) - p&lt;0.001</w:t>
            </w:r>
          </w:p>
        </w:tc>
        <w:tc>
          <w:tcPr>
            <w:tcW w:w="1966" w:type="dxa"/>
            <w:vAlign w:val="bottom"/>
          </w:tcPr>
          <w:p w14:paraId="3197D782" w14:textId="77777777" w:rsidR="004726EF" w:rsidRPr="004726EF" w:rsidRDefault="004726EF" w:rsidP="00784E46">
            <w:pPr>
              <w:spacing w:line="480" w:lineRule="auto"/>
              <w:rPr>
                <w:rFonts w:ascii="Helvetica" w:hAnsi="Helvetica" w:cstheme="minorHAnsi"/>
                <w:color w:val="000000"/>
                <w:sz w:val="18"/>
                <w:szCs w:val="18"/>
              </w:rPr>
            </w:pPr>
            <w:r w:rsidRPr="004726EF">
              <w:rPr>
                <w:rFonts w:ascii="Helvetica" w:hAnsi="Helvetica" w:cstheme="minorHAnsi"/>
                <w:color w:val="000000"/>
                <w:sz w:val="18"/>
                <w:szCs w:val="18"/>
              </w:rPr>
              <w:t>0.25 (0.09 to 0.55) - p&lt;0.001</w:t>
            </w:r>
          </w:p>
        </w:tc>
        <w:tc>
          <w:tcPr>
            <w:tcW w:w="2013" w:type="dxa"/>
            <w:vAlign w:val="bottom"/>
          </w:tcPr>
          <w:p w14:paraId="2933594A" w14:textId="77777777" w:rsidR="004726EF" w:rsidRPr="004726EF" w:rsidRDefault="004726EF" w:rsidP="00784E46">
            <w:pPr>
              <w:spacing w:line="480" w:lineRule="auto"/>
              <w:rPr>
                <w:rFonts w:ascii="Helvetica" w:hAnsi="Helvetica" w:cstheme="minorHAnsi"/>
                <w:color w:val="000000"/>
                <w:sz w:val="18"/>
                <w:szCs w:val="18"/>
                <w:highlight w:val="cyan"/>
              </w:rPr>
            </w:pPr>
            <w:r w:rsidRPr="004726EF">
              <w:rPr>
                <w:rFonts w:ascii="Helvetica" w:hAnsi="Helvetica" w:cstheme="minorHAnsi"/>
                <w:color w:val="000000"/>
                <w:sz w:val="18"/>
                <w:szCs w:val="18"/>
              </w:rPr>
              <w:t>0.14 (0.02 to 0.58) - p&lt;0.001</w:t>
            </w:r>
          </w:p>
        </w:tc>
        <w:tc>
          <w:tcPr>
            <w:tcW w:w="1945" w:type="dxa"/>
            <w:vAlign w:val="bottom"/>
          </w:tcPr>
          <w:p w14:paraId="31F5352A" w14:textId="77777777" w:rsidR="004726EF" w:rsidRPr="004726EF" w:rsidRDefault="004726EF" w:rsidP="00784E46">
            <w:pPr>
              <w:spacing w:line="480" w:lineRule="auto"/>
              <w:rPr>
                <w:rFonts w:ascii="Helvetica" w:hAnsi="Helvetica" w:cstheme="minorHAnsi"/>
                <w:color w:val="000000"/>
                <w:sz w:val="18"/>
                <w:szCs w:val="18"/>
              </w:rPr>
            </w:pPr>
            <w:r w:rsidRPr="004726EF">
              <w:rPr>
                <w:rFonts w:ascii="Helvetica" w:hAnsi="Helvetica" w:cstheme="minorHAnsi"/>
                <w:color w:val="000000"/>
                <w:sz w:val="18"/>
                <w:szCs w:val="18"/>
              </w:rPr>
              <w:t>0.18 (0.10 to 0.30) - p&lt;0.001</w:t>
            </w:r>
          </w:p>
        </w:tc>
      </w:tr>
      <w:tr w:rsidR="00784E46" w:rsidRPr="004726EF" w14:paraId="548AB493" w14:textId="77777777" w:rsidTr="00784E46">
        <w:trPr>
          <w:trHeight w:val="395"/>
        </w:trPr>
        <w:tc>
          <w:tcPr>
            <w:tcW w:w="1774" w:type="dxa"/>
          </w:tcPr>
          <w:p w14:paraId="131F764B" w14:textId="77777777" w:rsidR="004726EF" w:rsidRPr="004726EF" w:rsidRDefault="004726EF" w:rsidP="00784E46">
            <w:pPr>
              <w:spacing w:line="480" w:lineRule="auto"/>
              <w:rPr>
                <w:rFonts w:ascii="Helvetica" w:hAnsi="Helvetica" w:cstheme="minorHAnsi"/>
                <w:sz w:val="18"/>
                <w:szCs w:val="18"/>
                <w:lang w:val="en-US"/>
              </w:rPr>
            </w:pPr>
            <w:r w:rsidRPr="004726EF">
              <w:rPr>
                <w:rFonts w:ascii="Helvetica" w:hAnsi="Helvetica" w:cstheme="minorHAnsi"/>
                <w:sz w:val="18"/>
                <w:szCs w:val="18"/>
                <w:lang w:val="en-US"/>
              </w:rPr>
              <w:t>P vs AZ</w:t>
            </w:r>
          </w:p>
        </w:tc>
        <w:tc>
          <w:tcPr>
            <w:tcW w:w="2383" w:type="dxa"/>
            <w:vAlign w:val="bottom"/>
          </w:tcPr>
          <w:p w14:paraId="3909E367" w14:textId="77777777" w:rsidR="004726EF" w:rsidRPr="004726EF" w:rsidRDefault="004726EF" w:rsidP="00784E46">
            <w:pPr>
              <w:spacing w:line="480" w:lineRule="auto"/>
              <w:rPr>
                <w:rFonts w:ascii="Helvetica" w:hAnsi="Helvetica" w:cstheme="minorHAnsi"/>
                <w:color w:val="000000"/>
                <w:sz w:val="18"/>
                <w:szCs w:val="18"/>
              </w:rPr>
            </w:pPr>
            <w:r w:rsidRPr="004726EF">
              <w:rPr>
                <w:rFonts w:ascii="Helvetica" w:hAnsi="Helvetica" w:cstheme="minorHAnsi"/>
                <w:color w:val="000000"/>
                <w:sz w:val="18"/>
                <w:szCs w:val="18"/>
              </w:rPr>
              <w:t>0.81 (0.62 to 1.05) - p=0.098</w:t>
            </w:r>
          </w:p>
        </w:tc>
        <w:tc>
          <w:tcPr>
            <w:tcW w:w="1966" w:type="dxa"/>
            <w:vAlign w:val="bottom"/>
          </w:tcPr>
          <w:p w14:paraId="4B65BD2F" w14:textId="77777777" w:rsidR="004726EF" w:rsidRPr="004726EF" w:rsidRDefault="004726EF" w:rsidP="00784E46">
            <w:pPr>
              <w:spacing w:line="480" w:lineRule="auto"/>
              <w:rPr>
                <w:rFonts w:ascii="Helvetica" w:hAnsi="Helvetica" w:cstheme="minorHAnsi"/>
                <w:color w:val="000000"/>
                <w:sz w:val="18"/>
                <w:szCs w:val="18"/>
              </w:rPr>
            </w:pPr>
            <w:r w:rsidRPr="004726EF">
              <w:rPr>
                <w:rFonts w:ascii="Helvetica" w:hAnsi="Helvetica" w:cstheme="minorHAnsi"/>
                <w:color w:val="000000"/>
                <w:sz w:val="18"/>
                <w:szCs w:val="18"/>
              </w:rPr>
              <w:t>1.00 (0.30 to 3.34) - p=1.000</w:t>
            </w:r>
          </w:p>
        </w:tc>
        <w:tc>
          <w:tcPr>
            <w:tcW w:w="2013" w:type="dxa"/>
            <w:vAlign w:val="bottom"/>
          </w:tcPr>
          <w:p w14:paraId="19179AF4" w14:textId="77777777" w:rsidR="004726EF" w:rsidRPr="004726EF" w:rsidRDefault="004726EF" w:rsidP="00784E46">
            <w:pPr>
              <w:spacing w:line="480" w:lineRule="auto"/>
              <w:rPr>
                <w:rFonts w:ascii="Helvetica" w:hAnsi="Helvetica" w:cstheme="minorHAnsi"/>
                <w:color w:val="000000"/>
                <w:sz w:val="18"/>
                <w:szCs w:val="18"/>
                <w:highlight w:val="cyan"/>
              </w:rPr>
            </w:pPr>
            <w:r w:rsidRPr="004726EF">
              <w:rPr>
                <w:rFonts w:ascii="Helvetica" w:hAnsi="Helvetica" w:cstheme="minorHAnsi"/>
                <w:color w:val="000000"/>
                <w:sz w:val="18"/>
                <w:szCs w:val="18"/>
              </w:rPr>
              <w:t>1.00 (0.07 to 13.80) - p=1.000</w:t>
            </w:r>
          </w:p>
        </w:tc>
        <w:tc>
          <w:tcPr>
            <w:tcW w:w="1945" w:type="dxa"/>
            <w:vAlign w:val="bottom"/>
          </w:tcPr>
          <w:p w14:paraId="39A0452D" w14:textId="77777777" w:rsidR="004726EF" w:rsidRPr="004726EF" w:rsidRDefault="004726EF" w:rsidP="00784E46">
            <w:pPr>
              <w:spacing w:line="480" w:lineRule="auto"/>
              <w:rPr>
                <w:rFonts w:ascii="Helvetica" w:hAnsi="Helvetica" w:cstheme="minorHAnsi"/>
                <w:color w:val="000000"/>
                <w:sz w:val="18"/>
                <w:szCs w:val="18"/>
              </w:rPr>
            </w:pPr>
            <w:r w:rsidRPr="004726EF">
              <w:rPr>
                <w:rFonts w:ascii="Helvetica" w:hAnsi="Helvetica" w:cstheme="minorHAnsi"/>
                <w:color w:val="000000"/>
                <w:sz w:val="18"/>
                <w:szCs w:val="18"/>
              </w:rPr>
              <w:t>0.71 (0.34 to 1.45) - p=0.324</w:t>
            </w:r>
          </w:p>
        </w:tc>
      </w:tr>
    </w:tbl>
    <w:p w14:paraId="683E5473" w14:textId="77777777" w:rsidR="004726EF" w:rsidRPr="004726EF" w:rsidRDefault="004726EF" w:rsidP="004726EF">
      <w:pPr>
        <w:rPr>
          <w:rFonts w:ascii="Helvetica" w:hAnsi="Helvetica" w:cstheme="minorHAnsi"/>
          <w:lang w:val="en-US"/>
        </w:rPr>
      </w:pPr>
    </w:p>
    <w:p w14:paraId="3A3AB2F1" w14:textId="77777777" w:rsidR="004726EF" w:rsidRPr="004726EF" w:rsidRDefault="004726EF" w:rsidP="004726EF">
      <w:pPr>
        <w:spacing w:line="480" w:lineRule="auto"/>
        <w:rPr>
          <w:rFonts w:ascii="Helvetica" w:hAnsi="Helvetica" w:cstheme="minorHAnsi"/>
          <w:lang w:val="en-US"/>
        </w:rPr>
      </w:pPr>
      <w:r w:rsidRPr="004726EF">
        <w:rPr>
          <w:rFonts w:ascii="Helvetica" w:hAnsi="Helvetica" w:cstheme="minorHAnsi"/>
          <w:lang w:val="en-US"/>
        </w:rPr>
        <w:t xml:space="preserve">* COVID-19 </w:t>
      </w:r>
      <w:proofErr w:type="spellStart"/>
      <w:r w:rsidRPr="004726EF">
        <w:rPr>
          <w:rFonts w:ascii="Helvetica" w:hAnsi="Helvetica" w:cstheme="minorHAnsi"/>
          <w:lang w:val="en-US"/>
        </w:rPr>
        <w:t>hospitalisation</w:t>
      </w:r>
      <w:proofErr w:type="spellEnd"/>
      <w:r w:rsidRPr="004726EF">
        <w:rPr>
          <w:rFonts w:ascii="Helvetica" w:hAnsi="Helvetica" w:cstheme="minorHAnsi"/>
          <w:lang w:val="en-US"/>
        </w:rPr>
        <w:t xml:space="preserve"> defined as having a positive documented SARS-CoV-2 test 14 days before or within 7 days of being admitted to hospital. </w:t>
      </w:r>
    </w:p>
    <w:p w14:paraId="78EFA85B" w14:textId="77777777" w:rsidR="004726EF" w:rsidRPr="004726EF" w:rsidRDefault="004726EF" w:rsidP="004726EF">
      <w:pPr>
        <w:spacing w:line="480" w:lineRule="auto"/>
        <w:rPr>
          <w:rFonts w:ascii="Helvetica" w:hAnsi="Helvetica" w:cstheme="minorHAnsi"/>
          <w:lang w:val="en-US"/>
        </w:rPr>
      </w:pPr>
      <w:r w:rsidRPr="004726EF">
        <w:rPr>
          <w:rFonts w:ascii="Helvetica" w:hAnsi="Helvetica" w:cstheme="minorHAnsi"/>
          <w:b/>
          <w:vertAlign w:val="superscript"/>
          <w:lang w:val="en-US"/>
        </w:rPr>
        <w:t>¥</w:t>
      </w:r>
      <w:r w:rsidRPr="004726EF">
        <w:rPr>
          <w:rFonts w:ascii="Helvetica" w:hAnsi="Helvetica" w:cstheme="minorHAnsi"/>
          <w:b/>
          <w:lang w:val="en-US"/>
        </w:rPr>
        <w:t xml:space="preserve"> </w:t>
      </w:r>
      <w:r w:rsidRPr="004726EF">
        <w:rPr>
          <w:rFonts w:ascii="Helvetica" w:hAnsi="Helvetica" w:cstheme="minorHAnsi"/>
          <w:lang w:val="en-US"/>
        </w:rPr>
        <w:t>COVID-19 mortality defined as having a positive documented SARS-CoV-2 test 28 days prior to death</w:t>
      </w:r>
    </w:p>
    <w:p w14:paraId="05609F21" w14:textId="77777777" w:rsidR="00480403" w:rsidRPr="00426739" w:rsidRDefault="00480403" w:rsidP="00B928F2">
      <w:pPr>
        <w:spacing w:line="480" w:lineRule="auto"/>
        <w:rPr>
          <w:rFonts w:asciiTheme="minorHAnsi" w:hAnsiTheme="minorHAnsi" w:cstheme="minorHAnsi"/>
        </w:rPr>
      </w:pPr>
    </w:p>
    <w:p w14:paraId="66C571C1" w14:textId="77777777" w:rsidR="00480403" w:rsidRPr="00426739" w:rsidRDefault="00480403" w:rsidP="00B928F2">
      <w:pPr>
        <w:spacing w:line="480" w:lineRule="auto"/>
        <w:rPr>
          <w:rFonts w:asciiTheme="minorHAnsi" w:hAnsiTheme="minorHAnsi" w:cstheme="minorHAnsi"/>
        </w:rPr>
      </w:pPr>
    </w:p>
    <w:p w14:paraId="2DC768F4" w14:textId="77777777" w:rsidR="00480403" w:rsidRPr="00E60C24" w:rsidRDefault="00480403" w:rsidP="00B928F2">
      <w:pPr>
        <w:spacing w:before="240" w:line="480" w:lineRule="auto"/>
        <w:rPr>
          <w:rFonts w:cstheme="minorHAnsi"/>
        </w:rPr>
      </w:pPr>
    </w:p>
    <w:sectPr w:rsidR="00480403" w:rsidRPr="00E60C24" w:rsidSect="00634B9B">
      <w:footerReference w:type="default" r:id="rId9"/>
      <w:pgSz w:w="11906" w:h="16838"/>
      <w:pgMar w:top="1440" w:right="1440" w:bottom="1440" w:left="1440" w:header="708" w:footer="708" w:gutter="0"/>
      <w:lnNumType w:countBy="1" w:restart="continuous"/>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1ED6A" w16cex:dateUtc="2022-01-06T22:36:00Z"/>
  <w16cex:commentExtensible w16cex:durableId="2581EE0C" w16cex:dateUtc="2022-01-06T22:39:00Z"/>
  <w16cex:commentExtensible w16cex:durableId="2581EEA2" w16cex:dateUtc="2022-01-06T22: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E11475" w16cid:durableId="2581ED6A"/>
  <w16cid:commentId w16cid:paraId="1AD43E91" w16cid:durableId="2581EE0C"/>
  <w16cid:commentId w16cid:paraId="797AD9FD" w16cid:durableId="2581EEA2"/>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74DB8D" w14:textId="77777777" w:rsidR="00A01D57" w:rsidRDefault="00A01D57" w:rsidP="00665C4C">
      <w:r>
        <w:separator/>
      </w:r>
    </w:p>
  </w:endnote>
  <w:endnote w:type="continuationSeparator" w:id="0">
    <w:p w14:paraId="5967D0E0" w14:textId="77777777" w:rsidR="00A01D57" w:rsidRDefault="00A01D57" w:rsidP="00665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Calibri"/>
    <w:charset w:val="00"/>
    <w:family w:val="swiss"/>
    <w:pitch w:val="variable"/>
    <w:sig w:usb0="E4002EFF" w:usb1="C000E47F"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Hebrew Scholar">
    <w:panose1 w:val="00000000000000000000"/>
    <w:charset w:val="B1"/>
    <w:family w:val="auto"/>
    <w:pitch w:val="variable"/>
    <w:sig w:usb0="80000843" w:usb1="40002002" w:usb2="00000000" w:usb3="00000000" w:csb0="0000002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3708287"/>
      <w:docPartObj>
        <w:docPartGallery w:val="Page Numbers (Bottom of Page)"/>
        <w:docPartUnique/>
      </w:docPartObj>
    </w:sdtPr>
    <w:sdtEndPr>
      <w:rPr>
        <w:noProof/>
      </w:rPr>
    </w:sdtEndPr>
    <w:sdtContent>
      <w:p w14:paraId="697B959B" w14:textId="76B7E381" w:rsidR="00AC419E" w:rsidRDefault="00AC419E">
        <w:pPr>
          <w:pStyle w:val="Footer"/>
          <w:jc w:val="center"/>
        </w:pPr>
        <w:r>
          <w:fldChar w:fldCharType="begin"/>
        </w:r>
        <w:r>
          <w:instrText xml:space="preserve"> PAGE   \* MERGEFORMAT </w:instrText>
        </w:r>
        <w:r>
          <w:fldChar w:fldCharType="separate"/>
        </w:r>
        <w:r w:rsidR="0069467E">
          <w:rPr>
            <w:noProof/>
          </w:rPr>
          <w:t>25</w:t>
        </w:r>
        <w:r>
          <w:rPr>
            <w:noProof/>
          </w:rPr>
          <w:fldChar w:fldCharType="end"/>
        </w:r>
      </w:p>
    </w:sdtContent>
  </w:sdt>
  <w:p w14:paraId="11A5F5DC" w14:textId="77777777" w:rsidR="00AC419E" w:rsidRDefault="00AC419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5446AF" w14:textId="77777777" w:rsidR="00A01D57" w:rsidRDefault="00A01D57" w:rsidP="00665C4C">
      <w:r>
        <w:separator/>
      </w:r>
    </w:p>
  </w:footnote>
  <w:footnote w:type="continuationSeparator" w:id="0">
    <w:p w14:paraId="10B1DFED" w14:textId="77777777" w:rsidR="00A01D57" w:rsidRDefault="00A01D57" w:rsidP="00665C4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62750"/>
    <w:multiLevelType w:val="hybridMultilevel"/>
    <w:tmpl w:val="86F0473E"/>
    <w:lvl w:ilvl="0" w:tplc="A5788270">
      <w:start w:val="3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AFA652C"/>
    <w:multiLevelType w:val="multilevel"/>
    <w:tmpl w:val="380EB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58788E"/>
    <w:multiLevelType w:val="hybridMultilevel"/>
    <w:tmpl w:val="AADAD8D4"/>
    <w:lvl w:ilvl="0" w:tplc="A2806F56">
      <w:start w:val="32"/>
      <w:numFmt w:val="decimal"/>
      <w:lvlText w:val="%1"/>
      <w:lvlJc w:val="left"/>
      <w:pPr>
        <w:ind w:left="720" w:hanging="360"/>
      </w:pPr>
      <w:rPr>
        <w:rFonts w:ascii="Segoe UI" w:eastAsia="Times New Roman" w:hAnsi="Segoe UI" w:cs="Segoe UI" w:hint="default"/>
        <w:color w:val="2121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7525F7E"/>
    <w:multiLevelType w:val="hybridMultilevel"/>
    <w:tmpl w:val="A3127CE4"/>
    <w:lvl w:ilvl="0" w:tplc="51B297B6">
      <w:start w:val="6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C023770"/>
    <w:multiLevelType w:val="hybridMultilevel"/>
    <w:tmpl w:val="42C011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3A04C6A"/>
    <w:multiLevelType w:val="multilevel"/>
    <w:tmpl w:val="AE429624"/>
    <w:lvl w:ilvl="0">
      <w:start w:val="1"/>
      <w:numFmt w:val="upperLetter"/>
      <w:lvlText w:val="%1."/>
      <w:lvlJc w:val="left"/>
      <w:pPr>
        <w:tabs>
          <w:tab w:val="num" w:pos="720"/>
        </w:tabs>
        <w:ind w:left="720" w:hanging="360"/>
      </w:pPr>
      <w:rPr>
        <w:rFonts w:asciiTheme="minorHAnsi" w:eastAsiaTheme="minorHAnsi" w:hAnsiTheme="minorHAnsi" w:cstheme="minorHAnsi"/>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C4C"/>
    <w:rsid w:val="000015BD"/>
    <w:rsid w:val="00001B01"/>
    <w:rsid w:val="00001CFF"/>
    <w:rsid w:val="00002190"/>
    <w:rsid w:val="0000270A"/>
    <w:rsid w:val="00003233"/>
    <w:rsid w:val="00003705"/>
    <w:rsid w:val="00006292"/>
    <w:rsid w:val="00006C43"/>
    <w:rsid w:val="00006D99"/>
    <w:rsid w:val="00007DE8"/>
    <w:rsid w:val="000100C3"/>
    <w:rsid w:val="0001115B"/>
    <w:rsid w:val="00012726"/>
    <w:rsid w:val="00014CC3"/>
    <w:rsid w:val="000151A1"/>
    <w:rsid w:val="00016869"/>
    <w:rsid w:val="00017B0A"/>
    <w:rsid w:val="00020F54"/>
    <w:rsid w:val="00021665"/>
    <w:rsid w:val="0002360C"/>
    <w:rsid w:val="00023A7F"/>
    <w:rsid w:val="00024A1D"/>
    <w:rsid w:val="00027353"/>
    <w:rsid w:val="00030988"/>
    <w:rsid w:val="00030A47"/>
    <w:rsid w:val="000327B6"/>
    <w:rsid w:val="00036007"/>
    <w:rsid w:val="00036633"/>
    <w:rsid w:val="00040B50"/>
    <w:rsid w:val="00041764"/>
    <w:rsid w:val="00045300"/>
    <w:rsid w:val="00045E42"/>
    <w:rsid w:val="000512BA"/>
    <w:rsid w:val="00053828"/>
    <w:rsid w:val="0005384C"/>
    <w:rsid w:val="00053DBA"/>
    <w:rsid w:val="000552A6"/>
    <w:rsid w:val="00055910"/>
    <w:rsid w:val="00055A9A"/>
    <w:rsid w:val="00055C98"/>
    <w:rsid w:val="00057FDD"/>
    <w:rsid w:val="000605A9"/>
    <w:rsid w:val="0006094D"/>
    <w:rsid w:val="00072BF5"/>
    <w:rsid w:val="00076C16"/>
    <w:rsid w:val="00080083"/>
    <w:rsid w:val="000809B7"/>
    <w:rsid w:val="0008165E"/>
    <w:rsid w:val="0008544F"/>
    <w:rsid w:val="00090831"/>
    <w:rsid w:val="00091435"/>
    <w:rsid w:val="0009247E"/>
    <w:rsid w:val="000928DB"/>
    <w:rsid w:val="000948B6"/>
    <w:rsid w:val="00095062"/>
    <w:rsid w:val="0009531A"/>
    <w:rsid w:val="00095772"/>
    <w:rsid w:val="00097BF3"/>
    <w:rsid w:val="000A1076"/>
    <w:rsid w:val="000A1399"/>
    <w:rsid w:val="000A23F6"/>
    <w:rsid w:val="000A283D"/>
    <w:rsid w:val="000A2B95"/>
    <w:rsid w:val="000A4DC4"/>
    <w:rsid w:val="000A543B"/>
    <w:rsid w:val="000A70E0"/>
    <w:rsid w:val="000A75BF"/>
    <w:rsid w:val="000A7A70"/>
    <w:rsid w:val="000B0AC4"/>
    <w:rsid w:val="000B0E44"/>
    <w:rsid w:val="000B3E87"/>
    <w:rsid w:val="000B5088"/>
    <w:rsid w:val="000C0A31"/>
    <w:rsid w:val="000C0D17"/>
    <w:rsid w:val="000C0E74"/>
    <w:rsid w:val="000C0ED1"/>
    <w:rsid w:val="000C50E8"/>
    <w:rsid w:val="000C5B8F"/>
    <w:rsid w:val="000C5E91"/>
    <w:rsid w:val="000C6F9E"/>
    <w:rsid w:val="000D1E1D"/>
    <w:rsid w:val="000D35EC"/>
    <w:rsid w:val="000D4F67"/>
    <w:rsid w:val="000D5E6E"/>
    <w:rsid w:val="000D5E78"/>
    <w:rsid w:val="000E02D4"/>
    <w:rsid w:val="000E0E85"/>
    <w:rsid w:val="000E18A2"/>
    <w:rsid w:val="000E2411"/>
    <w:rsid w:val="000E41D0"/>
    <w:rsid w:val="000E45B8"/>
    <w:rsid w:val="000E4F4C"/>
    <w:rsid w:val="000E50CF"/>
    <w:rsid w:val="000E6DF2"/>
    <w:rsid w:val="000E6EC4"/>
    <w:rsid w:val="000E7B6E"/>
    <w:rsid w:val="000F3A1B"/>
    <w:rsid w:val="000F7A3B"/>
    <w:rsid w:val="00101EEE"/>
    <w:rsid w:val="00102558"/>
    <w:rsid w:val="0010573F"/>
    <w:rsid w:val="00106795"/>
    <w:rsid w:val="001068E4"/>
    <w:rsid w:val="00111C0C"/>
    <w:rsid w:val="00111FDB"/>
    <w:rsid w:val="00112AF6"/>
    <w:rsid w:val="00114397"/>
    <w:rsid w:val="00116654"/>
    <w:rsid w:val="001167AA"/>
    <w:rsid w:val="00117A89"/>
    <w:rsid w:val="00117CBF"/>
    <w:rsid w:val="00120D15"/>
    <w:rsid w:val="00121C5A"/>
    <w:rsid w:val="00124151"/>
    <w:rsid w:val="001244C6"/>
    <w:rsid w:val="00124544"/>
    <w:rsid w:val="00125711"/>
    <w:rsid w:val="00126B60"/>
    <w:rsid w:val="00132969"/>
    <w:rsid w:val="00133D0E"/>
    <w:rsid w:val="00136415"/>
    <w:rsid w:val="0013669C"/>
    <w:rsid w:val="0014032F"/>
    <w:rsid w:val="00141238"/>
    <w:rsid w:val="00141951"/>
    <w:rsid w:val="00142711"/>
    <w:rsid w:val="00142D3C"/>
    <w:rsid w:val="00145603"/>
    <w:rsid w:val="00147069"/>
    <w:rsid w:val="00151738"/>
    <w:rsid w:val="0015237E"/>
    <w:rsid w:val="00154301"/>
    <w:rsid w:val="00160544"/>
    <w:rsid w:val="00163D39"/>
    <w:rsid w:val="00163E4A"/>
    <w:rsid w:val="001642AF"/>
    <w:rsid w:val="0016449A"/>
    <w:rsid w:val="00164E34"/>
    <w:rsid w:val="00165452"/>
    <w:rsid w:val="00165689"/>
    <w:rsid w:val="001712BD"/>
    <w:rsid w:val="00173E82"/>
    <w:rsid w:val="001763EE"/>
    <w:rsid w:val="00177D48"/>
    <w:rsid w:val="0018019E"/>
    <w:rsid w:val="0018126C"/>
    <w:rsid w:val="00191CAA"/>
    <w:rsid w:val="00192862"/>
    <w:rsid w:val="00193676"/>
    <w:rsid w:val="00197E1B"/>
    <w:rsid w:val="001A027E"/>
    <w:rsid w:val="001A04EE"/>
    <w:rsid w:val="001A1E7F"/>
    <w:rsid w:val="001A2E54"/>
    <w:rsid w:val="001A2E62"/>
    <w:rsid w:val="001A7071"/>
    <w:rsid w:val="001A7351"/>
    <w:rsid w:val="001B0F14"/>
    <w:rsid w:val="001B1F21"/>
    <w:rsid w:val="001B3988"/>
    <w:rsid w:val="001B5B84"/>
    <w:rsid w:val="001B63B2"/>
    <w:rsid w:val="001B6B59"/>
    <w:rsid w:val="001C1D8C"/>
    <w:rsid w:val="001C25AE"/>
    <w:rsid w:val="001C277B"/>
    <w:rsid w:val="001C56EB"/>
    <w:rsid w:val="001C60B6"/>
    <w:rsid w:val="001C6F21"/>
    <w:rsid w:val="001D0E5A"/>
    <w:rsid w:val="001D16E3"/>
    <w:rsid w:val="001D4962"/>
    <w:rsid w:val="001D6F1E"/>
    <w:rsid w:val="001E05F9"/>
    <w:rsid w:val="001E07B8"/>
    <w:rsid w:val="001E16F3"/>
    <w:rsid w:val="001E3DA4"/>
    <w:rsid w:val="001E47A5"/>
    <w:rsid w:val="001E5BAE"/>
    <w:rsid w:val="001F07F4"/>
    <w:rsid w:val="001F39CF"/>
    <w:rsid w:val="002012DA"/>
    <w:rsid w:val="00201326"/>
    <w:rsid w:val="0020373B"/>
    <w:rsid w:val="00207EA0"/>
    <w:rsid w:val="00210456"/>
    <w:rsid w:val="00220715"/>
    <w:rsid w:val="00221A75"/>
    <w:rsid w:val="002220D2"/>
    <w:rsid w:val="002222B1"/>
    <w:rsid w:val="00226D71"/>
    <w:rsid w:val="00230EB1"/>
    <w:rsid w:val="00232A95"/>
    <w:rsid w:val="00233107"/>
    <w:rsid w:val="00233844"/>
    <w:rsid w:val="002339E7"/>
    <w:rsid w:val="00233E2B"/>
    <w:rsid w:val="00234BF2"/>
    <w:rsid w:val="00234C6C"/>
    <w:rsid w:val="00234E84"/>
    <w:rsid w:val="00235308"/>
    <w:rsid w:val="002370D0"/>
    <w:rsid w:val="0023739C"/>
    <w:rsid w:val="002378FE"/>
    <w:rsid w:val="00241C3E"/>
    <w:rsid w:val="0024547E"/>
    <w:rsid w:val="0024640D"/>
    <w:rsid w:val="00247DEA"/>
    <w:rsid w:val="0025048A"/>
    <w:rsid w:val="002508B4"/>
    <w:rsid w:val="002510DD"/>
    <w:rsid w:val="00251559"/>
    <w:rsid w:val="002518BC"/>
    <w:rsid w:val="002518E8"/>
    <w:rsid w:val="00253436"/>
    <w:rsid w:val="00254509"/>
    <w:rsid w:val="002624F8"/>
    <w:rsid w:val="00262DB8"/>
    <w:rsid w:val="00265091"/>
    <w:rsid w:val="00265947"/>
    <w:rsid w:val="00266797"/>
    <w:rsid w:val="0026735B"/>
    <w:rsid w:val="00272D3A"/>
    <w:rsid w:val="00275578"/>
    <w:rsid w:val="00276067"/>
    <w:rsid w:val="00277474"/>
    <w:rsid w:val="00277B37"/>
    <w:rsid w:val="002818E1"/>
    <w:rsid w:val="0028285D"/>
    <w:rsid w:val="00282B5D"/>
    <w:rsid w:val="00284FA3"/>
    <w:rsid w:val="0028612D"/>
    <w:rsid w:val="0028639B"/>
    <w:rsid w:val="0028727F"/>
    <w:rsid w:val="002903BE"/>
    <w:rsid w:val="00293FCC"/>
    <w:rsid w:val="0029455A"/>
    <w:rsid w:val="00296180"/>
    <w:rsid w:val="00297687"/>
    <w:rsid w:val="00297786"/>
    <w:rsid w:val="002A0270"/>
    <w:rsid w:val="002A0EFA"/>
    <w:rsid w:val="002A1A2F"/>
    <w:rsid w:val="002A7EC0"/>
    <w:rsid w:val="002B2223"/>
    <w:rsid w:val="002B5583"/>
    <w:rsid w:val="002B794A"/>
    <w:rsid w:val="002C6505"/>
    <w:rsid w:val="002C6EC4"/>
    <w:rsid w:val="002C7258"/>
    <w:rsid w:val="002D053D"/>
    <w:rsid w:val="002D1859"/>
    <w:rsid w:val="002D20A4"/>
    <w:rsid w:val="002D33A1"/>
    <w:rsid w:val="002D4887"/>
    <w:rsid w:val="002D66E1"/>
    <w:rsid w:val="002E0963"/>
    <w:rsid w:val="002E58FF"/>
    <w:rsid w:val="002E5F93"/>
    <w:rsid w:val="002F1629"/>
    <w:rsid w:val="002F466E"/>
    <w:rsid w:val="002F4840"/>
    <w:rsid w:val="002F531A"/>
    <w:rsid w:val="002F69DB"/>
    <w:rsid w:val="003067B7"/>
    <w:rsid w:val="0030750C"/>
    <w:rsid w:val="00310506"/>
    <w:rsid w:val="00311DC2"/>
    <w:rsid w:val="003129B5"/>
    <w:rsid w:val="00314DFA"/>
    <w:rsid w:val="0031783B"/>
    <w:rsid w:val="003212F8"/>
    <w:rsid w:val="00322DA2"/>
    <w:rsid w:val="0032595F"/>
    <w:rsid w:val="0032777C"/>
    <w:rsid w:val="00332E32"/>
    <w:rsid w:val="003341C3"/>
    <w:rsid w:val="003347D6"/>
    <w:rsid w:val="00335202"/>
    <w:rsid w:val="0033742A"/>
    <w:rsid w:val="00337858"/>
    <w:rsid w:val="003420BF"/>
    <w:rsid w:val="0034378D"/>
    <w:rsid w:val="003447A4"/>
    <w:rsid w:val="003456F7"/>
    <w:rsid w:val="00345BD4"/>
    <w:rsid w:val="00345EBA"/>
    <w:rsid w:val="00345F50"/>
    <w:rsid w:val="00347A64"/>
    <w:rsid w:val="00350E4B"/>
    <w:rsid w:val="003527C2"/>
    <w:rsid w:val="00353E7A"/>
    <w:rsid w:val="00354744"/>
    <w:rsid w:val="003600F1"/>
    <w:rsid w:val="00362733"/>
    <w:rsid w:val="00363A87"/>
    <w:rsid w:val="0036407F"/>
    <w:rsid w:val="0036536D"/>
    <w:rsid w:val="00371D6E"/>
    <w:rsid w:val="00372775"/>
    <w:rsid w:val="00374550"/>
    <w:rsid w:val="00374B77"/>
    <w:rsid w:val="003768F0"/>
    <w:rsid w:val="00380102"/>
    <w:rsid w:val="00380DEA"/>
    <w:rsid w:val="0038165C"/>
    <w:rsid w:val="00381D93"/>
    <w:rsid w:val="00383820"/>
    <w:rsid w:val="00383E52"/>
    <w:rsid w:val="00384122"/>
    <w:rsid w:val="00386487"/>
    <w:rsid w:val="00391363"/>
    <w:rsid w:val="0039270E"/>
    <w:rsid w:val="003966C5"/>
    <w:rsid w:val="003A0FB2"/>
    <w:rsid w:val="003A107E"/>
    <w:rsid w:val="003A17BA"/>
    <w:rsid w:val="003A2A95"/>
    <w:rsid w:val="003A366F"/>
    <w:rsid w:val="003A3BDB"/>
    <w:rsid w:val="003A3D52"/>
    <w:rsid w:val="003A4A47"/>
    <w:rsid w:val="003A5DFA"/>
    <w:rsid w:val="003A616B"/>
    <w:rsid w:val="003A6346"/>
    <w:rsid w:val="003B0AD2"/>
    <w:rsid w:val="003B1467"/>
    <w:rsid w:val="003B1651"/>
    <w:rsid w:val="003B1AC5"/>
    <w:rsid w:val="003B203F"/>
    <w:rsid w:val="003B2216"/>
    <w:rsid w:val="003B6340"/>
    <w:rsid w:val="003B64FD"/>
    <w:rsid w:val="003B666D"/>
    <w:rsid w:val="003B7049"/>
    <w:rsid w:val="003B70DE"/>
    <w:rsid w:val="003B7B47"/>
    <w:rsid w:val="003C49EA"/>
    <w:rsid w:val="003C6415"/>
    <w:rsid w:val="003C7278"/>
    <w:rsid w:val="003D18E3"/>
    <w:rsid w:val="003D3543"/>
    <w:rsid w:val="003D3A96"/>
    <w:rsid w:val="003E04B8"/>
    <w:rsid w:val="003E0FE9"/>
    <w:rsid w:val="003E3952"/>
    <w:rsid w:val="003E458E"/>
    <w:rsid w:val="003E63D3"/>
    <w:rsid w:val="003F0F94"/>
    <w:rsid w:val="003F33A1"/>
    <w:rsid w:val="003F54AD"/>
    <w:rsid w:val="00400C79"/>
    <w:rsid w:val="004010EC"/>
    <w:rsid w:val="00402342"/>
    <w:rsid w:val="004037CA"/>
    <w:rsid w:val="00403BEB"/>
    <w:rsid w:val="00404FBC"/>
    <w:rsid w:val="004065D4"/>
    <w:rsid w:val="00407918"/>
    <w:rsid w:val="00410A2C"/>
    <w:rsid w:val="00414EF7"/>
    <w:rsid w:val="00416B9D"/>
    <w:rsid w:val="00417AE4"/>
    <w:rsid w:val="00417AEE"/>
    <w:rsid w:val="004238F9"/>
    <w:rsid w:val="004262E9"/>
    <w:rsid w:val="00427D18"/>
    <w:rsid w:val="00430A37"/>
    <w:rsid w:val="004343F9"/>
    <w:rsid w:val="00435D21"/>
    <w:rsid w:val="004401C0"/>
    <w:rsid w:val="0044197B"/>
    <w:rsid w:val="00444B23"/>
    <w:rsid w:val="0044656A"/>
    <w:rsid w:val="00450009"/>
    <w:rsid w:val="004515A3"/>
    <w:rsid w:val="00453226"/>
    <w:rsid w:val="004548A6"/>
    <w:rsid w:val="00455AF9"/>
    <w:rsid w:val="0045622F"/>
    <w:rsid w:val="00456B08"/>
    <w:rsid w:val="0046349F"/>
    <w:rsid w:val="0046381D"/>
    <w:rsid w:val="00463BC7"/>
    <w:rsid w:val="00464BF2"/>
    <w:rsid w:val="00465978"/>
    <w:rsid w:val="00467E83"/>
    <w:rsid w:val="0047048D"/>
    <w:rsid w:val="00470E83"/>
    <w:rsid w:val="004726EF"/>
    <w:rsid w:val="00472D4A"/>
    <w:rsid w:val="0047646C"/>
    <w:rsid w:val="00480403"/>
    <w:rsid w:val="00480B9C"/>
    <w:rsid w:val="0048187E"/>
    <w:rsid w:val="00481CB7"/>
    <w:rsid w:val="00491106"/>
    <w:rsid w:val="004941F8"/>
    <w:rsid w:val="00496FD6"/>
    <w:rsid w:val="0049726B"/>
    <w:rsid w:val="00497440"/>
    <w:rsid w:val="004A0AC8"/>
    <w:rsid w:val="004A0C84"/>
    <w:rsid w:val="004A1658"/>
    <w:rsid w:val="004A3946"/>
    <w:rsid w:val="004A47DE"/>
    <w:rsid w:val="004A7145"/>
    <w:rsid w:val="004A7D30"/>
    <w:rsid w:val="004B2D2F"/>
    <w:rsid w:val="004B2F39"/>
    <w:rsid w:val="004B44D2"/>
    <w:rsid w:val="004B7CB2"/>
    <w:rsid w:val="004C3377"/>
    <w:rsid w:val="004C5C1D"/>
    <w:rsid w:val="004C6441"/>
    <w:rsid w:val="004C691C"/>
    <w:rsid w:val="004D0DEA"/>
    <w:rsid w:val="004D461D"/>
    <w:rsid w:val="004D58C9"/>
    <w:rsid w:val="004D591E"/>
    <w:rsid w:val="004D5A51"/>
    <w:rsid w:val="004D6712"/>
    <w:rsid w:val="004D6A10"/>
    <w:rsid w:val="004E210D"/>
    <w:rsid w:val="004E4AE7"/>
    <w:rsid w:val="004E4F9E"/>
    <w:rsid w:val="004E5D69"/>
    <w:rsid w:val="004E63DD"/>
    <w:rsid w:val="004F195E"/>
    <w:rsid w:val="004F1B3C"/>
    <w:rsid w:val="004F340C"/>
    <w:rsid w:val="004F344F"/>
    <w:rsid w:val="004F3DD8"/>
    <w:rsid w:val="004F577A"/>
    <w:rsid w:val="004F5EE2"/>
    <w:rsid w:val="004F6165"/>
    <w:rsid w:val="004F6A46"/>
    <w:rsid w:val="00504B72"/>
    <w:rsid w:val="00505343"/>
    <w:rsid w:val="0050590E"/>
    <w:rsid w:val="00506768"/>
    <w:rsid w:val="00506D63"/>
    <w:rsid w:val="00507B6B"/>
    <w:rsid w:val="00512C45"/>
    <w:rsid w:val="00512F78"/>
    <w:rsid w:val="00513ACB"/>
    <w:rsid w:val="00513AFC"/>
    <w:rsid w:val="00513CCC"/>
    <w:rsid w:val="00516283"/>
    <w:rsid w:val="00516F8C"/>
    <w:rsid w:val="0051749D"/>
    <w:rsid w:val="00521577"/>
    <w:rsid w:val="00521883"/>
    <w:rsid w:val="0052214D"/>
    <w:rsid w:val="00523B74"/>
    <w:rsid w:val="005257C9"/>
    <w:rsid w:val="0052737C"/>
    <w:rsid w:val="00527A52"/>
    <w:rsid w:val="00527CFD"/>
    <w:rsid w:val="00527D12"/>
    <w:rsid w:val="00531700"/>
    <w:rsid w:val="005324CF"/>
    <w:rsid w:val="005337E0"/>
    <w:rsid w:val="00533C34"/>
    <w:rsid w:val="00540511"/>
    <w:rsid w:val="00541A85"/>
    <w:rsid w:val="00541DB4"/>
    <w:rsid w:val="005429F4"/>
    <w:rsid w:val="00543984"/>
    <w:rsid w:val="00543D37"/>
    <w:rsid w:val="005453B1"/>
    <w:rsid w:val="00545BE2"/>
    <w:rsid w:val="005468DC"/>
    <w:rsid w:val="00547153"/>
    <w:rsid w:val="005476EA"/>
    <w:rsid w:val="00550609"/>
    <w:rsid w:val="00552611"/>
    <w:rsid w:val="00552FB6"/>
    <w:rsid w:val="00554CA2"/>
    <w:rsid w:val="00554F4C"/>
    <w:rsid w:val="00554FBD"/>
    <w:rsid w:val="005559D0"/>
    <w:rsid w:val="00556B22"/>
    <w:rsid w:val="00557676"/>
    <w:rsid w:val="005626DE"/>
    <w:rsid w:val="00562B85"/>
    <w:rsid w:val="00564A70"/>
    <w:rsid w:val="00565AED"/>
    <w:rsid w:val="0057275A"/>
    <w:rsid w:val="0057586A"/>
    <w:rsid w:val="00576756"/>
    <w:rsid w:val="005814DD"/>
    <w:rsid w:val="00582677"/>
    <w:rsid w:val="00585422"/>
    <w:rsid w:val="00585827"/>
    <w:rsid w:val="00586EB7"/>
    <w:rsid w:val="00587DE8"/>
    <w:rsid w:val="00590A9C"/>
    <w:rsid w:val="005A0477"/>
    <w:rsid w:val="005A0A1C"/>
    <w:rsid w:val="005A2CAD"/>
    <w:rsid w:val="005A31E6"/>
    <w:rsid w:val="005A3A8A"/>
    <w:rsid w:val="005B128F"/>
    <w:rsid w:val="005B1519"/>
    <w:rsid w:val="005B1C27"/>
    <w:rsid w:val="005B30F8"/>
    <w:rsid w:val="005B352E"/>
    <w:rsid w:val="005B40B1"/>
    <w:rsid w:val="005B40D2"/>
    <w:rsid w:val="005B4335"/>
    <w:rsid w:val="005B4D6E"/>
    <w:rsid w:val="005B642F"/>
    <w:rsid w:val="005B6AFB"/>
    <w:rsid w:val="005C0A6B"/>
    <w:rsid w:val="005C0C78"/>
    <w:rsid w:val="005C1508"/>
    <w:rsid w:val="005C5376"/>
    <w:rsid w:val="005C5C47"/>
    <w:rsid w:val="005C5D85"/>
    <w:rsid w:val="005D18A4"/>
    <w:rsid w:val="005D1B68"/>
    <w:rsid w:val="005D28DA"/>
    <w:rsid w:val="005D42B9"/>
    <w:rsid w:val="005D6C56"/>
    <w:rsid w:val="005E4064"/>
    <w:rsid w:val="005E427F"/>
    <w:rsid w:val="005E4B05"/>
    <w:rsid w:val="005E53E8"/>
    <w:rsid w:val="005E6A2E"/>
    <w:rsid w:val="005E732F"/>
    <w:rsid w:val="005E7A1F"/>
    <w:rsid w:val="005F04DC"/>
    <w:rsid w:val="005F361B"/>
    <w:rsid w:val="005F3620"/>
    <w:rsid w:val="005F588F"/>
    <w:rsid w:val="005F5902"/>
    <w:rsid w:val="005F7696"/>
    <w:rsid w:val="00602451"/>
    <w:rsid w:val="00602F9C"/>
    <w:rsid w:val="00610BD3"/>
    <w:rsid w:val="00614617"/>
    <w:rsid w:val="00615A57"/>
    <w:rsid w:val="006173B0"/>
    <w:rsid w:val="00623100"/>
    <w:rsid w:val="0062338A"/>
    <w:rsid w:val="006275EF"/>
    <w:rsid w:val="006308FF"/>
    <w:rsid w:val="00630DC9"/>
    <w:rsid w:val="0063489F"/>
    <w:rsid w:val="00634B9B"/>
    <w:rsid w:val="00634E93"/>
    <w:rsid w:val="00635078"/>
    <w:rsid w:val="006358A4"/>
    <w:rsid w:val="00650A11"/>
    <w:rsid w:val="00652CC5"/>
    <w:rsid w:val="00654631"/>
    <w:rsid w:val="00661417"/>
    <w:rsid w:val="00661690"/>
    <w:rsid w:val="006619D0"/>
    <w:rsid w:val="006621D5"/>
    <w:rsid w:val="0066540A"/>
    <w:rsid w:val="00665C4C"/>
    <w:rsid w:val="00666684"/>
    <w:rsid w:val="00667DC6"/>
    <w:rsid w:val="00670FC5"/>
    <w:rsid w:val="006731F1"/>
    <w:rsid w:val="006762E5"/>
    <w:rsid w:val="00676DFA"/>
    <w:rsid w:val="0067777D"/>
    <w:rsid w:val="00680A91"/>
    <w:rsid w:val="00684375"/>
    <w:rsid w:val="006908FF"/>
    <w:rsid w:val="00691537"/>
    <w:rsid w:val="00691949"/>
    <w:rsid w:val="006919C3"/>
    <w:rsid w:val="00691BF2"/>
    <w:rsid w:val="00693738"/>
    <w:rsid w:val="00693A79"/>
    <w:rsid w:val="006941E6"/>
    <w:rsid w:val="0069467E"/>
    <w:rsid w:val="0069472C"/>
    <w:rsid w:val="00694E2E"/>
    <w:rsid w:val="006A0628"/>
    <w:rsid w:val="006A2374"/>
    <w:rsid w:val="006A37EC"/>
    <w:rsid w:val="006A3AB9"/>
    <w:rsid w:val="006B2384"/>
    <w:rsid w:val="006B2C2D"/>
    <w:rsid w:val="006B323A"/>
    <w:rsid w:val="006B4F08"/>
    <w:rsid w:val="006B57C3"/>
    <w:rsid w:val="006B74B6"/>
    <w:rsid w:val="006B7807"/>
    <w:rsid w:val="006B7853"/>
    <w:rsid w:val="006B7A00"/>
    <w:rsid w:val="006B7B13"/>
    <w:rsid w:val="006B7CE4"/>
    <w:rsid w:val="006C2F21"/>
    <w:rsid w:val="006C60CE"/>
    <w:rsid w:val="006C6D08"/>
    <w:rsid w:val="006D1C03"/>
    <w:rsid w:val="006D2A99"/>
    <w:rsid w:val="006D3074"/>
    <w:rsid w:val="006D51C1"/>
    <w:rsid w:val="006D59DC"/>
    <w:rsid w:val="006D78FC"/>
    <w:rsid w:val="006E02F0"/>
    <w:rsid w:val="006E1889"/>
    <w:rsid w:val="006E4A35"/>
    <w:rsid w:val="006E61D6"/>
    <w:rsid w:val="006E75B1"/>
    <w:rsid w:val="006E7A6F"/>
    <w:rsid w:val="006F082F"/>
    <w:rsid w:val="006F1585"/>
    <w:rsid w:val="006F1BB9"/>
    <w:rsid w:val="006F2056"/>
    <w:rsid w:val="006F39BD"/>
    <w:rsid w:val="006F3B02"/>
    <w:rsid w:val="006F4561"/>
    <w:rsid w:val="006F45EC"/>
    <w:rsid w:val="006F6836"/>
    <w:rsid w:val="006F6B33"/>
    <w:rsid w:val="006F6B88"/>
    <w:rsid w:val="006F76C3"/>
    <w:rsid w:val="006F7A42"/>
    <w:rsid w:val="00702B81"/>
    <w:rsid w:val="00704BCE"/>
    <w:rsid w:val="00705486"/>
    <w:rsid w:val="00711D84"/>
    <w:rsid w:val="00712063"/>
    <w:rsid w:val="0071266A"/>
    <w:rsid w:val="00714643"/>
    <w:rsid w:val="00715C9E"/>
    <w:rsid w:val="007160D2"/>
    <w:rsid w:val="0071717C"/>
    <w:rsid w:val="00720405"/>
    <w:rsid w:val="007213E5"/>
    <w:rsid w:val="007225EA"/>
    <w:rsid w:val="00722719"/>
    <w:rsid w:val="00722E17"/>
    <w:rsid w:val="00726142"/>
    <w:rsid w:val="00727159"/>
    <w:rsid w:val="00730471"/>
    <w:rsid w:val="007305C1"/>
    <w:rsid w:val="00732CE4"/>
    <w:rsid w:val="00733DF1"/>
    <w:rsid w:val="00741351"/>
    <w:rsid w:val="00745788"/>
    <w:rsid w:val="00750076"/>
    <w:rsid w:val="007512C6"/>
    <w:rsid w:val="00756530"/>
    <w:rsid w:val="007574E4"/>
    <w:rsid w:val="007607D3"/>
    <w:rsid w:val="007609D2"/>
    <w:rsid w:val="00760E92"/>
    <w:rsid w:val="00762AA2"/>
    <w:rsid w:val="00764051"/>
    <w:rsid w:val="007674D0"/>
    <w:rsid w:val="00771936"/>
    <w:rsid w:val="00772864"/>
    <w:rsid w:val="007728A3"/>
    <w:rsid w:val="00772C5E"/>
    <w:rsid w:val="007749E7"/>
    <w:rsid w:val="0077593C"/>
    <w:rsid w:val="007767A0"/>
    <w:rsid w:val="007777B2"/>
    <w:rsid w:val="00783EED"/>
    <w:rsid w:val="007843D3"/>
    <w:rsid w:val="00784E46"/>
    <w:rsid w:val="00790703"/>
    <w:rsid w:val="00793574"/>
    <w:rsid w:val="00795242"/>
    <w:rsid w:val="00795B03"/>
    <w:rsid w:val="0079749D"/>
    <w:rsid w:val="007A0772"/>
    <w:rsid w:val="007A1F34"/>
    <w:rsid w:val="007A2F9F"/>
    <w:rsid w:val="007A64ED"/>
    <w:rsid w:val="007A788E"/>
    <w:rsid w:val="007B0F01"/>
    <w:rsid w:val="007B3DA5"/>
    <w:rsid w:val="007C2DD0"/>
    <w:rsid w:val="007C5B0E"/>
    <w:rsid w:val="007C6AD9"/>
    <w:rsid w:val="007C6C26"/>
    <w:rsid w:val="007D162F"/>
    <w:rsid w:val="007D16BC"/>
    <w:rsid w:val="007D46D1"/>
    <w:rsid w:val="007D4D65"/>
    <w:rsid w:val="007D5DDF"/>
    <w:rsid w:val="007D7819"/>
    <w:rsid w:val="007E1AC4"/>
    <w:rsid w:val="007E1F34"/>
    <w:rsid w:val="007E4378"/>
    <w:rsid w:val="007E52AB"/>
    <w:rsid w:val="007E59D5"/>
    <w:rsid w:val="007E6CDD"/>
    <w:rsid w:val="007E7A22"/>
    <w:rsid w:val="007F0DCA"/>
    <w:rsid w:val="007F1026"/>
    <w:rsid w:val="007F1087"/>
    <w:rsid w:val="007F1F09"/>
    <w:rsid w:val="007F316B"/>
    <w:rsid w:val="007F5376"/>
    <w:rsid w:val="007F5D9D"/>
    <w:rsid w:val="007F73D1"/>
    <w:rsid w:val="007F7E41"/>
    <w:rsid w:val="0080018E"/>
    <w:rsid w:val="00800572"/>
    <w:rsid w:val="008012C3"/>
    <w:rsid w:val="00801A49"/>
    <w:rsid w:val="00807BF6"/>
    <w:rsid w:val="0081038D"/>
    <w:rsid w:val="0081092B"/>
    <w:rsid w:val="00811A5D"/>
    <w:rsid w:val="00812040"/>
    <w:rsid w:val="00812163"/>
    <w:rsid w:val="00812474"/>
    <w:rsid w:val="008127BA"/>
    <w:rsid w:val="0081310D"/>
    <w:rsid w:val="00815901"/>
    <w:rsid w:val="0081645B"/>
    <w:rsid w:val="008165EC"/>
    <w:rsid w:val="00820C28"/>
    <w:rsid w:val="00820E36"/>
    <w:rsid w:val="00821B4A"/>
    <w:rsid w:val="008226B5"/>
    <w:rsid w:val="00825BD2"/>
    <w:rsid w:val="008261C3"/>
    <w:rsid w:val="008274E7"/>
    <w:rsid w:val="00831297"/>
    <w:rsid w:val="008315D6"/>
    <w:rsid w:val="00834027"/>
    <w:rsid w:val="008365EA"/>
    <w:rsid w:val="00836887"/>
    <w:rsid w:val="00837B6B"/>
    <w:rsid w:val="008401D4"/>
    <w:rsid w:val="00841AE6"/>
    <w:rsid w:val="00841B63"/>
    <w:rsid w:val="0084245D"/>
    <w:rsid w:val="00842819"/>
    <w:rsid w:val="0084671D"/>
    <w:rsid w:val="00847419"/>
    <w:rsid w:val="00847B7A"/>
    <w:rsid w:val="0085613F"/>
    <w:rsid w:val="00856840"/>
    <w:rsid w:val="00856F10"/>
    <w:rsid w:val="008607FD"/>
    <w:rsid w:val="008616F8"/>
    <w:rsid w:val="008628D3"/>
    <w:rsid w:val="00864A9A"/>
    <w:rsid w:val="00864D3F"/>
    <w:rsid w:val="0087015F"/>
    <w:rsid w:val="0087036A"/>
    <w:rsid w:val="00870FF8"/>
    <w:rsid w:val="0087303E"/>
    <w:rsid w:val="00882202"/>
    <w:rsid w:val="008828BB"/>
    <w:rsid w:val="0089055E"/>
    <w:rsid w:val="00891407"/>
    <w:rsid w:val="00891840"/>
    <w:rsid w:val="00892B9D"/>
    <w:rsid w:val="00892F31"/>
    <w:rsid w:val="008942D2"/>
    <w:rsid w:val="008973AE"/>
    <w:rsid w:val="008A04DD"/>
    <w:rsid w:val="008A0A62"/>
    <w:rsid w:val="008A1B2B"/>
    <w:rsid w:val="008A21B6"/>
    <w:rsid w:val="008A412F"/>
    <w:rsid w:val="008A72F1"/>
    <w:rsid w:val="008B14C3"/>
    <w:rsid w:val="008B14D4"/>
    <w:rsid w:val="008B1577"/>
    <w:rsid w:val="008B249E"/>
    <w:rsid w:val="008B3000"/>
    <w:rsid w:val="008B3410"/>
    <w:rsid w:val="008B6BCB"/>
    <w:rsid w:val="008B6DEF"/>
    <w:rsid w:val="008C01DC"/>
    <w:rsid w:val="008C2400"/>
    <w:rsid w:val="008C3C65"/>
    <w:rsid w:val="008C3E86"/>
    <w:rsid w:val="008C3F8A"/>
    <w:rsid w:val="008C41A8"/>
    <w:rsid w:val="008C68AE"/>
    <w:rsid w:val="008D068B"/>
    <w:rsid w:val="008D0EC9"/>
    <w:rsid w:val="008D2AC1"/>
    <w:rsid w:val="008D534B"/>
    <w:rsid w:val="008D6310"/>
    <w:rsid w:val="008E05C9"/>
    <w:rsid w:val="008E0B31"/>
    <w:rsid w:val="008E1592"/>
    <w:rsid w:val="008E326E"/>
    <w:rsid w:val="008E3323"/>
    <w:rsid w:val="008E3A8B"/>
    <w:rsid w:val="008E3FCF"/>
    <w:rsid w:val="008E4396"/>
    <w:rsid w:val="008E49F1"/>
    <w:rsid w:val="008F1429"/>
    <w:rsid w:val="008F26B7"/>
    <w:rsid w:val="008F3510"/>
    <w:rsid w:val="008F466B"/>
    <w:rsid w:val="008F4906"/>
    <w:rsid w:val="008F6340"/>
    <w:rsid w:val="00901ECF"/>
    <w:rsid w:val="009034AE"/>
    <w:rsid w:val="00904256"/>
    <w:rsid w:val="0090475E"/>
    <w:rsid w:val="009059A6"/>
    <w:rsid w:val="009060EA"/>
    <w:rsid w:val="00906459"/>
    <w:rsid w:val="0090663D"/>
    <w:rsid w:val="009075AD"/>
    <w:rsid w:val="0091214E"/>
    <w:rsid w:val="00913CAC"/>
    <w:rsid w:val="009154AA"/>
    <w:rsid w:val="00915E9A"/>
    <w:rsid w:val="00916394"/>
    <w:rsid w:val="00920E17"/>
    <w:rsid w:val="00921CC3"/>
    <w:rsid w:val="00922B37"/>
    <w:rsid w:val="00922F59"/>
    <w:rsid w:val="00924365"/>
    <w:rsid w:val="0092440E"/>
    <w:rsid w:val="00925F6E"/>
    <w:rsid w:val="00926635"/>
    <w:rsid w:val="00926FE3"/>
    <w:rsid w:val="0092781B"/>
    <w:rsid w:val="009318F1"/>
    <w:rsid w:val="009338E1"/>
    <w:rsid w:val="009355BA"/>
    <w:rsid w:val="00935723"/>
    <w:rsid w:val="00943195"/>
    <w:rsid w:val="00947C44"/>
    <w:rsid w:val="00950456"/>
    <w:rsid w:val="00950971"/>
    <w:rsid w:val="00951105"/>
    <w:rsid w:val="00952902"/>
    <w:rsid w:val="009532E7"/>
    <w:rsid w:val="009560AD"/>
    <w:rsid w:val="009578A0"/>
    <w:rsid w:val="00960CD8"/>
    <w:rsid w:val="0096250A"/>
    <w:rsid w:val="0096291F"/>
    <w:rsid w:val="00963EC3"/>
    <w:rsid w:val="00965073"/>
    <w:rsid w:val="00965CDE"/>
    <w:rsid w:val="0096695C"/>
    <w:rsid w:val="00967D65"/>
    <w:rsid w:val="009701CB"/>
    <w:rsid w:val="00971836"/>
    <w:rsid w:val="009724A2"/>
    <w:rsid w:val="00975751"/>
    <w:rsid w:val="0097604A"/>
    <w:rsid w:val="009775A6"/>
    <w:rsid w:val="00980077"/>
    <w:rsid w:val="00981419"/>
    <w:rsid w:val="009815BF"/>
    <w:rsid w:val="00981708"/>
    <w:rsid w:val="00986A2E"/>
    <w:rsid w:val="00986EDC"/>
    <w:rsid w:val="009872DF"/>
    <w:rsid w:val="009915C2"/>
    <w:rsid w:val="009926D0"/>
    <w:rsid w:val="009943D4"/>
    <w:rsid w:val="00994725"/>
    <w:rsid w:val="00996481"/>
    <w:rsid w:val="00996986"/>
    <w:rsid w:val="00996A78"/>
    <w:rsid w:val="009A29F5"/>
    <w:rsid w:val="009A2D3A"/>
    <w:rsid w:val="009A3E42"/>
    <w:rsid w:val="009A442E"/>
    <w:rsid w:val="009A48C7"/>
    <w:rsid w:val="009A4989"/>
    <w:rsid w:val="009A53FE"/>
    <w:rsid w:val="009A77CC"/>
    <w:rsid w:val="009A7805"/>
    <w:rsid w:val="009B0417"/>
    <w:rsid w:val="009B0710"/>
    <w:rsid w:val="009B07AD"/>
    <w:rsid w:val="009B0ED5"/>
    <w:rsid w:val="009B1848"/>
    <w:rsid w:val="009B5260"/>
    <w:rsid w:val="009C3780"/>
    <w:rsid w:val="009C3E9B"/>
    <w:rsid w:val="009C462E"/>
    <w:rsid w:val="009C4EA1"/>
    <w:rsid w:val="009C617A"/>
    <w:rsid w:val="009C67B2"/>
    <w:rsid w:val="009D1077"/>
    <w:rsid w:val="009D21BB"/>
    <w:rsid w:val="009D354B"/>
    <w:rsid w:val="009D43B3"/>
    <w:rsid w:val="009D4965"/>
    <w:rsid w:val="009D4B98"/>
    <w:rsid w:val="009D5371"/>
    <w:rsid w:val="009D55FF"/>
    <w:rsid w:val="009D5CC3"/>
    <w:rsid w:val="009E08B2"/>
    <w:rsid w:val="009E0A87"/>
    <w:rsid w:val="009E1863"/>
    <w:rsid w:val="009E22A4"/>
    <w:rsid w:val="009E2BF9"/>
    <w:rsid w:val="009E3572"/>
    <w:rsid w:val="009E4B08"/>
    <w:rsid w:val="009F03B8"/>
    <w:rsid w:val="009F275A"/>
    <w:rsid w:val="009F378C"/>
    <w:rsid w:val="009F4C2C"/>
    <w:rsid w:val="009F4E92"/>
    <w:rsid w:val="009F59CB"/>
    <w:rsid w:val="00A0161B"/>
    <w:rsid w:val="00A01D57"/>
    <w:rsid w:val="00A02622"/>
    <w:rsid w:val="00A03FDC"/>
    <w:rsid w:val="00A0461C"/>
    <w:rsid w:val="00A0585F"/>
    <w:rsid w:val="00A0690C"/>
    <w:rsid w:val="00A069D6"/>
    <w:rsid w:val="00A073D1"/>
    <w:rsid w:val="00A07CC7"/>
    <w:rsid w:val="00A07F41"/>
    <w:rsid w:val="00A105B2"/>
    <w:rsid w:val="00A1212C"/>
    <w:rsid w:val="00A1225E"/>
    <w:rsid w:val="00A154D7"/>
    <w:rsid w:val="00A16A9E"/>
    <w:rsid w:val="00A20A44"/>
    <w:rsid w:val="00A20F7C"/>
    <w:rsid w:val="00A22894"/>
    <w:rsid w:val="00A22A7F"/>
    <w:rsid w:val="00A22E47"/>
    <w:rsid w:val="00A318F3"/>
    <w:rsid w:val="00A33405"/>
    <w:rsid w:val="00A33522"/>
    <w:rsid w:val="00A348A2"/>
    <w:rsid w:val="00A35598"/>
    <w:rsid w:val="00A35B05"/>
    <w:rsid w:val="00A4086E"/>
    <w:rsid w:val="00A4122B"/>
    <w:rsid w:val="00A41FBE"/>
    <w:rsid w:val="00A42743"/>
    <w:rsid w:val="00A5374E"/>
    <w:rsid w:val="00A55867"/>
    <w:rsid w:val="00A55E58"/>
    <w:rsid w:val="00A6194D"/>
    <w:rsid w:val="00A63C79"/>
    <w:rsid w:val="00A677B0"/>
    <w:rsid w:val="00A70726"/>
    <w:rsid w:val="00A70AC3"/>
    <w:rsid w:val="00A71101"/>
    <w:rsid w:val="00A71905"/>
    <w:rsid w:val="00A71C53"/>
    <w:rsid w:val="00A71E3C"/>
    <w:rsid w:val="00A7477B"/>
    <w:rsid w:val="00A772E9"/>
    <w:rsid w:val="00A77719"/>
    <w:rsid w:val="00A803C9"/>
    <w:rsid w:val="00A812FB"/>
    <w:rsid w:val="00A81314"/>
    <w:rsid w:val="00A816AE"/>
    <w:rsid w:val="00A82B32"/>
    <w:rsid w:val="00A835FB"/>
    <w:rsid w:val="00A84367"/>
    <w:rsid w:val="00A90873"/>
    <w:rsid w:val="00A9276E"/>
    <w:rsid w:val="00A95F2A"/>
    <w:rsid w:val="00A972BA"/>
    <w:rsid w:val="00A979FA"/>
    <w:rsid w:val="00AA1740"/>
    <w:rsid w:val="00AA2D86"/>
    <w:rsid w:val="00AA4692"/>
    <w:rsid w:val="00AA73FE"/>
    <w:rsid w:val="00AA78FB"/>
    <w:rsid w:val="00AB094E"/>
    <w:rsid w:val="00AB26B1"/>
    <w:rsid w:val="00AB30AC"/>
    <w:rsid w:val="00AB361D"/>
    <w:rsid w:val="00AB4AD7"/>
    <w:rsid w:val="00AB4FA4"/>
    <w:rsid w:val="00AB66F7"/>
    <w:rsid w:val="00AC3887"/>
    <w:rsid w:val="00AC391B"/>
    <w:rsid w:val="00AC419E"/>
    <w:rsid w:val="00AC44A9"/>
    <w:rsid w:val="00AC7C7C"/>
    <w:rsid w:val="00AD1215"/>
    <w:rsid w:val="00AD2340"/>
    <w:rsid w:val="00AD263F"/>
    <w:rsid w:val="00AD284E"/>
    <w:rsid w:val="00AD635F"/>
    <w:rsid w:val="00AD67AA"/>
    <w:rsid w:val="00AD7C23"/>
    <w:rsid w:val="00AE146B"/>
    <w:rsid w:val="00AE7C6B"/>
    <w:rsid w:val="00AF1A78"/>
    <w:rsid w:val="00AF2027"/>
    <w:rsid w:val="00AF41C5"/>
    <w:rsid w:val="00AF509E"/>
    <w:rsid w:val="00AF6A19"/>
    <w:rsid w:val="00AF7D50"/>
    <w:rsid w:val="00AF7D59"/>
    <w:rsid w:val="00B00203"/>
    <w:rsid w:val="00B0288C"/>
    <w:rsid w:val="00B02D3E"/>
    <w:rsid w:val="00B02D48"/>
    <w:rsid w:val="00B039C9"/>
    <w:rsid w:val="00B05A17"/>
    <w:rsid w:val="00B13C4B"/>
    <w:rsid w:val="00B14DBB"/>
    <w:rsid w:val="00B15B9A"/>
    <w:rsid w:val="00B17053"/>
    <w:rsid w:val="00B17ADC"/>
    <w:rsid w:val="00B17B07"/>
    <w:rsid w:val="00B223BC"/>
    <w:rsid w:val="00B23E44"/>
    <w:rsid w:val="00B2512F"/>
    <w:rsid w:val="00B25C2B"/>
    <w:rsid w:val="00B26A13"/>
    <w:rsid w:val="00B27925"/>
    <w:rsid w:val="00B32ABB"/>
    <w:rsid w:val="00B34905"/>
    <w:rsid w:val="00B40483"/>
    <w:rsid w:val="00B413B8"/>
    <w:rsid w:val="00B43B06"/>
    <w:rsid w:val="00B5017D"/>
    <w:rsid w:val="00B51642"/>
    <w:rsid w:val="00B52C1F"/>
    <w:rsid w:val="00B5323A"/>
    <w:rsid w:val="00B5440C"/>
    <w:rsid w:val="00B55F46"/>
    <w:rsid w:val="00B5617E"/>
    <w:rsid w:val="00B5643E"/>
    <w:rsid w:val="00B61154"/>
    <w:rsid w:val="00B6176B"/>
    <w:rsid w:val="00B62DA5"/>
    <w:rsid w:val="00B66FE2"/>
    <w:rsid w:val="00B676BD"/>
    <w:rsid w:val="00B67CD2"/>
    <w:rsid w:val="00B70DDB"/>
    <w:rsid w:val="00B748EA"/>
    <w:rsid w:val="00B77318"/>
    <w:rsid w:val="00B80F36"/>
    <w:rsid w:val="00B824D1"/>
    <w:rsid w:val="00B83DA4"/>
    <w:rsid w:val="00B84DB1"/>
    <w:rsid w:val="00B84EB9"/>
    <w:rsid w:val="00B86680"/>
    <w:rsid w:val="00B909BB"/>
    <w:rsid w:val="00B91512"/>
    <w:rsid w:val="00B92255"/>
    <w:rsid w:val="00B928F2"/>
    <w:rsid w:val="00B9364C"/>
    <w:rsid w:val="00B93F00"/>
    <w:rsid w:val="00B94929"/>
    <w:rsid w:val="00B961A5"/>
    <w:rsid w:val="00B97417"/>
    <w:rsid w:val="00B97A05"/>
    <w:rsid w:val="00BA138E"/>
    <w:rsid w:val="00BA1FD8"/>
    <w:rsid w:val="00BA262E"/>
    <w:rsid w:val="00BA2D7A"/>
    <w:rsid w:val="00BB219E"/>
    <w:rsid w:val="00BB2F3B"/>
    <w:rsid w:val="00BB4F48"/>
    <w:rsid w:val="00BB5786"/>
    <w:rsid w:val="00BC02C4"/>
    <w:rsid w:val="00BC0D50"/>
    <w:rsid w:val="00BC1CBE"/>
    <w:rsid w:val="00BC5565"/>
    <w:rsid w:val="00BC7024"/>
    <w:rsid w:val="00BD0338"/>
    <w:rsid w:val="00BD4CB2"/>
    <w:rsid w:val="00BD4DAF"/>
    <w:rsid w:val="00BD52C2"/>
    <w:rsid w:val="00BD6863"/>
    <w:rsid w:val="00BD7F31"/>
    <w:rsid w:val="00BE5E76"/>
    <w:rsid w:val="00BE672E"/>
    <w:rsid w:val="00BE7008"/>
    <w:rsid w:val="00BE759D"/>
    <w:rsid w:val="00BE75A3"/>
    <w:rsid w:val="00BF1983"/>
    <w:rsid w:val="00BF1DE7"/>
    <w:rsid w:val="00BF6929"/>
    <w:rsid w:val="00BF720D"/>
    <w:rsid w:val="00BF755F"/>
    <w:rsid w:val="00C00CC5"/>
    <w:rsid w:val="00C01BF3"/>
    <w:rsid w:val="00C036F9"/>
    <w:rsid w:val="00C05B2E"/>
    <w:rsid w:val="00C06148"/>
    <w:rsid w:val="00C11A8E"/>
    <w:rsid w:val="00C135BC"/>
    <w:rsid w:val="00C1370F"/>
    <w:rsid w:val="00C1592C"/>
    <w:rsid w:val="00C15D37"/>
    <w:rsid w:val="00C16ECF"/>
    <w:rsid w:val="00C2155D"/>
    <w:rsid w:val="00C22167"/>
    <w:rsid w:val="00C24BF2"/>
    <w:rsid w:val="00C25A53"/>
    <w:rsid w:val="00C269A1"/>
    <w:rsid w:val="00C277F0"/>
    <w:rsid w:val="00C31742"/>
    <w:rsid w:val="00C32601"/>
    <w:rsid w:val="00C362BF"/>
    <w:rsid w:val="00C36E24"/>
    <w:rsid w:val="00C40B42"/>
    <w:rsid w:val="00C46A9D"/>
    <w:rsid w:val="00C47AFA"/>
    <w:rsid w:val="00C51E79"/>
    <w:rsid w:val="00C61735"/>
    <w:rsid w:val="00C639A1"/>
    <w:rsid w:val="00C710CB"/>
    <w:rsid w:val="00C715BD"/>
    <w:rsid w:val="00C72C04"/>
    <w:rsid w:val="00C72E4F"/>
    <w:rsid w:val="00C75B97"/>
    <w:rsid w:val="00C821FF"/>
    <w:rsid w:val="00C826AF"/>
    <w:rsid w:val="00C858B3"/>
    <w:rsid w:val="00C92C2E"/>
    <w:rsid w:val="00C96567"/>
    <w:rsid w:val="00C965B1"/>
    <w:rsid w:val="00C968FD"/>
    <w:rsid w:val="00C97B1E"/>
    <w:rsid w:val="00CA14FA"/>
    <w:rsid w:val="00CA170D"/>
    <w:rsid w:val="00CA3CF8"/>
    <w:rsid w:val="00CA6ADA"/>
    <w:rsid w:val="00CA7319"/>
    <w:rsid w:val="00CB0E88"/>
    <w:rsid w:val="00CB1596"/>
    <w:rsid w:val="00CB4276"/>
    <w:rsid w:val="00CB73D7"/>
    <w:rsid w:val="00CB7C85"/>
    <w:rsid w:val="00CC0E4E"/>
    <w:rsid w:val="00CC231F"/>
    <w:rsid w:val="00CC245C"/>
    <w:rsid w:val="00CD2901"/>
    <w:rsid w:val="00CE2522"/>
    <w:rsid w:val="00CE3DC2"/>
    <w:rsid w:val="00CE3F81"/>
    <w:rsid w:val="00CE5007"/>
    <w:rsid w:val="00CE506A"/>
    <w:rsid w:val="00CE526A"/>
    <w:rsid w:val="00CE6CD5"/>
    <w:rsid w:val="00CF01D1"/>
    <w:rsid w:val="00CF14C9"/>
    <w:rsid w:val="00CF2D1A"/>
    <w:rsid w:val="00CF3186"/>
    <w:rsid w:val="00CF503C"/>
    <w:rsid w:val="00CF5CC5"/>
    <w:rsid w:val="00CF6132"/>
    <w:rsid w:val="00CF670D"/>
    <w:rsid w:val="00CF77EF"/>
    <w:rsid w:val="00CF7CA0"/>
    <w:rsid w:val="00CF7CC0"/>
    <w:rsid w:val="00D0032B"/>
    <w:rsid w:val="00D00840"/>
    <w:rsid w:val="00D026B8"/>
    <w:rsid w:val="00D10184"/>
    <w:rsid w:val="00D11325"/>
    <w:rsid w:val="00D117B3"/>
    <w:rsid w:val="00D11BAF"/>
    <w:rsid w:val="00D11D68"/>
    <w:rsid w:val="00D11E94"/>
    <w:rsid w:val="00D12973"/>
    <w:rsid w:val="00D13CCF"/>
    <w:rsid w:val="00D13D78"/>
    <w:rsid w:val="00D14AD0"/>
    <w:rsid w:val="00D15224"/>
    <w:rsid w:val="00D164F9"/>
    <w:rsid w:val="00D207E6"/>
    <w:rsid w:val="00D2359E"/>
    <w:rsid w:val="00D235B9"/>
    <w:rsid w:val="00D258C3"/>
    <w:rsid w:val="00D266F3"/>
    <w:rsid w:val="00D26D64"/>
    <w:rsid w:val="00D30139"/>
    <w:rsid w:val="00D30593"/>
    <w:rsid w:val="00D32244"/>
    <w:rsid w:val="00D32BBF"/>
    <w:rsid w:val="00D3452D"/>
    <w:rsid w:val="00D36601"/>
    <w:rsid w:val="00D368EF"/>
    <w:rsid w:val="00D377F4"/>
    <w:rsid w:val="00D40F37"/>
    <w:rsid w:val="00D41AE4"/>
    <w:rsid w:val="00D433D9"/>
    <w:rsid w:val="00D44F78"/>
    <w:rsid w:val="00D4616B"/>
    <w:rsid w:val="00D46A13"/>
    <w:rsid w:val="00D47E0C"/>
    <w:rsid w:val="00D50BB4"/>
    <w:rsid w:val="00D50BE0"/>
    <w:rsid w:val="00D52ED1"/>
    <w:rsid w:val="00D53CC5"/>
    <w:rsid w:val="00D53FCD"/>
    <w:rsid w:val="00D55AA6"/>
    <w:rsid w:val="00D57347"/>
    <w:rsid w:val="00D57D54"/>
    <w:rsid w:val="00D6010A"/>
    <w:rsid w:val="00D601E2"/>
    <w:rsid w:val="00D612A5"/>
    <w:rsid w:val="00D62799"/>
    <w:rsid w:val="00D62DBA"/>
    <w:rsid w:val="00D649D9"/>
    <w:rsid w:val="00D66757"/>
    <w:rsid w:val="00D73A13"/>
    <w:rsid w:val="00D751E4"/>
    <w:rsid w:val="00D773D4"/>
    <w:rsid w:val="00D81A4C"/>
    <w:rsid w:val="00D81AC7"/>
    <w:rsid w:val="00D83138"/>
    <w:rsid w:val="00D84EEA"/>
    <w:rsid w:val="00D8789E"/>
    <w:rsid w:val="00D9251D"/>
    <w:rsid w:val="00D92BF2"/>
    <w:rsid w:val="00D959D2"/>
    <w:rsid w:val="00DA32F3"/>
    <w:rsid w:val="00DA37E9"/>
    <w:rsid w:val="00DA51B1"/>
    <w:rsid w:val="00DA574D"/>
    <w:rsid w:val="00DB0AE2"/>
    <w:rsid w:val="00DB1B79"/>
    <w:rsid w:val="00DB49DE"/>
    <w:rsid w:val="00DB7850"/>
    <w:rsid w:val="00DC1EBC"/>
    <w:rsid w:val="00DC4CBA"/>
    <w:rsid w:val="00DC6515"/>
    <w:rsid w:val="00DC6C01"/>
    <w:rsid w:val="00DD1D58"/>
    <w:rsid w:val="00DD2686"/>
    <w:rsid w:val="00DD2DD8"/>
    <w:rsid w:val="00DD4152"/>
    <w:rsid w:val="00DD56B3"/>
    <w:rsid w:val="00DD629E"/>
    <w:rsid w:val="00DE071A"/>
    <w:rsid w:val="00DE7FD2"/>
    <w:rsid w:val="00DF02D5"/>
    <w:rsid w:val="00DF2327"/>
    <w:rsid w:val="00DF3751"/>
    <w:rsid w:val="00DF3CA2"/>
    <w:rsid w:val="00DF473C"/>
    <w:rsid w:val="00DF66C0"/>
    <w:rsid w:val="00DF713F"/>
    <w:rsid w:val="00DF76BF"/>
    <w:rsid w:val="00E00AC0"/>
    <w:rsid w:val="00E017B6"/>
    <w:rsid w:val="00E03159"/>
    <w:rsid w:val="00E033E6"/>
    <w:rsid w:val="00E03B5D"/>
    <w:rsid w:val="00E06BE6"/>
    <w:rsid w:val="00E07524"/>
    <w:rsid w:val="00E10656"/>
    <w:rsid w:val="00E115EE"/>
    <w:rsid w:val="00E1371C"/>
    <w:rsid w:val="00E139E6"/>
    <w:rsid w:val="00E15F42"/>
    <w:rsid w:val="00E20D11"/>
    <w:rsid w:val="00E2305C"/>
    <w:rsid w:val="00E248E3"/>
    <w:rsid w:val="00E31725"/>
    <w:rsid w:val="00E31D40"/>
    <w:rsid w:val="00E31E19"/>
    <w:rsid w:val="00E33801"/>
    <w:rsid w:val="00E34A7A"/>
    <w:rsid w:val="00E36B2C"/>
    <w:rsid w:val="00E41704"/>
    <w:rsid w:val="00E44ABF"/>
    <w:rsid w:val="00E45089"/>
    <w:rsid w:val="00E46024"/>
    <w:rsid w:val="00E500E1"/>
    <w:rsid w:val="00E5056B"/>
    <w:rsid w:val="00E51905"/>
    <w:rsid w:val="00E51A0F"/>
    <w:rsid w:val="00E51C32"/>
    <w:rsid w:val="00E52BA6"/>
    <w:rsid w:val="00E530A9"/>
    <w:rsid w:val="00E53806"/>
    <w:rsid w:val="00E545CE"/>
    <w:rsid w:val="00E55535"/>
    <w:rsid w:val="00E5575B"/>
    <w:rsid w:val="00E562C9"/>
    <w:rsid w:val="00E56A49"/>
    <w:rsid w:val="00E570F8"/>
    <w:rsid w:val="00E57192"/>
    <w:rsid w:val="00E57845"/>
    <w:rsid w:val="00E60C24"/>
    <w:rsid w:val="00E62288"/>
    <w:rsid w:val="00E626F3"/>
    <w:rsid w:val="00E62CE6"/>
    <w:rsid w:val="00E63C4C"/>
    <w:rsid w:val="00E644E0"/>
    <w:rsid w:val="00E64667"/>
    <w:rsid w:val="00E65A6C"/>
    <w:rsid w:val="00E67F04"/>
    <w:rsid w:val="00E71C98"/>
    <w:rsid w:val="00E727F2"/>
    <w:rsid w:val="00E742A0"/>
    <w:rsid w:val="00E75188"/>
    <w:rsid w:val="00E7563F"/>
    <w:rsid w:val="00E75EB7"/>
    <w:rsid w:val="00E777DA"/>
    <w:rsid w:val="00E8034B"/>
    <w:rsid w:val="00E814F2"/>
    <w:rsid w:val="00E82F3B"/>
    <w:rsid w:val="00E83636"/>
    <w:rsid w:val="00E83A1D"/>
    <w:rsid w:val="00E90CE5"/>
    <w:rsid w:val="00E91C35"/>
    <w:rsid w:val="00E91D5F"/>
    <w:rsid w:val="00E95B4E"/>
    <w:rsid w:val="00E9643E"/>
    <w:rsid w:val="00E96441"/>
    <w:rsid w:val="00E964CA"/>
    <w:rsid w:val="00E96A19"/>
    <w:rsid w:val="00E9795F"/>
    <w:rsid w:val="00EA2D1A"/>
    <w:rsid w:val="00EA3068"/>
    <w:rsid w:val="00EA33A6"/>
    <w:rsid w:val="00EA3BE5"/>
    <w:rsid w:val="00EA4B04"/>
    <w:rsid w:val="00EA5183"/>
    <w:rsid w:val="00EA6CD6"/>
    <w:rsid w:val="00EB0A8A"/>
    <w:rsid w:val="00EB0C55"/>
    <w:rsid w:val="00EB70F6"/>
    <w:rsid w:val="00EB7FDA"/>
    <w:rsid w:val="00EC1964"/>
    <w:rsid w:val="00EC36F3"/>
    <w:rsid w:val="00EC42E4"/>
    <w:rsid w:val="00EC4737"/>
    <w:rsid w:val="00EC4DFE"/>
    <w:rsid w:val="00EC558E"/>
    <w:rsid w:val="00EC68A3"/>
    <w:rsid w:val="00EC766C"/>
    <w:rsid w:val="00ED11FA"/>
    <w:rsid w:val="00ED3A66"/>
    <w:rsid w:val="00ED439C"/>
    <w:rsid w:val="00ED78AB"/>
    <w:rsid w:val="00EE31BF"/>
    <w:rsid w:val="00EE6504"/>
    <w:rsid w:val="00EF06E7"/>
    <w:rsid w:val="00EF0955"/>
    <w:rsid w:val="00EF466B"/>
    <w:rsid w:val="00EF56B0"/>
    <w:rsid w:val="00EF580C"/>
    <w:rsid w:val="00EF7CA6"/>
    <w:rsid w:val="00F061D2"/>
    <w:rsid w:val="00F07B53"/>
    <w:rsid w:val="00F100A1"/>
    <w:rsid w:val="00F10D6A"/>
    <w:rsid w:val="00F12458"/>
    <w:rsid w:val="00F146B8"/>
    <w:rsid w:val="00F1572C"/>
    <w:rsid w:val="00F21C86"/>
    <w:rsid w:val="00F22423"/>
    <w:rsid w:val="00F23A1B"/>
    <w:rsid w:val="00F244CE"/>
    <w:rsid w:val="00F26A08"/>
    <w:rsid w:val="00F27761"/>
    <w:rsid w:val="00F30D0E"/>
    <w:rsid w:val="00F30EEB"/>
    <w:rsid w:val="00F31350"/>
    <w:rsid w:val="00F32C3F"/>
    <w:rsid w:val="00F36478"/>
    <w:rsid w:val="00F370AA"/>
    <w:rsid w:val="00F40629"/>
    <w:rsid w:val="00F41B44"/>
    <w:rsid w:val="00F42275"/>
    <w:rsid w:val="00F42B9F"/>
    <w:rsid w:val="00F44D3A"/>
    <w:rsid w:val="00F46040"/>
    <w:rsid w:val="00F47A2E"/>
    <w:rsid w:val="00F542BC"/>
    <w:rsid w:val="00F577B7"/>
    <w:rsid w:val="00F60DD6"/>
    <w:rsid w:val="00F706D4"/>
    <w:rsid w:val="00F70BA3"/>
    <w:rsid w:val="00F71771"/>
    <w:rsid w:val="00F747EE"/>
    <w:rsid w:val="00F7656A"/>
    <w:rsid w:val="00F76F89"/>
    <w:rsid w:val="00F811F6"/>
    <w:rsid w:val="00F82B90"/>
    <w:rsid w:val="00F830A7"/>
    <w:rsid w:val="00F841CF"/>
    <w:rsid w:val="00F86C0A"/>
    <w:rsid w:val="00F86DA6"/>
    <w:rsid w:val="00F901A8"/>
    <w:rsid w:val="00F9199A"/>
    <w:rsid w:val="00F91E60"/>
    <w:rsid w:val="00F93EC1"/>
    <w:rsid w:val="00F9524E"/>
    <w:rsid w:val="00FA0E58"/>
    <w:rsid w:val="00FA1CAC"/>
    <w:rsid w:val="00FA2B88"/>
    <w:rsid w:val="00FA5AAD"/>
    <w:rsid w:val="00FA6398"/>
    <w:rsid w:val="00FA7635"/>
    <w:rsid w:val="00FA7804"/>
    <w:rsid w:val="00FA7D3A"/>
    <w:rsid w:val="00FB03F2"/>
    <w:rsid w:val="00FB0D7B"/>
    <w:rsid w:val="00FB202B"/>
    <w:rsid w:val="00FB6825"/>
    <w:rsid w:val="00FB6AC5"/>
    <w:rsid w:val="00FC0E5C"/>
    <w:rsid w:val="00FC164C"/>
    <w:rsid w:val="00FC4599"/>
    <w:rsid w:val="00FC4C53"/>
    <w:rsid w:val="00FC71E6"/>
    <w:rsid w:val="00FD0079"/>
    <w:rsid w:val="00FD2ACA"/>
    <w:rsid w:val="00FD34B0"/>
    <w:rsid w:val="00FD3926"/>
    <w:rsid w:val="00FD40FF"/>
    <w:rsid w:val="00FD6795"/>
    <w:rsid w:val="00FE10AE"/>
    <w:rsid w:val="00FE3241"/>
    <w:rsid w:val="00FE6838"/>
    <w:rsid w:val="00FE7289"/>
    <w:rsid w:val="00FE7B68"/>
    <w:rsid w:val="00FF03BC"/>
    <w:rsid w:val="00FF055A"/>
    <w:rsid w:val="00FF5305"/>
    <w:rsid w:val="00FF59B7"/>
    <w:rsid w:val="00FF670B"/>
    <w:rsid w:val="00FF67AC"/>
    <w:rsid w:val="00FF7956"/>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9AE182"/>
  <w15:chartTrackingRefBased/>
  <w15:docId w15:val="{5EF1F468-D47A-43E9-8331-868E3464D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33E2B"/>
    <w:pPr>
      <w:spacing w:after="0" w:line="240" w:lineRule="auto"/>
    </w:pPr>
    <w:rPr>
      <w:rFonts w:ascii="Times New Roman" w:hAnsi="Times New Roman" w:cs="Times New Roman"/>
      <w:sz w:val="24"/>
      <w:szCs w:val="24"/>
      <w:lang w:eastAsia="en-GB"/>
    </w:rPr>
  </w:style>
  <w:style w:type="paragraph" w:styleId="Heading1">
    <w:name w:val="heading 1"/>
    <w:basedOn w:val="Normal"/>
    <w:next w:val="Normal"/>
    <w:link w:val="Heading1Char"/>
    <w:uiPriority w:val="9"/>
    <w:qFormat/>
    <w:rsid w:val="009C4EA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33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F33A1"/>
    <w:pPr>
      <w:spacing w:after="160" w:line="259" w:lineRule="auto"/>
      <w:ind w:left="720"/>
      <w:contextualSpacing/>
    </w:pPr>
    <w:rPr>
      <w:rFonts w:asciiTheme="minorHAnsi" w:hAnsiTheme="minorHAnsi" w:cstheme="minorBidi"/>
      <w:sz w:val="22"/>
      <w:szCs w:val="22"/>
      <w:lang w:eastAsia="en-US"/>
    </w:rPr>
  </w:style>
  <w:style w:type="paragraph" w:customStyle="1" w:styleId="xmsonormal">
    <w:name w:val="x_msonormal"/>
    <w:basedOn w:val="Normal"/>
    <w:rsid w:val="00E34A7A"/>
    <w:pPr>
      <w:spacing w:before="100" w:beforeAutospacing="1" w:after="100" w:afterAutospacing="1"/>
    </w:pPr>
    <w:rPr>
      <w:rFonts w:eastAsia="Arial"/>
    </w:rPr>
  </w:style>
  <w:style w:type="character" w:styleId="Hyperlink">
    <w:name w:val="Hyperlink"/>
    <w:basedOn w:val="DefaultParagraphFont"/>
    <w:uiPriority w:val="99"/>
    <w:unhideWhenUsed/>
    <w:rsid w:val="001C6F21"/>
    <w:rPr>
      <w:color w:val="0563C1" w:themeColor="hyperlink"/>
      <w:u w:val="single"/>
    </w:rPr>
  </w:style>
  <w:style w:type="paragraph" w:styleId="NormalWeb">
    <w:name w:val="Normal (Web)"/>
    <w:basedOn w:val="Normal"/>
    <w:uiPriority w:val="99"/>
    <w:semiHidden/>
    <w:unhideWhenUsed/>
    <w:rsid w:val="0014032F"/>
    <w:pPr>
      <w:spacing w:before="100" w:beforeAutospacing="1" w:after="100" w:afterAutospacing="1"/>
    </w:pPr>
  </w:style>
  <w:style w:type="paragraph" w:styleId="Header">
    <w:name w:val="header"/>
    <w:basedOn w:val="Normal"/>
    <w:link w:val="HeaderChar"/>
    <w:uiPriority w:val="99"/>
    <w:unhideWhenUsed/>
    <w:rsid w:val="00DF2327"/>
    <w:pPr>
      <w:tabs>
        <w:tab w:val="center" w:pos="4513"/>
        <w:tab w:val="right" w:pos="9026"/>
      </w:tabs>
    </w:pPr>
  </w:style>
  <w:style w:type="character" w:customStyle="1" w:styleId="HeaderChar">
    <w:name w:val="Header Char"/>
    <w:basedOn w:val="DefaultParagraphFont"/>
    <w:link w:val="Header"/>
    <w:uiPriority w:val="99"/>
    <w:rsid w:val="00DF2327"/>
    <w:rPr>
      <w:rFonts w:ascii="Times New Roman" w:hAnsi="Times New Roman" w:cs="Times New Roman"/>
      <w:sz w:val="24"/>
      <w:szCs w:val="24"/>
      <w:lang w:eastAsia="en-GB"/>
    </w:rPr>
  </w:style>
  <w:style w:type="paragraph" w:styleId="Footer">
    <w:name w:val="footer"/>
    <w:basedOn w:val="Normal"/>
    <w:link w:val="FooterChar"/>
    <w:uiPriority w:val="99"/>
    <w:unhideWhenUsed/>
    <w:rsid w:val="00DF2327"/>
    <w:pPr>
      <w:tabs>
        <w:tab w:val="center" w:pos="4513"/>
        <w:tab w:val="right" w:pos="9026"/>
      </w:tabs>
    </w:pPr>
  </w:style>
  <w:style w:type="character" w:customStyle="1" w:styleId="FooterChar">
    <w:name w:val="Footer Char"/>
    <w:basedOn w:val="DefaultParagraphFont"/>
    <w:link w:val="Footer"/>
    <w:uiPriority w:val="99"/>
    <w:rsid w:val="00DF2327"/>
    <w:rPr>
      <w:rFonts w:ascii="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684375"/>
    <w:rPr>
      <w:sz w:val="16"/>
      <w:szCs w:val="16"/>
    </w:rPr>
  </w:style>
  <w:style w:type="paragraph" w:styleId="CommentText">
    <w:name w:val="annotation text"/>
    <w:basedOn w:val="Normal"/>
    <w:link w:val="CommentTextChar"/>
    <w:uiPriority w:val="99"/>
    <w:unhideWhenUsed/>
    <w:rsid w:val="00684375"/>
    <w:rPr>
      <w:sz w:val="20"/>
      <w:szCs w:val="20"/>
    </w:rPr>
  </w:style>
  <w:style w:type="character" w:customStyle="1" w:styleId="CommentTextChar">
    <w:name w:val="Comment Text Char"/>
    <w:basedOn w:val="DefaultParagraphFont"/>
    <w:link w:val="CommentText"/>
    <w:uiPriority w:val="99"/>
    <w:rsid w:val="00684375"/>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84375"/>
    <w:rPr>
      <w:b/>
      <w:bCs/>
    </w:rPr>
  </w:style>
  <w:style w:type="character" w:customStyle="1" w:styleId="CommentSubjectChar">
    <w:name w:val="Comment Subject Char"/>
    <w:basedOn w:val="CommentTextChar"/>
    <w:link w:val="CommentSubject"/>
    <w:uiPriority w:val="99"/>
    <w:semiHidden/>
    <w:rsid w:val="00684375"/>
    <w:rPr>
      <w:rFonts w:ascii="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6843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4375"/>
    <w:rPr>
      <w:rFonts w:ascii="Segoe UI" w:hAnsi="Segoe UI" w:cs="Segoe UI"/>
      <w:sz w:val="18"/>
      <w:szCs w:val="18"/>
      <w:lang w:eastAsia="en-GB"/>
    </w:rPr>
  </w:style>
  <w:style w:type="character" w:customStyle="1" w:styleId="apple-converted-space">
    <w:name w:val="apple-converted-space"/>
    <w:basedOn w:val="DefaultParagraphFont"/>
    <w:rsid w:val="00210456"/>
  </w:style>
  <w:style w:type="paragraph" w:styleId="Revision">
    <w:name w:val="Revision"/>
    <w:hidden/>
    <w:uiPriority w:val="99"/>
    <w:semiHidden/>
    <w:rsid w:val="00132969"/>
    <w:pPr>
      <w:spacing w:after="0" w:line="240" w:lineRule="auto"/>
    </w:pPr>
    <w:rPr>
      <w:rFonts w:ascii="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E00AC0"/>
    <w:rPr>
      <w:color w:val="954F72" w:themeColor="followedHyperlink"/>
      <w:u w:val="single"/>
    </w:rPr>
  </w:style>
  <w:style w:type="character" w:customStyle="1" w:styleId="refseries">
    <w:name w:val="ref__series"/>
    <w:basedOn w:val="DefaultParagraphFont"/>
    <w:rsid w:val="00F577B7"/>
  </w:style>
  <w:style w:type="character" w:customStyle="1" w:styleId="refseriesdate">
    <w:name w:val="ref__seriesdate"/>
    <w:basedOn w:val="DefaultParagraphFont"/>
    <w:rsid w:val="00F577B7"/>
  </w:style>
  <w:style w:type="character" w:customStyle="1" w:styleId="refcomment">
    <w:name w:val="refcomment"/>
    <w:basedOn w:val="DefaultParagraphFont"/>
    <w:rsid w:val="00F577B7"/>
  </w:style>
  <w:style w:type="character" w:styleId="LineNumber">
    <w:name w:val="line number"/>
    <w:basedOn w:val="DefaultParagraphFont"/>
    <w:uiPriority w:val="99"/>
    <w:semiHidden/>
    <w:unhideWhenUsed/>
    <w:rsid w:val="00947C44"/>
  </w:style>
  <w:style w:type="character" w:customStyle="1" w:styleId="UnresolvedMention">
    <w:name w:val="Unresolved Mention"/>
    <w:basedOn w:val="DefaultParagraphFont"/>
    <w:uiPriority w:val="99"/>
    <w:rsid w:val="0046381D"/>
    <w:rPr>
      <w:color w:val="605E5C"/>
      <w:shd w:val="clear" w:color="auto" w:fill="E1DFDD"/>
    </w:rPr>
  </w:style>
  <w:style w:type="character" w:customStyle="1" w:styleId="Heading1Char">
    <w:name w:val="Heading 1 Char"/>
    <w:basedOn w:val="DefaultParagraphFont"/>
    <w:link w:val="Heading1"/>
    <w:uiPriority w:val="9"/>
    <w:rsid w:val="009C4EA1"/>
    <w:rPr>
      <w:rFonts w:asciiTheme="majorHAnsi" w:eastAsiaTheme="majorEastAsia" w:hAnsiTheme="majorHAnsi" w:cstheme="majorBidi"/>
      <w:color w:val="2F5496" w:themeColor="accent1" w:themeShade="BF"/>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7023">
      <w:bodyDiv w:val="1"/>
      <w:marLeft w:val="0"/>
      <w:marRight w:val="0"/>
      <w:marTop w:val="0"/>
      <w:marBottom w:val="0"/>
      <w:divBdr>
        <w:top w:val="none" w:sz="0" w:space="0" w:color="auto"/>
        <w:left w:val="none" w:sz="0" w:space="0" w:color="auto"/>
        <w:bottom w:val="none" w:sz="0" w:space="0" w:color="auto"/>
        <w:right w:val="none" w:sz="0" w:space="0" w:color="auto"/>
      </w:divBdr>
    </w:div>
    <w:div w:id="30960072">
      <w:bodyDiv w:val="1"/>
      <w:marLeft w:val="0"/>
      <w:marRight w:val="0"/>
      <w:marTop w:val="0"/>
      <w:marBottom w:val="0"/>
      <w:divBdr>
        <w:top w:val="none" w:sz="0" w:space="0" w:color="auto"/>
        <w:left w:val="none" w:sz="0" w:space="0" w:color="auto"/>
        <w:bottom w:val="none" w:sz="0" w:space="0" w:color="auto"/>
        <w:right w:val="none" w:sz="0" w:space="0" w:color="auto"/>
      </w:divBdr>
    </w:div>
    <w:div w:id="32923817">
      <w:bodyDiv w:val="1"/>
      <w:marLeft w:val="0"/>
      <w:marRight w:val="0"/>
      <w:marTop w:val="0"/>
      <w:marBottom w:val="0"/>
      <w:divBdr>
        <w:top w:val="none" w:sz="0" w:space="0" w:color="auto"/>
        <w:left w:val="none" w:sz="0" w:space="0" w:color="auto"/>
        <w:bottom w:val="none" w:sz="0" w:space="0" w:color="auto"/>
        <w:right w:val="none" w:sz="0" w:space="0" w:color="auto"/>
      </w:divBdr>
    </w:div>
    <w:div w:id="43799204">
      <w:bodyDiv w:val="1"/>
      <w:marLeft w:val="0"/>
      <w:marRight w:val="0"/>
      <w:marTop w:val="0"/>
      <w:marBottom w:val="0"/>
      <w:divBdr>
        <w:top w:val="none" w:sz="0" w:space="0" w:color="auto"/>
        <w:left w:val="none" w:sz="0" w:space="0" w:color="auto"/>
        <w:bottom w:val="none" w:sz="0" w:space="0" w:color="auto"/>
        <w:right w:val="none" w:sz="0" w:space="0" w:color="auto"/>
      </w:divBdr>
    </w:div>
    <w:div w:id="45956654">
      <w:bodyDiv w:val="1"/>
      <w:marLeft w:val="0"/>
      <w:marRight w:val="0"/>
      <w:marTop w:val="0"/>
      <w:marBottom w:val="0"/>
      <w:divBdr>
        <w:top w:val="none" w:sz="0" w:space="0" w:color="auto"/>
        <w:left w:val="none" w:sz="0" w:space="0" w:color="auto"/>
        <w:bottom w:val="none" w:sz="0" w:space="0" w:color="auto"/>
        <w:right w:val="none" w:sz="0" w:space="0" w:color="auto"/>
      </w:divBdr>
    </w:div>
    <w:div w:id="54932986">
      <w:bodyDiv w:val="1"/>
      <w:marLeft w:val="0"/>
      <w:marRight w:val="0"/>
      <w:marTop w:val="0"/>
      <w:marBottom w:val="0"/>
      <w:divBdr>
        <w:top w:val="none" w:sz="0" w:space="0" w:color="auto"/>
        <w:left w:val="none" w:sz="0" w:space="0" w:color="auto"/>
        <w:bottom w:val="none" w:sz="0" w:space="0" w:color="auto"/>
        <w:right w:val="none" w:sz="0" w:space="0" w:color="auto"/>
      </w:divBdr>
    </w:div>
    <w:div w:id="98835797">
      <w:bodyDiv w:val="1"/>
      <w:marLeft w:val="0"/>
      <w:marRight w:val="0"/>
      <w:marTop w:val="0"/>
      <w:marBottom w:val="0"/>
      <w:divBdr>
        <w:top w:val="none" w:sz="0" w:space="0" w:color="auto"/>
        <w:left w:val="none" w:sz="0" w:space="0" w:color="auto"/>
        <w:bottom w:val="none" w:sz="0" w:space="0" w:color="auto"/>
        <w:right w:val="none" w:sz="0" w:space="0" w:color="auto"/>
      </w:divBdr>
    </w:div>
    <w:div w:id="148206702">
      <w:bodyDiv w:val="1"/>
      <w:marLeft w:val="0"/>
      <w:marRight w:val="0"/>
      <w:marTop w:val="0"/>
      <w:marBottom w:val="0"/>
      <w:divBdr>
        <w:top w:val="none" w:sz="0" w:space="0" w:color="auto"/>
        <w:left w:val="none" w:sz="0" w:space="0" w:color="auto"/>
        <w:bottom w:val="none" w:sz="0" w:space="0" w:color="auto"/>
        <w:right w:val="none" w:sz="0" w:space="0" w:color="auto"/>
      </w:divBdr>
    </w:div>
    <w:div w:id="149059670">
      <w:bodyDiv w:val="1"/>
      <w:marLeft w:val="0"/>
      <w:marRight w:val="0"/>
      <w:marTop w:val="0"/>
      <w:marBottom w:val="0"/>
      <w:divBdr>
        <w:top w:val="none" w:sz="0" w:space="0" w:color="auto"/>
        <w:left w:val="none" w:sz="0" w:space="0" w:color="auto"/>
        <w:bottom w:val="none" w:sz="0" w:space="0" w:color="auto"/>
        <w:right w:val="none" w:sz="0" w:space="0" w:color="auto"/>
      </w:divBdr>
    </w:div>
    <w:div w:id="182089207">
      <w:bodyDiv w:val="1"/>
      <w:marLeft w:val="0"/>
      <w:marRight w:val="0"/>
      <w:marTop w:val="0"/>
      <w:marBottom w:val="0"/>
      <w:divBdr>
        <w:top w:val="none" w:sz="0" w:space="0" w:color="auto"/>
        <w:left w:val="none" w:sz="0" w:space="0" w:color="auto"/>
        <w:bottom w:val="none" w:sz="0" w:space="0" w:color="auto"/>
        <w:right w:val="none" w:sz="0" w:space="0" w:color="auto"/>
      </w:divBdr>
    </w:div>
    <w:div w:id="205069280">
      <w:bodyDiv w:val="1"/>
      <w:marLeft w:val="0"/>
      <w:marRight w:val="0"/>
      <w:marTop w:val="0"/>
      <w:marBottom w:val="0"/>
      <w:divBdr>
        <w:top w:val="none" w:sz="0" w:space="0" w:color="auto"/>
        <w:left w:val="none" w:sz="0" w:space="0" w:color="auto"/>
        <w:bottom w:val="none" w:sz="0" w:space="0" w:color="auto"/>
        <w:right w:val="none" w:sz="0" w:space="0" w:color="auto"/>
      </w:divBdr>
    </w:div>
    <w:div w:id="231552205">
      <w:bodyDiv w:val="1"/>
      <w:marLeft w:val="0"/>
      <w:marRight w:val="0"/>
      <w:marTop w:val="0"/>
      <w:marBottom w:val="0"/>
      <w:divBdr>
        <w:top w:val="none" w:sz="0" w:space="0" w:color="auto"/>
        <w:left w:val="none" w:sz="0" w:space="0" w:color="auto"/>
        <w:bottom w:val="none" w:sz="0" w:space="0" w:color="auto"/>
        <w:right w:val="none" w:sz="0" w:space="0" w:color="auto"/>
      </w:divBdr>
    </w:div>
    <w:div w:id="242378465">
      <w:bodyDiv w:val="1"/>
      <w:marLeft w:val="0"/>
      <w:marRight w:val="0"/>
      <w:marTop w:val="0"/>
      <w:marBottom w:val="0"/>
      <w:divBdr>
        <w:top w:val="none" w:sz="0" w:space="0" w:color="auto"/>
        <w:left w:val="none" w:sz="0" w:space="0" w:color="auto"/>
        <w:bottom w:val="none" w:sz="0" w:space="0" w:color="auto"/>
        <w:right w:val="none" w:sz="0" w:space="0" w:color="auto"/>
      </w:divBdr>
    </w:div>
    <w:div w:id="286739349">
      <w:bodyDiv w:val="1"/>
      <w:marLeft w:val="0"/>
      <w:marRight w:val="0"/>
      <w:marTop w:val="0"/>
      <w:marBottom w:val="0"/>
      <w:divBdr>
        <w:top w:val="none" w:sz="0" w:space="0" w:color="auto"/>
        <w:left w:val="none" w:sz="0" w:space="0" w:color="auto"/>
        <w:bottom w:val="none" w:sz="0" w:space="0" w:color="auto"/>
        <w:right w:val="none" w:sz="0" w:space="0" w:color="auto"/>
      </w:divBdr>
    </w:div>
    <w:div w:id="287588797">
      <w:bodyDiv w:val="1"/>
      <w:marLeft w:val="0"/>
      <w:marRight w:val="0"/>
      <w:marTop w:val="0"/>
      <w:marBottom w:val="0"/>
      <w:divBdr>
        <w:top w:val="none" w:sz="0" w:space="0" w:color="auto"/>
        <w:left w:val="none" w:sz="0" w:space="0" w:color="auto"/>
        <w:bottom w:val="none" w:sz="0" w:space="0" w:color="auto"/>
        <w:right w:val="none" w:sz="0" w:space="0" w:color="auto"/>
      </w:divBdr>
      <w:divsChild>
        <w:div w:id="1857037131">
          <w:marLeft w:val="0"/>
          <w:marRight w:val="0"/>
          <w:marTop w:val="0"/>
          <w:marBottom w:val="0"/>
          <w:divBdr>
            <w:top w:val="none" w:sz="0" w:space="0" w:color="auto"/>
            <w:left w:val="none" w:sz="0" w:space="0" w:color="auto"/>
            <w:bottom w:val="none" w:sz="0" w:space="0" w:color="auto"/>
            <w:right w:val="none" w:sz="0" w:space="0" w:color="auto"/>
          </w:divBdr>
          <w:divsChild>
            <w:div w:id="2044936623">
              <w:marLeft w:val="0"/>
              <w:marRight w:val="0"/>
              <w:marTop w:val="0"/>
              <w:marBottom w:val="0"/>
              <w:divBdr>
                <w:top w:val="none" w:sz="0" w:space="0" w:color="auto"/>
                <w:left w:val="none" w:sz="0" w:space="0" w:color="auto"/>
                <w:bottom w:val="none" w:sz="0" w:space="0" w:color="auto"/>
                <w:right w:val="none" w:sz="0" w:space="0" w:color="auto"/>
              </w:divBdr>
              <w:divsChild>
                <w:div w:id="119696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103510">
      <w:bodyDiv w:val="1"/>
      <w:marLeft w:val="0"/>
      <w:marRight w:val="0"/>
      <w:marTop w:val="0"/>
      <w:marBottom w:val="0"/>
      <w:divBdr>
        <w:top w:val="none" w:sz="0" w:space="0" w:color="auto"/>
        <w:left w:val="none" w:sz="0" w:space="0" w:color="auto"/>
        <w:bottom w:val="none" w:sz="0" w:space="0" w:color="auto"/>
        <w:right w:val="none" w:sz="0" w:space="0" w:color="auto"/>
      </w:divBdr>
    </w:div>
    <w:div w:id="309678998">
      <w:bodyDiv w:val="1"/>
      <w:marLeft w:val="0"/>
      <w:marRight w:val="0"/>
      <w:marTop w:val="0"/>
      <w:marBottom w:val="0"/>
      <w:divBdr>
        <w:top w:val="none" w:sz="0" w:space="0" w:color="auto"/>
        <w:left w:val="none" w:sz="0" w:space="0" w:color="auto"/>
        <w:bottom w:val="none" w:sz="0" w:space="0" w:color="auto"/>
        <w:right w:val="none" w:sz="0" w:space="0" w:color="auto"/>
      </w:divBdr>
    </w:div>
    <w:div w:id="317147407">
      <w:bodyDiv w:val="1"/>
      <w:marLeft w:val="0"/>
      <w:marRight w:val="0"/>
      <w:marTop w:val="0"/>
      <w:marBottom w:val="0"/>
      <w:divBdr>
        <w:top w:val="none" w:sz="0" w:space="0" w:color="auto"/>
        <w:left w:val="none" w:sz="0" w:space="0" w:color="auto"/>
        <w:bottom w:val="none" w:sz="0" w:space="0" w:color="auto"/>
        <w:right w:val="none" w:sz="0" w:space="0" w:color="auto"/>
      </w:divBdr>
    </w:div>
    <w:div w:id="353113502">
      <w:bodyDiv w:val="1"/>
      <w:marLeft w:val="0"/>
      <w:marRight w:val="0"/>
      <w:marTop w:val="0"/>
      <w:marBottom w:val="0"/>
      <w:divBdr>
        <w:top w:val="none" w:sz="0" w:space="0" w:color="auto"/>
        <w:left w:val="none" w:sz="0" w:space="0" w:color="auto"/>
        <w:bottom w:val="none" w:sz="0" w:space="0" w:color="auto"/>
        <w:right w:val="none" w:sz="0" w:space="0" w:color="auto"/>
      </w:divBdr>
    </w:div>
    <w:div w:id="363794961">
      <w:bodyDiv w:val="1"/>
      <w:marLeft w:val="0"/>
      <w:marRight w:val="0"/>
      <w:marTop w:val="0"/>
      <w:marBottom w:val="0"/>
      <w:divBdr>
        <w:top w:val="none" w:sz="0" w:space="0" w:color="auto"/>
        <w:left w:val="none" w:sz="0" w:space="0" w:color="auto"/>
        <w:bottom w:val="none" w:sz="0" w:space="0" w:color="auto"/>
        <w:right w:val="none" w:sz="0" w:space="0" w:color="auto"/>
      </w:divBdr>
    </w:div>
    <w:div w:id="365712786">
      <w:bodyDiv w:val="1"/>
      <w:marLeft w:val="0"/>
      <w:marRight w:val="0"/>
      <w:marTop w:val="0"/>
      <w:marBottom w:val="0"/>
      <w:divBdr>
        <w:top w:val="none" w:sz="0" w:space="0" w:color="auto"/>
        <w:left w:val="none" w:sz="0" w:space="0" w:color="auto"/>
        <w:bottom w:val="none" w:sz="0" w:space="0" w:color="auto"/>
        <w:right w:val="none" w:sz="0" w:space="0" w:color="auto"/>
      </w:divBdr>
    </w:div>
    <w:div w:id="369692359">
      <w:bodyDiv w:val="1"/>
      <w:marLeft w:val="0"/>
      <w:marRight w:val="0"/>
      <w:marTop w:val="0"/>
      <w:marBottom w:val="0"/>
      <w:divBdr>
        <w:top w:val="none" w:sz="0" w:space="0" w:color="auto"/>
        <w:left w:val="none" w:sz="0" w:space="0" w:color="auto"/>
        <w:bottom w:val="none" w:sz="0" w:space="0" w:color="auto"/>
        <w:right w:val="none" w:sz="0" w:space="0" w:color="auto"/>
      </w:divBdr>
    </w:div>
    <w:div w:id="386876237">
      <w:bodyDiv w:val="1"/>
      <w:marLeft w:val="0"/>
      <w:marRight w:val="0"/>
      <w:marTop w:val="0"/>
      <w:marBottom w:val="0"/>
      <w:divBdr>
        <w:top w:val="none" w:sz="0" w:space="0" w:color="auto"/>
        <w:left w:val="none" w:sz="0" w:space="0" w:color="auto"/>
        <w:bottom w:val="none" w:sz="0" w:space="0" w:color="auto"/>
        <w:right w:val="none" w:sz="0" w:space="0" w:color="auto"/>
      </w:divBdr>
      <w:divsChild>
        <w:div w:id="259215690">
          <w:marLeft w:val="0"/>
          <w:marRight w:val="0"/>
          <w:marTop w:val="0"/>
          <w:marBottom w:val="0"/>
          <w:divBdr>
            <w:top w:val="none" w:sz="0" w:space="0" w:color="auto"/>
            <w:left w:val="none" w:sz="0" w:space="0" w:color="auto"/>
            <w:bottom w:val="none" w:sz="0" w:space="0" w:color="auto"/>
            <w:right w:val="none" w:sz="0" w:space="0" w:color="auto"/>
          </w:divBdr>
          <w:divsChild>
            <w:div w:id="1675380748">
              <w:marLeft w:val="0"/>
              <w:marRight w:val="120"/>
              <w:marTop w:val="0"/>
              <w:marBottom w:val="0"/>
              <w:divBdr>
                <w:top w:val="none" w:sz="0" w:space="0" w:color="auto"/>
                <w:left w:val="none" w:sz="0" w:space="0" w:color="auto"/>
                <w:bottom w:val="none" w:sz="0" w:space="0" w:color="auto"/>
                <w:right w:val="none" w:sz="0" w:space="0" w:color="auto"/>
              </w:divBdr>
            </w:div>
          </w:divsChild>
        </w:div>
        <w:div w:id="1397897597">
          <w:marLeft w:val="0"/>
          <w:marRight w:val="0"/>
          <w:marTop w:val="0"/>
          <w:marBottom w:val="0"/>
          <w:divBdr>
            <w:top w:val="none" w:sz="0" w:space="0" w:color="auto"/>
            <w:left w:val="none" w:sz="0" w:space="0" w:color="auto"/>
            <w:bottom w:val="none" w:sz="0" w:space="0" w:color="auto"/>
            <w:right w:val="none" w:sz="0" w:space="0" w:color="auto"/>
          </w:divBdr>
          <w:divsChild>
            <w:div w:id="851802222">
              <w:marLeft w:val="0"/>
              <w:marRight w:val="120"/>
              <w:marTop w:val="0"/>
              <w:marBottom w:val="0"/>
              <w:divBdr>
                <w:top w:val="none" w:sz="0" w:space="0" w:color="auto"/>
                <w:left w:val="none" w:sz="0" w:space="0" w:color="auto"/>
                <w:bottom w:val="none" w:sz="0" w:space="0" w:color="auto"/>
                <w:right w:val="none" w:sz="0" w:space="0" w:color="auto"/>
              </w:divBdr>
            </w:div>
            <w:div w:id="91581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69334">
      <w:bodyDiv w:val="1"/>
      <w:marLeft w:val="0"/>
      <w:marRight w:val="0"/>
      <w:marTop w:val="0"/>
      <w:marBottom w:val="0"/>
      <w:divBdr>
        <w:top w:val="none" w:sz="0" w:space="0" w:color="auto"/>
        <w:left w:val="none" w:sz="0" w:space="0" w:color="auto"/>
        <w:bottom w:val="none" w:sz="0" w:space="0" w:color="auto"/>
        <w:right w:val="none" w:sz="0" w:space="0" w:color="auto"/>
      </w:divBdr>
      <w:divsChild>
        <w:div w:id="271936728">
          <w:marLeft w:val="0"/>
          <w:marRight w:val="0"/>
          <w:marTop w:val="0"/>
          <w:marBottom w:val="0"/>
          <w:divBdr>
            <w:top w:val="none" w:sz="0" w:space="0" w:color="auto"/>
            <w:left w:val="none" w:sz="0" w:space="0" w:color="auto"/>
            <w:bottom w:val="none" w:sz="0" w:space="0" w:color="auto"/>
            <w:right w:val="none" w:sz="0" w:space="0" w:color="auto"/>
          </w:divBdr>
          <w:divsChild>
            <w:div w:id="145437393">
              <w:marLeft w:val="0"/>
              <w:marRight w:val="120"/>
              <w:marTop w:val="0"/>
              <w:marBottom w:val="0"/>
              <w:divBdr>
                <w:top w:val="none" w:sz="0" w:space="0" w:color="auto"/>
                <w:left w:val="none" w:sz="0" w:space="0" w:color="auto"/>
                <w:bottom w:val="none" w:sz="0" w:space="0" w:color="auto"/>
                <w:right w:val="none" w:sz="0" w:space="0" w:color="auto"/>
              </w:divBdr>
            </w:div>
          </w:divsChild>
        </w:div>
        <w:div w:id="28575842">
          <w:marLeft w:val="0"/>
          <w:marRight w:val="0"/>
          <w:marTop w:val="0"/>
          <w:marBottom w:val="0"/>
          <w:divBdr>
            <w:top w:val="none" w:sz="0" w:space="0" w:color="auto"/>
            <w:left w:val="none" w:sz="0" w:space="0" w:color="auto"/>
            <w:bottom w:val="none" w:sz="0" w:space="0" w:color="auto"/>
            <w:right w:val="none" w:sz="0" w:space="0" w:color="auto"/>
          </w:divBdr>
          <w:divsChild>
            <w:div w:id="1070736088">
              <w:marLeft w:val="0"/>
              <w:marRight w:val="120"/>
              <w:marTop w:val="0"/>
              <w:marBottom w:val="0"/>
              <w:divBdr>
                <w:top w:val="none" w:sz="0" w:space="0" w:color="auto"/>
                <w:left w:val="none" w:sz="0" w:space="0" w:color="auto"/>
                <w:bottom w:val="none" w:sz="0" w:space="0" w:color="auto"/>
                <w:right w:val="none" w:sz="0" w:space="0" w:color="auto"/>
              </w:divBdr>
            </w:div>
            <w:div w:id="150493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036614">
      <w:bodyDiv w:val="1"/>
      <w:marLeft w:val="0"/>
      <w:marRight w:val="0"/>
      <w:marTop w:val="0"/>
      <w:marBottom w:val="0"/>
      <w:divBdr>
        <w:top w:val="none" w:sz="0" w:space="0" w:color="auto"/>
        <w:left w:val="none" w:sz="0" w:space="0" w:color="auto"/>
        <w:bottom w:val="none" w:sz="0" w:space="0" w:color="auto"/>
        <w:right w:val="none" w:sz="0" w:space="0" w:color="auto"/>
      </w:divBdr>
    </w:div>
    <w:div w:id="505438292">
      <w:bodyDiv w:val="1"/>
      <w:marLeft w:val="0"/>
      <w:marRight w:val="0"/>
      <w:marTop w:val="0"/>
      <w:marBottom w:val="0"/>
      <w:divBdr>
        <w:top w:val="none" w:sz="0" w:space="0" w:color="auto"/>
        <w:left w:val="none" w:sz="0" w:space="0" w:color="auto"/>
        <w:bottom w:val="none" w:sz="0" w:space="0" w:color="auto"/>
        <w:right w:val="none" w:sz="0" w:space="0" w:color="auto"/>
      </w:divBdr>
    </w:div>
    <w:div w:id="531382286">
      <w:bodyDiv w:val="1"/>
      <w:marLeft w:val="0"/>
      <w:marRight w:val="0"/>
      <w:marTop w:val="0"/>
      <w:marBottom w:val="0"/>
      <w:divBdr>
        <w:top w:val="none" w:sz="0" w:space="0" w:color="auto"/>
        <w:left w:val="none" w:sz="0" w:space="0" w:color="auto"/>
        <w:bottom w:val="none" w:sz="0" w:space="0" w:color="auto"/>
        <w:right w:val="none" w:sz="0" w:space="0" w:color="auto"/>
      </w:divBdr>
    </w:div>
    <w:div w:id="534469438">
      <w:bodyDiv w:val="1"/>
      <w:marLeft w:val="0"/>
      <w:marRight w:val="0"/>
      <w:marTop w:val="0"/>
      <w:marBottom w:val="0"/>
      <w:divBdr>
        <w:top w:val="none" w:sz="0" w:space="0" w:color="auto"/>
        <w:left w:val="none" w:sz="0" w:space="0" w:color="auto"/>
        <w:bottom w:val="none" w:sz="0" w:space="0" w:color="auto"/>
        <w:right w:val="none" w:sz="0" w:space="0" w:color="auto"/>
      </w:divBdr>
    </w:div>
    <w:div w:id="653224311">
      <w:bodyDiv w:val="1"/>
      <w:marLeft w:val="0"/>
      <w:marRight w:val="0"/>
      <w:marTop w:val="0"/>
      <w:marBottom w:val="0"/>
      <w:divBdr>
        <w:top w:val="none" w:sz="0" w:space="0" w:color="auto"/>
        <w:left w:val="none" w:sz="0" w:space="0" w:color="auto"/>
        <w:bottom w:val="none" w:sz="0" w:space="0" w:color="auto"/>
        <w:right w:val="none" w:sz="0" w:space="0" w:color="auto"/>
      </w:divBdr>
    </w:div>
    <w:div w:id="700475134">
      <w:bodyDiv w:val="1"/>
      <w:marLeft w:val="0"/>
      <w:marRight w:val="0"/>
      <w:marTop w:val="0"/>
      <w:marBottom w:val="0"/>
      <w:divBdr>
        <w:top w:val="none" w:sz="0" w:space="0" w:color="auto"/>
        <w:left w:val="none" w:sz="0" w:space="0" w:color="auto"/>
        <w:bottom w:val="none" w:sz="0" w:space="0" w:color="auto"/>
        <w:right w:val="none" w:sz="0" w:space="0" w:color="auto"/>
      </w:divBdr>
    </w:div>
    <w:div w:id="703479852">
      <w:bodyDiv w:val="1"/>
      <w:marLeft w:val="0"/>
      <w:marRight w:val="0"/>
      <w:marTop w:val="0"/>
      <w:marBottom w:val="0"/>
      <w:divBdr>
        <w:top w:val="none" w:sz="0" w:space="0" w:color="auto"/>
        <w:left w:val="none" w:sz="0" w:space="0" w:color="auto"/>
        <w:bottom w:val="none" w:sz="0" w:space="0" w:color="auto"/>
        <w:right w:val="none" w:sz="0" w:space="0" w:color="auto"/>
      </w:divBdr>
    </w:div>
    <w:div w:id="779488980">
      <w:bodyDiv w:val="1"/>
      <w:marLeft w:val="0"/>
      <w:marRight w:val="0"/>
      <w:marTop w:val="0"/>
      <w:marBottom w:val="0"/>
      <w:divBdr>
        <w:top w:val="none" w:sz="0" w:space="0" w:color="auto"/>
        <w:left w:val="none" w:sz="0" w:space="0" w:color="auto"/>
        <w:bottom w:val="none" w:sz="0" w:space="0" w:color="auto"/>
        <w:right w:val="none" w:sz="0" w:space="0" w:color="auto"/>
      </w:divBdr>
    </w:div>
    <w:div w:id="780150059">
      <w:bodyDiv w:val="1"/>
      <w:marLeft w:val="0"/>
      <w:marRight w:val="0"/>
      <w:marTop w:val="0"/>
      <w:marBottom w:val="0"/>
      <w:divBdr>
        <w:top w:val="none" w:sz="0" w:space="0" w:color="auto"/>
        <w:left w:val="none" w:sz="0" w:space="0" w:color="auto"/>
        <w:bottom w:val="none" w:sz="0" w:space="0" w:color="auto"/>
        <w:right w:val="none" w:sz="0" w:space="0" w:color="auto"/>
      </w:divBdr>
    </w:div>
    <w:div w:id="789861018">
      <w:bodyDiv w:val="1"/>
      <w:marLeft w:val="0"/>
      <w:marRight w:val="0"/>
      <w:marTop w:val="0"/>
      <w:marBottom w:val="0"/>
      <w:divBdr>
        <w:top w:val="none" w:sz="0" w:space="0" w:color="auto"/>
        <w:left w:val="none" w:sz="0" w:space="0" w:color="auto"/>
        <w:bottom w:val="none" w:sz="0" w:space="0" w:color="auto"/>
        <w:right w:val="none" w:sz="0" w:space="0" w:color="auto"/>
      </w:divBdr>
    </w:div>
    <w:div w:id="836461281">
      <w:bodyDiv w:val="1"/>
      <w:marLeft w:val="0"/>
      <w:marRight w:val="0"/>
      <w:marTop w:val="0"/>
      <w:marBottom w:val="0"/>
      <w:divBdr>
        <w:top w:val="none" w:sz="0" w:space="0" w:color="auto"/>
        <w:left w:val="none" w:sz="0" w:space="0" w:color="auto"/>
        <w:bottom w:val="none" w:sz="0" w:space="0" w:color="auto"/>
        <w:right w:val="none" w:sz="0" w:space="0" w:color="auto"/>
      </w:divBdr>
    </w:div>
    <w:div w:id="867528753">
      <w:bodyDiv w:val="1"/>
      <w:marLeft w:val="0"/>
      <w:marRight w:val="0"/>
      <w:marTop w:val="0"/>
      <w:marBottom w:val="0"/>
      <w:divBdr>
        <w:top w:val="none" w:sz="0" w:space="0" w:color="auto"/>
        <w:left w:val="none" w:sz="0" w:space="0" w:color="auto"/>
        <w:bottom w:val="none" w:sz="0" w:space="0" w:color="auto"/>
        <w:right w:val="none" w:sz="0" w:space="0" w:color="auto"/>
      </w:divBdr>
    </w:div>
    <w:div w:id="869956784">
      <w:bodyDiv w:val="1"/>
      <w:marLeft w:val="0"/>
      <w:marRight w:val="0"/>
      <w:marTop w:val="0"/>
      <w:marBottom w:val="0"/>
      <w:divBdr>
        <w:top w:val="none" w:sz="0" w:space="0" w:color="auto"/>
        <w:left w:val="none" w:sz="0" w:space="0" w:color="auto"/>
        <w:bottom w:val="none" w:sz="0" w:space="0" w:color="auto"/>
        <w:right w:val="none" w:sz="0" w:space="0" w:color="auto"/>
      </w:divBdr>
    </w:div>
    <w:div w:id="892958701">
      <w:bodyDiv w:val="1"/>
      <w:marLeft w:val="0"/>
      <w:marRight w:val="0"/>
      <w:marTop w:val="0"/>
      <w:marBottom w:val="0"/>
      <w:divBdr>
        <w:top w:val="none" w:sz="0" w:space="0" w:color="auto"/>
        <w:left w:val="none" w:sz="0" w:space="0" w:color="auto"/>
        <w:bottom w:val="none" w:sz="0" w:space="0" w:color="auto"/>
        <w:right w:val="none" w:sz="0" w:space="0" w:color="auto"/>
      </w:divBdr>
    </w:div>
    <w:div w:id="909265988">
      <w:bodyDiv w:val="1"/>
      <w:marLeft w:val="0"/>
      <w:marRight w:val="0"/>
      <w:marTop w:val="0"/>
      <w:marBottom w:val="0"/>
      <w:divBdr>
        <w:top w:val="none" w:sz="0" w:space="0" w:color="auto"/>
        <w:left w:val="none" w:sz="0" w:space="0" w:color="auto"/>
        <w:bottom w:val="none" w:sz="0" w:space="0" w:color="auto"/>
        <w:right w:val="none" w:sz="0" w:space="0" w:color="auto"/>
      </w:divBdr>
    </w:div>
    <w:div w:id="925653195">
      <w:bodyDiv w:val="1"/>
      <w:marLeft w:val="0"/>
      <w:marRight w:val="0"/>
      <w:marTop w:val="0"/>
      <w:marBottom w:val="0"/>
      <w:divBdr>
        <w:top w:val="none" w:sz="0" w:space="0" w:color="auto"/>
        <w:left w:val="none" w:sz="0" w:space="0" w:color="auto"/>
        <w:bottom w:val="none" w:sz="0" w:space="0" w:color="auto"/>
        <w:right w:val="none" w:sz="0" w:space="0" w:color="auto"/>
      </w:divBdr>
    </w:div>
    <w:div w:id="949313900">
      <w:bodyDiv w:val="1"/>
      <w:marLeft w:val="0"/>
      <w:marRight w:val="0"/>
      <w:marTop w:val="0"/>
      <w:marBottom w:val="0"/>
      <w:divBdr>
        <w:top w:val="none" w:sz="0" w:space="0" w:color="auto"/>
        <w:left w:val="none" w:sz="0" w:space="0" w:color="auto"/>
        <w:bottom w:val="none" w:sz="0" w:space="0" w:color="auto"/>
        <w:right w:val="none" w:sz="0" w:space="0" w:color="auto"/>
      </w:divBdr>
    </w:div>
    <w:div w:id="951548364">
      <w:bodyDiv w:val="1"/>
      <w:marLeft w:val="0"/>
      <w:marRight w:val="0"/>
      <w:marTop w:val="0"/>
      <w:marBottom w:val="0"/>
      <w:divBdr>
        <w:top w:val="none" w:sz="0" w:space="0" w:color="auto"/>
        <w:left w:val="none" w:sz="0" w:space="0" w:color="auto"/>
        <w:bottom w:val="none" w:sz="0" w:space="0" w:color="auto"/>
        <w:right w:val="none" w:sz="0" w:space="0" w:color="auto"/>
      </w:divBdr>
    </w:div>
    <w:div w:id="1084960140">
      <w:bodyDiv w:val="1"/>
      <w:marLeft w:val="0"/>
      <w:marRight w:val="0"/>
      <w:marTop w:val="0"/>
      <w:marBottom w:val="0"/>
      <w:divBdr>
        <w:top w:val="none" w:sz="0" w:space="0" w:color="auto"/>
        <w:left w:val="none" w:sz="0" w:space="0" w:color="auto"/>
        <w:bottom w:val="none" w:sz="0" w:space="0" w:color="auto"/>
        <w:right w:val="none" w:sz="0" w:space="0" w:color="auto"/>
      </w:divBdr>
    </w:div>
    <w:div w:id="1176074372">
      <w:bodyDiv w:val="1"/>
      <w:marLeft w:val="0"/>
      <w:marRight w:val="0"/>
      <w:marTop w:val="0"/>
      <w:marBottom w:val="0"/>
      <w:divBdr>
        <w:top w:val="none" w:sz="0" w:space="0" w:color="auto"/>
        <w:left w:val="none" w:sz="0" w:space="0" w:color="auto"/>
        <w:bottom w:val="none" w:sz="0" w:space="0" w:color="auto"/>
        <w:right w:val="none" w:sz="0" w:space="0" w:color="auto"/>
      </w:divBdr>
    </w:div>
    <w:div w:id="1210141854">
      <w:bodyDiv w:val="1"/>
      <w:marLeft w:val="0"/>
      <w:marRight w:val="0"/>
      <w:marTop w:val="0"/>
      <w:marBottom w:val="0"/>
      <w:divBdr>
        <w:top w:val="none" w:sz="0" w:space="0" w:color="auto"/>
        <w:left w:val="none" w:sz="0" w:space="0" w:color="auto"/>
        <w:bottom w:val="none" w:sz="0" w:space="0" w:color="auto"/>
        <w:right w:val="none" w:sz="0" w:space="0" w:color="auto"/>
      </w:divBdr>
    </w:div>
    <w:div w:id="1233271344">
      <w:bodyDiv w:val="1"/>
      <w:marLeft w:val="0"/>
      <w:marRight w:val="0"/>
      <w:marTop w:val="0"/>
      <w:marBottom w:val="0"/>
      <w:divBdr>
        <w:top w:val="none" w:sz="0" w:space="0" w:color="auto"/>
        <w:left w:val="none" w:sz="0" w:space="0" w:color="auto"/>
        <w:bottom w:val="none" w:sz="0" w:space="0" w:color="auto"/>
        <w:right w:val="none" w:sz="0" w:space="0" w:color="auto"/>
      </w:divBdr>
    </w:div>
    <w:div w:id="1260140596">
      <w:bodyDiv w:val="1"/>
      <w:marLeft w:val="0"/>
      <w:marRight w:val="0"/>
      <w:marTop w:val="0"/>
      <w:marBottom w:val="0"/>
      <w:divBdr>
        <w:top w:val="none" w:sz="0" w:space="0" w:color="auto"/>
        <w:left w:val="none" w:sz="0" w:space="0" w:color="auto"/>
        <w:bottom w:val="none" w:sz="0" w:space="0" w:color="auto"/>
        <w:right w:val="none" w:sz="0" w:space="0" w:color="auto"/>
      </w:divBdr>
    </w:div>
    <w:div w:id="1324745865">
      <w:bodyDiv w:val="1"/>
      <w:marLeft w:val="0"/>
      <w:marRight w:val="0"/>
      <w:marTop w:val="0"/>
      <w:marBottom w:val="0"/>
      <w:divBdr>
        <w:top w:val="none" w:sz="0" w:space="0" w:color="auto"/>
        <w:left w:val="none" w:sz="0" w:space="0" w:color="auto"/>
        <w:bottom w:val="none" w:sz="0" w:space="0" w:color="auto"/>
        <w:right w:val="none" w:sz="0" w:space="0" w:color="auto"/>
      </w:divBdr>
    </w:div>
    <w:div w:id="1341659438">
      <w:bodyDiv w:val="1"/>
      <w:marLeft w:val="0"/>
      <w:marRight w:val="0"/>
      <w:marTop w:val="0"/>
      <w:marBottom w:val="0"/>
      <w:divBdr>
        <w:top w:val="none" w:sz="0" w:space="0" w:color="auto"/>
        <w:left w:val="none" w:sz="0" w:space="0" w:color="auto"/>
        <w:bottom w:val="none" w:sz="0" w:space="0" w:color="auto"/>
        <w:right w:val="none" w:sz="0" w:space="0" w:color="auto"/>
      </w:divBdr>
    </w:div>
    <w:div w:id="1364405273">
      <w:bodyDiv w:val="1"/>
      <w:marLeft w:val="0"/>
      <w:marRight w:val="0"/>
      <w:marTop w:val="0"/>
      <w:marBottom w:val="0"/>
      <w:divBdr>
        <w:top w:val="none" w:sz="0" w:space="0" w:color="auto"/>
        <w:left w:val="none" w:sz="0" w:space="0" w:color="auto"/>
        <w:bottom w:val="none" w:sz="0" w:space="0" w:color="auto"/>
        <w:right w:val="none" w:sz="0" w:space="0" w:color="auto"/>
      </w:divBdr>
    </w:div>
    <w:div w:id="1372342051">
      <w:bodyDiv w:val="1"/>
      <w:marLeft w:val="0"/>
      <w:marRight w:val="0"/>
      <w:marTop w:val="0"/>
      <w:marBottom w:val="0"/>
      <w:divBdr>
        <w:top w:val="none" w:sz="0" w:space="0" w:color="auto"/>
        <w:left w:val="none" w:sz="0" w:space="0" w:color="auto"/>
        <w:bottom w:val="none" w:sz="0" w:space="0" w:color="auto"/>
        <w:right w:val="none" w:sz="0" w:space="0" w:color="auto"/>
      </w:divBdr>
    </w:div>
    <w:div w:id="1380587527">
      <w:bodyDiv w:val="1"/>
      <w:marLeft w:val="0"/>
      <w:marRight w:val="0"/>
      <w:marTop w:val="0"/>
      <w:marBottom w:val="0"/>
      <w:divBdr>
        <w:top w:val="none" w:sz="0" w:space="0" w:color="auto"/>
        <w:left w:val="none" w:sz="0" w:space="0" w:color="auto"/>
        <w:bottom w:val="none" w:sz="0" w:space="0" w:color="auto"/>
        <w:right w:val="none" w:sz="0" w:space="0" w:color="auto"/>
      </w:divBdr>
    </w:div>
    <w:div w:id="1413703783">
      <w:bodyDiv w:val="1"/>
      <w:marLeft w:val="0"/>
      <w:marRight w:val="0"/>
      <w:marTop w:val="0"/>
      <w:marBottom w:val="0"/>
      <w:divBdr>
        <w:top w:val="none" w:sz="0" w:space="0" w:color="auto"/>
        <w:left w:val="none" w:sz="0" w:space="0" w:color="auto"/>
        <w:bottom w:val="none" w:sz="0" w:space="0" w:color="auto"/>
        <w:right w:val="none" w:sz="0" w:space="0" w:color="auto"/>
      </w:divBdr>
    </w:div>
    <w:div w:id="1426727902">
      <w:bodyDiv w:val="1"/>
      <w:marLeft w:val="0"/>
      <w:marRight w:val="0"/>
      <w:marTop w:val="0"/>
      <w:marBottom w:val="0"/>
      <w:divBdr>
        <w:top w:val="none" w:sz="0" w:space="0" w:color="auto"/>
        <w:left w:val="none" w:sz="0" w:space="0" w:color="auto"/>
        <w:bottom w:val="none" w:sz="0" w:space="0" w:color="auto"/>
        <w:right w:val="none" w:sz="0" w:space="0" w:color="auto"/>
      </w:divBdr>
    </w:div>
    <w:div w:id="1469199012">
      <w:bodyDiv w:val="1"/>
      <w:marLeft w:val="0"/>
      <w:marRight w:val="0"/>
      <w:marTop w:val="0"/>
      <w:marBottom w:val="0"/>
      <w:divBdr>
        <w:top w:val="none" w:sz="0" w:space="0" w:color="auto"/>
        <w:left w:val="none" w:sz="0" w:space="0" w:color="auto"/>
        <w:bottom w:val="none" w:sz="0" w:space="0" w:color="auto"/>
        <w:right w:val="none" w:sz="0" w:space="0" w:color="auto"/>
      </w:divBdr>
    </w:div>
    <w:div w:id="1520967349">
      <w:bodyDiv w:val="1"/>
      <w:marLeft w:val="0"/>
      <w:marRight w:val="0"/>
      <w:marTop w:val="0"/>
      <w:marBottom w:val="0"/>
      <w:divBdr>
        <w:top w:val="none" w:sz="0" w:space="0" w:color="auto"/>
        <w:left w:val="none" w:sz="0" w:space="0" w:color="auto"/>
        <w:bottom w:val="none" w:sz="0" w:space="0" w:color="auto"/>
        <w:right w:val="none" w:sz="0" w:space="0" w:color="auto"/>
      </w:divBdr>
    </w:div>
    <w:div w:id="1543635873">
      <w:bodyDiv w:val="1"/>
      <w:marLeft w:val="0"/>
      <w:marRight w:val="0"/>
      <w:marTop w:val="0"/>
      <w:marBottom w:val="0"/>
      <w:divBdr>
        <w:top w:val="none" w:sz="0" w:space="0" w:color="auto"/>
        <w:left w:val="none" w:sz="0" w:space="0" w:color="auto"/>
        <w:bottom w:val="none" w:sz="0" w:space="0" w:color="auto"/>
        <w:right w:val="none" w:sz="0" w:space="0" w:color="auto"/>
      </w:divBdr>
    </w:div>
    <w:div w:id="1623338927">
      <w:bodyDiv w:val="1"/>
      <w:marLeft w:val="0"/>
      <w:marRight w:val="0"/>
      <w:marTop w:val="0"/>
      <w:marBottom w:val="0"/>
      <w:divBdr>
        <w:top w:val="none" w:sz="0" w:space="0" w:color="auto"/>
        <w:left w:val="none" w:sz="0" w:space="0" w:color="auto"/>
        <w:bottom w:val="none" w:sz="0" w:space="0" w:color="auto"/>
        <w:right w:val="none" w:sz="0" w:space="0" w:color="auto"/>
      </w:divBdr>
    </w:div>
    <w:div w:id="1689873393">
      <w:bodyDiv w:val="1"/>
      <w:marLeft w:val="0"/>
      <w:marRight w:val="0"/>
      <w:marTop w:val="0"/>
      <w:marBottom w:val="0"/>
      <w:divBdr>
        <w:top w:val="none" w:sz="0" w:space="0" w:color="auto"/>
        <w:left w:val="none" w:sz="0" w:space="0" w:color="auto"/>
        <w:bottom w:val="none" w:sz="0" w:space="0" w:color="auto"/>
        <w:right w:val="none" w:sz="0" w:space="0" w:color="auto"/>
      </w:divBdr>
    </w:div>
    <w:div w:id="1694921953">
      <w:bodyDiv w:val="1"/>
      <w:marLeft w:val="0"/>
      <w:marRight w:val="0"/>
      <w:marTop w:val="0"/>
      <w:marBottom w:val="0"/>
      <w:divBdr>
        <w:top w:val="none" w:sz="0" w:space="0" w:color="auto"/>
        <w:left w:val="none" w:sz="0" w:space="0" w:color="auto"/>
        <w:bottom w:val="none" w:sz="0" w:space="0" w:color="auto"/>
        <w:right w:val="none" w:sz="0" w:space="0" w:color="auto"/>
      </w:divBdr>
    </w:div>
    <w:div w:id="1698389656">
      <w:bodyDiv w:val="1"/>
      <w:marLeft w:val="0"/>
      <w:marRight w:val="0"/>
      <w:marTop w:val="0"/>
      <w:marBottom w:val="0"/>
      <w:divBdr>
        <w:top w:val="none" w:sz="0" w:space="0" w:color="auto"/>
        <w:left w:val="none" w:sz="0" w:space="0" w:color="auto"/>
        <w:bottom w:val="none" w:sz="0" w:space="0" w:color="auto"/>
        <w:right w:val="none" w:sz="0" w:space="0" w:color="auto"/>
      </w:divBdr>
    </w:div>
    <w:div w:id="1728868946">
      <w:bodyDiv w:val="1"/>
      <w:marLeft w:val="0"/>
      <w:marRight w:val="0"/>
      <w:marTop w:val="0"/>
      <w:marBottom w:val="0"/>
      <w:divBdr>
        <w:top w:val="none" w:sz="0" w:space="0" w:color="auto"/>
        <w:left w:val="none" w:sz="0" w:space="0" w:color="auto"/>
        <w:bottom w:val="none" w:sz="0" w:space="0" w:color="auto"/>
        <w:right w:val="none" w:sz="0" w:space="0" w:color="auto"/>
      </w:divBdr>
    </w:div>
    <w:div w:id="1797023059">
      <w:bodyDiv w:val="1"/>
      <w:marLeft w:val="0"/>
      <w:marRight w:val="0"/>
      <w:marTop w:val="0"/>
      <w:marBottom w:val="0"/>
      <w:divBdr>
        <w:top w:val="none" w:sz="0" w:space="0" w:color="auto"/>
        <w:left w:val="none" w:sz="0" w:space="0" w:color="auto"/>
        <w:bottom w:val="none" w:sz="0" w:space="0" w:color="auto"/>
        <w:right w:val="none" w:sz="0" w:space="0" w:color="auto"/>
      </w:divBdr>
    </w:div>
    <w:div w:id="1826508233">
      <w:bodyDiv w:val="1"/>
      <w:marLeft w:val="0"/>
      <w:marRight w:val="0"/>
      <w:marTop w:val="0"/>
      <w:marBottom w:val="0"/>
      <w:divBdr>
        <w:top w:val="none" w:sz="0" w:space="0" w:color="auto"/>
        <w:left w:val="none" w:sz="0" w:space="0" w:color="auto"/>
        <w:bottom w:val="none" w:sz="0" w:space="0" w:color="auto"/>
        <w:right w:val="none" w:sz="0" w:space="0" w:color="auto"/>
      </w:divBdr>
    </w:div>
    <w:div w:id="1828981817">
      <w:bodyDiv w:val="1"/>
      <w:marLeft w:val="0"/>
      <w:marRight w:val="0"/>
      <w:marTop w:val="0"/>
      <w:marBottom w:val="0"/>
      <w:divBdr>
        <w:top w:val="none" w:sz="0" w:space="0" w:color="auto"/>
        <w:left w:val="none" w:sz="0" w:space="0" w:color="auto"/>
        <w:bottom w:val="none" w:sz="0" w:space="0" w:color="auto"/>
        <w:right w:val="none" w:sz="0" w:space="0" w:color="auto"/>
      </w:divBdr>
    </w:div>
    <w:div w:id="1890651639">
      <w:bodyDiv w:val="1"/>
      <w:marLeft w:val="0"/>
      <w:marRight w:val="0"/>
      <w:marTop w:val="0"/>
      <w:marBottom w:val="0"/>
      <w:divBdr>
        <w:top w:val="none" w:sz="0" w:space="0" w:color="auto"/>
        <w:left w:val="none" w:sz="0" w:space="0" w:color="auto"/>
        <w:bottom w:val="none" w:sz="0" w:space="0" w:color="auto"/>
        <w:right w:val="none" w:sz="0" w:space="0" w:color="auto"/>
      </w:divBdr>
    </w:div>
    <w:div w:id="1902864989">
      <w:bodyDiv w:val="1"/>
      <w:marLeft w:val="0"/>
      <w:marRight w:val="0"/>
      <w:marTop w:val="0"/>
      <w:marBottom w:val="0"/>
      <w:divBdr>
        <w:top w:val="none" w:sz="0" w:space="0" w:color="auto"/>
        <w:left w:val="none" w:sz="0" w:space="0" w:color="auto"/>
        <w:bottom w:val="none" w:sz="0" w:space="0" w:color="auto"/>
        <w:right w:val="none" w:sz="0" w:space="0" w:color="auto"/>
      </w:divBdr>
    </w:div>
    <w:div w:id="1914003376">
      <w:bodyDiv w:val="1"/>
      <w:marLeft w:val="0"/>
      <w:marRight w:val="0"/>
      <w:marTop w:val="0"/>
      <w:marBottom w:val="0"/>
      <w:divBdr>
        <w:top w:val="none" w:sz="0" w:space="0" w:color="auto"/>
        <w:left w:val="none" w:sz="0" w:space="0" w:color="auto"/>
        <w:bottom w:val="none" w:sz="0" w:space="0" w:color="auto"/>
        <w:right w:val="none" w:sz="0" w:space="0" w:color="auto"/>
      </w:divBdr>
    </w:div>
    <w:div w:id="1935628219">
      <w:bodyDiv w:val="1"/>
      <w:marLeft w:val="0"/>
      <w:marRight w:val="0"/>
      <w:marTop w:val="0"/>
      <w:marBottom w:val="0"/>
      <w:divBdr>
        <w:top w:val="none" w:sz="0" w:space="0" w:color="auto"/>
        <w:left w:val="none" w:sz="0" w:space="0" w:color="auto"/>
        <w:bottom w:val="none" w:sz="0" w:space="0" w:color="auto"/>
        <w:right w:val="none" w:sz="0" w:space="0" w:color="auto"/>
      </w:divBdr>
    </w:div>
    <w:div w:id="1963267824">
      <w:bodyDiv w:val="1"/>
      <w:marLeft w:val="0"/>
      <w:marRight w:val="0"/>
      <w:marTop w:val="0"/>
      <w:marBottom w:val="0"/>
      <w:divBdr>
        <w:top w:val="none" w:sz="0" w:space="0" w:color="auto"/>
        <w:left w:val="none" w:sz="0" w:space="0" w:color="auto"/>
        <w:bottom w:val="none" w:sz="0" w:space="0" w:color="auto"/>
        <w:right w:val="none" w:sz="0" w:space="0" w:color="auto"/>
      </w:divBdr>
    </w:div>
    <w:div w:id="1967464690">
      <w:bodyDiv w:val="1"/>
      <w:marLeft w:val="0"/>
      <w:marRight w:val="0"/>
      <w:marTop w:val="0"/>
      <w:marBottom w:val="0"/>
      <w:divBdr>
        <w:top w:val="none" w:sz="0" w:space="0" w:color="auto"/>
        <w:left w:val="none" w:sz="0" w:space="0" w:color="auto"/>
        <w:bottom w:val="none" w:sz="0" w:space="0" w:color="auto"/>
        <w:right w:val="none" w:sz="0" w:space="0" w:color="auto"/>
      </w:divBdr>
    </w:div>
    <w:div w:id="2010982927">
      <w:bodyDiv w:val="1"/>
      <w:marLeft w:val="0"/>
      <w:marRight w:val="0"/>
      <w:marTop w:val="0"/>
      <w:marBottom w:val="0"/>
      <w:divBdr>
        <w:top w:val="none" w:sz="0" w:space="0" w:color="auto"/>
        <w:left w:val="none" w:sz="0" w:space="0" w:color="auto"/>
        <w:bottom w:val="none" w:sz="0" w:space="0" w:color="auto"/>
        <w:right w:val="none" w:sz="0" w:space="0" w:color="auto"/>
      </w:divBdr>
    </w:div>
    <w:div w:id="2043288697">
      <w:bodyDiv w:val="1"/>
      <w:marLeft w:val="0"/>
      <w:marRight w:val="0"/>
      <w:marTop w:val="0"/>
      <w:marBottom w:val="0"/>
      <w:divBdr>
        <w:top w:val="none" w:sz="0" w:space="0" w:color="auto"/>
        <w:left w:val="none" w:sz="0" w:space="0" w:color="auto"/>
        <w:bottom w:val="none" w:sz="0" w:space="0" w:color="auto"/>
        <w:right w:val="none" w:sz="0" w:space="0" w:color="auto"/>
      </w:divBdr>
    </w:div>
    <w:div w:id="2046981115">
      <w:bodyDiv w:val="1"/>
      <w:marLeft w:val="0"/>
      <w:marRight w:val="0"/>
      <w:marTop w:val="0"/>
      <w:marBottom w:val="0"/>
      <w:divBdr>
        <w:top w:val="none" w:sz="0" w:space="0" w:color="auto"/>
        <w:left w:val="none" w:sz="0" w:space="0" w:color="auto"/>
        <w:bottom w:val="none" w:sz="0" w:space="0" w:color="auto"/>
        <w:right w:val="none" w:sz="0" w:space="0" w:color="auto"/>
      </w:divBdr>
    </w:div>
    <w:div w:id="214696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3" Type="http://schemas.microsoft.com/office/2018/08/relationships/commentsExtensible" Target="commentsExtensible.xml"/><Relationship Id="rId14"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imperialbrc.nihr.ac.uk/facilities/icare/" TargetMode="External"/><Relationship Id="rId9" Type="http://schemas.openxmlformats.org/officeDocument/2006/relationships/footer" Target="footer1.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C22ED6D-B5CC-784F-B30D-3A5BFD429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31</Pages>
  <Words>6919</Words>
  <Characters>41173</Characters>
  <Application>Microsoft Macintosh Word</Application>
  <DocSecurity>0</DocSecurity>
  <Lines>1372</Lines>
  <Paragraphs>593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Trickey</dc:creator>
  <cp:keywords/>
  <dc:description/>
  <cp:lastModifiedBy>Amit Kaura</cp:lastModifiedBy>
  <cp:revision>4</cp:revision>
  <dcterms:created xsi:type="dcterms:W3CDTF">2022-02-21T20:59:00Z</dcterms:created>
  <dcterms:modified xsi:type="dcterms:W3CDTF">2022-02-21T21:28:00Z</dcterms:modified>
</cp:coreProperties>
</file>