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DCEC" w14:textId="5F0A03AC" w:rsidR="00A03D8F" w:rsidRPr="00F100B8" w:rsidRDefault="003B2E2B" w:rsidP="7E57A6F1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TITLE: </w:t>
      </w:r>
      <w:r w:rsidR="003B5EFD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Neoadjuvant </w:t>
      </w:r>
      <w:r w:rsidR="00D47540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MRx0518 </w:t>
      </w:r>
      <w:r w:rsidR="11BEA408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treatment </w:t>
      </w:r>
      <w:r w:rsidR="00842E9A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is associated with </w:t>
      </w:r>
      <w:r w:rsidR="00FB0731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significant </w:t>
      </w:r>
      <w:r w:rsidR="00A44767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gene and metagene </w:t>
      </w:r>
      <w:r w:rsidR="00FB0731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>signature</w:t>
      </w:r>
      <w:r w:rsidR="003B5EFD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 changes</w:t>
      </w:r>
      <w:r w:rsidR="00A44767" w:rsidRPr="003B2E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GB"/>
        </w:rPr>
        <w:t xml:space="preserve"> in solid tumours</w:t>
      </w:r>
    </w:p>
    <w:p w14:paraId="0244CB38" w14:textId="77777777" w:rsidR="00A03D8F" w:rsidRPr="00F100B8" w:rsidRDefault="00A03D8F" w:rsidP="003A0B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</w:p>
    <w:p w14:paraId="02872755" w14:textId="370339DC" w:rsidR="003B2E2B" w:rsidRPr="00BB56DB" w:rsidRDefault="003B2E2B" w:rsidP="003B2E2B">
      <w:pPr>
        <w:rPr>
          <w:rFonts w:ascii="Segoe UI Historic" w:hAnsi="Segoe UI Historic" w:cs="Segoe UI Historic"/>
          <w:vertAlign w:val="superscript"/>
        </w:rPr>
      </w:pPr>
      <w:r w:rsidRPr="00BB56DB">
        <w:rPr>
          <w:rFonts w:ascii="Segoe UI Historic" w:hAnsi="Segoe UI Historic" w:cs="Segoe UI Historic"/>
          <w:b/>
          <w:bCs/>
        </w:rPr>
        <w:t>AUTHORS:</w:t>
      </w:r>
      <w:r w:rsidRPr="00BB56DB">
        <w:rPr>
          <w:rFonts w:ascii="Segoe UI Historic" w:hAnsi="Segoe UI Historic" w:cs="Segoe UI Historic"/>
        </w:rPr>
        <w:t xml:space="preserve">  </w:t>
      </w:r>
      <w:r w:rsidR="000F5E8E" w:rsidRPr="00BB56DB">
        <w:rPr>
          <w:rFonts w:ascii="Segoe UI Historic" w:hAnsi="Segoe UI Historic" w:cs="Segoe UI Historic"/>
        </w:rPr>
        <w:t>Mark P Lythgoe</w:t>
      </w:r>
      <w:r w:rsidR="000F5E8E" w:rsidRPr="00BB56DB">
        <w:rPr>
          <w:rFonts w:ascii="Segoe UI Historic" w:hAnsi="Segoe UI Historic" w:cs="Segoe UI Historic"/>
          <w:vertAlign w:val="superscript"/>
        </w:rPr>
        <w:t>1</w:t>
      </w:r>
      <w:r w:rsidR="000F5E8E" w:rsidRPr="00BB56DB">
        <w:rPr>
          <w:rFonts w:ascii="Segoe UI Historic" w:hAnsi="Segoe UI Historic" w:cs="Segoe UI Historic"/>
        </w:rPr>
        <w:t xml:space="preserve">, </w:t>
      </w:r>
      <w:proofErr w:type="spellStart"/>
      <w:r w:rsidR="000F5E8E" w:rsidRPr="00BB56DB">
        <w:rPr>
          <w:rFonts w:ascii="Segoe UI Historic" w:hAnsi="Segoe UI Historic" w:cs="Segoe UI Historic"/>
        </w:rPr>
        <w:t>Marsilio</w:t>
      </w:r>
      <w:proofErr w:type="spellEnd"/>
      <w:r w:rsidR="000F5E8E" w:rsidRPr="00BB56DB">
        <w:rPr>
          <w:rFonts w:ascii="Segoe UI Historic" w:hAnsi="Segoe UI Historic" w:cs="Segoe UI Historic"/>
        </w:rPr>
        <w:t xml:space="preserve"> Adriani</w:t>
      </w:r>
      <w:r w:rsidR="000F5E8E" w:rsidRPr="00BB56DB">
        <w:rPr>
          <w:rFonts w:ascii="Segoe UI Historic" w:hAnsi="Segoe UI Historic" w:cs="Segoe UI Historic"/>
          <w:vertAlign w:val="superscript"/>
        </w:rPr>
        <w:t>2</w:t>
      </w:r>
      <w:r w:rsidR="000F5E8E">
        <w:rPr>
          <w:rFonts w:ascii="Segoe UI Historic" w:hAnsi="Segoe UI Historic" w:cs="Segoe UI Historic"/>
        </w:rPr>
        <w:t>, J</w:t>
      </w:r>
      <w:r w:rsidR="000F5E8E" w:rsidRPr="00BB56DB">
        <w:rPr>
          <w:rFonts w:ascii="Segoe UI Historic" w:hAnsi="Segoe UI Historic" w:cs="Segoe UI Historic"/>
        </w:rPr>
        <w:t>ustin Stebbing</w:t>
      </w:r>
      <w:r w:rsidR="000F5E8E" w:rsidRPr="00BB56DB">
        <w:rPr>
          <w:rFonts w:ascii="Segoe UI Historic" w:hAnsi="Segoe UI Historic" w:cs="Segoe UI Historic"/>
          <w:vertAlign w:val="superscript"/>
        </w:rPr>
        <w:t>1</w:t>
      </w:r>
      <w:r w:rsidR="000F5E8E" w:rsidRPr="00BB56DB">
        <w:rPr>
          <w:rFonts w:ascii="Segoe UI Historic" w:hAnsi="Segoe UI Historic" w:cs="Segoe UI Historic"/>
        </w:rPr>
        <w:t xml:space="preserve">, </w:t>
      </w:r>
      <w:r w:rsidR="000F5E8E">
        <w:rPr>
          <w:rFonts w:ascii="Segoe UI Historic" w:hAnsi="Segoe UI Historic" w:cs="Segoe UI Historic"/>
        </w:rPr>
        <w:t>James Clark</w:t>
      </w:r>
      <w:r w:rsidR="000F5E8E">
        <w:rPr>
          <w:rFonts w:ascii="Segoe UI Historic" w:hAnsi="Segoe UI Historic" w:cs="Segoe UI Historic"/>
          <w:vertAlign w:val="superscript"/>
        </w:rPr>
        <w:t>1</w:t>
      </w:r>
      <w:r w:rsidR="000F5E8E">
        <w:rPr>
          <w:rFonts w:ascii="Segoe UI Historic" w:hAnsi="Segoe UI Historic" w:cs="Segoe UI Historic"/>
        </w:rPr>
        <w:t xml:space="preserve">, </w:t>
      </w:r>
      <w:r w:rsidR="000F5E8E" w:rsidRPr="00BB56DB">
        <w:rPr>
          <w:rFonts w:ascii="Segoe UI Historic" w:hAnsi="Segoe UI Historic" w:cs="Segoe UI Historic"/>
        </w:rPr>
        <w:t>Emily Pickford</w:t>
      </w:r>
      <w:r w:rsidR="000F5E8E" w:rsidRPr="00BB56DB">
        <w:rPr>
          <w:rFonts w:ascii="Segoe UI Historic" w:hAnsi="Segoe UI Historic" w:cs="Segoe UI Historic"/>
          <w:vertAlign w:val="superscript"/>
        </w:rPr>
        <w:t>1</w:t>
      </w:r>
      <w:r w:rsidR="000F5E8E" w:rsidRPr="00BB56DB">
        <w:rPr>
          <w:rFonts w:ascii="Segoe UI Historic" w:hAnsi="Segoe UI Historic" w:cs="Segoe UI Historic"/>
        </w:rPr>
        <w:t>, Adam Frampton</w:t>
      </w:r>
      <w:r w:rsidR="000F5E8E" w:rsidRPr="00BB56DB">
        <w:rPr>
          <w:rFonts w:ascii="Segoe UI Historic" w:hAnsi="Segoe UI Historic" w:cs="Segoe UI Historic"/>
          <w:vertAlign w:val="superscript"/>
        </w:rPr>
        <w:t>1</w:t>
      </w:r>
      <w:r w:rsidR="000F5E8E">
        <w:rPr>
          <w:rFonts w:ascii="Segoe UI Historic" w:hAnsi="Segoe UI Historic" w:cs="Segoe UI Historic"/>
          <w:vertAlign w:val="superscript"/>
        </w:rPr>
        <w:t>,3,4</w:t>
      </w:r>
      <w:r w:rsidR="000F5E8E">
        <w:rPr>
          <w:rFonts w:ascii="Segoe UI Historic" w:hAnsi="Segoe UI Historic" w:cs="Segoe UI Historic"/>
        </w:rPr>
        <w:t>, Daniel Liu</w:t>
      </w:r>
      <w:r w:rsidR="000F5E8E">
        <w:rPr>
          <w:rFonts w:ascii="Segoe UI Historic" w:hAnsi="Segoe UI Historic" w:cs="Segoe UI Historic"/>
          <w:vertAlign w:val="superscript"/>
        </w:rPr>
        <w:t>1</w:t>
      </w:r>
      <w:r w:rsidR="000F5E8E">
        <w:rPr>
          <w:rFonts w:ascii="Segoe UI Historic" w:hAnsi="Segoe UI Historic" w:cs="Segoe UI Historic"/>
        </w:rPr>
        <w:t>, Maria Kyrgiou</w:t>
      </w:r>
      <w:r w:rsidR="000F5E8E">
        <w:rPr>
          <w:rFonts w:ascii="Segoe UI Historic" w:hAnsi="Segoe UI Historic" w:cs="Segoe UI Historic"/>
          <w:vertAlign w:val="superscript"/>
        </w:rPr>
        <w:t>1</w:t>
      </w:r>
      <w:r w:rsidR="000F5E8E">
        <w:rPr>
          <w:rFonts w:ascii="Segoe UI Historic" w:hAnsi="Segoe UI Historic" w:cs="Segoe UI Historic"/>
        </w:rPr>
        <w:t>, Ellie Rees</w:t>
      </w:r>
      <w:r w:rsidR="000F5E8E">
        <w:rPr>
          <w:rFonts w:ascii="Segoe UI Historic" w:hAnsi="Segoe UI Historic" w:cs="Segoe UI Historic"/>
          <w:vertAlign w:val="superscript"/>
        </w:rPr>
        <w:t>1</w:t>
      </w:r>
      <w:r w:rsidR="000F5E8E">
        <w:rPr>
          <w:rFonts w:ascii="Segoe UI Historic" w:hAnsi="Segoe UI Historic" w:cs="Segoe UI Historic"/>
        </w:rPr>
        <w:t xml:space="preserve">, </w:t>
      </w:r>
      <w:r w:rsidR="000F5E8E" w:rsidRPr="00BB56DB">
        <w:rPr>
          <w:rFonts w:ascii="Segoe UI Historic" w:hAnsi="Segoe UI Historic" w:cs="Segoe UI Historic"/>
        </w:rPr>
        <w:t>Gayle Fyvie</w:t>
      </w:r>
      <w:r w:rsidR="000F5E8E" w:rsidRPr="00BB56DB">
        <w:rPr>
          <w:rFonts w:ascii="Segoe UI Historic" w:hAnsi="Segoe UI Historic" w:cs="Segoe UI Historic"/>
          <w:vertAlign w:val="superscript"/>
        </w:rPr>
        <w:t>2</w:t>
      </w:r>
      <w:r w:rsidR="000F5E8E" w:rsidRPr="00BB56DB">
        <w:rPr>
          <w:rFonts w:ascii="Segoe UI Historic" w:hAnsi="Segoe UI Historic" w:cs="Segoe UI Historic"/>
        </w:rPr>
        <w:t>, Alex Stevenson</w:t>
      </w:r>
      <w:r w:rsidR="000F5E8E" w:rsidRPr="00BB56DB">
        <w:rPr>
          <w:rFonts w:ascii="Segoe UI Historic" w:hAnsi="Segoe UI Historic" w:cs="Segoe UI Historic"/>
          <w:vertAlign w:val="superscript"/>
        </w:rPr>
        <w:t>2</w:t>
      </w:r>
      <w:r w:rsidR="000F5E8E" w:rsidRPr="00BB56DB">
        <w:rPr>
          <w:rFonts w:ascii="Segoe UI Historic" w:hAnsi="Segoe UI Historic" w:cs="Segoe UI Historic"/>
        </w:rPr>
        <w:t xml:space="preserve"> </w:t>
      </w:r>
      <w:r w:rsidR="000F5E8E">
        <w:rPr>
          <w:rFonts w:ascii="Segoe UI Historic" w:hAnsi="Segoe UI Historic" w:cs="Segoe UI Historic"/>
        </w:rPr>
        <w:t>,</w:t>
      </w:r>
      <w:r w:rsidR="000F5E8E" w:rsidRPr="00BB56DB">
        <w:rPr>
          <w:rFonts w:ascii="Segoe UI Historic" w:hAnsi="Segoe UI Historic" w:cs="Segoe UI Historic"/>
        </w:rPr>
        <w:t>Jonathan Krell</w:t>
      </w:r>
      <w:r w:rsidR="000F5E8E" w:rsidRPr="00BB56DB">
        <w:rPr>
          <w:rFonts w:ascii="Segoe UI Historic" w:hAnsi="Segoe UI Historic" w:cs="Segoe UI Historic"/>
          <w:vertAlign w:val="superscript"/>
        </w:rPr>
        <w:t>1</w:t>
      </w:r>
    </w:p>
    <w:p w14:paraId="15FC9F1B" w14:textId="77777777" w:rsidR="003B2E2B" w:rsidRDefault="003B2E2B" w:rsidP="003B2E2B">
      <w:pPr>
        <w:rPr>
          <w:rFonts w:ascii="Segoe UI Historic" w:hAnsi="Segoe UI Historic" w:cs="Segoe UI Historic"/>
          <w:vertAlign w:val="superscript"/>
        </w:rPr>
      </w:pPr>
    </w:p>
    <w:p w14:paraId="17707D45" w14:textId="77777777" w:rsidR="003B2E2B" w:rsidRDefault="003B2E2B" w:rsidP="003B2E2B">
      <w:pPr>
        <w:jc w:val="both"/>
        <w:rPr>
          <w:rFonts w:ascii="Segoe UI Historic" w:hAnsi="Segoe UI Historic" w:cs="Segoe UI Historic"/>
          <w:color w:val="000000"/>
        </w:rPr>
      </w:pPr>
      <w:r w:rsidRPr="00C21DCF">
        <w:rPr>
          <w:rFonts w:ascii="Segoe UI Historic" w:hAnsi="Segoe UI Historic" w:cs="Segoe UI Historic"/>
          <w:vertAlign w:val="superscript"/>
        </w:rPr>
        <w:t>1</w:t>
      </w:r>
      <w:r w:rsidRPr="00C21DCF">
        <w:rPr>
          <w:rFonts w:ascii="Segoe UI Historic" w:hAnsi="Segoe UI Historic" w:cs="Segoe UI Historic"/>
          <w:color w:val="000000"/>
        </w:rPr>
        <w:t>Department of Surgery &amp; Cancer, Imperial College London, Hammersmith Hospital, Du Cane Road, W120HS, London, UK</w:t>
      </w:r>
    </w:p>
    <w:p w14:paraId="51827BDC" w14:textId="77777777" w:rsidR="003B2E2B" w:rsidRDefault="003B2E2B" w:rsidP="003B2E2B">
      <w:pPr>
        <w:jc w:val="both"/>
        <w:rPr>
          <w:rFonts w:ascii="Segoe UI Historic" w:hAnsi="Segoe UI Historic" w:cs="Segoe UI Historic"/>
          <w:color w:val="000000"/>
        </w:rPr>
      </w:pPr>
    </w:p>
    <w:p w14:paraId="15D67ED1" w14:textId="77777777" w:rsidR="003B2E2B" w:rsidRPr="00C21DCF" w:rsidRDefault="003B2E2B" w:rsidP="003B2E2B">
      <w:pPr>
        <w:jc w:val="both"/>
        <w:rPr>
          <w:rFonts w:ascii="Segoe UI Historic" w:hAnsi="Segoe UI Historic" w:cs="Segoe UI Historic"/>
          <w:color w:val="000000"/>
        </w:rPr>
      </w:pPr>
      <w:r w:rsidRPr="00BB56DB">
        <w:rPr>
          <w:rFonts w:ascii="Segoe UI Historic" w:hAnsi="Segoe UI Historic" w:cs="Segoe UI Historic"/>
          <w:color w:val="000000"/>
          <w:vertAlign w:val="superscript"/>
        </w:rPr>
        <w:t>2</w:t>
      </w:r>
      <w:r>
        <w:rPr>
          <w:rFonts w:ascii="Segoe UI Historic" w:hAnsi="Segoe UI Historic" w:cs="Segoe UI Historic"/>
          <w:color w:val="000000"/>
        </w:rPr>
        <w:t>4D Pharma PLC, Leeds, UK</w:t>
      </w:r>
    </w:p>
    <w:p w14:paraId="60CBCDDF" w14:textId="77777777" w:rsidR="003B2E2B" w:rsidRDefault="003B2E2B" w:rsidP="003B2E2B">
      <w:pPr>
        <w:rPr>
          <w:rFonts w:ascii="Segoe UI Historic" w:hAnsi="Segoe UI Historic" w:cs="Segoe UI Historic"/>
        </w:rPr>
      </w:pPr>
    </w:p>
    <w:p w14:paraId="05A5DBD3" w14:textId="77777777" w:rsidR="003B2E2B" w:rsidRDefault="003B2E2B" w:rsidP="003B2E2B">
      <w:pPr>
        <w:rPr>
          <w:rFonts w:ascii="Segoe UI Historic" w:hAnsi="Segoe UI Historic" w:cs="Segoe UI Historic"/>
          <w:color w:val="000000"/>
        </w:rPr>
      </w:pPr>
      <w:r w:rsidRPr="00DD3A4F">
        <w:rPr>
          <w:rFonts w:ascii="Segoe UI Historic" w:hAnsi="Segoe UI Historic" w:cs="Segoe UI Historic"/>
          <w:color w:val="000000"/>
          <w:vertAlign w:val="superscript"/>
        </w:rPr>
        <w:t>3</w:t>
      </w:r>
      <w:r w:rsidRPr="00DD3A4F">
        <w:rPr>
          <w:rFonts w:ascii="Segoe UI Historic" w:hAnsi="Segoe UI Historic" w:cs="Segoe UI Historic"/>
          <w:color w:val="000000"/>
        </w:rPr>
        <w:t>Dept. of Clinical and Experimental Medicine, Faculty of Health and Medical Sciences, The Leggett Building, University of Surrey, Guildford, Surrey, GU2 7WG, UK.</w:t>
      </w:r>
    </w:p>
    <w:p w14:paraId="46EEF223" w14:textId="77777777" w:rsidR="003B2E2B" w:rsidRPr="00DD3A4F" w:rsidRDefault="003B2E2B" w:rsidP="003B2E2B">
      <w:pPr>
        <w:rPr>
          <w:rFonts w:ascii="Segoe UI Historic" w:hAnsi="Segoe UI Historic" w:cs="Segoe UI Historic"/>
        </w:rPr>
      </w:pPr>
      <w:r w:rsidRPr="00DD3A4F">
        <w:rPr>
          <w:rFonts w:ascii="Segoe UI Historic" w:hAnsi="Segoe UI Historic" w:cs="Segoe UI Historic"/>
          <w:color w:val="000000"/>
        </w:rPr>
        <w:br/>
      </w:r>
      <w:r w:rsidRPr="00DD3A4F">
        <w:rPr>
          <w:rFonts w:ascii="Segoe UI Historic" w:hAnsi="Segoe UI Historic" w:cs="Segoe UI Historic"/>
          <w:color w:val="000000"/>
          <w:vertAlign w:val="superscript"/>
        </w:rPr>
        <w:t>4</w:t>
      </w:r>
      <w:r w:rsidRPr="00DD3A4F">
        <w:rPr>
          <w:rFonts w:ascii="Segoe UI Historic" w:hAnsi="Segoe UI Historic" w:cs="Segoe UI Historic"/>
          <w:color w:val="000000"/>
        </w:rPr>
        <w:t>HPB Surgical Unit, Royal Surrey County Hospital, Guildford, Surrey, UK.</w:t>
      </w:r>
    </w:p>
    <w:p w14:paraId="7872358C" w14:textId="77777777" w:rsidR="0053062F" w:rsidRDefault="0053062F" w:rsidP="0080706D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2A6EBB"/>
          <w:sz w:val="24"/>
          <w:szCs w:val="24"/>
          <w:lang w:eastAsia="en-GB"/>
        </w:rPr>
      </w:pPr>
    </w:p>
    <w:p w14:paraId="739F0C7B" w14:textId="1E0D1F30" w:rsidR="0080706D" w:rsidRPr="00AF49D7" w:rsidRDefault="003A0B9F" w:rsidP="0080706D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AF49D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Background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</w:t>
      </w:r>
    </w:p>
    <w:p w14:paraId="25DD3076" w14:textId="55A858DB" w:rsidR="003A0B9F" w:rsidRPr="00AF49D7" w:rsidRDefault="1727FC47" w:rsidP="6C182546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MRx0518 is a</w:t>
      </w:r>
      <w:r w:rsidR="4D541939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n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oral live biotherapeutic with potent immunostimulatory activity and anti-tumorigenic efficacy in </w:t>
      </w:r>
      <w:r w:rsidR="1A69521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murine</w:t>
      </w:r>
      <w:r w:rsidR="3EE67DA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models of </w:t>
      </w:r>
      <w:r w:rsidR="0DDECDB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lung (LLC1), kidney</w:t>
      </w:r>
      <w:r w:rsidR="5844565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="5844565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Renca</w:t>
      </w:r>
      <w:proofErr w:type="spellEnd"/>
      <w:r w:rsidR="5844565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 and breast (EMT6) cancer.</w:t>
      </w:r>
      <w:r w:rsidR="7C63EFA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56873C0E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Previous reports have demonstrated a favourable safety profile </w:t>
      </w:r>
      <w:r w:rsidR="0ECFF9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in neoadjuvant and metastatic clinical settings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,</w:t>
      </w:r>
      <w:r w:rsidR="4CBB204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with emerging evidence of </w:t>
      </w:r>
      <w:r w:rsidR="2BBBBA2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immune modulation.  </w:t>
      </w:r>
      <w:r w:rsidR="1F97F84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We </w:t>
      </w:r>
      <w:r w:rsidR="00281E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performed</w:t>
      </w:r>
      <w:r w:rsidR="6A0721D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</w:t>
      </w:r>
      <w:r w:rsidR="00281E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660F0C6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comprehensive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analysis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of the gene and metagene signature</w:t>
      </w:r>
      <w:r w:rsidR="52E99F9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in cancer patients treated 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with </w:t>
      </w:r>
      <w:r w:rsidR="52E99F9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MRx0518</w:t>
      </w:r>
      <w:r w:rsidR="52471804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monotherapy</w:t>
      </w:r>
      <w:r w:rsidR="52E99F9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.</w:t>
      </w:r>
    </w:p>
    <w:p w14:paraId="43DDF5BC" w14:textId="01421122" w:rsidR="00464BDB" w:rsidRPr="00AF49D7" w:rsidRDefault="003A0B9F" w:rsidP="390C41FB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AF49D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Methods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</w:t>
      </w:r>
    </w:p>
    <w:p w14:paraId="5B59FE98" w14:textId="2F4CD128" w:rsidR="00464BDB" w:rsidRPr="00AF49D7" w:rsidRDefault="001720EF" w:rsidP="7E57A6F1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Treatment</w:t>
      </w:r>
      <w:r w:rsidR="003B2E2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-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naïve patients with a histologically confirmed diagnosis of 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cancer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scheduled for surgical resection were recruited from April 2019 to February 2020. Patients received 1 capsule of MRx0518 (1x10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  <w:lang w:eastAsia="en-GB"/>
        </w:rPr>
        <w:t>10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to 1x10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  <w:lang w:eastAsia="en-GB"/>
        </w:rPr>
        <w:t>11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CFU) twice daily from inclusion until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4F08AC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the 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day preceding surgery. Safety and tolerability </w:t>
      </w:r>
      <w:r w:rsidRPr="00AF49D7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(CTCAE v4.03)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w</w:t>
      </w:r>
      <w:r w:rsidR="00E0281C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ere</w:t>
      </w:r>
      <w:r w:rsidR="00EB013E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the primary endpoint</w:t>
      </w:r>
      <w:r w:rsidR="008D2B0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of th</w:t>
      </w:r>
      <w:r w:rsidR="004F08AC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is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study.</w:t>
      </w:r>
      <w:r w:rsidR="00A371D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4F08AC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Comprehensive b</w:t>
      </w:r>
      <w:r w:rsidR="008D2B0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</w:t>
      </w:r>
      <w:r w:rsidR="00281E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omarker</w:t>
      </w:r>
      <w:r w:rsidR="5C8E24E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analysis was</w:t>
      </w:r>
      <w:r w:rsidR="008D2B0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also</w:t>
      </w:r>
      <w:r w:rsidR="5C8E24E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pe</w:t>
      </w:r>
      <w:r w:rsidR="0FA8778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r</w:t>
      </w:r>
      <w:r w:rsidR="5C8E24E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formed 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in paired pre-treatment (diagnostic biopsy) and post-treatment (surgical specimen) samples</w:t>
      </w:r>
      <w:r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601069F8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using the </w:t>
      </w:r>
      <w:proofErr w:type="spellStart"/>
      <w:r w:rsidR="601069F8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Nano</w:t>
      </w:r>
      <w:r w:rsidR="00281E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</w:t>
      </w:r>
      <w:r w:rsidR="601069F8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tring</w:t>
      </w:r>
      <w:proofErr w:type="spellEnd"/>
      <w:r w:rsidR="601069F8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IO 360 panel to </w:t>
      </w:r>
      <w:r w:rsidR="096FBE67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explore</w:t>
      </w:r>
      <w:r w:rsidR="601069F8" w:rsidRPr="00AF49D7" w:rsidDel="00006C8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gene and metagene signatures.  </w:t>
      </w:r>
    </w:p>
    <w:p w14:paraId="0805BF4C" w14:textId="53CEF2DF" w:rsidR="00464BDB" w:rsidRPr="00AF49D7" w:rsidRDefault="003A0B9F" w:rsidP="38C74B0C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AF49D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Results</w:t>
      </w:r>
      <w:r w:rsidR="00422544" w:rsidRPr="00AF49D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70A15340" w14:textId="70E543BA" w:rsidR="00464BDB" w:rsidRPr="00AF49D7" w:rsidRDefault="00AF089E" w:rsidP="7E57A6F1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31</w:t>
      </w:r>
      <w:r w:rsidR="00D75FB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DC23C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samples </w:t>
      </w:r>
      <w:r w:rsidR="00A5717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were </w:t>
      </w:r>
      <w:r w:rsidR="00DC23C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collected </w:t>
      </w:r>
      <w:r w:rsidR="78290DF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across</w:t>
      </w:r>
      <w:r w:rsidR="00E50F0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tumour group</w:t>
      </w:r>
      <w:r w:rsidR="003327A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</w:t>
      </w:r>
      <w:r w:rsidR="00E50F0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including </w:t>
      </w:r>
      <w:r w:rsidR="001A687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breast (</w:t>
      </w:r>
      <w:r w:rsidR="00C2378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n=1</w:t>
      </w:r>
      <w:r w:rsidR="009A49C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3</w:t>
      </w:r>
      <w:r w:rsidR="00C2378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</w:t>
      </w:r>
      <w:r w:rsidR="003A0B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prostate (n=</w:t>
      </w:r>
      <w:r w:rsidR="007952F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8</w:t>
      </w:r>
      <w:r w:rsidR="003A0B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), uterine (n=</w:t>
      </w:r>
      <w:r w:rsidR="007220D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6</w:t>
      </w:r>
      <w:r w:rsidR="003A0B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), melanoma (n=</w:t>
      </w:r>
      <w:r w:rsidR="007952F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2</w:t>
      </w:r>
      <w:r w:rsidR="003A0B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 and bladder (n=</w:t>
      </w:r>
      <w:r w:rsidR="007952F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2</w:t>
      </w:r>
      <w:r w:rsidR="003A0B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</w:t>
      </w:r>
      <w:r w:rsidR="009A49C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. </w:t>
      </w:r>
      <w:r w:rsidR="00AD1EA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D</w:t>
      </w:r>
      <w:r w:rsidR="009555D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ifferential</w:t>
      </w:r>
      <w:r w:rsidR="000432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expression analysis show</w:t>
      </w:r>
      <w:r w:rsidR="00817D4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ed</w:t>
      </w:r>
      <w:r w:rsidR="0004329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DE45C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significant</w:t>
      </w:r>
      <w:r w:rsidR="00154F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(p&lt;0.05)</w:t>
      </w:r>
      <w:r w:rsidR="00D3798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ED44D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increases in </w:t>
      </w:r>
      <w:r w:rsidR="00154F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genes and </w:t>
      </w:r>
      <w:r w:rsidR="00D1376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metagenes</w:t>
      </w:r>
      <w:r w:rsidR="00E8180E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associated with </w:t>
      </w:r>
      <w:r w:rsidR="00D76F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anti-tumour activity</w:t>
      </w:r>
      <w:r w:rsidR="00154F90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, including antigen presentation (</w:t>
      </w:r>
      <w:r w:rsidR="00154F90" w:rsidRPr="00AF49D7">
        <w:rPr>
          <w:rFonts w:ascii="Helvetica" w:hAnsi="Helvetica" w:cs="Segoe UI Historic"/>
          <w:color w:val="000000" w:themeColor="text1"/>
          <w:sz w:val="24"/>
          <w:szCs w:val="24"/>
        </w:rPr>
        <w:t>AXL &amp; CXCL12), innate immune process</w:t>
      </w:r>
      <w:r w:rsidR="00AF49D7">
        <w:rPr>
          <w:rFonts w:ascii="Helvetica" w:hAnsi="Helvetica" w:cs="Segoe UI Historic"/>
          <w:color w:val="000000" w:themeColor="text1"/>
          <w:sz w:val="24"/>
          <w:szCs w:val="24"/>
        </w:rPr>
        <w:t>es</w:t>
      </w:r>
      <w:r w:rsidR="00154F90" w:rsidRPr="00AF49D7">
        <w:rPr>
          <w:rFonts w:ascii="Helvetica" w:hAnsi="Helvetica" w:cs="Segoe UI Historic"/>
          <w:color w:val="000000" w:themeColor="text1"/>
          <w:sz w:val="24"/>
          <w:szCs w:val="24"/>
        </w:rPr>
        <w:t xml:space="preserve"> (CHUK, RELA, PPARG</w:t>
      </w:r>
      <w:r>
        <w:rPr>
          <w:rFonts w:ascii="Helvetica" w:hAnsi="Helvetica" w:cs="Segoe UI Historic"/>
          <w:color w:val="000000" w:themeColor="text1"/>
          <w:sz w:val="24"/>
          <w:szCs w:val="24"/>
        </w:rPr>
        <w:t xml:space="preserve"> &amp; </w:t>
      </w:r>
      <w:r w:rsidR="00154F90" w:rsidRPr="00AF49D7">
        <w:rPr>
          <w:rFonts w:ascii="Helvetica" w:hAnsi="Helvetica" w:cs="Segoe UI Historic"/>
          <w:color w:val="000000" w:themeColor="text1"/>
          <w:sz w:val="24"/>
          <w:szCs w:val="24"/>
        </w:rPr>
        <w:t xml:space="preserve">HRAS), interferon response (IFNGR1 &amp; </w:t>
      </w:r>
      <w:r w:rsidR="00154F90" w:rsidRPr="00AF49D7">
        <w:rPr>
          <w:rFonts w:ascii="Helvetica" w:hAnsi="Helvetica" w:cs="Segoe UI Historic"/>
          <w:color w:val="000000" w:themeColor="text1"/>
          <w:sz w:val="24"/>
          <w:szCs w:val="24"/>
        </w:rPr>
        <w:lastRenderedPageBreak/>
        <w:t xml:space="preserve">IFNGR2), </w:t>
      </w:r>
      <w:r w:rsidR="00DF08B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Th1 cells </w:t>
      </w:r>
      <w:r w:rsidR="00564D0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and </w:t>
      </w:r>
      <w:r w:rsidR="000F763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CD8</w:t>
      </w:r>
      <w:r w:rsidR="00844C7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+ cell</w:t>
      </w:r>
      <w:r w:rsidR="00FA28B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s </w:t>
      </w:r>
      <w:r w:rsidR="22FC735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following</w:t>
      </w:r>
      <w:r w:rsidR="002E2CB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MRx0518 </w:t>
      </w:r>
      <w:r w:rsidR="0EA1DD1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therapy, </w:t>
      </w:r>
      <w:r w:rsidR="00DE690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ec</w:t>
      </w:r>
      <w:r w:rsidR="00EC1C8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h</w:t>
      </w:r>
      <w:r w:rsidR="00DE690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oing</w:t>
      </w:r>
      <w:r w:rsidR="618818C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B4330D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preclinical </w:t>
      </w:r>
      <w:r w:rsidR="005E0562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finding</w:t>
      </w:r>
      <w:r w:rsidR="00B4330D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s.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34E3F70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Novel </w:t>
      </w:r>
      <w:r w:rsidR="2F1C63D4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changes,</w:t>
      </w:r>
      <w:r w:rsidR="34E3F70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not previously detected in murine models, involving</w:t>
      </w:r>
      <w:r w:rsidR="003B2E2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E5610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endothelial</w:t>
      </w:r>
      <w:r w:rsidR="00B23D6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,</w:t>
      </w:r>
      <w:r w:rsidR="00E5610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07749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mast cells</w:t>
      </w:r>
      <w:r w:rsidR="00AA54B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, </w:t>
      </w:r>
      <w:r w:rsidR="00CD1E04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inflammatory myeloid and inflammatory </w:t>
      </w:r>
      <w:r w:rsidR="008367F9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chemokines</w:t>
      </w:r>
      <w:r w:rsidR="0000170C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833D5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</w:t>
      </w:r>
      <w:r w:rsidR="00B23D6A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ere</w:t>
      </w:r>
      <w:r w:rsidR="00833D5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4470C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also </w:t>
      </w:r>
      <w:r w:rsidR="00833D5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observed</w:t>
      </w:r>
      <w:r w:rsidR="003B2E2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,</w:t>
      </w:r>
      <w:r w:rsidR="00833D5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31BBCA75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suggesting MRx0518 may have </w:t>
      </w:r>
      <w:r w:rsidR="3BCDC7CC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additional</w:t>
      </w:r>
      <w:r w:rsidR="6B0B136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6B0B1368" w:rsidRPr="00AF49D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n-GB"/>
        </w:rPr>
        <w:t>in vivo</w:t>
      </w:r>
      <w:r w:rsidR="6B0B136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33832E8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anti-</w:t>
      </w:r>
      <w:r w:rsidR="003B2E2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tumorigenic</w:t>
      </w:r>
      <w:r w:rsidR="56704A8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6B0B136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effects. These changes were mo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re</w:t>
      </w:r>
      <w:r w:rsidR="001E7AF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pronounced in the breast cancer</w:t>
      </w:r>
      <w:r w:rsidR="00946B4E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3F41BC1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cohort. </w:t>
      </w:r>
    </w:p>
    <w:p w14:paraId="7B3524EC" w14:textId="61F06071" w:rsidR="003A0B9F" w:rsidRPr="00AF49D7" w:rsidRDefault="003A0B9F" w:rsidP="1347576A">
      <w:pPr>
        <w:shd w:val="clear" w:color="auto" w:fill="FFFFFF" w:themeFill="background1"/>
        <w:spacing w:after="150" w:line="240" w:lineRule="auto"/>
        <w:jc w:val="both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AF49D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Conclusions</w:t>
      </w: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</w:t>
      </w:r>
    </w:p>
    <w:p w14:paraId="7EB91FA4" w14:textId="0A2E288A" w:rsidR="003A0B9F" w:rsidRPr="00AF49D7" w:rsidRDefault="003B2E2B" w:rsidP="7E57A6F1">
      <w:pPr>
        <w:shd w:val="clear" w:color="auto" w:fill="FFFFFF" w:themeFill="background1"/>
        <w:spacing w:after="150" w:line="240" w:lineRule="auto"/>
        <w:jc w:val="both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</w:t>
      </w:r>
      <w:r w:rsidR="69C1AC14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his</w:t>
      </w:r>
      <w:r w:rsidR="497491F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446398E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analysis</w:t>
      </w:r>
      <w:r w:rsidR="497491F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, </w:t>
      </w:r>
      <w:r w:rsidR="0594EDE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mirrors</w:t>
      </w:r>
      <w:r w:rsidR="7273756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6366D9D9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previous </w:t>
      </w:r>
      <w:r w:rsidR="3F753F64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immunostimulatory activity and anti-tumorigenic efficacy </w:t>
      </w:r>
      <w:r w:rsidR="6366D9D9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observations seen </w:t>
      </w:r>
      <w:r w:rsidR="184759F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in pre-clinical </w:t>
      </w:r>
      <w:r w:rsidR="439A0C0D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models</w:t>
      </w:r>
      <w:r w:rsidR="546F300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55D87978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following</w:t>
      </w:r>
      <w:r w:rsidR="546F300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MRx0518</w:t>
      </w:r>
      <w:r w:rsid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therapy</w:t>
      </w:r>
      <w:r w:rsidR="546F300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. Furthermore, </w:t>
      </w:r>
      <w:r w:rsidR="008D2B0F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potentially </w:t>
      </w:r>
      <w:r w:rsidR="147574F6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beneficial</w:t>
      </w:r>
      <w:r w:rsidR="546F300B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5504ED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novel </w:t>
      </w:r>
      <w:r w:rsidR="68A5A69D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anti-</w:t>
      </w:r>
      <w:r w:rsidR="05504ED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tumour effects were </w:t>
      </w:r>
      <w:r w:rsidR="5FA5113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observed, not previously </w:t>
      </w:r>
      <w:r w:rsidR="004F08AC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seen</w:t>
      </w:r>
      <w:r w:rsidR="5FA51133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.</w:t>
      </w:r>
      <w:r w:rsidR="05504ED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Th</w:t>
      </w:r>
      <w:r w:rsidR="23A77C57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ese results</w:t>
      </w:r>
      <w:r w:rsidR="05504ED1" w:rsidRPr="00AF49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will be further validated in </w:t>
      </w:r>
      <w:r w:rsidR="05504ED1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>100 treatment naïve patients</w:t>
      </w:r>
      <w:r w:rsidR="00AF49D7">
        <w:rPr>
          <w:rFonts w:ascii="Helvetica" w:eastAsia="Helvetica" w:hAnsi="Helvetica" w:cs="Helvetica"/>
          <w:color w:val="000000" w:themeColor="text1"/>
          <w:sz w:val="24"/>
          <w:szCs w:val="24"/>
        </w:rPr>
        <w:t>,</w:t>
      </w:r>
      <w:r w:rsidR="05504ED1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inform</w:t>
      </w:r>
      <w:r w:rsidR="00220DF9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>ing</w:t>
      </w:r>
      <w:r w:rsidR="05504ED1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4CFE794A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future </w:t>
      </w:r>
      <w:r w:rsidR="144BFAB6" w:rsidRPr="00AF49D7">
        <w:rPr>
          <w:rFonts w:ascii="Helvetica" w:eastAsia="Helvetica" w:hAnsi="Helvetica" w:cs="Helvetica"/>
          <w:color w:val="000000" w:themeColor="text1"/>
          <w:sz w:val="24"/>
          <w:szCs w:val="24"/>
        </w:rPr>
        <w:t>studies.</w:t>
      </w:r>
    </w:p>
    <w:p w14:paraId="5BFFEFD0" w14:textId="660B4A19" w:rsidR="0072525B" w:rsidRDefault="0072525B" w:rsidP="41EF3BF8">
      <w:pPr>
        <w:shd w:val="clear" w:color="auto" w:fill="FFFFFF" w:themeFill="background1"/>
        <w:spacing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sectPr w:rsidR="00725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4312"/>
    <w:multiLevelType w:val="multilevel"/>
    <w:tmpl w:val="A7EC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9F"/>
    <w:rsid w:val="0000170C"/>
    <w:rsid w:val="0001370D"/>
    <w:rsid w:val="000210C3"/>
    <w:rsid w:val="00025ED7"/>
    <w:rsid w:val="0004329F"/>
    <w:rsid w:val="00056F7F"/>
    <w:rsid w:val="00066278"/>
    <w:rsid w:val="00077493"/>
    <w:rsid w:val="00081B69"/>
    <w:rsid w:val="000A0835"/>
    <w:rsid w:val="000A4B0E"/>
    <w:rsid w:val="000A59A3"/>
    <w:rsid w:val="000D250E"/>
    <w:rsid w:val="000E0210"/>
    <w:rsid w:val="000F5E8E"/>
    <w:rsid w:val="000F7638"/>
    <w:rsid w:val="00100397"/>
    <w:rsid w:val="00104E6C"/>
    <w:rsid w:val="00110AFD"/>
    <w:rsid w:val="0011681A"/>
    <w:rsid w:val="00131938"/>
    <w:rsid w:val="00152622"/>
    <w:rsid w:val="00153B06"/>
    <w:rsid w:val="00154F90"/>
    <w:rsid w:val="00164E5C"/>
    <w:rsid w:val="001720EF"/>
    <w:rsid w:val="00186998"/>
    <w:rsid w:val="001A31A2"/>
    <w:rsid w:val="001A687B"/>
    <w:rsid w:val="001A7423"/>
    <w:rsid w:val="001B47EF"/>
    <w:rsid w:val="001B510E"/>
    <w:rsid w:val="001C4A53"/>
    <w:rsid w:val="001D0568"/>
    <w:rsid w:val="001D0F3E"/>
    <w:rsid w:val="001D3F63"/>
    <w:rsid w:val="001E620D"/>
    <w:rsid w:val="001E7AF3"/>
    <w:rsid w:val="001F27AB"/>
    <w:rsid w:val="001F4251"/>
    <w:rsid w:val="001F4B29"/>
    <w:rsid w:val="00203381"/>
    <w:rsid w:val="002062A2"/>
    <w:rsid w:val="002105E5"/>
    <w:rsid w:val="00212ACA"/>
    <w:rsid w:val="0021436F"/>
    <w:rsid w:val="0022096A"/>
    <w:rsid w:val="00220DF9"/>
    <w:rsid w:val="002255A0"/>
    <w:rsid w:val="00225DFD"/>
    <w:rsid w:val="0024567F"/>
    <w:rsid w:val="00261D14"/>
    <w:rsid w:val="00261E1A"/>
    <w:rsid w:val="00262660"/>
    <w:rsid w:val="00277E2A"/>
    <w:rsid w:val="00281E90"/>
    <w:rsid w:val="00283D9D"/>
    <w:rsid w:val="002846CC"/>
    <w:rsid w:val="002C1608"/>
    <w:rsid w:val="002C201C"/>
    <w:rsid w:val="002C5146"/>
    <w:rsid w:val="002C7C5C"/>
    <w:rsid w:val="002D5556"/>
    <w:rsid w:val="002E2CB2"/>
    <w:rsid w:val="0031670C"/>
    <w:rsid w:val="00317CD1"/>
    <w:rsid w:val="003327AA"/>
    <w:rsid w:val="0033290C"/>
    <w:rsid w:val="00337E30"/>
    <w:rsid w:val="003500B4"/>
    <w:rsid w:val="00354292"/>
    <w:rsid w:val="003813B1"/>
    <w:rsid w:val="003A0B9F"/>
    <w:rsid w:val="003A1BCF"/>
    <w:rsid w:val="003B2E2B"/>
    <w:rsid w:val="003B3ED3"/>
    <w:rsid w:val="003B5EFD"/>
    <w:rsid w:val="003C251E"/>
    <w:rsid w:val="003D0EE7"/>
    <w:rsid w:val="003D4E3F"/>
    <w:rsid w:val="003D6D03"/>
    <w:rsid w:val="003F1ECA"/>
    <w:rsid w:val="003F735A"/>
    <w:rsid w:val="003F775E"/>
    <w:rsid w:val="00407B57"/>
    <w:rsid w:val="00412FC2"/>
    <w:rsid w:val="00422544"/>
    <w:rsid w:val="00435256"/>
    <w:rsid w:val="00442FEC"/>
    <w:rsid w:val="004470CF"/>
    <w:rsid w:val="00464BDB"/>
    <w:rsid w:val="004660E1"/>
    <w:rsid w:val="00466C37"/>
    <w:rsid w:val="00467B4C"/>
    <w:rsid w:val="00497380"/>
    <w:rsid w:val="004A5748"/>
    <w:rsid w:val="004B7B89"/>
    <w:rsid w:val="004C1176"/>
    <w:rsid w:val="004F08AC"/>
    <w:rsid w:val="00512217"/>
    <w:rsid w:val="0053062F"/>
    <w:rsid w:val="00551529"/>
    <w:rsid w:val="00556A61"/>
    <w:rsid w:val="00564D0F"/>
    <w:rsid w:val="00573018"/>
    <w:rsid w:val="00587020"/>
    <w:rsid w:val="00587D0E"/>
    <w:rsid w:val="005A4969"/>
    <w:rsid w:val="005C5F04"/>
    <w:rsid w:val="005E0562"/>
    <w:rsid w:val="005EB7C6"/>
    <w:rsid w:val="005F2873"/>
    <w:rsid w:val="005F4ED5"/>
    <w:rsid w:val="005F6280"/>
    <w:rsid w:val="00607F0D"/>
    <w:rsid w:val="0061517E"/>
    <w:rsid w:val="00616B99"/>
    <w:rsid w:val="00617431"/>
    <w:rsid w:val="00617867"/>
    <w:rsid w:val="0062379E"/>
    <w:rsid w:val="006411CC"/>
    <w:rsid w:val="00644730"/>
    <w:rsid w:val="006517FC"/>
    <w:rsid w:val="0067640A"/>
    <w:rsid w:val="006A55B0"/>
    <w:rsid w:val="006E1A66"/>
    <w:rsid w:val="006E538E"/>
    <w:rsid w:val="00704783"/>
    <w:rsid w:val="007220D1"/>
    <w:rsid w:val="007232CC"/>
    <w:rsid w:val="00724200"/>
    <w:rsid w:val="00724FD1"/>
    <w:rsid w:val="0072525B"/>
    <w:rsid w:val="0072619C"/>
    <w:rsid w:val="00750F73"/>
    <w:rsid w:val="0075115D"/>
    <w:rsid w:val="0075789A"/>
    <w:rsid w:val="00777EF7"/>
    <w:rsid w:val="00780B9B"/>
    <w:rsid w:val="007873CE"/>
    <w:rsid w:val="007952F5"/>
    <w:rsid w:val="007A67D6"/>
    <w:rsid w:val="007E09B3"/>
    <w:rsid w:val="008005FF"/>
    <w:rsid w:val="00806CAB"/>
    <w:rsid w:val="0080706D"/>
    <w:rsid w:val="00817D42"/>
    <w:rsid w:val="00833D5B"/>
    <w:rsid w:val="00836181"/>
    <w:rsid w:val="008367F9"/>
    <w:rsid w:val="00842E9A"/>
    <w:rsid w:val="00844C72"/>
    <w:rsid w:val="0085391E"/>
    <w:rsid w:val="00892274"/>
    <w:rsid w:val="008A2DD6"/>
    <w:rsid w:val="008B1F81"/>
    <w:rsid w:val="008B2AE5"/>
    <w:rsid w:val="008C0A08"/>
    <w:rsid w:val="008C6F89"/>
    <w:rsid w:val="008D2B0F"/>
    <w:rsid w:val="008D3C6E"/>
    <w:rsid w:val="008D3DC3"/>
    <w:rsid w:val="008D5BB5"/>
    <w:rsid w:val="008D5F9C"/>
    <w:rsid w:val="008E056C"/>
    <w:rsid w:val="008E40A2"/>
    <w:rsid w:val="008F496D"/>
    <w:rsid w:val="009010A9"/>
    <w:rsid w:val="00905B3F"/>
    <w:rsid w:val="00913042"/>
    <w:rsid w:val="009178AA"/>
    <w:rsid w:val="009265A9"/>
    <w:rsid w:val="009324E0"/>
    <w:rsid w:val="00946B4E"/>
    <w:rsid w:val="00953EA5"/>
    <w:rsid w:val="009555D5"/>
    <w:rsid w:val="0096629B"/>
    <w:rsid w:val="00970718"/>
    <w:rsid w:val="0097557B"/>
    <w:rsid w:val="009813F3"/>
    <w:rsid w:val="00982686"/>
    <w:rsid w:val="009914FA"/>
    <w:rsid w:val="009A49C2"/>
    <w:rsid w:val="009D3C91"/>
    <w:rsid w:val="009E0843"/>
    <w:rsid w:val="009E3183"/>
    <w:rsid w:val="009E6A1F"/>
    <w:rsid w:val="009F1410"/>
    <w:rsid w:val="009F3C56"/>
    <w:rsid w:val="009F52CD"/>
    <w:rsid w:val="009F6EE7"/>
    <w:rsid w:val="00A03D8F"/>
    <w:rsid w:val="00A26BE1"/>
    <w:rsid w:val="00A26E10"/>
    <w:rsid w:val="00A36CF7"/>
    <w:rsid w:val="00A371D2"/>
    <w:rsid w:val="00A44767"/>
    <w:rsid w:val="00A45EE5"/>
    <w:rsid w:val="00A504D9"/>
    <w:rsid w:val="00A52932"/>
    <w:rsid w:val="00A52F10"/>
    <w:rsid w:val="00A5717B"/>
    <w:rsid w:val="00A75A15"/>
    <w:rsid w:val="00A774DA"/>
    <w:rsid w:val="00A92146"/>
    <w:rsid w:val="00AA54B8"/>
    <w:rsid w:val="00AA6F2A"/>
    <w:rsid w:val="00AB3DF1"/>
    <w:rsid w:val="00AB4E92"/>
    <w:rsid w:val="00AC127C"/>
    <w:rsid w:val="00AD1EA0"/>
    <w:rsid w:val="00AD2BD2"/>
    <w:rsid w:val="00AD33AE"/>
    <w:rsid w:val="00AE3EC3"/>
    <w:rsid w:val="00AF089E"/>
    <w:rsid w:val="00AF3EB7"/>
    <w:rsid w:val="00AF49D7"/>
    <w:rsid w:val="00AF6D73"/>
    <w:rsid w:val="00B03CBF"/>
    <w:rsid w:val="00B11646"/>
    <w:rsid w:val="00B23D6A"/>
    <w:rsid w:val="00B257B0"/>
    <w:rsid w:val="00B336EE"/>
    <w:rsid w:val="00B3427C"/>
    <w:rsid w:val="00B4330D"/>
    <w:rsid w:val="00B557E1"/>
    <w:rsid w:val="00B64069"/>
    <w:rsid w:val="00BC7454"/>
    <w:rsid w:val="00C13821"/>
    <w:rsid w:val="00C20D6D"/>
    <w:rsid w:val="00C23783"/>
    <w:rsid w:val="00C57940"/>
    <w:rsid w:val="00C629A7"/>
    <w:rsid w:val="00C65303"/>
    <w:rsid w:val="00C81143"/>
    <w:rsid w:val="00C92EE7"/>
    <w:rsid w:val="00CC5EE5"/>
    <w:rsid w:val="00CC6FFF"/>
    <w:rsid w:val="00CD1E04"/>
    <w:rsid w:val="00CE69A0"/>
    <w:rsid w:val="00CF4C54"/>
    <w:rsid w:val="00D027D8"/>
    <w:rsid w:val="00D12805"/>
    <w:rsid w:val="00D12EDA"/>
    <w:rsid w:val="00D13766"/>
    <w:rsid w:val="00D23F6A"/>
    <w:rsid w:val="00D32058"/>
    <w:rsid w:val="00D37982"/>
    <w:rsid w:val="00D44212"/>
    <w:rsid w:val="00D46199"/>
    <w:rsid w:val="00D467EC"/>
    <w:rsid w:val="00D47540"/>
    <w:rsid w:val="00D47A1A"/>
    <w:rsid w:val="00D61441"/>
    <w:rsid w:val="00D66457"/>
    <w:rsid w:val="00D673E1"/>
    <w:rsid w:val="00D70891"/>
    <w:rsid w:val="00D751D4"/>
    <w:rsid w:val="00D75FB4"/>
    <w:rsid w:val="00D76F90"/>
    <w:rsid w:val="00D961ED"/>
    <w:rsid w:val="00D9712B"/>
    <w:rsid w:val="00DA5AD7"/>
    <w:rsid w:val="00DA7FFE"/>
    <w:rsid w:val="00DB2F4B"/>
    <w:rsid w:val="00DC23C5"/>
    <w:rsid w:val="00DC509E"/>
    <w:rsid w:val="00DE12E4"/>
    <w:rsid w:val="00DE3502"/>
    <w:rsid w:val="00DE45CB"/>
    <w:rsid w:val="00DE690A"/>
    <w:rsid w:val="00DF08BB"/>
    <w:rsid w:val="00E0281C"/>
    <w:rsid w:val="00E04865"/>
    <w:rsid w:val="00E10786"/>
    <w:rsid w:val="00E32B23"/>
    <w:rsid w:val="00E428D2"/>
    <w:rsid w:val="00E50F08"/>
    <w:rsid w:val="00E534F3"/>
    <w:rsid w:val="00E56101"/>
    <w:rsid w:val="00E8180E"/>
    <w:rsid w:val="00E82AF1"/>
    <w:rsid w:val="00E841A5"/>
    <w:rsid w:val="00E85A38"/>
    <w:rsid w:val="00E9680B"/>
    <w:rsid w:val="00EA2416"/>
    <w:rsid w:val="00EB013E"/>
    <w:rsid w:val="00EC1C87"/>
    <w:rsid w:val="00ED44D3"/>
    <w:rsid w:val="00EE3787"/>
    <w:rsid w:val="00EF7A29"/>
    <w:rsid w:val="00F100B8"/>
    <w:rsid w:val="00F10C06"/>
    <w:rsid w:val="00F22A26"/>
    <w:rsid w:val="00F23002"/>
    <w:rsid w:val="00F2437D"/>
    <w:rsid w:val="00F30598"/>
    <w:rsid w:val="00F3632F"/>
    <w:rsid w:val="00F37F76"/>
    <w:rsid w:val="00F45B3D"/>
    <w:rsid w:val="00F601F8"/>
    <w:rsid w:val="00F62F6C"/>
    <w:rsid w:val="00F82763"/>
    <w:rsid w:val="00F97E9E"/>
    <w:rsid w:val="00FA10E6"/>
    <w:rsid w:val="00FA28B8"/>
    <w:rsid w:val="00FB0731"/>
    <w:rsid w:val="00FB4568"/>
    <w:rsid w:val="00FB6226"/>
    <w:rsid w:val="00FD1149"/>
    <w:rsid w:val="00FE3974"/>
    <w:rsid w:val="00FF18DE"/>
    <w:rsid w:val="013FA1B3"/>
    <w:rsid w:val="01B5B03C"/>
    <w:rsid w:val="01FAA72B"/>
    <w:rsid w:val="0230D3F5"/>
    <w:rsid w:val="023B3418"/>
    <w:rsid w:val="02C56388"/>
    <w:rsid w:val="030057EE"/>
    <w:rsid w:val="03260F5A"/>
    <w:rsid w:val="03616E7B"/>
    <w:rsid w:val="03EFEEE5"/>
    <w:rsid w:val="041C8D35"/>
    <w:rsid w:val="049DB432"/>
    <w:rsid w:val="04A70D16"/>
    <w:rsid w:val="052AA105"/>
    <w:rsid w:val="05504ED1"/>
    <w:rsid w:val="055DC5A5"/>
    <w:rsid w:val="056FCAC5"/>
    <w:rsid w:val="0594EDEF"/>
    <w:rsid w:val="06430F4D"/>
    <w:rsid w:val="067DF100"/>
    <w:rsid w:val="06C1877F"/>
    <w:rsid w:val="0731A83C"/>
    <w:rsid w:val="0750F6BC"/>
    <w:rsid w:val="075B0076"/>
    <w:rsid w:val="07AABEEF"/>
    <w:rsid w:val="0801DF71"/>
    <w:rsid w:val="0827636D"/>
    <w:rsid w:val="082C6727"/>
    <w:rsid w:val="0859A799"/>
    <w:rsid w:val="08C09FDF"/>
    <w:rsid w:val="08ED2BC4"/>
    <w:rsid w:val="096FBE67"/>
    <w:rsid w:val="097719A2"/>
    <w:rsid w:val="0977BD1C"/>
    <w:rsid w:val="09A8ABA1"/>
    <w:rsid w:val="09D1159C"/>
    <w:rsid w:val="0A23BA97"/>
    <w:rsid w:val="0ABF230E"/>
    <w:rsid w:val="0B0BF997"/>
    <w:rsid w:val="0B258966"/>
    <w:rsid w:val="0B2CBED3"/>
    <w:rsid w:val="0B346E2A"/>
    <w:rsid w:val="0C537628"/>
    <w:rsid w:val="0CCC10A6"/>
    <w:rsid w:val="0CD6CA50"/>
    <w:rsid w:val="0D15CCF2"/>
    <w:rsid w:val="0D6ABA98"/>
    <w:rsid w:val="0DB1FEBC"/>
    <w:rsid w:val="0DDECDB0"/>
    <w:rsid w:val="0E073205"/>
    <w:rsid w:val="0E6BAA45"/>
    <w:rsid w:val="0EA1DD16"/>
    <w:rsid w:val="0EBC7F36"/>
    <w:rsid w:val="0ECFF990"/>
    <w:rsid w:val="0F01E7C2"/>
    <w:rsid w:val="0F4DC227"/>
    <w:rsid w:val="0FA19D3A"/>
    <w:rsid w:val="0FA87781"/>
    <w:rsid w:val="103F5A0B"/>
    <w:rsid w:val="10D436C2"/>
    <w:rsid w:val="11703F4A"/>
    <w:rsid w:val="11BEA408"/>
    <w:rsid w:val="12927A73"/>
    <w:rsid w:val="1347576A"/>
    <w:rsid w:val="1362F2D7"/>
    <w:rsid w:val="1377C41B"/>
    <w:rsid w:val="142D1BE4"/>
    <w:rsid w:val="144BFAB6"/>
    <w:rsid w:val="14599E94"/>
    <w:rsid w:val="145A4C37"/>
    <w:rsid w:val="147574F6"/>
    <w:rsid w:val="14BF83DC"/>
    <w:rsid w:val="14DE12F7"/>
    <w:rsid w:val="1500C60E"/>
    <w:rsid w:val="15D732BF"/>
    <w:rsid w:val="16872EA9"/>
    <w:rsid w:val="16B7862A"/>
    <w:rsid w:val="16DD5F79"/>
    <w:rsid w:val="16F9EB72"/>
    <w:rsid w:val="1727FC47"/>
    <w:rsid w:val="173AC172"/>
    <w:rsid w:val="173EE261"/>
    <w:rsid w:val="17B109A3"/>
    <w:rsid w:val="1836068D"/>
    <w:rsid w:val="18427F65"/>
    <w:rsid w:val="184759F3"/>
    <w:rsid w:val="1906E6F6"/>
    <w:rsid w:val="194A0CE5"/>
    <w:rsid w:val="199D2473"/>
    <w:rsid w:val="19A407E9"/>
    <w:rsid w:val="1A5E250F"/>
    <w:rsid w:val="1A695216"/>
    <w:rsid w:val="1AB38D87"/>
    <w:rsid w:val="1ABA318B"/>
    <w:rsid w:val="1B20EE71"/>
    <w:rsid w:val="1B228CA0"/>
    <w:rsid w:val="1B5A9FCC"/>
    <w:rsid w:val="1B9C1348"/>
    <w:rsid w:val="1BAB80BD"/>
    <w:rsid w:val="1BD74D42"/>
    <w:rsid w:val="1C4A3FDF"/>
    <w:rsid w:val="1D26C7AE"/>
    <w:rsid w:val="1E1300CC"/>
    <w:rsid w:val="1E29D83F"/>
    <w:rsid w:val="1E690DB2"/>
    <w:rsid w:val="1E888F03"/>
    <w:rsid w:val="1E8F7279"/>
    <w:rsid w:val="1E98988C"/>
    <w:rsid w:val="1EA96FB2"/>
    <w:rsid w:val="1EAE3A94"/>
    <w:rsid w:val="1F495CCE"/>
    <w:rsid w:val="1F97F841"/>
    <w:rsid w:val="1F9C02BF"/>
    <w:rsid w:val="1FB65B02"/>
    <w:rsid w:val="1FBB513F"/>
    <w:rsid w:val="1FC8CD70"/>
    <w:rsid w:val="1FECD7B0"/>
    <w:rsid w:val="200DC45F"/>
    <w:rsid w:val="204571EE"/>
    <w:rsid w:val="208B96D2"/>
    <w:rsid w:val="20D0BDA3"/>
    <w:rsid w:val="21A22982"/>
    <w:rsid w:val="21B61ECD"/>
    <w:rsid w:val="21C25876"/>
    <w:rsid w:val="2209990E"/>
    <w:rsid w:val="22923867"/>
    <w:rsid w:val="22DEEA0B"/>
    <w:rsid w:val="22FC735B"/>
    <w:rsid w:val="2368A518"/>
    <w:rsid w:val="2376C5B7"/>
    <w:rsid w:val="2383D04B"/>
    <w:rsid w:val="23A77C57"/>
    <w:rsid w:val="23ADCED8"/>
    <w:rsid w:val="23F13B71"/>
    <w:rsid w:val="2410EFEF"/>
    <w:rsid w:val="242EA040"/>
    <w:rsid w:val="2518B136"/>
    <w:rsid w:val="2533DB73"/>
    <w:rsid w:val="253DAB0C"/>
    <w:rsid w:val="254412C2"/>
    <w:rsid w:val="25C9A753"/>
    <w:rsid w:val="267A6B95"/>
    <w:rsid w:val="2681F379"/>
    <w:rsid w:val="26B2D6DF"/>
    <w:rsid w:val="270ABF5D"/>
    <w:rsid w:val="272C5334"/>
    <w:rsid w:val="274204EC"/>
    <w:rsid w:val="2765DC5B"/>
    <w:rsid w:val="2783CA15"/>
    <w:rsid w:val="280F4B8A"/>
    <w:rsid w:val="28EC50F6"/>
    <w:rsid w:val="291FFF1D"/>
    <w:rsid w:val="299092C8"/>
    <w:rsid w:val="2A640A21"/>
    <w:rsid w:val="2ABCA07E"/>
    <w:rsid w:val="2B0A83F8"/>
    <w:rsid w:val="2B6C6EE0"/>
    <w:rsid w:val="2B7EF2EF"/>
    <w:rsid w:val="2B996C62"/>
    <w:rsid w:val="2BBBBA26"/>
    <w:rsid w:val="2BDA4C3A"/>
    <w:rsid w:val="2D03A95C"/>
    <w:rsid w:val="2D734346"/>
    <w:rsid w:val="2DCF98D1"/>
    <w:rsid w:val="2E4D6B44"/>
    <w:rsid w:val="2E659782"/>
    <w:rsid w:val="2E8B7EBD"/>
    <w:rsid w:val="2EAC2CA0"/>
    <w:rsid w:val="2F1C63D4"/>
    <w:rsid w:val="2F52909A"/>
    <w:rsid w:val="2F8758DC"/>
    <w:rsid w:val="30410C95"/>
    <w:rsid w:val="30423A8A"/>
    <w:rsid w:val="3067090A"/>
    <w:rsid w:val="307FA995"/>
    <w:rsid w:val="3137F7AC"/>
    <w:rsid w:val="317D1F7B"/>
    <w:rsid w:val="31BBCA75"/>
    <w:rsid w:val="31C6A9F1"/>
    <w:rsid w:val="322C82F7"/>
    <w:rsid w:val="32521E5F"/>
    <w:rsid w:val="32762511"/>
    <w:rsid w:val="3356F65F"/>
    <w:rsid w:val="33832E81"/>
    <w:rsid w:val="33BB3BCE"/>
    <w:rsid w:val="33E9D77F"/>
    <w:rsid w:val="33F3D9E9"/>
    <w:rsid w:val="345FDA0D"/>
    <w:rsid w:val="34A86261"/>
    <w:rsid w:val="34E3F703"/>
    <w:rsid w:val="34E69FC2"/>
    <w:rsid w:val="34F5163E"/>
    <w:rsid w:val="3552EE22"/>
    <w:rsid w:val="35F662C9"/>
    <w:rsid w:val="37464BCF"/>
    <w:rsid w:val="37A784C2"/>
    <w:rsid w:val="37A83C54"/>
    <w:rsid w:val="38305BCF"/>
    <w:rsid w:val="3852DC15"/>
    <w:rsid w:val="387CA7D1"/>
    <w:rsid w:val="38A75FD2"/>
    <w:rsid w:val="38AAD87F"/>
    <w:rsid w:val="38C74B0C"/>
    <w:rsid w:val="38F1CE08"/>
    <w:rsid w:val="38F9BDEC"/>
    <w:rsid w:val="390C41FB"/>
    <w:rsid w:val="397B3692"/>
    <w:rsid w:val="39951619"/>
    <w:rsid w:val="39AE704C"/>
    <w:rsid w:val="39F3673B"/>
    <w:rsid w:val="39FF68B4"/>
    <w:rsid w:val="3A040B95"/>
    <w:rsid w:val="3A54704C"/>
    <w:rsid w:val="3A837C37"/>
    <w:rsid w:val="3A84DCFD"/>
    <w:rsid w:val="3AB1DA7F"/>
    <w:rsid w:val="3AE0DE30"/>
    <w:rsid w:val="3B0FEE38"/>
    <w:rsid w:val="3B5DAE9F"/>
    <w:rsid w:val="3BC192EE"/>
    <w:rsid w:val="3BCDC7CC"/>
    <w:rsid w:val="3C001151"/>
    <w:rsid w:val="3C19BCF2"/>
    <w:rsid w:val="3C631C4B"/>
    <w:rsid w:val="3C8967A1"/>
    <w:rsid w:val="3C89EAFB"/>
    <w:rsid w:val="3C8BB163"/>
    <w:rsid w:val="3C9799FD"/>
    <w:rsid w:val="3CA90FEC"/>
    <w:rsid w:val="3CB59E51"/>
    <w:rsid w:val="3CEBA0B4"/>
    <w:rsid w:val="3D111652"/>
    <w:rsid w:val="3D3097A3"/>
    <w:rsid w:val="3D429CC3"/>
    <w:rsid w:val="3DD41285"/>
    <w:rsid w:val="3E46E64D"/>
    <w:rsid w:val="3EE67DA1"/>
    <w:rsid w:val="3F2556E6"/>
    <w:rsid w:val="3F41BC18"/>
    <w:rsid w:val="3F753F64"/>
    <w:rsid w:val="3F81D5FE"/>
    <w:rsid w:val="3F937116"/>
    <w:rsid w:val="3FA0A60B"/>
    <w:rsid w:val="3FB85320"/>
    <w:rsid w:val="40024035"/>
    <w:rsid w:val="411EBF1E"/>
    <w:rsid w:val="412124B2"/>
    <w:rsid w:val="41ABABF1"/>
    <w:rsid w:val="41C50624"/>
    <w:rsid w:val="41D6D873"/>
    <w:rsid w:val="41EF3BF8"/>
    <w:rsid w:val="42238A17"/>
    <w:rsid w:val="42F23C13"/>
    <w:rsid w:val="437806A4"/>
    <w:rsid w:val="439A0C0D"/>
    <w:rsid w:val="43C9BD4F"/>
    <w:rsid w:val="43D6C963"/>
    <w:rsid w:val="43E94D72"/>
    <w:rsid w:val="445045B8"/>
    <w:rsid w:val="446398EF"/>
    <w:rsid w:val="448E9AD2"/>
    <w:rsid w:val="44DA3396"/>
    <w:rsid w:val="44DAEFEE"/>
    <w:rsid w:val="44F81739"/>
    <w:rsid w:val="451A62CA"/>
    <w:rsid w:val="46310012"/>
    <w:rsid w:val="464ACA7F"/>
    <w:rsid w:val="46B75320"/>
    <w:rsid w:val="46DA6F41"/>
    <w:rsid w:val="472E0173"/>
    <w:rsid w:val="473BBF58"/>
    <w:rsid w:val="47AC5303"/>
    <w:rsid w:val="480C7525"/>
    <w:rsid w:val="4858F3F8"/>
    <w:rsid w:val="489D3D44"/>
    <w:rsid w:val="4921B1A7"/>
    <w:rsid w:val="49551A6D"/>
    <w:rsid w:val="497491FF"/>
    <w:rsid w:val="4A671D71"/>
    <w:rsid w:val="4AC11875"/>
    <w:rsid w:val="4B17E1B3"/>
    <w:rsid w:val="4B616191"/>
    <w:rsid w:val="4BDBCE72"/>
    <w:rsid w:val="4BE82746"/>
    <w:rsid w:val="4C666AE9"/>
    <w:rsid w:val="4C6A8D40"/>
    <w:rsid w:val="4C7F9346"/>
    <w:rsid w:val="4CBB204A"/>
    <w:rsid w:val="4CFE794A"/>
    <w:rsid w:val="4D0B12CA"/>
    <w:rsid w:val="4D541939"/>
    <w:rsid w:val="4DB0FCE3"/>
    <w:rsid w:val="4E3292CB"/>
    <w:rsid w:val="4E7F10A8"/>
    <w:rsid w:val="4FB28DCE"/>
    <w:rsid w:val="4FDA34A5"/>
    <w:rsid w:val="50817F07"/>
    <w:rsid w:val="50D53005"/>
    <w:rsid w:val="511A59C5"/>
    <w:rsid w:val="519F814B"/>
    <w:rsid w:val="522A1397"/>
    <w:rsid w:val="52471804"/>
    <w:rsid w:val="5262BAE7"/>
    <w:rsid w:val="527C151A"/>
    <w:rsid w:val="52DD99F3"/>
    <w:rsid w:val="52E99F97"/>
    <w:rsid w:val="540A9B20"/>
    <w:rsid w:val="543719B3"/>
    <w:rsid w:val="546F300B"/>
    <w:rsid w:val="54796A54"/>
    <w:rsid w:val="54BAD5DB"/>
    <w:rsid w:val="54DC9180"/>
    <w:rsid w:val="551B61FC"/>
    <w:rsid w:val="55293086"/>
    <w:rsid w:val="55744E93"/>
    <w:rsid w:val="55D87978"/>
    <w:rsid w:val="56153AB5"/>
    <w:rsid w:val="56704A81"/>
    <w:rsid w:val="567FC3C9"/>
    <w:rsid w:val="56820331"/>
    <w:rsid w:val="568534F7"/>
    <w:rsid w:val="56873C0E"/>
    <w:rsid w:val="56F1024A"/>
    <w:rsid w:val="56F37CD0"/>
    <w:rsid w:val="579A3EA8"/>
    <w:rsid w:val="57B1F191"/>
    <w:rsid w:val="58441F74"/>
    <w:rsid w:val="58445651"/>
    <w:rsid w:val="589653C8"/>
    <w:rsid w:val="58CAD92E"/>
    <w:rsid w:val="59A86821"/>
    <w:rsid w:val="59CAFF71"/>
    <w:rsid w:val="59F30B5C"/>
    <w:rsid w:val="5A2C9483"/>
    <w:rsid w:val="5AB6A99F"/>
    <w:rsid w:val="5AE8ABD8"/>
    <w:rsid w:val="5AF72332"/>
    <w:rsid w:val="5B2BA898"/>
    <w:rsid w:val="5C7B85F4"/>
    <w:rsid w:val="5C81531A"/>
    <w:rsid w:val="5C8E24E2"/>
    <w:rsid w:val="5CD04C73"/>
    <w:rsid w:val="5D572949"/>
    <w:rsid w:val="5DEC14B6"/>
    <w:rsid w:val="5E748431"/>
    <w:rsid w:val="5EBCACE6"/>
    <w:rsid w:val="5F0C2207"/>
    <w:rsid w:val="5F1E64FD"/>
    <w:rsid w:val="5F8FE7D1"/>
    <w:rsid w:val="5FA51133"/>
    <w:rsid w:val="5FB4E29D"/>
    <w:rsid w:val="5FCF5C10"/>
    <w:rsid w:val="601069F8"/>
    <w:rsid w:val="601DA89D"/>
    <w:rsid w:val="6067B548"/>
    <w:rsid w:val="6098CB7F"/>
    <w:rsid w:val="60A7F268"/>
    <w:rsid w:val="60C34E7B"/>
    <w:rsid w:val="60C67134"/>
    <w:rsid w:val="6106A73B"/>
    <w:rsid w:val="618818CA"/>
    <w:rsid w:val="61895281"/>
    <w:rsid w:val="629963D5"/>
    <w:rsid w:val="630137FD"/>
    <w:rsid w:val="6314D0B4"/>
    <w:rsid w:val="63287403"/>
    <w:rsid w:val="6366D9D9"/>
    <w:rsid w:val="63C66ACD"/>
    <w:rsid w:val="63DF932A"/>
    <w:rsid w:val="63F8B996"/>
    <w:rsid w:val="643C4FBF"/>
    <w:rsid w:val="6443A4D2"/>
    <w:rsid w:val="6523C544"/>
    <w:rsid w:val="6586B615"/>
    <w:rsid w:val="6589109C"/>
    <w:rsid w:val="65ED8C7D"/>
    <w:rsid w:val="660F0C65"/>
    <w:rsid w:val="6658283A"/>
    <w:rsid w:val="66F0F30F"/>
    <w:rsid w:val="671733EC"/>
    <w:rsid w:val="676FDE5B"/>
    <w:rsid w:val="678CB77C"/>
    <w:rsid w:val="67BFD7DC"/>
    <w:rsid w:val="67D50EC2"/>
    <w:rsid w:val="6825B0E2"/>
    <w:rsid w:val="687E4B20"/>
    <w:rsid w:val="68A5A69D"/>
    <w:rsid w:val="68B3044D"/>
    <w:rsid w:val="692133B0"/>
    <w:rsid w:val="69C1AC14"/>
    <w:rsid w:val="69D1331B"/>
    <w:rsid w:val="69E00675"/>
    <w:rsid w:val="69E16709"/>
    <w:rsid w:val="6A0721D3"/>
    <w:rsid w:val="6A6603D2"/>
    <w:rsid w:val="6B0B1368"/>
    <w:rsid w:val="6B0B7052"/>
    <w:rsid w:val="6B0C180C"/>
    <w:rsid w:val="6C182546"/>
    <w:rsid w:val="6C9348FF"/>
    <w:rsid w:val="6D4117E9"/>
    <w:rsid w:val="6D461208"/>
    <w:rsid w:val="6D8C0325"/>
    <w:rsid w:val="6D9DA494"/>
    <w:rsid w:val="6DF07B65"/>
    <w:rsid w:val="6E432156"/>
    <w:rsid w:val="6E77A6BC"/>
    <w:rsid w:val="6E8FA029"/>
    <w:rsid w:val="6ED7EF96"/>
    <w:rsid w:val="6ED991A4"/>
    <w:rsid w:val="6F01949A"/>
    <w:rsid w:val="6F6D61ED"/>
    <w:rsid w:val="6FA4DCAB"/>
    <w:rsid w:val="70418D64"/>
    <w:rsid w:val="706AA502"/>
    <w:rsid w:val="70CBAE13"/>
    <w:rsid w:val="70E28DC0"/>
    <w:rsid w:val="70ECE9F6"/>
    <w:rsid w:val="7117FA15"/>
    <w:rsid w:val="713A2E3D"/>
    <w:rsid w:val="718608A2"/>
    <w:rsid w:val="71B92D42"/>
    <w:rsid w:val="71D28775"/>
    <w:rsid w:val="71F45B13"/>
    <w:rsid w:val="720FF680"/>
    <w:rsid w:val="72461A15"/>
    <w:rsid w:val="72500AD9"/>
    <w:rsid w:val="72737567"/>
    <w:rsid w:val="739A39A9"/>
    <w:rsid w:val="739ACAD6"/>
    <w:rsid w:val="73A08057"/>
    <w:rsid w:val="73AACAC2"/>
    <w:rsid w:val="740DAE70"/>
    <w:rsid w:val="745EF39B"/>
    <w:rsid w:val="751D66DF"/>
    <w:rsid w:val="753C828E"/>
    <w:rsid w:val="75672421"/>
    <w:rsid w:val="7574301D"/>
    <w:rsid w:val="75804C7E"/>
    <w:rsid w:val="762A7223"/>
    <w:rsid w:val="764A69FD"/>
    <w:rsid w:val="76B2C821"/>
    <w:rsid w:val="76D3CBF1"/>
    <w:rsid w:val="76D4FC49"/>
    <w:rsid w:val="771C1CDF"/>
    <w:rsid w:val="7744B7BA"/>
    <w:rsid w:val="775F6A79"/>
    <w:rsid w:val="78290DF2"/>
    <w:rsid w:val="784821ED"/>
    <w:rsid w:val="79B066EB"/>
    <w:rsid w:val="7A9F5B0A"/>
    <w:rsid w:val="7AAEE5A4"/>
    <w:rsid w:val="7B50FFC0"/>
    <w:rsid w:val="7BB0416E"/>
    <w:rsid w:val="7BE9CA95"/>
    <w:rsid w:val="7BEF14FA"/>
    <w:rsid w:val="7BEF8E02"/>
    <w:rsid w:val="7C63EFA6"/>
    <w:rsid w:val="7D411BF6"/>
    <w:rsid w:val="7DA4BB7D"/>
    <w:rsid w:val="7DB2FD1F"/>
    <w:rsid w:val="7E0A03C6"/>
    <w:rsid w:val="7E57A6F1"/>
    <w:rsid w:val="7E86B227"/>
    <w:rsid w:val="7EBB2DAA"/>
    <w:rsid w:val="7EBFF565"/>
    <w:rsid w:val="7EDBDCF0"/>
    <w:rsid w:val="7F8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B5C6"/>
  <w15:chartTrackingRefBased/>
  <w15:docId w15:val="{43F20AB8-983F-42A5-A4D1-D207AB0A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D0E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87D0E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81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9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1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2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59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58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96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7BD5BF8DF5948BFAC02A97A84F912" ma:contentTypeVersion="7" ma:contentTypeDescription="Create a new document." ma:contentTypeScope="" ma:versionID="5e117b57e83b236df95521497188361a">
  <xsd:schema xmlns:xsd="http://www.w3.org/2001/XMLSchema" xmlns:xs="http://www.w3.org/2001/XMLSchema" xmlns:p="http://schemas.microsoft.com/office/2006/metadata/properties" xmlns:ns2="53cbdd1f-755f-469a-957a-b901818cd289" xmlns:ns3="3c3614bb-7d21-483f-a555-ff48b6b15c12" targetNamespace="http://schemas.microsoft.com/office/2006/metadata/properties" ma:root="true" ma:fieldsID="c2765cba08bad8550de8449132936b5f" ns2:_="" ns3:_="">
    <xsd:import namespace="53cbdd1f-755f-469a-957a-b901818cd289"/>
    <xsd:import namespace="3c3614bb-7d21-483f-a555-ff48b6b1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dd1f-755f-469a-957a-b901818cd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14bb-7d21-483f-a555-ff48b6b15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3614bb-7d21-483f-a555-ff48b6b15c12">
      <UserInfo>
        <DisplayName>Marsilio Adriani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B0A0D9-AFF6-483C-A3B7-FB16EB076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bdd1f-755f-469a-957a-b901818cd289"/>
    <ds:schemaRef ds:uri="3c3614bb-7d21-483f-a555-ff48b6b15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2A95B-3A5F-41D0-8A74-F8405A815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35642-0E14-412B-802D-F3D5B70D36DB}">
  <ds:schemaRefs>
    <ds:schemaRef ds:uri="http://schemas.microsoft.com/office/2006/metadata/properties"/>
    <ds:schemaRef ds:uri="http://schemas.microsoft.com/office/infopath/2007/PartnerControls"/>
    <ds:schemaRef ds:uri="3c3614bb-7d21-483f-a555-ff48b6b15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405</Words>
  <Characters>2532</Characters>
  <Application>Microsoft Office Word</Application>
  <DocSecurity>0</DocSecurity>
  <Lines>48</Lines>
  <Paragraphs>11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Marsilio Adriani</dc:creator>
  <cp:keywords/>
  <dc:description/>
  <cp:lastModifiedBy>Mark Lythgoe</cp:lastModifiedBy>
  <cp:revision>7</cp:revision>
  <dcterms:created xsi:type="dcterms:W3CDTF">2021-05-13T16:38:00Z</dcterms:created>
  <dcterms:modified xsi:type="dcterms:W3CDTF">2021-05-13T21:16:00Z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0x010100E3C7BD5BF8DF5948BFAC02A97A84F912</vt:lpwstr>
  </property>
</Properties>
</file>