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53352" w14:textId="77777777" w:rsidR="00E757C6" w:rsidRDefault="00E757C6" w:rsidP="00E757C6">
      <w:pPr>
        <w:spacing w:after="0" w:line="360" w:lineRule="auto"/>
        <w:rPr>
          <w:rFonts w:ascii="Arial" w:hAnsi="Arial" w:cs="Arial"/>
          <w:i/>
        </w:rPr>
      </w:pPr>
      <w:r w:rsidRPr="00523E82">
        <w:rPr>
          <w:rFonts w:ascii="Arial" w:hAnsi="Arial" w:cs="Arial"/>
          <w:i/>
        </w:rPr>
        <w:t>Letter to the Editor</w:t>
      </w:r>
    </w:p>
    <w:p w14:paraId="74708489" w14:textId="77777777" w:rsidR="00E757C6" w:rsidRDefault="00E757C6" w:rsidP="00491237">
      <w:pPr>
        <w:spacing w:after="0" w:line="360" w:lineRule="auto"/>
        <w:rPr>
          <w:rFonts w:cs="Arial"/>
          <w:b/>
        </w:rPr>
      </w:pPr>
    </w:p>
    <w:p w14:paraId="52296D23" w14:textId="7061D68B" w:rsidR="000E24A0" w:rsidRPr="00E757C6" w:rsidRDefault="000E24A0" w:rsidP="00491237">
      <w:pPr>
        <w:spacing w:after="0" w:line="360" w:lineRule="auto"/>
        <w:rPr>
          <w:rFonts w:ascii="Arial" w:hAnsi="Arial" w:cs="Arial"/>
          <w:b/>
        </w:rPr>
      </w:pPr>
      <w:r w:rsidRPr="00E757C6">
        <w:rPr>
          <w:rFonts w:ascii="Arial" w:hAnsi="Arial" w:cs="Arial"/>
          <w:b/>
        </w:rPr>
        <w:t xml:space="preserve">Characterising differential antibody relationship is integral to future SARS-CoV-2 </w:t>
      </w:r>
      <w:proofErr w:type="spellStart"/>
      <w:r w:rsidRPr="00E757C6">
        <w:rPr>
          <w:rFonts w:ascii="Arial" w:hAnsi="Arial" w:cs="Arial"/>
          <w:b/>
        </w:rPr>
        <w:t>serostudies</w:t>
      </w:r>
      <w:proofErr w:type="spellEnd"/>
    </w:p>
    <w:p w14:paraId="13987A95" w14:textId="09AAF542" w:rsidR="000E24A0" w:rsidRPr="00E757C6" w:rsidRDefault="000E24A0" w:rsidP="00491237">
      <w:pPr>
        <w:spacing w:after="0" w:line="360" w:lineRule="auto"/>
        <w:rPr>
          <w:rFonts w:ascii="Arial" w:hAnsi="Arial" w:cs="Arial"/>
          <w:b/>
        </w:rPr>
      </w:pPr>
    </w:p>
    <w:p w14:paraId="7E8F8CFC" w14:textId="79100B5E" w:rsidR="000E24A0" w:rsidRPr="00E757C6" w:rsidRDefault="000E24A0" w:rsidP="00491237">
      <w:pPr>
        <w:spacing w:after="0" w:line="360" w:lineRule="auto"/>
        <w:rPr>
          <w:rFonts w:ascii="Arial" w:hAnsi="Arial" w:cs="Arial"/>
          <w:bCs/>
          <w:vertAlign w:val="superscript"/>
        </w:rPr>
      </w:pPr>
      <w:r w:rsidRPr="00E757C6">
        <w:rPr>
          <w:rFonts w:ascii="Arial" w:hAnsi="Arial" w:cs="Arial"/>
          <w:bCs/>
        </w:rPr>
        <w:t>Scott JC Pallett</w:t>
      </w:r>
      <w:r w:rsidR="00CC6C3F" w:rsidRPr="00E757C6">
        <w:rPr>
          <w:rFonts w:ascii="Arial" w:hAnsi="Arial" w:cs="Arial"/>
          <w:bCs/>
        </w:rPr>
        <w:t>,</w:t>
      </w:r>
      <w:r w:rsidR="008A57A7" w:rsidRPr="00E757C6">
        <w:rPr>
          <w:rFonts w:ascii="Arial" w:hAnsi="Arial" w:cs="Arial"/>
          <w:bCs/>
          <w:vertAlign w:val="superscript"/>
        </w:rPr>
        <w:t>1,2</w:t>
      </w:r>
    </w:p>
    <w:p w14:paraId="74B0650A" w14:textId="0DAF6296" w:rsidR="000E24A0" w:rsidRPr="00E757C6" w:rsidRDefault="008A57A7" w:rsidP="00491237">
      <w:pPr>
        <w:spacing w:after="0" w:line="360" w:lineRule="auto"/>
        <w:rPr>
          <w:rFonts w:ascii="Arial" w:hAnsi="Arial" w:cs="Arial"/>
          <w:bCs/>
          <w:iCs/>
          <w:vertAlign w:val="superscript"/>
        </w:rPr>
      </w:pPr>
      <w:r w:rsidRPr="00E757C6">
        <w:rPr>
          <w:rFonts w:ascii="Arial" w:hAnsi="Arial" w:cs="Arial"/>
          <w:bCs/>
          <w:iCs/>
        </w:rPr>
        <w:t>Rachael Jones</w:t>
      </w:r>
      <w:r w:rsidR="00CC6C3F" w:rsidRPr="00E757C6">
        <w:rPr>
          <w:rFonts w:ascii="Arial" w:hAnsi="Arial" w:cs="Arial"/>
          <w:bCs/>
          <w:iCs/>
        </w:rPr>
        <w:t>,</w:t>
      </w:r>
      <w:r w:rsidR="00CC6C3F" w:rsidRPr="00E757C6">
        <w:rPr>
          <w:rFonts w:ascii="Arial" w:hAnsi="Arial" w:cs="Arial"/>
          <w:bCs/>
          <w:iCs/>
          <w:vertAlign w:val="superscript"/>
        </w:rPr>
        <w:t>1</w:t>
      </w:r>
    </w:p>
    <w:p w14:paraId="1B42EA9C" w14:textId="34328E22" w:rsidR="008A57A7" w:rsidRPr="00E757C6" w:rsidRDefault="008A57A7" w:rsidP="00491237">
      <w:pPr>
        <w:spacing w:after="0" w:line="360" w:lineRule="auto"/>
        <w:rPr>
          <w:rFonts w:ascii="Arial" w:hAnsi="Arial" w:cs="Arial"/>
          <w:bCs/>
          <w:iCs/>
        </w:rPr>
      </w:pPr>
      <w:r w:rsidRPr="00E757C6">
        <w:rPr>
          <w:rFonts w:ascii="Arial" w:hAnsi="Arial" w:cs="Arial"/>
          <w:bCs/>
          <w:iCs/>
        </w:rPr>
        <w:t>Mitchell A Pallett</w:t>
      </w:r>
      <w:r w:rsidR="00CC6C3F" w:rsidRPr="00E757C6">
        <w:rPr>
          <w:rFonts w:ascii="Arial" w:hAnsi="Arial" w:cs="Arial"/>
          <w:bCs/>
          <w:iCs/>
        </w:rPr>
        <w:t>,</w:t>
      </w:r>
      <w:r w:rsidR="00CC6C3F" w:rsidRPr="00E757C6">
        <w:rPr>
          <w:rFonts w:ascii="Arial" w:hAnsi="Arial" w:cs="Arial"/>
          <w:bCs/>
          <w:iCs/>
          <w:vertAlign w:val="superscript"/>
        </w:rPr>
        <w:t>3</w:t>
      </w:r>
    </w:p>
    <w:p w14:paraId="771783AA" w14:textId="266A4552" w:rsidR="008A57A7" w:rsidRPr="00E757C6" w:rsidRDefault="008A57A7" w:rsidP="00491237">
      <w:pPr>
        <w:spacing w:after="0" w:line="360" w:lineRule="auto"/>
        <w:rPr>
          <w:rFonts w:ascii="Arial" w:hAnsi="Arial" w:cs="Arial"/>
          <w:bCs/>
          <w:iCs/>
        </w:rPr>
      </w:pPr>
      <w:r w:rsidRPr="00E757C6">
        <w:rPr>
          <w:rFonts w:ascii="Arial" w:hAnsi="Arial" w:cs="Arial"/>
          <w:bCs/>
          <w:iCs/>
        </w:rPr>
        <w:t>Michael Rayment</w:t>
      </w:r>
      <w:r w:rsidR="00CC6C3F" w:rsidRPr="00E757C6">
        <w:rPr>
          <w:rFonts w:ascii="Arial" w:hAnsi="Arial" w:cs="Arial"/>
          <w:bCs/>
          <w:iCs/>
        </w:rPr>
        <w:t>,</w:t>
      </w:r>
      <w:r w:rsidR="00CC6C3F" w:rsidRPr="00E757C6">
        <w:rPr>
          <w:rFonts w:ascii="Arial" w:hAnsi="Arial" w:cs="Arial"/>
          <w:bCs/>
          <w:iCs/>
          <w:vertAlign w:val="superscript"/>
        </w:rPr>
        <w:t>1</w:t>
      </w:r>
    </w:p>
    <w:p w14:paraId="610F7F80" w14:textId="47A5B0FD" w:rsidR="008A57A7" w:rsidRPr="00E757C6" w:rsidRDefault="008A57A7" w:rsidP="00491237">
      <w:pPr>
        <w:spacing w:after="0" w:line="360" w:lineRule="auto"/>
        <w:rPr>
          <w:rFonts w:ascii="Arial" w:hAnsi="Arial" w:cs="Arial"/>
          <w:bCs/>
          <w:iCs/>
        </w:rPr>
      </w:pPr>
      <w:r w:rsidRPr="00E757C6">
        <w:rPr>
          <w:rFonts w:ascii="Arial" w:hAnsi="Arial" w:cs="Arial"/>
          <w:bCs/>
          <w:iCs/>
        </w:rPr>
        <w:t>Nabeela Mughal</w:t>
      </w:r>
      <w:r w:rsidR="00CC6C3F" w:rsidRPr="00E757C6">
        <w:rPr>
          <w:rFonts w:ascii="Arial" w:hAnsi="Arial" w:cs="Arial"/>
          <w:bCs/>
          <w:iCs/>
        </w:rPr>
        <w:t>,</w:t>
      </w:r>
      <w:r w:rsidR="00CC6C3F" w:rsidRPr="00E757C6">
        <w:rPr>
          <w:rFonts w:ascii="Arial" w:hAnsi="Arial" w:cs="Arial"/>
          <w:bCs/>
          <w:iCs/>
          <w:vertAlign w:val="superscript"/>
        </w:rPr>
        <w:t>1</w:t>
      </w:r>
      <w:r w:rsidR="00E757C6">
        <w:rPr>
          <w:rFonts w:ascii="Arial" w:hAnsi="Arial" w:cs="Arial"/>
          <w:bCs/>
          <w:iCs/>
          <w:vertAlign w:val="superscript"/>
        </w:rPr>
        <w:t>,4</w:t>
      </w:r>
    </w:p>
    <w:p w14:paraId="44430DB6" w14:textId="5AED0313" w:rsidR="008A57A7" w:rsidRPr="00E757C6" w:rsidRDefault="008A57A7" w:rsidP="00491237">
      <w:pPr>
        <w:spacing w:after="0" w:line="360" w:lineRule="auto"/>
        <w:rPr>
          <w:rFonts w:ascii="Arial" w:hAnsi="Arial" w:cs="Arial"/>
          <w:bCs/>
          <w:iCs/>
          <w:vertAlign w:val="superscript"/>
        </w:rPr>
      </w:pPr>
      <w:r w:rsidRPr="00E757C6">
        <w:rPr>
          <w:rFonts w:ascii="Arial" w:hAnsi="Arial" w:cs="Arial"/>
          <w:bCs/>
          <w:iCs/>
        </w:rPr>
        <w:t>Gary W Davies</w:t>
      </w:r>
      <w:r w:rsidR="00E757C6">
        <w:rPr>
          <w:rFonts w:ascii="Arial" w:hAnsi="Arial" w:cs="Arial"/>
          <w:bCs/>
          <w:iCs/>
        </w:rPr>
        <w:t>,</w:t>
      </w:r>
      <w:r w:rsidR="00E757C6">
        <w:rPr>
          <w:rFonts w:ascii="Arial" w:hAnsi="Arial" w:cs="Arial"/>
          <w:bCs/>
          <w:iCs/>
          <w:vertAlign w:val="superscript"/>
        </w:rPr>
        <w:t>2</w:t>
      </w:r>
    </w:p>
    <w:p w14:paraId="7FCCC7A3" w14:textId="5570F41A" w:rsidR="008A57A7" w:rsidRPr="00E757C6" w:rsidRDefault="008A57A7" w:rsidP="00491237">
      <w:pPr>
        <w:spacing w:after="0" w:line="360" w:lineRule="auto"/>
        <w:rPr>
          <w:rFonts w:ascii="Arial" w:hAnsi="Arial" w:cs="Arial"/>
          <w:iCs/>
          <w:vertAlign w:val="superscript"/>
        </w:rPr>
      </w:pPr>
      <w:r w:rsidRPr="00E757C6">
        <w:rPr>
          <w:rFonts w:ascii="Arial" w:hAnsi="Arial" w:cs="Arial"/>
          <w:bCs/>
          <w:iCs/>
        </w:rPr>
        <w:t>Luke SP Moore</w:t>
      </w:r>
      <w:r w:rsidRPr="00E757C6">
        <w:rPr>
          <w:rFonts w:ascii="Arial" w:hAnsi="Arial" w:cs="Arial"/>
          <w:iCs/>
        </w:rPr>
        <w:t>.</w:t>
      </w:r>
      <w:r w:rsidR="00E757C6">
        <w:rPr>
          <w:rFonts w:ascii="Arial" w:hAnsi="Arial" w:cs="Arial"/>
          <w:iCs/>
          <w:vertAlign w:val="superscript"/>
        </w:rPr>
        <w:t>2,4,5</w:t>
      </w:r>
    </w:p>
    <w:p w14:paraId="36FA12A4" w14:textId="050F40BD" w:rsidR="008A57A7" w:rsidRDefault="008A57A7" w:rsidP="00491237">
      <w:pPr>
        <w:spacing w:after="0" w:line="360" w:lineRule="auto"/>
        <w:rPr>
          <w:rFonts w:ascii="Arial" w:hAnsi="Arial" w:cs="Arial"/>
          <w:iCs/>
        </w:rPr>
      </w:pPr>
    </w:p>
    <w:p w14:paraId="35A8408E" w14:textId="46B1ED7D" w:rsidR="000E24A0" w:rsidRDefault="00E757C6" w:rsidP="00491237">
      <w:pPr>
        <w:spacing w:after="0" w:line="360" w:lineRule="auto"/>
        <w:rPr>
          <w:rFonts w:ascii="Arial" w:hAnsi="Arial" w:cs="Arial"/>
          <w:i/>
        </w:rPr>
      </w:pPr>
      <w:r w:rsidRPr="00E757C6">
        <w:rPr>
          <w:rFonts w:ascii="Arial" w:hAnsi="Arial" w:cs="Arial"/>
          <w:b/>
          <w:bCs/>
          <w:iCs/>
        </w:rPr>
        <w:t>Affiliations</w:t>
      </w:r>
      <w:r>
        <w:rPr>
          <w:rFonts w:ascii="Arial" w:hAnsi="Arial" w:cs="Arial"/>
          <w:i/>
        </w:rPr>
        <w:t xml:space="preserve">: </w:t>
      </w:r>
    </w:p>
    <w:p w14:paraId="78BBCE85" w14:textId="65DF438A" w:rsidR="00E757C6" w:rsidRPr="00E757C6" w:rsidRDefault="00E757C6" w:rsidP="00E757C6">
      <w:pPr>
        <w:autoSpaceDE w:val="0"/>
        <w:autoSpaceDN w:val="0"/>
        <w:adjustRightInd w:val="0"/>
        <w:spacing w:after="0" w:line="360" w:lineRule="auto"/>
        <w:rPr>
          <w:rFonts w:ascii="Arial" w:hAnsi="Arial" w:cs="Arial"/>
          <w:color w:val="000000"/>
        </w:rPr>
      </w:pPr>
      <w:r>
        <w:rPr>
          <w:rFonts w:ascii="Arial" w:hAnsi="Arial" w:cs="Arial"/>
          <w:color w:val="000000"/>
        </w:rPr>
        <w:t xml:space="preserve">1. </w:t>
      </w:r>
      <w:r w:rsidRPr="00E757C6">
        <w:rPr>
          <w:rFonts w:ascii="Arial" w:hAnsi="Arial" w:cs="Arial"/>
          <w:color w:val="000000"/>
        </w:rPr>
        <w:t>Chelsea and Westminster Hospital NHS Foundation Trust, 369 Fulham Road, London, SW10 9NH, UK.</w:t>
      </w:r>
    </w:p>
    <w:p w14:paraId="161A4DF0" w14:textId="70712AF1" w:rsidR="00E757C6" w:rsidRPr="00E757C6" w:rsidRDefault="00E757C6" w:rsidP="00E757C6">
      <w:pPr>
        <w:autoSpaceDE w:val="0"/>
        <w:autoSpaceDN w:val="0"/>
        <w:adjustRightInd w:val="0"/>
        <w:spacing w:after="0" w:line="360" w:lineRule="auto"/>
        <w:rPr>
          <w:rFonts w:ascii="Arial" w:hAnsi="Arial" w:cs="Arial"/>
          <w:color w:val="000000"/>
        </w:rPr>
      </w:pPr>
      <w:r>
        <w:rPr>
          <w:rFonts w:ascii="Arial" w:hAnsi="Arial" w:cs="Arial"/>
          <w:color w:val="000000"/>
        </w:rPr>
        <w:t xml:space="preserve">2. </w:t>
      </w:r>
      <w:r w:rsidRPr="00E757C6">
        <w:rPr>
          <w:rFonts w:ascii="Arial" w:hAnsi="Arial" w:cs="Arial"/>
          <w:color w:val="000000"/>
        </w:rPr>
        <w:t>Centre of Defence Pathology, Royal Centre for Defence Medicine, Queen Elizabeth Hospital Birmingham, Mindelsohn Way, Edgbaston, Birmingham, B15 2WB.</w:t>
      </w:r>
    </w:p>
    <w:p w14:paraId="0D1F4978" w14:textId="77777777" w:rsidR="00E757C6" w:rsidRDefault="00E757C6" w:rsidP="00E757C6">
      <w:pPr>
        <w:autoSpaceDE w:val="0"/>
        <w:autoSpaceDN w:val="0"/>
        <w:adjustRightInd w:val="0"/>
        <w:spacing w:after="0" w:line="360" w:lineRule="auto"/>
        <w:rPr>
          <w:rFonts w:ascii="Arial" w:hAnsi="Arial" w:cs="Arial"/>
          <w:color w:val="212121"/>
        </w:rPr>
      </w:pPr>
      <w:r>
        <w:rPr>
          <w:rFonts w:ascii="Arial" w:hAnsi="Arial" w:cs="Arial"/>
          <w:color w:val="000000"/>
        </w:rPr>
        <w:t xml:space="preserve">3. </w:t>
      </w:r>
      <w:r>
        <w:rPr>
          <w:rFonts w:ascii="Arial" w:hAnsi="Arial" w:cs="Arial"/>
          <w:color w:val="212121"/>
        </w:rPr>
        <w:t>Department of Infectious Disease, MRC Centre for Molecular Bacteriology and Infection,</w:t>
      </w:r>
    </w:p>
    <w:p w14:paraId="04524741" w14:textId="01759FFC" w:rsidR="00E757C6" w:rsidRDefault="00E757C6" w:rsidP="00E757C6">
      <w:pPr>
        <w:autoSpaceDE w:val="0"/>
        <w:autoSpaceDN w:val="0"/>
        <w:adjustRightInd w:val="0"/>
        <w:spacing w:after="0" w:line="360" w:lineRule="auto"/>
        <w:rPr>
          <w:rFonts w:ascii="Arial" w:hAnsi="Arial" w:cs="Arial"/>
          <w:color w:val="212121"/>
        </w:rPr>
      </w:pPr>
      <w:r>
        <w:rPr>
          <w:rFonts w:ascii="Arial" w:hAnsi="Arial" w:cs="Arial"/>
          <w:color w:val="212121"/>
        </w:rPr>
        <w:t>Imperial College London, SW7 2AZ, UK.</w:t>
      </w:r>
    </w:p>
    <w:p w14:paraId="6506AB8A" w14:textId="77777777" w:rsidR="00E757C6" w:rsidRDefault="00E757C6" w:rsidP="00E757C6">
      <w:pPr>
        <w:autoSpaceDE w:val="0"/>
        <w:autoSpaceDN w:val="0"/>
        <w:adjustRightInd w:val="0"/>
        <w:spacing w:after="0" w:line="360" w:lineRule="auto"/>
        <w:rPr>
          <w:rFonts w:ascii="Arial" w:hAnsi="Arial" w:cs="Arial"/>
          <w:color w:val="000000"/>
        </w:rPr>
      </w:pPr>
      <w:r>
        <w:rPr>
          <w:rFonts w:ascii="Arial" w:hAnsi="Arial" w:cs="Arial"/>
          <w:color w:val="000000"/>
        </w:rPr>
        <w:t>4. North West London Pathology, Fulham Palace Road, London, W6 8RF, UK.</w:t>
      </w:r>
    </w:p>
    <w:p w14:paraId="625559A3" w14:textId="03429EDC" w:rsidR="00E757C6" w:rsidRDefault="00E757C6" w:rsidP="00E757C6">
      <w:pPr>
        <w:autoSpaceDE w:val="0"/>
        <w:autoSpaceDN w:val="0"/>
        <w:adjustRightInd w:val="0"/>
        <w:spacing w:after="0" w:line="360" w:lineRule="auto"/>
        <w:rPr>
          <w:rFonts w:ascii="Arial" w:hAnsi="Arial" w:cs="Arial"/>
          <w:color w:val="000000"/>
        </w:rPr>
      </w:pPr>
      <w:r>
        <w:rPr>
          <w:rFonts w:ascii="Arial" w:hAnsi="Arial" w:cs="Arial"/>
          <w:color w:val="000000"/>
        </w:rPr>
        <w:t>5. Imperial College London, NIHR Health Protection Research Unit in Healthcare Associated</w:t>
      </w:r>
    </w:p>
    <w:p w14:paraId="7F5C9A67" w14:textId="77777777" w:rsidR="00E757C6" w:rsidRDefault="00E757C6" w:rsidP="00E757C6">
      <w:pPr>
        <w:autoSpaceDE w:val="0"/>
        <w:autoSpaceDN w:val="0"/>
        <w:adjustRightInd w:val="0"/>
        <w:spacing w:after="0" w:line="360" w:lineRule="auto"/>
        <w:rPr>
          <w:rFonts w:ascii="Arial" w:hAnsi="Arial" w:cs="Arial"/>
          <w:color w:val="000000"/>
        </w:rPr>
      </w:pPr>
      <w:r>
        <w:rPr>
          <w:rFonts w:ascii="Arial" w:hAnsi="Arial" w:cs="Arial"/>
          <w:color w:val="000000"/>
        </w:rPr>
        <w:t>Infections and Antimicrobial Resistance, Du Cane Road, London, W12 0NN, UK.</w:t>
      </w:r>
    </w:p>
    <w:p w14:paraId="18873335" w14:textId="77777777" w:rsidR="00E757C6" w:rsidRDefault="00E757C6" w:rsidP="00E757C6">
      <w:pPr>
        <w:autoSpaceDE w:val="0"/>
        <w:autoSpaceDN w:val="0"/>
        <w:adjustRightInd w:val="0"/>
        <w:spacing w:after="0" w:line="360" w:lineRule="auto"/>
        <w:rPr>
          <w:rFonts w:ascii="Arial" w:hAnsi="Arial" w:cs="Arial"/>
          <w:color w:val="212121"/>
        </w:rPr>
      </w:pPr>
    </w:p>
    <w:p w14:paraId="25BBD8FF" w14:textId="77777777" w:rsidR="00E757C6" w:rsidRDefault="00E757C6" w:rsidP="00E757C6">
      <w:pPr>
        <w:autoSpaceDE w:val="0"/>
        <w:autoSpaceDN w:val="0"/>
        <w:adjustRightInd w:val="0"/>
        <w:spacing w:after="0" w:line="360" w:lineRule="auto"/>
        <w:rPr>
          <w:rFonts w:ascii="Arial" w:hAnsi="Arial" w:cs="Arial"/>
          <w:b/>
          <w:bCs/>
          <w:color w:val="000000"/>
        </w:rPr>
      </w:pPr>
      <w:r>
        <w:rPr>
          <w:rFonts w:ascii="Arial" w:hAnsi="Arial" w:cs="Arial"/>
          <w:b/>
          <w:bCs/>
          <w:color w:val="000000"/>
        </w:rPr>
        <w:t>*Corresponding author:</w:t>
      </w:r>
    </w:p>
    <w:p w14:paraId="328074EC" w14:textId="77777777" w:rsidR="00E757C6" w:rsidRDefault="00E757C6" w:rsidP="00E757C6">
      <w:pPr>
        <w:autoSpaceDE w:val="0"/>
        <w:autoSpaceDN w:val="0"/>
        <w:adjustRightInd w:val="0"/>
        <w:spacing w:after="0" w:line="360" w:lineRule="auto"/>
        <w:rPr>
          <w:rFonts w:ascii="Arial" w:hAnsi="Arial" w:cs="Arial"/>
          <w:color w:val="000000"/>
        </w:rPr>
      </w:pPr>
      <w:r>
        <w:rPr>
          <w:rFonts w:ascii="Arial" w:hAnsi="Arial" w:cs="Arial"/>
          <w:color w:val="000000"/>
        </w:rPr>
        <w:t>Captain SJC Pallett RAMC, Centre of Defence Pathology, Royal Centre for Defence</w:t>
      </w:r>
    </w:p>
    <w:p w14:paraId="051243C0" w14:textId="77777777" w:rsidR="00E757C6" w:rsidRDefault="00E757C6" w:rsidP="00E757C6">
      <w:pPr>
        <w:autoSpaceDE w:val="0"/>
        <w:autoSpaceDN w:val="0"/>
        <w:adjustRightInd w:val="0"/>
        <w:spacing w:after="0" w:line="360" w:lineRule="auto"/>
        <w:rPr>
          <w:rFonts w:ascii="Arial" w:hAnsi="Arial" w:cs="Arial"/>
          <w:color w:val="000000"/>
        </w:rPr>
      </w:pPr>
      <w:r>
        <w:rPr>
          <w:rFonts w:ascii="Arial" w:hAnsi="Arial" w:cs="Arial"/>
          <w:color w:val="000000"/>
        </w:rPr>
        <w:t>Medicine, Queen Elizabeth Hospital Birmingham, Mindelsohn Way, Edgbaston, Birmingham,</w:t>
      </w:r>
    </w:p>
    <w:p w14:paraId="28BDD134" w14:textId="77777777" w:rsidR="00E757C6" w:rsidRDefault="00E757C6" w:rsidP="00E757C6">
      <w:pPr>
        <w:autoSpaceDE w:val="0"/>
        <w:autoSpaceDN w:val="0"/>
        <w:adjustRightInd w:val="0"/>
        <w:spacing w:after="0" w:line="360" w:lineRule="auto"/>
        <w:rPr>
          <w:rFonts w:ascii="Arial" w:hAnsi="Arial" w:cs="Arial"/>
          <w:color w:val="000000"/>
        </w:rPr>
      </w:pPr>
      <w:r>
        <w:rPr>
          <w:rFonts w:ascii="Arial" w:hAnsi="Arial" w:cs="Arial"/>
          <w:color w:val="000000"/>
        </w:rPr>
        <w:t>B15 2WB. Email: scott.pallett@nhs.net Telephone: 0203 315 7264.</w:t>
      </w:r>
    </w:p>
    <w:p w14:paraId="32F0B7C4" w14:textId="713C0230" w:rsidR="00E757C6" w:rsidRPr="00E757C6" w:rsidRDefault="00E757C6" w:rsidP="00E757C6">
      <w:pPr>
        <w:spacing w:after="0" w:line="360" w:lineRule="auto"/>
        <w:rPr>
          <w:rFonts w:ascii="Arial" w:hAnsi="Arial" w:cs="Arial"/>
          <w:i/>
        </w:rPr>
      </w:pPr>
    </w:p>
    <w:p w14:paraId="0A8CA78A" w14:textId="0298430D" w:rsidR="00E757C6" w:rsidRDefault="00E757C6" w:rsidP="00491237">
      <w:pPr>
        <w:spacing w:after="0" w:line="360" w:lineRule="auto"/>
        <w:rPr>
          <w:rFonts w:ascii="Arial" w:hAnsi="Arial" w:cs="Arial"/>
          <w:i/>
        </w:rPr>
      </w:pPr>
    </w:p>
    <w:p w14:paraId="2650FB67" w14:textId="7AF50DF7" w:rsidR="00E757C6" w:rsidRDefault="00E757C6" w:rsidP="00491237">
      <w:pPr>
        <w:spacing w:after="0" w:line="360" w:lineRule="auto"/>
        <w:rPr>
          <w:rFonts w:ascii="Arial" w:hAnsi="Arial" w:cs="Arial"/>
          <w:i/>
        </w:rPr>
      </w:pPr>
    </w:p>
    <w:p w14:paraId="2625B717" w14:textId="0063FDBE" w:rsidR="00E757C6" w:rsidRDefault="00E757C6" w:rsidP="00491237">
      <w:pPr>
        <w:spacing w:after="0" w:line="360" w:lineRule="auto"/>
        <w:rPr>
          <w:rFonts w:ascii="Arial" w:hAnsi="Arial" w:cs="Arial"/>
          <w:i/>
        </w:rPr>
      </w:pPr>
    </w:p>
    <w:p w14:paraId="170A1833" w14:textId="16A308C1" w:rsidR="00E757C6" w:rsidRDefault="00E757C6" w:rsidP="00491237">
      <w:pPr>
        <w:spacing w:after="0" w:line="360" w:lineRule="auto"/>
        <w:rPr>
          <w:rFonts w:ascii="Arial" w:hAnsi="Arial" w:cs="Arial"/>
          <w:i/>
        </w:rPr>
      </w:pPr>
    </w:p>
    <w:p w14:paraId="0793A33E" w14:textId="3A874C51" w:rsidR="00E757C6" w:rsidRDefault="00E757C6" w:rsidP="00491237">
      <w:pPr>
        <w:spacing w:after="0" w:line="360" w:lineRule="auto"/>
        <w:rPr>
          <w:rFonts w:ascii="Arial" w:hAnsi="Arial" w:cs="Arial"/>
          <w:i/>
        </w:rPr>
      </w:pPr>
    </w:p>
    <w:p w14:paraId="7387888E" w14:textId="45C6C406" w:rsidR="00E757C6" w:rsidRDefault="00E757C6" w:rsidP="00491237">
      <w:pPr>
        <w:spacing w:after="0" w:line="360" w:lineRule="auto"/>
        <w:rPr>
          <w:rFonts w:ascii="Arial" w:hAnsi="Arial" w:cs="Arial"/>
          <w:i/>
        </w:rPr>
      </w:pPr>
    </w:p>
    <w:p w14:paraId="755AF597" w14:textId="52B32062" w:rsidR="00E757C6" w:rsidRDefault="00E757C6" w:rsidP="00491237">
      <w:pPr>
        <w:spacing w:after="0" w:line="360" w:lineRule="auto"/>
        <w:rPr>
          <w:rFonts w:ascii="Arial" w:hAnsi="Arial" w:cs="Arial"/>
          <w:i/>
        </w:rPr>
      </w:pPr>
    </w:p>
    <w:p w14:paraId="3CEE4191" w14:textId="0F1A1A3A" w:rsidR="00E757C6" w:rsidRDefault="00E757C6" w:rsidP="00491237">
      <w:pPr>
        <w:spacing w:after="0" w:line="360" w:lineRule="auto"/>
        <w:rPr>
          <w:rFonts w:ascii="Arial" w:hAnsi="Arial" w:cs="Arial"/>
          <w:i/>
        </w:rPr>
      </w:pPr>
    </w:p>
    <w:tbl>
      <w:tblPr>
        <w:tblStyle w:val="TableGrid"/>
        <w:tblW w:w="0" w:type="auto"/>
        <w:tblLook w:val="04A0" w:firstRow="1" w:lastRow="0" w:firstColumn="1" w:lastColumn="0" w:noHBand="0" w:noVBand="1"/>
      </w:tblPr>
      <w:tblGrid>
        <w:gridCol w:w="9016"/>
      </w:tblGrid>
      <w:tr w:rsidR="000E24A0" w14:paraId="774D4F32" w14:textId="77777777" w:rsidTr="00B67117">
        <w:tc>
          <w:tcPr>
            <w:tcW w:w="9016" w:type="dxa"/>
          </w:tcPr>
          <w:p w14:paraId="7D099BA0" w14:textId="77777777" w:rsidR="000E24A0" w:rsidRDefault="000E24A0" w:rsidP="00B67117">
            <w:pPr>
              <w:spacing w:line="360" w:lineRule="auto"/>
              <w:rPr>
                <w:rFonts w:ascii="Arial" w:hAnsi="Arial" w:cs="Arial"/>
                <w:b/>
                <w:bCs/>
                <w:iCs/>
              </w:rPr>
            </w:pPr>
            <w:r w:rsidRPr="00B651F1">
              <w:rPr>
                <w:rFonts w:ascii="Arial" w:hAnsi="Arial" w:cs="Arial"/>
                <w:b/>
                <w:bCs/>
                <w:iCs/>
              </w:rPr>
              <w:lastRenderedPageBreak/>
              <w:t>Highlights</w:t>
            </w:r>
          </w:p>
          <w:p w14:paraId="74A45025" w14:textId="77777777" w:rsidR="000E24A0" w:rsidRDefault="000E24A0" w:rsidP="000E24A0">
            <w:pPr>
              <w:pStyle w:val="ListParagraph"/>
              <w:numPr>
                <w:ilvl w:val="0"/>
                <w:numId w:val="3"/>
              </w:num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SARS-CoV-2 antibody target details are crucial to interpretation of comparative </w:t>
            </w:r>
            <w:proofErr w:type="spellStart"/>
            <w:r>
              <w:rPr>
                <w:rFonts w:ascii="Calibri" w:eastAsia="Times New Roman" w:hAnsi="Calibri" w:cs="Calibri"/>
                <w:color w:val="000000"/>
                <w:sz w:val="24"/>
                <w:szCs w:val="24"/>
                <w:lang w:eastAsia="en-GB"/>
              </w:rPr>
              <w:t>serostudies</w:t>
            </w:r>
            <w:proofErr w:type="spellEnd"/>
            <w:r>
              <w:rPr>
                <w:rFonts w:ascii="Calibri" w:eastAsia="Times New Roman" w:hAnsi="Calibri" w:cs="Calibri"/>
                <w:color w:val="000000"/>
                <w:sz w:val="24"/>
                <w:szCs w:val="24"/>
                <w:lang w:eastAsia="en-GB"/>
              </w:rPr>
              <w:t>.</w:t>
            </w:r>
          </w:p>
          <w:p w14:paraId="5EA38191" w14:textId="77777777" w:rsidR="000E24A0" w:rsidRDefault="000E24A0" w:rsidP="000E24A0">
            <w:pPr>
              <w:pStyle w:val="ListParagraph"/>
              <w:numPr>
                <w:ilvl w:val="0"/>
                <w:numId w:val="3"/>
              </w:num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Comparison studies between non-neutralizing and neutralizing assays are urgently required. </w:t>
            </w:r>
          </w:p>
          <w:p w14:paraId="41AE87B2" w14:textId="77777777" w:rsidR="000E24A0" w:rsidRDefault="000E24A0" w:rsidP="000E24A0">
            <w:pPr>
              <w:pStyle w:val="ListParagraph"/>
              <w:numPr>
                <w:ilvl w:val="0"/>
                <w:numId w:val="3"/>
              </w:num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 majority of available assays provide only limited information on assay targets.</w:t>
            </w:r>
          </w:p>
          <w:p w14:paraId="5F988058" w14:textId="77777777" w:rsidR="000E24A0" w:rsidRPr="009F2CCC" w:rsidRDefault="000E24A0" w:rsidP="000E24A0">
            <w:pPr>
              <w:pStyle w:val="ListParagraph"/>
              <w:numPr>
                <w:ilvl w:val="0"/>
                <w:numId w:val="3"/>
              </w:num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Robust messaging on limited interpretation around immunity must remain a mainstay in the meantime.  </w:t>
            </w:r>
          </w:p>
          <w:p w14:paraId="78809126" w14:textId="77777777" w:rsidR="000E24A0" w:rsidRPr="00B651F1" w:rsidRDefault="000E24A0" w:rsidP="00B67117">
            <w:pPr>
              <w:pStyle w:val="ListParagraph"/>
              <w:spacing w:line="360" w:lineRule="auto"/>
              <w:rPr>
                <w:rFonts w:ascii="Arial" w:hAnsi="Arial" w:cs="Arial"/>
                <w:b/>
                <w:bCs/>
                <w:iCs/>
              </w:rPr>
            </w:pPr>
          </w:p>
        </w:tc>
      </w:tr>
    </w:tbl>
    <w:p w14:paraId="2A762D33" w14:textId="77777777" w:rsidR="000E24A0" w:rsidRDefault="000E24A0" w:rsidP="00491237">
      <w:pPr>
        <w:spacing w:after="0" w:line="360" w:lineRule="auto"/>
        <w:rPr>
          <w:rFonts w:ascii="Arial" w:hAnsi="Arial" w:cs="Arial"/>
          <w:i/>
        </w:rPr>
      </w:pPr>
    </w:p>
    <w:p w14:paraId="2377F383" w14:textId="77777777" w:rsidR="000E24A0" w:rsidRDefault="000E24A0" w:rsidP="00491237">
      <w:pPr>
        <w:spacing w:after="0" w:line="360" w:lineRule="auto"/>
        <w:rPr>
          <w:rFonts w:ascii="Arial" w:hAnsi="Arial" w:cs="Arial"/>
          <w:i/>
        </w:rPr>
      </w:pPr>
    </w:p>
    <w:p w14:paraId="0C161D05" w14:textId="77777777" w:rsidR="00D309F5" w:rsidRPr="00B927C1" w:rsidRDefault="00D309F5" w:rsidP="00491237">
      <w:pPr>
        <w:spacing w:after="0" w:line="360" w:lineRule="auto"/>
        <w:rPr>
          <w:rFonts w:ascii="Arial" w:hAnsi="Arial" w:cs="Arial"/>
        </w:rPr>
      </w:pPr>
    </w:p>
    <w:p w14:paraId="28FB6F81" w14:textId="496F1A2B" w:rsidR="00277E11" w:rsidRPr="00204C47" w:rsidRDefault="00523E82" w:rsidP="00491237">
      <w:pPr>
        <w:spacing w:after="0" w:line="360" w:lineRule="auto"/>
        <w:rPr>
          <w:rFonts w:ascii="Arial" w:hAnsi="Arial" w:cs="Arial"/>
        </w:rPr>
      </w:pPr>
      <w:r w:rsidRPr="00B927C1">
        <w:rPr>
          <w:rFonts w:ascii="Arial" w:hAnsi="Arial" w:cs="Arial"/>
          <w:color w:val="212121"/>
          <w:shd w:val="clear" w:color="auto" w:fill="FFFFFF"/>
        </w:rPr>
        <w:t>We read with interest</w:t>
      </w:r>
      <w:r w:rsidR="009B4F15">
        <w:rPr>
          <w:rFonts w:ascii="Arial" w:hAnsi="Arial" w:cs="Arial"/>
          <w:color w:val="212121"/>
          <w:shd w:val="clear" w:color="auto" w:fill="FFFFFF"/>
        </w:rPr>
        <w:t xml:space="preserve"> data reported </w:t>
      </w:r>
      <w:r w:rsidR="00204C47">
        <w:rPr>
          <w:rFonts w:ascii="Arial" w:hAnsi="Arial" w:cs="Arial"/>
          <w:color w:val="212121"/>
          <w:shd w:val="clear" w:color="auto" w:fill="FFFFFF"/>
        </w:rPr>
        <w:t xml:space="preserve">in this Journal </w:t>
      </w:r>
      <w:r w:rsidR="009B4F15">
        <w:rPr>
          <w:rFonts w:ascii="Arial" w:hAnsi="Arial" w:cs="Arial"/>
          <w:color w:val="212121"/>
          <w:shd w:val="clear" w:color="auto" w:fill="FFFFFF"/>
        </w:rPr>
        <w:t>by</w:t>
      </w:r>
      <w:r w:rsidRPr="00B927C1">
        <w:rPr>
          <w:rFonts w:ascii="Arial" w:hAnsi="Arial" w:cs="Arial"/>
          <w:color w:val="212121"/>
          <w:shd w:val="clear" w:color="auto" w:fill="FFFFFF"/>
        </w:rPr>
        <w:t xml:space="preserve"> </w:t>
      </w:r>
      <w:proofErr w:type="spellStart"/>
      <w:r w:rsidR="00292CCB" w:rsidRPr="00B927C1">
        <w:rPr>
          <w:rFonts w:ascii="Arial" w:hAnsi="Arial" w:cs="Arial"/>
          <w:color w:val="212121"/>
          <w:shd w:val="clear" w:color="auto" w:fill="FFFFFF"/>
        </w:rPr>
        <w:t>Tré</w:t>
      </w:r>
      <w:proofErr w:type="spellEnd"/>
      <w:r w:rsidR="00292CCB" w:rsidRPr="00B927C1">
        <w:rPr>
          <w:rFonts w:ascii="Arial" w:hAnsi="Arial" w:cs="Arial"/>
          <w:color w:val="212121"/>
          <w:shd w:val="clear" w:color="auto" w:fill="FFFFFF"/>
        </w:rPr>
        <w:t xml:space="preserve">-Hardy </w:t>
      </w:r>
      <w:r w:rsidR="00292CCB" w:rsidRPr="00B927C1">
        <w:rPr>
          <w:rFonts w:ascii="Arial" w:hAnsi="Arial" w:cs="Arial"/>
          <w:i/>
          <w:iCs/>
          <w:color w:val="212121"/>
          <w:shd w:val="clear" w:color="auto" w:fill="FFFFFF"/>
        </w:rPr>
        <w:t>et al.</w:t>
      </w:r>
      <w:r w:rsidR="00E439BC">
        <w:rPr>
          <w:rFonts w:ascii="Arial" w:hAnsi="Arial" w:cs="Arial"/>
          <w:color w:val="212121"/>
          <w:shd w:val="clear" w:color="auto" w:fill="FFFFFF"/>
        </w:rPr>
        <w:t>,</w:t>
      </w:r>
      <w:r w:rsidR="00E439BC">
        <w:rPr>
          <w:rFonts w:ascii="Arial" w:hAnsi="Arial" w:cs="Arial"/>
          <w:color w:val="212121"/>
          <w:shd w:val="clear" w:color="auto" w:fill="FFFFFF"/>
          <w:vertAlign w:val="superscript"/>
        </w:rPr>
        <w:t xml:space="preserve">1 </w:t>
      </w:r>
      <w:r w:rsidR="00E439BC">
        <w:rPr>
          <w:rFonts w:ascii="Arial" w:hAnsi="Arial" w:cs="Arial"/>
        </w:rPr>
        <w:t xml:space="preserve">where they provide timely insight to challenges associated with implementing serological testing as an adjunct to SARS-CoV-2 surveillance. </w:t>
      </w:r>
      <w:r w:rsidR="00E439BC" w:rsidRPr="00204C47">
        <w:rPr>
          <w:rFonts w:ascii="Arial" w:hAnsi="Arial" w:cs="Arial"/>
        </w:rPr>
        <w:t>In areas where reporting of new cases has declined, consideration is being given to relaxation of social-distancing restrictions</w:t>
      </w:r>
      <w:r w:rsidR="00E439BC">
        <w:rPr>
          <w:rFonts w:ascii="Arial" w:hAnsi="Arial" w:cs="Arial"/>
        </w:rPr>
        <w:t xml:space="preserve"> and c</w:t>
      </w:r>
      <w:r w:rsidR="00E439BC" w:rsidRPr="00A92993">
        <w:rPr>
          <w:rFonts w:ascii="Arial" w:hAnsi="Arial" w:cs="Arial"/>
        </w:rPr>
        <w:t>onsiderable attention has been given to the</w:t>
      </w:r>
      <w:r w:rsidR="007D29A3">
        <w:rPr>
          <w:rFonts w:ascii="Arial" w:hAnsi="Arial" w:cs="Arial"/>
        </w:rPr>
        <w:t xml:space="preserve"> supportive potential</w:t>
      </w:r>
      <w:r w:rsidR="00E439BC" w:rsidRPr="00A92993">
        <w:rPr>
          <w:rFonts w:ascii="Arial" w:hAnsi="Arial" w:cs="Arial"/>
        </w:rPr>
        <w:t xml:space="preserve"> of serological testing in delayed identification of cases.</w:t>
      </w:r>
    </w:p>
    <w:p w14:paraId="50F16CF2" w14:textId="77777777" w:rsidR="00491237" w:rsidRPr="00E439BC" w:rsidRDefault="00491237" w:rsidP="00491237">
      <w:pPr>
        <w:spacing w:after="0" w:line="360" w:lineRule="auto"/>
        <w:rPr>
          <w:rFonts w:ascii="Arial" w:hAnsi="Arial" w:cs="Arial"/>
        </w:rPr>
      </w:pPr>
    </w:p>
    <w:p w14:paraId="2750B37D" w14:textId="0A4B2B9B" w:rsidR="00491237" w:rsidRPr="007D29A3" w:rsidRDefault="007D29A3" w:rsidP="00491237">
      <w:pPr>
        <w:spacing w:after="0" w:line="360" w:lineRule="auto"/>
        <w:rPr>
          <w:rFonts w:ascii="Arial" w:hAnsi="Arial" w:cs="Arial"/>
        </w:rPr>
      </w:pPr>
      <w:proofErr w:type="spellStart"/>
      <w:r w:rsidRPr="009F2CCC">
        <w:rPr>
          <w:rFonts w:ascii="Arial" w:hAnsi="Arial" w:cs="Arial"/>
          <w:color w:val="212121"/>
          <w:shd w:val="clear" w:color="auto" w:fill="FFFFFF"/>
        </w:rPr>
        <w:t>Tré</w:t>
      </w:r>
      <w:proofErr w:type="spellEnd"/>
      <w:r w:rsidRPr="009F2CCC">
        <w:rPr>
          <w:rFonts w:ascii="Arial" w:hAnsi="Arial" w:cs="Arial"/>
          <w:color w:val="212121"/>
          <w:shd w:val="clear" w:color="auto" w:fill="FFFFFF"/>
        </w:rPr>
        <w:t xml:space="preserve">-Hardy </w:t>
      </w:r>
      <w:r w:rsidRPr="009F2CCC">
        <w:rPr>
          <w:rFonts w:ascii="Arial" w:hAnsi="Arial" w:cs="Arial"/>
          <w:i/>
          <w:iCs/>
          <w:color w:val="212121"/>
          <w:shd w:val="clear" w:color="auto" w:fill="FFFFFF"/>
        </w:rPr>
        <w:t>et al.</w:t>
      </w:r>
      <w:r>
        <w:rPr>
          <w:rFonts w:ascii="Arial" w:hAnsi="Arial" w:cs="Arial"/>
          <w:i/>
          <w:iCs/>
          <w:color w:val="212121"/>
          <w:shd w:val="clear" w:color="auto" w:fill="FFFFFF"/>
        </w:rPr>
        <w:t xml:space="preserve"> </w:t>
      </w:r>
      <w:r>
        <w:rPr>
          <w:rFonts w:ascii="Arial" w:hAnsi="Arial" w:cs="Arial"/>
          <w:color w:val="212121"/>
          <w:shd w:val="clear" w:color="auto" w:fill="FFFFFF"/>
        </w:rPr>
        <w:t xml:space="preserve">demonstrate the urgent need to determine the optimal time from symptom onset for individual serological assays in </w:t>
      </w:r>
      <w:r w:rsidR="00B51992">
        <w:rPr>
          <w:rFonts w:ascii="Arial" w:hAnsi="Arial" w:cs="Arial"/>
          <w:color w:val="212121"/>
          <w:shd w:val="clear" w:color="auto" w:fill="FFFFFF"/>
        </w:rPr>
        <w:t>order to develop</w:t>
      </w:r>
      <w:r>
        <w:rPr>
          <w:rFonts w:ascii="Arial" w:hAnsi="Arial" w:cs="Arial"/>
          <w:color w:val="212121"/>
          <w:shd w:val="clear" w:color="auto" w:fill="FFFFFF"/>
        </w:rPr>
        <w:t xml:space="preserve"> suitable guidance on interpretation of results. </w:t>
      </w:r>
      <w:r w:rsidR="00B51992">
        <w:rPr>
          <w:rFonts w:ascii="Arial" w:hAnsi="Arial" w:cs="Arial"/>
          <w:color w:val="212121"/>
          <w:shd w:val="clear" w:color="auto" w:fill="FFFFFF"/>
        </w:rPr>
        <w:t>As part of this process, we highlight further concerns around the potential interpretation of positive and negative results alike. A</w:t>
      </w:r>
      <w:r w:rsidR="00277E11" w:rsidRPr="00E439BC">
        <w:rPr>
          <w:rFonts w:ascii="Arial" w:hAnsi="Arial" w:cs="Arial"/>
        </w:rPr>
        <w:t xml:space="preserve"> plethora of </w:t>
      </w:r>
      <w:r w:rsidR="00533687" w:rsidRPr="00E439BC">
        <w:rPr>
          <w:rFonts w:ascii="Arial" w:hAnsi="Arial" w:cs="Arial"/>
        </w:rPr>
        <w:t>tests</w:t>
      </w:r>
      <w:r w:rsidR="00277E11" w:rsidRPr="00E439BC">
        <w:rPr>
          <w:rFonts w:ascii="Arial" w:hAnsi="Arial" w:cs="Arial"/>
        </w:rPr>
        <w:t xml:space="preserve">, designed for use </w:t>
      </w:r>
      <w:r w:rsidR="00F465F1" w:rsidRPr="00E439BC">
        <w:rPr>
          <w:rFonts w:ascii="Arial" w:hAnsi="Arial" w:cs="Arial"/>
        </w:rPr>
        <w:t xml:space="preserve">as </w:t>
      </w:r>
      <w:r w:rsidR="00A36BD0" w:rsidRPr="00E439BC">
        <w:rPr>
          <w:rFonts w:ascii="Arial" w:hAnsi="Arial" w:cs="Arial"/>
        </w:rPr>
        <w:t xml:space="preserve">either </w:t>
      </w:r>
      <w:r w:rsidR="00277E11" w:rsidRPr="00E439BC">
        <w:rPr>
          <w:rFonts w:ascii="Arial" w:hAnsi="Arial" w:cs="Arial"/>
        </w:rPr>
        <w:t>point-of-care or laboratory</w:t>
      </w:r>
      <w:r w:rsidR="00E704BA">
        <w:rPr>
          <w:rFonts w:ascii="Arial" w:hAnsi="Arial" w:cs="Arial"/>
        </w:rPr>
        <w:t>-</w:t>
      </w:r>
      <w:r w:rsidR="00277E11" w:rsidRPr="00E439BC">
        <w:rPr>
          <w:rFonts w:ascii="Arial" w:hAnsi="Arial" w:cs="Arial"/>
        </w:rPr>
        <w:t xml:space="preserve">based </w:t>
      </w:r>
      <w:r w:rsidR="00F00C53" w:rsidRPr="00E439BC">
        <w:rPr>
          <w:rFonts w:ascii="Arial" w:hAnsi="Arial" w:cs="Arial"/>
        </w:rPr>
        <w:t xml:space="preserve">assays </w:t>
      </w:r>
      <w:r w:rsidR="00277E11" w:rsidRPr="00B83208">
        <w:rPr>
          <w:rFonts w:ascii="Arial" w:hAnsi="Arial" w:cs="Arial"/>
        </w:rPr>
        <w:t xml:space="preserve">have </w:t>
      </w:r>
      <w:r w:rsidR="009F0C59" w:rsidRPr="00B83208">
        <w:rPr>
          <w:rFonts w:ascii="Arial" w:hAnsi="Arial" w:cs="Arial"/>
        </w:rPr>
        <w:t>rapidly been developed</w:t>
      </w:r>
      <w:r w:rsidR="00277E11" w:rsidRPr="00B83208">
        <w:rPr>
          <w:rFonts w:ascii="Arial" w:hAnsi="Arial" w:cs="Arial"/>
        </w:rPr>
        <w:t>, many having undergone limit</w:t>
      </w:r>
      <w:r w:rsidR="004E4949" w:rsidRPr="00B83208">
        <w:rPr>
          <w:rFonts w:ascii="Arial" w:hAnsi="Arial" w:cs="Arial"/>
        </w:rPr>
        <w:t>ed validation</w:t>
      </w:r>
      <w:r w:rsidR="00C4152D" w:rsidRPr="00B83208">
        <w:rPr>
          <w:rFonts w:ascii="Arial" w:hAnsi="Arial" w:cs="Arial"/>
        </w:rPr>
        <w:t xml:space="preserve"> in cases of severe, hospital infection</w:t>
      </w:r>
      <w:r w:rsidR="00B83208" w:rsidRPr="00B83208">
        <w:rPr>
          <w:rFonts w:ascii="Arial" w:hAnsi="Arial" w:cs="Arial"/>
        </w:rPr>
        <w:t xml:space="preserve"> and</w:t>
      </w:r>
      <w:r w:rsidR="008E5177">
        <w:rPr>
          <w:rFonts w:ascii="Arial" w:hAnsi="Arial" w:cs="Arial"/>
        </w:rPr>
        <w:t xml:space="preserve"> </w:t>
      </w:r>
      <w:r w:rsidR="00A36BD0" w:rsidRPr="00B83208">
        <w:rPr>
          <w:rFonts w:ascii="Arial" w:hAnsi="Arial" w:cs="Arial"/>
        </w:rPr>
        <w:t xml:space="preserve">information </w:t>
      </w:r>
      <w:r w:rsidR="004E4949" w:rsidRPr="00B83208">
        <w:rPr>
          <w:rFonts w:ascii="Arial" w:hAnsi="Arial" w:cs="Arial"/>
        </w:rPr>
        <w:t xml:space="preserve">around potentially inferred immunity has been at times </w:t>
      </w:r>
      <w:r w:rsidR="00C4152D" w:rsidRPr="00B83208">
        <w:rPr>
          <w:rFonts w:ascii="Arial" w:hAnsi="Arial" w:cs="Arial"/>
        </w:rPr>
        <w:t>vague</w:t>
      </w:r>
      <w:r w:rsidR="004E4949" w:rsidRPr="00B83208">
        <w:rPr>
          <w:rFonts w:ascii="Arial" w:hAnsi="Arial" w:cs="Arial"/>
        </w:rPr>
        <w:t xml:space="preserve">. </w:t>
      </w:r>
      <w:r w:rsidR="000A6C1D" w:rsidRPr="00B83208">
        <w:rPr>
          <w:rFonts w:ascii="Arial" w:hAnsi="Arial" w:cs="Arial"/>
        </w:rPr>
        <w:t>Increasing a</w:t>
      </w:r>
      <w:r w:rsidR="004E4949" w:rsidRPr="00B83208">
        <w:rPr>
          <w:rFonts w:ascii="Arial" w:hAnsi="Arial" w:cs="Arial"/>
        </w:rPr>
        <w:t xml:space="preserve">ccess to serological testing for SARS-CoV-2 </w:t>
      </w:r>
      <w:r w:rsidR="00C4152D" w:rsidRPr="00B83208">
        <w:rPr>
          <w:rFonts w:ascii="Arial" w:hAnsi="Arial" w:cs="Arial"/>
        </w:rPr>
        <w:t>has been</w:t>
      </w:r>
      <w:r w:rsidR="004E4949" w:rsidRPr="00B83208">
        <w:rPr>
          <w:rFonts w:ascii="Arial" w:hAnsi="Arial" w:cs="Arial"/>
        </w:rPr>
        <w:t xml:space="preserve"> available not only through private medical practices but also via high street </w:t>
      </w:r>
      <w:r w:rsidR="006D6992" w:rsidRPr="00B83208">
        <w:rPr>
          <w:rFonts w:ascii="Arial" w:hAnsi="Arial" w:cs="Arial"/>
        </w:rPr>
        <w:t>providers</w:t>
      </w:r>
      <w:r w:rsidR="00E65245" w:rsidRPr="00B83208">
        <w:rPr>
          <w:rFonts w:ascii="Arial" w:hAnsi="Arial" w:cs="Arial"/>
        </w:rPr>
        <w:t>,</w:t>
      </w:r>
      <w:r w:rsidR="00B058F5" w:rsidRPr="00B83208">
        <w:rPr>
          <w:rFonts w:ascii="Arial" w:hAnsi="Arial" w:cs="Arial"/>
        </w:rPr>
        <w:t xml:space="preserve"> online,</w:t>
      </w:r>
      <w:r w:rsidR="004E4949" w:rsidRPr="00B83208">
        <w:rPr>
          <w:rFonts w:ascii="Arial" w:hAnsi="Arial" w:cs="Arial"/>
        </w:rPr>
        <w:t xml:space="preserve"> and</w:t>
      </w:r>
      <w:r w:rsidR="00E65245" w:rsidRPr="00B83208">
        <w:rPr>
          <w:rFonts w:ascii="Arial" w:hAnsi="Arial" w:cs="Arial"/>
        </w:rPr>
        <w:t xml:space="preserve"> in some cases</w:t>
      </w:r>
      <w:r w:rsidR="00A92D5C" w:rsidRPr="00B83208">
        <w:rPr>
          <w:rFonts w:ascii="Arial" w:hAnsi="Arial" w:cs="Arial"/>
        </w:rPr>
        <w:t xml:space="preserve"> via postal services</w:t>
      </w:r>
      <w:r w:rsidR="00E65245" w:rsidRPr="00B83208">
        <w:rPr>
          <w:rFonts w:ascii="Arial" w:hAnsi="Arial" w:cs="Arial"/>
        </w:rPr>
        <w:t>.</w:t>
      </w:r>
      <w:r w:rsidR="004E4949" w:rsidRPr="00B83208">
        <w:rPr>
          <w:rFonts w:ascii="Arial" w:hAnsi="Arial" w:cs="Arial"/>
        </w:rPr>
        <w:t xml:space="preserve"> </w:t>
      </w:r>
      <w:r w:rsidR="00FF4C92" w:rsidRPr="00B83208">
        <w:rPr>
          <w:rFonts w:ascii="Arial" w:hAnsi="Arial" w:cs="Arial"/>
        </w:rPr>
        <w:t>While national guidelines have gone some way to reduce the risk</w:t>
      </w:r>
      <w:r w:rsidR="004E4949" w:rsidRPr="00B83208">
        <w:rPr>
          <w:rFonts w:ascii="Arial" w:hAnsi="Arial" w:cs="Arial"/>
        </w:rPr>
        <w:t xml:space="preserve"> of </w:t>
      </w:r>
      <w:r w:rsidR="00FF4C92" w:rsidRPr="00B83208">
        <w:rPr>
          <w:rFonts w:ascii="Arial" w:hAnsi="Arial" w:cs="Arial"/>
        </w:rPr>
        <w:t xml:space="preserve">confused </w:t>
      </w:r>
      <w:r w:rsidR="004E4949" w:rsidRPr="00B83208">
        <w:rPr>
          <w:rFonts w:ascii="Arial" w:hAnsi="Arial" w:cs="Arial"/>
        </w:rPr>
        <w:t>messaging</w:t>
      </w:r>
      <w:r w:rsidR="00FF4C92" w:rsidRPr="00B83208">
        <w:rPr>
          <w:rFonts w:ascii="Arial" w:hAnsi="Arial" w:cs="Arial"/>
        </w:rPr>
        <w:t xml:space="preserve"> where clinicians are not directly involved in the resulting process, </w:t>
      </w:r>
      <w:r w:rsidR="00E44F2F" w:rsidRPr="00B83208">
        <w:rPr>
          <w:rFonts w:ascii="Arial" w:hAnsi="Arial" w:cs="Arial"/>
        </w:rPr>
        <w:t xml:space="preserve">delayed reporting </w:t>
      </w:r>
      <w:r w:rsidR="00B83208" w:rsidRPr="00B83208">
        <w:rPr>
          <w:rFonts w:ascii="Arial" w:hAnsi="Arial" w:cs="Arial"/>
        </w:rPr>
        <w:t>risks</w:t>
      </w:r>
      <w:r w:rsidR="00E44F2F" w:rsidRPr="00B83208">
        <w:rPr>
          <w:rFonts w:ascii="Arial" w:hAnsi="Arial" w:cs="Arial"/>
        </w:rPr>
        <w:t xml:space="preserve"> misinterpretation that may affect social-distancing behaviours</w:t>
      </w:r>
      <w:r w:rsidR="00FF4C92" w:rsidRPr="00B83208">
        <w:rPr>
          <w:rFonts w:ascii="Arial" w:hAnsi="Arial" w:cs="Arial"/>
        </w:rPr>
        <w:t>.</w:t>
      </w:r>
      <w:r w:rsidR="00FF4C92" w:rsidRPr="007D29A3">
        <w:rPr>
          <w:rFonts w:ascii="Arial" w:hAnsi="Arial" w:cs="Arial"/>
        </w:rPr>
        <w:t xml:space="preserve"> </w:t>
      </w:r>
    </w:p>
    <w:p w14:paraId="489D1B47" w14:textId="77777777" w:rsidR="00FF4C92" w:rsidRPr="004178D1" w:rsidRDefault="00FF4C92" w:rsidP="00491237">
      <w:pPr>
        <w:spacing w:after="0" w:line="360" w:lineRule="auto"/>
        <w:rPr>
          <w:rFonts w:ascii="Arial" w:hAnsi="Arial" w:cs="Arial"/>
        </w:rPr>
      </w:pPr>
    </w:p>
    <w:p w14:paraId="5E029BF3" w14:textId="128695B0" w:rsidR="000A6C1D" w:rsidRPr="00523E82" w:rsidRDefault="009A3598" w:rsidP="00491237">
      <w:pPr>
        <w:spacing w:after="0" w:line="360" w:lineRule="auto"/>
        <w:rPr>
          <w:rFonts w:ascii="Arial" w:hAnsi="Arial" w:cs="Arial"/>
        </w:rPr>
      </w:pPr>
      <w:r>
        <w:rPr>
          <w:rFonts w:ascii="Arial" w:hAnsi="Arial" w:cs="Arial"/>
        </w:rPr>
        <w:t>The</w:t>
      </w:r>
      <w:r w:rsidR="00F31A94" w:rsidRPr="004178D1">
        <w:rPr>
          <w:rFonts w:ascii="Arial" w:hAnsi="Arial" w:cs="Arial"/>
        </w:rPr>
        <w:t xml:space="preserve"> degree </w:t>
      </w:r>
      <w:r w:rsidR="00120F1F" w:rsidRPr="004178D1">
        <w:rPr>
          <w:rFonts w:ascii="Arial" w:hAnsi="Arial" w:cs="Arial"/>
        </w:rPr>
        <w:t xml:space="preserve">of immunity conferred </w:t>
      </w:r>
      <w:r w:rsidR="00DD0109" w:rsidRPr="004178D1">
        <w:rPr>
          <w:rFonts w:ascii="Arial" w:hAnsi="Arial" w:cs="Arial"/>
        </w:rPr>
        <w:t>from</w:t>
      </w:r>
      <w:r w:rsidR="00120F1F" w:rsidRPr="004178D1">
        <w:rPr>
          <w:rFonts w:ascii="Arial" w:hAnsi="Arial" w:cs="Arial"/>
        </w:rPr>
        <w:t xml:space="preserve"> </w:t>
      </w:r>
      <w:r w:rsidR="00F31A94" w:rsidRPr="004178D1">
        <w:rPr>
          <w:rFonts w:ascii="Arial" w:hAnsi="Arial" w:cs="Arial"/>
        </w:rPr>
        <w:t xml:space="preserve">infection </w:t>
      </w:r>
      <w:r w:rsidR="00DD0109" w:rsidRPr="004178D1">
        <w:rPr>
          <w:rFonts w:ascii="Arial" w:hAnsi="Arial" w:cs="Arial"/>
        </w:rPr>
        <w:t>with</w:t>
      </w:r>
      <w:r w:rsidR="00F31A94" w:rsidRPr="004178D1">
        <w:rPr>
          <w:rFonts w:ascii="Arial" w:hAnsi="Arial" w:cs="Arial"/>
        </w:rPr>
        <w:t xml:space="preserve"> SARS-C</w:t>
      </w:r>
      <w:r w:rsidR="002A1249" w:rsidRPr="004178D1">
        <w:rPr>
          <w:rFonts w:ascii="Arial" w:hAnsi="Arial" w:cs="Arial"/>
        </w:rPr>
        <w:t xml:space="preserve">oV-2 remains </w:t>
      </w:r>
      <w:r>
        <w:rPr>
          <w:rFonts w:ascii="Arial" w:hAnsi="Arial" w:cs="Arial"/>
        </w:rPr>
        <w:t>unclear</w:t>
      </w:r>
      <w:r w:rsidR="00C928DA" w:rsidRPr="004178D1">
        <w:rPr>
          <w:rFonts w:ascii="Arial" w:hAnsi="Arial" w:cs="Arial"/>
        </w:rPr>
        <w:t xml:space="preserve">. </w:t>
      </w:r>
      <w:r w:rsidR="00EF2817" w:rsidRPr="004178D1">
        <w:rPr>
          <w:rFonts w:ascii="Arial" w:hAnsi="Arial" w:cs="Arial"/>
        </w:rPr>
        <w:t xml:space="preserve">Four major </w:t>
      </w:r>
      <w:r w:rsidR="002C7124" w:rsidRPr="004178D1">
        <w:rPr>
          <w:rFonts w:ascii="Arial" w:hAnsi="Arial" w:cs="Arial"/>
        </w:rPr>
        <w:t xml:space="preserve">viral </w:t>
      </w:r>
      <w:r w:rsidR="00EF2817" w:rsidRPr="004178D1">
        <w:rPr>
          <w:rFonts w:ascii="Arial" w:hAnsi="Arial" w:cs="Arial"/>
        </w:rPr>
        <w:t>structural proteins have been identified (spike, envelope, n</w:t>
      </w:r>
      <w:r w:rsidR="00EF2817" w:rsidRPr="001657F6">
        <w:rPr>
          <w:rFonts w:ascii="Arial" w:hAnsi="Arial" w:cs="Arial"/>
        </w:rPr>
        <w:t>ucleocapsid</w:t>
      </w:r>
      <w:r w:rsidR="000A6C1D" w:rsidRPr="001657F6">
        <w:rPr>
          <w:rFonts w:ascii="Arial" w:hAnsi="Arial" w:cs="Arial"/>
        </w:rPr>
        <w:t>,</w:t>
      </w:r>
      <w:r w:rsidR="00EF2817" w:rsidRPr="001657F6">
        <w:rPr>
          <w:rFonts w:ascii="Arial" w:hAnsi="Arial" w:cs="Arial"/>
        </w:rPr>
        <w:t xml:space="preserve"> and membrane).</w:t>
      </w:r>
      <w:r w:rsidR="001657F6">
        <w:rPr>
          <w:rFonts w:ascii="Arial" w:hAnsi="Arial" w:cs="Arial"/>
          <w:vertAlign w:val="superscript"/>
        </w:rPr>
        <w:t>2</w:t>
      </w:r>
      <w:r w:rsidR="00A36BD0" w:rsidRPr="00523E82">
        <w:rPr>
          <w:rFonts w:ascii="Arial" w:hAnsi="Arial" w:cs="Arial"/>
        </w:rPr>
        <w:t xml:space="preserve"> </w:t>
      </w:r>
      <w:r w:rsidR="004A4E65" w:rsidRPr="00523E82">
        <w:rPr>
          <w:rFonts w:ascii="Arial" w:hAnsi="Arial" w:cs="Arial"/>
        </w:rPr>
        <w:t>Initial</w:t>
      </w:r>
      <w:r w:rsidR="00EF2817" w:rsidRPr="00523E82">
        <w:rPr>
          <w:rFonts w:ascii="Arial" w:hAnsi="Arial" w:cs="Arial"/>
        </w:rPr>
        <w:t xml:space="preserve"> </w:t>
      </w:r>
      <w:r w:rsidR="002D1F06" w:rsidRPr="00523E82">
        <w:rPr>
          <w:rFonts w:ascii="Arial" w:hAnsi="Arial" w:cs="Arial"/>
        </w:rPr>
        <w:t xml:space="preserve">B cell response in SARS-CoV-2 infection appears to occur </w:t>
      </w:r>
      <w:r w:rsidR="00A36BD0" w:rsidRPr="00523E82">
        <w:rPr>
          <w:rFonts w:ascii="Arial" w:hAnsi="Arial" w:cs="Arial"/>
        </w:rPr>
        <w:t>p</w:t>
      </w:r>
      <w:r w:rsidR="002D1F06" w:rsidRPr="00523E82">
        <w:rPr>
          <w:rFonts w:ascii="Arial" w:hAnsi="Arial" w:cs="Arial"/>
        </w:rPr>
        <w:t>rior to the recovery phase,</w:t>
      </w:r>
      <w:r w:rsidR="001657F6">
        <w:rPr>
          <w:rFonts w:ascii="Arial" w:hAnsi="Arial" w:cs="Arial"/>
          <w:vertAlign w:val="superscript"/>
        </w:rPr>
        <w:t>3</w:t>
      </w:r>
      <w:r w:rsidR="002D1F06" w:rsidRPr="00523E82">
        <w:rPr>
          <w:rFonts w:ascii="Arial" w:hAnsi="Arial" w:cs="Arial"/>
        </w:rPr>
        <w:t xml:space="preserve"> and while antibody responses are thought to arise first to the nucleocapsid</w:t>
      </w:r>
      <w:r w:rsidR="00E44F2F" w:rsidRPr="00523E82">
        <w:rPr>
          <w:rFonts w:ascii="Arial" w:hAnsi="Arial" w:cs="Arial"/>
        </w:rPr>
        <w:t xml:space="preserve"> (NP)</w:t>
      </w:r>
      <w:r w:rsidR="002D1F06" w:rsidRPr="00523E82">
        <w:rPr>
          <w:rFonts w:ascii="Arial" w:hAnsi="Arial" w:cs="Arial"/>
        </w:rPr>
        <w:t xml:space="preserve"> </w:t>
      </w:r>
      <w:r w:rsidR="00EF2817" w:rsidRPr="00523E82">
        <w:rPr>
          <w:rFonts w:ascii="Arial" w:hAnsi="Arial" w:cs="Arial"/>
        </w:rPr>
        <w:t>i</w:t>
      </w:r>
      <w:r w:rsidR="007F54B0" w:rsidRPr="00523E82">
        <w:rPr>
          <w:rFonts w:ascii="Arial" w:hAnsi="Arial" w:cs="Arial"/>
        </w:rPr>
        <w:t xml:space="preserve">n </w:t>
      </w:r>
      <w:r w:rsidR="004B2E02" w:rsidRPr="00523E82">
        <w:rPr>
          <w:rFonts w:ascii="Arial" w:hAnsi="Arial" w:cs="Arial"/>
        </w:rPr>
        <w:t>SARS-CoV-1</w:t>
      </w:r>
      <w:r w:rsidR="00B058F5" w:rsidRPr="00523E82">
        <w:rPr>
          <w:rFonts w:ascii="Arial" w:hAnsi="Arial" w:cs="Arial"/>
        </w:rPr>
        <w:t>,</w:t>
      </w:r>
      <w:r w:rsidR="00EF2817" w:rsidRPr="00523E82">
        <w:rPr>
          <w:rFonts w:ascii="Arial" w:hAnsi="Arial" w:cs="Arial"/>
        </w:rPr>
        <w:t xml:space="preserve"> it is</w:t>
      </w:r>
      <w:r w:rsidR="004B2E02" w:rsidRPr="00523E82">
        <w:rPr>
          <w:rFonts w:ascii="Arial" w:hAnsi="Arial" w:cs="Arial"/>
        </w:rPr>
        <w:t xml:space="preserve"> </w:t>
      </w:r>
      <w:r w:rsidR="007F54B0" w:rsidRPr="00523E82">
        <w:rPr>
          <w:rFonts w:ascii="Arial" w:hAnsi="Arial" w:cs="Arial"/>
        </w:rPr>
        <w:t>the spike protein</w:t>
      </w:r>
      <w:r w:rsidR="004B2E02" w:rsidRPr="00523E82">
        <w:rPr>
          <w:rFonts w:ascii="Arial" w:hAnsi="Arial" w:cs="Arial"/>
        </w:rPr>
        <w:t xml:space="preserve"> </w:t>
      </w:r>
      <w:r w:rsidR="00EF2817" w:rsidRPr="00523E82">
        <w:rPr>
          <w:rFonts w:ascii="Arial" w:hAnsi="Arial" w:cs="Arial"/>
        </w:rPr>
        <w:t>(</w:t>
      </w:r>
      <w:r w:rsidR="007F54B0" w:rsidRPr="00523E82">
        <w:rPr>
          <w:rFonts w:ascii="Arial" w:hAnsi="Arial" w:cs="Arial"/>
        </w:rPr>
        <w:t xml:space="preserve">essential </w:t>
      </w:r>
      <w:r w:rsidR="004B2E02" w:rsidRPr="00523E82">
        <w:rPr>
          <w:rFonts w:ascii="Arial" w:hAnsi="Arial" w:cs="Arial"/>
        </w:rPr>
        <w:t>in virus attachment and cell entry</w:t>
      </w:r>
      <w:r w:rsidR="00EF2817" w:rsidRPr="00523E82">
        <w:rPr>
          <w:rFonts w:ascii="Arial" w:hAnsi="Arial" w:cs="Arial"/>
        </w:rPr>
        <w:t xml:space="preserve">) and specifically the </w:t>
      </w:r>
      <w:r w:rsidR="00A36BD0" w:rsidRPr="00523E82">
        <w:rPr>
          <w:rFonts w:ascii="Arial" w:hAnsi="Arial" w:cs="Arial"/>
        </w:rPr>
        <w:t>receptor-</w:t>
      </w:r>
      <w:r w:rsidR="00EF2817" w:rsidRPr="00523E82">
        <w:rPr>
          <w:rFonts w:ascii="Arial" w:hAnsi="Arial" w:cs="Arial"/>
        </w:rPr>
        <w:t>binding</w:t>
      </w:r>
      <w:r w:rsidR="00A36BD0" w:rsidRPr="00523E82">
        <w:rPr>
          <w:rFonts w:ascii="Arial" w:hAnsi="Arial" w:cs="Arial"/>
        </w:rPr>
        <w:t>-</w:t>
      </w:r>
      <w:r w:rsidR="00EF2817" w:rsidRPr="00523E82">
        <w:rPr>
          <w:rFonts w:ascii="Arial" w:hAnsi="Arial" w:cs="Arial"/>
        </w:rPr>
        <w:t>domain</w:t>
      </w:r>
      <w:r w:rsidR="00A36BD0" w:rsidRPr="00523E82">
        <w:rPr>
          <w:rFonts w:ascii="Arial" w:hAnsi="Arial" w:cs="Arial"/>
        </w:rPr>
        <w:t xml:space="preserve"> (RBD)</w:t>
      </w:r>
      <w:r w:rsidR="00EF2817" w:rsidRPr="00523E82">
        <w:rPr>
          <w:rFonts w:ascii="Arial" w:hAnsi="Arial" w:cs="Arial"/>
        </w:rPr>
        <w:t xml:space="preserve"> </w:t>
      </w:r>
      <w:r w:rsidR="00A36BD0" w:rsidRPr="00523E82">
        <w:rPr>
          <w:rFonts w:ascii="Arial" w:hAnsi="Arial" w:cs="Arial"/>
        </w:rPr>
        <w:t xml:space="preserve">for </w:t>
      </w:r>
      <w:r w:rsidR="00EF2817" w:rsidRPr="00523E82">
        <w:rPr>
          <w:rFonts w:ascii="Arial" w:hAnsi="Arial" w:cs="Arial"/>
        </w:rPr>
        <w:t>which</w:t>
      </w:r>
      <w:r w:rsidR="00F31A94" w:rsidRPr="00523E82">
        <w:rPr>
          <w:rFonts w:ascii="Arial" w:hAnsi="Arial" w:cs="Arial"/>
        </w:rPr>
        <w:t xml:space="preserve"> </w:t>
      </w:r>
      <w:r w:rsidR="007F54B0" w:rsidRPr="00523E82">
        <w:rPr>
          <w:rFonts w:ascii="Arial" w:hAnsi="Arial" w:cs="Arial"/>
        </w:rPr>
        <w:t>neutralizing antibodies</w:t>
      </w:r>
      <w:r w:rsidR="00EF2817" w:rsidRPr="00523E82">
        <w:rPr>
          <w:rFonts w:ascii="Arial" w:hAnsi="Arial" w:cs="Arial"/>
        </w:rPr>
        <w:t xml:space="preserve"> </w:t>
      </w:r>
      <w:r w:rsidR="000A6C1D" w:rsidRPr="00523E82">
        <w:rPr>
          <w:rFonts w:ascii="Arial" w:hAnsi="Arial" w:cs="Arial"/>
        </w:rPr>
        <w:t xml:space="preserve">have been </w:t>
      </w:r>
      <w:r w:rsidR="007F54B0" w:rsidRPr="00523E82">
        <w:rPr>
          <w:rFonts w:ascii="Arial" w:hAnsi="Arial" w:cs="Arial"/>
        </w:rPr>
        <w:lastRenderedPageBreak/>
        <w:t>identified</w:t>
      </w:r>
      <w:r w:rsidR="004B2E02" w:rsidRPr="00523E82">
        <w:rPr>
          <w:rFonts w:ascii="Arial" w:hAnsi="Arial" w:cs="Arial"/>
        </w:rPr>
        <w:t>.</w:t>
      </w:r>
      <w:r w:rsidR="001657F6">
        <w:rPr>
          <w:rFonts w:ascii="Arial" w:hAnsi="Arial" w:cs="Arial"/>
          <w:vertAlign w:val="superscript"/>
        </w:rPr>
        <w:t>4</w:t>
      </w:r>
      <w:r w:rsidR="006D6992" w:rsidRPr="00523E82">
        <w:rPr>
          <w:rFonts w:ascii="Arial" w:hAnsi="Arial" w:cs="Arial"/>
        </w:rPr>
        <w:t xml:space="preserve"> </w:t>
      </w:r>
      <w:r w:rsidR="004B2E02" w:rsidRPr="00523E82">
        <w:rPr>
          <w:rFonts w:ascii="Arial" w:hAnsi="Arial" w:cs="Arial"/>
        </w:rPr>
        <w:t>E</w:t>
      </w:r>
      <w:r w:rsidR="002C7124" w:rsidRPr="00523E82">
        <w:rPr>
          <w:rFonts w:ascii="Arial" w:hAnsi="Arial" w:cs="Arial"/>
        </w:rPr>
        <w:t>arly work</w:t>
      </w:r>
      <w:r w:rsidR="007F54B0" w:rsidRPr="00523E82">
        <w:rPr>
          <w:rFonts w:ascii="Arial" w:hAnsi="Arial" w:cs="Arial"/>
        </w:rPr>
        <w:t xml:space="preserve"> </w:t>
      </w:r>
      <w:r w:rsidR="006D6992" w:rsidRPr="00523E82">
        <w:rPr>
          <w:rFonts w:ascii="Arial" w:hAnsi="Arial" w:cs="Arial"/>
        </w:rPr>
        <w:t>has</w:t>
      </w:r>
      <w:r w:rsidR="00797996" w:rsidRPr="00523E82">
        <w:rPr>
          <w:rFonts w:ascii="Arial" w:hAnsi="Arial" w:cs="Arial"/>
        </w:rPr>
        <w:t xml:space="preserve"> also</w:t>
      </w:r>
      <w:r w:rsidR="006D6992" w:rsidRPr="00523E82">
        <w:rPr>
          <w:rFonts w:ascii="Arial" w:hAnsi="Arial" w:cs="Arial"/>
        </w:rPr>
        <w:t xml:space="preserve"> shown</w:t>
      </w:r>
      <w:r w:rsidR="00F31A94" w:rsidRPr="00523E82">
        <w:rPr>
          <w:rFonts w:ascii="Arial" w:hAnsi="Arial" w:cs="Arial"/>
        </w:rPr>
        <w:t xml:space="preserve"> </w:t>
      </w:r>
      <w:r w:rsidR="006D6992" w:rsidRPr="00523E82">
        <w:rPr>
          <w:rFonts w:ascii="Arial" w:hAnsi="Arial" w:cs="Arial"/>
        </w:rPr>
        <w:t xml:space="preserve">anti-RBD antibodies </w:t>
      </w:r>
      <w:r w:rsidR="00EF2817" w:rsidRPr="00523E82">
        <w:rPr>
          <w:rFonts w:ascii="Arial" w:hAnsi="Arial" w:cs="Arial"/>
        </w:rPr>
        <w:t>ha</w:t>
      </w:r>
      <w:r w:rsidR="00E73B72" w:rsidRPr="00523E82">
        <w:rPr>
          <w:rFonts w:ascii="Arial" w:hAnsi="Arial" w:cs="Arial"/>
        </w:rPr>
        <w:t>ve</w:t>
      </w:r>
      <w:r w:rsidR="00EF2817" w:rsidRPr="00523E82">
        <w:rPr>
          <w:rFonts w:ascii="Arial" w:hAnsi="Arial" w:cs="Arial"/>
        </w:rPr>
        <w:t xml:space="preserve"> some correlation</w:t>
      </w:r>
      <w:r w:rsidR="006D6992" w:rsidRPr="00523E82">
        <w:rPr>
          <w:rFonts w:ascii="Arial" w:hAnsi="Arial" w:cs="Arial"/>
        </w:rPr>
        <w:t xml:space="preserve"> with neutralization in </w:t>
      </w:r>
      <w:r w:rsidR="00F31A94" w:rsidRPr="00523E82">
        <w:rPr>
          <w:rFonts w:ascii="Arial" w:hAnsi="Arial" w:cs="Arial"/>
        </w:rPr>
        <w:t>SARS-CoV-2</w:t>
      </w:r>
      <w:r w:rsidR="006D6992" w:rsidRPr="00523E82">
        <w:rPr>
          <w:rFonts w:ascii="Arial" w:hAnsi="Arial" w:cs="Arial"/>
        </w:rPr>
        <w:t>.</w:t>
      </w:r>
      <w:r w:rsidR="001657F6">
        <w:rPr>
          <w:rFonts w:ascii="Arial" w:hAnsi="Arial" w:cs="Arial"/>
          <w:vertAlign w:val="superscript"/>
        </w:rPr>
        <w:t>5</w:t>
      </w:r>
      <w:r w:rsidR="00F31A94" w:rsidRPr="00523E82">
        <w:rPr>
          <w:rFonts w:ascii="Arial" w:hAnsi="Arial" w:cs="Arial"/>
        </w:rPr>
        <w:t xml:space="preserve"> </w:t>
      </w:r>
      <w:r w:rsidR="00190186" w:rsidRPr="00523E82">
        <w:rPr>
          <w:rFonts w:ascii="Arial" w:hAnsi="Arial" w:cs="Arial"/>
        </w:rPr>
        <w:t>In addition to this</w:t>
      </w:r>
      <w:r w:rsidR="002C7124" w:rsidRPr="00523E82">
        <w:rPr>
          <w:rFonts w:ascii="Arial" w:hAnsi="Arial" w:cs="Arial"/>
        </w:rPr>
        <w:t xml:space="preserve"> humoral response</w:t>
      </w:r>
      <w:r w:rsidR="00190186" w:rsidRPr="00523E82">
        <w:rPr>
          <w:rFonts w:ascii="Arial" w:hAnsi="Arial" w:cs="Arial"/>
        </w:rPr>
        <w:t xml:space="preserve">, </w:t>
      </w:r>
      <w:r w:rsidR="00E44F2F" w:rsidRPr="00523E82">
        <w:rPr>
          <w:rFonts w:ascii="Arial" w:hAnsi="Arial" w:cs="Arial"/>
        </w:rPr>
        <w:t xml:space="preserve">there is </w:t>
      </w:r>
      <w:r w:rsidR="00190186" w:rsidRPr="00523E82">
        <w:rPr>
          <w:rFonts w:ascii="Arial" w:hAnsi="Arial" w:cs="Arial"/>
        </w:rPr>
        <w:t>evidence</w:t>
      </w:r>
      <w:r w:rsidR="00E44F2F" w:rsidRPr="00523E82">
        <w:rPr>
          <w:rFonts w:ascii="Arial" w:hAnsi="Arial" w:cs="Arial"/>
        </w:rPr>
        <w:t xml:space="preserve"> of</w:t>
      </w:r>
      <w:r w:rsidR="002C7124" w:rsidRPr="00523E82">
        <w:rPr>
          <w:rFonts w:ascii="Arial" w:hAnsi="Arial" w:cs="Arial"/>
        </w:rPr>
        <w:t xml:space="preserve"> a </w:t>
      </w:r>
      <w:r w:rsidR="00190186" w:rsidRPr="00523E82">
        <w:rPr>
          <w:rFonts w:ascii="Arial" w:hAnsi="Arial" w:cs="Arial"/>
        </w:rPr>
        <w:t xml:space="preserve">multi-faceted </w:t>
      </w:r>
      <w:r w:rsidR="00FB15BC" w:rsidRPr="00523E82">
        <w:rPr>
          <w:rFonts w:ascii="Arial" w:hAnsi="Arial" w:cs="Arial"/>
        </w:rPr>
        <w:t>reaction</w:t>
      </w:r>
      <w:r w:rsidR="00190186" w:rsidRPr="00523E82">
        <w:rPr>
          <w:rFonts w:ascii="Arial" w:hAnsi="Arial" w:cs="Arial"/>
          <w:color w:val="FF0000"/>
        </w:rPr>
        <w:t xml:space="preserve"> </w:t>
      </w:r>
      <w:r w:rsidR="00EB7056" w:rsidRPr="00523E82">
        <w:rPr>
          <w:rFonts w:ascii="Arial" w:hAnsi="Arial" w:cs="Arial"/>
        </w:rPr>
        <w:t>in the early phase of</w:t>
      </w:r>
      <w:r w:rsidR="00190186" w:rsidRPr="00523E82">
        <w:rPr>
          <w:rFonts w:ascii="Arial" w:hAnsi="Arial" w:cs="Arial"/>
        </w:rPr>
        <w:t xml:space="preserve"> SARS-CoV-2 infection involving not only antibody-secreting B cells, but </w:t>
      </w:r>
      <w:r w:rsidR="00EB7056" w:rsidRPr="00523E82">
        <w:rPr>
          <w:rFonts w:ascii="Arial" w:hAnsi="Arial" w:cs="Arial"/>
        </w:rPr>
        <w:t xml:space="preserve">also </w:t>
      </w:r>
      <w:r w:rsidR="00190186" w:rsidRPr="00523E82">
        <w:rPr>
          <w:rFonts w:ascii="Arial" w:hAnsi="Arial" w:cs="Arial"/>
        </w:rPr>
        <w:t>follicular T helper cells</w:t>
      </w:r>
      <w:r w:rsidR="00EB7056" w:rsidRPr="00523E82">
        <w:rPr>
          <w:rFonts w:ascii="Arial" w:hAnsi="Arial" w:cs="Arial"/>
        </w:rPr>
        <w:t>, activated CD4</w:t>
      </w:r>
      <w:r w:rsidR="00EB7056" w:rsidRPr="00523E82">
        <w:rPr>
          <w:rFonts w:ascii="Arial" w:hAnsi="Arial" w:cs="Arial"/>
          <w:vertAlign w:val="superscript"/>
        </w:rPr>
        <w:t xml:space="preserve">+ </w:t>
      </w:r>
      <w:r w:rsidR="00EB7056" w:rsidRPr="00523E82">
        <w:rPr>
          <w:rFonts w:ascii="Arial" w:hAnsi="Arial" w:cs="Arial"/>
        </w:rPr>
        <w:t>cells and CD8</w:t>
      </w:r>
      <w:r w:rsidR="00EB7056" w:rsidRPr="00523E82">
        <w:rPr>
          <w:rFonts w:ascii="Arial" w:hAnsi="Arial" w:cs="Arial"/>
          <w:vertAlign w:val="superscript"/>
        </w:rPr>
        <w:t>+</w:t>
      </w:r>
      <w:r w:rsidR="00EB7056" w:rsidRPr="00523E82">
        <w:rPr>
          <w:rFonts w:ascii="Arial" w:hAnsi="Arial" w:cs="Arial"/>
        </w:rPr>
        <w:t xml:space="preserve"> T cells prior to the recovery of symptoms.</w:t>
      </w:r>
      <w:r w:rsidR="001657F6">
        <w:rPr>
          <w:rFonts w:ascii="Arial" w:hAnsi="Arial" w:cs="Arial"/>
          <w:vertAlign w:val="superscript"/>
        </w:rPr>
        <w:t>3</w:t>
      </w:r>
      <w:r w:rsidR="00EB7056" w:rsidRPr="00523E82">
        <w:rPr>
          <w:rFonts w:ascii="Arial" w:hAnsi="Arial" w:cs="Arial"/>
        </w:rPr>
        <w:t xml:space="preserve"> </w:t>
      </w:r>
    </w:p>
    <w:p w14:paraId="25259571" w14:textId="77777777" w:rsidR="000A6C1D" w:rsidRPr="00523E82" w:rsidRDefault="000A6C1D" w:rsidP="00491237">
      <w:pPr>
        <w:spacing w:after="0" w:line="360" w:lineRule="auto"/>
        <w:rPr>
          <w:rFonts w:ascii="Arial" w:hAnsi="Arial" w:cs="Arial"/>
        </w:rPr>
      </w:pPr>
    </w:p>
    <w:p w14:paraId="2DE2D390" w14:textId="28614388" w:rsidR="00693E66" w:rsidRDefault="00B51992" w:rsidP="00491237">
      <w:pPr>
        <w:spacing w:after="0" w:line="360" w:lineRule="auto"/>
        <w:rPr>
          <w:rFonts w:ascii="Arial" w:hAnsi="Arial" w:cs="Arial"/>
        </w:rPr>
      </w:pPr>
      <w:r>
        <w:rPr>
          <w:rFonts w:ascii="Arial" w:hAnsi="Arial" w:cs="Arial"/>
        </w:rPr>
        <w:t xml:space="preserve">In addition to observations by </w:t>
      </w:r>
      <w:proofErr w:type="spellStart"/>
      <w:r w:rsidRPr="009F2CCC">
        <w:rPr>
          <w:rFonts w:ascii="Arial" w:hAnsi="Arial" w:cs="Arial"/>
          <w:color w:val="212121"/>
          <w:shd w:val="clear" w:color="auto" w:fill="FFFFFF"/>
        </w:rPr>
        <w:t>Tré</w:t>
      </w:r>
      <w:proofErr w:type="spellEnd"/>
      <w:r w:rsidRPr="009F2CCC">
        <w:rPr>
          <w:rFonts w:ascii="Arial" w:hAnsi="Arial" w:cs="Arial"/>
          <w:color w:val="212121"/>
          <w:shd w:val="clear" w:color="auto" w:fill="FFFFFF"/>
        </w:rPr>
        <w:t xml:space="preserve">-Hardy </w:t>
      </w:r>
      <w:r w:rsidRPr="009F2CCC">
        <w:rPr>
          <w:rFonts w:ascii="Arial" w:hAnsi="Arial" w:cs="Arial"/>
          <w:i/>
          <w:iCs/>
          <w:color w:val="212121"/>
          <w:shd w:val="clear" w:color="auto" w:fill="FFFFFF"/>
        </w:rPr>
        <w:t>et al.</w:t>
      </w:r>
      <w:r>
        <w:rPr>
          <w:rFonts w:ascii="Arial" w:hAnsi="Arial" w:cs="Arial"/>
          <w:i/>
          <w:iCs/>
          <w:color w:val="212121"/>
          <w:shd w:val="clear" w:color="auto" w:fill="FFFFFF"/>
        </w:rPr>
        <w:t xml:space="preserve"> </w:t>
      </w:r>
      <w:r w:rsidR="00693E66">
        <w:rPr>
          <w:rFonts w:ascii="Arial" w:hAnsi="Arial" w:cs="Arial"/>
          <w:color w:val="212121"/>
          <w:shd w:val="clear" w:color="auto" w:fill="FFFFFF"/>
        </w:rPr>
        <w:t xml:space="preserve">we would further state that the antibody target employed is integral to the potential interpretation of results. </w:t>
      </w:r>
      <w:r w:rsidR="00E44F2F" w:rsidRPr="00B51992">
        <w:rPr>
          <w:rFonts w:ascii="Arial" w:hAnsi="Arial" w:cs="Arial"/>
        </w:rPr>
        <w:t>Currently available</w:t>
      </w:r>
      <w:r w:rsidR="004B2E02" w:rsidRPr="00B51992">
        <w:rPr>
          <w:rFonts w:ascii="Arial" w:hAnsi="Arial" w:cs="Arial"/>
        </w:rPr>
        <w:t xml:space="preserve"> serological assays</w:t>
      </w:r>
      <w:r w:rsidR="00E44F2F" w:rsidRPr="00B51992">
        <w:rPr>
          <w:rFonts w:ascii="Arial" w:hAnsi="Arial" w:cs="Arial"/>
        </w:rPr>
        <w:t xml:space="preserve"> tend to target either </w:t>
      </w:r>
      <w:r w:rsidR="004B2E02" w:rsidRPr="00B51992">
        <w:rPr>
          <w:rFonts w:ascii="Arial" w:hAnsi="Arial" w:cs="Arial"/>
        </w:rPr>
        <w:t>non-neutralizing antibod</w:t>
      </w:r>
      <w:r w:rsidR="00DD0109" w:rsidRPr="00B51992">
        <w:rPr>
          <w:rFonts w:ascii="Arial" w:hAnsi="Arial" w:cs="Arial"/>
        </w:rPr>
        <w:t>ies</w:t>
      </w:r>
      <w:r w:rsidR="00E44F2F" w:rsidRPr="00B51992">
        <w:rPr>
          <w:rFonts w:ascii="Arial" w:hAnsi="Arial" w:cs="Arial"/>
        </w:rPr>
        <w:t xml:space="preserve"> or rarely the likely neutralizing anti-RBD antibody. </w:t>
      </w:r>
      <w:r w:rsidR="00797996" w:rsidRPr="00B51992">
        <w:rPr>
          <w:rFonts w:ascii="Arial" w:hAnsi="Arial" w:cs="Arial"/>
        </w:rPr>
        <w:t>D</w:t>
      </w:r>
      <w:r w:rsidR="004B2E02" w:rsidRPr="00B51992">
        <w:rPr>
          <w:rFonts w:ascii="Arial" w:hAnsi="Arial" w:cs="Arial"/>
        </w:rPr>
        <w:t>ifferentiation between</w:t>
      </w:r>
      <w:r w:rsidR="00797996" w:rsidRPr="00B51992">
        <w:rPr>
          <w:rFonts w:ascii="Arial" w:hAnsi="Arial" w:cs="Arial"/>
        </w:rPr>
        <w:t xml:space="preserve"> </w:t>
      </w:r>
      <w:r w:rsidR="004B2E02" w:rsidRPr="00B51992">
        <w:rPr>
          <w:rFonts w:ascii="Arial" w:hAnsi="Arial" w:cs="Arial"/>
        </w:rPr>
        <w:t>test</w:t>
      </w:r>
      <w:r w:rsidR="00DD0109" w:rsidRPr="00B51992">
        <w:rPr>
          <w:rFonts w:ascii="Arial" w:hAnsi="Arial" w:cs="Arial"/>
        </w:rPr>
        <w:t xml:space="preserve"> target</w:t>
      </w:r>
      <w:r w:rsidR="004B2E02" w:rsidRPr="00B51992">
        <w:rPr>
          <w:rFonts w:ascii="Arial" w:hAnsi="Arial" w:cs="Arial"/>
        </w:rPr>
        <w:t>s by the wider public is an unrealistic expectation</w:t>
      </w:r>
      <w:r w:rsidR="00F31A94" w:rsidRPr="00B51992">
        <w:rPr>
          <w:rFonts w:ascii="Arial" w:hAnsi="Arial" w:cs="Arial"/>
        </w:rPr>
        <w:t xml:space="preserve">. </w:t>
      </w:r>
      <w:r w:rsidR="00B645E7" w:rsidRPr="00B51992">
        <w:rPr>
          <w:rFonts w:ascii="Arial" w:hAnsi="Arial" w:cs="Arial"/>
        </w:rPr>
        <w:t>Using an online repository of available assays</w:t>
      </w:r>
      <w:r w:rsidR="002C1B39" w:rsidRPr="00B51992">
        <w:rPr>
          <w:rFonts w:ascii="Arial" w:hAnsi="Arial" w:cs="Arial"/>
        </w:rPr>
        <w:t>,</w:t>
      </w:r>
      <w:r w:rsidR="001657F6">
        <w:rPr>
          <w:rFonts w:ascii="Arial" w:hAnsi="Arial" w:cs="Arial"/>
          <w:vertAlign w:val="superscript"/>
        </w:rPr>
        <w:t>6</w:t>
      </w:r>
      <w:r w:rsidR="00B645E7" w:rsidRPr="00B51992">
        <w:rPr>
          <w:rFonts w:ascii="Arial" w:hAnsi="Arial" w:cs="Arial"/>
        </w:rPr>
        <w:t xml:space="preserve"> and cross-referencing against regulatory body and advisory lists, w</w:t>
      </w:r>
      <w:r w:rsidR="00445984" w:rsidRPr="00B51992">
        <w:rPr>
          <w:rFonts w:ascii="Arial" w:hAnsi="Arial" w:cs="Arial"/>
        </w:rPr>
        <w:t>e</w:t>
      </w:r>
      <w:r w:rsidR="00B645E7" w:rsidRPr="00B51992">
        <w:rPr>
          <w:rFonts w:ascii="Arial" w:hAnsi="Arial" w:cs="Arial"/>
        </w:rPr>
        <w:t xml:space="preserve"> identified 2</w:t>
      </w:r>
      <w:r w:rsidR="00E73B72" w:rsidRPr="00B51992">
        <w:rPr>
          <w:rFonts w:ascii="Arial" w:hAnsi="Arial" w:cs="Arial"/>
        </w:rPr>
        <w:t>8</w:t>
      </w:r>
      <w:r w:rsidR="00B25361" w:rsidRPr="00B51992">
        <w:rPr>
          <w:rFonts w:ascii="Arial" w:hAnsi="Arial" w:cs="Arial"/>
        </w:rPr>
        <w:t>4</w:t>
      </w:r>
      <w:r w:rsidR="00E44F2F" w:rsidRPr="00B51992">
        <w:rPr>
          <w:rFonts w:ascii="Arial" w:hAnsi="Arial" w:cs="Arial"/>
        </w:rPr>
        <w:t xml:space="preserve"> currently available </w:t>
      </w:r>
      <w:r w:rsidR="00445984" w:rsidRPr="00B51992">
        <w:rPr>
          <w:rFonts w:ascii="Arial" w:hAnsi="Arial" w:cs="Arial"/>
        </w:rPr>
        <w:t>as</w:t>
      </w:r>
      <w:r w:rsidR="006D6992" w:rsidRPr="00B51992">
        <w:rPr>
          <w:rFonts w:ascii="Arial" w:hAnsi="Arial" w:cs="Arial"/>
        </w:rPr>
        <w:t>says (Figure 1</w:t>
      </w:r>
      <w:r w:rsidR="004B2E02" w:rsidRPr="00B51992">
        <w:rPr>
          <w:rFonts w:ascii="Arial" w:hAnsi="Arial" w:cs="Arial"/>
        </w:rPr>
        <w:t>)</w:t>
      </w:r>
      <w:r w:rsidR="00046617" w:rsidRPr="00B51992">
        <w:rPr>
          <w:rFonts w:ascii="Arial" w:hAnsi="Arial" w:cs="Arial"/>
        </w:rPr>
        <w:t xml:space="preserve">. </w:t>
      </w:r>
      <w:r w:rsidR="00B058F5" w:rsidRPr="00B51992">
        <w:rPr>
          <w:rFonts w:ascii="Arial" w:hAnsi="Arial" w:cs="Arial"/>
        </w:rPr>
        <w:t xml:space="preserve">Having analysed </w:t>
      </w:r>
      <w:r w:rsidR="00445984" w:rsidRPr="00B51992">
        <w:rPr>
          <w:rFonts w:ascii="Arial" w:hAnsi="Arial" w:cs="Arial"/>
        </w:rPr>
        <w:t xml:space="preserve">product </w:t>
      </w:r>
      <w:r w:rsidR="004B2E02" w:rsidRPr="00B51992">
        <w:rPr>
          <w:rFonts w:ascii="Arial" w:hAnsi="Arial" w:cs="Arial"/>
        </w:rPr>
        <w:t>description</w:t>
      </w:r>
      <w:r w:rsidR="00E73B72" w:rsidRPr="00B51992">
        <w:rPr>
          <w:rFonts w:ascii="Arial" w:hAnsi="Arial" w:cs="Arial"/>
        </w:rPr>
        <w:t>s</w:t>
      </w:r>
      <w:r w:rsidR="004B2E02" w:rsidRPr="00B51992">
        <w:rPr>
          <w:rFonts w:ascii="Arial" w:hAnsi="Arial" w:cs="Arial"/>
        </w:rPr>
        <w:t xml:space="preserve"> </w:t>
      </w:r>
      <w:r w:rsidR="006D6992" w:rsidRPr="00B51992">
        <w:rPr>
          <w:rFonts w:ascii="Arial" w:hAnsi="Arial" w:cs="Arial"/>
        </w:rPr>
        <w:t>and</w:t>
      </w:r>
      <w:r w:rsidR="004B2E02" w:rsidRPr="00B51992">
        <w:rPr>
          <w:rFonts w:ascii="Arial" w:hAnsi="Arial" w:cs="Arial"/>
        </w:rPr>
        <w:t>, where available,</w:t>
      </w:r>
      <w:r w:rsidR="00B645E7" w:rsidRPr="00B51992">
        <w:rPr>
          <w:rFonts w:ascii="Arial" w:hAnsi="Arial" w:cs="Arial"/>
        </w:rPr>
        <w:t xml:space="preserve"> </w:t>
      </w:r>
      <w:r w:rsidR="00AB3CF6" w:rsidRPr="00B51992">
        <w:rPr>
          <w:rFonts w:ascii="Arial" w:hAnsi="Arial" w:cs="Arial"/>
        </w:rPr>
        <w:t xml:space="preserve">instruction leaflets and </w:t>
      </w:r>
      <w:r w:rsidR="00B645E7" w:rsidRPr="00B51992">
        <w:rPr>
          <w:rFonts w:ascii="Arial" w:hAnsi="Arial" w:cs="Arial"/>
        </w:rPr>
        <w:t>regulatory</w:t>
      </w:r>
      <w:r w:rsidR="004B2E02" w:rsidRPr="00B51992">
        <w:rPr>
          <w:rFonts w:ascii="Arial" w:hAnsi="Arial" w:cs="Arial"/>
        </w:rPr>
        <w:t xml:space="preserve"> </w:t>
      </w:r>
      <w:r w:rsidR="00B645E7" w:rsidRPr="00B51992">
        <w:rPr>
          <w:rFonts w:ascii="Arial" w:hAnsi="Arial" w:cs="Arial"/>
        </w:rPr>
        <w:t>documentation submitted for approval</w:t>
      </w:r>
      <w:r w:rsidR="00AB3CF6" w:rsidRPr="00B51992">
        <w:rPr>
          <w:rFonts w:ascii="Arial" w:hAnsi="Arial" w:cs="Arial"/>
        </w:rPr>
        <w:t>s</w:t>
      </w:r>
      <w:r w:rsidR="00445984" w:rsidRPr="00B51992">
        <w:rPr>
          <w:rFonts w:ascii="Arial" w:hAnsi="Arial" w:cs="Arial"/>
        </w:rPr>
        <w:t xml:space="preserve"> </w:t>
      </w:r>
      <w:r w:rsidR="00533687" w:rsidRPr="00B51992">
        <w:rPr>
          <w:rFonts w:ascii="Arial" w:hAnsi="Arial" w:cs="Arial"/>
        </w:rPr>
        <w:t xml:space="preserve">we </w:t>
      </w:r>
      <w:r w:rsidR="00445984" w:rsidRPr="00B51992">
        <w:rPr>
          <w:rFonts w:ascii="Arial" w:hAnsi="Arial" w:cs="Arial"/>
        </w:rPr>
        <w:t>find that the majority (</w:t>
      </w:r>
      <w:r w:rsidR="00A36BD0" w:rsidRPr="00B51992">
        <w:rPr>
          <w:rFonts w:ascii="Arial" w:hAnsi="Arial" w:cs="Arial"/>
        </w:rPr>
        <w:t>1</w:t>
      </w:r>
      <w:r w:rsidR="00D94F4B" w:rsidRPr="00B51992">
        <w:rPr>
          <w:rFonts w:ascii="Arial" w:hAnsi="Arial" w:cs="Arial"/>
        </w:rPr>
        <w:t>68</w:t>
      </w:r>
      <w:r w:rsidR="00445984" w:rsidRPr="00B51992">
        <w:rPr>
          <w:rFonts w:ascii="Arial" w:hAnsi="Arial" w:cs="Arial"/>
        </w:rPr>
        <w:t>/</w:t>
      </w:r>
      <w:r w:rsidR="00192148" w:rsidRPr="00B51992">
        <w:rPr>
          <w:rFonts w:ascii="Arial" w:hAnsi="Arial" w:cs="Arial"/>
        </w:rPr>
        <w:t>2</w:t>
      </w:r>
      <w:r w:rsidR="00E73B72" w:rsidRPr="00B51992">
        <w:rPr>
          <w:rFonts w:ascii="Arial" w:hAnsi="Arial" w:cs="Arial"/>
        </w:rPr>
        <w:t>84</w:t>
      </w:r>
      <w:r w:rsidR="00D94F4B" w:rsidRPr="00B51992">
        <w:rPr>
          <w:rFonts w:ascii="Arial" w:hAnsi="Arial" w:cs="Arial"/>
        </w:rPr>
        <w:t>, 59.2%</w:t>
      </w:r>
      <w:r w:rsidR="00445984" w:rsidRPr="00B51992">
        <w:rPr>
          <w:rFonts w:ascii="Arial" w:hAnsi="Arial" w:cs="Arial"/>
        </w:rPr>
        <w:t>) make only vague reference to SARS-CoV-2 antigen</w:t>
      </w:r>
      <w:r w:rsidR="00A36BD0" w:rsidRPr="00B51992">
        <w:rPr>
          <w:rFonts w:ascii="Arial" w:hAnsi="Arial" w:cs="Arial"/>
        </w:rPr>
        <w:t>s or antibodies and some no reference whatsoever (</w:t>
      </w:r>
      <w:r w:rsidR="00B25361" w:rsidRPr="00B51992">
        <w:rPr>
          <w:rFonts w:ascii="Arial" w:hAnsi="Arial" w:cs="Arial"/>
        </w:rPr>
        <w:t>49</w:t>
      </w:r>
      <w:r w:rsidR="00192148" w:rsidRPr="00B51992">
        <w:rPr>
          <w:rFonts w:ascii="Arial" w:hAnsi="Arial" w:cs="Arial"/>
        </w:rPr>
        <w:t>/2</w:t>
      </w:r>
      <w:r w:rsidR="00B25361" w:rsidRPr="00B51992">
        <w:rPr>
          <w:rFonts w:ascii="Arial" w:hAnsi="Arial" w:cs="Arial"/>
        </w:rPr>
        <w:t>84</w:t>
      </w:r>
      <w:r w:rsidR="00D94F4B" w:rsidRPr="00B51992">
        <w:rPr>
          <w:rFonts w:ascii="Arial" w:hAnsi="Arial" w:cs="Arial"/>
        </w:rPr>
        <w:t>, 17.3%</w:t>
      </w:r>
      <w:r w:rsidR="00A36BD0" w:rsidRPr="00B51992">
        <w:rPr>
          <w:rFonts w:ascii="Arial" w:hAnsi="Arial" w:cs="Arial"/>
        </w:rPr>
        <w:t>)</w:t>
      </w:r>
      <w:r w:rsidR="00445984" w:rsidRPr="00B51992">
        <w:rPr>
          <w:rFonts w:ascii="Arial" w:hAnsi="Arial" w:cs="Arial"/>
        </w:rPr>
        <w:t>. Where manufacturers specify antibody targets, th</w:t>
      </w:r>
      <w:r w:rsidR="00F159F7">
        <w:rPr>
          <w:rFonts w:ascii="Arial" w:hAnsi="Arial" w:cs="Arial"/>
        </w:rPr>
        <w:t>is is</w:t>
      </w:r>
      <w:r w:rsidR="00445984" w:rsidRPr="00B51992">
        <w:rPr>
          <w:rFonts w:ascii="Arial" w:hAnsi="Arial" w:cs="Arial"/>
        </w:rPr>
        <w:t xml:space="preserve"> most common</w:t>
      </w:r>
      <w:r w:rsidR="00F159F7">
        <w:rPr>
          <w:rFonts w:ascii="Arial" w:hAnsi="Arial" w:cs="Arial"/>
        </w:rPr>
        <w:t>ly to</w:t>
      </w:r>
      <w:r w:rsidR="00445984" w:rsidRPr="00B51992">
        <w:rPr>
          <w:rFonts w:ascii="Arial" w:hAnsi="Arial" w:cs="Arial"/>
        </w:rPr>
        <w:t xml:space="preserve"> the </w:t>
      </w:r>
      <w:r w:rsidR="00E44F2F" w:rsidRPr="00B51992">
        <w:rPr>
          <w:rFonts w:ascii="Arial" w:hAnsi="Arial" w:cs="Arial"/>
        </w:rPr>
        <w:t xml:space="preserve">NP </w:t>
      </w:r>
      <w:r w:rsidR="00445984" w:rsidRPr="00B51992">
        <w:rPr>
          <w:rFonts w:ascii="Arial" w:hAnsi="Arial" w:cs="Arial"/>
        </w:rPr>
        <w:t>(</w:t>
      </w:r>
      <w:r w:rsidR="00B25361" w:rsidRPr="00B51992">
        <w:rPr>
          <w:rFonts w:ascii="Arial" w:hAnsi="Arial" w:cs="Arial"/>
        </w:rPr>
        <w:t>36</w:t>
      </w:r>
      <w:r w:rsidR="00445984" w:rsidRPr="00B51992">
        <w:rPr>
          <w:rFonts w:ascii="Arial" w:hAnsi="Arial" w:cs="Arial"/>
        </w:rPr>
        <w:t>/</w:t>
      </w:r>
      <w:r w:rsidR="00B25361" w:rsidRPr="00B51992">
        <w:rPr>
          <w:rFonts w:ascii="Arial" w:hAnsi="Arial" w:cs="Arial"/>
        </w:rPr>
        <w:t>284</w:t>
      </w:r>
      <w:r w:rsidR="00D94F4B" w:rsidRPr="00B51992">
        <w:rPr>
          <w:rFonts w:ascii="Arial" w:hAnsi="Arial" w:cs="Arial"/>
        </w:rPr>
        <w:t>, 12.7%</w:t>
      </w:r>
      <w:r w:rsidR="00445984" w:rsidRPr="00B51992">
        <w:rPr>
          <w:rFonts w:ascii="Arial" w:hAnsi="Arial" w:cs="Arial"/>
        </w:rPr>
        <w:t xml:space="preserve">). </w:t>
      </w:r>
      <w:r w:rsidR="00D94F4B" w:rsidRPr="00B51992">
        <w:rPr>
          <w:rFonts w:ascii="Arial" w:hAnsi="Arial" w:cs="Arial"/>
        </w:rPr>
        <w:t>19</w:t>
      </w:r>
      <w:r w:rsidR="00445984" w:rsidRPr="00B51992">
        <w:rPr>
          <w:rFonts w:ascii="Arial" w:hAnsi="Arial" w:cs="Arial"/>
        </w:rPr>
        <w:t>/</w:t>
      </w:r>
      <w:r w:rsidR="00192148" w:rsidRPr="00B51992">
        <w:rPr>
          <w:rFonts w:ascii="Arial" w:hAnsi="Arial" w:cs="Arial"/>
        </w:rPr>
        <w:t>2</w:t>
      </w:r>
      <w:r w:rsidR="00D94F4B" w:rsidRPr="00B51992">
        <w:rPr>
          <w:rFonts w:ascii="Arial" w:hAnsi="Arial" w:cs="Arial"/>
        </w:rPr>
        <w:t>84 (6.7%)</w:t>
      </w:r>
      <w:r w:rsidR="00445984" w:rsidRPr="00B51992">
        <w:rPr>
          <w:rFonts w:ascii="Arial" w:hAnsi="Arial" w:cs="Arial"/>
        </w:rPr>
        <w:t xml:space="preserve"> </w:t>
      </w:r>
      <w:r w:rsidR="00D94F4B" w:rsidRPr="00B51992">
        <w:rPr>
          <w:rFonts w:ascii="Arial" w:hAnsi="Arial" w:cs="Arial"/>
        </w:rPr>
        <w:t>specify</w:t>
      </w:r>
      <w:r w:rsidR="00445984" w:rsidRPr="00B51992">
        <w:rPr>
          <w:rFonts w:ascii="Arial" w:hAnsi="Arial" w:cs="Arial"/>
        </w:rPr>
        <w:t xml:space="preserve"> </w:t>
      </w:r>
      <w:r w:rsidR="00A36BD0" w:rsidRPr="00B51992">
        <w:rPr>
          <w:rFonts w:ascii="Arial" w:hAnsi="Arial" w:cs="Arial"/>
        </w:rPr>
        <w:t xml:space="preserve">spike protein </w:t>
      </w:r>
      <w:r w:rsidR="00445984" w:rsidRPr="00B51992">
        <w:rPr>
          <w:rFonts w:ascii="Arial" w:hAnsi="Arial" w:cs="Arial"/>
        </w:rPr>
        <w:t xml:space="preserve">targets, </w:t>
      </w:r>
      <w:r w:rsidR="00D94F4B" w:rsidRPr="00B51992">
        <w:rPr>
          <w:rFonts w:ascii="Arial" w:hAnsi="Arial" w:cs="Arial"/>
        </w:rPr>
        <w:t>12</w:t>
      </w:r>
      <w:r w:rsidR="00445984" w:rsidRPr="00B51992">
        <w:rPr>
          <w:rFonts w:ascii="Arial" w:hAnsi="Arial" w:cs="Arial"/>
        </w:rPr>
        <w:t>/</w:t>
      </w:r>
      <w:r w:rsidR="00192148" w:rsidRPr="00B51992">
        <w:rPr>
          <w:rFonts w:ascii="Arial" w:hAnsi="Arial" w:cs="Arial"/>
        </w:rPr>
        <w:t>2</w:t>
      </w:r>
      <w:r w:rsidR="00D94F4B" w:rsidRPr="00B51992">
        <w:rPr>
          <w:rFonts w:ascii="Arial" w:hAnsi="Arial" w:cs="Arial"/>
        </w:rPr>
        <w:t>84 (4.2%)</w:t>
      </w:r>
      <w:r w:rsidR="00192148" w:rsidRPr="00B51992">
        <w:rPr>
          <w:rFonts w:ascii="Arial" w:hAnsi="Arial" w:cs="Arial"/>
        </w:rPr>
        <w:t xml:space="preserve"> specify combination targets</w:t>
      </w:r>
      <w:r w:rsidR="00C83796" w:rsidRPr="00B51992">
        <w:rPr>
          <w:rFonts w:ascii="Arial" w:hAnsi="Arial" w:cs="Arial"/>
        </w:rPr>
        <w:t>,</w:t>
      </w:r>
      <w:r w:rsidR="00445984" w:rsidRPr="00B51992">
        <w:rPr>
          <w:rFonts w:ascii="Arial" w:hAnsi="Arial" w:cs="Arial"/>
        </w:rPr>
        <w:t xml:space="preserve"> </w:t>
      </w:r>
      <w:r w:rsidR="00D94F4B" w:rsidRPr="00B51992">
        <w:rPr>
          <w:rFonts w:ascii="Arial" w:hAnsi="Arial" w:cs="Arial"/>
        </w:rPr>
        <w:t xml:space="preserve">with </w:t>
      </w:r>
      <w:r w:rsidR="00B058F5" w:rsidRPr="00B51992">
        <w:rPr>
          <w:rFonts w:ascii="Arial" w:hAnsi="Arial" w:cs="Arial"/>
        </w:rPr>
        <w:t xml:space="preserve">only </w:t>
      </w:r>
      <w:r w:rsidR="00D94F4B" w:rsidRPr="00B51992">
        <w:rPr>
          <w:rFonts w:ascii="Arial" w:hAnsi="Arial" w:cs="Arial"/>
        </w:rPr>
        <w:t>five</w:t>
      </w:r>
      <w:r w:rsidR="00445984" w:rsidRPr="00B51992">
        <w:rPr>
          <w:rFonts w:ascii="Arial" w:hAnsi="Arial" w:cs="Arial"/>
        </w:rPr>
        <w:t xml:space="preserve"> </w:t>
      </w:r>
      <w:r w:rsidR="00D94F4B" w:rsidRPr="00B51992">
        <w:rPr>
          <w:rFonts w:ascii="Arial" w:hAnsi="Arial" w:cs="Arial"/>
        </w:rPr>
        <w:t xml:space="preserve">(1.8%) </w:t>
      </w:r>
      <w:r w:rsidR="00B058F5" w:rsidRPr="00B51992">
        <w:rPr>
          <w:rFonts w:ascii="Arial" w:hAnsi="Arial" w:cs="Arial"/>
        </w:rPr>
        <w:t>provid</w:t>
      </w:r>
      <w:r w:rsidR="00D94F4B" w:rsidRPr="00B51992">
        <w:rPr>
          <w:rFonts w:ascii="Arial" w:hAnsi="Arial" w:cs="Arial"/>
        </w:rPr>
        <w:t>ing</w:t>
      </w:r>
      <w:r w:rsidR="00B058F5" w:rsidRPr="00B51992">
        <w:rPr>
          <w:rFonts w:ascii="Arial" w:hAnsi="Arial" w:cs="Arial"/>
        </w:rPr>
        <w:t xml:space="preserve"> </w:t>
      </w:r>
      <w:r w:rsidR="00445984" w:rsidRPr="00B51992">
        <w:rPr>
          <w:rFonts w:ascii="Arial" w:hAnsi="Arial" w:cs="Arial"/>
        </w:rPr>
        <w:t>clear description</w:t>
      </w:r>
      <w:r w:rsidR="00192148" w:rsidRPr="00B51992">
        <w:rPr>
          <w:rFonts w:ascii="Arial" w:hAnsi="Arial" w:cs="Arial"/>
        </w:rPr>
        <w:t>s</w:t>
      </w:r>
      <w:r w:rsidR="00445984" w:rsidRPr="00B51992">
        <w:rPr>
          <w:rFonts w:ascii="Arial" w:hAnsi="Arial" w:cs="Arial"/>
        </w:rPr>
        <w:t xml:space="preserve"> of </w:t>
      </w:r>
      <w:r w:rsidR="00D94F4B" w:rsidRPr="00B51992">
        <w:rPr>
          <w:rFonts w:ascii="Arial" w:hAnsi="Arial" w:cs="Arial"/>
        </w:rPr>
        <w:t xml:space="preserve">targeting </w:t>
      </w:r>
      <w:r w:rsidR="00C83796" w:rsidRPr="00B51992">
        <w:rPr>
          <w:rFonts w:ascii="Arial" w:hAnsi="Arial" w:cs="Arial"/>
        </w:rPr>
        <w:t>the</w:t>
      </w:r>
      <w:r w:rsidR="00866F2D" w:rsidRPr="00B51992">
        <w:rPr>
          <w:rFonts w:ascii="Arial" w:hAnsi="Arial" w:cs="Arial"/>
        </w:rPr>
        <w:t xml:space="preserve"> </w:t>
      </w:r>
      <w:r w:rsidR="00046617" w:rsidRPr="00B51992">
        <w:rPr>
          <w:rFonts w:ascii="Arial" w:hAnsi="Arial" w:cs="Arial"/>
        </w:rPr>
        <w:t xml:space="preserve">(tentatively neutralising) </w:t>
      </w:r>
      <w:r w:rsidR="00F159F7">
        <w:rPr>
          <w:rFonts w:ascii="Arial" w:hAnsi="Arial" w:cs="Arial"/>
        </w:rPr>
        <w:t>anti-</w:t>
      </w:r>
      <w:r w:rsidR="00803865" w:rsidRPr="00B51992">
        <w:rPr>
          <w:rFonts w:ascii="Arial" w:hAnsi="Arial" w:cs="Arial"/>
        </w:rPr>
        <w:t>RBD</w:t>
      </w:r>
      <w:r w:rsidR="00046617" w:rsidRPr="00B51992">
        <w:rPr>
          <w:rFonts w:ascii="Arial" w:hAnsi="Arial" w:cs="Arial"/>
        </w:rPr>
        <w:t xml:space="preserve"> </w:t>
      </w:r>
      <w:r w:rsidR="00866F2D" w:rsidRPr="00B51992">
        <w:rPr>
          <w:rFonts w:ascii="Arial" w:hAnsi="Arial" w:cs="Arial"/>
        </w:rPr>
        <w:t>a</w:t>
      </w:r>
      <w:r w:rsidR="00C83796" w:rsidRPr="00B51992">
        <w:rPr>
          <w:rFonts w:ascii="Arial" w:hAnsi="Arial" w:cs="Arial"/>
        </w:rPr>
        <w:t>ntibody</w:t>
      </w:r>
      <w:r w:rsidR="00445984" w:rsidRPr="00B51992">
        <w:rPr>
          <w:rFonts w:ascii="Arial" w:hAnsi="Arial" w:cs="Arial"/>
        </w:rPr>
        <w:t xml:space="preserve">. </w:t>
      </w:r>
      <w:r w:rsidR="00A92D5C" w:rsidRPr="00B51992">
        <w:rPr>
          <w:rFonts w:ascii="Arial" w:hAnsi="Arial" w:cs="Arial"/>
        </w:rPr>
        <w:t>The seconda</w:t>
      </w:r>
      <w:r w:rsidR="00E44F2F" w:rsidRPr="00B51992">
        <w:rPr>
          <w:rFonts w:ascii="Arial" w:hAnsi="Arial" w:cs="Arial"/>
        </w:rPr>
        <w:t>ry structure of the highly conserved NP</w:t>
      </w:r>
      <w:r w:rsidR="00A92D5C" w:rsidRPr="00B51992">
        <w:rPr>
          <w:rFonts w:ascii="Arial" w:hAnsi="Arial" w:cs="Arial"/>
        </w:rPr>
        <w:t xml:space="preserve"> protein also raises the possibility of identifying cross-reactive results </w:t>
      </w:r>
      <w:r w:rsidR="007406CA">
        <w:rPr>
          <w:noProof/>
        </w:rPr>
        <w:drawing>
          <wp:anchor distT="0" distB="0" distL="114300" distR="114300" simplePos="0" relativeHeight="251658240" behindDoc="0" locked="0" layoutInCell="1" allowOverlap="1" wp14:anchorId="4F90A1F2" wp14:editId="5D1CB6DB">
            <wp:simplePos x="0" y="0"/>
            <wp:positionH relativeFrom="column">
              <wp:posOffset>-123092</wp:posOffset>
            </wp:positionH>
            <wp:positionV relativeFrom="paragraph">
              <wp:posOffset>3191364</wp:posOffset>
            </wp:positionV>
            <wp:extent cx="5731510" cy="3140710"/>
            <wp:effectExtent l="0" t="0" r="2540" b="2540"/>
            <wp:wrapThrough wrapText="bothSides">
              <wp:wrapPolygon edited="0">
                <wp:start x="0" y="0"/>
                <wp:lineTo x="0" y="21486"/>
                <wp:lineTo x="21538" y="21486"/>
                <wp:lineTo x="2153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31510" cy="3140710"/>
                    </a:xfrm>
                    <a:prstGeom prst="rect">
                      <a:avLst/>
                    </a:prstGeom>
                  </pic:spPr>
                </pic:pic>
              </a:graphicData>
            </a:graphic>
            <wp14:sizeRelH relativeFrom="page">
              <wp14:pctWidth>0</wp14:pctWidth>
            </wp14:sizeRelH>
            <wp14:sizeRelV relativeFrom="page">
              <wp14:pctHeight>0</wp14:pctHeight>
            </wp14:sizeRelV>
          </wp:anchor>
        </w:drawing>
      </w:r>
      <w:r w:rsidR="00A92D5C" w:rsidRPr="00B51992">
        <w:rPr>
          <w:rFonts w:ascii="Arial" w:hAnsi="Arial" w:cs="Arial"/>
        </w:rPr>
        <w:t>with other kn</w:t>
      </w:r>
      <w:r w:rsidR="00A92D5C" w:rsidRPr="007406CA">
        <w:rPr>
          <w:rFonts w:ascii="Arial" w:hAnsi="Arial" w:cs="Arial"/>
        </w:rPr>
        <w:t>ow</w:t>
      </w:r>
      <w:r w:rsidR="00A92D5C" w:rsidRPr="00B51992">
        <w:rPr>
          <w:rFonts w:ascii="Arial" w:hAnsi="Arial" w:cs="Arial"/>
        </w:rPr>
        <w:t xml:space="preserve">n coronaviruses. </w:t>
      </w:r>
    </w:p>
    <w:p w14:paraId="3F1BE48B" w14:textId="77777777" w:rsidR="00B651F1" w:rsidRDefault="00B651F1" w:rsidP="00B651F1">
      <w:pPr>
        <w:spacing w:after="0" w:line="360" w:lineRule="auto"/>
        <w:rPr>
          <w:rFonts w:ascii="Arial" w:hAnsi="Arial" w:cs="Arial"/>
        </w:rPr>
      </w:pPr>
    </w:p>
    <w:p w14:paraId="6EA67345" w14:textId="4649441E" w:rsidR="00B651F1" w:rsidRPr="00B651F1" w:rsidRDefault="00B651F1" w:rsidP="00B651F1">
      <w:pPr>
        <w:spacing w:after="0" w:line="360" w:lineRule="auto"/>
        <w:rPr>
          <w:rFonts w:ascii="Arial" w:hAnsi="Arial" w:cs="Arial"/>
          <w:sz w:val="16"/>
          <w:szCs w:val="16"/>
        </w:rPr>
      </w:pPr>
      <w:r w:rsidRPr="00B651F1">
        <w:rPr>
          <w:rFonts w:ascii="Arial" w:hAnsi="Arial" w:cs="Arial"/>
          <w:b/>
          <w:bCs/>
          <w:sz w:val="16"/>
          <w:szCs w:val="16"/>
        </w:rPr>
        <w:t xml:space="preserve">Figure 1. Information available on serological targets from commercially available lateral flow </w:t>
      </w:r>
      <w:r w:rsidR="007406CA">
        <w:rPr>
          <w:rFonts w:ascii="Arial" w:hAnsi="Arial" w:cs="Arial"/>
          <w:b/>
          <w:bCs/>
          <w:sz w:val="16"/>
          <w:szCs w:val="16"/>
        </w:rPr>
        <w:t xml:space="preserve">serological </w:t>
      </w:r>
      <w:r w:rsidRPr="00B651F1">
        <w:rPr>
          <w:rFonts w:ascii="Arial" w:hAnsi="Arial" w:cs="Arial"/>
          <w:b/>
          <w:bCs/>
          <w:sz w:val="16"/>
          <w:szCs w:val="16"/>
        </w:rPr>
        <w:t>assays (LFA) and</w:t>
      </w:r>
      <w:r w:rsidR="00AB2F09">
        <w:rPr>
          <w:rFonts w:ascii="Arial" w:hAnsi="Arial" w:cs="Arial"/>
          <w:b/>
          <w:bCs/>
          <w:sz w:val="16"/>
          <w:szCs w:val="16"/>
        </w:rPr>
        <w:t xml:space="preserve"> laboratory immunoassays</w:t>
      </w:r>
      <w:r w:rsidRPr="00B651F1">
        <w:rPr>
          <w:rFonts w:ascii="Arial" w:hAnsi="Arial" w:cs="Arial"/>
          <w:b/>
          <w:bCs/>
          <w:sz w:val="16"/>
          <w:szCs w:val="16"/>
        </w:rPr>
        <w:t xml:space="preserve"> </w:t>
      </w:r>
      <w:r w:rsidR="00AB2F09">
        <w:rPr>
          <w:rFonts w:ascii="Arial" w:hAnsi="Arial" w:cs="Arial"/>
          <w:b/>
          <w:bCs/>
          <w:sz w:val="16"/>
          <w:szCs w:val="16"/>
        </w:rPr>
        <w:t>(</w:t>
      </w:r>
      <w:r w:rsidRPr="00B651F1">
        <w:rPr>
          <w:rFonts w:ascii="Arial" w:hAnsi="Arial" w:cs="Arial"/>
          <w:b/>
          <w:bCs/>
          <w:sz w:val="16"/>
          <w:szCs w:val="16"/>
        </w:rPr>
        <w:t>enzyme-linked immunosorbent assays</w:t>
      </w:r>
      <w:r w:rsidR="00AB2F09">
        <w:rPr>
          <w:rFonts w:ascii="Arial" w:hAnsi="Arial" w:cs="Arial"/>
          <w:b/>
          <w:bCs/>
          <w:sz w:val="16"/>
          <w:szCs w:val="16"/>
        </w:rPr>
        <w:t xml:space="preserve"> </w:t>
      </w:r>
      <w:r w:rsidRPr="00B651F1">
        <w:rPr>
          <w:rFonts w:ascii="Arial" w:hAnsi="Arial" w:cs="Arial"/>
          <w:b/>
          <w:bCs/>
          <w:sz w:val="16"/>
          <w:szCs w:val="16"/>
        </w:rPr>
        <w:t xml:space="preserve">or </w:t>
      </w:r>
      <w:r w:rsidRPr="00B651F1">
        <w:rPr>
          <w:rStyle w:val="Strong"/>
          <w:rFonts w:ascii="Arial" w:hAnsi="Arial" w:cs="Arial"/>
          <w:sz w:val="16"/>
          <w:szCs w:val="16"/>
          <w:lang w:val="en"/>
        </w:rPr>
        <w:t>chemiluminescence immunoassays</w:t>
      </w:r>
      <w:r w:rsidR="00AB2F09">
        <w:rPr>
          <w:rStyle w:val="Strong"/>
          <w:rFonts w:ascii="Arial" w:hAnsi="Arial" w:cs="Arial"/>
          <w:sz w:val="16"/>
          <w:szCs w:val="16"/>
          <w:lang w:val="en"/>
        </w:rPr>
        <w:t>)</w:t>
      </w:r>
      <w:r w:rsidRPr="00B651F1">
        <w:rPr>
          <w:rStyle w:val="Strong"/>
          <w:rFonts w:ascii="Arial" w:hAnsi="Arial" w:cs="Arial"/>
          <w:sz w:val="16"/>
          <w:szCs w:val="16"/>
          <w:lang w:val="en"/>
        </w:rPr>
        <w:t xml:space="preserve"> </w:t>
      </w:r>
      <w:r w:rsidRPr="00B651F1">
        <w:rPr>
          <w:rFonts w:ascii="Arial" w:hAnsi="Arial" w:cs="Arial"/>
          <w:b/>
          <w:bCs/>
          <w:sz w:val="16"/>
          <w:szCs w:val="16"/>
        </w:rPr>
        <w:t xml:space="preserve">for </w:t>
      </w:r>
      <w:r w:rsidRPr="00B651F1">
        <w:rPr>
          <w:rFonts w:ascii="Arial" w:hAnsi="Arial" w:cs="Arial"/>
          <w:b/>
          <w:bCs/>
          <w:sz w:val="16"/>
          <w:szCs w:val="16"/>
        </w:rPr>
        <w:lastRenderedPageBreak/>
        <w:t>SARS-CoV-2.</w:t>
      </w:r>
      <w:r w:rsidRPr="00B651F1">
        <w:rPr>
          <w:rFonts w:ascii="Arial" w:hAnsi="Arial" w:cs="Arial"/>
          <w:sz w:val="16"/>
          <w:szCs w:val="16"/>
        </w:rPr>
        <w:t xml:space="preserve"> Assays identified via an online repository</w:t>
      </w:r>
      <w:r w:rsidRPr="00B651F1">
        <w:rPr>
          <w:rFonts w:ascii="Arial" w:hAnsi="Arial" w:cs="Arial"/>
          <w:sz w:val="16"/>
          <w:szCs w:val="16"/>
          <w:vertAlign w:val="superscript"/>
        </w:rPr>
        <w:t>6</w:t>
      </w:r>
      <w:r w:rsidRPr="00B651F1">
        <w:rPr>
          <w:rFonts w:ascii="Arial" w:hAnsi="Arial" w:cs="Arial"/>
          <w:sz w:val="16"/>
          <w:szCs w:val="16"/>
        </w:rPr>
        <w:t xml:space="preserve"> and cross referenced with regulatory and advisory body online lists for current commercially available serology</w:t>
      </w:r>
      <w:r w:rsidR="00F9249C">
        <w:rPr>
          <w:rFonts w:ascii="Arial" w:hAnsi="Arial" w:cs="Arial"/>
          <w:sz w:val="16"/>
          <w:szCs w:val="16"/>
        </w:rPr>
        <w:t>-</w:t>
      </w:r>
      <w:r w:rsidRPr="00B651F1">
        <w:rPr>
          <w:rFonts w:ascii="Arial" w:hAnsi="Arial" w:cs="Arial"/>
          <w:sz w:val="16"/>
          <w:szCs w:val="16"/>
        </w:rPr>
        <w:t>based tests for SARS-CoV-2 (US Food and Drugs Administration, Australian Therapeutic Goods Administration, Health Information and Quality Authority, World Health Organisation). Information was taken directly from product listings and inserts on manufacturer and/or distributor sites and cross-referenced against documentation available for product regulatory approval. Circle size is relative to number of assays found within that category and recorded as:</w:t>
      </w:r>
    </w:p>
    <w:p w14:paraId="02A11043" w14:textId="77777777" w:rsidR="00B651F1" w:rsidRPr="00B651F1" w:rsidRDefault="00B651F1" w:rsidP="00B651F1">
      <w:pPr>
        <w:pStyle w:val="ListParagraph"/>
        <w:numPr>
          <w:ilvl w:val="0"/>
          <w:numId w:val="2"/>
        </w:numPr>
        <w:spacing w:after="0" w:line="360" w:lineRule="auto"/>
        <w:rPr>
          <w:rFonts w:ascii="Arial" w:hAnsi="Arial" w:cs="Arial"/>
          <w:sz w:val="16"/>
          <w:szCs w:val="16"/>
        </w:rPr>
      </w:pPr>
      <w:r w:rsidRPr="00B651F1">
        <w:rPr>
          <w:rFonts w:ascii="Arial" w:hAnsi="Arial" w:cs="Arial"/>
          <w:sz w:val="16"/>
          <w:szCs w:val="16"/>
        </w:rPr>
        <w:t xml:space="preserve">no identifiable reference to any target found </w:t>
      </w:r>
    </w:p>
    <w:p w14:paraId="77F986EB" w14:textId="77777777" w:rsidR="00B651F1" w:rsidRPr="00B651F1" w:rsidRDefault="00B651F1" w:rsidP="00B651F1">
      <w:pPr>
        <w:pStyle w:val="ListParagraph"/>
        <w:numPr>
          <w:ilvl w:val="0"/>
          <w:numId w:val="2"/>
        </w:numPr>
        <w:spacing w:after="0" w:line="360" w:lineRule="auto"/>
        <w:rPr>
          <w:rFonts w:ascii="Arial" w:hAnsi="Arial" w:cs="Arial"/>
          <w:sz w:val="16"/>
          <w:szCs w:val="16"/>
        </w:rPr>
      </w:pPr>
      <w:r w:rsidRPr="00B651F1">
        <w:rPr>
          <w:rFonts w:ascii="Arial" w:hAnsi="Arial" w:cs="Arial"/>
          <w:sz w:val="16"/>
          <w:szCs w:val="16"/>
        </w:rPr>
        <w:t xml:space="preserve">non-specific reference to assay targets including SARS-CoV-2 antigens, recombinant proteins, SARS-CoV-2 peptides, SARS-CoV-2 antibodies </w:t>
      </w:r>
    </w:p>
    <w:p w14:paraId="3AB9E880" w14:textId="77777777" w:rsidR="00B651F1" w:rsidRPr="00B651F1" w:rsidRDefault="00B651F1" w:rsidP="00B651F1">
      <w:pPr>
        <w:pStyle w:val="ListParagraph"/>
        <w:numPr>
          <w:ilvl w:val="0"/>
          <w:numId w:val="2"/>
        </w:numPr>
        <w:spacing w:after="0" w:line="360" w:lineRule="auto"/>
        <w:rPr>
          <w:rFonts w:ascii="Arial" w:hAnsi="Arial" w:cs="Arial"/>
          <w:sz w:val="16"/>
          <w:szCs w:val="16"/>
        </w:rPr>
      </w:pPr>
      <w:r w:rsidRPr="00B651F1">
        <w:rPr>
          <w:rFonts w:ascii="Arial" w:hAnsi="Arial" w:cs="Arial"/>
          <w:sz w:val="16"/>
          <w:szCs w:val="16"/>
        </w:rPr>
        <w:t>nucleocapsid protein</w:t>
      </w:r>
    </w:p>
    <w:p w14:paraId="09193C1D" w14:textId="77777777" w:rsidR="00B651F1" w:rsidRPr="00B651F1" w:rsidRDefault="00B651F1" w:rsidP="00B651F1">
      <w:pPr>
        <w:pStyle w:val="ListParagraph"/>
        <w:numPr>
          <w:ilvl w:val="0"/>
          <w:numId w:val="2"/>
        </w:numPr>
        <w:spacing w:after="0" w:line="360" w:lineRule="auto"/>
        <w:rPr>
          <w:rFonts w:ascii="Arial" w:hAnsi="Arial" w:cs="Arial"/>
          <w:sz w:val="16"/>
          <w:szCs w:val="16"/>
        </w:rPr>
      </w:pPr>
      <w:r w:rsidRPr="00B651F1">
        <w:rPr>
          <w:rFonts w:ascii="Arial" w:hAnsi="Arial" w:cs="Arial"/>
          <w:sz w:val="16"/>
          <w:szCs w:val="16"/>
        </w:rPr>
        <w:t xml:space="preserve">spike protein, including specifically the S1 protein, N-terminus and RBD separately specified and </w:t>
      </w:r>
    </w:p>
    <w:p w14:paraId="2823CE32" w14:textId="77777777" w:rsidR="00B651F1" w:rsidRPr="00B651F1" w:rsidRDefault="00B651F1" w:rsidP="00B651F1">
      <w:pPr>
        <w:pStyle w:val="ListParagraph"/>
        <w:numPr>
          <w:ilvl w:val="0"/>
          <w:numId w:val="2"/>
        </w:numPr>
        <w:spacing w:after="0" w:line="360" w:lineRule="auto"/>
        <w:rPr>
          <w:rFonts w:ascii="Arial" w:hAnsi="Arial" w:cs="Arial"/>
          <w:sz w:val="16"/>
          <w:szCs w:val="16"/>
        </w:rPr>
      </w:pPr>
      <w:r w:rsidRPr="00B651F1">
        <w:rPr>
          <w:rFonts w:ascii="Arial" w:hAnsi="Arial" w:cs="Arial"/>
          <w:sz w:val="16"/>
          <w:szCs w:val="16"/>
        </w:rPr>
        <w:t xml:space="preserve">combination targets including to both nucleocapsid and spike proteins. </w:t>
      </w:r>
    </w:p>
    <w:p w14:paraId="71DB0809" w14:textId="77777777" w:rsidR="00491237" w:rsidRPr="004178D1" w:rsidRDefault="00491237" w:rsidP="00491237">
      <w:pPr>
        <w:spacing w:after="0" w:line="360" w:lineRule="auto"/>
        <w:rPr>
          <w:rFonts w:ascii="Arial" w:hAnsi="Arial" w:cs="Arial"/>
        </w:rPr>
      </w:pPr>
    </w:p>
    <w:p w14:paraId="2C791A9D" w14:textId="37AD9266" w:rsidR="00D309F5" w:rsidRPr="00523E82" w:rsidRDefault="002F30CF" w:rsidP="00491237">
      <w:pPr>
        <w:spacing w:after="0" w:line="360" w:lineRule="auto"/>
        <w:rPr>
          <w:rFonts w:ascii="Arial" w:hAnsi="Arial" w:cs="Arial"/>
        </w:rPr>
      </w:pPr>
      <w:r w:rsidRPr="004178D1">
        <w:rPr>
          <w:rFonts w:ascii="Arial" w:hAnsi="Arial" w:cs="Arial"/>
        </w:rPr>
        <w:t>Further, i</w:t>
      </w:r>
      <w:r w:rsidR="002D02D3" w:rsidRPr="004178D1">
        <w:rPr>
          <w:rFonts w:ascii="Arial" w:hAnsi="Arial" w:cs="Arial"/>
        </w:rPr>
        <w:t>ndiscriminate screening among</w:t>
      </w:r>
      <w:r w:rsidR="00034336" w:rsidRPr="004178D1">
        <w:rPr>
          <w:rFonts w:ascii="Arial" w:hAnsi="Arial" w:cs="Arial"/>
        </w:rPr>
        <w:t xml:space="preserve"> </w:t>
      </w:r>
      <w:r w:rsidR="00A347F2" w:rsidRPr="004178D1">
        <w:rPr>
          <w:rFonts w:ascii="Arial" w:hAnsi="Arial" w:cs="Arial"/>
        </w:rPr>
        <w:t>low seroprevalence</w:t>
      </w:r>
      <w:r w:rsidR="002D02D3" w:rsidRPr="004178D1">
        <w:rPr>
          <w:rFonts w:ascii="Arial" w:hAnsi="Arial" w:cs="Arial"/>
        </w:rPr>
        <w:t xml:space="preserve"> populations</w:t>
      </w:r>
      <w:r w:rsidR="00C5625C" w:rsidRPr="004178D1">
        <w:rPr>
          <w:rFonts w:ascii="Arial" w:hAnsi="Arial" w:cs="Arial"/>
        </w:rPr>
        <w:t xml:space="preserve"> </w:t>
      </w:r>
      <w:r w:rsidR="002D02D3" w:rsidRPr="004178D1">
        <w:rPr>
          <w:rFonts w:ascii="Arial" w:hAnsi="Arial" w:cs="Arial"/>
        </w:rPr>
        <w:t>has</w:t>
      </w:r>
      <w:r w:rsidR="00120F1F" w:rsidRPr="004178D1">
        <w:rPr>
          <w:rFonts w:ascii="Arial" w:hAnsi="Arial" w:cs="Arial"/>
        </w:rPr>
        <w:t xml:space="preserve"> </w:t>
      </w:r>
      <w:r w:rsidR="00034336" w:rsidRPr="004178D1">
        <w:rPr>
          <w:rFonts w:ascii="Arial" w:hAnsi="Arial" w:cs="Arial"/>
        </w:rPr>
        <w:t>a poor positive predictive value.</w:t>
      </w:r>
      <w:r w:rsidR="0067563C">
        <w:rPr>
          <w:rFonts w:ascii="Arial" w:hAnsi="Arial" w:cs="Arial"/>
          <w:vertAlign w:val="superscript"/>
        </w:rPr>
        <w:t>7</w:t>
      </w:r>
      <w:r w:rsidR="00F9249C">
        <w:rPr>
          <w:rFonts w:ascii="Arial" w:hAnsi="Arial" w:cs="Arial"/>
          <w:vertAlign w:val="superscript"/>
        </w:rPr>
        <w:t>,</w:t>
      </w:r>
      <w:r w:rsidR="0067563C">
        <w:rPr>
          <w:rFonts w:ascii="Arial" w:hAnsi="Arial" w:cs="Arial"/>
          <w:vertAlign w:val="superscript"/>
        </w:rPr>
        <w:t>8</w:t>
      </w:r>
      <w:r w:rsidR="00034336" w:rsidRPr="004178D1">
        <w:rPr>
          <w:rFonts w:ascii="Arial" w:hAnsi="Arial" w:cs="Arial"/>
        </w:rPr>
        <w:t xml:space="preserve"> </w:t>
      </w:r>
      <w:r w:rsidR="00BB3780" w:rsidRPr="004178D1">
        <w:rPr>
          <w:rFonts w:ascii="Arial" w:hAnsi="Arial" w:cs="Arial"/>
        </w:rPr>
        <w:t xml:space="preserve">Among healthcare workers seroconversion </w:t>
      </w:r>
      <w:r w:rsidR="00F159F7">
        <w:rPr>
          <w:rFonts w:ascii="Arial" w:hAnsi="Arial" w:cs="Arial"/>
        </w:rPr>
        <w:t>is seen</w:t>
      </w:r>
      <w:r w:rsidR="00BB3780" w:rsidRPr="004178D1">
        <w:rPr>
          <w:rFonts w:ascii="Arial" w:hAnsi="Arial" w:cs="Arial"/>
        </w:rPr>
        <w:t xml:space="preserve"> in those with and without symptoms,</w:t>
      </w:r>
      <w:r w:rsidR="0067563C">
        <w:rPr>
          <w:rFonts w:ascii="Arial" w:hAnsi="Arial" w:cs="Arial"/>
          <w:vertAlign w:val="superscript"/>
        </w:rPr>
        <w:t>8</w:t>
      </w:r>
      <w:r w:rsidR="00C5625C" w:rsidRPr="004178D1">
        <w:rPr>
          <w:rFonts w:ascii="Arial" w:hAnsi="Arial" w:cs="Arial"/>
        </w:rPr>
        <w:t xml:space="preserve"> </w:t>
      </w:r>
      <w:r w:rsidR="00BB3780" w:rsidRPr="004178D1">
        <w:rPr>
          <w:rFonts w:ascii="Arial" w:hAnsi="Arial" w:cs="Arial"/>
        </w:rPr>
        <w:t>with a greater titre response seen in those with symptomatic</w:t>
      </w:r>
      <w:r w:rsidR="00F66DAA" w:rsidRPr="00816095">
        <w:rPr>
          <w:rFonts w:ascii="Arial" w:hAnsi="Arial" w:cs="Arial"/>
        </w:rPr>
        <w:t xml:space="preserve">, and specifically, severe </w:t>
      </w:r>
      <w:r w:rsidR="00BB3780" w:rsidRPr="00816095">
        <w:rPr>
          <w:rFonts w:ascii="Arial" w:hAnsi="Arial" w:cs="Arial"/>
        </w:rPr>
        <w:t xml:space="preserve">illness. </w:t>
      </w:r>
      <w:r w:rsidR="00B32125">
        <w:rPr>
          <w:rFonts w:ascii="Arial" w:hAnsi="Arial" w:cs="Arial"/>
        </w:rPr>
        <w:t>Longitudinal</w:t>
      </w:r>
      <w:r w:rsidR="00BB3780" w:rsidRPr="00816095">
        <w:rPr>
          <w:rFonts w:ascii="Arial" w:hAnsi="Arial" w:cs="Arial"/>
        </w:rPr>
        <w:t xml:space="preserve"> studies are now needed to determine the comparative persi</w:t>
      </w:r>
      <w:r w:rsidR="00BB3780" w:rsidRPr="001657F6">
        <w:rPr>
          <w:rFonts w:ascii="Arial" w:hAnsi="Arial" w:cs="Arial"/>
        </w:rPr>
        <w:t xml:space="preserve">stence of neutralizing antibodies in mild and severe illness as well as determine the degree to which any sterilizing effect is provided. </w:t>
      </w:r>
      <w:r w:rsidR="00034336" w:rsidRPr="00B651F1">
        <w:rPr>
          <w:rFonts w:ascii="Arial" w:hAnsi="Arial" w:cs="Arial"/>
        </w:rPr>
        <w:t xml:space="preserve"> </w:t>
      </w:r>
      <w:r w:rsidR="00B32125">
        <w:rPr>
          <w:rFonts w:ascii="Arial" w:hAnsi="Arial" w:cs="Arial"/>
        </w:rPr>
        <w:t>A</w:t>
      </w:r>
      <w:r w:rsidR="00B32125" w:rsidRPr="00B651F1">
        <w:rPr>
          <w:rFonts w:ascii="Arial" w:hAnsi="Arial" w:cs="Arial"/>
        </w:rPr>
        <w:t xml:space="preserve"> </w:t>
      </w:r>
      <w:r w:rsidR="00803865" w:rsidRPr="00B651F1">
        <w:rPr>
          <w:rFonts w:ascii="Arial" w:hAnsi="Arial" w:cs="Arial"/>
        </w:rPr>
        <w:t>failure</w:t>
      </w:r>
      <w:r w:rsidR="00EE6E79" w:rsidRPr="00B651F1">
        <w:rPr>
          <w:rFonts w:ascii="Arial" w:hAnsi="Arial" w:cs="Arial"/>
        </w:rPr>
        <w:t xml:space="preserve"> to identify seroconversion in a proportion of PCR positive cases should demand further caution in </w:t>
      </w:r>
      <w:r w:rsidR="00C83796" w:rsidRPr="0064297F">
        <w:rPr>
          <w:rFonts w:ascii="Arial" w:hAnsi="Arial" w:cs="Arial"/>
        </w:rPr>
        <w:t xml:space="preserve">serology </w:t>
      </w:r>
      <w:r w:rsidR="00EE6E79" w:rsidRPr="0064297F">
        <w:rPr>
          <w:rFonts w:ascii="Arial" w:hAnsi="Arial" w:cs="Arial"/>
        </w:rPr>
        <w:t>interpretation.</w:t>
      </w:r>
      <w:r w:rsidR="0067563C">
        <w:rPr>
          <w:rFonts w:ascii="Arial" w:hAnsi="Arial" w:cs="Arial"/>
          <w:vertAlign w:val="superscript"/>
        </w:rPr>
        <w:t>9</w:t>
      </w:r>
      <w:r w:rsidR="00EE6E79" w:rsidRPr="00523E82">
        <w:rPr>
          <w:rFonts w:ascii="Arial" w:hAnsi="Arial" w:cs="Arial"/>
        </w:rPr>
        <w:t xml:space="preserve"> </w:t>
      </w:r>
      <w:r w:rsidR="002D02D3" w:rsidRPr="00523E82">
        <w:rPr>
          <w:rFonts w:ascii="Arial" w:hAnsi="Arial" w:cs="Arial"/>
        </w:rPr>
        <w:t>A surge in uptake of serological testing</w:t>
      </w:r>
      <w:r w:rsidR="00FB042D" w:rsidRPr="00523E82">
        <w:rPr>
          <w:rFonts w:ascii="Arial" w:hAnsi="Arial" w:cs="Arial"/>
        </w:rPr>
        <w:t xml:space="preserve"> among the general public</w:t>
      </w:r>
      <w:r w:rsidR="002D02D3" w:rsidRPr="00523E82">
        <w:rPr>
          <w:rFonts w:ascii="Arial" w:hAnsi="Arial" w:cs="Arial"/>
        </w:rPr>
        <w:t xml:space="preserve"> is likely to ensue if neutralizing antibodies are </w:t>
      </w:r>
      <w:r w:rsidR="00120F1F" w:rsidRPr="00523E82">
        <w:rPr>
          <w:rFonts w:ascii="Arial" w:hAnsi="Arial" w:cs="Arial"/>
        </w:rPr>
        <w:t>further</w:t>
      </w:r>
      <w:r w:rsidR="002D02D3" w:rsidRPr="00523E82">
        <w:rPr>
          <w:rFonts w:ascii="Arial" w:hAnsi="Arial" w:cs="Arial"/>
        </w:rPr>
        <w:t xml:space="preserve"> characterised </w:t>
      </w:r>
      <w:r w:rsidR="002D02D3" w:rsidRPr="00523E82">
        <w:rPr>
          <w:rFonts w:ascii="Arial" w:hAnsi="Arial" w:cs="Arial"/>
          <w:i/>
        </w:rPr>
        <w:t>in vitro</w:t>
      </w:r>
      <w:r w:rsidR="00120F1F" w:rsidRPr="00523E82">
        <w:rPr>
          <w:rFonts w:ascii="Arial" w:hAnsi="Arial" w:cs="Arial"/>
        </w:rPr>
        <w:t>, yet</w:t>
      </w:r>
      <w:r w:rsidR="002D02D3" w:rsidRPr="00523E82">
        <w:rPr>
          <w:rFonts w:ascii="Arial" w:hAnsi="Arial" w:cs="Arial"/>
        </w:rPr>
        <w:t xml:space="preserve"> mapping of </w:t>
      </w:r>
      <w:r w:rsidR="00192148" w:rsidRPr="00523E82">
        <w:rPr>
          <w:rFonts w:ascii="Arial" w:hAnsi="Arial" w:cs="Arial"/>
        </w:rPr>
        <w:t>long-term</w:t>
      </w:r>
      <w:r w:rsidR="00120F1F" w:rsidRPr="00523E82">
        <w:rPr>
          <w:rFonts w:ascii="Arial" w:hAnsi="Arial" w:cs="Arial"/>
        </w:rPr>
        <w:t xml:space="preserve"> </w:t>
      </w:r>
      <w:r w:rsidR="00120F1F" w:rsidRPr="00523E82">
        <w:rPr>
          <w:rFonts w:ascii="Arial" w:hAnsi="Arial" w:cs="Arial"/>
          <w:i/>
        </w:rPr>
        <w:t>in vivo</w:t>
      </w:r>
      <w:r w:rsidR="00120F1F" w:rsidRPr="00523E82">
        <w:rPr>
          <w:rFonts w:ascii="Arial" w:hAnsi="Arial" w:cs="Arial"/>
        </w:rPr>
        <w:t xml:space="preserve"> immune </w:t>
      </w:r>
      <w:r w:rsidRPr="00523E82">
        <w:rPr>
          <w:rFonts w:ascii="Arial" w:hAnsi="Arial" w:cs="Arial"/>
        </w:rPr>
        <w:t xml:space="preserve">protection </w:t>
      </w:r>
      <w:r w:rsidR="00C83796" w:rsidRPr="00523E82">
        <w:rPr>
          <w:rFonts w:ascii="Arial" w:hAnsi="Arial" w:cs="Arial"/>
        </w:rPr>
        <w:t xml:space="preserve">is </w:t>
      </w:r>
      <w:r w:rsidR="00FB042D" w:rsidRPr="00523E82">
        <w:rPr>
          <w:rFonts w:ascii="Arial" w:hAnsi="Arial" w:cs="Arial"/>
        </w:rPr>
        <w:t xml:space="preserve">still </w:t>
      </w:r>
      <w:r w:rsidR="00192148" w:rsidRPr="00523E82">
        <w:rPr>
          <w:rFonts w:ascii="Arial" w:hAnsi="Arial" w:cs="Arial"/>
        </w:rPr>
        <w:t>required</w:t>
      </w:r>
      <w:r w:rsidR="00120F1F" w:rsidRPr="00523E82">
        <w:rPr>
          <w:rFonts w:ascii="Arial" w:hAnsi="Arial" w:cs="Arial"/>
        </w:rPr>
        <w:t xml:space="preserve">. </w:t>
      </w:r>
      <w:r w:rsidR="00F35DA9" w:rsidRPr="00523E82">
        <w:rPr>
          <w:rFonts w:ascii="Arial" w:hAnsi="Arial" w:cs="Arial"/>
        </w:rPr>
        <w:t>As the current wave of SARS-CoV-2 declines</w:t>
      </w:r>
      <w:r w:rsidR="00B32125">
        <w:rPr>
          <w:rFonts w:ascii="Arial" w:hAnsi="Arial" w:cs="Arial"/>
        </w:rPr>
        <w:t>,</w:t>
      </w:r>
      <w:r w:rsidR="00F35DA9" w:rsidRPr="00523E82">
        <w:rPr>
          <w:rFonts w:ascii="Arial" w:hAnsi="Arial" w:cs="Arial"/>
        </w:rPr>
        <w:t xml:space="preserve"> opportunity to assess assay performance, and concordance across different targets, is limited. </w:t>
      </w:r>
      <w:r w:rsidR="00EE6E79" w:rsidRPr="00523E82">
        <w:rPr>
          <w:rFonts w:ascii="Arial" w:hAnsi="Arial" w:cs="Arial"/>
        </w:rPr>
        <w:t>If, for example</w:t>
      </w:r>
      <w:r w:rsidR="00762E68" w:rsidRPr="00523E82">
        <w:rPr>
          <w:rFonts w:ascii="Arial" w:hAnsi="Arial" w:cs="Arial"/>
        </w:rPr>
        <w:t>,</w:t>
      </w:r>
      <w:r w:rsidR="00EE6E79" w:rsidRPr="00523E82">
        <w:rPr>
          <w:rFonts w:ascii="Arial" w:hAnsi="Arial" w:cs="Arial"/>
        </w:rPr>
        <w:t xml:space="preserve"> the anti-RBD</w:t>
      </w:r>
      <w:r w:rsidR="00F35DA9" w:rsidRPr="00523E82">
        <w:rPr>
          <w:rFonts w:ascii="Arial" w:hAnsi="Arial" w:cs="Arial"/>
        </w:rPr>
        <w:t xml:space="preserve"> antibodies</w:t>
      </w:r>
      <w:r w:rsidR="00EE6E79" w:rsidRPr="00523E82">
        <w:rPr>
          <w:rFonts w:ascii="Arial" w:hAnsi="Arial" w:cs="Arial"/>
        </w:rPr>
        <w:t xml:space="preserve"> </w:t>
      </w:r>
      <w:r w:rsidR="00F35DA9" w:rsidRPr="00523E82">
        <w:rPr>
          <w:rFonts w:ascii="Arial" w:hAnsi="Arial" w:cs="Arial"/>
        </w:rPr>
        <w:t>are</w:t>
      </w:r>
      <w:r w:rsidR="00EE6E79" w:rsidRPr="00523E82">
        <w:rPr>
          <w:rFonts w:ascii="Arial" w:hAnsi="Arial" w:cs="Arial"/>
        </w:rPr>
        <w:t xml:space="preserve"> confirmed as</w:t>
      </w:r>
      <w:r w:rsidR="00803865" w:rsidRPr="00523E82">
        <w:rPr>
          <w:rFonts w:ascii="Arial" w:hAnsi="Arial" w:cs="Arial"/>
        </w:rPr>
        <w:t xml:space="preserve"> having</w:t>
      </w:r>
      <w:r w:rsidR="00EE6E79" w:rsidRPr="00523E82">
        <w:rPr>
          <w:rFonts w:ascii="Arial" w:hAnsi="Arial" w:cs="Arial"/>
        </w:rPr>
        <w:t xml:space="preserve"> neutralizing</w:t>
      </w:r>
      <w:r w:rsidR="00803865" w:rsidRPr="00523E82">
        <w:rPr>
          <w:rFonts w:ascii="Arial" w:hAnsi="Arial" w:cs="Arial"/>
        </w:rPr>
        <w:t xml:space="preserve"> activity</w:t>
      </w:r>
      <w:r w:rsidR="00EE6E79" w:rsidRPr="00523E82">
        <w:rPr>
          <w:rFonts w:ascii="Arial" w:hAnsi="Arial" w:cs="Arial"/>
        </w:rPr>
        <w:t xml:space="preserve"> and direct comparison finds complete concordance </w:t>
      </w:r>
      <w:r w:rsidR="00F77948" w:rsidRPr="00523E82">
        <w:rPr>
          <w:rFonts w:ascii="Arial" w:hAnsi="Arial" w:cs="Arial"/>
        </w:rPr>
        <w:t xml:space="preserve">with </w:t>
      </w:r>
      <w:r w:rsidR="00762E68" w:rsidRPr="00523E82">
        <w:rPr>
          <w:rFonts w:ascii="Arial" w:hAnsi="Arial" w:cs="Arial"/>
        </w:rPr>
        <w:t>anti-</w:t>
      </w:r>
      <w:r w:rsidR="00EE6E79" w:rsidRPr="00523E82">
        <w:rPr>
          <w:rFonts w:ascii="Arial" w:hAnsi="Arial" w:cs="Arial"/>
        </w:rPr>
        <w:t xml:space="preserve">nucleocapsid assays then </w:t>
      </w:r>
      <w:r w:rsidR="00397AED" w:rsidRPr="00523E82">
        <w:rPr>
          <w:rFonts w:ascii="Arial" w:hAnsi="Arial" w:cs="Arial"/>
        </w:rPr>
        <w:t>this</w:t>
      </w:r>
      <w:r w:rsidR="00762E68" w:rsidRPr="00523E82">
        <w:rPr>
          <w:rFonts w:ascii="Arial" w:hAnsi="Arial" w:cs="Arial"/>
        </w:rPr>
        <w:t xml:space="preserve"> concern</w:t>
      </w:r>
      <w:r w:rsidR="00397AED" w:rsidRPr="00523E82">
        <w:rPr>
          <w:rFonts w:ascii="Arial" w:hAnsi="Arial" w:cs="Arial"/>
        </w:rPr>
        <w:t xml:space="preserve"> becomes less </w:t>
      </w:r>
      <w:r w:rsidR="00192148" w:rsidRPr="00523E82">
        <w:rPr>
          <w:rFonts w:ascii="Arial" w:hAnsi="Arial" w:cs="Arial"/>
        </w:rPr>
        <w:t xml:space="preserve">immediately </w:t>
      </w:r>
      <w:r w:rsidR="00397AED" w:rsidRPr="00523E82">
        <w:rPr>
          <w:rFonts w:ascii="Arial" w:hAnsi="Arial" w:cs="Arial"/>
        </w:rPr>
        <w:t xml:space="preserve">urgent. If </w:t>
      </w:r>
      <w:r w:rsidR="00E44F2F" w:rsidRPr="00523E82">
        <w:rPr>
          <w:rFonts w:ascii="Arial" w:hAnsi="Arial" w:cs="Arial"/>
        </w:rPr>
        <w:t xml:space="preserve">considerable </w:t>
      </w:r>
      <w:r w:rsidR="00397AED" w:rsidRPr="00523E82">
        <w:rPr>
          <w:rFonts w:ascii="Arial" w:hAnsi="Arial" w:cs="Arial"/>
        </w:rPr>
        <w:t>variation between assays</w:t>
      </w:r>
      <w:r w:rsidR="00F35DA9" w:rsidRPr="00523E82">
        <w:rPr>
          <w:rFonts w:ascii="Arial" w:hAnsi="Arial" w:cs="Arial"/>
        </w:rPr>
        <w:t xml:space="preserve"> exists however,</w:t>
      </w:r>
      <w:r w:rsidR="00397AED" w:rsidRPr="00523E82">
        <w:rPr>
          <w:rFonts w:ascii="Arial" w:hAnsi="Arial" w:cs="Arial"/>
        </w:rPr>
        <w:t xml:space="preserve"> then it is crucial for assay manufacturers to be </w:t>
      </w:r>
      <w:r w:rsidR="00803865" w:rsidRPr="00523E82">
        <w:rPr>
          <w:rFonts w:ascii="Arial" w:hAnsi="Arial" w:cs="Arial"/>
        </w:rPr>
        <w:t xml:space="preserve">more </w:t>
      </w:r>
      <w:r w:rsidR="00397AED" w:rsidRPr="00523E82">
        <w:rPr>
          <w:rFonts w:ascii="Arial" w:hAnsi="Arial" w:cs="Arial"/>
        </w:rPr>
        <w:t>explicit in their target design</w:t>
      </w:r>
      <w:r w:rsidR="00192148" w:rsidRPr="00523E82">
        <w:rPr>
          <w:rFonts w:ascii="Arial" w:hAnsi="Arial" w:cs="Arial"/>
        </w:rPr>
        <w:t xml:space="preserve"> and more specific in advice around test utility</w:t>
      </w:r>
      <w:r w:rsidR="00FD613E" w:rsidRPr="00523E82">
        <w:rPr>
          <w:rFonts w:ascii="Arial" w:hAnsi="Arial" w:cs="Arial"/>
        </w:rPr>
        <w:t>.</w:t>
      </w:r>
      <w:r w:rsidR="00397AED" w:rsidRPr="00523E82">
        <w:rPr>
          <w:rFonts w:ascii="Arial" w:hAnsi="Arial" w:cs="Arial"/>
        </w:rPr>
        <w:t xml:space="preserve"> </w:t>
      </w:r>
      <w:r w:rsidR="00FD613E" w:rsidRPr="00523E82">
        <w:rPr>
          <w:rFonts w:ascii="Arial" w:hAnsi="Arial" w:cs="Arial"/>
        </w:rPr>
        <w:t xml:space="preserve">Those assays </w:t>
      </w:r>
      <w:r w:rsidR="00B32125">
        <w:rPr>
          <w:rFonts w:ascii="Arial" w:hAnsi="Arial" w:cs="Arial"/>
        </w:rPr>
        <w:t>utilizing</w:t>
      </w:r>
      <w:r w:rsidR="00B32125" w:rsidRPr="00523E82">
        <w:rPr>
          <w:rFonts w:ascii="Arial" w:hAnsi="Arial" w:cs="Arial"/>
        </w:rPr>
        <w:t xml:space="preserve"> </w:t>
      </w:r>
      <w:r w:rsidR="00096393" w:rsidRPr="00523E82">
        <w:rPr>
          <w:rFonts w:ascii="Arial" w:hAnsi="Arial" w:cs="Arial"/>
        </w:rPr>
        <w:t xml:space="preserve">non-neutralizing </w:t>
      </w:r>
      <w:r w:rsidR="00397AED" w:rsidRPr="00523E82">
        <w:rPr>
          <w:rFonts w:ascii="Arial" w:hAnsi="Arial" w:cs="Arial"/>
        </w:rPr>
        <w:t>targets</w:t>
      </w:r>
      <w:r w:rsidR="00096393" w:rsidRPr="00523E82">
        <w:rPr>
          <w:rFonts w:ascii="Arial" w:hAnsi="Arial" w:cs="Arial"/>
        </w:rPr>
        <w:t xml:space="preserve"> </w:t>
      </w:r>
      <w:r w:rsidR="00192148" w:rsidRPr="00523E82">
        <w:rPr>
          <w:rFonts w:ascii="Arial" w:hAnsi="Arial" w:cs="Arial"/>
        </w:rPr>
        <w:t xml:space="preserve">could </w:t>
      </w:r>
      <w:r w:rsidR="00E44F2F" w:rsidRPr="00523E82">
        <w:rPr>
          <w:rFonts w:ascii="Arial" w:hAnsi="Arial" w:cs="Arial"/>
        </w:rPr>
        <w:t xml:space="preserve">then </w:t>
      </w:r>
      <w:r w:rsidR="00FD613E" w:rsidRPr="00523E82">
        <w:rPr>
          <w:rFonts w:ascii="Arial" w:hAnsi="Arial" w:cs="Arial"/>
        </w:rPr>
        <w:t xml:space="preserve">have </w:t>
      </w:r>
      <w:r w:rsidR="00397AED" w:rsidRPr="00523E82">
        <w:rPr>
          <w:rFonts w:ascii="Arial" w:hAnsi="Arial" w:cs="Arial"/>
        </w:rPr>
        <w:t xml:space="preserve">limited utility in delayed case identification </w:t>
      </w:r>
      <w:r w:rsidR="00E44F2F" w:rsidRPr="00523E82">
        <w:rPr>
          <w:rFonts w:ascii="Arial" w:hAnsi="Arial" w:cs="Arial"/>
        </w:rPr>
        <w:t>but</w:t>
      </w:r>
      <w:r w:rsidR="00FD613E" w:rsidRPr="00523E82">
        <w:rPr>
          <w:rFonts w:ascii="Arial" w:hAnsi="Arial" w:cs="Arial"/>
        </w:rPr>
        <w:t xml:space="preserve"> </w:t>
      </w:r>
      <w:r w:rsidR="00E44F2F" w:rsidRPr="00523E82">
        <w:rPr>
          <w:rFonts w:ascii="Arial" w:hAnsi="Arial" w:cs="Arial"/>
        </w:rPr>
        <w:t xml:space="preserve">should </w:t>
      </w:r>
      <w:r w:rsidR="00397AED" w:rsidRPr="00523E82">
        <w:rPr>
          <w:rFonts w:ascii="Arial" w:hAnsi="Arial" w:cs="Arial"/>
        </w:rPr>
        <w:t xml:space="preserve">never </w:t>
      </w:r>
      <w:r w:rsidR="00E44F2F" w:rsidRPr="00523E82">
        <w:rPr>
          <w:rFonts w:ascii="Arial" w:hAnsi="Arial" w:cs="Arial"/>
        </w:rPr>
        <w:t>then</w:t>
      </w:r>
      <w:r w:rsidR="00397AED" w:rsidRPr="00523E82">
        <w:rPr>
          <w:rFonts w:ascii="Arial" w:hAnsi="Arial" w:cs="Arial"/>
        </w:rPr>
        <w:t xml:space="preserve"> confer a</w:t>
      </w:r>
      <w:r w:rsidR="00096393" w:rsidRPr="00523E82">
        <w:rPr>
          <w:rFonts w:ascii="Arial" w:hAnsi="Arial" w:cs="Arial"/>
        </w:rPr>
        <w:t xml:space="preserve"> sense of immunity. </w:t>
      </w:r>
      <w:r w:rsidR="00E44F2F" w:rsidRPr="00523E82">
        <w:rPr>
          <w:rFonts w:ascii="Arial" w:hAnsi="Arial" w:cs="Arial"/>
        </w:rPr>
        <w:t>Regardless</w:t>
      </w:r>
      <w:r w:rsidR="00FB042D" w:rsidRPr="00523E82">
        <w:rPr>
          <w:rFonts w:ascii="Arial" w:hAnsi="Arial" w:cs="Arial"/>
        </w:rPr>
        <w:t>, it must be remembered that these tests primarily offer a qualitative detection of antibody at a single time point and are unable to infer any sense of memory, or whether the humoral response to the primary infection is sufficient to lead to any level of protection.</w:t>
      </w:r>
      <w:r w:rsidR="00E44F2F" w:rsidRPr="00523E82">
        <w:rPr>
          <w:rFonts w:ascii="Arial" w:hAnsi="Arial" w:cs="Arial"/>
        </w:rPr>
        <w:t xml:space="preserve"> Even assays that do detect </w:t>
      </w:r>
      <w:r w:rsidR="00FB042D" w:rsidRPr="00523E82">
        <w:rPr>
          <w:rFonts w:ascii="Arial" w:hAnsi="Arial" w:cs="Arial"/>
        </w:rPr>
        <w:t xml:space="preserve">anti-RBD antibodies, presuming they are shown to have </w:t>
      </w:r>
      <w:r w:rsidR="002C7124" w:rsidRPr="00523E82">
        <w:rPr>
          <w:rFonts w:ascii="Arial" w:hAnsi="Arial" w:cs="Arial"/>
        </w:rPr>
        <w:t xml:space="preserve">some lasting </w:t>
      </w:r>
      <w:r w:rsidR="00FB042D" w:rsidRPr="00523E82">
        <w:rPr>
          <w:rFonts w:ascii="Arial" w:hAnsi="Arial" w:cs="Arial"/>
        </w:rPr>
        <w:t>neutralizing effect</w:t>
      </w:r>
      <w:r w:rsidR="00192148" w:rsidRPr="00523E82">
        <w:rPr>
          <w:rFonts w:ascii="Arial" w:hAnsi="Arial" w:cs="Arial"/>
        </w:rPr>
        <w:t xml:space="preserve"> </w:t>
      </w:r>
      <w:r w:rsidR="00192148" w:rsidRPr="00523E82">
        <w:rPr>
          <w:rFonts w:ascii="Arial" w:hAnsi="Arial" w:cs="Arial"/>
          <w:i/>
        </w:rPr>
        <w:t>in vivo</w:t>
      </w:r>
      <w:r w:rsidR="00FB042D" w:rsidRPr="00523E82">
        <w:rPr>
          <w:rFonts w:ascii="Arial" w:hAnsi="Arial" w:cs="Arial"/>
        </w:rPr>
        <w:t xml:space="preserve">, </w:t>
      </w:r>
      <w:r w:rsidR="00192148" w:rsidRPr="00523E82">
        <w:rPr>
          <w:rFonts w:ascii="Arial" w:hAnsi="Arial" w:cs="Arial"/>
        </w:rPr>
        <w:t xml:space="preserve">could </w:t>
      </w:r>
      <w:r w:rsidR="00FB042D" w:rsidRPr="00523E82">
        <w:rPr>
          <w:rFonts w:ascii="Arial" w:hAnsi="Arial" w:cs="Arial"/>
        </w:rPr>
        <w:t>only be consi</w:t>
      </w:r>
      <w:r w:rsidR="000D1623" w:rsidRPr="00523E82">
        <w:rPr>
          <w:rFonts w:ascii="Arial" w:hAnsi="Arial" w:cs="Arial"/>
        </w:rPr>
        <w:t>dered a suggestion of immunity. Observation o</w:t>
      </w:r>
      <w:r w:rsidR="00CB278C" w:rsidRPr="00523E82">
        <w:rPr>
          <w:rFonts w:ascii="Arial" w:hAnsi="Arial" w:cs="Arial"/>
        </w:rPr>
        <w:t xml:space="preserve">f reduced levels of neutralizing antibody in convalescent patients at </w:t>
      </w:r>
      <w:r w:rsidR="00AB3CF6" w:rsidRPr="00523E82">
        <w:rPr>
          <w:rFonts w:ascii="Arial" w:hAnsi="Arial" w:cs="Arial"/>
        </w:rPr>
        <w:t>just</w:t>
      </w:r>
      <w:r w:rsidR="00CB278C" w:rsidRPr="00523E82">
        <w:rPr>
          <w:rFonts w:ascii="Arial" w:hAnsi="Arial" w:cs="Arial"/>
        </w:rPr>
        <w:t xml:space="preserve"> 2-3</w:t>
      </w:r>
      <w:r w:rsidR="00E44F2F" w:rsidRPr="00523E82">
        <w:rPr>
          <w:rFonts w:ascii="Arial" w:hAnsi="Arial" w:cs="Arial"/>
        </w:rPr>
        <w:t xml:space="preserve"> months </w:t>
      </w:r>
      <w:r w:rsidR="00477013" w:rsidRPr="00523E82">
        <w:rPr>
          <w:rFonts w:ascii="Arial" w:hAnsi="Arial" w:cs="Arial"/>
        </w:rPr>
        <w:t xml:space="preserve">precludes </w:t>
      </w:r>
      <w:r w:rsidR="00CB278C" w:rsidRPr="00523E82">
        <w:rPr>
          <w:rFonts w:ascii="Arial" w:hAnsi="Arial" w:cs="Arial"/>
        </w:rPr>
        <w:t>antibody detection testing as a form of ‘immunity passport’.</w:t>
      </w:r>
      <w:r w:rsidR="0067563C">
        <w:rPr>
          <w:rFonts w:ascii="Arial" w:hAnsi="Arial" w:cs="Arial"/>
          <w:vertAlign w:val="superscript"/>
        </w:rPr>
        <w:t>10</w:t>
      </w:r>
      <w:r w:rsidR="00CB278C" w:rsidRPr="00523E82">
        <w:rPr>
          <w:rFonts w:ascii="Arial" w:hAnsi="Arial" w:cs="Arial"/>
        </w:rPr>
        <w:t xml:space="preserve"> </w:t>
      </w:r>
      <w:r w:rsidR="00477013" w:rsidRPr="00523E82">
        <w:rPr>
          <w:rFonts w:ascii="Arial" w:hAnsi="Arial" w:cs="Arial"/>
        </w:rPr>
        <w:t>W</w:t>
      </w:r>
      <w:r w:rsidR="00CB278C" w:rsidRPr="00523E82">
        <w:rPr>
          <w:rFonts w:ascii="Arial" w:hAnsi="Arial" w:cs="Arial"/>
        </w:rPr>
        <w:t>here the rate of acute infection is significantly declining in some areas</w:t>
      </w:r>
      <w:r w:rsidR="00B32125">
        <w:rPr>
          <w:rFonts w:ascii="Arial" w:hAnsi="Arial" w:cs="Arial"/>
        </w:rPr>
        <w:t>,</w:t>
      </w:r>
      <w:r w:rsidR="00B83208">
        <w:rPr>
          <w:rFonts w:ascii="Arial" w:hAnsi="Arial" w:cs="Arial"/>
        </w:rPr>
        <w:t xml:space="preserve"> </w:t>
      </w:r>
      <w:r w:rsidR="00CB278C" w:rsidRPr="00523E82">
        <w:rPr>
          <w:rFonts w:ascii="Arial" w:hAnsi="Arial" w:cs="Arial"/>
        </w:rPr>
        <w:t>l</w:t>
      </w:r>
      <w:r w:rsidR="00FB042D" w:rsidRPr="00523E82">
        <w:rPr>
          <w:rFonts w:ascii="Arial" w:hAnsi="Arial" w:cs="Arial"/>
        </w:rPr>
        <w:t>ongitu</w:t>
      </w:r>
      <w:r w:rsidR="00CB278C" w:rsidRPr="00523E82">
        <w:rPr>
          <w:rFonts w:ascii="Arial" w:hAnsi="Arial" w:cs="Arial"/>
        </w:rPr>
        <w:t xml:space="preserve">dinal studies characterizing the immune response in both symptomatic and asymptomatic individuals with confirmed infection is now </w:t>
      </w:r>
      <w:r w:rsidR="00CB278C" w:rsidRPr="00523E82">
        <w:rPr>
          <w:rFonts w:ascii="Arial" w:hAnsi="Arial" w:cs="Arial"/>
        </w:rPr>
        <w:lastRenderedPageBreak/>
        <w:t xml:space="preserve">urgently required. </w:t>
      </w:r>
      <w:r w:rsidR="00F159F7">
        <w:rPr>
          <w:rFonts w:ascii="Arial" w:hAnsi="Arial" w:cs="Arial"/>
        </w:rPr>
        <w:t>F</w:t>
      </w:r>
      <w:r w:rsidR="00477013" w:rsidRPr="00523E82">
        <w:rPr>
          <w:rFonts w:ascii="Arial" w:hAnsi="Arial" w:cs="Arial"/>
        </w:rPr>
        <w:t>ull benefit</w:t>
      </w:r>
      <w:r w:rsidR="00F159F7">
        <w:rPr>
          <w:rFonts w:ascii="Arial" w:hAnsi="Arial" w:cs="Arial"/>
        </w:rPr>
        <w:t xml:space="preserve"> of antibody screening programmes</w:t>
      </w:r>
      <w:r w:rsidR="00477013" w:rsidRPr="00523E82">
        <w:rPr>
          <w:rFonts w:ascii="Arial" w:hAnsi="Arial" w:cs="Arial"/>
        </w:rPr>
        <w:t xml:space="preserve"> will only be realised </w:t>
      </w:r>
      <w:r w:rsidR="003F345F" w:rsidRPr="00523E82">
        <w:rPr>
          <w:rFonts w:ascii="Arial" w:hAnsi="Arial" w:cs="Arial"/>
        </w:rPr>
        <w:t>where clear</w:t>
      </w:r>
      <w:r w:rsidR="00B833AA" w:rsidRPr="00523E82">
        <w:rPr>
          <w:rFonts w:ascii="Arial" w:hAnsi="Arial" w:cs="Arial"/>
        </w:rPr>
        <w:t xml:space="preserve"> information </w:t>
      </w:r>
      <w:r w:rsidR="003F345F" w:rsidRPr="00523E82">
        <w:rPr>
          <w:rFonts w:ascii="Arial" w:hAnsi="Arial" w:cs="Arial"/>
        </w:rPr>
        <w:t xml:space="preserve">is available for </w:t>
      </w:r>
      <w:r w:rsidR="001E4F56" w:rsidRPr="00523E82">
        <w:rPr>
          <w:rFonts w:ascii="Arial" w:hAnsi="Arial" w:cs="Arial"/>
        </w:rPr>
        <w:t xml:space="preserve">researchers around assay targets. </w:t>
      </w:r>
    </w:p>
    <w:p w14:paraId="226C90B5" w14:textId="77777777" w:rsidR="00FB042D" w:rsidRPr="00523E82" w:rsidRDefault="00FB042D" w:rsidP="00491237">
      <w:pPr>
        <w:spacing w:after="0" w:line="360" w:lineRule="auto"/>
        <w:rPr>
          <w:rFonts w:ascii="Arial" w:hAnsi="Arial" w:cs="Arial"/>
        </w:rPr>
      </w:pPr>
    </w:p>
    <w:p w14:paraId="39F829D3" w14:textId="10987E93" w:rsidR="00445984" w:rsidRPr="00693E66" w:rsidRDefault="00693E66" w:rsidP="00491237">
      <w:pPr>
        <w:spacing w:after="0" w:line="360" w:lineRule="auto"/>
        <w:rPr>
          <w:rFonts w:ascii="Arial" w:hAnsi="Arial" w:cs="Arial"/>
        </w:rPr>
      </w:pPr>
      <w:r>
        <w:rPr>
          <w:rFonts w:ascii="Arial" w:hAnsi="Arial" w:cs="Arial"/>
        </w:rPr>
        <w:t xml:space="preserve">We further </w:t>
      </w:r>
      <w:r>
        <w:rPr>
          <w:rFonts w:ascii="Arial" w:hAnsi="Arial" w:cs="Arial"/>
          <w:color w:val="212121"/>
          <w:shd w:val="clear" w:color="auto" w:fill="FFFFFF"/>
        </w:rPr>
        <w:t xml:space="preserve">calls by </w:t>
      </w:r>
      <w:proofErr w:type="spellStart"/>
      <w:r w:rsidRPr="009F2CCC">
        <w:rPr>
          <w:rFonts w:ascii="Arial" w:hAnsi="Arial" w:cs="Arial"/>
          <w:color w:val="212121"/>
          <w:shd w:val="clear" w:color="auto" w:fill="FFFFFF"/>
        </w:rPr>
        <w:t>Tré</w:t>
      </w:r>
      <w:proofErr w:type="spellEnd"/>
      <w:r w:rsidRPr="009F2CCC">
        <w:rPr>
          <w:rFonts w:ascii="Arial" w:hAnsi="Arial" w:cs="Arial"/>
          <w:color w:val="212121"/>
          <w:shd w:val="clear" w:color="auto" w:fill="FFFFFF"/>
        </w:rPr>
        <w:t xml:space="preserve">-Hardy </w:t>
      </w:r>
      <w:r w:rsidRPr="009F2CCC">
        <w:rPr>
          <w:rFonts w:ascii="Arial" w:hAnsi="Arial" w:cs="Arial"/>
          <w:i/>
          <w:iCs/>
          <w:color w:val="212121"/>
          <w:shd w:val="clear" w:color="auto" w:fill="FFFFFF"/>
        </w:rPr>
        <w:t>et al.</w:t>
      </w:r>
      <w:r>
        <w:rPr>
          <w:rFonts w:ascii="Arial" w:hAnsi="Arial" w:cs="Arial"/>
          <w:color w:val="212121"/>
          <w:shd w:val="clear" w:color="auto" w:fill="FFFFFF"/>
        </w:rPr>
        <w:t xml:space="preserve"> for the need to establish appropriate timeframes for serological testing</w:t>
      </w:r>
      <w:r w:rsidR="004178D1">
        <w:rPr>
          <w:rFonts w:ascii="Arial" w:hAnsi="Arial" w:cs="Arial"/>
          <w:color w:val="212121"/>
          <w:shd w:val="clear" w:color="auto" w:fill="FFFFFF"/>
        </w:rPr>
        <w:t xml:space="preserve"> in order to minimise misinterpretation but also feel better understanding of the differential antibody response and transparent assay target information is </w:t>
      </w:r>
      <w:r w:rsidR="00B927C1">
        <w:rPr>
          <w:rFonts w:ascii="Arial" w:hAnsi="Arial" w:cs="Arial"/>
          <w:color w:val="212121"/>
          <w:shd w:val="clear" w:color="auto" w:fill="FFFFFF"/>
        </w:rPr>
        <w:t xml:space="preserve">essential </w:t>
      </w:r>
      <w:r w:rsidR="004178D1">
        <w:rPr>
          <w:rFonts w:ascii="Arial" w:hAnsi="Arial" w:cs="Arial"/>
          <w:color w:val="212121"/>
          <w:shd w:val="clear" w:color="auto" w:fill="FFFFFF"/>
        </w:rPr>
        <w:t>to inform this process</w:t>
      </w:r>
      <w:r w:rsidR="00096393" w:rsidRPr="00693E66">
        <w:rPr>
          <w:rFonts w:ascii="Arial" w:hAnsi="Arial" w:cs="Arial"/>
        </w:rPr>
        <w:t>. While comparative</w:t>
      </w:r>
      <w:r w:rsidR="00B32125">
        <w:rPr>
          <w:rFonts w:ascii="Arial" w:hAnsi="Arial" w:cs="Arial"/>
        </w:rPr>
        <w:t>, longitudinal</w:t>
      </w:r>
      <w:r w:rsidR="00096393" w:rsidRPr="00693E66">
        <w:rPr>
          <w:rFonts w:ascii="Arial" w:hAnsi="Arial" w:cs="Arial"/>
        </w:rPr>
        <w:t xml:space="preserve"> studies between assay targets </w:t>
      </w:r>
      <w:r w:rsidR="00B058F5" w:rsidRPr="00693E66">
        <w:rPr>
          <w:rFonts w:ascii="Arial" w:hAnsi="Arial" w:cs="Arial"/>
        </w:rPr>
        <w:t xml:space="preserve">are </w:t>
      </w:r>
      <w:r w:rsidR="00096393" w:rsidRPr="00693E66">
        <w:rPr>
          <w:rFonts w:ascii="Arial" w:hAnsi="Arial" w:cs="Arial"/>
        </w:rPr>
        <w:t xml:space="preserve">urgently required, </w:t>
      </w:r>
      <w:r w:rsidR="00AA64E1" w:rsidRPr="00693E66">
        <w:rPr>
          <w:rFonts w:ascii="Arial" w:hAnsi="Arial" w:cs="Arial"/>
        </w:rPr>
        <w:t>messaging</w:t>
      </w:r>
      <w:r w:rsidR="00096393" w:rsidRPr="00693E66">
        <w:rPr>
          <w:rFonts w:ascii="Arial" w:hAnsi="Arial" w:cs="Arial"/>
        </w:rPr>
        <w:t xml:space="preserve"> on social-distancing and the appropriate use of personal protective equipment</w:t>
      </w:r>
      <w:r w:rsidR="00C83796" w:rsidRPr="00693E66">
        <w:rPr>
          <w:rFonts w:ascii="Arial" w:hAnsi="Arial" w:cs="Arial"/>
        </w:rPr>
        <w:t>,</w:t>
      </w:r>
      <w:r w:rsidR="00096393" w:rsidRPr="00693E66">
        <w:rPr>
          <w:rFonts w:ascii="Arial" w:hAnsi="Arial" w:cs="Arial"/>
        </w:rPr>
        <w:t xml:space="preserve"> regardless of a result</w:t>
      </w:r>
      <w:r w:rsidR="00C83796" w:rsidRPr="00693E66">
        <w:rPr>
          <w:rFonts w:ascii="Arial" w:hAnsi="Arial" w:cs="Arial"/>
        </w:rPr>
        <w:t>,</w:t>
      </w:r>
      <w:r w:rsidR="00096393" w:rsidRPr="00693E66">
        <w:rPr>
          <w:rFonts w:ascii="Arial" w:hAnsi="Arial" w:cs="Arial"/>
        </w:rPr>
        <w:t xml:space="preserve"> must </w:t>
      </w:r>
      <w:r w:rsidR="00FD613E" w:rsidRPr="00693E66">
        <w:rPr>
          <w:rFonts w:ascii="Arial" w:hAnsi="Arial" w:cs="Arial"/>
        </w:rPr>
        <w:t xml:space="preserve">remain </w:t>
      </w:r>
      <w:r w:rsidR="00477013" w:rsidRPr="00693E66">
        <w:rPr>
          <w:rFonts w:ascii="Arial" w:hAnsi="Arial" w:cs="Arial"/>
        </w:rPr>
        <w:t>a mainstay</w:t>
      </w:r>
      <w:r w:rsidR="00096393" w:rsidRPr="00693E66">
        <w:rPr>
          <w:rFonts w:ascii="Arial" w:hAnsi="Arial" w:cs="Arial"/>
        </w:rPr>
        <w:t>. If this is unable to be effectively delivered where kits are being used in the community</w:t>
      </w:r>
      <w:r w:rsidR="005D5174" w:rsidRPr="00693E66">
        <w:rPr>
          <w:rFonts w:ascii="Arial" w:hAnsi="Arial" w:cs="Arial"/>
        </w:rPr>
        <w:t>,</w:t>
      </w:r>
      <w:r w:rsidR="00096393" w:rsidRPr="00693E66">
        <w:rPr>
          <w:rFonts w:ascii="Arial" w:hAnsi="Arial" w:cs="Arial"/>
        </w:rPr>
        <w:t xml:space="preserve"> then</w:t>
      </w:r>
      <w:r w:rsidR="00E65245" w:rsidRPr="00693E66">
        <w:rPr>
          <w:rFonts w:ascii="Arial" w:hAnsi="Arial" w:cs="Arial"/>
        </w:rPr>
        <w:t xml:space="preserve"> </w:t>
      </w:r>
      <w:r w:rsidR="00096393" w:rsidRPr="00693E66">
        <w:rPr>
          <w:rFonts w:ascii="Arial" w:hAnsi="Arial" w:cs="Arial"/>
        </w:rPr>
        <w:t xml:space="preserve">testing </w:t>
      </w:r>
      <w:r w:rsidR="00E65245" w:rsidRPr="00693E66">
        <w:rPr>
          <w:rFonts w:ascii="Arial" w:hAnsi="Arial" w:cs="Arial"/>
        </w:rPr>
        <w:t>for the purposes of delayed case identification alon</w:t>
      </w:r>
      <w:r w:rsidR="00192148" w:rsidRPr="00693E66">
        <w:rPr>
          <w:rFonts w:ascii="Arial" w:hAnsi="Arial" w:cs="Arial"/>
        </w:rPr>
        <w:t>e</w:t>
      </w:r>
      <w:r w:rsidR="00E65245" w:rsidRPr="00693E66">
        <w:rPr>
          <w:rFonts w:ascii="Arial" w:hAnsi="Arial" w:cs="Arial"/>
        </w:rPr>
        <w:t xml:space="preserve"> </w:t>
      </w:r>
      <w:r w:rsidR="00096393" w:rsidRPr="00693E66">
        <w:rPr>
          <w:rFonts w:ascii="Arial" w:hAnsi="Arial" w:cs="Arial"/>
        </w:rPr>
        <w:t xml:space="preserve">should be limited </w:t>
      </w:r>
      <w:r w:rsidR="00FD613E" w:rsidRPr="00693E66">
        <w:rPr>
          <w:rFonts w:ascii="Arial" w:hAnsi="Arial" w:cs="Arial"/>
        </w:rPr>
        <w:t xml:space="preserve">to where direct </w:t>
      </w:r>
      <w:r w:rsidR="00E65245" w:rsidRPr="00693E66">
        <w:rPr>
          <w:rFonts w:ascii="Arial" w:hAnsi="Arial" w:cs="Arial"/>
        </w:rPr>
        <w:t xml:space="preserve">clinical </w:t>
      </w:r>
      <w:r w:rsidR="00FD613E" w:rsidRPr="00693E66">
        <w:rPr>
          <w:rFonts w:ascii="Arial" w:hAnsi="Arial" w:cs="Arial"/>
        </w:rPr>
        <w:t>counselling can be undertaken</w:t>
      </w:r>
      <w:r w:rsidR="005D5174" w:rsidRPr="00693E66">
        <w:rPr>
          <w:rFonts w:ascii="Arial" w:hAnsi="Arial" w:cs="Arial"/>
        </w:rPr>
        <w:t xml:space="preserve">. </w:t>
      </w:r>
    </w:p>
    <w:p w14:paraId="7C3F7D87" w14:textId="5A96C72C" w:rsidR="0045427A" w:rsidRDefault="0045427A" w:rsidP="00491237">
      <w:pPr>
        <w:spacing w:after="0" w:line="360" w:lineRule="auto"/>
        <w:rPr>
          <w:rFonts w:ascii="Arial" w:hAnsi="Arial" w:cs="Arial"/>
        </w:rPr>
      </w:pPr>
    </w:p>
    <w:p w14:paraId="6563C6DD" w14:textId="77777777" w:rsidR="00B927C1" w:rsidRPr="00B651F1" w:rsidRDefault="00B927C1" w:rsidP="00491237">
      <w:pPr>
        <w:spacing w:after="0" w:line="360" w:lineRule="auto"/>
        <w:rPr>
          <w:rFonts w:ascii="Arial" w:hAnsi="Arial" w:cs="Arial"/>
        </w:rPr>
      </w:pPr>
    </w:p>
    <w:p w14:paraId="63E42B93" w14:textId="77777777" w:rsidR="00445984" w:rsidRPr="00523E82" w:rsidRDefault="006D6992" w:rsidP="00491237">
      <w:pPr>
        <w:spacing w:after="0" w:line="360" w:lineRule="auto"/>
        <w:rPr>
          <w:rFonts w:ascii="Arial" w:hAnsi="Arial" w:cs="Arial"/>
        </w:rPr>
      </w:pPr>
      <w:r w:rsidRPr="005B4B48">
        <w:rPr>
          <w:rFonts w:ascii="Arial" w:hAnsi="Arial" w:cs="Arial"/>
          <w:b/>
          <w:bCs/>
        </w:rPr>
        <w:t>References</w:t>
      </w:r>
      <w:r w:rsidRPr="00523E82">
        <w:rPr>
          <w:rFonts w:ascii="Arial" w:hAnsi="Arial" w:cs="Arial"/>
        </w:rPr>
        <w:t xml:space="preserve">: </w:t>
      </w:r>
    </w:p>
    <w:p w14:paraId="2FF95F0A" w14:textId="2A7B4CF5" w:rsidR="0067563C" w:rsidRPr="00B651F1" w:rsidRDefault="0067563C" w:rsidP="00B651F1">
      <w:pPr>
        <w:shd w:val="clear" w:color="auto" w:fill="FFFFFF"/>
        <w:rPr>
          <w:rFonts w:ascii="Arial" w:hAnsi="Arial" w:cs="Arial"/>
          <w:color w:val="000000"/>
          <w:sz w:val="20"/>
          <w:szCs w:val="20"/>
        </w:rPr>
      </w:pPr>
    </w:p>
    <w:p w14:paraId="626E44C4" w14:textId="77777777" w:rsidR="00B615DA" w:rsidRPr="004230D0" w:rsidRDefault="00B615DA" w:rsidP="00B615DA">
      <w:pPr>
        <w:pStyle w:val="ListParagraph"/>
        <w:numPr>
          <w:ilvl w:val="0"/>
          <w:numId w:val="1"/>
        </w:numPr>
        <w:spacing w:after="0" w:line="360" w:lineRule="auto"/>
        <w:ind w:left="426"/>
        <w:rPr>
          <w:rFonts w:ascii="Arial" w:hAnsi="Arial" w:cs="Arial"/>
        </w:rPr>
      </w:pPr>
      <w:bookmarkStart w:id="0" w:name="_Hlk46622539"/>
      <w:r w:rsidRPr="00B651F1">
        <w:rPr>
          <w:rFonts w:ascii="Arial" w:hAnsi="Arial" w:cs="Arial"/>
        </w:rPr>
        <w:t>Tre</w:t>
      </w:r>
      <w:r w:rsidRPr="004230D0">
        <w:rPr>
          <w:rFonts w:ascii="Arial" w:hAnsi="Arial" w:cs="Arial"/>
        </w:rPr>
        <w:t xml:space="preserve">-Hardy M, </w:t>
      </w:r>
      <w:proofErr w:type="spellStart"/>
      <w:r w:rsidRPr="004230D0">
        <w:rPr>
          <w:rFonts w:ascii="Arial" w:hAnsi="Arial" w:cs="Arial"/>
        </w:rPr>
        <w:t>Blairon</w:t>
      </w:r>
      <w:proofErr w:type="spellEnd"/>
      <w:r w:rsidRPr="004230D0">
        <w:rPr>
          <w:rFonts w:ascii="Arial" w:hAnsi="Arial" w:cs="Arial"/>
        </w:rPr>
        <w:t xml:space="preserve"> L, </w:t>
      </w:r>
      <w:proofErr w:type="spellStart"/>
      <w:r w:rsidRPr="004230D0">
        <w:rPr>
          <w:rFonts w:ascii="Arial" w:hAnsi="Arial" w:cs="Arial"/>
        </w:rPr>
        <w:t>Wilmet</w:t>
      </w:r>
      <w:proofErr w:type="spellEnd"/>
      <w:r w:rsidRPr="004230D0">
        <w:rPr>
          <w:rFonts w:ascii="Arial" w:hAnsi="Arial" w:cs="Arial"/>
        </w:rPr>
        <w:t xml:space="preserve"> A, </w:t>
      </w:r>
      <w:proofErr w:type="spellStart"/>
      <w:r w:rsidRPr="004230D0">
        <w:rPr>
          <w:rFonts w:ascii="Arial" w:hAnsi="Arial" w:cs="Arial"/>
        </w:rPr>
        <w:t>Beukinga</w:t>
      </w:r>
      <w:proofErr w:type="spellEnd"/>
      <w:r w:rsidRPr="004230D0">
        <w:rPr>
          <w:rFonts w:ascii="Arial" w:hAnsi="Arial" w:cs="Arial"/>
        </w:rPr>
        <w:t xml:space="preserve"> I, </w:t>
      </w:r>
      <w:proofErr w:type="spellStart"/>
      <w:r w:rsidRPr="004230D0">
        <w:rPr>
          <w:rFonts w:ascii="Arial" w:hAnsi="Arial" w:cs="Arial"/>
        </w:rPr>
        <w:t>Malonne</w:t>
      </w:r>
      <w:proofErr w:type="spellEnd"/>
      <w:r w:rsidRPr="004230D0">
        <w:rPr>
          <w:rFonts w:ascii="Arial" w:hAnsi="Arial" w:cs="Arial"/>
        </w:rPr>
        <w:t xml:space="preserve"> H, </w:t>
      </w:r>
      <w:proofErr w:type="spellStart"/>
      <w:r w:rsidRPr="004230D0">
        <w:rPr>
          <w:rFonts w:ascii="Arial" w:hAnsi="Arial" w:cs="Arial"/>
        </w:rPr>
        <w:t>Dogne</w:t>
      </w:r>
      <w:proofErr w:type="spellEnd"/>
      <w:r w:rsidRPr="004230D0">
        <w:rPr>
          <w:rFonts w:ascii="Arial" w:hAnsi="Arial" w:cs="Arial"/>
        </w:rPr>
        <w:t xml:space="preserve"> JM </w:t>
      </w:r>
      <w:r w:rsidRPr="004230D0">
        <w:rPr>
          <w:rFonts w:ascii="Arial" w:hAnsi="Arial" w:cs="Arial"/>
          <w:i/>
          <w:iCs/>
        </w:rPr>
        <w:t>et al</w:t>
      </w:r>
      <w:r w:rsidRPr="004230D0">
        <w:rPr>
          <w:rFonts w:ascii="Arial" w:hAnsi="Arial" w:cs="Arial"/>
        </w:rPr>
        <w:t xml:space="preserve">. The role of serology for COVID-19 control: Population, kinetics and test performance do matter. </w:t>
      </w:r>
      <w:hyperlink r:id="rId9" w:history="1">
        <w:r w:rsidRPr="004230D0">
          <w:rPr>
            <w:rStyle w:val="Hyperlink"/>
            <w:rFonts w:ascii="Arial" w:hAnsi="Arial" w:cs="Arial"/>
            <w:color w:val="auto"/>
          </w:rPr>
          <w:t>J Infect</w:t>
        </w:r>
      </w:hyperlink>
      <w:r w:rsidRPr="004230D0">
        <w:rPr>
          <w:rStyle w:val="cit"/>
          <w:rFonts w:ascii="Arial" w:hAnsi="Arial" w:cs="Arial"/>
        </w:rPr>
        <w:t xml:space="preserve">. 2020. </w:t>
      </w:r>
      <w:r w:rsidRPr="004230D0">
        <w:rPr>
          <w:rStyle w:val="doi"/>
          <w:rFonts w:ascii="Arial" w:hAnsi="Arial" w:cs="Arial"/>
        </w:rPr>
        <w:t>doi: </w:t>
      </w:r>
      <w:hyperlink r:id="rId10" w:tgtFrame="pmc_ext" w:history="1">
        <w:r w:rsidRPr="004E61A2">
          <w:rPr>
            <w:rStyle w:val="Hyperlink"/>
            <w:rFonts w:ascii="Arial" w:hAnsi="Arial" w:cs="Arial"/>
            <w:color w:val="auto"/>
            <w:u w:val="none"/>
          </w:rPr>
          <w:t>10.1016/j.jinf.2020.05.019</w:t>
        </w:r>
      </w:hyperlink>
      <w:r w:rsidRPr="004E61A2">
        <w:rPr>
          <w:rFonts w:ascii="Arial" w:hAnsi="Arial" w:cs="Arial"/>
        </w:rPr>
        <w:t> [</w:t>
      </w:r>
      <w:proofErr w:type="spellStart"/>
      <w:r w:rsidRPr="004E61A2">
        <w:rPr>
          <w:rFonts w:ascii="Arial" w:hAnsi="Arial" w:cs="Arial"/>
        </w:rPr>
        <w:t>E</w:t>
      </w:r>
      <w:r w:rsidRPr="004230D0">
        <w:rPr>
          <w:rFonts w:ascii="Arial" w:hAnsi="Arial" w:cs="Arial"/>
        </w:rPr>
        <w:t>pub</w:t>
      </w:r>
      <w:proofErr w:type="spellEnd"/>
      <w:r w:rsidRPr="004230D0">
        <w:rPr>
          <w:rFonts w:ascii="Arial" w:hAnsi="Arial" w:cs="Arial"/>
        </w:rPr>
        <w:t xml:space="preserve"> ahead of print]</w:t>
      </w:r>
    </w:p>
    <w:p w14:paraId="3B51040C" w14:textId="77777777" w:rsidR="00B615DA" w:rsidRPr="004230D0" w:rsidRDefault="00B615DA" w:rsidP="00B615DA">
      <w:pPr>
        <w:pStyle w:val="ListParagraph"/>
        <w:numPr>
          <w:ilvl w:val="0"/>
          <w:numId w:val="1"/>
        </w:numPr>
        <w:spacing w:after="0" w:line="360" w:lineRule="auto"/>
        <w:ind w:left="426"/>
        <w:rPr>
          <w:rFonts w:ascii="Arial" w:hAnsi="Arial" w:cs="Arial"/>
        </w:rPr>
      </w:pPr>
      <w:r w:rsidRPr="004230D0">
        <w:rPr>
          <w:rFonts w:ascii="Arial" w:hAnsi="Arial" w:cs="Arial"/>
        </w:rPr>
        <w:t xml:space="preserve">Jiang S, </w:t>
      </w:r>
      <w:proofErr w:type="spellStart"/>
      <w:r w:rsidRPr="004230D0">
        <w:rPr>
          <w:rFonts w:ascii="Arial" w:hAnsi="Arial" w:cs="Arial"/>
        </w:rPr>
        <w:t>Hilyer</w:t>
      </w:r>
      <w:proofErr w:type="spellEnd"/>
      <w:r w:rsidRPr="004230D0">
        <w:rPr>
          <w:rFonts w:ascii="Arial" w:hAnsi="Arial" w:cs="Arial"/>
        </w:rPr>
        <w:t xml:space="preserve"> C, Du L. Neutralizing Antibodies against SARS-CoV-2 and Other Human Coronaviruses. Trends Immunol. 2020; 41(5):355-359. doi: </w:t>
      </w:r>
      <w:hyperlink r:id="rId11" w:tgtFrame="_blank" w:tooltip="Persistent link using digital object identifier" w:history="1">
        <w:r w:rsidRPr="004230D0">
          <w:rPr>
            <w:rStyle w:val="Hyperlink"/>
            <w:rFonts w:ascii="Arial" w:hAnsi="Arial" w:cs="Arial"/>
            <w:color w:val="auto"/>
            <w:sz w:val="21"/>
            <w:szCs w:val="21"/>
            <w:u w:val="none"/>
          </w:rPr>
          <w:t>10.1016/j.it.2020.03.007</w:t>
        </w:r>
      </w:hyperlink>
      <w:r w:rsidRPr="004230D0">
        <w:t>.</w:t>
      </w:r>
    </w:p>
    <w:p w14:paraId="2E1508F7" w14:textId="77777777" w:rsidR="00B615DA" w:rsidRPr="004230D0" w:rsidRDefault="00B615DA" w:rsidP="00B615DA">
      <w:pPr>
        <w:pStyle w:val="ListParagraph"/>
        <w:numPr>
          <w:ilvl w:val="0"/>
          <w:numId w:val="1"/>
        </w:numPr>
        <w:spacing w:after="0" w:line="360" w:lineRule="auto"/>
        <w:ind w:left="426"/>
        <w:rPr>
          <w:rFonts w:ascii="Arial" w:hAnsi="Arial" w:cs="Arial"/>
        </w:rPr>
      </w:pPr>
      <w:proofErr w:type="spellStart"/>
      <w:r w:rsidRPr="004230D0">
        <w:rPr>
          <w:rFonts w:ascii="Arial" w:hAnsi="Arial" w:cs="Arial"/>
        </w:rPr>
        <w:t>Thevarajan</w:t>
      </w:r>
      <w:proofErr w:type="spellEnd"/>
      <w:r w:rsidRPr="004230D0">
        <w:rPr>
          <w:rFonts w:ascii="Arial" w:hAnsi="Arial" w:cs="Arial"/>
        </w:rPr>
        <w:t xml:space="preserve"> I, Nguyen THO, </w:t>
      </w:r>
      <w:proofErr w:type="spellStart"/>
      <w:r w:rsidRPr="004230D0">
        <w:rPr>
          <w:rFonts w:ascii="Arial" w:hAnsi="Arial" w:cs="Arial"/>
        </w:rPr>
        <w:t>Koutsakos</w:t>
      </w:r>
      <w:proofErr w:type="spellEnd"/>
      <w:r w:rsidRPr="004230D0">
        <w:rPr>
          <w:rFonts w:ascii="Arial" w:hAnsi="Arial" w:cs="Arial"/>
        </w:rPr>
        <w:t xml:space="preserve"> M, </w:t>
      </w:r>
      <w:proofErr w:type="spellStart"/>
      <w:r w:rsidRPr="004230D0">
        <w:rPr>
          <w:rFonts w:ascii="Arial" w:hAnsi="Arial" w:cs="Arial"/>
        </w:rPr>
        <w:t>Druce</w:t>
      </w:r>
      <w:proofErr w:type="spellEnd"/>
      <w:r w:rsidRPr="004230D0">
        <w:rPr>
          <w:rFonts w:ascii="Arial" w:hAnsi="Arial" w:cs="Arial"/>
        </w:rPr>
        <w:t xml:space="preserve"> J, </w:t>
      </w:r>
      <w:proofErr w:type="spellStart"/>
      <w:r w:rsidRPr="004230D0">
        <w:rPr>
          <w:rFonts w:ascii="Arial" w:hAnsi="Arial" w:cs="Arial"/>
        </w:rPr>
        <w:t>Caly</w:t>
      </w:r>
      <w:proofErr w:type="spellEnd"/>
      <w:r w:rsidRPr="004230D0">
        <w:rPr>
          <w:rFonts w:ascii="Arial" w:hAnsi="Arial" w:cs="Arial"/>
        </w:rPr>
        <w:t xml:space="preserve"> L. </w:t>
      </w:r>
      <w:r w:rsidRPr="004230D0">
        <w:rPr>
          <w:rFonts w:ascii="Arial" w:hAnsi="Arial" w:cs="Arial"/>
          <w:lang w:val="en"/>
        </w:rPr>
        <w:t xml:space="preserve">Breadth of concomitant immune responses prior to patient recovery: a case report of non-severe COVID-19. Nat Med. 2020; 26(4):453-455. </w:t>
      </w:r>
    </w:p>
    <w:p w14:paraId="7805C5F1" w14:textId="51F3D62A" w:rsidR="00B615DA" w:rsidRPr="004230D0" w:rsidRDefault="00B615DA" w:rsidP="00B615DA">
      <w:pPr>
        <w:pStyle w:val="ListParagraph"/>
        <w:numPr>
          <w:ilvl w:val="0"/>
          <w:numId w:val="1"/>
        </w:numPr>
        <w:spacing w:after="0" w:line="360" w:lineRule="auto"/>
        <w:ind w:left="426"/>
        <w:rPr>
          <w:rStyle w:val="title-text"/>
          <w:rFonts w:ascii="Segoe UI" w:hAnsi="Segoe UI" w:cs="Segoe UI"/>
        </w:rPr>
      </w:pPr>
      <w:r w:rsidRPr="004230D0">
        <w:rPr>
          <w:rFonts w:ascii="Arial" w:hAnsi="Arial" w:cs="Arial"/>
          <w:lang w:val="en"/>
        </w:rPr>
        <w:t xml:space="preserve">Tay MZ, </w:t>
      </w:r>
      <w:proofErr w:type="spellStart"/>
      <w:r w:rsidRPr="004230D0">
        <w:rPr>
          <w:rFonts w:ascii="Arial" w:hAnsi="Arial" w:cs="Arial"/>
          <w:lang w:val="en"/>
        </w:rPr>
        <w:t>Poh</w:t>
      </w:r>
      <w:proofErr w:type="spellEnd"/>
      <w:r w:rsidRPr="004230D0">
        <w:rPr>
          <w:rFonts w:ascii="Arial" w:hAnsi="Arial" w:cs="Arial"/>
          <w:lang w:val="en"/>
        </w:rPr>
        <w:t xml:space="preserve"> CK, </w:t>
      </w:r>
      <w:proofErr w:type="spellStart"/>
      <w:r w:rsidRPr="004230D0">
        <w:rPr>
          <w:rFonts w:ascii="Arial" w:hAnsi="Arial" w:cs="Arial"/>
          <w:lang w:val="en"/>
        </w:rPr>
        <w:t>Renia</w:t>
      </w:r>
      <w:proofErr w:type="spellEnd"/>
      <w:r w:rsidRPr="004230D0">
        <w:rPr>
          <w:rFonts w:ascii="Arial" w:hAnsi="Arial" w:cs="Arial"/>
          <w:lang w:val="en"/>
        </w:rPr>
        <w:t xml:space="preserve"> L, </w:t>
      </w:r>
      <w:proofErr w:type="spellStart"/>
      <w:r w:rsidRPr="004230D0">
        <w:rPr>
          <w:rFonts w:ascii="Arial" w:hAnsi="Arial" w:cs="Arial"/>
          <w:lang w:val="en"/>
        </w:rPr>
        <w:t>MacAry</w:t>
      </w:r>
      <w:proofErr w:type="spellEnd"/>
      <w:r w:rsidRPr="004230D0">
        <w:rPr>
          <w:rFonts w:ascii="Arial" w:hAnsi="Arial" w:cs="Arial"/>
          <w:lang w:val="en"/>
        </w:rPr>
        <w:t xml:space="preserve"> PA, Ng LFP. The trinity of COVID-19: immunity, inflammation and intervention. </w:t>
      </w:r>
      <w:hyperlink r:id="rId12" w:history="1">
        <w:r w:rsidRPr="004230D0">
          <w:rPr>
            <w:rFonts w:ascii="Arial" w:hAnsi="Arial" w:cs="Arial"/>
            <w:lang w:val="en"/>
          </w:rPr>
          <w:t>Nat Rev Immunol</w:t>
        </w:r>
      </w:hyperlink>
      <w:r w:rsidRPr="004230D0">
        <w:rPr>
          <w:rFonts w:ascii="Arial" w:hAnsi="Arial" w:cs="Arial"/>
          <w:lang w:val="en"/>
        </w:rPr>
        <w:t>. 2020;</w:t>
      </w:r>
      <w:r w:rsidR="004230D0">
        <w:rPr>
          <w:rFonts w:ascii="Arial" w:hAnsi="Arial" w:cs="Arial"/>
          <w:lang w:val="en"/>
        </w:rPr>
        <w:t xml:space="preserve"> </w:t>
      </w:r>
      <w:r w:rsidRPr="004230D0">
        <w:rPr>
          <w:rFonts w:ascii="Arial" w:hAnsi="Arial" w:cs="Arial"/>
          <w:lang w:val="en"/>
        </w:rPr>
        <w:t xml:space="preserve">28:1–12. doi: </w:t>
      </w:r>
      <w:hyperlink r:id="rId13" w:tgtFrame="_blank" w:history="1">
        <w:r w:rsidRPr="004230D0">
          <w:rPr>
            <w:rStyle w:val="Hyperlink"/>
            <w:rFonts w:ascii="Segoe UI" w:hAnsi="Segoe UI" w:cs="Segoe UI"/>
            <w:color w:val="auto"/>
            <w:u w:val="none"/>
          </w:rPr>
          <w:t>10.1038/s41577-020-0311-8</w:t>
        </w:r>
      </w:hyperlink>
      <w:r w:rsidRPr="004230D0">
        <w:rPr>
          <w:rStyle w:val="identifier"/>
          <w:rFonts w:ascii="Segoe UI" w:hAnsi="Segoe UI" w:cs="Segoe UI"/>
        </w:rPr>
        <w:t>.</w:t>
      </w:r>
    </w:p>
    <w:p w14:paraId="1087A311" w14:textId="77777777" w:rsidR="00B615DA" w:rsidRPr="004230D0" w:rsidRDefault="00B615DA" w:rsidP="00B615DA">
      <w:pPr>
        <w:pStyle w:val="ListParagraph"/>
        <w:numPr>
          <w:ilvl w:val="0"/>
          <w:numId w:val="1"/>
        </w:numPr>
        <w:spacing w:after="0" w:line="360" w:lineRule="auto"/>
        <w:ind w:left="426"/>
        <w:rPr>
          <w:rFonts w:ascii="Arial" w:hAnsi="Arial" w:cs="Arial"/>
        </w:rPr>
      </w:pPr>
      <w:r w:rsidRPr="004230D0">
        <w:rPr>
          <w:rFonts w:ascii="Arial" w:hAnsi="Arial" w:cs="Arial"/>
        </w:rPr>
        <w:t xml:space="preserve">Quinlan BD, </w:t>
      </w:r>
      <w:proofErr w:type="spellStart"/>
      <w:r w:rsidRPr="004230D0">
        <w:rPr>
          <w:rFonts w:ascii="Arial" w:hAnsi="Arial" w:cs="Arial"/>
        </w:rPr>
        <w:t>Mou</w:t>
      </w:r>
      <w:proofErr w:type="spellEnd"/>
      <w:r w:rsidRPr="004230D0">
        <w:rPr>
          <w:rFonts w:ascii="Arial" w:hAnsi="Arial" w:cs="Arial"/>
        </w:rPr>
        <w:t xml:space="preserve"> H, Zhang L, Guo Y, He W </w:t>
      </w:r>
      <w:r w:rsidRPr="004230D0">
        <w:rPr>
          <w:rFonts w:ascii="Arial" w:hAnsi="Arial" w:cs="Arial"/>
          <w:i/>
        </w:rPr>
        <w:t>et al</w:t>
      </w:r>
      <w:r w:rsidRPr="004230D0">
        <w:rPr>
          <w:rFonts w:ascii="Arial" w:hAnsi="Arial" w:cs="Arial"/>
        </w:rPr>
        <w:t xml:space="preserve">. The SARS-CoV-2 receptor-binding domain elicits a potent neutralizing response without antibody-dependent enhancement. 2020. </w:t>
      </w:r>
      <w:proofErr w:type="spellStart"/>
      <w:r w:rsidRPr="004230D0">
        <w:rPr>
          <w:rFonts w:ascii="Arial" w:hAnsi="Arial" w:cs="Arial"/>
        </w:rPr>
        <w:t>bioRxiv</w:t>
      </w:r>
      <w:proofErr w:type="spellEnd"/>
      <w:r w:rsidRPr="004230D0">
        <w:rPr>
          <w:rFonts w:ascii="Arial" w:hAnsi="Arial" w:cs="Arial"/>
        </w:rPr>
        <w:t xml:space="preserve"> preprint doi: https://doi.org/10.1101/2020.04.10.036418. Accessed May 21, 2020.</w:t>
      </w:r>
    </w:p>
    <w:p w14:paraId="3E878809" w14:textId="77777777" w:rsidR="00B615DA" w:rsidRPr="004230D0" w:rsidRDefault="00B615DA" w:rsidP="00B615DA">
      <w:pPr>
        <w:pStyle w:val="ListParagraph"/>
        <w:numPr>
          <w:ilvl w:val="0"/>
          <w:numId w:val="1"/>
        </w:numPr>
        <w:spacing w:after="0" w:line="360" w:lineRule="auto"/>
        <w:ind w:left="426"/>
        <w:rPr>
          <w:rFonts w:ascii="Arial" w:hAnsi="Arial" w:cs="Arial"/>
        </w:rPr>
      </w:pPr>
      <w:proofErr w:type="spellStart"/>
      <w:r w:rsidRPr="004230D0">
        <w:rPr>
          <w:rFonts w:ascii="Arial" w:hAnsi="Arial" w:cs="Arial"/>
        </w:rPr>
        <w:t>Finddx</w:t>
      </w:r>
      <w:proofErr w:type="spellEnd"/>
      <w:r w:rsidRPr="004230D0">
        <w:rPr>
          <w:rFonts w:ascii="Arial" w:hAnsi="Arial" w:cs="Arial"/>
        </w:rPr>
        <w:t xml:space="preserve">. </w:t>
      </w:r>
      <w:hyperlink r:id="rId14" w:anchor="diag_tab" w:history="1">
        <w:r w:rsidRPr="004230D0">
          <w:rPr>
            <w:rStyle w:val="Hyperlink"/>
            <w:rFonts w:ascii="Arial" w:hAnsi="Arial" w:cs="Arial"/>
            <w:color w:val="auto"/>
          </w:rPr>
          <w:t>https://www.finddx.org/covid-19/pipeline/?section=immunoassays#diag_tab</w:t>
        </w:r>
      </w:hyperlink>
      <w:r w:rsidRPr="004230D0">
        <w:rPr>
          <w:rFonts w:ascii="Arial" w:hAnsi="Arial" w:cs="Arial"/>
        </w:rPr>
        <w:t xml:space="preserve">. Accessed 03 June 2020. </w:t>
      </w:r>
    </w:p>
    <w:p w14:paraId="707A9855" w14:textId="77777777" w:rsidR="00B615DA" w:rsidRPr="004230D0" w:rsidRDefault="00B615DA" w:rsidP="00B615DA">
      <w:pPr>
        <w:pStyle w:val="ListParagraph"/>
        <w:numPr>
          <w:ilvl w:val="0"/>
          <w:numId w:val="1"/>
        </w:numPr>
        <w:spacing w:after="0" w:line="360" w:lineRule="auto"/>
        <w:ind w:left="426"/>
        <w:rPr>
          <w:rFonts w:ascii="Arial" w:hAnsi="Arial" w:cs="Arial"/>
        </w:rPr>
      </w:pPr>
      <w:r w:rsidRPr="004230D0">
        <w:rPr>
          <w:rFonts w:ascii="Arial" w:hAnsi="Arial" w:cs="Arial"/>
        </w:rPr>
        <w:t xml:space="preserve">Pallett SJC, Denny SJ, Patel A, Charani E, Mughal N et al. Point-of-care serological assays for SARS-CoV-2 in a UK hospital population: potential for enhanced case finding. Preprint at </w:t>
      </w:r>
      <w:proofErr w:type="spellStart"/>
      <w:r w:rsidRPr="004230D0">
        <w:rPr>
          <w:rFonts w:ascii="Arial" w:hAnsi="Arial" w:cs="Arial"/>
        </w:rPr>
        <w:t>researchsquare</w:t>
      </w:r>
      <w:proofErr w:type="spellEnd"/>
      <w:r w:rsidRPr="004230D0">
        <w:rPr>
          <w:rFonts w:ascii="Arial" w:hAnsi="Arial" w:cs="Arial"/>
        </w:rPr>
        <w:t xml:space="preserve">. doi: </w:t>
      </w:r>
      <w:r w:rsidRPr="004230D0">
        <w:rPr>
          <w:rFonts w:ascii="Segoe UI" w:hAnsi="Segoe UI" w:cs="Segoe UI"/>
          <w:shd w:val="clear" w:color="auto" w:fill="FFFFFF"/>
        </w:rPr>
        <w:t>10.21203/rs.3.rs-28006/v1</w:t>
      </w:r>
    </w:p>
    <w:p w14:paraId="2A32F7A1" w14:textId="77777777" w:rsidR="00B615DA" w:rsidRPr="004230D0" w:rsidRDefault="00B615DA" w:rsidP="00B615DA">
      <w:pPr>
        <w:pStyle w:val="ListParagraph"/>
        <w:numPr>
          <w:ilvl w:val="0"/>
          <w:numId w:val="1"/>
        </w:numPr>
        <w:spacing w:after="0" w:line="360" w:lineRule="auto"/>
        <w:ind w:left="426"/>
        <w:rPr>
          <w:rFonts w:ascii="Arial" w:hAnsi="Arial" w:cs="Arial"/>
        </w:rPr>
      </w:pPr>
      <w:r w:rsidRPr="004230D0">
        <w:rPr>
          <w:rFonts w:ascii="Arial" w:hAnsi="Arial" w:cs="Arial"/>
        </w:rPr>
        <w:lastRenderedPageBreak/>
        <w:t xml:space="preserve">Pallett SJC, Rayment M, Patel A, Fitzgerald-Smith SAM, Denny SJ </w:t>
      </w:r>
      <w:r w:rsidRPr="004230D0">
        <w:rPr>
          <w:rFonts w:ascii="Arial" w:hAnsi="Arial" w:cs="Arial"/>
          <w:i/>
        </w:rPr>
        <w:t>et al</w:t>
      </w:r>
      <w:r w:rsidRPr="004230D0">
        <w:rPr>
          <w:rFonts w:ascii="Arial" w:hAnsi="Arial" w:cs="Arial"/>
        </w:rPr>
        <w:t xml:space="preserve">. Point-of-care serological assays for delayed SARS-CoV-2 case identification among UK healthcare workers. Lancet Respir Med. 2020. </w:t>
      </w:r>
      <w:hyperlink r:id="rId15" w:history="1">
        <w:r w:rsidRPr="004230D0">
          <w:rPr>
            <w:rFonts w:ascii="Arial" w:hAnsi="Arial" w:cs="Arial"/>
          </w:rPr>
          <w:t>doi: 10.1016/S2213-2600(20)30315-5</w:t>
        </w:r>
      </w:hyperlink>
      <w:r w:rsidRPr="004230D0">
        <w:rPr>
          <w:rFonts w:ascii="Arial" w:hAnsi="Arial" w:cs="Arial"/>
        </w:rPr>
        <w:t xml:space="preserve">. </w:t>
      </w:r>
      <w:r w:rsidRPr="004230D0">
        <w:t>Online ahead of print.</w:t>
      </w:r>
    </w:p>
    <w:p w14:paraId="0052B3FC" w14:textId="77777777" w:rsidR="00B615DA" w:rsidRPr="004230D0" w:rsidRDefault="00B615DA" w:rsidP="00B615DA">
      <w:pPr>
        <w:pStyle w:val="ListParagraph"/>
        <w:numPr>
          <w:ilvl w:val="0"/>
          <w:numId w:val="1"/>
        </w:numPr>
        <w:spacing w:after="0" w:line="360" w:lineRule="auto"/>
        <w:ind w:left="426"/>
        <w:rPr>
          <w:rFonts w:ascii="Arial" w:hAnsi="Arial" w:cs="Arial"/>
        </w:rPr>
      </w:pPr>
      <w:proofErr w:type="spellStart"/>
      <w:r w:rsidRPr="004230D0">
        <w:rPr>
          <w:rFonts w:ascii="Arial" w:hAnsi="Arial" w:cs="Arial"/>
        </w:rPr>
        <w:t>Brandstetter</w:t>
      </w:r>
      <w:proofErr w:type="spellEnd"/>
      <w:r w:rsidRPr="004230D0">
        <w:rPr>
          <w:rFonts w:ascii="Arial" w:hAnsi="Arial" w:cs="Arial"/>
        </w:rPr>
        <w:t xml:space="preserve"> S, Roth S, </w:t>
      </w:r>
      <w:proofErr w:type="spellStart"/>
      <w:r w:rsidRPr="004230D0">
        <w:rPr>
          <w:rFonts w:ascii="Arial" w:hAnsi="Arial" w:cs="Arial"/>
        </w:rPr>
        <w:t>Harner</w:t>
      </w:r>
      <w:proofErr w:type="spellEnd"/>
      <w:r w:rsidRPr="004230D0">
        <w:rPr>
          <w:rFonts w:ascii="Arial" w:hAnsi="Arial" w:cs="Arial"/>
        </w:rPr>
        <w:t xml:space="preserve"> S, </w:t>
      </w:r>
      <w:proofErr w:type="spellStart"/>
      <w:r w:rsidRPr="004230D0">
        <w:rPr>
          <w:rFonts w:ascii="Arial" w:hAnsi="Arial" w:cs="Arial"/>
        </w:rPr>
        <w:t>Buntrock-Dopke</w:t>
      </w:r>
      <w:proofErr w:type="spellEnd"/>
      <w:r w:rsidRPr="004230D0">
        <w:rPr>
          <w:rFonts w:ascii="Arial" w:hAnsi="Arial" w:cs="Arial"/>
        </w:rPr>
        <w:t xml:space="preserve"> H, </w:t>
      </w:r>
      <w:proofErr w:type="spellStart"/>
      <w:r w:rsidRPr="004230D0">
        <w:rPr>
          <w:rFonts w:ascii="Arial" w:hAnsi="Arial" w:cs="Arial"/>
        </w:rPr>
        <w:t>Toncheva</w:t>
      </w:r>
      <w:proofErr w:type="spellEnd"/>
      <w:r w:rsidRPr="004230D0">
        <w:rPr>
          <w:rFonts w:ascii="Arial" w:hAnsi="Arial" w:cs="Arial"/>
        </w:rPr>
        <w:t xml:space="preserve"> A </w:t>
      </w:r>
      <w:r w:rsidRPr="004230D0">
        <w:rPr>
          <w:rFonts w:ascii="Arial" w:hAnsi="Arial" w:cs="Arial"/>
          <w:i/>
        </w:rPr>
        <w:t>et al.</w:t>
      </w:r>
      <w:r w:rsidRPr="004230D0">
        <w:rPr>
          <w:rFonts w:ascii="Arial" w:hAnsi="Arial" w:cs="Arial"/>
        </w:rPr>
        <w:t xml:space="preserve"> Symptoms and immunoglobulin development in hospital staff exposed to a SARS-CoV-2 outbreak. </w:t>
      </w:r>
      <w:proofErr w:type="spellStart"/>
      <w:r w:rsidRPr="004230D0">
        <w:rPr>
          <w:rFonts w:ascii="Arial" w:eastAsia="Times New Roman" w:hAnsi="Arial" w:cs="Arial"/>
          <w:lang w:val="en" w:eastAsia="en-GB"/>
        </w:rPr>
        <w:t>Pediatr</w:t>
      </w:r>
      <w:proofErr w:type="spellEnd"/>
      <w:r w:rsidRPr="004230D0">
        <w:rPr>
          <w:rFonts w:ascii="Arial" w:eastAsia="Times New Roman" w:hAnsi="Arial" w:cs="Arial"/>
          <w:lang w:val="en" w:eastAsia="en-GB"/>
        </w:rPr>
        <w:t xml:space="preserve"> Allergy Immunol. 2020. doi: 10.1111/pai.13278. Online ahead of print. </w:t>
      </w:r>
    </w:p>
    <w:p w14:paraId="7FCF6B83" w14:textId="77777777" w:rsidR="00B615DA" w:rsidRPr="004230D0" w:rsidRDefault="00B615DA" w:rsidP="00B615DA">
      <w:pPr>
        <w:pStyle w:val="ListParagraph"/>
        <w:numPr>
          <w:ilvl w:val="0"/>
          <w:numId w:val="1"/>
        </w:numPr>
        <w:spacing w:after="0" w:line="360" w:lineRule="auto"/>
        <w:ind w:left="426"/>
        <w:rPr>
          <w:rFonts w:ascii="Arial" w:hAnsi="Arial" w:cs="Arial"/>
        </w:rPr>
      </w:pPr>
      <w:r w:rsidRPr="004230D0">
        <w:rPr>
          <w:rFonts w:ascii="Arial" w:eastAsia="Times New Roman" w:hAnsi="Arial" w:cs="Arial"/>
          <w:lang w:val="en" w:eastAsia="en-GB"/>
        </w:rPr>
        <w:t xml:space="preserve">Long QX, Tang XJ, Shi QL, Li Q, Deng HJ </w:t>
      </w:r>
      <w:r w:rsidRPr="004230D0">
        <w:rPr>
          <w:rFonts w:ascii="Arial" w:eastAsia="Times New Roman" w:hAnsi="Arial" w:cs="Arial"/>
          <w:i/>
          <w:lang w:val="en" w:eastAsia="en-GB"/>
        </w:rPr>
        <w:t>et al.</w:t>
      </w:r>
      <w:r w:rsidRPr="004230D0">
        <w:rPr>
          <w:rFonts w:ascii="Arial" w:eastAsia="Times New Roman" w:hAnsi="Arial" w:cs="Arial"/>
          <w:lang w:val="en" w:eastAsia="en-GB"/>
        </w:rPr>
        <w:t xml:space="preserve"> </w:t>
      </w:r>
      <w:r w:rsidRPr="004230D0">
        <w:rPr>
          <w:rFonts w:ascii="Arial" w:hAnsi="Arial" w:cs="Arial"/>
          <w:lang w:val="en"/>
        </w:rPr>
        <w:t>Clinical and immunological assessment of asymptomatic SARS-CoV-2 infections. Nat Med. 2020. doi.org/10.1038/s41591-020-0965-6.</w:t>
      </w:r>
    </w:p>
    <w:bookmarkEnd w:id="0"/>
    <w:p w14:paraId="1179D66A" w14:textId="77777777" w:rsidR="000E24A0" w:rsidRDefault="000E24A0" w:rsidP="00415E99">
      <w:pPr>
        <w:spacing w:after="0" w:line="360" w:lineRule="auto"/>
        <w:rPr>
          <w:rFonts w:ascii="Arial" w:hAnsi="Arial" w:cs="Arial"/>
          <w:b/>
          <w:bCs/>
        </w:rPr>
      </w:pPr>
    </w:p>
    <w:p w14:paraId="112C0A1C" w14:textId="77777777" w:rsidR="000E24A0" w:rsidRDefault="000E24A0" w:rsidP="00415E99">
      <w:pPr>
        <w:spacing w:after="0" w:line="360" w:lineRule="auto"/>
        <w:rPr>
          <w:rFonts w:ascii="Arial" w:hAnsi="Arial" w:cs="Arial"/>
          <w:b/>
          <w:bCs/>
        </w:rPr>
      </w:pPr>
    </w:p>
    <w:p w14:paraId="2AB034B9" w14:textId="77777777" w:rsidR="000E24A0" w:rsidRDefault="000E24A0" w:rsidP="00415E99">
      <w:pPr>
        <w:spacing w:after="0" w:line="360" w:lineRule="auto"/>
        <w:rPr>
          <w:rFonts w:ascii="Arial" w:hAnsi="Arial" w:cs="Arial"/>
          <w:b/>
          <w:bCs/>
        </w:rPr>
      </w:pPr>
    </w:p>
    <w:p w14:paraId="46BEC2CB" w14:textId="77777777" w:rsidR="000E24A0" w:rsidRDefault="000E24A0" w:rsidP="00415E99">
      <w:pPr>
        <w:spacing w:after="0" w:line="360" w:lineRule="auto"/>
        <w:rPr>
          <w:rFonts w:ascii="Arial" w:hAnsi="Arial" w:cs="Arial"/>
          <w:b/>
          <w:bCs/>
        </w:rPr>
      </w:pPr>
    </w:p>
    <w:p w14:paraId="1B3D524A" w14:textId="77777777" w:rsidR="000E24A0" w:rsidRDefault="000E24A0" w:rsidP="00415E99">
      <w:pPr>
        <w:spacing w:after="0" w:line="360" w:lineRule="auto"/>
        <w:rPr>
          <w:rFonts w:ascii="Arial" w:hAnsi="Arial" w:cs="Arial"/>
          <w:b/>
          <w:bCs/>
        </w:rPr>
      </w:pPr>
    </w:p>
    <w:p w14:paraId="0DF99A4E" w14:textId="77777777" w:rsidR="000E24A0" w:rsidRDefault="000E24A0" w:rsidP="00415E99">
      <w:pPr>
        <w:spacing w:after="0" w:line="360" w:lineRule="auto"/>
        <w:rPr>
          <w:rFonts w:ascii="Arial" w:hAnsi="Arial" w:cs="Arial"/>
          <w:b/>
          <w:bCs/>
        </w:rPr>
      </w:pPr>
    </w:p>
    <w:p w14:paraId="7E7DE183" w14:textId="77777777" w:rsidR="000E24A0" w:rsidRDefault="000E24A0" w:rsidP="00415E99">
      <w:pPr>
        <w:spacing w:after="0" w:line="360" w:lineRule="auto"/>
        <w:rPr>
          <w:rFonts w:ascii="Arial" w:hAnsi="Arial" w:cs="Arial"/>
          <w:b/>
          <w:bCs/>
        </w:rPr>
      </w:pPr>
    </w:p>
    <w:p w14:paraId="086A5108" w14:textId="77777777" w:rsidR="000E24A0" w:rsidRDefault="000E24A0" w:rsidP="00415E99">
      <w:pPr>
        <w:spacing w:after="0" w:line="360" w:lineRule="auto"/>
        <w:rPr>
          <w:rFonts w:ascii="Arial" w:hAnsi="Arial" w:cs="Arial"/>
          <w:b/>
          <w:bCs/>
        </w:rPr>
      </w:pPr>
    </w:p>
    <w:p w14:paraId="19AF4B4B" w14:textId="77777777" w:rsidR="000E24A0" w:rsidRDefault="000E24A0" w:rsidP="00415E99">
      <w:pPr>
        <w:spacing w:after="0" w:line="360" w:lineRule="auto"/>
        <w:rPr>
          <w:rFonts w:ascii="Arial" w:hAnsi="Arial" w:cs="Arial"/>
          <w:b/>
          <w:bCs/>
        </w:rPr>
      </w:pPr>
    </w:p>
    <w:p w14:paraId="269A4181" w14:textId="77777777" w:rsidR="00E757C6" w:rsidRDefault="00E757C6" w:rsidP="00415E99">
      <w:pPr>
        <w:spacing w:after="0" w:line="360" w:lineRule="auto"/>
        <w:rPr>
          <w:rFonts w:ascii="Arial" w:hAnsi="Arial" w:cs="Arial"/>
          <w:b/>
          <w:bCs/>
        </w:rPr>
      </w:pPr>
    </w:p>
    <w:p w14:paraId="3A56A903" w14:textId="77777777" w:rsidR="00E757C6" w:rsidRDefault="00E757C6" w:rsidP="00415E99">
      <w:pPr>
        <w:spacing w:after="0" w:line="360" w:lineRule="auto"/>
        <w:rPr>
          <w:rFonts w:ascii="Arial" w:hAnsi="Arial" w:cs="Arial"/>
          <w:b/>
          <w:bCs/>
        </w:rPr>
      </w:pPr>
    </w:p>
    <w:p w14:paraId="59DEF7C5" w14:textId="77777777" w:rsidR="00E757C6" w:rsidRDefault="00E757C6" w:rsidP="00415E99">
      <w:pPr>
        <w:spacing w:after="0" w:line="360" w:lineRule="auto"/>
        <w:rPr>
          <w:rFonts w:ascii="Arial" w:hAnsi="Arial" w:cs="Arial"/>
          <w:b/>
          <w:bCs/>
        </w:rPr>
      </w:pPr>
    </w:p>
    <w:p w14:paraId="5F8E5BB7" w14:textId="77777777" w:rsidR="00E757C6" w:rsidRDefault="00E757C6" w:rsidP="00415E99">
      <w:pPr>
        <w:spacing w:after="0" w:line="360" w:lineRule="auto"/>
        <w:rPr>
          <w:rFonts w:ascii="Arial" w:hAnsi="Arial" w:cs="Arial"/>
          <w:b/>
          <w:bCs/>
        </w:rPr>
      </w:pPr>
    </w:p>
    <w:p w14:paraId="10C4E34E" w14:textId="77777777" w:rsidR="00E757C6" w:rsidRDefault="00E757C6" w:rsidP="00415E99">
      <w:pPr>
        <w:spacing w:after="0" w:line="360" w:lineRule="auto"/>
        <w:rPr>
          <w:rFonts w:ascii="Arial" w:hAnsi="Arial" w:cs="Arial"/>
          <w:b/>
          <w:bCs/>
        </w:rPr>
      </w:pPr>
    </w:p>
    <w:p w14:paraId="4AB79FDD" w14:textId="77777777" w:rsidR="00E757C6" w:rsidRDefault="00E757C6" w:rsidP="00415E99">
      <w:pPr>
        <w:spacing w:after="0" w:line="360" w:lineRule="auto"/>
        <w:rPr>
          <w:rFonts w:ascii="Arial" w:hAnsi="Arial" w:cs="Arial"/>
          <w:b/>
          <w:bCs/>
        </w:rPr>
      </w:pPr>
    </w:p>
    <w:p w14:paraId="19421319" w14:textId="77777777" w:rsidR="00E757C6" w:rsidRDefault="00E757C6" w:rsidP="00415E99">
      <w:pPr>
        <w:spacing w:after="0" w:line="360" w:lineRule="auto"/>
        <w:rPr>
          <w:rFonts w:ascii="Arial" w:hAnsi="Arial" w:cs="Arial"/>
          <w:b/>
          <w:bCs/>
        </w:rPr>
      </w:pPr>
    </w:p>
    <w:p w14:paraId="581C83C7" w14:textId="77777777" w:rsidR="00E757C6" w:rsidRDefault="00E757C6" w:rsidP="00415E99">
      <w:pPr>
        <w:spacing w:after="0" w:line="360" w:lineRule="auto"/>
        <w:rPr>
          <w:rFonts w:ascii="Arial" w:hAnsi="Arial" w:cs="Arial"/>
          <w:b/>
          <w:bCs/>
        </w:rPr>
      </w:pPr>
    </w:p>
    <w:p w14:paraId="061CAA9B" w14:textId="77777777" w:rsidR="00E757C6" w:rsidRDefault="00E757C6" w:rsidP="00415E99">
      <w:pPr>
        <w:spacing w:after="0" w:line="360" w:lineRule="auto"/>
        <w:rPr>
          <w:rFonts w:ascii="Arial" w:hAnsi="Arial" w:cs="Arial"/>
          <w:b/>
          <w:bCs/>
        </w:rPr>
      </w:pPr>
    </w:p>
    <w:p w14:paraId="4A2B2434" w14:textId="77777777" w:rsidR="00E757C6" w:rsidRDefault="00E757C6" w:rsidP="00415E99">
      <w:pPr>
        <w:spacing w:after="0" w:line="360" w:lineRule="auto"/>
        <w:rPr>
          <w:rFonts w:ascii="Arial" w:hAnsi="Arial" w:cs="Arial"/>
          <w:b/>
          <w:bCs/>
        </w:rPr>
      </w:pPr>
    </w:p>
    <w:p w14:paraId="628D61CE" w14:textId="77777777" w:rsidR="00E757C6" w:rsidRDefault="00E757C6" w:rsidP="00415E99">
      <w:pPr>
        <w:spacing w:after="0" w:line="360" w:lineRule="auto"/>
        <w:rPr>
          <w:rFonts w:ascii="Arial" w:hAnsi="Arial" w:cs="Arial"/>
          <w:b/>
          <w:bCs/>
        </w:rPr>
      </w:pPr>
    </w:p>
    <w:p w14:paraId="2E700842" w14:textId="77777777" w:rsidR="00E757C6" w:rsidRDefault="00E757C6" w:rsidP="00415E99">
      <w:pPr>
        <w:spacing w:after="0" w:line="360" w:lineRule="auto"/>
        <w:rPr>
          <w:rFonts w:ascii="Arial" w:hAnsi="Arial" w:cs="Arial"/>
          <w:b/>
          <w:bCs/>
        </w:rPr>
      </w:pPr>
    </w:p>
    <w:p w14:paraId="247190F2" w14:textId="77777777" w:rsidR="00E757C6" w:rsidRDefault="00E757C6" w:rsidP="00415E99">
      <w:pPr>
        <w:spacing w:after="0" w:line="360" w:lineRule="auto"/>
        <w:rPr>
          <w:rFonts w:ascii="Arial" w:hAnsi="Arial" w:cs="Arial"/>
          <w:b/>
          <w:bCs/>
        </w:rPr>
      </w:pPr>
    </w:p>
    <w:p w14:paraId="4A51C05B" w14:textId="77777777" w:rsidR="00E757C6" w:rsidRDefault="00E757C6" w:rsidP="00415E99">
      <w:pPr>
        <w:spacing w:after="0" w:line="360" w:lineRule="auto"/>
        <w:rPr>
          <w:rFonts w:ascii="Arial" w:hAnsi="Arial" w:cs="Arial"/>
          <w:b/>
          <w:bCs/>
        </w:rPr>
      </w:pPr>
    </w:p>
    <w:p w14:paraId="51560574" w14:textId="77777777" w:rsidR="00E757C6" w:rsidRDefault="00E757C6" w:rsidP="00415E99">
      <w:pPr>
        <w:spacing w:after="0" w:line="360" w:lineRule="auto"/>
        <w:rPr>
          <w:rFonts w:ascii="Arial" w:hAnsi="Arial" w:cs="Arial"/>
          <w:b/>
          <w:bCs/>
        </w:rPr>
      </w:pPr>
    </w:p>
    <w:p w14:paraId="6B719B07" w14:textId="77777777" w:rsidR="00E757C6" w:rsidRDefault="00E757C6" w:rsidP="00415E99">
      <w:pPr>
        <w:spacing w:after="0" w:line="360" w:lineRule="auto"/>
        <w:rPr>
          <w:rFonts w:ascii="Arial" w:hAnsi="Arial" w:cs="Arial"/>
          <w:b/>
          <w:bCs/>
        </w:rPr>
      </w:pPr>
    </w:p>
    <w:p w14:paraId="58356B5A" w14:textId="77777777" w:rsidR="00E757C6" w:rsidRDefault="00E757C6" w:rsidP="00415E99">
      <w:pPr>
        <w:spacing w:after="0" w:line="360" w:lineRule="auto"/>
        <w:rPr>
          <w:rFonts w:ascii="Arial" w:hAnsi="Arial" w:cs="Arial"/>
          <w:b/>
          <w:bCs/>
        </w:rPr>
      </w:pPr>
    </w:p>
    <w:p w14:paraId="11B2C4E7" w14:textId="0D49830E" w:rsidR="00415E99" w:rsidRPr="004178D1" w:rsidRDefault="00415E99" w:rsidP="00415E99">
      <w:pPr>
        <w:spacing w:after="0" w:line="360" w:lineRule="auto"/>
        <w:rPr>
          <w:rFonts w:ascii="Arial" w:hAnsi="Arial" w:cs="Arial"/>
          <w:b/>
          <w:bCs/>
        </w:rPr>
      </w:pPr>
      <w:r w:rsidRPr="004178D1">
        <w:rPr>
          <w:rFonts w:ascii="Arial" w:hAnsi="Arial" w:cs="Arial"/>
          <w:b/>
          <w:bCs/>
        </w:rPr>
        <w:lastRenderedPageBreak/>
        <w:t>Declarations</w:t>
      </w:r>
    </w:p>
    <w:p w14:paraId="3C3DCDEB" w14:textId="77777777" w:rsidR="007804EA" w:rsidRPr="00B651F1" w:rsidRDefault="007804EA" w:rsidP="00415E99">
      <w:pPr>
        <w:spacing w:after="0" w:line="360" w:lineRule="auto"/>
        <w:rPr>
          <w:rFonts w:ascii="Arial" w:hAnsi="Arial" w:cs="Arial"/>
        </w:rPr>
      </w:pPr>
    </w:p>
    <w:p w14:paraId="12389F9F" w14:textId="77777777" w:rsidR="00415E99" w:rsidRPr="004178D1" w:rsidRDefault="00415E99" w:rsidP="00415E99">
      <w:pPr>
        <w:spacing w:after="0" w:line="360" w:lineRule="auto"/>
        <w:rPr>
          <w:rFonts w:ascii="Arial" w:hAnsi="Arial" w:cs="Arial"/>
          <w:b/>
          <w:bCs/>
        </w:rPr>
      </w:pPr>
      <w:r w:rsidRPr="004178D1">
        <w:rPr>
          <w:rFonts w:ascii="Arial" w:hAnsi="Arial" w:cs="Arial"/>
          <w:b/>
          <w:bCs/>
        </w:rPr>
        <w:t>Acknowledgements</w:t>
      </w:r>
    </w:p>
    <w:p w14:paraId="2150581A" w14:textId="58BF8949" w:rsidR="00415E99" w:rsidRPr="00B651F1" w:rsidRDefault="00415E99" w:rsidP="00415E99">
      <w:pPr>
        <w:spacing w:after="0" w:line="360" w:lineRule="auto"/>
        <w:rPr>
          <w:rFonts w:ascii="Arial" w:hAnsi="Arial" w:cs="Arial"/>
        </w:rPr>
      </w:pPr>
      <w:r w:rsidRPr="00523E82">
        <w:rPr>
          <w:rFonts w:ascii="Arial" w:hAnsi="Arial" w:cs="Arial"/>
        </w:rPr>
        <w:t>LSPM acknowledges support from the National Institute of Health Research (NIHR) Imperial Biomedical Research Centre (BRC) and the National Institute for Health Research Health Protection Research Unit (HPRU) in Healthcare Associated Infection and Antimicro</w:t>
      </w:r>
      <w:r w:rsidRPr="004178D1">
        <w:rPr>
          <w:rFonts w:ascii="Arial" w:hAnsi="Arial" w:cs="Arial"/>
        </w:rPr>
        <w:t xml:space="preserve">bial Resistance at Imperial College London in partnership with Public Health England. </w:t>
      </w:r>
      <w:r w:rsidR="00CA2E1B" w:rsidRPr="004178D1">
        <w:rPr>
          <w:rFonts w:ascii="Arial" w:hAnsi="Arial" w:cs="Arial"/>
        </w:rPr>
        <w:t xml:space="preserve">MAP acknowledges support from the Wellcome Trust Grant to Prof D.W. Holden. </w:t>
      </w:r>
      <w:r w:rsidR="00666711" w:rsidRPr="001657F6">
        <w:rPr>
          <w:rFonts w:ascii="Arial" w:hAnsi="Arial" w:cs="Arial"/>
        </w:rPr>
        <w:t>The authors thank Surgeon Comm</w:t>
      </w:r>
      <w:r w:rsidR="00666711" w:rsidRPr="000D0435">
        <w:rPr>
          <w:rFonts w:ascii="Arial" w:hAnsi="Arial" w:cs="Arial"/>
        </w:rPr>
        <w:t>ander Matthew O’Shea</w:t>
      </w:r>
      <w:r w:rsidR="00C5625C" w:rsidRPr="00B651F1">
        <w:rPr>
          <w:rFonts w:ascii="Arial" w:hAnsi="Arial" w:cs="Arial"/>
        </w:rPr>
        <w:t xml:space="preserve"> for his helpful comments in development of the final manuscript</w:t>
      </w:r>
      <w:r w:rsidR="00666711" w:rsidRPr="00B651F1">
        <w:rPr>
          <w:rFonts w:ascii="Arial" w:hAnsi="Arial" w:cs="Arial"/>
        </w:rPr>
        <w:t xml:space="preserve">. </w:t>
      </w:r>
      <w:r w:rsidRPr="00B651F1">
        <w:rPr>
          <w:rFonts w:ascii="Arial" w:hAnsi="Arial" w:cs="Arial"/>
        </w:rPr>
        <w:t xml:space="preserve">The views expressed in this publication are those of the authors and not necessarily those of the NHS, </w:t>
      </w:r>
      <w:r w:rsidR="00CA2E1B" w:rsidRPr="00B651F1">
        <w:rPr>
          <w:rFonts w:ascii="Arial" w:hAnsi="Arial" w:cs="Arial"/>
        </w:rPr>
        <w:t xml:space="preserve">Defence Medical Services, </w:t>
      </w:r>
      <w:r w:rsidRPr="00B651F1">
        <w:rPr>
          <w:rFonts w:ascii="Arial" w:hAnsi="Arial" w:cs="Arial"/>
        </w:rPr>
        <w:t xml:space="preserve">the National Institute for Health Research, or the UK Department of Health. </w:t>
      </w:r>
    </w:p>
    <w:p w14:paraId="22509FE9" w14:textId="77777777" w:rsidR="00415E99" w:rsidRPr="00B651F1" w:rsidRDefault="00415E99" w:rsidP="00415E99">
      <w:pPr>
        <w:spacing w:after="0" w:line="360" w:lineRule="auto"/>
        <w:rPr>
          <w:rFonts w:ascii="Arial" w:hAnsi="Arial" w:cs="Arial"/>
        </w:rPr>
      </w:pPr>
    </w:p>
    <w:p w14:paraId="0A13658B" w14:textId="77777777" w:rsidR="00415E99" w:rsidRPr="00B651F1" w:rsidRDefault="00415E99" w:rsidP="00415E99">
      <w:pPr>
        <w:spacing w:after="0" w:line="360" w:lineRule="auto"/>
        <w:rPr>
          <w:rFonts w:ascii="Arial" w:hAnsi="Arial" w:cs="Arial"/>
          <w:b/>
          <w:bCs/>
        </w:rPr>
      </w:pPr>
      <w:r w:rsidRPr="00B651F1">
        <w:rPr>
          <w:rFonts w:ascii="Arial" w:hAnsi="Arial" w:cs="Arial"/>
          <w:b/>
          <w:bCs/>
        </w:rPr>
        <w:t>Authors’ contributions</w:t>
      </w:r>
    </w:p>
    <w:p w14:paraId="252B4C4E" w14:textId="66A254A6" w:rsidR="00415E99" w:rsidRPr="004178D1" w:rsidRDefault="00415E99" w:rsidP="00415E99">
      <w:pPr>
        <w:spacing w:after="0" w:line="360" w:lineRule="auto"/>
        <w:rPr>
          <w:rFonts w:ascii="Arial" w:hAnsi="Arial" w:cs="Arial"/>
        </w:rPr>
      </w:pPr>
      <w:r w:rsidRPr="00523E82">
        <w:rPr>
          <w:rFonts w:ascii="Arial" w:hAnsi="Arial" w:cs="Arial"/>
        </w:rPr>
        <w:t>SJCP</w:t>
      </w:r>
      <w:r w:rsidR="009F0C59" w:rsidRPr="00523E82">
        <w:rPr>
          <w:rFonts w:ascii="Arial" w:hAnsi="Arial" w:cs="Arial"/>
        </w:rPr>
        <w:t xml:space="preserve"> &amp;</w:t>
      </w:r>
      <w:r w:rsidRPr="00204C47">
        <w:rPr>
          <w:rFonts w:ascii="Arial" w:hAnsi="Arial" w:cs="Arial"/>
        </w:rPr>
        <w:t xml:space="preserve"> LSPM designed the methodology. SJCP</w:t>
      </w:r>
      <w:r w:rsidR="00BA115C" w:rsidRPr="00204C47">
        <w:rPr>
          <w:rFonts w:ascii="Arial" w:hAnsi="Arial" w:cs="Arial"/>
        </w:rPr>
        <w:t xml:space="preserve"> </w:t>
      </w:r>
      <w:r w:rsidR="009F0C59" w:rsidRPr="00202248">
        <w:rPr>
          <w:rFonts w:ascii="Arial" w:hAnsi="Arial" w:cs="Arial"/>
        </w:rPr>
        <w:t>&amp;</w:t>
      </w:r>
      <w:r w:rsidR="00BA115C" w:rsidRPr="00202248">
        <w:rPr>
          <w:rFonts w:ascii="Arial" w:hAnsi="Arial" w:cs="Arial"/>
        </w:rPr>
        <w:t xml:space="preserve"> MAP</w:t>
      </w:r>
      <w:r w:rsidRPr="00E439BC">
        <w:rPr>
          <w:rFonts w:ascii="Arial" w:hAnsi="Arial" w:cs="Arial"/>
        </w:rPr>
        <w:t xml:space="preserve"> collected </w:t>
      </w:r>
      <w:r w:rsidR="00BA115C" w:rsidRPr="00E439BC">
        <w:rPr>
          <w:rFonts w:ascii="Arial" w:hAnsi="Arial" w:cs="Arial"/>
        </w:rPr>
        <w:t xml:space="preserve">the data. </w:t>
      </w:r>
      <w:r w:rsidRPr="00E439BC">
        <w:rPr>
          <w:rFonts w:ascii="Arial" w:hAnsi="Arial" w:cs="Arial"/>
        </w:rPr>
        <w:t>All authors reviewed the results and data analysis and contributed comments. SJCP drafted the initial manuscript with all authors contributing significantly to revising this for submission. A</w:t>
      </w:r>
      <w:r w:rsidRPr="00B51992">
        <w:rPr>
          <w:rFonts w:ascii="Arial" w:hAnsi="Arial" w:cs="Arial"/>
        </w:rPr>
        <w:t>ll authors agreed on the final version for submission to the journal.</w:t>
      </w:r>
    </w:p>
    <w:p w14:paraId="091B18C4" w14:textId="77777777" w:rsidR="00415E99" w:rsidRPr="004178D1" w:rsidRDefault="00415E99" w:rsidP="00415E99">
      <w:pPr>
        <w:spacing w:after="0" w:line="360" w:lineRule="auto"/>
        <w:rPr>
          <w:rFonts w:ascii="Arial" w:hAnsi="Arial" w:cs="Arial"/>
        </w:rPr>
      </w:pPr>
    </w:p>
    <w:p w14:paraId="6F91D52B" w14:textId="77777777" w:rsidR="00415E99" w:rsidRPr="001657F6" w:rsidRDefault="00415E99" w:rsidP="00415E99">
      <w:pPr>
        <w:spacing w:after="0" w:line="360" w:lineRule="auto"/>
        <w:rPr>
          <w:rFonts w:ascii="Arial" w:hAnsi="Arial" w:cs="Arial"/>
          <w:b/>
          <w:bCs/>
        </w:rPr>
      </w:pPr>
      <w:r w:rsidRPr="001657F6">
        <w:rPr>
          <w:rFonts w:ascii="Arial" w:hAnsi="Arial" w:cs="Arial"/>
          <w:b/>
          <w:bCs/>
        </w:rPr>
        <w:t>Funding</w:t>
      </w:r>
    </w:p>
    <w:p w14:paraId="48ABB4C7" w14:textId="77777777" w:rsidR="00415E99" w:rsidRPr="004178D1" w:rsidRDefault="00415E99" w:rsidP="00415E99">
      <w:pPr>
        <w:spacing w:after="0" w:line="360" w:lineRule="auto"/>
        <w:rPr>
          <w:rFonts w:ascii="Arial" w:hAnsi="Arial" w:cs="Arial"/>
        </w:rPr>
      </w:pPr>
      <w:r w:rsidRPr="00523E82">
        <w:rPr>
          <w:rFonts w:ascii="Arial" w:hAnsi="Arial" w:cs="Arial"/>
        </w:rPr>
        <w:t>This research did not receive any specific grant from funding agencies in the public, commercial, or not-for-profit sectors.</w:t>
      </w:r>
    </w:p>
    <w:p w14:paraId="7E430E55" w14:textId="77777777" w:rsidR="00415E99" w:rsidRPr="004178D1" w:rsidRDefault="00415E99" w:rsidP="00415E99">
      <w:pPr>
        <w:spacing w:after="0" w:line="360" w:lineRule="auto"/>
        <w:rPr>
          <w:rFonts w:ascii="Arial" w:hAnsi="Arial" w:cs="Arial"/>
        </w:rPr>
      </w:pPr>
    </w:p>
    <w:p w14:paraId="6D89BD20" w14:textId="77777777" w:rsidR="00415E99" w:rsidRPr="001657F6" w:rsidRDefault="00415E99" w:rsidP="00415E99">
      <w:pPr>
        <w:spacing w:after="0" w:line="360" w:lineRule="auto"/>
        <w:rPr>
          <w:rFonts w:ascii="Arial" w:hAnsi="Arial" w:cs="Arial"/>
          <w:b/>
          <w:bCs/>
        </w:rPr>
      </w:pPr>
      <w:r w:rsidRPr="001657F6">
        <w:rPr>
          <w:rFonts w:ascii="Arial" w:hAnsi="Arial" w:cs="Arial"/>
          <w:b/>
          <w:bCs/>
        </w:rPr>
        <w:t xml:space="preserve">Consent </w:t>
      </w:r>
    </w:p>
    <w:p w14:paraId="58296458" w14:textId="77777777" w:rsidR="00415E99" w:rsidRPr="00204C47" w:rsidRDefault="00BA115C" w:rsidP="00415E99">
      <w:pPr>
        <w:spacing w:after="0" w:line="360" w:lineRule="auto"/>
        <w:rPr>
          <w:rFonts w:ascii="Arial" w:hAnsi="Arial" w:cs="Arial"/>
        </w:rPr>
      </w:pPr>
      <w:r w:rsidRPr="00523E82">
        <w:rPr>
          <w:rFonts w:ascii="Arial" w:hAnsi="Arial" w:cs="Arial"/>
        </w:rPr>
        <w:t xml:space="preserve">No patient information is involved in this submission. </w:t>
      </w:r>
    </w:p>
    <w:p w14:paraId="46FB5737" w14:textId="77777777" w:rsidR="00415E99" w:rsidRPr="004178D1" w:rsidRDefault="00415E99" w:rsidP="00415E99">
      <w:pPr>
        <w:spacing w:after="0" w:line="360" w:lineRule="auto"/>
        <w:rPr>
          <w:rFonts w:ascii="Arial" w:hAnsi="Arial" w:cs="Arial"/>
        </w:rPr>
      </w:pPr>
    </w:p>
    <w:p w14:paraId="334DAB41" w14:textId="77777777" w:rsidR="00415E99" w:rsidRPr="004178D1" w:rsidRDefault="00415E99" w:rsidP="00415E99">
      <w:pPr>
        <w:spacing w:after="0" w:line="360" w:lineRule="auto"/>
        <w:rPr>
          <w:rFonts w:ascii="Arial" w:hAnsi="Arial" w:cs="Arial"/>
          <w:b/>
          <w:bCs/>
        </w:rPr>
      </w:pPr>
      <w:r w:rsidRPr="004178D1">
        <w:rPr>
          <w:rFonts w:ascii="Arial" w:hAnsi="Arial" w:cs="Arial"/>
          <w:b/>
          <w:bCs/>
        </w:rPr>
        <w:t>Potential conflicts of interests</w:t>
      </w:r>
    </w:p>
    <w:p w14:paraId="45AFA106" w14:textId="1AB11E73" w:rsidR="00415E99" w:rsidRPr="00B651F1" w:rsidRDefault="00415E99" w:rsidP="00415E99">
      <w:pPr>
        <w:shd w:val="clear" w:color="auto" w:fill="FFFFFF"/>
        <w:spacing w:after="0" w:line="360" w:lineRule="auto"/>
        <w:rPr>
          <w:rFonts w:ascii="Arial" w:hAnsi="Arial" w:cs="Arial"/>
        </w:rPr>
      </w:pPr>
      <w:r w:rsidRPr="00523E82">
        <w:rPr>
          <w:rFonts w:ascii="Arial" w:hAnsi="Arial" w:cs="Arial"/>
        </w:rPr>
        <w:t>LSPM has consulted for bioMerieux (2013), DNAelectronics (2015-18), Dairy Crest (2017–2018), Umovis Lab (2020), and Pfizer (2018-2020), received speaker fees from Profile Pharma (2018), received research gran</w:t>
      </w:r>
      <w:r w:rsidRPr="004178D1">
        <w:rPr>
          <w:rFonts w:ascii="Arial" w:hAnsi="Arial" w:cs="Arial"/>
        </w:rPr>
        <w:t>ts from the National Institute for Health Research (2013-2020), CW+ Charity (2018-2019), and Leo Pharma (2016), and received educational support from Eumedica (2016–2018). NM has received spea</w:t>
      </w:r>
      <w:r w:rsidRPr="001657F6">
        <w:rPr>
          <w:rFonts w:ascii="Arial" w:hAnsi="Arial" w:cs="Arial"/>
        </w:rPr>
        <w:t>ker fees from Beyer (2016) and Pfizer (2019) and received educat</w:t>
      </w:r>
      <w:r w:rsidRPr="000D0435">
        <w:rPr>
          <w:rFonts w:ascii="Arial" w:hAnsi="Arial" w:cs="Arial"/>
        </w:rPr>
        <w:t xml:space="preserve">ional support from Eumedica (2016) and Baxter (2017). </w:t>
      </w:r>
      <w:r w:rsidRPr="00B651F1">
        <w:rPr>
          <w:rFonts w:ascii="Arial" w:eastAsia="Times New Roman" w:hAnsi="Arial" w:cs="Arial"/>
          <w:color w:val="212121"/>
          <w:lang w:eastAsia="en-GB"/>
        </w:rPr>
        <w:t xml:space="preserve">RJ has received honoraria, speaker fees, travel support and/or research grant funding from Gilead, </w:t>
      </w:r>
      <w:proofErr w:type="spellStart"/>
      <w:r w:rsidRPr="00B651F1">
        <w:rPr>
          <w:rFonts w:ascii="Arial" w:eastAsia="Times New Roman" w:hAnsi="Arial" w:cs="Arial"/>
          <w:color w:val="212121"/>
          <w:lang w:eastAsia="en-GB"/>
        </w:rPr>
        <w:t>ViiV</w:t>
      </w:r>
      <w:proofErr w:type="spellEnd"/>
      <w:r w:rsidRPr="00B651F1">
        <w:rPr>
          <w:rFonts w:ascii="Arial" w:eastAsia="Times New Roman" w:hAnsi="Arial" w:cs="Arial"/>
          <w:color w:val="212121"/>
          <w:lang w:eastAsia="en-GB"/>
        </w:rPr>
        <w:t xml:space="preserve"> Healthcare, BMS, </w:t>
      </w:r>
      <w:proofErr w:type="spellStart"/>
      <w:r w:rsidRPr="00B651F1">
        <w:rPr>
          <w:rFonts w:ascii="Arial" w:eastAsia="Times New Roman" w:hAnsi="Arial" w:cs="Arial"/>
          <w:color w:val="212121"/>
          <w:lang w:eastAsia="en-GB"/>
        </w:rPr>
        <w:t>Abbvie</w:t>
      </w:r>
      <w:proofErr w:type="spellEnd"/>
      <w:r w:rsidRPr="00B651F1">
        <w:rPr>
          <w:rFonts w:ascii="Arial" w:eastAsia="Times New Roman" w:hAnsi="Arial" w:cs="Arial"/>
          <w:color w:val="212121"/>
          <w:lang w:eastAsia="en-GB"/>
        </w:rPr>
        <w:t xml:space="preserve">, Janssen and Merck. </w:t>
      </w:r>
      <w:r w:rsidRPr="00B651F1">
        <w:rPr>
          <w:rFonts w:ascii="Arial" w:hAnsi="Arial" w:cs="Arial"/>
        </w:rPr>
        <w:t xml:space="preserve"> SJCP has received a research grant from the Scientific Exploration Society. All other authors have no conflicts of interest to declare. </w:t>
      </w:r>
    </w:p>
    <w:p w14:paraId="7DC136CC" w14:textId="77777777" w:rsidR="00415E99" w:rsidRPr="00B651F1" w:rsidRDefault="00415E99" w:rsidP="00415E99">
      <w:pPr>
        <w:spacing w:after="0" w:line="360" w:lineRule="auto"/>
        <w:rPr>
          <w:rFonts w:ascii="Arial" w:hAnsi="Arial" w:cs="Arial"/>
        </w:rPr>
      </w:pPr>
    </w:p>
    <w:p w14:paraId="78602538" w14:textId="77777777" w:rsidR="00415E99" w:rsidRPr="00B651F1" w:rsidRDefault="00415E99" w:rsidP="00415E99">
      <w:pPr>
        <w:spacing w:after="0" w:line="360" w:lineRule="auto"/>
        <w:rPr>
          <w:rFonts w:ascii="Arial" w:hAnsi="Arial" w:cs="Arial"/>
          <w:b/>
          <w:bCs/>
        </w:rPr>
      </w:pPr>
      <w:r w:rsidRPr="00B651F1">
        <w:rPr>
          <w:rFonts w:ascii="Arial" w:hAnsi="Arial" w:cs="Arial"/>
          <w:b/>
          <w:bCs/>
        </w:rPr>
        <w:t>Availability of data and materials</w:t>
      </w:r>
    </w:p>
    <w:p w14:paraId="576D070B" w14:textId="4BBBC515" w:rsidR="00192148" w:rsidRPr="00B651F1" w:rsidRDefault="00415E99" w:rsidP="00B651F1">
      <w:pPr>
        <w:spacing w:after="0" w:line="360" w:lineRule="auto"/>
        <w:rPr>
          <w:rFonts w:ascii="Arial" w:hAnsi="Arial" w:cs="Arial"/>
          <w:sz w:val="20"/>
          <w:szCs w:val="20"/>
        </w:rPr>
      </w:pPr>
      <w:r w:rsidRPr="00523E82">
        <w:rPr>
          <w:rFonts w:ascii="Arial" w:hAnsi="Arial" w:cs="Arial"/>
        </w:rPr>
        <w:t>The data analysed during the current study and further details on the assays are available from the corresponding author (SJCP; scott.pa</w:t>
      </w:r>
      <w:r w:rsidRPr="004178D1">
        <w:rPr>
          <w:rFonts w:ascii="Arial" w:hAnsi="Arial" w:cs="Arial"/>
        </w:rPr>
        <w:t>llett@nhs.net) on reasonable request, as long as this meets local ethical and research governance criteria</w:t>
      </w:r>
      <w:r w:rsidR="0064297F">
        <w:rPr>
          <w:rFonts w:ascii="Arial" w:hAnsi="Arial" w:cs="Arial"/>
          <w:sz w:val="20"/>
          <w:szCs w:val="20"/>
        </w:rPr>
        <w:t>.</w:t>
      </w:r>
    </w:p>
    <w:sectPr w:rsidR="00192148" w:rsidRPr="00B651F1" w:rsidSect="0064297F">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3A3EC" w14:textId="77777777" w:rsidR="00143462" w:rsidRDefault="00143462" w:rsidP="00C164AB">
      <w:pPr>
        <w:spacing w:after="0" w:line="240" w:lineRule="auto"/>
      </w:pPr>
      <w:r>
        <w:separator/>
      </w:r>
    </w:p>
  </w:endnote>
  <w:endnote w:type="continuationSeparator" w:id="0">
    <w:p w14:paraId="0F5C117D" w14:textId="77777777" w:rsidR="00143462" w:rsidRDefault="00143462" w:rsidP="00C16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27FD9" w14:textId="77777777" w:rsidR="00143462" w:rsidRDefault="00143462" w:rsidP="00C164AB">
      <w:pPr>
        <w:spacing w:after="0" w:line="240" w:lineRule="auto"/>
      </w:pPr>
      <w:r>
        <w:separator/>
      </w:r>
    </w:p>
  </w:footnote>
  <w:footnote w:type="continuationSeparator" w:id="0">
    <w:p w14:paraId="4AC84997" w14:textId="77777777" w:rsidR="00143462" w:rsidRDefault="00143462" w:rsidP="00C164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B05"/>
    <w:multiLevelType w:val="hybridMultilevel"/>
    <w:tmpl w:val="EFE262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2C1FE3"/>
    <w:multiLevelType w:val="hybridMultilevel"/>
    <w:tmpl w:val="9C448806"/>
    <w:lvl w:ilvl="0" w:tplc="C64CE164">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FC1D60"/>
    <w:multiLevelType w:val="hybridMultilevel"/>
    <w:tmpl w:val="33FE270E"/>
    <w:lvl w:ilvl="0" w:tplc="AB9C2CBE">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681747"/>
    <w:multiLevelType w:val="hybridMultilevel"/>
    <w:tmpl w:val="5D20F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AB0F9E"/>
    <w:multiLevelType w:val="hybridMultilevel"/>
    <w:tmpl w:val="C226D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A32A6E"/>
    <w:multiLevelType w:val="multilevel"/>
    <w:tmpl w:val="DD4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6B0"/>
    <w:rsid w:val="00001305"/>
    <w:rsid w:val="00034336"/>
    <w:rsid w:val="00046617"/>
    <w:rsid w:val="000565D8"/>
    <w:rsid w:val="00070CAD"/>
    <w:rsid w:val="00096393"/>
    <w:rsid w:val="000A6C1D"/>
    <w:rsid w:val="000D0435"/>
    <w:rsid w:val="000D1623"/>
    <w:rsid w:val="000E24A0"/>
    <w:rsid w:val="000F705B"/>
    <w:rsid w:val="00120F1F"/>
    <w:rsid w:val="00143462"/>
    <w:rsid w:val="001657F6"/>
    <w:rsid w:val="00190186"/>
    <w:rsid w:val="00192148"/>
    <w:rsid w:val="001A6590"/>
    <w:rsid w:val="001E4F56"/>
    <w:rsid w:val="00202248"/>
    <w:rsid w:val="00204C47"/>
    <w:rsid w:val="00277E11"/>
    <w:rsid w:val="00292CCB"/>
    <w:rsid w:val="002A1249"/>
    <w:rsid w:val="002C1B39"/>
    <w:rsid w:val="002C36B0"/>
    <w:rsid w:val="002C7124"/>
    <w:rsid w:val="002D02D3"/>
    <w:rsid w:val="002D1F06"/>
    <w:rsid w:val="002E3D98"/>
    <w:rsid w:val="002F30CF"/>
    <w:rsid w:val="00311866"/>
    <w:rsid w:val="00312278"/>
    <w:rsid w:val="00397AED"/>
    <w:rsid w:val="003B0C2F"/>
    <w:rsid w:val="003F345F"/>
    <w:rsid w:val="00415E99"/>
    <w:rsid w:val="004178D1"/>
    <w:rsid w:val="004230D0"/>
    <w:rsid w:val="00445984"/>
    <w:rsid w:val="0045427A"/>
    <w:rsid w:val="00456D1C"/>
    <w:rsid w:val="00477013"/>
    <w:rsid w:val="00491237"/>
    <w:rsid w:val="004A4E65"/>
    <w:rsid w:val="004B2E02"/>
    <w:rsid w:val="004C31C1"/>
    <w:rsid w:val="004C337B"/>
    <w:rsid w:val="004C6819"/>
    <w:rsid w:val="004E4949"/>
    <w:rsid w:val="004E61A2"/>
    <w:rsid w:val="00510C1F"/>
    <w:rsid w:val="00522150"/>
    <w:rsid w:val="00523E82"/>
    <w:rsid w:val="00533687"/>
    <w:rsid w:val="00565BA8"/>
    <w:rsid w:val="00582921"/>
    <w:rsid w:val="005B4B48"/>
    <w:rsid w:val="005D5174"/>
    <w:rsid w:val="0064297F"/>
    <w:rsid w:val="006641D1"/>
    <w:rsid w:val="00666711"/>
    <w:rsid w:val="0067563C"/>
    <w:rsid w:val="00693E66"/>
    <w:rsid w:val="00695486"/>
    <w:rsid w:val="006D5713"/>
    <w:rsid w:val="006D6992"/>
    <w:rsid w:val="006F773A"/>
    <w:rsid w:val="0070517A"/>
    <w:rsid w:val="00720114"/>
    <w:rsid w:val="00723009"/>
    <w:rsid w:val="00726C50"/>
    <w:rsid w:val="007406CA"/>
    <w:rsid w:val="00743567"/>
    <w:rsid w:val="00762E68"/>
    <w:rsid w:val="00774141"/>
    <w:rsid w:val="007804EA"/>
    <w:rsid w:val="00797996"/>
    <w:rsid w:val="007D29A3"/>
    <w:rsid w:val="007F54B0"/>
    <w:rsid w:val="008005BA"/>
    <w:rsid w:val="00803865"/>
    <w:rsid w:val="00816095"/>
    <w:rsid w:val="0084088A"/>
    <w:rsid w:val="00854F7A"/>
    <w:rsid w:val="00866F2D"/>
    <w:rsid w:val="008A1EE0"/>
    <w:rsid w:val="008A255D"/>
    <w:rsid w:val="008A57A7"/>
    <w:rsid w:val="008D0AE1"/>
    <w:rsid w:val="008D2CCE"/>
    <w:rsid w:val="008E5177"/>
    <w:rsid w:val="00926F0C"/>
    <w:rsid w:val="00930E7E"/>
    <w:rsid w:val="00953568"/>
    <w:rsid w:val="00967A69"/>
    <w:rsid w:val="00971BEF"/>
    <w:rsid w:val="00977976"/>
    <w:rsid w:val="009942F1"/>
    <w:rsid w:val="009A3598"/>
    <w:rsid w:val="009B4F15"/>
    <w:rsid w:val="009F0C59"/>
    <w:rsid w:val="00A347F2"/>
    <w:rsid w:val="00A36BD0"/>
    <w:rsid w:val="00A90C47"/>
    <w:rsid w:val="00A92D5C"/>
    <w:rsid w:val="00AA64E1"/>
    <w:rsid w:val="00AB119C"/>
    <w:rsid w:val="00AB2F09"/>
    <w:rsid w:val="00AB3CF6"/>
    <w:rsid w:val="00AE4329"/>
    <w:rsid w:val="00AF2D2B"/>
    <w:rsid w:val="00B058F5"/>
    <w:rsid w:val="00B25361"/>
    <w:rsid w:val="00B25F8C"/>
    <w:rsid w:val="00B27B6D"/>
    <w:rsid w:val="00B32125"/>
    <w:rsid w:val="00B359A3"/>
    <w:rsid w:val="00B47FD7"/>
    <w:rsid w:val="00B51992"/>
    <w:rsid w:val="00B615DA"/>
    <w:rsid w:val="00B645E7"/>
    <w:rsid w:val="00B651F1"/>
    <w:rsid w:val="00B83208"/>
    <w:rsid w:val="00B833AA"/>
    <w:rsid w:val="00B927C1"/>
    <w:rsid w:val="00BA115C"/>
    <w:rsid w:val="00BB3780"/>
    <w:rsid w:val="00BE2814"/>
    <w:rsid w:val="00C164AB"/>
    <w:rsid w:val="00C4152D"/>
    <w:rsid w:val="00C5625C"/>
    <w:rsid w:val="00C60F4B"/>
    <w:rsid w:val="00C83796"/>
    <w:rsid w:val="00C928DA"/>
    <w:rsid w:val="00CA2E1B"/>
    <w:rsid w:val="00CA35A1"/>
    <w:rsid w:val="00CB278C"/>
    <w:rsid w:val="00CC6C3F"/>
    <w:rsid w:val="00D309F5"/>
    <w:rsid w:val="00D94F4B"/>
    <w:rsid w:val="00DD0109"/>
    <w:rsid w:val="00DE3EE9"/>
    <w:rsid w:val="00DE51A2"/>
    <w:rsid w:val="00E10572"/>
    <w:rsid w:val="00E30A66"/>
    <w:rsid w:val="00E439BC"/>
    <w:rsid w:val="00E44F2F"/>
    <w:rsid w:val="00E65245"/>
    <w:rsid w:val="00E704BA"/>
    <w:rsid w:val="00E73B72"/>
    <w:rsid w:val="00E757C6"/>
    <w:rsid w:val="00E8081F"/>
    <w:rsid w:val="00E84B22"/>
    <w:rsid w:val="00EB7056"/>
    <w:rsid w:val="00EC02D7"/>
    <w:rsid w:val="00EE5751"/>
    <w:rsid w:val="00EE6E79"/>
    <w:rsid w:val="00EF2817"/>
    <w:rsid w:val="00F00C53"/>
    <w:rsid w:val="00F06397"/>
    <w:rsid w:val="00F07067"/>
    <w:rsid w:val="00F159F7"/>
    <w:rsid w:val="00F31A94"/>
    <w:rsid w:val="00F35DA9"/>
    <w:rsid w:val="00F465F1"/>
    <w:rsid w:val="00F66DAA"/>
    <w:rsid w:val="00F77948"/>
    <w:rsid w:val="00F9249C"/>
    <w:rsid w:val="00FA506F"/>
    <w:rsid w:val="00FB042D"/>
    <w:rsid w:val="00FB15BC"/>
    <w:rsid w:val="00FD613E"/>
    <w:rsid w:val="00FF1A47"/>
    <w:rsid w:val="00FF4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30BE9"/>
  <w15:docId w15:val="{3B63DC90-F2FC-497E-B3E0-05609430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70C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DE51A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992"/>
    <w:pPr>
      <w:ind w:left="720"/>
      <w:contextualSpacing/>
    </w:pPr>
  </w:style>
  <w:style w:type="character" w:customStyle="1" w:styleId="title-text">
    <w:name w:val="title-text"/>
    <w:basedOn w:val="DefaultParagraphFont"/>
    <w:rsid w:val="006D6992"/>
  </w:style>
  <w:style w:type="character" w:styleId="Hyperlink">
    <w:name w:val="Hyperlink"/>
    <w:basedOn w:val="DefaultParagraphFont"/>
    <w:uiPriority w:val="99"/>
    <w:unhideWhenUsed/>
    <w:rsid w:val="00762E68"/>
    <w:rPr>
      <w:color w:val="0000FF"/>
      <w:u w:val="single"/>
    </w:rPr>
  </w:style>
  <w:style w:type="character" w:customStyle="1" w:styleId="cit">
    <w:name w:val="cit"/>
    <w:basedOn w:val="DefaultParagraphFont"/>
    <w:rsid w:val="00762E68"/>
  </w:style>
  <w:style w:type="character" w:styleId="CommentReference">
    <w:name w:val="annotation reference"/>
    <w:basedOn w:val="DefaultParagraphFont"/>
    <w:uiPriority w:val="99"/>
    <w:semiHidden/>
    <w:unhideWhenUsed/>
    <w:rsid w:val="00F465F1"/>
    <w:rPr>
      <w:sz w:val="16"/>
      <w:szCs w:val="16"/>
    </w:rPr>
  </w:style>
  <w:style w:type="paragraph" w:styleId="CommentText">
    <w:name w:val="annotation text"/>
    <w:basedOn w:val="Normal"/>
    <w:link w:val="CommentTextChar"/>
    <w:uiPriority w:val="99"/>
    <w:semiHidden/>
    <w:unhideWhenUsed/>
    <w:rsid w:val="00F465F1"/>
    <w:pPr>
      <w:spacing w:line="240" w:lineRule="auto"/>
    </w:pPr>
    <w:rPr>
      <w:sz w:val="20"/>
      <w:szCs w:val="20"/>
    </w:rPr>
  </w:style>
  <w:style w:type="character" w:customStyle="1" w:styleId="CommentTextChar">
    <w:name w:val="Comment Text Char"/>
    <w:basedOn w:val="DefaultParagraphFont"/>
    <w:link w:val="CommentText"/>
    <w:uiPriority w:val="99"/>
    <w:semiHidden/>
    <w:rsid w:val="00F465F1"/>
    <w:rPr>
      <w:sz w:val="20"/>
      <w:szCs w:val="20"/>
    </w:rPr>
  </w:style>
  <w:style w:type="paragraph" w:styleId="CommentSubject">
    <w:name w:val="annotation subject"/>
    <w:basedOn w:val="CommentText"/>
    <w:next w:val="CommentText"/>
    <w:link w:val="CommentSubjectChar"/>
    <w:uiPriority w:val="99"/>
    <w:semiHidden/>
    <w:unhideWhenUsed/>
    <w:rsid w:val="00F465F1"/>
    <w:rPr>
      <w:b/>
      <w:bCs/>
    </w:rPr>
  </w:style>
  <w:style w:type="character" w:customStyle="1" w:styleId="CommentSubjectChar">
    <w:name w:val="Comment Subject Char"/>
    <w:basedOn w:val="CommentTextChar"/>
    <w:link w:val="CommentSubject"/>
    <w:uiPriority w:val="99"/>
    <w:semiHidden/>
    <w:rsid w:val="00F465F1"/>
    <w:rPr>
      <w:b/>
      <w:bCs/>
      <w:sz w:val="20"/>
      <w:szCs w:val="20"/>
    </w:rPr>
  </w:style>
  <w:style w:type="paragraph" w:styleId="BalloonText">
    <w:name w:val="Balloon Text"/>
    <w:basedOn w:val="Normal"/>
    <w:link w:val="BalloonTextChar"/>
    <w:uiPriority w:val="99"/>
    <w:semiHidden/>
    <w:unhideWhenUsed/>
    <w:rsid w:val="00F46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5F1"/>
    <w:rPr>
      <w:rFonts w:ascii="Tahoma" w:hAnsi="Tahoma" w:cs="Tahoma"/>
      <w:sz w:val="16"/>
      <w:szCs w:val="16"/>
    </w:rPr>
  </w:style>
  <w:style w:type="character" w:styleId="LineNumber">
    <w:name w:val="line number"/>
    <w:basedOn w:val="DefaultParagraphFont"/>
    <w:uiPriority w:val="99"/>
    <w:semiHidden/>
    <w:unhideWhenUsed/>
    <w:rsid w:val="002E3D98"/>
  </w:style>
  <w:style w:type="character" w:customStyle="1" w:styleId="Heading1Char">
    <w:name w:val="Heading 1 Char"/>
    <w:basedOn w:val="DefaultParagraphFont"/>
    <w:link w:val="Heading1"/>
    <w:uiPriority w:val="9"/>
    <w:rsid w:val="00070CA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DE51A2"/>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DE51A2"/>
    <w:rPr>
      <w:b/>
      <w:bCs/>
    </w:rPr>
  </w:style>
  <w:style w:type="table" w:styleId="TableGrid">
    <w:name w:val="Table Grid"/>
    <w:basedOn w:val="TableNormal"/>
    <w:uiPriority w:val="59"/>
    <w:unhideWhenUsed/>
    <w:rsid w:val="00417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i">
    <w:name w:val="doi"/>
    <w:basedOn w:val="DefaultParagraphFont"/>
    <w:rsid w:val="000D0435"/>
  </w:style>
  <w:style w:type="character" w:styleId="FollowedHyperlink">
    <w:name w:val="FollowedHyperlink"/>
    <w:basedOn w:val="DefaultParagraphFont"/>
    <w:uiPriority w:val="99"/>
    <w:semiHidden/>
    <w:unhideWhenUsed/>
    <w:rsid w:val="00B83208"/>
    <w:rPr>
      <w:color w:val="800080" w:themeColor="followedHyperlink"/>
      <w:u w:val="single"/>
    </w:rPr>
  </w:style>
  <w:style w:type="character" w:customStyle="1" w:styleId="identifier">
    <w:name w:val="identifier"/>
    <w:basedOn w:val="DefaultParagraphFont"/>
    <w:rsid w:val="00B615DA"/>
  </w:style>
  <w:style w:type="paragraph" w:styleId="Header">
    <w:name w:val="header"/>
    <w:basedOn w:val="Normal"/>
    <w:link w:val="HeaderChar"/>
    <w:uiPriority w:val="99"/>
    <w:unhideWhenUsed/>
    <w:rsid w:val="00C164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4AB"/>
  </w:style>
  <w:style w:type="paragraph" w:styleId="Footer">
    <w:name w:val="footer"/>
    <w:basedOn w:val="Normal"/>
    <w:link w:val="FooterChar"/>
    <w:uiPriority w:val="99"/>
    <w:unhideWhenUsed/>
    <w:rsid w:val="00C164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393705">
      <w:bodyDiv w:val="1"/>
      <w:marLeft w:val="0"/>
      <w:marRight w:val="0"/>
      <w:marTop w:val="0"/>
      <w:marBottom w:val="0"/>
      <w:divBdr>
        <w:top w:val="none" w:sz="0" w:space="0" w:color="auto"/>
        <w:left w:val="none" w:sz="0" w:space="0" w:color="auto"/>
        <w:bottom w:val="none" w:sz="0" w:space="0" w:color="auto"/>
        <w:right w:val="none" w:sz="0" w:space="0" w:color="auto"/>
      </w:divBdr>
    </w:div>
    <w:div w:id="1193034640">
      <w:bodyDiv w:val="1"/>
      <w:marLeft w:val="0"/>
      <w:marRight w:val="0"/>
      <w:marTop w:val="0"/>
      <w:marBottom w:val="0"/>
      <w:divBdr>
        <w:top w:val="none" w:sz="0" w:space="0" w:color="auto"/>
        <w:left w:val="none" w:sz="0" w:space="0" w:color="auto"/>
        <w:bottom w:val="none" w:sz="0" w:space="0" w:color="auto"/>
        <w:right w:val="none" w:sz="0" w:space="0" w:color="auto"/>
      </w:divBdr>
      <w:divsChild>
        <w:div w:id="1531534311">
          <w:marLeft w:val="0"/>
          <w:marRight w:val="0"/>
          <w:marTop w:val="0"/>
          <w:marBottom w:val="0"/>
          <w:divBdr>
            <w:top w:val="none" w:sz="0" w:space="0" w:color="auto"/>
            <w:left w:val="none" w:sz="0" w:space="0" w:color="auto"/>
            <w:bottom w:val="none" w:sz="0" w:space="0" w:color="auto"/>
            <w:right w:val="none" w:sz="0" w:space="0" w:color="auto"/>
          </w:divBdr>
          <w:divsChild>
            <w:div w:id="1061438718">
              <w:marLeft w:val="0"/>
              <w:marRight w:val="0"/>
              <w:marTop w:val="0"/>
              <w:marBottom w:val="0"/>
              <w:divBdr>
                <w:top w:val="none" w:sz="0" w:space="0" w:color="auto"/>
                <w:left w:val="none" w:sz="0" w:space="0" w:color="auto"/>
                <w:bottom w:val="none" w:sz="0" w:space="0" w:color="auto"/>
                <w:right w:val="none" w:sz="0" w:space="0" w:color="auto"/>
              </w:divBdr>
              <w:divsChild>
                <w:div w:id="91244287">
                  <w:marLeft w:val="0"/>
                  <w:marRight w:val="0"/>
                  <w:marTop w:val="0"/>
                  <w:marBottom w:val="0"/>
                  <w:divBdr>
                    <w:top w:val="none" w:sz="0" w:space="0" w:color="auto"/>
                    <w:left w:val="none" w:sz="0" w:space="0" w:color="auto"/>
                    <w:bottom w:val="none" w:sz="0" w:space="0" w:color="auto"/>
                    <w:right w:val="none" w:sz="0" w:space="0" w:color="auto"/>
                  </w:divBdr>
                  <w:divsChild>
                    <w:div w:id="854921224">
                      <w:marLeft w:val="0"/>
                      <w:marRight w:val="0"/>
                      <w:marTop w:val="0"/>
                      <w:marBottom w:val="0"/>
                      <w:divBdr>
                        <w:top w:val="none" w:sz="0" w:space="0" w:color="auto"/>
                        <w:left w:val="none" w:sz="0" w:space="0" w:color="auto"/>
                        <w:bottom w:val="none" w:sz="0" w:space="0" w:color="auto"/>
                        <w:right w:val="none" w:sz="0" w:space="0" w:color="auto"/>
                      </w:divBdr>
                      <w:divsChild>
                        <w:div w:id="548303558">
                          <w:marLeft w:val="0"/>
                          <w:marRight w:val="0"/>
                          <w:marTop w:val="0"/>
                          <w:marBottom w:val="0"/>
                          <w:divBdr>
                            <w:top w:val="none" w:sz="0" w:space="0" w:color="auto"/>
                            <w:left w:val="none" w:sz="0" w:space="0" w:color="auto"/>
                            <w:bottom w:val="none" w:sz="0" w:space="0" w:color="auto"/>
                            <w:right w:val="none" w:sz="0" w:space="0" w:color="auto"/>
                          </w:divBdr>
                          <w:divsChild>
                            <w:div w:id="754398870">
                              <w:marLeft w:val="0"/>
                              <w:marRight w:val="0"/>
                              <w:marTop w:val="0"/>
                              <w:marBottom w:val="0"/>
                              <w:divBdr>
                                <w:top w:val="none" w:sz="0" w:space="0" w:color="auto"/>
                                <w:left w:val="none" w:sz="0" w:space="0" w:color="auto"/>
                                <w:bottom w:val="none" w:sz="0" w:space="0" w:color="auto"/>
                                <w:right w:val="none" w:sz="0" w:space="0" w:color="auto"/>
                              </w:divBdr>
                              <w:divsChild>
                                <w:div w:id="1192375160">
                                  <w:marLeft w:val="0"/>
                                  <w:marRight w:val="0"/>
                                  <w:marTop w:val="0"/>
                                  <w:marBottom w:val="0"/>
                                  <w:divBdr>
                                    <w:top w:val="none" w:sz="0" w:space="0" w:color="auto"/>
                                    <w:left w:val="none" w:sz="0" w:space="0" w:color="auto"/>
                                    <w:bottom w:val="none" w:sz="0" w:space="0" w:color="auto"/>
                                    <w:right w:val="none" w:sz="0" w:space="0" w:color="auto"/>
                                  </w:divBdr>
                                  <w:divsChild>
                                    <w:div w:id="1785271856">
                                      <w:marLeft w:val="0"/>
                                      <w:marRight w:val="0"/>
                                      <w:marTop w:val="0"/>
                                      <w:marBottom w:val="0"/>
                                      <w:divBdr>
                                        <w:top w:val="none" w:sz="0" w:space="0" w:color="auto"/>
                                        <w:left w:val="none" w:sz="0" w:space="0" w:color="auto"/>
                                        <w:bottom w:val="none" w:sz="0" w:space="0" w:color="auto"/>
                                        <w:right w:val="none" w:sz="0" w:space="0" w:color="auto"/>
                                      </w:divBdr>
                                      <w:divsChild>
                                        <w:div w:id="214589462">
                                          <w:marLeft w:val="0"/>
                                          <w:marRight w:val="0"/>
                                          <w:marTop w:val="0"/>
                                          <w:marBottom w:val="0"/>
                                          <w:divBdr>
                                            <w:top w:val="none" w:sz="0" w:space="0" w:color="auto"/>
                                            <w:left w:val="none" w:sz="0" w:space="0" w:color="auto"/>
                                            <w:bottom w:val="none" w:sz="0" w:space="0" w:color="auto"/>
                                            <w:right w:val="none" w:sz="0" w:space="0" w:color="auto"/>
                                          </w:divBdr>
                                          <w:divsChild>
                                            <w:div w:id="2002543176">
                                              <w:marLeft w:val="0"/>
                                              <w:marRight w:val="0"/>
                                              <w:marTop w:val="0"/>
                                              <w:marBottom w:val="0"/>
                                              <w:divBdr>
                                                <w:top w:val="none" w:sz="0" w:space="0" w:color="auto"/>
                                                <w:left w:val="none" w:sz="0" w:space="0" w:color="auto"/>
                                                <w:bottom w:val="none" w:sz="0" w:space="0" w:color="auto"/>
                                                <w:right w:val="none" w:sz="0" w:space="0" w:color="auto"/>
                                              </w:divBdr>
                                              <w:divsChild>
                                                <w:div w:id="189392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357171">
      <w:bodyDiv w:val="1"/>
      <w:marLeft w:val="0"/>
      <w:marRight w:val="0"/>
      <w:marTop w:val="0"/>
      <w:marBottom w:val="0"/>
      <w:divBdr>
        <w:top w:val="none" w:sz="0" w:space="0" w:color="auto"/>
        <w:left w:val="none" w:sz="0" w:space="0" w:color="auto"/>
        <w:bottom w:val="none" w:sz="0" w:space="0" w:color="auto"/>
        <w:right w:val="none" w:sz="0" w:space="0" w:color="auto"/>
      </w:divBdr>
    </w:div>
    <w:div w:id="1412502128">
      <w:bodyDiv w:val="1"/>
      <w:marLeft w:val="0"/>
      <w:marRight w:val="0"/>
      <w:marTop w:val="0"/>
      <w:marBottom w:val="0"/>
      <w:divBdr>
        <w:top w:val="none" w:sz="0" w:space="0" w:color="auto"/>
        <w:left w:val="none" w:sz="0" w:space="0" w:color="auto"/>
        <w:bottom w:val="none" w:sz="0" w:space="0" w:color="auto"/>
        <w:right w:val="none" w:sz="0" w:space="0" w:color="auto"/>
      </w:divBdr>
    </w:div>
    <w:div w:id="1998266388">
      <w:bodyDiv w:val="1"/>
      <w:marLeft w:val="0"/>
      <w:marRight w:val="0"/>
      <w:marTop w:val="0"/>
      <w:marBottom w:val="0"/>
      <w:divBdr>
        <w:top w:val="none" w:sz="0" w:space="0" w:color="auto"/>
        <w:left w:val="none" w:sz="0" w:space="0" w:color="auto"/>
        <w:bottom w:val="none" w:sz="0" w:space="0" w:color="auto"/>
        <w:right w:val="none" w:sz="0" w:space="0" w:color="auto"/>
      </w:divBdr>
    </w:div>
    <w:div w:id="2049448010">
      <w:bodyDiv w:val="1"/>
      <w:marLeft w:val="0"/>
      <w:marRight w:val="0"/>
      <w:marTop w:val="0"/>
      <w:marBottom w:val="0"/>
      <w:divBdr>
        <w:top w:val="none" w:sz="0" w:space="0" w:color="auto"/>
        <w:left w:val="none" w:sz="0" w:space="0" w:color="auto"/>
        <w:bottom w:val="none" w:sz="0" w:space="0" w:color="auto"/>
        <w:right w:val="none" w:sz="0" w:space="0" w:color="auto"/>
      </w:divBdr>
      <w:divsChild>
        <w:div w:id="1403212692">
          <w:marLeft w:val="0"/>
          <w:marRight w:val="0"/>
          <w:marTop w:val="0"/>
          <w:marBottom w:val="0"/>
          <w:divBdr>
            <w:top w:val="none" w:sz="0" w:space="0" w:color="auto"/>
            <w:left w:val="none" w:sz="0" w:space="0" w:color="auto"/>
            <w:bottom w:val="none" w:sz="0" w:space="0" w:color="auto"/>
            <w:right w:val="none" w:sz="0" w:space="0" w:color="auto"/>
          </w:divBdr>
        </w:div>
        <w:div w:id="1997758760">
          <w:marLeft w:val="0"/>
          <w:marRight w:val="0"/>
          <w:marTop w:val="0"/>
          <w:marBottom w:val="0"/>
          <w:divBdr>
            <w:top w:val="none" w:sz="0" w:space="0" w:color="auto"/>
            <w:left w:val="none" w:sz="0" w:space="0" w:color="auto"/>
            <w:bottom w:val="none" w:sz="0" w:space="0" w:color="auto"/>
            <w:right w:val="none" w:sz="0" w:space="0" w:color="auto"/>
          </w:divBdr>
        </w:div>
        <w:div w:id="1745294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38/s41577-020-031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mc/articles/PMC718767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it.2020.03.007" TargetMode="External"/><Relationship Id="rId5" Type="http://schemas.openxmlformats.org/officeDocument/2006/relationships/webSettings" Target="webSettings.xml"/><Relationship Id="rId15" Type="http://schemas.openxmlformats.org/officeDocument/2006/relationships/hyperlink" Target="https://doi.org/10.1016/S2213-2600(20)30315-5" TargetMode="External"/><Relationship Id="rId10" Type="http://schemas.openxmlformats.org/officeDocument/2006/relationships/hyperlink" Target="https://dx.doi.org/10.1016%2Fj.jinf.2020.05.019" TargetMode="External"/><Relationship Id="rId4" Type="http://schemas.openxmlformats.org/officeDocument/2006/relationships/settings" Target="settings.xml"/><Relationship Id="rId9" Type="http://schemas.openxmlformats.org/officeDocument/2006/relationships/hyperlink" Target="https://www.ncbi.nlm.nih.gov/pmc/articles/PMC7228733/" TargetMode="External"/><Relationship Id="rId14" Type="http://schemas.openxmlformats.org/officeDocument/2006/relationships/hyperlink" Target="https://www.finddx.org/covid-19/pipeline/?section=immunoass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A5AFC-2E33-4896-93A6-78F1F02EB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2230</Words>
  <Characters>12712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Chelsea and Westminster Healthcare NHS Fdn Trust</Company>
  <LinksUpToDate>false</LinksUpToDate>
  <CharactersWithSpaces>14913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Palett, Scott</dc:creator>
  <cp:lastModifiedBy>PALLETT, Scott (IMPERIAL COLLEGE HEALTHCARE NHS TRUST)</cp:lastModifiedBy>
  <cp:revision>2</cp:revision>
  <dcterms:created xsi:type="dcterms:W3CDTF">2021-09-09T17:19:00Z</dcterms:created>
  <dcterms:modified xsi:type="dcterms:W3CDTF">2021-09-09T17:19:00Z</dcterms:modified>
</cp:coreProperties>
</file>