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6F80" w14:textId="77777777" w:rsidR="001E4C2E" w:rsidRPr="001E4C2E" w:rsidRDefault="001E4C2E" w:rsidP="001E4C2E">
      <w:pPr>
        <w:rPr>
          <w:rFonts w:ascii="Arial" w:hAnsi="Arial" w:cs="Arial"/>
          <w:b/>
          <w:bCs/>
          <w:sz w:val="28"/>
          <w:szCs w:val="28"/>
        </w:rPr>
      </w:pPr>
      <w:bookmarkStart w:id="0" w:name="_Hlk62682178"/>
      <w:bookmarkStart w:id="1" w:name="_Hlk62714550"/>
      <w:r w:rsidRPr="001E4C2E">
        <w:rPr>
          <w:rFonts w:ascii="Arial" w:hAnsi="Arial" w:cs="Arial"/>
          <w:b/>
          <w:bCs/>
          <w:color w:val="000000"/>
          <w:sz w:val="28"/>
          <w:szCs w:val="28"/>
        </w:rPr>
        <w:t>Ascertainment bias in anaphylaxis safety data of COVID-19 vaccines</w:t>
      </w:r>
    </w:p>
    <w:p w14:paraId="2085A49A" w14:textId="77777777" w:rsidR="001E4C2E" w:rsidRDefault="001E4C2E" w:rsidP="005016A2">
      <w:pPr>
        <w:spacing w:line="480" w:lineRule="auto"/>
        <w:jc w:val="both"/>
        <w:rPr>
          <w:rFonts w:ascii="Arial" w:hAnsi="Arial" w:cs="Arial"/>
        </w:rPr>
      </w:pPr>
    </w:p>
    <w:p w14:paraId="58B02CFD" w14:textId="77777777" w:rsidR="001E4C2E" w:rsidRDefault="001E4C2E" w:rsidP="005016A2">
      <w:pPr>
        <w:spacing w:line="480" w:lineRule="auto"/>
        <w:jc w:val="both"/>
        <w:rPr>
          <w:rFonts w:ascii="Arial" w:hAnsi="Arial" w:cs="Arial"/>
        </w:rPr>
      </w:pPr>
    </w:p>
    <w:p w14:paraId="5EDA69FD" w14:textId="70F82087" w:rsidR="009C097F" w:rsidRPr="009C097F" w:rsidRDefault="009C097F" w:rsidP="009C097F">
      <w:pPr>
        <w:spacing w:line="480" w:lineRule="auto"/>
        <w:jc w:val="both"/>
        <w:rPr>
          <w:rFonts w:ascii="Arial" w:hAnsi="Arial" w:cs="Arial"/>
          <w:b/>
          <w:bCs/>
        </w:rPr>
      </w:pPr>
      <w:r w:rsidRPr="009C097F">
        <w:rPr>
          <w:rFonts w:ascii="Arial" w:hAnsi="Arial" w:cs="Arial"/>
          <w:b/>
          <w:bCs/>
        </w:rPr>
        <w:t>Abstract</w:t>
      </w:r>
    </w:p>
    <w:p w14:paraId="3C69915E" w14:textId="74DCD646" w:rsidR="009C097F" w:rsidRPr="009C097F" w:rsidRDefault="009C097F" w:rsidP="009C097F">
      <w:pPr>
        <w:spacing w:line="480" w:lineRule="auto"/>
      </w:pPr>
      <w:r w:rsidRPr="009C097F">
        <w:rPr>
          <w:rFonts w:ascii="Arial" w:hAnsi="Arial" w:cs="Arial"/>
          <w:color w:val="333333"/>
          <w:shd w:val="clear" w:color="auto" w:fill="FFFFFF"/>
        </w:rPr>
        <w:t xml:space="preserve">To determine rates of anaphylaxis to the first available COVID-19 vaccines, regulatory authorities are using a system, the Brighton Consortium Criteria, that is significantly overestimating the rate of anaphylaxis. Secondary analysis of the published data using </w:t>
      </w:r>
      <w:r w:rsidR="00777569">
        <w:rPr>
          <w:rFonts w:ascii="Arial" w:hAnsi="Arial" w:cs="Arial"/>
          <w:color w:val="333333"/>
          <w:shd w:val="clear" w:color="auto" w:fill="FFFFFF"/>
        </w:rPr>
        <w:t>scoring schemes</w:t>
      </w:r>
      <w:r w:rsidR="00CB349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C097F">
        <w:rPr>
          <w:rFonts w:ascii="Arial" w:hAnsi="Arial" w:cs="Arial"/>
          <w:color w:val="333333"/>
          <w:shd w:val="clear" w:color="auto" w:fill="FFFFFF"/>
        </w:rPr>
        <w:t xml:space="preserve">widely in use by allergists, who see anaphylaxis on a </w:t>
      </w:r>
      <w:r w:rsidR="00ED302F">
        <w:rPr>
          <w:rFonts w:ascii="Arial" w:hAnsi="Arial" w:cs="Arial"/>
          <w:color w:val="333333"/>
          <w:shd w:val="clear" w:color="auto" w:fill="FFFFFF"/>
        </w:rPr>
        <w:t>frequent</w:t>
      </w:r>
      <w:r w:rsidRPr="009C097F">
        <w:rPr>
          <w:rFonts w:ascii="Arial" w:hAnsi="Arial" w:cs="Arial"/>
          <w:color w:val="333333"/>
          <w:shd w:val="clear" w:color="auto" w:fill="FFFFFF"/>
        </w:rPr>
        <w:t xml:space="preserve"> basis, shows significantly lower rates. This correction of ascertainment bias should reassure the public and regulatory authorities about the safety of the COVID-19 vaccines used to date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18B87AF4" w14:textId="77777777" w:rsidR="009C097F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2239A992" w14:textId="77777777" w:rsidR="009C097F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091B62BE" w14:textId="7DEA141A" w:rsidR="00C024C8" w:rsidRPr="005016A2" w:rsidRDefault="00C024C8" w:rsidP="005016A2">
      <w:pPr>
        <w:spacing w:line="480" w:lineRule="auto"/>
        <w:jc w:val="both"/>
        <w:rPr>
          <w:rFonts w:ascii="Arial" w:hAnsi="Arial" w:cs="Arial"/>
        </w:rPr>
      </w:pPr>
      <w:r w:rsidRPr="005016A2">
        <w:rPr>
          <w:rFonts w:ascii="Arial" w:hAnsi="Arial" w:cs="Arial"/>
        </w:rPr>
        <w:t>Vaccination against COVID-19 began in the UK and USA in December 2020. In the UK, three initial reports of anaphylaxis resulted in a temporary embargo on the vaccination of those with a history of anaphylaxis.</w:t>
      </w:r>
      <w:r w:rsidR="00697CDB" w:rsidRPr="005016A2">
        <w:rPr>
          <w:rFonts w:ascii="Arial" w:hAnsi="Arial" w:cs="Arial"/>
          <w:vertAlign w:val="superscript"/>
        </w:rPr>
        <w:t>1</w:t>
      </w:r>
      <w:r w:rsidRPr="005016A2">
        <w:rPr>
          <w:rFonts w:ascii="Arial" w:hAnsi="Arial" w:cs="Arial"/>
        </w:rPr>
        <w:t xml:space="preserve"> Initial </w:t>
      </w:r>
      <w:r w:rsidR="00163A6B">
        <w:rPr>
          <w:rFonts w:ascii="Arial" w:hAnsi="Arial" w:cs="Arial"/>
        </w:rPr>
        <w:t xml:space="preserve">US </w:t>
      </w:r>
      <w:r w:rsidRPr="005016A2">
        <w:rPr>
          <w:rFonts w:ascii="Arial" w:hAnsi="Arial" w:cs="Arial"/>
        </w:rPr>
        <w:t>surveillance data reported an anaphylaxis rate of 11.1 cases per million doses for the Pfizer-BioNTech COVID-19 vaccine,</w:t>
      </w:r>
      <w:r w:rsidR="00697CDB" w:rsidRPr="005016A2">
        <w:rPr>
          <w:rFonts w:ascii="Arial" w:hAnsi="Arial" w:cs="Arial"/>
          <w:vertAlign w:val="superscript"/>
        </w:rPr>
        <w:t>2</w:t>
      </w:r>
      <w:r w:rsidRPr="005016A2">
        <w:rPr>
          <w:rFonts w:ascii="Arial" w:hAnsi="Arial" w:cs="Arial"/>
        </w:rPr>
        <w:t xml:space="preserve"> and 2.5 cases per million doses for </w:t>
      </w:r>
      <w:proofErr w:type="spellStart"/>
      <w:r w:rsidRPr="005016A2">
        <w:rPr>
          <w:rFonts w:ascii="Arial" w:hAnsi="Arial" w:cs="Arial"/>
        </w:rPr>
        <w:t>Moderna</w:t>
      </w:r>
      <w:proofErr w:type="spellEnd"/>
      <w:r w:rsidRPr="005016A2">
        <w:rPr>
          <w:rFonts w:ascii="Arial" w:hAnsi="Arial" w:cs="Arial"/>
        </w:rPr>
        <w:t xml:space="preserve"> vaccine</w:t>
      </w:r>
      <w:r w:rsidR="00697CDB" w:rsidRPr="005016A2">
        <w:rPr>
          <w:rFonts w:ascii="Arial" w:hAnsi="Arial" w:cs="Arial"/>
          <w:vertAlign w:val="superscript"/>
        </w:rPr>
        <w:t>3</w:t>
      </w:r>
      <w:r w:rsidRPr="005016A2">
        <w:rPr>
          <w:rFonts w:ascii="Arial" w:hAnsi="Arial" w:cs="Arial"/>
        </w:rPr>
        <w:t xml:space="preserve"> highlightin</w:t>
      </w:r>
      <w:r w:rsidR="00095B64" w:rsidRPr="005016A2">
        <w:rPr>
          <w:rFonts w:ascii="Arial" w:hAnsi="Arial" w:cs="Arial"/>
        </w:rPr>
        <w:t>g an apparent</w:t>
      </w:r>
      <w:r w:rsidR="00163A6B">
        <w:rPr>
          <w:rFonts w:ascii="Arial" w:hAnsi="Arial" w:cs="Arial"/>
        </w:rPr>
        <w:t xml:space="preserve">ly </w:t>
      </w:r>
      <w:r w:rsidR="00777569">
        <w:rPr>
          <w:rFonts w:ascii="Arial" w:hAnsi="Arial" w:cs="Arial"/>
        </w:rPr>
        <w:t xml:space="preserve">much </w:t>
      </w:r>
      <w:r w:rsidR="00095B64" w:rsidRPr="005016A2">
        <w:rPr>
          <w:rFonts w:ascii="Arial" w:hAnsi="Arial" w:cs="Arial"/>
        </w:rPr>
        <w:t xml:space="preserve">higher </w:t>
      </w:r>
      <w:r w:rsidR="004E5971" w:rsidRPr="005016A2">
        <w:rPr>
          <w:rFonts w:ascii="Arial" w:hAnsi="Arial" w:cs="Arial"/>
          <w:lang w:val="en-US"/>
        </w:rPr>
        <w:t xml:space="preserve">reported </w:t>
      </w:r>
      <w:r w:rsidR="00E40979" w:rsidRPr="005016A2">
        <w:rPr>
          <w:rFonts w:ascii="Arial" w:hAnsi="Arial" w:cs="Arial"/>
          <w:lang w:val="en-US"/>
        </w:rPr>
        <w:t>occurrence</w:t>
      </w:r>
      <w:r w:rsidR="00095B64" w:rsidRPr="005016A2">
        <w:rPr>
          <w:rFonts w:ascii="Arial" w:hAnsi="Arial" w:cs="Arial"/>
        </w:rPr>
        <w:t xml:space="preserve"> of anaphylaxis </w:t>
      </w:r>
      <w:r w:rsidR="004E5971" w:rsidRPr="005016A2">
        <w:rPr>
          <w:rFonts w:ascii="Arial" w:hAnsi="Arial" w:cs="Arial"/>
          <w:lang w:val="en-US"/>
        </w:rPr>
        <w:t xml:space="preserve">into CDC passive vaccine </w:t>
      </w:r>
      <w:r w:rsidR="00E40979" w:rsidRPr="005016A2">
        <w:rPr>
          <w:rFonts w:ascii="Arial" w:hAnsi="Arial" w:cs="Arial"/>
          <w:lang w:val="en-US"/>
        </w:rPr>
        <w:t>surveillance</w:t>
      </w:r>
      <w:r w:rsidR="004E5971" w:rsidRPr="005016A2">
        <w:rPr>
          <w:rFonts w:ascii="Arial" w:hAnsi="Arial" w:cs="Arial"/>
          <w:lang w:val="en-US"/>
        </w:rPr>
        <w:t xml:space="preserve"> systems</w:t>
      </w:r>
      <w:r w:rsidR="00163A6B">
        <w:rPr>
          <w:rFonts w:ascii="Arial" w:hAnsi="Arial" w:cs="Arial"/>
          <w:lang w:val="en-US"/>
        </w:rPr>
        <w:t>,</w:t>
      </w:r>
      <w:r w:rsidR="004E5971" w:rsidRPr="005016A2">
        <w:rPr>
          <w:rFonts w:ascii="Arial" w:hAnsi="Arial" w:cs="Arial"/>
          <w:lang w:val="en-US"/>
        </w:rPr>
        <w:t xml:space="preserve"> </w:t>
      </w:r>
      <w:r w:rsidR="00095B64" w:rsidRPr="005016A2">
        <w:rPr>
          <w:rFonts w:ascii="Arial" w:hAnsi="Arial" w:cs="Arial"/>
        </w:rPr>
        <w:t xml:space="preserve">compared to </w:t>
      </w:r>
      <w:r w:rsidR="004E5971" w:rsidRPr="005016A2">
        <w:rPr>
          <w:rFonts w:ascii="Arial" w:hAnsi="Arial" w:cs="Arial"/>
          <w:lang w:val="en-US"/>
        </w:rPr>
        <w:t xml:space="preserve">historical data from </w:t>
      </w:r>
      <w:r w:rsidR="00095B64" w:rsidRPr="005016A2">
        <w:rPr>
          <w:rFonts w:ascii="Arial" w:hAnsi="Arial" w:cs="Arial"/>
        </w:rPr>
        <w:t>existing vaccines</w:t>
      </w:r>
      <w:r w:rsidR="004E5F76" w:rsidRPr="005016A2">
        <w:rPr>
          <w:rFonts w:ascii="Arial" w:hAnsi="Arial" w:cs="Arial"/>
        </w:rPr>
        <w:t xml:space="preserve">, </w:t>
      </w:r>
      <w:r w:rsidR="004E5971" w:rsidRPr="005016A2">
        <w:rPr>
          <w:rFonts w:ascii="Arial" w:hAnsi="Arial" w:cs="Arial"/>
          <w:lang w:val="en-US"/>
        </w:rPr>
        <w:t>which</w:t>
      </w:r>
      <w:r w:rsidR="000E5041">
        <w:rPr>
          <w:rFonts w:ascii="Arial" w:hAnsi="Arial" w:cs="Arial"/>
          <w:lang w:val="en-US"/>
        </w:rPr>
        <w:t xml:space="preserve"> </w:t>
      </w:r>
      <w:r w:rsidR="004E5F76" w:rsidRPr="005016A2">
        <w:rPr>
          <w:rFonts w:ascii="Arial" w:hAnsi="Arial" w:cs="Arial"/>
        </w:rPr>
        <w:t>ty</w:t>
      </w:r>
      <w:r w:rsidR="001A59F0" w:rsidRPr="005016A2">
        <w:rPr>
          <w:rFonts w:ascii="Arial" w:hAnsi="Arial" w:cs="Arial"/>
        </w:rPr>
        <w:t xml:space="preserve">pically </w:t>
      </w:r>
      <w:r w:rsidR="000E5041">
        <w:rPr>
          <w:rFonts w:ascii="Arial" w:hAnsi="Arial" w:cs="Arial"/>
        </w:rPr>
        <w:t xml:space="preserve">is </w:t>
      </w:r>
      <w:r w:rsidR="001A59F0" w:rsidRPr="005016A2">
        <w:rPr>
          <w:rFonts w:ascii="Arial" w:hAnsi="Arial" w:cs="Arial"/>
        </w:rPr>
        <w:t>around 1</w:t>
      </w:r>
      <w:r w:rsidR="004E5971" w:rsidRPr="005016A2">
        <w:rPr>
          <w:rFonts w:ascii="Arial" w:hAnsi="Arial" w:cs="Arial"/>
          <w:lang w:val="en-US"/>
        </w:rPr>
        <w:t>.3</w:t>
      </w:r>
      <w:r w:rsidR="001A59F0" w:rsidRPr="005016A2">
        <w:rPr>
          <w:rFonts w:ascii="Arial" w:hAnsi="Arial" w:cs="Arial"/>
        </w:rPr>
        <w:t xml:space="preserve"> per million dose</w:t>
      </w:r>
      <w:r w:rsidR="004E5F76" w:rsidRPr="005016A2">
        <w:rPr>
          <w:rFonts w:ascii="Arial" w:hAnsi="Arial" w:cs="Arial"/>
        </w:rPr>
        <w:t>s</w:t>
      </w:r>
      <w:r w:rsidR="00C94B41" w:rsidRPr="005016A2">
        <w:rPr>
          <w:rFonts w:ascii="Arial" w:hAnsi="Arial" w:cs="Arial"/>
        </w:rPr>
        <w:t>.</w:t>
      </w:r>
      <w:r w:rsidR="005C03A6" w:rsidRPr="00163A6B">
        <w:rPr>
          <w:rFonts w:ascii="Arial" w:hAnsi="Arial" w:cs="Arial"/>
          <w:vertAlign w:val="superscript"/>
        </w:rPr>
        <w:t>4</w:t>
      </w:r>
    </w:p>
    <w:p w14:paraId="588F0416" w14:textId="019C9FFB" w:rsidR="001A59F0" w:rsidRPr="005016A2" w:rsidRDefault="001A59F0" w:rsidP="005016A2">
      <w:pPr>
        <w:spacing w:line="480" w:lineRule="auto"/>
        <w:jc w:val="both"/>
        <w:rPr>
          <w:rFonts w:ascii="Arial" w:hAnsi="Arial" w:cs="Arial"/>
        </w:rPr>
      </w:pPr>
    </w:p>
    <w:p w14:paraId="37F3FAB7" w14:textId="0973455D" w:rsidR="001A59F0" w:rsidRPr="005016A2" w:rsidRDefault="001A59F0" w:rsidP="005016A2">
      <w:pPr>
        <w:spacing w:line="480" w:lineRule="auto"/>
        <w:jc w:val="both"/>
        <w:rPr>
          <w:rFonts w:ascii="Arial" w:hAnsi="Arial" w:cs="Arial"/>
        </w:rPr>
      </w:pPr>
      <w:r w:rsidRPr="005016A2">
        <w:rPr>
          <w:rFonts w:ascii="Arial" w:hAnsi="Arial" w:cs="Arial"/>
        </w:rPr>
        <w:t xml:space="preserve">The phenomenon of an initial “spike” in adverse </w:t>
      </w:r>
      <w:r w:rsidRPr="005016A2">
        <w:rPr>
          <w:rFonts w:ascii="Arial" w:hAnsi="Arial" w:cs="Arial"/>
          <w:lang w:val="en-US"/>
        </w:rPr>
        <w:t>event</w:t>
      </w:r>
      <w:r w:rsidR="007119C3" w:rsidRPr="005016A2">
        <w:rPr>
          <w:rFonts w:ascii="Arial" w:hAnsi="Arial" w:cs="Arial"/>
          <w:lang w:val="en-US"/>
        </w:rPr>
        <w:t xml:space="preserve"> reporting</w:t>
      </w:r>
      <w:r w:rsidRPr="005016A2">
        <w:rPr>
          <w:rFonts w:ascii="Arial" w:hAnsi="Arial" w:cs="Arial"/>
        </w:rPr>
        <w:t xml:space="preserve"> which subsequently “settles” with time is common with</w:t>
      </w:r>
      <w:r w:rsidR="007119C3" w:rsidRPr="005016A2">
        <w:rPr>
          <w:rFonts w:ascii="Arial" w:hAnsi="Arial" w:cs="Arial"/>
          <w:lang w:val="en-US"/>
        </w:rPr>
        <w:t xml:space="preserve"> safety </w:t>
      </w:r>
      <w:r w:rsidRPr="005016A2">
        <w:rPr>
          <w:rFonts w:ascii="Arial" w:hAnsi="Arial" w:cs="Arial"/>
        </w:rPr>
        <w:t>reporting systems</w:t>
      </w:r>
      <w:r w:rsidRPr="005016A2">
        <w:rPr>
          <w:rFonts w:ascii="Arial" w:hAnsi="Arial" w:cs="Arial"/>
          <w:lang w:val="en-US"/>
        </w:rPr>
        <w:t xml:space="preserve"> </w:t>
      </w:r>
      <w:r w:rsidR="007119C3" w:rsidRPr="005016A2">
        <w:rPr>
          <w:rFonts w:ascii="Arial" w:hAnsi="Arial" w:cs="Arial"/>
          <w:lang w:val="en-US"/>
        </w:rPr>
        <w:t>designed to be very sensitive to event detection</w:t>
      </w:r>
      <w:r w:rsidR="005C03A6">
        <w:rPr>
          <w:rFonts w:ascii="Arial" w:hAnsi="Arial" w:cs="Arial"/>
        </w:rPr>
        <w:t>. As</w:t>
      </w:r>
      <w:r w:rsidRPr="00163A6B">
        <w:rPr>
          <w:rFonts w:ascii="Arial" w:hAnsi="Arial" w:cs="Arial"/>
        </w:rPr>
        <w:t xml:space="preserve"> the denominator (number of vaccines given) increases</w:t>
      </w:r>
      <w:r w:rsidR="00163A6B">
        <w:rPr>
          <w:rFonts w:ascii="Arial" w:hAnsi="Arial" w:cs="Arial"/>
        </w:rPr>
        <w:t xml:space="preserve"> </w:t>
      </w:r>
      <w:r w:rsidR="00163A6B">
        <w:rPr>
          <w:rFonts w:ascii="Arial" w:hAnsi="Arial" w:cs="Arial"/>
        </w:rPr>
        <w:lastRenderedPageBreak/>
        <w:t xml:space="preserve">and </w:t>
      </w:r>
      <w:r w:rsidR="00163A6B" w:rsidRPr="00163A6B">
        <w:rPr>
          <w:rFonts w:ascii="Arial" w:hAnsi="Arial" w:cs="Arial"/>
          <w:lang w:val="en-US"/>
        </w:rPr>
        <w:t>additional</w:t>
      </w:r>
      <w:r w:rsidR="00163A6B" w:rsidRPr="00163A6B">
        <w:rPr>
          <w:rFonts w:ascii="Arial" w:hAnsi="Arial" w:cs="Arial"/>
        </w:rPr>
        <w:t xml:space="preserve"> information </w:t>
      </w:r>
      <w:r w:rsidR="00163A6B" w:rsidRPr="00163A6B">
        <w:rPr>
          <w:rFonts w:ascii="Arial" w:hAnsi="Arial" w:cs="Arial"/>
          <w:lang w:val="en-US"/>
        </w:rPr>
        <w:t>becom</w:t>
      </w:r>
      <w:r w:rsidR="00163A6B">
        <w:rPr>
          <w:rFonts w:ascii="Arial" w:hAnsi="Arial" w:cs="Arial"/>
          <w:lang w:val="en-US"/>
        </w:rPr>
        <w:t>es</w:t>
      </w:r>
      <w:r w:rsidR="00163A6B" w:rsidRPr="00163A6B">
        <w:rPr>
          <w:rFonts w:ascii="Arial" w:hAnsi="Arial" w:cs="Arial"/>
        </w:rPr>
        <w:t xml:space="preserve"> available</w:t>
      </w:r>
      <w:r w:rsidR="00163A6B">
        <w:rPr>
          <w:rFonts w:ascii="Arial" w:hAnsi="Arial" w:cs="Arial"/>
        </w:rPr>
        <w:t xml:space="preserve">, </w:t>
      </w:r>
      <w:r w:rsidRPr="00163A6B">
        <w:rPr>
          <w:rFonts w:ascii="Arial" w:hAnsi="Arial" w:cs="Arial"/>
        </w:rPr>
        <w:t>case definitions are revised</w:t>
      </w:r>
      <w:r w:rsidR="005C03A6">
        <w:rPr>
          <w:rFonts w:ascii="Arial" w:hAnsi="Arial" w:cs="Arial"/>
        </w:rPr>
        <w:t xml:space="preserve"> </w:t>
      </w:r>
      <w:r w:rsidRPr="00163A6B">
        <w:rPr>
          <w:rFonts w:ascii="Arial" w:hAnsi="Arial" w:cs="Arial"/>
        </w:rPr>
        <w:t xml:space="preserve"> and reporting fatigue occurs. Indeed, the most recent data from </w:t>
      </w:r>
      <w:r w:rsidR="007119C3" w:rsidRPr="00163A6B">
        <w:rPr>
          <w:rFonts w:ascii="Arial" w:hAnsi="Arial" w:cs="Arial"/>
          <w:lang w:val="en-US"/>
        </w:rPr>
        <w:t>the CDC, through 18 January 2021,</w:t>
      </w:r>
      <w:r w:rsidRPr="00163A6B">
        <w:rPr>
          <w:rFonts w:ascii="Arial" w:hAnsi="Arial" w:cs="Arial"/>
        </w:rPr>
        <w:t xml:space="preserve"> now gives a rate of 5.0 cases (95%CI 3.7-6.6) per million doses for the Pfizer-BioNTech vaccine</w:t>
      </w:r>
      <w:r w:rsidR="007119C3" w:rsidRPr="00163A6B">
        <w:rPr>
          <w:rFonts w:ascii="Arial" w:hAnsi="Arial" w:cs="Arial"/>
          <w:lang w:val="en-US"/>
        </w:rPr>
        <w:t xml:space="preserve">, and 2.8 cases </w:t>
      </w:r>
      <w:r w:rsidR="009A77DB" w:rsidRPr="00BD7BCD">
        <w:rPr>
          <w:rFonts w:ascii="Arial" w:hAnsi="Arial" w:cs="Arial"/>
          <w:lang w:val="en-US"/>
        </w:rPr>
        <w:t>(95%CI 1.7-4.2</w:t>
      </w:r>
      <w:r w:rsidR="009A77DB">
        <w:rPr>
          <w:rFonts w:ascii="Arial" w:hAnsi="Arial" w:cs="Arial"/>
          <w:lang w:val="en-US"/>
        </w:rPr>
        <w:t xml:space="preserve">) </w:t>
      </w:r>
      <w:r w:rsidR="007119C3" w:rsidRPr="00163A6B">
        <w:rPr>
          <w:rFonts w:ascii="Arial" w:hAnsi="Arial" w:cs="Arial"/>
          <w:lang w:val="en-US"/>
        </w:rPr>
        <w:t xml:space="preserve">for </w:t>
      </w:r>
      <w:proofErr w:type="spellStart"/>
      <w:r w:rsidR="007119C3" w:rsidRPr="00163A6B">
        <w:rPr>
          <w:rFonts w:ascii="Arial" w:hAnsi="Arial" w:cs="Arial"/>
          <w:lang w:val="en-US"/>
        </w:rPr>
        <w:t>Moderna</w:t>
      </w:r>
      <w:proofErr w:type="spellEnd"/>
      <w:r w:rsidR="007119C3" w:rsidRPr="00163A6B">
        <w:rPr>
          <w:rFonts w:ascii="Arial" w:hAnsi="Arial" w:cs="Arial"/>
          <w:lang w:val="en-US"/>
        </w:rPr>
        <w:t xml:space="preserve"> </w:t>
      </w:r>
      <w:r w:rsidR="004E5F76" w:rsidRPr="00163A6B">
        <w:rPr>
          <w:rFonts w:ascii="Arial" w:hAnsi="Arial" w:cs="Arial"/>
          <w:lang w:val="en-US"/>
        </w:rPr>
        <w:t>(5</w:t>
      </w:r>
      <w:r w:rsidR="004E5F76" w:rsidRPr="005016A2">
        <w:rPr>
          <w:rFonts w:ascii="Arial" w:hAnsi="Arial" w:cs="Arial"/>
          <w:lang w:val="en-US"/>
        </w:rPr>
        <w:t>)</w:t>
      </w:r>
      <w:r w:rsidRPr="005016A2">
        <w:rPr>
          <w:rFonts w:ascii="Arial" w:hAnsi="Arial" w:cs="Arial"/>
          <w:lang w:val="en-US"/>
        </w:rPr>
        <w:t>.</w:t>
      </w:r>
      <w:r w:rsidR="00093C67" w:rsidRPr="005016A2">
        <w:rPr>
          <w:rFonts w:ascii="Arial" w:hAnsi="Arial" w:cs="Arial"/>
          <w:lang w:val="en-US"/>
        </w:rPr>
        <w:t xml:space="preserve">  Combined, the CDC reports a total of 71 </w:t>
      </w:r>
      <w:r w:rsidR="007119C3" w:rsidRPr="005016A2">
        <w:rPr>
          <w:rFonts w:ascii="Arial" w:hAnsi="Arial" w:cs="Arial"/>
          <w:lang w:val="en-US"/>
        </w:rPr>
        <w:t>anaphylactic reactions</w:t>
      </w:r>
      <w:r w:rsidR="00093C67" w:rsidRPr="005016A2">
        <w:rPr>
          <w:rFonts w:ascii="Arial" w:hAnsi="Arial" w:cs="Arial"/>
          <w:lang w:val="en-US"/>
        </w:rPr>
        <w:t xml:space="preserve"> in 19,419,036</w:t>
      </w:r>
      <w:r w:rsidR="00777569">
        <w:rPr>
          <w:rFonts w:ascii="Arial" w:hAnsi="Arial" w:cs="Arial"/>
          <w:lang w:val="en-US"/>
        </w:rPr>
        <w:t xml:space="preserve"> </w:t>
      </w:r>
      <w:proofErr w:type="gramStart"/>
      <w:r w:rsidR="009A77DB">
        <w:rPr>
          <w:rFonts w:ascii="Arial" w:hAnsi="Arial" w:cs="Arial"/>
          <w:lang w:val="en-US"/>
        </w:rPr>
        <w:t xml:space="preserve">doses </w:t>
      </w:r>
      <w:r w:rsidR="009A77DB" w:rsidRPr="004C5FCA">
        <w:rPr>
          <w:rFonts w:ascii="Arial" w:hAnsi="Arial" w:cs="Arial"/>
          <w:lang w:val="en-US"/>
        </w:rPr>
        <w:t xml:space="preserve"> or</w:t>
      </w:r>
      <w:proofErr w:type="gramEnd"/>
      <w:r w:rsidR="009A77DB" w:rsidRPr="004C5FCA">
        <w:rPr>
          <w:rFonts w:ascii="Arial" w:hAnsi="Arial" w:cs="Arial"/>
          <w:lang w:val="en-US"/>
        </w:rPr>
        <w:t xml:space="preserve"> 3.65 cases</w:t>
      </w:r>
      <w:r w:rsidR="009A77DB">
        <w:rPr>
          <w:rFonts w:ascii="Arial" w:hAnsi="Arial" w:cs="Arial"/>
          <w:lang w:val="en-US"/>
        </w:rPr>
        <w:t xml:space="preserve"> </w:t>
      </w:r>
      <w:r w:rsidR="009A77DB" w:rsidRPr="00BD7BCD">
        <w:rPr>
          <w:rFonts w:ascii="Arial" w:hAnsi="Arial" w:cs="Arial"/>
          <w:lang w:val="en-US"/>
        </w:rPr>
        <w:t>(95%CI (2.9-4.6)</w:t>
      </w:r>
      <w:r w:rsidR="009A77DB">
        <w:rPr>
          <w:rFonts w:ascii="Arial" w:hAnsi="Arial" w:cs="Arial"/>
          <w:lang w:val="en-US"/>
        </w:rPr>
        <w:t xml:space="preserve"> per million doses</w:t>
      </w:r>
      <w:r w:rsidR="009A77DB" w:rsidRPr="00BD7BCD">
        <w:rPr>
          <w:rFonts w:ascii="Arial" w:hAnsi="Arial" w:cs="Arial"/>
          <w:lang w:val="en-US"/>
        </w:rPr>
        <w:t>.</w:t>
      </w:r>
      <w:r w:rsidR="009A77DB" w:rsidRPr="00BD7BCD">
        <w:rPr>
          <w:rFonts w:ascii="Arial" w:hAnsi="Arial" w:cs="Arial"/>
          <w:vertAlign w:val="superscript"/>
          <w:lang w:val="en-US"/>
        </w:rPr>
        <w:t>5</w:t>
      </w:r>
    </w:p>
    <w:p w14:paraId="4757E1DC" w14:textId="77777777" w:rsidR="00CB349E" w:rsidRDefault="00CB349E" w:rsidP="005016A2">
      <w:pPr>
        <w:spacing w:line="480" w:lineRule="auto"/>
        <w:jc w:val="both"/>
        <w:rPr>
          <w:rFonts w:ascii="Arial" w:hAnsi="Arial" w:cs="Arial"/>
        </w:rPr>
      </w:pPr>
    </w:p>
    <w:p w14:paraId="223A9323" w14:textId="3BD13964" w:rsidR="00781072" w:rsidRDefault="00CB349E" w:rsidP="005016A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vaccine roll out accelerates</w:t>
      </w:r>
      <w:bookmarkEnd w:id="0"/>
      <w:r w:rsidR="00C701B6" w:rsidRPr="005016A2">
        <w:rPr>
          <w:rFonts w:ascii="Arial" w:hAnsi="Arial" w:cs="Arial"/>
        </w:rPr>
        <w:t xml:space="preserve">, regulatory agencies </w:t>
      </w:r>
      <w:r w:rsidR="001A59F0" w:rsidRPr="005016A2">
        <w:rPr>
          <w:rFonts w:ascii="Arial" w:hAnsi="Arial" w:cs="Arial"/>
        </w:rPr>
        <w:t>must</w:t>
      </w:r>
      <w:r w:rsidR="00C701B6" w:rsidRPr="005016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review </w:t>
      </w:r>
      <w:r w:rsidR="003D043D" w:rsidRPr="005016A2">
        <w:rPr>
          <w:rFonts w:ascii="Arial" w:hAnsi="Arial" w:cs="Arial"/>
          <w:lang w:val="en-US"/>
        </w:rPr>
        <w:t xml:space="preserve">safety </w:t>
      </w:r>
      <w:r w:rsidR="004E5971" w:rsidRPr="005016A2">
        <w:rPr>
          <w:rFonts w:ascii="Arial" w:hAnsi="Arial" w:cs="Arial"/>
          <w:lang w:val="en-US"/>
        </w:rPr>
        <w:t xml:space="preserve">decisions based </w:t>
      </w:r>
      <w:r w:rsidR="00C701B6" w:rsidRPr="005016A2">
        <w:rPr>
          <w:rFonts w:ascii="Arial" w:hAnsi="Arial" w:cs="Arial"/>
          <w:lang w:val="en-US"/>
        </w:rPr>
        <w:t xml:space="preserve">on </w:t>
      </w:r>
      <w:r w:rsidR="003D043D" w:rsidRPr="005016A2">
        <w:rPr>
          <w:rFonts w:ascii="Arial" w:hAnsi="Arial" w:cs="Arial"/>
        </w:rPr>
        <w:t>information generated from</w:t>
      </w:r>
      <w:r w:rsidR="003D043D" w:rsidRPr="005016A2">
        <w:rPr>
          <w:rFonts w:ascii="Arial" w:hAnsi="Arial" w:cs="Arial"/>
          <w:lang w:val="en-US"/>
        </w:rPr>
        <w:t xml:space="preserve"> </w:t>
      </w:r>
      <w:r w:rsidR="003D043D" w:rsidRPr="005016A2">
        <w:rPr>
          <w:rFonts w:ascii="Arial" w:hAnsi="Arial" w:cs="Arial"/>
        </w:rPr>
        <w:t xml:space="preserve">relatively small </w:t>
      </w:r>
      <w:r w:rsidR="0020562C" w:rsidRPr="005016A2">
        <w:rPr>
          <w:rFonts w:ascii="Arial" w:hAnsi="Arial" w:cs="Arial"/>
        </w:rPr>
        <w:t>case numbers</w:t>
      </w:r>
      <w:r>
        <w:rPr>
          <w:rFonts w:ascii="Arial" w:hAnsi="Arial" w:cs="Arial"/>
        </w:rPr>
        <w:t xml:space="preserve"> from the earliest stages</w:t>
      </w:r>
      <w:r w:rsidR="001A59F0" w:rsidRPr="005016A2">
        <w:rPr>
          <w:rFonts w:ascii="Arial" w:hAnsi="Arial" w:cs="Arial"/>
        </w:rPr>
        <w:t>,</w:t>
      </w:r>
      <w:r w:rsidR="003D043D" w:rsidRPr="005016A2">
        <w:rPr>
          <w:rFonts w:ascii="Arial" w:hAnsi="Arial" w:cs="Arial"/>
        </w:rPr>
        <w:t xml:space="preserve"> </w:t>
      </w:r>
      <w:r w:rsidR="003D043D" w:rsidRPr="005016A2">
        <w:rPr>
          <w:rFonts w:ascii="Arial" w:hAnsi="Arial" w:cs="Arial"/>
          <w:lang w:val="en-US"/>
        </w:rPr>
        <w:t>w</w:t>
      </w:r>
      <w:r w:rsidR="004E5971" w:rsidRPr="005016A2">
        <w:rPr>
          <w:rFonts w:ascii="Arial" w:hAnsi="Arial" w:cs="Arial"/>
          <w:lang w:val="en-US"/>
        </w:rPr>
        <w:t>hich have</w:t>
      </w:r>
      <w:r>
        <w:rPr>
          <w:rFonts w:ascii="Arial" w:hAnsi="Arial" w:cs="Arial"/>
          <w:lang w:val="en-US"/>
        </w:rPr>
        <w:t xml:space="preserve"> had </w:t>
      </w:r>
      <w:r w:rsidR="003D043D" w:rsidRPr="005016A2">
        <w:rPr>
          <w:rFonts w:ascii="Arial" w:hAnsi="Arial" w:cs="Arial"/>
        </w:rPr>
        <w:t xml:space="preserve"> significant consequences.</w:t>
      </w:r>
      <w:r>
        <w:rPr>
          <w:rFonts w:ascii="Arial" w:hAnsi="Arial" w:cs="Arial"/>
        </w:rPr>
        <w:t xml:space="preserve"> I</w:t>
      </w:r>
      <w:r w:rsidR="003D043D" w:rsidRPr="005016A2">
        <w:rPr>
          <w:rFonts w:ascii="Arial" w:hAnsi="Arial" w:cs="Arial"/>
        </w:rPr>
        <w:t xml:space="preserve">t is imperative </w:t>
      </w:r>
      <w:r w:rsidR="0089403F" w:rsidRPr="005016A2">
        <w:rPr>
          <w:rFonts w:ascii="Arial" w:hAnsi="Arial" w:cs="Arial"/>
          <w:lang w:val="en-US"/>
        </w:rPr>
        <w:t>to</w:t>
      </w:r>
      <w:r w:rsidR="003D043D" w:rsidRPr="005016A2">
        <w:rPr>
          <w:rFonts w:ascii="Arial" w:hAnsi="Arial" w:cs="Arial"/>
        </w:rPr>
        <w:t xml:space="preserve"> hold </w:t>
      </w:r>
      <w:r w:rsidR="00847BAF" w:rsidRPr="005016A2">
        <w:rPr>
          <w:rFonts w:ascii="Arial" w:hAnsi="Arial" w:cs="Arial"/>
        </w:rPr>
        <w:t xml:space="preserve">analysis of </w:t>
      </w:r>
      <w:r w:rsidR="003D043D" w:rsidRPr="005016A2">
        <w:rPr>
          <w:rFonts w:ascii="Arial" w:hAnsi="Arial" w:cs="Arial"/>
        </w:rPr>
        <w:t xml:space="preserve">all safety data to the highest standards. </w:t>
      </w:r>
      <w:r w:rsidR="00DE783B" w:rsidRPr="005016A2">
        <w:rPr>
          <w:rFonts w:ascii="Arial" w:hAnsi="Arial" w:cs="Arial"/>
        </w:rPr>
        <w:t xml:space="preserve">It is </w:t>
      </w:r>
      <w:r w:rsidR="00E40979" w:rsidRPr="005016A2">
        <w:rPr>
          <w:rFonts w:ascii="Arial" w:hAnsi="Arial" w:cs="Arial"/>
          <w:lang w:val="en-US"/>
        </w:rPr>
        <w:t>not un</w:t>
      </w:r>
      <w:r w:rsidR="00DE783B" w:rsidRPr="005016A2">
        <w:rPr>
          <w:rFonts w:ascii="Arial" w:hAnsi="Arial" w:cs="Arial"/>
          <w:lang w:val="en-US"/>
        </w:rPr>
        <w:t>common</w:t>
      </w:r>
      <w:r w:rsidR="00DE783B" w:rsidRPr="005016A2">
        <w:rPr>
          <w:rFonts w:ascii="Arial" w:hAnsi="Arial" w:cs="Arial"/>
        </w:rPr>
        <w:t xml:space="preserve"> for any adverse reaction</w:t>
      </w:r>
      <w:r w:rsidR="00DE783B" w:rsidRPr="005016A2">
        <w:rPr>
          <w:rFonts w:ascii="Arial" w:hAnsi="Arial" w:cs="Arial"/>
          <w:lang w:val="en-US"/>
        </w:rPr>
        <w:t xml:space="preserve"> </w:t>
      </w:r>
      <w:r w:rsidR="00E40979" w:rsidRPr="005016A2">
        <w:rPr>
          <w:rFonts w:ascii="Arial" w:hAnsi="Arial" w:cs="Arial"/>
          <w:lang w:val="en-US"/>
        </w:rPr>
        <w:t>occurring in association with a vaccination</w:t>
      </w:r>
      <w:r w:rsidR="00DE783B" w:rsidRPr="005016A2">
        <w:rPr>
          <w:rFonts w:ascii="Arial" w:hAnsi="Arial" w:cs="Arial"/>
          <w:lang w:val="en-US"/>
        </w:rPr>
        <w:t xml:space="preserve"> to </w:t>
      </w:r>
      <w:r w:rsidR="00DE783B" w:rsidRPr="005016A2">
        <w:rPr>
          <w:rFonts w:ascii="Arial" w:hAnsi="Arial" w:cs="Arial"/>
        </w:rPr>
        <w:t xml:space="preserve">be considered </w:t>
      </w:r>
      <w:r w:rsidR="001A59F0" w:rsidRPr="005016A2">
        <w:rPr>
          <w:rFonts w:ascii="Arial" w:hAnsi="Arial" w:cs="Arial"/>
        </w:rPr>
        <w:t>“</w:t>
      </w:r>
      <w:r w:rsidR="00DE783B" w:rsidRPr="005016A2">
        <w:rPr>
          <w:rFonts w:ascii="Arial" w:hAnsi="Arial" w:cs="Arial"/>
        </w:rPr>
        <w:t>allergic</w:t>
      </w:r>
      <w:r w:rsidR="001A59F0" w:rsidRPr="005016A2">
        <w:rPr>
          <w:rFonts w:ascii="Arial" w:hAnsi="Arial" w:cs="Arial"/>
          <w:lang w:val="en-US"/>
        </w:rPr>
        <w:t>”</w:t>
      </w:r>
      <w:r w:rsidR="004E5971" w:rsidRPr="005016A2">
        <w:rPr>
          <w:rFonts w:ascii="Arial" w:hAnsi="Arial" w:cs="Arial"/>
          <w:lang w:val="en-US"/>
        </w:rPr>
        <w:t>,</w:t>
      </w:r>
      <w:r w:rsidR="001A59F0" w:rsidRPr="005016A2">
        <w:rPr>
          <w:rFonts w:ascii="Arial" w:hAnsi="Arial" w:cs="Arial"/>
        </w:rPr>
        <w:t xml:space="preserve"> </w:t>
      </w:r>
      <w:r w:rsidR="00DE783B" w:rsidRPr="005016A2">
        <w:rPr>
          <w:rFonts w:ascii="Arial" w:hAnsi="Arial" w:cs="Arial"/>
        </w:rPr>
        <w:t xml:space="preserve">e.g. nausea or </w:t>
      </w:r>
      <w:r w:rsidR="001A59F0" w:rsidRPr="005016A2">
        <w:rPr>
          <w:rFonts w:ascii="Arial" w:hAnsi="Arial" w:cs="Arial"/>
        </w:rPr>
        <w:t xml:space="preserve">subjective oropharyngeal symptoms </w:t>
      </w:r>
      <w:r w:rsidR="00DE783B" w:rsidRPr="005016A2">
        <w:rPr>
          <w:rFonts w:ascii="Arial" w:hAnsi="Arial" w:cs="Arial"/>
        </w:rPr>
        <w:t xml:space="preserve">which </w:t>
      </w:r>
      <w:r w:rsidR="001A59F0" w:rsidRPr="005016A2">
        <w:rPr>
          <w:rFonts w:ascii="Arial" w:hAnsi="Arial" w:cs="Arial"/>
        </w:rPr>
        <w:t xml:space="preserve">are often </w:t>
      </w:r>
      <w:r w:rsidR="00DE783B" w:rsidRPr="005016A2">
        <w:rPr>
          <w:rFonts w:ascii="Arial" w:hAnsi="Arial" w:cs="Arial"/>
        </w:rPr>
        <w:t xml:space="preserve">psychogenic and </w:t>
      </w:r>
      <w:r w:rsidR="004E5971" w:rsidRPr="005016A2">
        <w:rPr>
          <w:rFonts w:ascii="Arial" w:hAnsi="Arial" w:cs="Arial"/>
          <w:lang w:val="en-US"/>
        </w:rPr>
        <w:t>difficult to</w:t>
      </w:r>
      <w:r w:rsidR="00DE783B" w:rsidRPr="005016A2">
        <w:rPr>
          <w:rFonts w:ascii="Arial" w:hAnsi="Arial" w:cs="Arial"/>
          <w:lang w:val="en-US"/>
        </w:rPr>
        <w:t xml:space="preserve"> refut</w:t>
      </w:r>
      <w:r w:rsidR="004E5971" w:rsidRPr="005016A2">
        <w:rPr>
          <w:rFonts w:ascii="Arial" w:hAnsi="Arial" w:cs="Arial"/>
          <w:lang w:val="en-US"/>
        </w:rPr>
        <w:t>e</w:t>
      </w:r>
      <w:r w:rsidR="00DE783B" w:rsidRPr="005016A2">
        <w:rPr>
          <w:rFonts w:ascii="Arial" w:hAnsi="Arial" w:cs="Arial"/>
          <w:lang w:val="en-US"/>
        </w:rPr>
        <w:t xml:space="preserve"> </w:t>
      </w:r>
      <w:r w:rsidR="004E5971" w:rsidRPr="005016A2">
        <w:rPr>
          <w:rFonts w:ascii="Arial" w:hAnsi="Arial" w:cs="Arial"/>
          <w:lang w:val="en-US"/>
        </w:rPr>
        <w:t>on</w:t>
      </w:r>
      <w:r w:rsidR="00DE783B" w:rsidRPr="005016A2">
        <w:rPr>
          <w:rFonts w:ascii="Arial" w:hAnsi="Arial" w:cs="Arial"/>
          <w:lang w:val="en-US"/>
        </w:rPr>
        <w:t xml:space="preserve"> </w:t>
      </w:r>
      <w:r w:rsidR="00DE783B" w:rsidRPr="005016A2">
        <w:rPr>
          <w:rFonts w:ascii="Arial" w:hAnsi="Arial" w:cs="Arial"/>
        </w:rPr>
        <w:t>physical examination</w:t>
      </w:r>
      <w:r w:rsidR="004E5971" w:rsidRPr="005016A2">
        <w:rPr>
          <w:rFonts w:ascii="Arial" w:hAnsi="Arial" w:cs="Arial"/>
          <w:lang w:val="en-US"/>
        </w:rPr>
        <w:t xml:space="preserve">, in particular by non-allergy specialists </w:t>
      </w:r>
      <w:r w:rsidR="00777569">
        <w:rPr>
          <w:rFonts w:ascii="Arial" w:hAnsi="Arial" w:cs="Arial"/>
          <w:lang w:val="en-US"/>
        </w:rPr>
        <w:t>who</w:t>
      </w:r>
      <w:r w:rsidR="004E5971" w:rsidRPr="005016A2">
        <w:rPr>
          <w:rFonts w:ascii="Arial" w:hAnsi="Arial" w:cs="Arial"/>
          <w:lang w:val="en-US"/>
        </w:rPr>
        <w:t xml:space="preserve"> may </w:t>
      </w:r>
      <w:r w:rsidR="0089403F" w:rsidRPr="005016A2">
        <w:rPr>
          <w:rFonts w:ascii="Arial" w:hAnsi="Arial" w:cs="Arial"/>
          <w:lang w:val="en-US"/>
        </w:rPr>
        <w:t>lack robust experience in</w:t>
      </w:r>
      <w:r w:rsidR="004E5971" w:rsidRPr="005016A2">
        <w:rPr>
          <w:rFonts w:ascii="Arial" w:hAnsi="Arial" w:cs="Arial"/>
          <w:lang w:val="en-US"/>
        </w:rPr>
        <w:t xml:space="preserve"> mak</w:t>
      </w:r>
      <w:r w:rsidR="0089403F" w:rsidRPr="005016A2">
        <w:rPr>
          <w:rFonts w:ascii="Arial" w:hAnsi="Arial" w:cs="Arial"/>
          <w:lang w:val="en-US"/>
        </w:rPr>
        <w:t xml:space="preserve">ing </w:t>
      </w:r>
      <w:r w:rsidR="004E5971" w:rsidRPr="005016A2">
        <w:rPr>
          <w:rFonts w:ascii="Arial" w:hAnsi="Arial" w:cs="Arial"/>
          <w:lang w:val="en-US"/>
        </w:rPr>
        <w:t>such determinations</w:t>
      </w:r>
      <w:r w:rsidR="00DE783B" w:rsidRPr="005016A2">
        <w:rPr>
          <w:rFonts w:ascii="Arial" w:hAnsi="Arial" w:cs="Arial"/>
          <w:lang w:val="en-US"/>
        </w:rPr>
        <w:t>.</w:t>
      </w:r>
      <w:r w:rsidR="00DE783B" w:rsidRPr="005016A2">
        <w:rPr>
          <w:rFonts w:ascii="Arial" w:hAnsi="Arial" w:cs="Arial"/>
        </w:rPr>
        <w:t xml:space="preserve"> </w:t>
      </w:r>
      <w:r w:rsidR="00781072" w:rsidRPr="005016A2">
        <w:rPr>
          <w:rFonts w:ascii="Arial" w:hAnsi="Arial" w:cs="Arial"/>
        </w:rPr>
        <w:t xml:space="preserve">Vocal hoarseness can </w:t>
      </w:r>
      <w:r w:rsidR="0089403F" w:rsidRPr="005016A2">
        <w:rPr>
          <w:rFonts w:ascii="Arial" w:hAnsi="Arial" w:cs="Arial"/>
          <w:lang w:val="en-US"/>
        </w:rPr>
        <w:t>represent</w:t>
      </w:r>
      <w:r w:rsidR="00781072" w:rsidRPr="005016A2">
        <w:rPr>
          <w:rFonts w:ascii="Arial" w:hAnsi="Arial" w:cs="Arial"/>
        </w:rPr>
        <w:t xml:space="preserve"> laryngeal oedema </w:t>
      </w:r>
      <w:r w:rsidR="0089403F" w:rsidRPr="005016A2">
        <w:rPr>
          <w:rFonts w:ascii="Arial" w:hAnsi="Arial" w:cs="Arial"/>
          <w:lang w:val="en-US"/>
        </w:rPr>
        <w:t>from</w:t>
      </w:r>
      <w:r w:rsidR="00781072" w:rsidRPr="005016A2">
        <w:rPr>
          <w:rFonts w:ascii="Arial" w:hAnsi="Arial" w:cs="Arial"/>
        </w:rPr>
        <w:t xml:space="preserve"> an allergic reaction, but also </w:t>
      </w:r>
      <w:r w:rsidR="00DE783B" w:rsidRPr="005016A2">
        <w:rPr>
          <w:rFonts w:ascii="Arial" w:hAnsi="Arial" w:cs="Arial"/>
        </w:rPr>
        <w:t xml:space="preserve">vocal cord dysfunction, which </w:t>
      </w:r>
      <w:r w:rsidR="00781072" w:rsidRPr="005016A2">
        <w:rPr>
          <w:rFonts w:ascii="Arial" w:hAnsi="Arial" w:cs="Arial"/>
        </w:rPr>
        <w:t>can</w:t>
      </w:r>
      <w:r w:rsidR="00DE783B" w:rsidRPr="005016A2">
        <w:rPr>
          <w:rFonts w:ascii="Arial" w:hAnsi="Arial" w:cs="Arial"/>
        </w:rPr>
        <w:t xml:space="preserve"> be </w:t>
      </w:r>
      <w:r w:rsidR="005E303B" w:rsidRPr="005016A2">
        <w:rPr>
          <w:rFonts w:ascii="Arial" w:hAnsi="Arial" w:cs="Arial"/>
        </w:rPr>
        <w:t>anxiety related</w:t>
      </w:r>
      <w:r w:rsidR="00777569">
        <w:rPr>
          <w:rFonts w:ascii="Arial" w:hAnsi="Arial" w:cs="Arial"/>
        </w:rPr>
        <w:t xml:space="preserve"> </w:t>
      </w:r>
      <w:r w:rsidR="00777569" w:rsidRPr="00CB349E">
        <w:rPr>
          <w:rFonts w:ascii="Arial" w:hAnsi="Arial" w:cs="Arial"/>
          <w:vertAlign w:val="superscript"/>
        </w:rPr>
        <w:t>6</w:t>
      </w:r>
      <w:r w:rsidR="00DE783B" w:rsidRPr="005016A2">
        <w:rPr>
          <w:rFonts w:ascii="Arial" w:hAnsi="Arial" w:cs="Arial"/>
        </w:rPr>
        <w:t xml:space="preserve">. </w:t>
      </w:r>
      <w:r w:rsidR="00781072" w:rsidRPr="005016A2">
        <w:rPr>
          <w:rFonts w:ascii="Arial" w:hAnsi="Arial" w:cs="Arial"/>
        </w:rPr>
        <w:t xml:space="preserve">Evidence from </w:t>
      </w:r>
      <w:r w:rsidR="004E5F76" w:rsidRPr="005016A2">
        <w:rPr>
          <w:rFonts w:ascii="Arial" w:hAnsi="Arial" w:cs="Arial"/>
        </w:rPr>
        <w:t xml:space="preserve">placebo-controlled </w:t>
      </w:r>
      <w:r w:rsidR="00781072" w:rsidRPr="005016A2">
        <w:rPr>
          <w:rFonts w:ascii="Arial" w:hAnsi="Arial" w:cs="Arial"/>
        </w:rPr>
        <w:t>allergen challenges shows that even u</w:t>
      </w:r>
      <w:r w:rsidR="00DE783B" w:rsidRPr="005016A2">
        <w:rPr>
          <w:rFonts w:ascii="Arial" w:hAnsi="Arial" w:cs="Arial"/>
        </w:rPr>
        <w:t>rticaria can be stress</w:t>
      </w:r>
      <w:r w:rsidR="00781072" w:rsidRPr="005016A2">
        <w:rPr>
          <w:rFonts w:ascii="Arial" w:hAnsi="Arial" w:cs="Arial"/>
        </w:rPr>
        <w:t>-related.</w:t>
      </w:r>
      <w:r w:rsidR="00E40979" w:rsidRPr="005016A2">
        <w:rPr>
          <w:rFonts w:ascii="Arial" w:hAnsi="Arial" w:cs="Arial"/>
          <w:lang w:val="en-US"/>
        </w:rPr>
        <w:t xml:space="preserve">  However, in contexts such as events associat</w:t>
      </w:r>
      <w:r w:rsidR="0089403F" w:rsidRPr="005016A2">
        <w:rPr>
          <w:rFonts w:ascii="Arial" w:hAnsi="Arial" w:cs="Arial"/>
          <w:lang w:val="en-US"/>
        </w:rPr>
        <w:t>ed</w:t>
      </w:r>
      <w:r w:rsidR="00E40979" w:rsidRPr="005016A2">
        <w:rPr>
          <w:rFonts w:ascii="Arial" w:hAnsi="Arial" w:cs="Arial"/>
          <w:lang w:val="en-US"/>
        </w:rPr>
        <w:t xml:space="preserve"> with a new vaccine and vaccine technology, there is additional pressure to </w:t>
      </w:r>
      <w:r w:rsidR="0089403F" w:rsidRPr="005016A2">
        <w:rPr>
          <w:rFonts w:ascii="Arial" w:hAnsi="Arial" w:cs="Arial"/>
          <w:lang w:val="en-US"/>
        </w:rPr>
        <w:t xml:space="preserve">properly </w:t>
      </w:r>
      <w:r w:rsidR="00A259BD" w:rsidRPr="005016A2">
        <w:rPr>
          <w:rFonts w:ascii="Arial" w:hAnsi="Arial" w:cs="Arial"/>
          <w:lang w:val="en-US"/>
        </w:rPr>
        <w:t xml:space="preserve">distinguish </w:t>
      </w:r>
      <w:r w:rsidR="00E40979" w:rsidRPr="005016A2">
        <w:rPr>
          <w:rFonts w:ascii="Arial" w:hAnsi="Arial" w:cs="Arial"/>
          <w:lang w:val="en-US"/>
        </w:rPr>
        <w:t>symptoms that are a direct result of mast cell degranulation (either directly or through IgE cross-linking of a known allergen) from other mechanisms of action</w:t>
      </w:r>
      <w:r w:rsidR="0089403F" w:rsidRPr="005016A2">
        <w:rPr>
          <w:rFonts w:ascii="Arial" w:hAnsi="Arial" w:cs="Arial"/>
          <w:lang w:val="en-US"/>
        </w:rPr>
        <w:t xml:space="preserve">, to discern true </w:t>
      </w:r>
      <w:r w:rsidR="00E40979" w:rsidRPr="005016A2">
        <w:rPr>
          <w:rFonts w:ascii="Arial" w:hAnsi="Arial" w:cs="Arial"/>
          <w:lang w:val="en-US"/>
        </w:rPr>
        <w:t>immune-mediated allergic reactions within the larger umbrella of adverse reactions.</w:t>
      </w:r>
    </w:p>
    <w:p w14:paraId="78794FE4" w14:textId="77777777" w:rsidR="009C097F" w:rsidRPr="005016A2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2910F29E" w14:textId="07B12BF1" w:rsidR="00363EF2" w:rsidRPr="00163A6B" w:rsidRDefault="00781072" w:rsidP="005016A2">
      <w:pPr>
        <w:spacing w:line="480" w:lineRule="auto"/>
        <w:jc w:val="both"/>
        <w:rPr>
          <w:rFonts w:ascii="Arial" w:hAnsi="Arial" w:cs="Arial"/>
        </w:rPr>
      </w:pPr>
      <w:r w:rsidRPr="005016A2">
        <w:rPr>
          <w:rFonts w:ascii="Arial" w:hAnsi="Arial" w:cs="Arial"/>
        </w:rPr>
        <w:lastRenderedPageBreak/>
        <w:t xml:space="preserve">To address this, </w:t>
      </w:r>
      <w:r w:rsidR="004A37CB" w:rsidRPr="005016A2">
        <w:rPr>
          <w:rFonts w:ascii="Arial" w:hAnsi="Arial" w:cs="Arial"/>
        </w:rPr>
        <w:t>t</w:t>
      </w:r>
      <w:r w:rsidR="00EF5000" w:rsidRPr="005016A2">
        <w:rPr>
          <w:rFonts w:ascii="Arial" w:hAnsi="Arial" w:cs="Arial"/>
        </w:rPr>
        <w:t xml:space="preserve">he </w:t>
      </w:r>
      <w:r w:rsidR="0020562C" w:rsidRPr="005016A2">
        <w:rPr>
          <w:rFonts w:ascii="Arial" w:hAnsi="Arial" w:cs="Arial"/>
        </w:rPr>
        <w:t>Brighton Collaboration</w:t>
      </w:r>
      <w:r w:rsidR="00D96BD5" w:rsidRPr="005016A2">
        <w:rPr>
          <w:rFonts w:ascii="Arial" w:hAnsi="Arial" w:cs="Arial"/>
        </w:rPr>
        <w:t xml:space="preserve"> </w:t>
      </w:r>
      <w:r w:rsidR="0020562C" w:rsidRPr="005016A2">
        <w:rPr>
          <w:rFonts w:ascii="Arial" w:hAnsi="Arial" w:cs="Arial"/>
        </w:rPr>
        <w:t xml:space="preserve">case definition criteria </w:t>
      </w:r>
      <w:r w:rsidR="00EF5000" w:rsidRPr="005016A2">
        <w:rPr>
          <w:rFonts w:ascii="Arial" w:hAnsi="Arial" w:cs="Arial"/>
        </w:rPr>
        <w:t xml:space="preserve">were </w:t>
      </w:r>
      <w:r w:rsidRPr="005016A2">
        <w:rPr>
          <w:rFonts w:ascii="Arial" w:hAnsi="Arial" w:cs="Arial"/>
        </w:rPr>
        <w:t>developed for the remote, post</w:t>
      </w:r>
      <w:r w:rsidR="004E5971" w:rsidRPr="005016A2">
        <w:rPr>
          <w:rFonts w:ascii="Arial" w:hAnsi="Arial" w:cs="Arial"/>
          <w:lang w:val="en-US"/>
        </w:rPr>
        <w:t>-</w:t>
      </w:r>
      <w:r w:rsidRPr="005016A2">
        <w:rPr>
          <w:rFonts w:ascii="Arial" w:hAnsi="Arial" w:cs="Arial"/>
        </w:rPr>
        <w:t>hoc evaluation of vaccine-related adverse events</w:t>
      </w:r>
      <w:r w:rsidR="00777569">
        <w:rPr>
          <w:rFonts w:ascii="Arial" w:hAnsi="Arial" w:cs="Arial"/>
          <w:vertAlign w:val="superscript"/>
        </w:rPr>
        <w:t>7</w:t>
      </w:r>
      <w:r w:rsidR="00F90ACF" w:rsidRPr="005016A2">
        <w:rPr>
          <w:rFonts w:ascii="Arial" w:hAnsi="Arial" w:cs="Arial"/>
        </w:rPr>
        <w:t xml:space="preserve"> The Brighton criteria </w:t>
      </w:r>
      <w:r w:rsidR="0020562C" w:rsidRPr="005016A2">
        <w:rPr>
          <w:rFonts w:ascii="Arial" w:hAnsi="Arial" w:cs="Arial"/>
        </w:rPr>
        <w:t xml:space="preserve">are </w:t>
      </w:r>
      <w:r w:rsidR="0055551C" w:rsidRPr="005016A2">
        <w:rPr>
          <w:rFonts w:ascii="Arial" w:hAnsi="Arial" w:cs="Arial"/>
        </w:rPr>
        <w:t>not used</w:t>
      </w:r>
      <w:r w:rsidR="00F90ACF" w:rsidRPr="005016A2">
        <w:rPr>
          <w:rFonts w:ascii="Arial" w:hAnsi="Arial" w:cs="Arial"/>
        </w:rPr>
        <w:t xml:space="preserve"> in clinical </w:t>
      </w:r>
      <w:r w:rsidR="008F116E" w:rsidRPr="005016A2">
        <w:rPr>
          <w:rFonts w:ascii="Arial" w:hAnsi="Arial" w:cs="Arial"/>
        </w:rPr>
        <w:t xml:space="preserve">allergy or in </w:t>
      </w:r>
      <w:r w:rsidR="00F90ACF" w:rsidRPr="005016A2">
        <w:rPr>
          <w:rFonts w:ascii="Arial" w:hAnsi="Arial" w:cs="Arial"/>
        </w:rPr>
        <w:t>non-vaccine-related research settings</w:t>
      </w:r>
      <w:r w:rsidR="00BB3031">
        <w:rPr>
          <w:rFonts w:ascii="Arial" w:hAnsi="Arial" w:cs="Arial"/>
        </w:rPr>
        <w:t xml:space="preserve">. </w:t>
      </w:r>
      <w:r w:rsidR="00E24AC3">
        <w:rPr>
          <w:rFonts w:ascii="Arial" w:hAnsi="Arial" w:cs="Arial"/>
        </w:rPr>
        <w:t>M</w:t>
      </w:r>
      <w:r w:rsidR="00E24AC3" w:rsidRPr="005016A2">
        <w:rPr>
          <w:rFonts w:ascii="Arial" w:hAnsi="Arial" w:cs="Arial"/>
        </w:rPr>
        <w:t>ore widely</w:t>
      </w:r>
      <w:r w:rsidR="00E24AC3">
        <w:rPr>
          <w:rFonts w:ascii="Arial" w:hAnsi="Arial" w:cs="Arial"/>
        </w:rPr>
        <w:t xml:space="preserve"> </w:t>
      </w:r>
      <w:r w:rsidR="00E24AC3" w:rsidRPr="005016A2">
        <w:rPr>
          <w:rFonts w:ascii="Arial" w:hAnsi="Arial" w:cs="Arial"/>
        </w:rPr>
        <w:t>used clinical criteria for anaphylaxis</w:t>
      </w:r>
      <w:r w:rsidR="00E24AC3">
        <w:rPr>
          <w:rFonts w:ascii="Arial" w:hAnsi="Arial" w:cs="Arial"/>
        </w:rPr>
        <w:t xml:space="preserve"> - </w:t>
      </w:r>
      <w:r w:rsidR="00E24AC3">
        <w:rPr>
          <w:rFonts w:ascii="Arial" w:hAnsi="Arial" w:cs="Arial"/>
          <w:lang w:val="en-US"/>
        </w:rPr>
        <w:t>NIAID 2005</w:t>
      </w:r>
      <w:r w:rsidR="00777569">
        <w:rPr>
          <w:rFonts w:ascii="Arial" w:hAnsi="Arial" w:cs="Arial"/>
          <w:vertAlign w:val="superscript"/>
          <w:lang w:val="en-US"/>
        </w:rPr>
        <w:t>8</w:t>
      </w:r>
      <w:r w:rsidR="00E24AC3">
        <w:rPr>
          <w:rFonts w:ascii="Arial" w:hAnsi="Arial" w:cs="Arial"/>
          <w:lang w:val="en-US"/>
        </w:rPr>
        <w:t xml:space="preserve"> and WAO 2020</w:t>
      </w:r>
      <w:r w:rsidR="00777569">
        <w:rPr>
          <w:rFonts w:ascii="Arial" w:hAnsi="Arial" w:cs="Arial"/>
          <w:vertAlign w:val="superscript"/>
          <w:lang w:val="en-US"/>
        </w:rPr>
        <w:t>9</w:t>
      </w:r>
      <w:r w:rsidR="00E24AC3">
        <w:rPr>
          <w:rFonts w:ascii="Arial" w:hAnsi="Arial" w:cs="Arial"/>
          <w:lang w:val="en-US"/>
        </w:rPr>
        <w:t xml:space="preserve"> - do not have levels of </w:t>
      </w:r>
      <w:r w:rsidR="00AE6EA7">
        <w:rPr>
          <w:rFonts w:ascii="Arial" w:hAnsi="Arial" w:cs="Arial"/>
          <w:lang w:val="en-US"/>
        </w:rPr>
        <w:t xml:space="preserve">“diagnostic certainty” used </w:t>
      </w:r>
      <w:r w:rsidR="00CB349E">
        <w:rPr>
          <w:rFonts w:ascii="Arial" w:hAnsi="Arial" w:cs="Arial"/>
          <w:lang w:val="en-US"/>
        </w:rPr>
        <w:t xml:space="preserve">in the Brighton case </w:t>
      </w:r>
      <w:r w:rsidR="00AE6EA7">
        <w:rPr>
          <w:rFonts w:ascii="Arial" w:hAnsi="Arial" w:cs="Arial"/>
          <w:lang w:val="en-US"/>
        </w:rPr>
        <w:t>definitions</w:t>
      </w:r>
      <w:r w:rsidR="00CB349E">
        <w:rPr>
          <w:rFonts w:ascii="Arial" w:hAnsi="Arial" w:cs="Arial"/>
          <w:lang w:val="en-US"/>
        </w:rPr>
        <w:t>.</w:t>
      </w:r>
      <w:r w:rsidR="00E24AC3">
        <w:rPr>
          <w:rFonts w:ascii="Arial" w:hAnsi="Arial" w:cs="Arial"/>
          <w:lang w:val="en-US"/>
        </w:rPr>
        <w:t>(Table 1).  On review of recently published data</w:t>
      </w:r>
      <w:r w:rsidR="00E40979" w:rsidRPr="005016A2">
        <w:rPr>
          <w:rFonts w:ascii="Arial" w:hAnsi="Arial" w:cs="Arial"/>
          <w:lang w:val="en-US"/>
        </w:rPr>
        <w:t>,</w:t>
      </w:r>
      <w:r w:rsidR="005F09A8" w:rsidRPr="005016A2">
        <w:rPr>
          <w:rFonts w:ascii="Arial" w:hAnsi="Arial" w:cs="Arial"/>
          <w:lang w:val="en-US"/>
        </w:rPr>
        <w:t xml:space="preserve"> </w:t>
      </w:r>
      <w:r w:rsidR="005F09A8" w:rsidRPr="005016A2">
        <w:rPr>
          <w:rFonts w:ascii="Arial" w:hAnsi="Arial" w:cs="Arial"/>
        </w:rPr>
        <w:t xml:space="preserve">a </w:t>
      </w:r>
      <w:r w:rsidR="00777569">
        <w:rPr>
          <w:rFonts w:ascii="Arial" w:hAnsi="Arial" w:cs="Arial"/>
        </w:rPr>
        <w:t xml:space="preserve">large </w:t>
      </w:r>
      <w:r w:rsidR="005F09A8" w:rsidRPr="005016A2">
        <w:rPr>
          <w:rFonts w:ascii="Arial" w:hAnsi="Arial" w:cs="Arial"/>
        </w:rPr>
        <w:t>proportion of the apparent anaphylaxis reactions reported to date by the CDC COVID-19 Vaccine Task Force</w:t>
      </w:r>
      <w:r w:rsidR="005C03A6">
        <w:rPr>
          <w:rFonts w:ascii="Arial" w:hAnsi="Arial" w:cs="Arial"/>
        </w:rPr>
        <w:t xml:space="preserve"> </w:t>
      </w:r>
      <w:r w:rsidR="005C03A6" w:rsidRPr="00163A6B">
        <w:rPr>
          <w:rFonts w:ascii="Arial" w:hAnsi="Arial" w:cs="Arial"/>
          <w:vertAlign w:val="superscript"/>
        </w:rPr>
        <w:t>2,3</w:t>
      </w:r>
      <w:r w:rsidR="005C03A6">
        <w:rPr>
          <w:rFonts w:ascii="Arial" w:hAnsi="Arial" w:cs="Arial"/>
        </w:rPr>
        <w:t xml:space="preserve"> </w:t>
      </w:r>
      <w:r w:rsidR="005F09A8" w:rsidRPr="005016A2">
        <w:rPr>
          <w:rFonts w:ascii="Arial" w:hAnsi="Arial" w:cs="Arial"/>
        </w:rPr>
        <w:t xml:space="preserve">do not </w:t>
      </w:r>
      <w:r w:rsidR="0089403F" w:rsidRPr="005016A2">
        <w:rPr>
          <w:rFonts w:ascii="Arial" w:hAnsi="Arial" w:cs="Arial"/>
          <w:lang w:val="en-US"/>
        </w:rPr>
        <w:t xml:space="preserve">actually </w:t>
      </w:r>
      <w:r w:rsidR="005F09A8" w:rsidRPr="005016A2">
        <w:rPr>
          <w:rFonts w:ascii="Arial" w:hAnsi="Arial" w:cs="Arial"/>
        </w:rPr>
        <w:t>meet the Brighton case definition</w:t>
      </w:r>
      <w:r w:rsidR="004E5971" w:rsidRPr="005016A2">
        <w:rPr>
          <w:rFonts w:ascii="Arial" w:hAnsi="Arial" w:cs="Arial"/>
          <w:lang w:val="en-US"/>
        </w:rPr>
        <w:t xml:space="preserve">, </w:t>
      </w:r>
      <w:r w:rsidR="0089403F" w:rsidRPr="005016A2">
        <w:rPr>
          <w:rFonts w:ascii="Arial" w:hAnsi="Arial" w:cs="Arial"/>
          <w:lang w:val="en-US"/>
        </w:rPr>
        <w:t>despite classification</w:t>
      </w:r>
      <w:r w:rsidR="005F09A8" w:rsidRPr="005016A2">
        <w:rPr>
          <w:rFonts w:ascii="Arial" w:hAnsi="Arial" w:cs="Arial"/>
          <w:lang w:val="en-US"/>
        </w:rPr>
        <w:t xml:space="preserve"> as </w:t>
      </w:r>
      <w:r w:rsidR="0089403F" w:rsidRPr="005016A2">
        <w:rPr>
          <w:rFonts w:ascii="Arial" w:hAnsi="Arial" w:cs="Arial"/>
          <w:lang w:val="en-US"/>
        </w:rPr>
        <w:t>such</w:t>
      </w:r>
      <w:r w:rsidR="005F09A8" w:rsidRPr="005016A2">
        <w:rPr>
          <w:rFonts w:ascii="Arial" w:hAnsi="Arial" w:cs="Arial"/>
        </w:rPr>
        <w:t xml:space="preserve"> (Table </w:t>
      </w:r>
      <w:r w:rsidR="00BB3031">
        <w:rPr>
          <w:rFonts w:ascii="Arial" w:hAnsi="Arial" w:cs="Arial"/>
        </w:rPr>
        <w:t>2</w:t>
      </w:r>
      <w:r w:rsidR="005F09A8" w:rsidRPr="005016A2">
        <w:rPr>
          <w:rFonts w:ascii="Arial" w:hAnsi="Arial" w:cs="Arial"/>
        </w:rPr>
        <w:t>).</w:t>
      </w:r>
      <w:r w:rsidR="005C03A6" w:rsidRPr="005C03A6">
        <w:rPr>
          <w:rFonts w:ascii="Arial" w:hAnsi="Arial" w:cs="Arial"/>
          <w:vertAlign w:val="superscript"/>
        </w:rPr>
        <w:t xml:space="preserve"> </w:t>
      </w:r>
      <w:r w:rsidR="00E24AC3">
        <w:rPr>
          <w:rFonts w:ascii="Arial" w:hAnsi="Arial" w:cs="Arial"/>
          <w:lang w:val="en-US"/>
        </w:rPr>
        <w:t>M</w:t>
      </w:r>
      <w:r w:rsidR="00D12A9F" w:rsidRPr="00163A6B">
        <w:rPr>
          <w:rFonts w:ascii="Arial" w:hAnsi="Arial" w:cs="Arial"/>
          <w:lang w:val="en-US"/>
        </w:rPr>
        <w:t>any</w:t>
      </w:r>
      <w:r w:rsidR="004E5971" w:rsidRPr="00163A6B">
        <w:rPr>
          <w:rFonts w:ascii="Arial" w:hAnsi="Arial" w:cs="Arial"/>
          <w:lang w:val="en-US"/>
        </w:rPr>
        <w:t xml:space="preserve"> </w:t>
      </w:r>
      <w:r w:rsidR="009B1810" w:rsidRPr="00163A6B">
        <w:rPr>
          <w:rFonts w:ascii="Arial" w:hAnsi="Arial" w:cs="Arial"/>
        </w:rPr>
        <w:t xml:space="preserve">(up to 71%) </w:t>
      </w:r>
      <w:r w:rsidR="004E5971" w:rsidRPr="00163A6B">
        <w:rPr>
          <w:rFonts w:ascii="Arial" w:hAnsi="Arial" w:cs="Arial"/>
          <w:lang w:val="en-US"/>
        </w:rPr>
        <w:t xml:space="preserve">of the </w:t>
      </w:r>
      <w:r w:rsidR="00E24AC3">
        <w:rPr>
          <w:rFonts w:ascii="Arial" w:hAnsi="Arial" w:cs="Arial"/>
          <w:lang w:val="en-US"/>
        </w:rPr>
        <w:t xml:space="preserve">Brighton-defined </w:t>
      </w:r>
      <w:r w:rsidR="009B1810">
        <w:rPr>
          <w:rFonts w:ascii="Arial" w:hAnsi="Arial" w:cs="Arial"/>
          <w:lang w:val="en-US"/>
        </w:rPr>
        <w:t xml:space="preserve">anaphylactic </w:t>
      </w:r>
      <w:r w:rsidR="004E5971" w:rsidRPr="00163A6B">
        <w:rPr>
          <w:rFonts w:ascii="Arial" w:hAnsi="Arial" w:cs="Arial"/>
          <w:lang w:val="en-US"/>
        </w:rPr>
        <w:t>reports</w:t>
      </w:r>
      <w:r w:rsidR="001E4C2E">
        <w:rPr>
          <w:rFonts w:ascii="Arial" w:hAnsi="Arial" w:cs="Arial"/>
          <w:lang w:val="en-US"/>
        </w:rPr>
        <w:t xml:space="preserve"> </w:t>
      </w:r>
      <w:r w:rsidR="004E5971" w:rsidRPr="00163A6B">
        <w:rPr>
          <w:rFonts w:ascii="Arial" w:hAnsi="Arial" w:cs="Arial"/>
          <w:lang w:val="en-US"/>
        </w:rPr>
        <w:t>for both the Pfizer-</w:t>
      </w:r>
      <w:r w:rsidR="00E40979" w:rsidRPr="00163A6B">
        <w:rPr>
          <w:rFonts w:ascii="Arial" w:hAnsi="Arial" w:cs="Arial"/>
          <w:lang w:val="en-US"/>
        </w:rPr>
        <w:t xml:space="preserve">BioNTech and </w:t>
      </w:r>
      <w:proofErr w:type="spellStart"/>
      <w:r w:rsidR="00E40979" w:rsidRPr="00163A6B">
        <w:rPr>
          <w:rFonts w:ascii="Arial" w:hAnsi="Arial" w:cs="Arial"/>
          <w:lang w:val="en-US"/>
        </w:rPr>
        <w:t>Moderna</w:t>
      </w:r>
      <w:proofErr w:type="spellEnd"/>
      <w:r w:rsidR="00E40979" w:rsidRPr="00163A6B">
        <w:rPr>
          <w:rFonts w:ascii="Arial" w:hAnsi="Arial" w:cs="Arial"/>
          <w:lang w:val="en-US"/>
        </w:rPr>
        <w:t xml:space="preserve"> </w:t>
      </w:r>
      <w:r w:rsidR="009B1810">
        <w:rPr>
          <w:rFonts w:ascii="Arial" w:hAnsi="Arial" w:cs="Arial"/>
          <w:lang w:val="en-US"/>
        </w:rPr>
        <w:t>vaccines</w:t>
      </w:r>
      <w:r w:rsidR="009B1810" w:rsidRPr="00163A6B">
        <w:rPr>
          <w:rFonts w:ascii="Arial" w:hAnsi="Arial" w:cs="Arial"/>
          <w:lang w:val="en-US"/>
        </w:rPr>
        <w:t xml:space="preserve"> </w:t>
      </w:r>
      <w:r w:rsidR="00A76768">
        <w:rPr>
          <w:rFonts w:ascii="Arial" w:hAnsi="Arial" w:cs="Arial"/>
          <w:lang w:val="en-US"/>
        </w:rPr>
        <w:t>would not be classified as anaphylaxis</w:t>
      </w:r>
      <w:r w:rsidR="00D12A9F" w:rsidRPr="00163A6B">
        <w:rPr>
          <w:rFonts w:ascii="Arial" w:hAnsi="Arial" w:cs="Arial"/>
        </w:rPr>
        <w:t xml:space="preserve"> </w:t>
      </w:r>
      <w:r w:rsidR="005F09A8" w:rsidRPr="00163A6B">
        <w:rPr>
          <w:rFonts w:ascii="Arial" w:hAnsi="Arial" w:cs="Arial"/>
        </w:rPr>
        <w:t xml:space="preserve">(Table </w:t>
      </w:r>
      <w:r w:rsidR="00E24AC3">
        <w:rPr>
          <w:rFonts w:ascii="Arial" w:hAnsi="Arial" w:cs="Arial"/>
        </w:rPr>
        <w:t>2</w:t>
      </w:r>
      <w:r w:rsidR="005F09A8" w:rsidRPr="00163A6B">
        <w:rPr>
          <w:rFonts w:ascii="Arial" w:hAnsi="Arial" w:cs="Arial"/>
        </w:rPr>
        <w:t xml:space="preserve">). </w:t>
      </w:r>
      <w:r w:rsidR="00697CDB" w:rsidRPr="00163A6B">
        <w:rPr>
          <w:rFonts w:ascii="Arial" w:hAnsi="Arial" w:cs="Arial"/>
        </w:rPr>
        <w:t>I</w:t>
      </w:r>
      <w:r w:rsidR="005F09A8" w:rsidRPr="00163A6B">
        <w:rPr>
          <w:rFonts w:ascii="Arial" w:hAnsi="Arial" w:cs="Arial"/>
        </w:rPr>
        <w:t xml:space="preserve">f these </w:t>
      </w:r>
      <w:r w:rsidR="00D12A9F" w:rsidRPr="00163A6B">
        <w:rPr>
          <w:rFonts w:ascii="Arial" w:hAnsi="Arial" w:cs="Arial"/>
        </w:rPr>
        <w:t xml:space="preserve">more stringent </w:t>
      </w:r>
      <w:r w:rsidR="005F09A8" w:rsidRPr="00163A6B">
        <w:rPr>
          <w:rFonts w:ascii="Arial" w:hAnsi="Arial" w:cs="Arial"/>
        </w:rPr>
        <w:t xml:space="preserve">criteria </w:t>
      </w:r>
      <w:r w:rsidR="006912E6" w:rsidRPr="00163A6B">
        <w:rPr>
          <w:rFonts w:ascii="Arial" w:hAnsi="Arial" w:cs="Arial"/>
        </w:rPr>
        <w:t xml:space="preserve">are </w:t>
      </w:r>
      <w:r w:rsidR="00D12A9F" w:rsidRPr="00163A6B">
        <w:rPr>
          <w:rFonts w:ascii="Arial" w:hAnsi="Arial" w:cs="Arial"/>
        </w:rPr>
        <w:t xml:space="preserve">also </w:t>
      </w:r>
      <w:r w:rsidR="006912E6" w:rsidRPr="00163A6B">
        <w:rPr>
          <w:rFonts w:ascii="Arial" w:hAnsi="Arial" w:cs="Arial"/>
        </w:rPr>
        <w:t xml:space="preserve">applied to </w:t>
      </w:r>
      <w:r w:rsidR="00163A6B">
        <w:rPr>
          <w:rFonts w:ascii="Arial" w:hAnsi="Arial" w:cs="Arial"/>
        </w:rPr>
        <w:t xml:space="preserve">the </w:t>
      </w:r>
      <w:r w:rsidR="008A284A" w:rsidRPr="00163A6B">
        <w:rPr>
          <w:rFonts w:ascii="Arial" w:hAnsi="Arial" w:cs="Arial"/>
        </w:rPr>
        <w:t xml:space="preserve">report by </w:t>
      </w:r>
      <w:r w:rsidR="006912E6" w:rsidRPr="00163A6B">
        <w:rPr>
          <w:rFonts w:ascii="Arial" w:hAnsi="Arial" w:cs="Arial"/>
        </w:rPr>
        <w:t>M</w:t>
      </w:r>
      <w:r w:rsidR="00D12A9F" w:rsidRPr="00163A6B">
        <w:rPr>
          <w:rFonts w:ascii="Arial" w:hAnsi="Arial" w:cs="Arial"/>
        </w:rPr>
        <w:t>c</w:t>
      </w:r>
      <w:r w:rsidR="006912E6" w:rsidRPr="00163A6B">
        <w:rPr>
          <w:rFonts w:ascii="Arial" w:hAnsi="Arial" w:cs="Arial"/>
        </w:rPr>
        <w:t>Neill et al</w:t>
      </w:r>
      <w:r w:rsidR="00697CDB" w:rsidRPr="00163A6B">
        <w:rPr>
          <w:rFonts w:ascii="Arial" w:hAnsi="Arial" w:cs="Arial"/>
        </w:rPr>
        <w:t xml:space="preserve"> summarising </w:t>
      </w:r>
      <w:r w:rsidR="009418F8" w:rsidRPr="00163A6B">
        <w:rPr>
          <w:rFonts w:ascii="Arial" w:hAnsi="Arial" w:cs="Arial"/>
        </w:rPr>
        <w:t xml:space="preserve">reactions </w:t>
      </w:r>
      <w:r w:rsidR="002119A9">
        <w:rPr>
          <w:rFonts w:ascii="Arial" w:hAnsi="Arial" w:cs="Arial"/>
        </w:rPr>
        <w:t xml:space="preserve">to non-COVID vaccinations </w:t>
      </w:r>
      <w:r w:rsidR="009418F8" w:rsidRPr="00163A6B">
        <w:rPr>
          <w:rFonts w:ascii="Arial" w:hAnsi="Arial" w:cs="Arial"/>
        </w:rPr>
        <w:t>reported to the US Vaccine Adverse Event Reporting System between 2009-11</w:t>
      </w:r>
      <w:r w:rsidR="005F09A8" w:rsidRPr="00163A6B">
        <w:rPr>
          <w:rFonts w:ascii="Arial" w:hAnsi="Arial" w:cs="Arial"/>
        </w:rPr>
        <w:t>,</w:t>
      </w:r>
      <w:r w:rsidR="009418F8" w:rsidRPr="00163A6B">
        <w:rPr>
          <w:rFonts w:ascii="Arial" w:hAnsi="Arial" w:cs="Arial"/>
          <w:vertAlign w:val="superscript"/>
        </w:rPr>
        <w:t>5</w:t>
      </w:r>
      <w:r w:rsidR="005F09A8" w:rsidRPr="00163A6B">
        <w:rPr>
          <w:rFonts w:ascii="Arial" w:hAnsi="Arial" w:cs="Arial"/>
        </w:rPr>
        <w:t xml:space="preserve"> </w:t>
      </w:r>
      <w:r w:rsidR="009418F8" w:rsidRPr="00163A6B">
        <w:rPr>
          <w:rFonts w:ascii="Arial" w:hAnsi="Arial" w:cs="Arial"/>
        </w:rPr>
        <w:t>far</w:t>
      </w:r>
      <w:r w:rsidR="00D12A9F" w:rsidRPr="00163A6B">
        <w:rPr>
          <w:rFonts w:ascii="Arial" w:hAnsi="Arial" w:cs="Arial"/>
        </w:rPr>
        <w:t xml:space="preserve"> </w:t>
      </w:r>
      <w:r w:rsidR="005F09A8" w:rsidRPr="00163A6B">
        <w:rPr>
          <w:rFonts w:ascii="Arial" w:hAnsi="Arial" w:cs="Arial"/>
        </w:rPr>
        <w:t>few</w:t>
      </w:r>
      <w:r w:rsidR="00D12A9F" w:rsidRPr="00163A6B">
        <w:rPr>
          <w:rFonts w:ascii="Arial" w:hAnsi="Arial" w:cs="Arial"/>
        </w:rPr>
        <w:t xml:space="preserve">er </w:t>
      </w:r>
      <w:r w:rsidR="005F09A8" w:rsidRPr="00163A6B">
        <w:rPr>
          <w:rFonts w:ascii="Arial" w:hAnsi="Arial" w:cs="Arial"/>
        </w:rPr>
        <w:t xml:space="preserve">cases </w:t>
      </w:r>
      <w:r w:rsidR="009418F8" w:rsidRPr="00163A6B">
        <w:rPr>
          <w:rFonts w:ascii="Arial" w:hAnsi="Arial" w:cs="Arial"/>
        </w:rPr>
        <w:t>(</w:t>
      </w:r>
      <w:r w:rsidR="005F09A8" w:rsidRPr="00163A6B">
        <w:rPr>
          <w:rFonts w:ascii="Arial" w:hAnsi="Arial" w:cs="Arial"/>
        </w:rPr>
        <w:t xml:space="preserve">defined according to </w:t>
      </w:r>
      <w:r w:rsidR="006912E6" w:rsidRPr="00163A6B">
        <w:rPr>
          <w:rFonts w:ascii="Arial" w:hAnsi="Arial" w:cs="Arial"/>
        </w:rPr>
        <w:t>the Brighton criteria</w:t>
      </w:r>
      <w:r w:rsidR="009418F8" w:rsidRPr="00163A6B">
        <w:rPr>
          <w:rFonts w:ascii="Arial" w:hAnsi="Arial" w:cs="Arial"/>
        </w:rPr>
        <w:t>)</w:t>
      </w:r>
      <w:r w:rsidR="005F09A8" w:rsidRPr="00163A6B">
        <w:rPr>
          <w:rFonts w:ascii="Arial" w:hAnsi="Arial" w:cs="Arial"/>
        </w:rPr>
        <w:t xml:space="preserve"> </w:t>
      </w:r>
      <w:r w:rsidR="002119A9">
        <w:rPr>
          <w:rFonts w:ascii="Arial" w:hAnsi="Arial" w:cs="Arial"/>
        </w:rPr>
        <w:t xml:space="preserve">have to be </w:t>
      </w:r>
      <w:r w:rsidR="005F09A8" w:rsidRPr="00163A6B">
        <w:rPr>
          <w:rFonts w:ascii="Arial" w:hAnsi="Arial" w:cs="Arial"/>
        </w:rPr>
        <w:t xml:space="preserve">excluded. </w:t>
      </w:r>
      <w:r w:rsidR="008A284A" w:rsidRPr="00163A6B">
        <w:rPr>
          <w:rFonts w:ascii="Arial" w:hAnsi="Arial" w:cs="Arial"/>
        </w:rPr>
        <w:t xml:space="preserve">This is evidence that the Brighton criteria are open to overinterpretation and </w:t>
      </w:r>
      <w:r w:rsidR="00AC7D1C" w:rsidRPr="00163A6B">
        <w:rPr>
          <w:rFonts w:ascii="Arial" w:hAnsi="Arial" w:cs="Arial"/>
        </w:rPr>
        <w:t xml:space="preserve">thus </w:t>
      </w:r>
      <w:r w:rsidR="00163A6B">
        <w:rPr>
          <w:rFonts w:ascii="Arial" w:hAnsi="Arial" w:cs="Arial"/>
        </w:rPr>
        <w:t xml:space="preserve">to </w:t>
      </w:r>
      <w:r w:rsidR="00AC7D1C" w:rsidRPr="00163A6B">
        <w:rPr>
          <w:rFonts w:ascii="Arial" w:hAnsi="Arial" w:cs="Arial"/>
        </w:rPr>
        <w:t>ascertainment bia</w:t>
      </w:r>
      <w:r w:rsidR="00363EF2" w:rsidRPr="00163A6B">
        <w:rPr>
          <w:rFonts w:ascii="Arial" w:hAnsi="Arial" w:cs="Arial"/>
        </w:rPr>
        <w:t xml:space="preserve">s. </w:t>
      </w:r>
    </w:p>
    <w:p w14:paraId="2ED0ABB3" w14:textId="77777777" w:rsidR="00363EF2" w:rsidRPr="00163A6B" w:rsidRDefault="00363EF2" w:rsidP="005016A2">
      <w:pPr>
        <w:spacing w:line="480" w:lineRule="auto"/>
        <w:jc w:val="both"/>
        <w:rPr>
          <w:rFonts w:ascii="Arial" w:hAnsi="Arial" w:cs="Arial"/>
        </w:rPr>
      </w:pPr>
    </w:p>
    <w:p w14:paraId="22DA1B2E" w14:textId="45C137F0" w:rsidR="007A1005" w:rsidRPr="00163A6B" w:rsidRDefault="00363EF2" w:rsidP="005016A2">
      <w:pPr>
        <w:spacing w:line="480" w:lineRule="auto"/>
        <w:jc w:val="both"/>
        <w:rPr>
          <w:rFonts w:ascii="Arial" w:hAnsi="Arial" w:cs="Arial"/>
        </w:rPr>
      </w:pPr>
      <w:r w:rsidRPr="00163A6B">
        <w:rPr>
          <w:rFonts w:ascii="Arial" w:hAnsi="Arial" w:cs="Arial"/>
          <w:lang w:val="en-US"/>
        </w:rPr>
        <w:t>A</w:t>
      </w:r>
      <w:r w:rsidR="00A259BD" w:rsidRPr="00163A6B">
        <w:rPr>
          <w:rFonts w:ascii="Arial" w:hAnsi="Arial" w:cs="Arial"/>
          <w:lang w:val="en-US"/>
        </w:rPr>
        <w:t xml:space="preserve">naphylaxis </w:t>
      </w:r>
      <w:r w:rsidR="00CB349E">
        <w:rPr>
          <w:rFonts w:ascii="Arial" w:hAnsi="Arial" w:cs="Arial"/>
          <w:lang w:val="en-US"/>
        </w:rPr>
        <w:t xml:space="preserve">treatment </w:t>
      </w:r>
      <w:r w:rsidR="00A259BD" w:rsidRPr="00163A6B">
        <w:rPr>
          <w:rFonts w:ascii="Arial" w:hAnsi="Arial" w:cs="Arial"/>
          <w:lang w:val="en-US"/>
        </w:rPr>
        <w:t>guidelines</w:t>
      </w:r>
      <w:r w:rsidR="007A1005" w:rsidRPr="00163A6B">
        <w:rPr>
          <w:rFonts w:ascii="Arial" w:hAnsi="Arial" w:cs="Arial"/>
          <w:lang w:val="en-US"/>
        </w:rPr>
        <w:t xml:space="preserve"> </w:t>
      </w:r>
      <w:r w:rsidR="007A1005" w:rsidRPr="00163A6B">
        <w:rPr>
          <w:rFonts w:ascii="Arial" w:hAnsi="Arial" w:cs="Arial"/>
        </w:rPr>
        <w:t xml:space="preserve">advocate </w:t>
      </w:r>
      <w:r w:rsidR="009418F8" w:rsidRPr="00163A6B">
        <w:rPr>
          <w:rFonts w:ascii="Arial" w:hAnsi="Arial" w:cs="Arial"/>
        </w:rPr>
        <w:t xml:space="preserve">the </w:t>
      </w:r>
      <w:r w:rsidR="007A1005" w:rsidRPr="00163A6B">
        <w:rPr>
          <w:rFonts w:ascii="Arial" w:hAnsi="Arial" w:cs="Arial"/>
        </w:rPr>
        <w:t xml:space="preserve">early use of </w:t>
      </w:r>
      <w:r w:rsidR="009418F8" w:rsidRPr="00163A6B">
        <w:rPr>
          <w:rFonts w:ascii="Arial" w:hAnsi="Arial" w:cs="Arial"/>
        </w:rPr>
        <w:t xml:space="preserve">intramuscular </w:t>
      </w:r>
      <w:r w:rsidR="00730CD6">
        <w:rPr>
          <w:rFonts w:ascii="Arial" w:hAnsi="Arial" w:cs="Arial"/>
        </w:rPr>
        <w:t>epinephrine</w:t>
      </w:r>
      <w:r w:rsidR="005F09A8" w:rsidRPr="00163A6B">
        <w:rPr>
          <w:rFonts w:ascii="Arial" w:hAnsi="Arial" w:cs="Arial"/>
        </w:rPr>
        <w:t xml:space="preserve"> (</w:t>
      </w:r>
      <w:r w:rsidR="007A1005" w:rsidRPr="00163A6B">
        <w:rPr>
          <w:rFonts w:ascii="Arial" w:hAnsi="Arial" w:cs="Arial"/>
        </w:rPr>
        <w:t>epinephrine</w:t>
      </w:r>
      <w:r w:rsidR="005F09A8" w:rsidRPr="00163A6B">
        <w:rPr>
          <w:rFonts w:ascii="Arial" w:hAnsi="Arial" w:cs="Arial"/>
        </w:rPr>
        <w:t>)</w:t>
      </w:r>
      <w:r w:rsidR="007A1005" w:rsidRPr="00163A6B">
        <w:rPr>
          <w:rFonts w:ascii="Arial" w:hAnsi="Arial" w:cs="Arial"/>
        </w:rPr>
        <w:t xml:space="preserve"> </w:t>
      </w:r>
      <w:r w:rsidR="009418F8" w:rsidRPr="00163A6B">
        <w:rPr>
          <w:rFonts w:ascii="Arial" w:hAnsi="Arial" w:cs="Arial"/>
        </w:rPr>
        <w:t xml:space="preserve">to treat </w:t>
      </w:r>
      <w:r w:rsidR="007E6A33">
        <w:rPr>
          <w:rFonts w:ascii="Arial" w:hAnsi="Arial" w:cs="Arial"/>
        </w:rPr>
        <w:t xml:space="preserve">possible or likely </w:t>
      </w:r>
      <w:r w:rsidR="00CB349E" w:rsidRPr="00163A6B">
        <w:rPr>
          <w:rFonts w:ascii="Arial" w:hAnsi="Arial" w:cs="Arial"/>
        </w:rPr>
        <w:t>anaphylaxis,</w:t>
      </w:r>
      <w:r w:rsidR="007A1005" w:rsidRPr="00163A6B">
        <w:rPr>
          <w:rFonts w:ascii="Arial" w:hAnsi="Arial" w:cs="Arial"/>
          <w:lang w:val="en-US"/>
        </w:rPr>
        <w:t xml:space="preserve"> </w:t>
      </w:r>
      <w:r w:rsidR="005F09A8" w:rsidRPr="00163A6B">
        <w:rPr>
          <w:rFonts w:ascii="Arial" w:hAnsi="Arial" w:cs="Arial"/>
          <w:lang w:val="en-US"/>
        </w:rPr>
        <w:t xml:space="preserve">but </w:t>
      </w:r>
      <w:r w:rsidR="00A259BD" w:rsidRPr="00163A6B">
        <w:rPr>
          <w:rFonts w:ascii="Arial" w:hAnsi="Arial" w:cs="Arial"/>
          <w:lang w:val="en-US"/>
        </w:rPr>
        <w:t xml:space="preserve">such </w:t>
      </w:r>
      <w:r w:rsidR="00730CD6">
        <w:rPr>
          <w:rFonts w:ascii="Arial" w:hAnsi="Arial" w:cs="Arial"/>
          <w:lang w:val="en-US"/>
        </w:rPr>
        <w:t>epinephrine</w:t>
      </w:r>
      <w:r w:rsidR="002119A9">
        <w:rPr>
          <w:rFonts w:ascii="Arial" w:hAnsi="Arial" w:cs="Arial"/>
          <w:lang w:val="en-US"/>
        </w:rPr>
        <w:t xml:space="preserve"> </w:t>
      </w:r>
      <w:r w:rsidR="00A259BD" w:rsidRPr="00163A6B">
        <w:rPr>
          <w:rFonts w:ascii="Arial" w:hAnsi="Arial" w:cs="Arial"/>
          <w:lang w:val="en-US"/>
        </w:rPr>
        <w:t xml:space="preserve">doses may be </w:t>
      </w:r>
      <w:r w:rsidR="007E6A33">
        <w:rPr>
          <w:rFonts w:ascii="Arial" w:hAnsi="Arial" w:cs="Arial"/>
          <w:lang w:val="en-US"/>
        </w:rPr>
        <w:t xml:space="preserve">also </w:t>
      </w:r>
      <w:r w:rsidR="00A259BD" w:rsidRPr="00163A6B">
        <w:rPr>
          <w:rFonts w:ascii="Arial" w:hAnsi="Arial" w:cs="Arial"/>
          <w:lang w:val="en-US"/>
        </w:rPr>
        <w:t>administered</w:t>
      </w:r>
      <w:r w:rsidR="007A1005" w:rsidRPr="00163A6B">
        <w:rPr>
          <w:rFonts w:ascii="Arial" w:hAnsi="Arial" w:cs="Arial"/>
          <w:lang w:val="en-US"/>
        </w:rPr>
        <w:t xml:space="preserve"> </w:t>
      </w:r>
      <w:r w:rsidR="006E7BF4" w:rsidRPr="00163A6B">
        <w:rPr>
          <w:rFonts w:ascii="Arial" w:hAnsi="Arial" w:cs="Arial"/>
          <w:lang w:val="en-US"/>
        </w:rPr>
        <w:t xml:space="preserve">“early” </w:t>
      </w:r>
      <w:r w:rsidR="007A1005" w:rsidRPr="00163A6B">
        <w:rPr>
          <w:rFonts w:ascii="Arial" w:hAnsi="Arial" w:cs="Arial"/>
          <w:lang w:val="en-US"/>
        </w:rPr>
        <w:t xml:space="preserve">for </w:t>
      </w:r>
      <w:r w:rsidR="00CE2D94">
        <w:rPr>
          <w:rFonts w:ascii="Arial" w:hAnsi="Arial" w:cs="Arial"/>
          <w:lang w:val="en-US"/>
        </w:rPr>
        <w:t xml:space="preserve">only </w:t>
      </w:r>
      <w:r w:rsidR="005F09A8" w:rsidRPr="00163A6B">
        <w:rPr>
          <w:rFonts w:ascii="Arial" w:hAnsi="Arial" w:cs="Arial"/>
          <w:lang w:val="en-US"/>
        </w:rPr>
        <w:t xml:space="preserve">skin symptoms </w:t>
      </w:r>
      <w:r w:rsidR="007A1005" w:rsidRPr="00163A6B">
        <w:rPr>
          <w:rFonts w:ascii="Arial" w:hAnsi="Arial" w:cs="Arial"/>
          <w:lang w:val="en-US"/>
        </w:rPr>
        <w:t>that m</w:t>
      </w:r>
      <w:r w:rsidR="005F09A8" w:rsidRPr="00163A6B">
        <w:rPr>
          <w:rFonts w:ascii="Arial" w:hAnsi="Arial" w:cs="Arial"/>
          <w:lang w:val="en-US"/>
        </w:rPr>
        <w:t xml:space="preserve">ight </w:t>
      </w:r>
      <w:r w:rsidR="007A1005" w:rsidRPr="00163A6B">
        <w:rPr>
          <w:rFonts w:ascii="Arial" w:hAnsi="Arial" w:cs="Arial"/>
          <w:lang w:val="en-US"/>
        </w:rPr>
        <w:t>have resolved without progression to anaphylaxis</w:t>
      </w:r>
      <w:r w:rsidR="00CE2D94">
        <w:rPr>
          <w:rFonts w:ascii="Arial" w:hAnsi="Arial" w:cs="Arial"/>
          <w:lang w:val="en-US"/>
        </w:rPr>
        <w:t>. Also</w:t>
      </w:r>
      <w:r w:rsidR="00004B8A">
        <w:rPr>
          <w:rFonts w:ascii="Arial" w:hAnsi="Arial" w:cs="Arial"/>
          <w:lang w:val="en-US"/>
        </w:rPr>
        <w:t>,</w:t>
      </w:r>
      <w:r w:rsidR="002119A9">
        <w:rPr>
          <w:rFonts w:ascii="Arial" w:hAnsi="Arial" w:cs="Arial"/>
          <w:lang w:val="en-US"/>
        </w:rPr>
        <w:t xml:space="preserve"> </w:t>
      </w:r>
      <w:r w:rsidR="00CE2D94">
        <w:rPr>
          <w:rFonts w:ascii="Arial" w:hAnsi="Arial" w:cs="Arial"/>
          <w:lang w:val="en-US"/>
        </w:rPr>
        <w:t>actual</w:t>
      </w:r>
      <w:r w:rsidR="002119A9">
        <w:rPr>
          <w:rFonts w:ascii="Arial" w:hAnsi="Arial" w:cs="Arial"/>
          <w:lang w:val="en-US"/>
        </w:rPr>
        <w:t xml:space="preserve"> usage </w:t>
      </w:r>
      <w:r w:rsidR="00CE2D94">
        <w:rPr>
          <w:rFonts w:ascii="Arial" w:hAnsi="Arial" w:cs="Arial"/>
          <w:lang w:val="en-US"/>
        </w:rPr>
        <w:t xml:space="preserve">of </w:t>
      </w:r>
      <w:r w:rsidR="00730CD6">
        <w:rPr>
          <w:rFonts w:ascii="Arial" w:hAnsi="Arial" w:cs="Arial"/>
          <w:lang w:val="en-US"/>
        </w:rPr>
        <w:t>epinephrine</w:t>
      </w:r>
      <w:r w:rsidR="00CE2D94">
        <w:rPr>
          <w:rFonts w:ascii="Arial" w:hAnsi="Arial" w:cs="Arial"/>
          <w:lang w:val="en-US"/>
        </w:rPr>
        <w:t xml:space="preserve"> </w:t>
      </w:r>
      <w:r w:rsidR="002119A9">
        <w:rPr>
          <w:rFonts w:ascii="Arial" w:hAnsi="Arial" w:cs="Arial"/>
          <w:lang w:val="en-US"/>
        </w:rPr>
        <w:t>varies highly in between physicians</w:t>
      </w:r>
      <w:r w:rsidR="005F09A8" w:rsidRPr="00163A6B">
        <w:rPr>
          <w:rFonts w:ascii="Arial" w:hAnsi="Arial" w:cs="Arial"/>
          <w:lang w:val="en-US"/>
        </w:rPr>
        <w:t xml:space="preserve">. </w:t>
      </w:r>
      <w:r w:rsidR="002119A9">
        <w:rPr>
          <w:rFonts w:ascii="Arial" w:hAnsi="Arial" w:cs="Arial"/>
          <w:lang w:val="en-US"/>
        </w:rPr>
        <w:t>Thus</w:t>
      </w:r>
      <w:r w:rsidR="00E40979" w:rsidRPr="00163A6B">
        <w:rPr>
          <w:rFonts w:ascii="Arial" w:hAnsi="Arial" w:cs="Arial"/>
          <w:lang w:val="en-US"/>
        </w:rPr>
        <w:t>,</w:t>
      </w:r>
      <w:r w:rsidR="005F09A8" w:rsidRPr="00163A6B">
        <w:rPr>
          <w:rFonts w:ascii="Arial" w:hAnsi="Arial" w:cs="Arial"/>
          <w:lang w:val="en-US"/>
        </w:rPr>
        <w:t xml:space="preserve"> </w:t>
      </w:r>
      <w:r w:rsidR="007A1005" w:rsidRPr="00163A6B">
        <w:rPr>
          <w:rFonts w:ascii="Arial" w:hAnsi="Arial" w:cs="Arial"/>
          <w:lang w:val="en-US"/>
        </w:rPr>
        <w:t xml:space="preserve">epinephrine </w:t>
      </w:r>
      <w:r w:rsidR="00E40979" w:rsidRPr="00163A6B">
        <w:rPr>
          <w:rFonts w:ascii="Arial" w:hAnsi="Arial" w:cs="Arial"/>
          <w:lang w:val="en-US"/>
        </w:rPr>
        <w:t xml:space="preserve">use (and resolution of symptoms) </w:t>
      </w:r>
      <w:r w:rsidR="002119A9">
        <w:rPr>
          <w:rFonts w:ascii="Arial" w:hAnsi="Arial" w:cs="Arial"/>
          <w:lang w:val="en-US"/>
        </w:rPr>
        <w:t>cannot be</w:t>
      </w:r>
      <w:r w:rsidR="002119A9" w:rsidRPr="00163A6B">
        <w:rPr>
          <w:rFonts w:ascii="Arial" w:hAnsi="Arial" w:cs="Arial"/>
          <w:lang w:val="en-US"/>
        </w:rPr>
        <w:t xml:space="preserve"> </w:t>
      </w:r>
      <w:r w:rsidR="002119A9">
        <w:rPr>
          <w:rFonts w:ascii="Arial" w:hAnsi="Arial" w:cs="Arial"/>
          <w:lang w:val="en-US"/>
        </w:rPr>
        <w:t>as</w:t>
      </w:r>
      <w:r w:rsidR="002119A9" w:rsidRPr="00163A6B">
        <w:rPr>
          <w:rFonts w:ascii="Arial" w:hAnsi="Arial" w:cs="Arial"/>
          <w:lang w:val="en-US"/>
        </w:rPr>
        <w:t xml:space="preserve"> </w:t>
      </w:r>
      <w:r w:rsidR="00E40979" w:rsidRPr="00163A6B">
        <w:rPr>
          <w:rFonts w:ascii="Arial" w:hAnsi="Arial" w:cs="Arial"/>
          <w:lang w:val="en-US"/>
        </w:rPr>
        <w:t xml:space="preserve">a surrogate for </w:t>
      </w:r>
      <w:r w:rsidR="005F09A8" w:rsidRPr="00163A6B">
        <w:rPr>
          <w:rFonts w:ascii="Arial" w:hAnsi="Arial" w:cs="Arial"/>
          <w:lang w:val="en-US"/>
        </w:rPr>
        <w:t>a</w:t>
      </w:r>
      <w:r w:rsidR="007A1005" w:rsidRPr="00163A6B">
        <w:rPr>
          <w:rFonts w:ascii="Arial" w:hAnsi="Arial" w:cs="Arial"/>
          <w:lang w:val="en-US"/>
        </w:rPr>
        <w:t xml:space="preserve"> </w:t>
      </w:r>
      <w:r w:rsidR="006E7BF4" w:rsidRPr="00163A6B">
        <w:rPr>
          <w:rFonts w:ascii="Arial" w:hAnsi="Arial" w:cs="Arial"/>
          <w:lang w:val="en-US"/>
        </w:rPr>
        <w:t xml:space="preserve">post-hoc </w:t>
      </w:r>
      <w:r w:rsidR="007A1005" w:rsidRPr="00163A6B">
        <w:rPr>
          <w:rFonts w:ascii="Arial" w:hAnsi="Arial" w:cs="Arial"/>
          <w:lang w:val="en-US"/>
        </w:rPr>
        <w:t>diagnosis</w:t>
      </w:r>
      <w:r w:rsidR="005F09A8" w:rsidRPr="00163A6B">
        <w:rPr>
          <w:rFonts w:ascii="Arial" w:hAnsi="Arial" w:cs="Arial"/>
        </w:rPr>
        <w:t xml:space="preserve"> of </w:t>
      </w:r>
      <w:proofErr w:type="spellStart"/>
      <w:r w:rsidR="005F09A8" w:rsidRPr="00163A6B">
        <w:rPr>
          <w:rFonts w:ascii="Arial" w:hAnsi="Arial" w:cs="Arial"/>
        </w:rPr>
        <w:t>anaphylax</w:t>
      </w:r>
      <w:proofErr w:type="spellEnd"/>
      <w:r w:rsidR="005F09A8" w:rsidRPr="00163A6B">
        <w:rPr>
          <w:rFonts w:ascii="Arial" w:hAnsi="Arial" w:cs="Arial"/>
          <w:lang w:val="en-US"/>
        </w:rPr>
        <w:t>is</w:t>
      </w:r>
      <w:r w:rsidR="00CB349E">
        <w:rPr>
          <w:rFonts w:ascii="Arial" w:hAnsi="Arial" w:cs="Arial"/>
          <w:lang w:val="en-US"/>
        </w:rPr>
        <w:t xml:space="preserve"> </w:t>
      </w:r>
      <w:r w:rsidR="00777569">
        <w:rPr>
          <w:rFonts w:ascii="Arial" w:hAnsi="Arial" w:cs="Arial"/>
          <w:vertAlign w:val="superscript"/>
        </w:rPr>
        <w:t>10</w:t>
      </w:r>
      <w:r w:rsidR="006E7BF4" w:rsidRPr="00163A6B">
        <w:rPr>
          <w:rFonts w:ascii="Arial" w:hAnsi="Arial" w:cs="Arial"/>
        </w:rPr>
        <w:t xml:space="preserve"> </w:t>
      </w:r>
      <w:r w:rsidR="00CB349E">
        <w:rPr>
          <w:rFonts w:ascii="Arial" w:hAnsi="Arial" w:cs="Arial"/>
        </w:rPr>
        <w:t>and we are reassured that none of the Brighton, NIAID or WAO schemes does so.</w:t>
      </w:r>
      <w:r w:rsidR="006E7BF4" w:rsidRPr="00163A6B">
        <w:rPr>
          <w:rFonts w:ascii="Arial" w:hAnsi="Arial" w:cs="Arial"/>
        </w:rPr>
        <w:t xml:space="preserve"> </w:t>
      </w:r>
    </w:p>
    <w:p w14:paraId="56FF6F26" w14:textId="77777777" w:rsidR="006E7BF4" w:rsidRPr="00163A6B" w:rsidRDefault="006E7BF4" w:rsidP="005016A2">
      <w:pPr>
        <w:spacing w:line="480" w:lineRule="auto"/>
        <w:jc w:val="both"/>
        <w:rPr>
          <w:rFonts w:ascii="Arial" w:hAnsi="Arial" w:cs="Arial"/>
        </w:rPr>
      </w:pPr>
    </w:p>
    <w:p w14:paraId="3BB565B9" w14:textId="4767D9E0" w:rsidR="006A1D29" w:rsidRPr="00163A6B" w:rsidRDefault="007A1005" w:rsidP="005016A2">
      <w:pPr>
        <w:spacing w:line="480" w:lineRule="auto"/>
        <w:jc w:val="both"/>
        <w:rPr>
          <w:rFonts w:ascii="Arial" w:hAnsi="Arial" w:cs="Arial"/>
          <w:lang w:val="en-US"/>
        </w:rPr>
      </w:pPr>
      <w:r w:rsidRPr="00163A6B">
        <w:rPr>
          <w:rFonts w:ascii="Arial" w:hAnsi="Arial" w:cs="Arial"/>
        </w:rPr>
        <w:lastRenderedPageBreak/>
        <w:t xml:space="preserve">Overestimation of </w:t>
      </w:r>
      <w:r w:rsidR="005F09A8" w:rsidRPr="00163A6B">
        <w:rPr>
          <w:rFonts w:ascii="Arial" w:hAnsi="Arial" w:cs="Arial"/>
        </w:rPr>
        <w:t xml:space="preserve">the </w:t>
      </w:r>
      <w:r w:rsidR="006A1D29" w:rsidRPr="00163A6B">
        <w:rPr>
          <w:rFonts w:ascii="Arial" w:hAnsi="Arial" w:cs="Arial"/>
        </w:rPr>
        <w:t xml:space="preserve">anaphylaxis </w:t>
      </w:r>
      <w:r w:rsidR="005F09A8" w:rsidRPr="00163A6B">
        <w:rPr>
          <w:rFonts w:ascii="Arial" w:hAnsi="Arial" w:cs="Arial"/>
        </w:rPr>
        <w:t xml:space="preserve">rate </w:t>
      </w:r>
      <w:r w:rsidR="006A1D29" w:rsidRPr="00163A6B">
        <w:rPr>
          <w:rFonts w:ascii="Arial" w:hAnsi="Arial" w:cs="Arial"/>
        </w:rPr>
        <w:t xml:space="preserve">to </w:t>
      </w:r>
      <w:r w:rsidRPr="00163A6B">
        <w:rPr>
          <w:rFonts w:ascii="Arial" w:hAnsi="Arial" w:cs="Arial"/>
        </w:rPr>
        <w:t>COVID-19 vaccin</w:t>
      </w:r>
      <w:r w:rsidR="006A1D29" w:rsidRPr="00163A6B">
        <w:rPr>
          <w:rFonts w:ascii="Arial" w:hAnsi="Arial" w:cs="Arial"/>
        </w:rPr>
        <w:t xml:space="preserve">es </w:t>
      </w:r>
      <w:r w:rsidRPr="00163A6B">
        <w:rPr>
          <w:rFonts w:ascii="Arial" w:hAnsi="Arial" w:cs="Arial"/>
        </w:rPr>
        <w:t>may delay</w:t>
      </w:r>
      <w:r w:rsidR="00C87CC7">
        <w:rPr>
          <w:rFonts w:ascii="Arial" w:hAnsi="Arial" w:cs="Arial"/>
        </w:rPr>
        <w:t xml:space="preserve"> or </w:t>
      </w:r>
      <w:r w:rsidRPr="00163A6B">
        <w:rPr>
          <w:rFonts w:ascii="Arial" w:hAnsi="Arial" w:cs="Arial"/>
        </w:rPr>
        <w:t>deter  vaccination</w:t>
      </w:r>
      <w:r w:rsidR="00C87CC7">
        <w:rPr>
          <w:rFonts w:ascii="Arial" w:hAnsi="Arial" w:cs="Arial"/>
        </w:rPr>
        <w:t xml:space="preserve"> or cause undue referral for evaluation by </w:t>
      </w:r>
      <w:r w:rsidR="00BB3031">
        <w:rPr>
          <w:rFonts w:ascii="Arial" w:hAnsi="Arial" w:cs="Arial"/>
        </w:rPr>
        <w:t xml:space="preserve">immunologists or </w:t>
      </w:r>
      <w:r w:rsidR="00C87CC7">
        <w:rPr>
          <w:rFonts w:ascii="Arial" w:hAnsi="Arial" w:cs="Arial"/>
        </w:rPr>
        <w:t xml:space="preserve">allergists and </w:t>
      </w:r>
      <w:r w:rsidR="00CB349E">
        <w:rPr>
          <w:rFonts w:ascii="Arial" w:hAnsi="Arial" w:cs="Arial"/>
        </w:rPr>
        <w:t xml:space="preserve">divert human and other resources to </w:t>
      </w:r>
      <w:r w:rsidR="00777569">
        <w:rPr>
          <w:rFonts w:ascii="Arial" w:hAnsi="Arial" w:cs="Arial"/>
        </w:rPr>
        <w:t>h</w:t>
      </w:r>
      <w:r w:rsidR="00C87CC7">
        <w:rPr>
          <w:rFonts w:ascii="Arial" w:hAnsi="Arial" w:cs="Arial"/>
        </w:rPr>
        <w:t>ospital</w:t>
      </w:r>
      <w:r w:rsidR="00CB349E">
        <w:rPr>
          <w:rFonts w:ascii="Arial" w:hAnsi="Arial" w:cs="Arial"/>
        </w:rPr>
        <w:t>-</w:t>
      </w:r>
      <w:r w:rsidR="00C87CC7">
        <w:rPr>
          <w:rFonts w:ascii="Arial" w:hAnsi="Arial" w:cs="Arial"/>
        </w:rPr>
        <w:t>supervised vaccination</w:t>
      </w:r>
      <w:r w:rsidRPr="00163A6B">
        <w:rPr>
          <w:rFonts w:ascii="Arial" w:hAnsi="Arial" w:cs="Arial"/>
        </w:rPr>
        <w:t xml:space="preserve">. </w:t>
      </w:r>
      <w:r w:rsidR="005F09A8" w:rsidRPr="00163A6B">
        <w:rPr>
          <w:rFonts w:ascii="Arial" w:hAnsi="Arial" w:cs="Arial"/>
        </w:rPr>
        <w:t xml:space="preserve">Public health bodies and healthcare professionals must apply appropriate criteria on the basis of sufficient clinical information to </w:t>
      </w:r>
      <w:r w:rsidR="006E748C" w:rsidRPr="00163A6B">
        <w:rPr>
          <w:rFonts w:ascii="Arial" w:hAnsi="Arial" w:cs="Arial"/>
        </w:rPr>
        <w:t xml:space="preserve">assign </w:t>
      </w:r>
      <w:r w:rsidR="0089403F" w:rsidRPr="00163A6B">
        <w:rPr>
          <w:rFonts w:ascii="Arial" w:hAnsi="Arial" w:cs="Arial"/>
          <w:lang w:val="en-US"/>
        </w:rPr>
        <w:t xml:space="preserve">a diagnosis of </w:t>
      </w:r>
      <w:r w:rsidR="003E5927" w:rsidRPr="00163A6B">
        <w:rPr>
          <w:rFonts w:ascii="Arial" w:hAnsi="Arial" w:cs="Arial"/>
        </w:rPr>
        <w:t>anaphylaxis in the context of vaccine adverse event surveillance.</w:t>
      </w:r>
      <w:r w:rsidR="005F52ED" w:rsidRPr="00163A6B">
        <w:rPr>
          <w:rFonts w:ascii="Arial" w:hAnsi="Arial" w:cs="Arial"/>
        </w:rPr>
        <w:t xml:space="preserve"> </w:t>
      </w:r>
      <w:r w:rsidR="006A1D29" w:rsidRPr="00163A6B">
        <w:rPr>
          <w:rFonts w:ascii="Arial" w:hAnsi="Arial" w:cs="Arial"/>
          <w:lang w:val="en-US"/>
        </w:rPr>
        <w:t>The Pfizer-BioNTech vaccine currently appears to be associated with a 3-5-fold higher rate of anaphylaxis</w:t>
      </w:r>
      <w:r w:rsidR="00465874">
        <w:rPr>
          <w:rFonts w:ascii="Arial" w:hAnsi="Arial" w:cs="Arial"/>
          <w:lang w:val="en-US"/>
        </w:rPr>
        <w:t xml:space="preserve"> compared to the rate of anaphylaxis after non-COVID vaccines</w:t>
      </w:r>
      <w:r w:rsidR="006A1D29" w:rsidRPr="00163A6B">
        <w:rPr>
          <w:rFonts w:ascii="Arial" w:hAnsi="Arial" w:cs="Arial"/>
          <w:lang w:val="en-US"/>
        </w:rPr>
        <w:t xml:space="preserve">, but this rate is still very low and in contrast to other </w:t>
      </w:r>
      <w:r w:rsidR="00BB3031">
        <w:rPr>
          <w:rFonts w:ascii="Arial" w:hAnsi="Arial" w:cs="Arial"/>
          <w:lang w:val="en-US"/>
        </w:rPr>
        <w:t>allergens used in immunotherapy,</w:t>
      </w:r>
      <w:r w:rsidR="006A1D29" w:rsidRPr="00163A6B">
        <w:rPr>
          <w:rFonts w:ascii="Arial" w:hAnsi="Arial" w:cs="Arial"/>
          <w:lang w:val="en-US"/>
        </w:rPr>
        <w:t xml:space="preserve"> no anaphylaxis fatalities have been reported to date.</w:t>
      </w:r>
      <w:r w:rsidR="007E6A33">
        <w:rPr>
          <w:rFonts w:ascii="Arial" w:hAnsi="Arial" w:cs="Arial"/>
          <w:lang w:val="en-US"/>
        </w:rPr>
        <w:t xml:space="preserve"> This rate may </w:t>
      </w:r>
      <w:r w:rsidR="0074765A">
        <w:rPr>
          <w:rFonts w:ascii="Arial" w:hAnsi="Arial" w:cs="Arial"/>
          <w:lang w:val="en-US"/>
        </w:rPr>
        <w:t xml:space="preserve">even </w:t>
      </w:r>
      <w:r w:rsidR="007E6A33">
        <w:rPr>
          <w:rFonts w:ascii="Arial" w:hAnsi="Arial" w:cs="Arial"/>
          <w:lang w:val="en-US"/>
        </w:rPr>
        <w:t xml:space="preserve">fall further with more data points. </w:t>
      </w:r>
    </w:p>
    <w:p w14:paraId="65201E27" w14:textId="77777777" w:rsidR="006A1D29" w:rsidRPr="00163A6B" w:rsidRDefault="006A1D29" w:rsidP="005016A2">
      <w:pPr>
        <w:spacing w:line="480" w:lineRule="auto"/>
        <w:jc w:val="both"/>
        <w:rPr>
          <w:rFonts w:ascii="Arial" w:hAnsi="Arial" w:cs="Arial"/>
        </w:rPr>
      </w:pPr>
    </w:p>
    <w:p w14:paraId="01C491C8" w14:textId="2D018DDB" w:rsidR="005F52ED" w:rsidRPr="00163A6B" w:rsidRDefault="00D12A9F" w:rsidP="005016A2">
      <w:pPr>
        <w:spacing w:line="480" w:lineRule="auto"/>
        <w:jc w:val="both"/>
        <w:rPr>
          <w:rFonts w:ascii="Arial" w:hAnsi="Arial" w:cs="Arial"/>
        </w:rPr>
      </w:pPr>
      <w:r w:rsidRPr="00163A6B">
        <w:rPr>
          <w:rFonts w:ascii="Arial" w:hAnsi="Arial" w:cs="Arial"/>
        </w:rPr>
        <w:t xml:space="preserve">As a medical community, we have a duty to ensure transparency and availability of reliable data to inform the public and policy, and </w:t>
      </w:r>
      <w:r w:rsidR="00C87CC7">
        <w:rPr>
          <w:rFonts w:ascii="Arial" w:hAnsi="Arial" w:cs="Arial"/>
        </w:rPr>
        <w:t xml:space="preserve">to </w:t>
      </w:r>
      <w:r w:rsidRPr="00163A6B">
        <w:rPr>
          <w:rFonts w:ascii="Arial" w:hAnsi="Arial" w:cs="Arial"/>
        </w:rPr>
        <w:t xml:space="preserve">not risk contributing to vaccine hesitancy. </w:t>
      </w:r>
      <w:r w:rsidR="005F52ED" w:rsidRPr="00163A6B">
        <w:rPr>
          <w:rFonts w:ascii="Arial" w:hAnsi="Arial" w:cs="Arial"/>
        </w:rPr>
        <w:t>Anaphylaxis</w:t>
      </w:r>
      <w:r w:rsidR="00A20BDA" w:rsidRPr="00163A6B">
        <w:rPr>
          <w:rFonts w:ascii="Arial" w:hAnsi="Arial" w:cs="Arial"/>
        </w:rPr>
        <w:t xml:space="preserve">, defined using the most </w:t>
      </w:r>
      <w:r w:rsidR="00EF53EE" w:rsidRPr="00163A6B">
        <w:rPr>
          <w:rFonts w:ascii="Arial" w:hAnsi="Arial" w:cs="Arial"/>
        </w:rPr>
        <w:t>rigorous</w:t>
      </w:r>
      <w:r w:rsidR="00A20BDA" w:rsidRPr="00163A6B">
        <w:rPr>
          <w:rFonts w:ascii="Arial" w:hAnsi="Arial" w:cs="Arial"/>
        </w:rPr>
        <w:t xml:space="preserve"> criteria</w:t>
      </w:r>
      <w:r w:rsidR="006E748C" w:rsidRPr="00163A6B">
        <w:rPr>
          <w:rFonts w:ascii="Arial" w:hAnsi="Arial" w:cs="Arial"/>
        </w:rPr>
        <w:t xml:space="preserve">, </w:t>
      </w:r>
      <w:r w:rsidRPr="00163A6B">
        <w:rPr>
          <w:rFonts w:ascii="Arial" w:hAnsi="Arial" w:cs="Arial"/>
        </w:rPr>
        <w:t>is no</w:t>
      </w:r>
      <w:r w:rsidR="006A1D29" w:rsidRPr="00163A6B">
        <w:rPr>
          <w:rFonts w:ascii="Arial" w:hAnsi="Arial" w:cs="Arial"/>
        </w:rPr>
        <w:t>t much</w:t>
      </w:r>
      <w:r w:rsidRPr="00163A6B">
        <w:rPr>
          <w:rFonts w:ascii="Arial" w:hAnsi="Arial" w:cs="Arial"/>
        </w:rPr>
        <w:t xml:space="preserve"> </w:t>
      </w:r>
      <w:r w:rsidR="005F52ED" w:rsidRPr="00163A6B">
        <w:rPr>
          <w:rFonts w:ascii="Arial" w:hAnsi="Arial" w:cs="Arial"/>
        </w:rPr>
        <w:t xml:space="preserve">more common </w:t>
      </w:r>
      <w:r w:rsidR="006A1D29" w:rsidRPr="00163A6B">
        <w:rPr>
          <w:rFonts w:ascii="Arial" w:hAnsi="Arial" w:cs="Arial"/>
        </w:rPr>
        <w:t xml:space="preserve">to the </w:t>
      </w:r>
      <w:r w:rsidR="005F52ED" w:rsidRPr="00163A6B">
        <w:rPr>
          <w:rFonts w:ascii="Arial" w:hAnsi="Arial" w:cs="Arial"/>
        </w:rPr>
        <w:t>COVID-19 vaccines than other vaccines</w:t>
      </w:r>
      <w:r w:rsidR="006E748C" w:rsidRPr="00163A6B">
        <w:rPr>
          <w:rFonts w:ascii="Arial" w:hAnsi="Arial" w:cs="Arial"/>
        </w:rPr>
        <w:t xml:space="preserve"> which have been </w:t>
      </w:r>
      <w:r w:rsidR="005F52ED" w:rsidRPr="00163A6B">
        <w:rPr>
          <w:rFonts w:ascii="Arial" w:hAnsi="Arial" w:cs="Arial"/>
        </w:rPr>
        <w:t xml:space="preserve">used safely for more than </w:t>
      </w:r>
      <w:r w:rsidR="00455857" w:rsidRPr="00163A6B">
        <w:rPr>
          <w:rFonts w:ascii="Arial" w:hAnsi="Arial" w:cs="Arial"/>
        </w:rPr>
        <w:t>7</w:t>
      </w:r>
      <w:r w:rsidR="005F52ED" w:rsidRPr="00163A6B">
        <w:rPr>
          <w:rFonts w:ascii="Arial" w:hAnsi="Arial" w:cs="Arial"/>
        </w:rPr>
        <w:t>0 years and</w:t>
      </w:r>
      <w:r w:rsidR="006A1D29" w:rsidRPr="00163A6B">
        <w:rPr>
          <w:rFonts w:ascii="Arial" w:hAnsi="Arial" w:cs="Arial"/>
        </w:rPr>
        <w:t xml:space="preserve"> are</w:t>
      </w:r>
      <w:r w:rsidR="005F52ED" w:rsidRPr="00163A6B">
        <w:rPr>
          <w:rFonts w:ascii="Arial" w:hAnsi="Arial" w:cs="Arial"/>
        </w:rPr>
        <w:t xml:space="preserve"> widely accepted b</w:t>
      </w:r>
      <w:r w:rsidR="005E303B" w:rsidRPr="00163A6B">
        <w:rPr>
          <w:rFonts w:ascii="Arial" w:hAnsi="Arial" w:cs="Arial"/>
        </w:rPr>
        <w:t xml:space="preserve">y </w:t>
      </w:r>
      <w:r w:rsidR="005F52ED" w:rsidRPr="00163A6B">
        <w:rPr>
          <w:rFonts w:ascii="Arial" w:hAnsi="Arial" w:cs="Arial"/>
        </w:rPr>
        <w:t>the public.</w:t>
      </w:r>
      <w:r w:rsidR="006E748C" w:rsidRPr="00163A6B">
        <w:rPr>
          <w:rFonts w:ascii="Arial" w:hAnsi="Arial" w:cs="Arial"/>
        </w:rPr>
        <w:t xml:space="preserve"> </w:t>
      </w:r>
      <w:r w:rsidR="00BB3031">
        <w:rPr>
          <w:rFonts w:ascii="Arial" w:hAnsi="Arial" w:cs="Arial"/>
        </w:rPr>
        <w:t xml:space="preserve"> The variable national responses to COVID-19 showed rapid activation of public health measures was the most effective strategy.  Now that </w:t>
      </w:r>
      <w:r w:rsidR="00AE6EA7">
        <w:rPr>
          <w:rFonts w:ascii="Arial" w:hAnsi="Arial" w:cs="Arial"/>
        </w:rPr>
        <w:t>vaccination is underway using new vaccines</w:t>
      </w:r>
      <w:r w:rsidR="00CB349E">
        <w:rPr>
          <w:rFonts w:ascii="Arial" w:hAnsi="Arial" w:cs="Arial"/>
        </w:rPr>
        <w:t>,</w:t>
      </w:r>
      <w:r w:rsidR="00BB3031">
        <w:rPr>
          <w:rFonts w:ascii="Arial" w:hAnsi="Arial" w:cs="Arial"/>
        </w:rPr>
        <w:t xml:space="preserve"> the allergy community must reassure governments,  public health bodies and vaccination programs to proceed with vaccination at the fastest possible pace. </w:t>
      </w:r>
    </w:p>
    <w:p w14:paraId="402AF54B" w14:textId="6D19627F" w:rsidR="007A1005" w:rsidRPr="00163A6B" w:rsidRDefault="007A1005" w:rsidP="005016A2">
      <w:pPr>
        <w:spacing w:line="480" w:lineRule="auto"/>
        <w:jc w:val="both"/>
        <w:rPr>
          <w:rFonts w:ascii="Arial" w:hAnsi="Arial" w:cs="Arial"/>
        </w:rPr>
      </w:pPr>
    </w:p>
    <w:p w14:paraId="68B43C62" w14:textId="657D64F3" w:rsidR="009C097F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1696A6F4" w14:textId="2C8FAEF7" w:rsidR="009C097F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1F3808C8" w14:textId="43B5AC55" w:rsidR="009C097F" w:rsidRPr="00AE6EA7" w:rsidRDefault="009C097F" w:rsidP="005016A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BA12441" w14:textId="5FF89040" w:rsidR="009C097F" w:rsidRPr="00AE6EA7" w:rsidRDefault="009C097F" w:rsidP="005016A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DC2E1C2" w14:textId="185BA8A5" w:rsidR="009C097F" w:rsidRPr="00AE6EA7" w:rsidRDefault="009C097F" w:rsidP="005016A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F617B44" w14:textId="29C29175" w:rsidR="009C097F" w:rsidRPr="00AE6EA7" w:rsidRDefault="009C097F" w:rsidP="005016A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853005C" w14:textId="13418E82" w:rsidR="009C097F" w:rsidRPr="00AE6EA7" w:rsidRDefault="009C097F" w:rsidP="005016A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504D6D6" w14:textId="35B29FC4" w:rsidR="009C097F" w:rsidRPr="00AE6EA7" w:rsidRDefault="009C097F" w:rsidP="005016A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0A7FBBF" w14:textId="6771842F" w:rsidR="009C097F" w:rsidRPr="00AE6EA7" w:rsidRDefault="009C097F" w:rsidP="005016A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38C6E2B" w14:textId="36460872" w:rsidR="00E24AC3" w:rsidRPr="00AE6EA7" w:rsidRDefault="00E24AC3" w:rsidP="00E24AC3">
      <w:pPr>
        <w:rPr>
          <w:sz w:val="20"/>
          <w:szCs w:val="20"/>
        </w:rPr>
      </w:pPr>
      <w:r w:rsidRPr="00AE6EA7">
        <w:rPr>
          <w:sz w:val="20"/>
          <w:szCs w:val="20"/>
        </w:rPr>
        <w:t xml:space="preserve">Table </w:t>
      </w:r>
      <w:r w:rsidR="00AE6EA7" w:rsidRPr="00AE6EA7">
        <w:rPr>
          <w:sz w:val="20"/>
          <w:szCs w:val="20"/>
        </w:rPr>
        <w:t>1</w:t>
      </w:r>
      <w:r w:rsidRPr="00AE6EA7">
        <w:rPr>
          <w:sz w:val="20"/>
          <w:szCs w:val="20"/>
        </w:rPr>
        <w:t xml:space="preserve">  Comparison of Criteria for the Grading of Anaphylaxis</w:t>
      </w:r>
    </w:p>
    <w:p w14:paraId="2D6B3FF7" w14:textId="77777777" w:rsidR="00E24AC3" w:rsidRPr="00AE6EA7" w:rsidRDefault="00E24AC3" w:rsidP="00E24AC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2844"/>
        <w:gridCol w:w="2877"/>
      </w:tblGrid>
      <w:tr w:rsidR="00E24AC3" w:rsidRPr="00AE6EA7" w14:paraId="516A66A7" w14:textId="77777777" w:rsidTr="00CF0D42">
        <w:tc>
          <w:tcPr>
            <w:tcW w:w="0" w:type="auto"/>
          </w:tcPr>
          <w:p w14:paraId="0681A021" w14:textId="15A6B669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Brighton Collaboration Criteria</w:t>
            </w:r>
            <w:r w:rsidR="00AE6EA7">
              <w:rPr>
                <w:sz w:val="20"/>
                <w:szCs w:val="20"/>
              </w:rPr>
              <w:t xml:space="preserve"> </w:t>
            </w:r>
            <w:r w:rsidR="00AE6EA7" w:rsidRPr="00E66526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0" w:type="auto"/>
          </w:tcPr>
          <w:p w14:paraId="35E8CAB6" w14:textId="37FA0096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NIAID Criteria (2005)</w:t>
            </w:r>
            <w:r w:rsidR="00AE6EA7" w:rsidRPr="00E66526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0" w:type="auto"/>
          </w:tcPr>
          <w:p w14:paraId="3EB56EDA" w14:textId="72AFE334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WAO Criteria (2020)</w:t>
            </w:r>
            <w:r w:rsidR="00AE6EA7" w:rsidRPr="00E66526">
              <w:rPr>
                <w:sz w:val="20"/>
                <w:szCs w:val="20"/>
                <w:vertAlign w:val="superscript"/>
              </w:rPr>
              <w:t>9</w:t>
            </w:r>
            <w:r w:rsidRPr="00AE6EA7">
              <w:rPr>
                <w:sz w:val="20"/>
                <w:szCs w:val="20"/>
              </w:rPr>
              <w:t>*</w:t>
            </w:r>
          </w:p>
        </w:tc>
      </w:tr>
      <w:tr w:rsidR="00E24AC3" w:rsidRPr="00AE6EA7" w14:paraId="1FB61F8B" w14:textId="77777777" w:rsidTr="00CF0D42">
        <w:tc>
          <w:tcPr>
            <w:tcW w:w="0" w:type="auto"/>
          </w:tcPr>
          <w:p w14:paraId="79F0FD1D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For all levels of diagnostic certainty</w:t>
            </w:r>
          </w:p>
          <w:p w14:paraId="2D2B49AE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Anaphylaxis is a clinical syndrome characterized by</w:t>
            </w:r>
          </w:p>
          <w:p w14:paraId="70B673B2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sudden onset AND</w:t>
            </w:r>
          </w:p>
          <w:p w14:paraId="22816B8D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rapid progression of signs and symptoms AND</w:t>
            </w:r>
          </w:p>
          <w:p w14:paraId="5A07CBAD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involving multiple (≥2) organ systems, as follows</w:t>
            </w:r>
          </w:p>
          <w:p w14:paraId="781D8250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F1D286E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Level 1 of diagnostic certainty</w:t>
            </w:r>
          </w:p>
          <w:p w14:paraId="3CA4D70F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≥1 major dermatological AND</w:t>
            </w:r>
          </w:p>
          <w:p w14:paraId="1ADB1EC9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≥1 major cardiovascular AND/OR ≥1 major respiratory criterion</w:t>
            </w:r>
          </w:p>
          <w:p w14:paraId="6338D1AB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D0865C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Level 2 of diagnostic certainty</w:t>
            </w:r>
          </w:p>
          <w:p w14:paraId="7BBF26D9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≥1 major cardiovascular AND ≥1 major respiratory criterion OR</w:t>
            </w:r>
          </w:p>
          <w:p w14:paraId="6F425235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≥1 major cardiovascular OR respiratory criterion AND</w:t>
            </w:r>
          </w:p>
          <w:p w14:paraId="5E58B35D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≥1 minor criterion involving ≥1 different system (other than cardiovascular or respiratory systems) OR</w:t>
            </w:r>
          </w:p>
          <w:p w14:paraId="0BE5D739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(≥1 major dermatologic) AND (≥1 minor cardiovascular AND/OR minor respiratory criterion)</w:t>
            </w:r>
          </w:p>
          <w:p w14:paraId="0B7E506B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DFE0E2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Level 3 of diagnostic certainty</w:t>
            </w:r>
          </w:p>
          <w:p w14:paraId="32C2E092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≥1 minor cardiovascular OR respiratory criterion AND</w:t>
            </w:r>
          </w:p>
          <w:p w14:paraId="792E09CB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 • ≥1 minor criterion from each of ≥2 different systems/categories</w:t>
            </w:r>
          </w:p>
          <w:p w14:paraId="763A98E5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08759D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94DB94" w14:textId="77777777" w:rsidR="00E24AC3" w:rsidRPr="00AE6EA7" w:rsidRDefault="00E24AC3" w:rsidP="00CF0D42">
            <w:pPr>
              <w:rPr>
                <w:sz w:val="20"/>
                <w:szCs w:val="20"/>
                <w:u w:val="single"/>
              </w:rPr>
            </w:pPr>
            <w:r w:rsidRPr="00AE6EA7">
              <w:rPr>
                <w:sz w:val="20"/>
                <w:szCs w:val="20"/>
                <w:u w:val="single"/>
              </w:rPr>
              <w:t xml:space="preserve">Major criteria </w:t>
            </w:r>
          </w:p>
          <w:p w14:paraId="75B8AAE8" w14:textId="77777777" w:rsidR="00E24AC3" w:rsidRPr="00AE6EA7" w:rsidRDefault="00E24AC3" w:rsidP="00CF0D42">
            <w:pPr>
              <w:rPr>
                <w:i/>
                <w:iCs/>
                <w:sz w:val="20"/>
                <w:szCs w:val="20"/>
              </w:rPr>
            </w:pPr>
            <w:r w:rsidRPr="00AE6EA7">
              <w:rPr>
                <w:i/>
                <w:iCs/>
                <w:sz w:val="20"/>
                <w:szCs w:val="20"/>
              </w:rPr>
              <w:t>Dermatologic or mucosal</w:t>
            </w:r>
            <w:r w:rsidRPr="00AE6EA7">
              <w:rPr>
                <w:i/>
                <w:iCs/>
                <w:sz w:val="20"/>
                <w:szCs w:val="20"/>
              </w:rPr>
              <w:tab/>
            </w:r>
          </w:p>
          <w:p w14:paraId="48818715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generalized urticaria (hives) or generalized erythema</w:t>
            </w:r>
          </w:p>
          <w:p w14:paraId="2C2813C3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angioedema*, localized or generalized</w:t>
            </w:r>
          </w:p>
          <w:p w14:paraId="188ADF3B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generalized pruritus with skin rash</w:t>
            </w:r>
          </w:p>
          <w:p w14:paraId="22A2A789" w14:textId="77777777" w:rsidR="00E24AC3" w:rsidRPr="00AE6EA7" w:rsidRDefault="00E24AC3" w:rsidP="00CF0D42">
            <w:pPr>
              <w:rPr>
                <w:sz w:val="20"/>
                <w:szCs w:val="20"/>
              </w:rPr>
            </w:pPr>
          </w:p>
          <w:p w14:paraId="55020916" w14:textId="77777777" w:rsidR="00E24AC3" w:rsidRPr="00AE6EA7" w:rsidRDefault="00E24AC3" w:rsidP="00CF0D42">
            <w:pPr>
              <w:rPr>
                <w:i/>
                <w:iCs/>
                <w:sz w:val="20"/>
                <w:szCs w:val="20"/>
              </w:rPr>
            </w:pPr>
            <w:r w:rsidRPr="00AE6EA7">
              <w:rPr>
                <w:i/>
                <w:iCs/>
                <w:sz w:val="20"/>
                <w:szCs w:val="20"/>
              </w:rPr>
              <w:t>Cardiovascular</w:t>
            </w:r>
            <w:r w:rsidRPr="00AE6EA7">
              <w:rPr>
                <w:i/>
                <w:iCs/>
                <w:sz w:val="20"/>
                <w:szCs w:val="20"/>
              </w:rPr>
              <w:tab/>
            </w:r>
          </w:p>
          <w:p w14:paraId="4A23746C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measured hypotension</w:t>
            </w:r>
          </w:p>
          <w:p w14:paraId="4D362E7F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clinical diagnosis of uncompensated shock, indicated by the combination of at least 3 of the following:</w:t>
            </w:r>
          </w:p>
          <w:p w14:paraId="32A2A11E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tachycardia</w:t>
            </w:r>
          </w:p>
          <w:p w14:paraId="240BD3B7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capillary refill time &gt;3 s</w:t>
            </w:r>
          </w:p>
          <w:p w14:paraId="74C5E8D2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lastRenderedPageBreak/>
              <w:t xml:space="preserve"> • reduced central pulse volume</w:t>
            </w:r>
          </w:p>
          <w:p w14:paraId="6781BC38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decreased level of consciousness or loss of consciousness</w:t>
            </w:r>
          </w:p>
          <w:p w14:paraId="771E9AF7" w14:textId="77777777" w:rsidR="00E24AC3" w:rsidRPr="00AE6EA7" w:rsidRDefault="00E24AC3" w:rsidP="00CF0D42">
            <w:pPr>
              <w:rPr>
                <w:sz w:val="20"/>
                <w:szCs w:val="20"/>
              </w:rPr>
            </w:pPr>
          </w:p>
          <w:p w14:paraId="6C2BE1C6" w14:textId="77777777" w:rsidR="00E24AC3" w:rsidRPr="00AE6EA7" w:rsidRDefault="00E24AC3" w:rsidP="00CF0D42">
            <w:pPr>
              <w:rPr>
                <w:i/>
                <w:iCs/>
                <w:sz w:val="20"/>
                <w:szCs w:val="20"/>
              </w:rPr>
            </w:pPr>
            <w:r w:rsidRPr="00AE6EA7">
              <w:rPr>
                <w:i/>
                <w:iCs/>
                <w:sz w:val="20"/>
                <w:szCs w:val="20"/>
              </w:rPr>
              <w:t>Respiratory</w:t>
            </w:r>
            <w:r w:rsidRPr="00AE6EA7">
              <w:rPr>
                <w:i/>
                <w:iCs/>
                <w:sz w:val="20"/>
                <w:szCs w:val="20"/>
              </w:rPr>
              <w:tab/>
            </w:r>
          </w:p>
          <w:p w14:paraId="6A81666F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bilateral wheeze (bronchospasm)</w:t>
            </w:r>
          </w:p>
          <w:p w14:paraId="014393C2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stridor</w:t>
            </w:r>
          </w:p>
          <w:p w14:paraId="18882E61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upper airway swelling (lip, tongue, throat, uvula, or larynx)</w:t>
            </w:r>
          </w:p>
          <w:p w14:paraId="3B67FBDB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respiratory distress—2 or more of the following:</w:t>
            </w:r>
          </w:p>
          <w:p w14:paraId="1F35E3E1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</w:t>
            </w:r>
            <w:proofErr w:type="spellStart"/>
            <w:r w:rsidRPr="00AE6EA7">
              <w:rPr>
                <w:sz w:val="20"/>
                <w:szCs w:val="20"/>
              </w:rPr>
              <w:t>tachypnea</w:t>
            </w:r>
            <w:proofErr w:type="spellEnd"/>
          </w:p>
          <w:p w14:paraId="7173EC54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increased use of accessory respiratory muscles (sternocleidomastoid, intercostals, etc.)</w:t>
            </w:r>
          </w:p>
          <w:p w14:paraId="073E3832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recession</w:t>
            </w:r>
          </w:p>
          <w:p w14:paraId="78FE9C5E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cyanosis</w:t>
            </w:r>
          </w:p>
          <w:p w14:paraId="5AC1C9EB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grunting</w:t>
            </w:r>
          </w:p>
          <w:p w14:paraId="576C1B4E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*Not hereditary angioedema.</w:t>
            </w:r>
          </w:p>
          <w:p w14:paraId="69605E7E" w14:textId="77777777" w:rsidR="00E24AC3" w:rsidRPr="00AE6EA7" w:rsidRDefault="00E24AC3" w:rsidP="00CF0D42">
            <w:pPr>
              <w:rPr>
                <w:sz w:val="20"/>
                <w:szCs w:val="20"/>
              </w:rPr>
            </w:pPr>
          </w:p>
          <w:p w14:paraId="3115FBD7" w14:textId="77777777" w:rsidR="00E24AC3" w:rsidRPr="00AE6EA7" w:rsidRDefault="00E24AC3" w:rsidP="00CF0D42">
            <w:pPr>
              <w:rPr>
                <w:sz w:val="20"/>
                <w:szCs w:val="20"/>
              </w:rPr>
            </w:pPr>
          </w:p>
          <w:p w14:paraId="336B2872" w14:textId="77777777" w:rsidR="00E24AC3" w:rsidRPr="00AE6EA7" w:rsidRDefault="00E24AC3" w:rsidP="00CF0D42">
            <w:pPr>
              <w:rPr>
                <w:sz w:val="20"/>
                <w:szCs w:val="20"/>
                <w:u w:val="single"/>
              </w:rPr>
            </w:pPr>
            <w:r w:rsidRPr="00AE6EA7">
              <w:rPr>
                <w:sz w:val="20"/>
                <w:szCs w:val="20"/>
                <w:u w:val="single"/>
              </w:rPr>
              <w:t xml:space="preserve">Minor criteria </w:t>
            </w:r>
          </w:p>
          <w:p w14:paraId="30FB5FE0" w14:textId="77777777" w:rsidR="00E24AC3" w:rsidRPr="00AE6EA7" w:rsidRDefault="00E24AC3" w:rsidP="00CF0D42">
            <w:pPr>
              <w:rPr>
                <w:i/>
                <w:iCs/>
                <w:sz w:val="20"/>
                <w:szCs w:val="20"/>
              </w:rPr>
            </w:pPr>
            <w:r w:rsidRPr="00AE6EA7">
              <w:rPr>
                <w:i/>
                <w:iCs/>
                <w:sz w:val="20"/>
                <w:szCs w:val="20"/>
              </w:rPr>
              <w:t>Dermatologic or mucosal</w:t>
            </w:r>
            <w:r w:rsidRPr="00AE6EA7">
              <w:rPr>
                <w:i/>
                <w:iCs/>
                <w:sz w:val="20"/>
                <w:szCs w:val="20"/>
              </w:rPr>
              <w:tab/>
            </w:r>
          </w:p>
          <w:p w14:paraId="3699F2A3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generalized pruritus without skin rash</w:t>
            </w:r>
          </w:p>
          <w:p w14:paraId="4AFE1E06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generalized prickle sensation</w:t>
            </w:r>
          </w:p>
          <w:p w14:paraId="11D2989C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localized injection site urticaria</w:t>
            </w:r>
          </w:p>
          <w:p w14:paraId="573556A3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red and itchy eyes</w:t>
            </w:r>
          </w:p>
          <w:p w14:paraId="34498D5F" w14:textId="77777777" w:rsidR="00E24AC3" w:rsidRPr="00AE6EA7" w:rsidRDefault="00E24AC3" w:rsidP="00CF0D42">
            <w:pPr>
              <w:rPr>
                <w:i/>
                <w:iCs/>
                <w:sz w:val="20"/>
                <w:szCs w:val="20"/>
              </w:rPr>
            </w:pPr>
          </w:p>
          <w:p w14:paraId="04C14D68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i/>
                <w:iCs/>
                <w:sz w:val="20"/>
                <w:szCs w:val="20"/>
              </w:rPr>
              <w:t>Cardiovascular</w:t>
            </w:r>
            <w:r w:rsidRPr="00AE6EA7">
              <w:rPr>
                <w:sz w:val="20"/>
                <w:szCs w:val="20"/>
              </w:rPr>
              <w:tab/>
            </w:r>
          </w:p>
          <w:p w14:paraId="06C344BC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reduced peripheral circulation as indicated by the combination of at least 2 of</w:t>
            </w:r>
          </w:p>
          <w:p w14:paraId="0C308B62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tachycardia and</w:t>
            </w:r>
          </w:p>
          <w:p w14:paraId="3D5FF316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a capillary refill time of &gt;3 s without hypotension</w:t>
            </w:r>
          </w:p>
          <w:p w14:paraId="24FD6D95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 • a decreased level of consciousness</w:t>
            </w:r>
          </w:p>
          <w:p w14:paraId="2961B7C2" w14:textId="77777777" w:rsidR="00E24AC3" w:rsidRPr="00AE6EA7" w:rsidRDefault="00E24AC3" w:rsidP="00CF0D42">
            <w:pPr>
              <w:rPr>
                <w:sz w:val="20"/>
                <w:szCs w:val="20"/>
              </w:rPr>
            </w:pPr>
          </w:p>
          <w:p w14:paraId="24D36405" w14:textId="77777777" w:rsidR="00E24AC3" w:rsidRPr="00AE6EA7" w:rsidRDefault="00E24AC3" w:rsidP="00CF0D42">
            <w:pPr>
              <w:rPr>
                <w:i/>
                <w:iCs/>
                <w:sz w:val="20"/>
                <w:szCs w:val="20"/>
              </w:rPr>
            </w:pPr>
            <w:r w:rsidRPr="00AE6EA7">
              <w:rPr>
                <w:i/>
                <w:iCs/>
                <w:sz w:val="20"/>
                <w:szCs w:val="20"/>
              </w:rPr>
              <w:t>Respiratory</w:t>
            </w:r>
            <w:r w:rsidRPr="00AE6EA7">
              <w:rPr>
                <w:i/>
                <w:iCs/>
                <w:sz w:val="20"/>
                <w:szCs w:val="20"/>
              </w:rPr>
              <w:tab/>
            </w:r>
          </w:p>
          <w:p w14:paraId="5CB0E5C9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persistent dry cough</w:t>
            </w:r>
          </w:p>
          <w:p w14:paraId="096C4549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hoarse voice</w:t>
            </w:r>
          </w:p>
          <w:p w14:paraId="19AABF43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difficulty breathing without wheeze or stridor</w:t>
            </w:r>
          </w:p>
          <w:p w14:paraId="46783A97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sensation of throat closure</w:t>
            </w:r>
          </w:p>
          <w:p w14:paraId="0D6C971D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• sneezing, </w:t>
            </w:r>
            <w:proofErr w:type="spellStart"/>
            <w:r w:rsidRPr="00AE6EA7">
              <w:rPr>
                <w:sz w:val="20"/>
                <w:szCs w:val="20"/>
              </w:rPr>
              <w:t>rhinorrhea</w:t>
            </w:r>
            <w:proofErr w:type="spellEnd"/>
          </w:p>
          <w:p w14:paraId="19EDE85D" w14:textId="77777777" w:rsidR="00E24AC3" w:rsidRPr="00AE6EA7" w:rsidRDefault="00E24AC3" w:rsidP="00CF0D42">
            <w:pPr>
              <w:rPr>
                <w:sz w:val="20"/>
                <w:szCs w:val="20"/>
              </w:rPr>
            </w:pPr>
          </w:p>
          <w:p w14:paraId="56F7ED6F" w14:textId="77777777" w:rsidR="00E24AC3" w:rsidRPr="00AE6EA7" w:rsidRDefault="00E24AC3" w:rsidP="00CF0D42">
            <w:pPr>
              <w:rPr>
                <w:i/>
                <w:iCs/>
                <w:sz w:val="20"/>
                <w:szCs w:val="20"/>
              </w:rPr>
            </w:pPr>
            <w:r w:rsidRPr="00AE6EA7">
              <w:rPr>
                <w:i/>
                <w:iCs/>
                <w:sz w:val="20"/>
                <w:szCs w:val="20"/>
              </w:rPr>
              <w:t>Gastrointestinal</w:t>
            </w:r>
            <w:r w:rsidRPr="00AE6EA7">
              <w:rPr>
                <w:i/>
                <w:iCs/>
                <w:sz w:val="20"/>
                <w:szCs w:val="20"/>
              </w:rPr>
              <w:tab/>
            </w:r>
          </w:p>
          <w:p w14:paraId="005C9744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• </w:t>
            </w:r>
            <w:proofErr w:type="spellStart"/>
            <w:r w:rsidRPr="00AE6EA7">
              <w:rPr>
                <w:sz w:val="20"/>
                <w:szCs w:val="20"/>
              </w:rPr>
              <w:t>diarrhea</w:t>
            </w:r>
            <w:proofErr w:type="spellEnd"/>
          </w:p>
          <w:p w14:paraId="7B23BA4E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abdominal pain</w:t>
            </w:r>
          </w:p>
          <w:p w14:paraId="24AF41CB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nausea</w:t>
            </w:r>
          </w:p>
          <w:p w14:paraId="727BC98E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vomiting</w:t>
            </w:r>
          </w:p>
          <w:p w14:paraId="11F0515D" w14:textId="77777777" w:rsidR="00E24AC3" w:rsidRPr="00AE6EA7" w:rsidRDefault="00E24AC3" w:rsidP="00CF0D42">
            <w:pPr>
              <w:rPr>
                <w:sz w:val="20"/>
                <w:szCs w:val="20"/>
              </w:rPr>
            </w:pPr>
          </w:p>
          <w:p w14:paraId="4B6E0B2A" w14:textId="77777777" w:rsidR="00E24AC3" w:rsidRPr="00AE6EA7" w:rsidRDefault="00E24AC3" w:rsidP="00CF0D42">
            <w:pPr>
              <w:rPr>
                <w:i/>
                <w:iCs/>
                <w:sz w:val="20"/>
                <w:szCs w:val="20"/>
              </w:rPr>
            </w:pPr>
            <w:r w:rsidRPr="00AE6EA7">
              <w:rPr>
                <w:i/>
                <w:iCs/>
                <w:sz w:val="20"/>
                <w:szCs w:val="20"/>
              </w:rPr>
              <w:t>Laboratory</w:t>
            </w:r>
            <w:r w:rsidRPr="00AE6EA7">
              <w:rPr>
                <w:i/>
                <w:iCs/>
                <w:sz w:val="20"/>
                <w:szCs w:val="20"/>
              </w:rPr>
              <w:tab/>
            </w:r>
          </w:p>
          <w:p w14:paraId="57AF34CE" w14:textId="77777777" w:rsidR="00E24AC3" w:rsidRPr="00AE6EA7" w:rsidRDefault="00E24AC3" w:rsidP="00CF0D42">
            <w:pPr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• Mast cell tryptase elevation &gt; upper normal limit</w:t>
            </w:r>
          </w:p>
          <w:p w14:paraId="7789A7E9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FB971E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lastRenderedPageBreak/>
              <w:t xml:space="preserve">Anaphylaxis is highly likely when any one of the following 3 criteria are fulfilled: </w:t>
            </w:r>
          </w:p>
          <w:p w14:paraId="2CE1554F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927178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1. Acute onset of an illness (minutes to several hours) with involvement of the skin, mucosal tissue, or</w:t>
            </w:r>
          </w:p>
          <w:p w14:paraId="1C17E429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both (</w:t>
            </w:r>
            <w:proofErr w:type="spellStart"/>
            <w:r w:rsidRPr="00AE6EA7">
              <w:rPr>
                <w:sz w:val="20"/>
                <w:szCs w:val="20"/>
              </w:rPr>
              <w:t>eg</w:t>
            </w:r>
            <w:proofErr w:type="spellEnd"/>
            <w:r w:rsidRPr="00AE6EA7">
              <w:rPr>
                <w:sz w:val="20"/>
                <w:szCs w:val="20"/>
              </w:rPr>
              <w:t>, generalized hives, pruritus or flushing, swollen lips-tongue-uvula)</w:t>
            </w:r>
          </w:p>
          <w:p w14:paraId="5B98AB05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AND AT LEAST ONE OF THE FOLLOWING</w:t>
            </w:r>
          </w:p>
          <w:p w14:paraId="0AE5CC84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a. Respiratory compromise (</w:t>
            </w:r>
            <w:proofErr w:type="spellStart"/>
            <w:r w:rsidRPr="00AE6EA7">
              <w:rPr>
                <w:sz w:val="20"/>
                <w:szCs w:val="20"/>
              </w:rPr>
              <w:t>eg</w:t>
            </w:r>
            <w:proofErr w:type="spellEnd"/>
            <w:r w:rsidRPr="00AE6EA7">
              <w:rPr>
                <w:sz w:val="20"/>
                <w:szCs w:val="20"/>
              </w:rPr>
              <w:t xml:space="preserve">, </w:t>
            </w:r>
            <w:proofErr w:type="spellStart"/>
            <w:r w:rsidRPr="00AE6EA7">
              <w:rPr>
                <w:sz w:val="20"/>
                <w:szCs w:val="20"/>
              </w:rPr>
              <w:t>dyspnea</w:t>
            </w:r>
            <w:proofErr w:type="spellEnd"/>
            <w:r w:rsidRPr="00AE6EA7">
              <w:rPr>
                <w:sz w:val="20"/>
                <w:szCs w:val="20"/>
              </w:rPr>
              <w:t>, wheeze-bronchospasm, stridor, reduced PEF, hypoxemia)</w:t>
            </w:r>
          </w:p>
          <w:p w14:paraId="2CE3946F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b. Reduced BP or associated symptoms of end-organ dysfunction (</w:t>
            </w:r>
            <w:proofErr w:type="spellStart"/>
            <w:r w:rsidRPr="00AE6EA7">
              <w:rPr>
                <w:sz w:val="20"/>
                <w:szCs w:val="20"/>
              </w:rPr>
              <w:t>eg</w:t>
            </w:r>
            <w:proofErr w:type="spellEnd"/>
            <w:r w:rsidRPr="00AE6EA7">
              <w:rPr>
                <w:sz w:val="20"/>
                <w:szCs w:val="20"/>
              </w:rPr>
              <w:t>, hypotonia (collapse], syncope,</w:t>
            </w:r>
          </w:p>
          <w:p w14:paraId="31C22DCF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incontinence)</w:t>
            </w:r>
          </w:p>
          <w:p w14:paraId="01641C9E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AA98A3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2. Two or more of the following that occur rapidly after exposure to a likely allergen for that patient</w:t>
            </w:r>
          </w:p>
          <w:p w14:paraId="43AE8ABE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(minutes to several hours):</w:t>
            </w:r>
          </w:p>
          <w:p w14:paraId="1A0D8533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a. Involvement of the skin-mucosal tissue (</w:t>
            </w:r>
            <w:proofErr w:type="spellStart"/>
            <w:r w:rsidRPr="00AE6EA7">
              <w:rPr>
                <w:sz w:val="20"/>
                <w:szCs w:val="20"/>
              </w:rPr>
              <w:t>eg</w:t>
            </w:r>
            <w:proofErr w:type="spellEnd"/>
            <w:r w:rsidRPr="00AE6EA7">
              <w:rPr>
                <w:sz w:val="20"/>
                <w:szCs w:val="20"/>
              </w:rPr>
              <w:t>, generalized hives, itch-flush, swollen lips-tongue-uvula)</w:t>
            </w:r>
          </w:p>
          <w:p w14:paraId="13BBB7C4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b. Respiratory compromise (</w:t>
            </w:r>
            <w:proofErr w:type="spellStart"/>
            <w:r w:rsidRPr="00AE6EA7">
              <w:rPr>
                <w:sz w:val="20"/>
                <w:szCs w:val="20"/>
              </w:rPr>
              <w:t>eg</w:t>
            </w:r>
            <w:proofErr w:type="spellEnd"/>
            <w:r w:rsidRPr="00AE6EA7">
              <w:rPr>
                <w:sz w:val="20"/>
                <w:szCs w:val="20"/>
              </w:rPr>
              <w:t xml:space="preserve">, </w:t>
            </w:r>
            <w:proofErr w:type="spellStart"/>
            <w:r w:rsidRPr="00AE6EA7">
              <w:rPr>
                <w:sz w:val="20"/>
                <w:szCs w:val="20"/>
              </w:rPr>
              <w:t>dyspnea</w:t>
            </w:r>
            <w:proofErr w:type="spellEnd"/>
            <w:r w:rsidRPr="00AE6EA7">
              <w:rPr>
                <w:sz w:val="20"/>
                <w:szCs w:val="20"/>
              </w:rPr>
              <w:t>, wheeze-bronchospasm, stridor, reduced PEF, hypoxemia)</w:t>
            </w:r>
          </w:p>
          <w:p w14:paraId="2385A38F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c. Reduced BP or associated symptoms (</w:t>
            </w:r>
            <w:proofErr w:type="spellStart"/>
            <w:r w:rsidRPr="00AE6EA7">
              <w:rPr>
                <w:sz w:val="20"/>
                <w:szCs w:val="20"/>
              </w:rPr>
              <w:t>eg</w:t>
            </w:r>
            <w:proofErr w:type="spellEnd"/>
            <w:r w:rsidRPr="00AE6EA7">
              <w:rPr>
                <w:sz w:val="20"/>
                <w:szCs w:val="20"/>
              </w:rPr>
              <w:t>, hypotonia [collapse], syncope, incontinence)</w:t>
            </w:r>
          </w:p>
          <w:p w14:paraId="58E0781E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d. Persistent gastrointestinal symptoms (</w:t>
            </w:r>
            <w:proofErr w:type="spellStart"/>
            <w:r w:rsidRPr="00AE6EA7">
              <w:rPr>
                <w:sz w:val="20"/>
                <w:szCs w:val="20"/>
              </w:rPr>
              <w:t>eg</w:t>
            </w:r>
            <w:proofErr w:type="spellEnd"/>
            <w:r w:rsidRPr="00AE6EA7">
              <w:rPr>
                <w:sz w:val="20"/>
                <w:szCs w:val="20"/>
              </w:rPr>
              <w:t>, crampy abdominal pain, vomiting)</w:t>
            </w:r>
          </w:p>
          <w:p w14:paraId="366D0891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FEE6B36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3. Reduced blood pressure after exposure to known allergen for that patient (minutes to several hours):</w:t>
            </w:r>
          </w:p>
          <w:p w14:paraId="4893A380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lastRenderedPageBreak/>
              <w:t>a. Infants and children: low systolic BP (age specific) or greater than 30% decrease in systolic BP</w:t>
            </w:r>
          </w:p>
          <w:p w14:paraId="62F437C5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b. Adults: systolic BP of less than 90 mm Hg or greater than 30% decrease from that person's baseline</w:t>
            </w:r>
          </w:p>
        </w:tc>
        <w:tc>
          <w:tcPr>
            <w:tcW w:w="0" w:type="auto"/>
          </w:tcPr>
          <w:p w14:paraId="4E0C6B57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lastRenderedPageBreak/>
              <w:t>Anaphylaxis is highly likely when any one of the following 2 criteria are fulfilled:</w:t>
            </w:r>
          </w:p>
          <w:p w14:paraId="4D7EBC3A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207CBD3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1. Acute onset of an illness (minutes to several hours) with involvement of the skin, mucosal tissue, or</w:t>
            </w:r>
          </w:p>
          <w:p w14:paraId="50230D75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both (e.g. generalized hives, pruritus or flushing, swollen lips-tongue-uvula)</w:t>
            </w:r>
          </w:p>
          <w:p w14:paraId="6BC816FF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AND AT LEAST ONE OF THE FOLLOWING:</w:t>
            </w:r>
          </w:p>
          <w:p w14:paraId="76271823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 xml:space="preserve">a. Respiratory compromise (e.g. </w:t>
            </w:r>
            <w:proofErr w:type="spellStart"/>
            <w:r w:rsidRPr="00AE6EA7">
              <w:rPr>
                <w:sz w:val="20"/>
                <w:szCs w:val="20"/>
              </w:rPr>
              <w:t>dyspnea</w:t>
            </w:r>
            <w:proofErr w:type="spellEnd"/>
            <w:r w:rsidRPr="00AE6EA7">
              <w:rPr>
                <w:sz w:val="20"/>
                <w:szCs w:val="20"/>
              </w:rPr>
              <w:t>, wheeze-bronchospasm, stridor, reduced PEF, hypoxemia)</w:t>
            </w:r>
          </w:p>
          <w:p w14:paraId="54D5FF4F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b. Reduced BP or associated symptoms of end-organ dysfunction (e.g. hypotonia [collapse], syncope,</w:t>
            </w:r>
          </w:p>
          <w:p w14:paraId="30B058A2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incontinence)</w:t>
            </w:r>
          </w:p>
          <w:p w14:paraId="78451E02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c. Severe gastrointestinal symptoms (e.g. severe crampy abdominal pain, repetitive vomiting),</w:t>
            </w:r>
          </w:p>
          <w:p w14:paraId="0E9D26CB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especially after exposure to non-food allergens</w:t>
            </w:r>
          </w:p>
          <w:p w14:paraId="3DE5FB29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E11D53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2. Acute onset of hypotension* or bronchospasm or laryngeal involvement after exposure to a known or</w:t>
            </w:r>
          </w:p>
          <w:p w14:paraId="692ED34A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highly probable allergen for that patient (minutes to several hours), even in the absence of typical</w:t>
            </w:r>
          </w:p>
          <w:p w14:paraId="446CAB6E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skin involvement.</w:t>
            </w:r>
          </w:p>
          <w:p w14:paraId="17F963DE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5790B5F" w14:textId="77777777" w:rsidR="00E24AC3" w:rsidRPr="00AE6EA7" w:rsidRDefault="00E24AC3" w:rsidP="00CF0D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A7">
              <w:rPr>
                <w:sz w:val="20"/>
                <w:szCs w:val="20"/>
              </w:rPr>
              <w:t>*Criteria are co-endorsed by 50 global allergy societies, but not AAAAI or EAACI</w:t>
            </w:r>
          </w:p>
        </w:tc>
      </w:tr>
    </w:tbl>
    <w:p w14:paraId="28E4DDC8" w14:textId="77777777" w:rsidR="00E24AC3" w:rsidRDefault="00E24AC3" w:rsidP="00E24AC3"/>
    <w:p w14:paraId="6F1D03AA" w14:textId="77777777" w:rsidR="00E24AC3" w:rsidRDefault="00E24AC3" w:rsidP="00E24AC3"/>
    <w:p w14:paraId="472291EF" w14:textId="77777777" w:rsidR="00E24AC3" w:rsidRDefault="00E24AC3" w:rsidP="00E24AC3"/>
    <w:p w14:paraId="08E8E8F4" w14:textId="6A3D7F00" w:rsidR="009C097F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543E2334" w14:textId="6ED9538F" w:rsidR="009C097F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226794B4" w14:textId="7AC08BB0" w:rsidR="009C097F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47BBD805" w14:textId="0C5B260A" w:rsidR="009C097F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1FCF0887" w14:textId="6486F40A" w:rsidR="009C097F" w:rsidRDefault="009C097F" w:rsidP="005016A2">
      <w:pPr>
        <w:spacing w:line="480" w:lineRule="auto"/>
        <w:jc w:val="both"/>
        <w:rPr>
          <w:rFonts w:ascii="Arial" w:hAnsi="Arial" w:cs="Arial"/>
        </w:rPr>
      </w:pPr>
    </w:p>
    <w:p w14:paraId="3726DB94" w14:textId="238BA7EB" w:rsidR="00604A34" w:rsidRPr="00163A6B" w:rsidRDefault="00604A34" w:rsidP="005016A2">
      <w:pPr>
        <w:spacing w:line="480" w:lineRule="auto"/>
        <w:jc w:val="both"/>
        <w:rPr>
          <w:rFonts w:ascii="Arial" w:hAnsi="Arial" w:cs="Arial"/>
        </w:rPr>
      </w:pPr>
      <w:r w:rsidRPr="00163A6B">
        <w:rPr>
          <w:rFonts w:ascii="Arial" w:hAnsi="Arial" w:cs="Arial"/>
          <w:b/>
          <w:bCs/>
        </w:rPr>
        <w:t xml:space="preserve">TABLE </w:t>
      </w:r>
      <w:r w:rsidR="00E24AC3">
        <w:rPr>
          <w:rFonts w:ascii="Arial" w:hAnsi="Arial" w:cs="Arial"/>
          <w:b/>
          <w:bCs/>
        </w:rPr>
        <w:t>2.</w:t>
      </w:r>
      <w:r w:rsidR="00684DBD" w:rsidRPr="00163A6B">
        <w:rPr>
          <w:rFonts w:ascii="Arial" w:hAnsi="Arial" w:cs="Arial"/>
        </w:rPr>
        <w:t xml:space="preserve"> Reported cases of anaphylaxis</w:t>
      </w:r>
      <w:r w:rsidR="00363EF2" w:rsidRPr="00163A6B">
        <w:rPr>
          <w:rFonts w:ascii="Arial" w:hAnsi="Arial" w:cs="Arial"/>
        </w:rPr>
        <w:t xml:space="preserve"> per million</w:t>
      </w:r>
      <w:r w:rsidR="005E303B" w:rsidRPr="00163A6B">
        <w:rPr>
          <w:rFonts w:ascii="Arial" w:hAnsi="Arial" w:cs="Arial"/>
        </w:rPr>
        <w:t xml:space="preserve"> </w:t>
      </w:r>
      <w:r w:rsidR="00363EF2" w:rsidRPr="00163A6B">
        <w:rPr>
          <w:rFonts w:ascii="Arial" w:hAnsi="Arial" w:cs="Arial"/>
        </w:rPr>
        <w:t xml:space="preserve">doses of </w:t>
      </w:r>
      <w:r w:rsidR="00684DBD" w:rsidRPr="00163A6B">
        <w:rPr>
          <w:rFonts w:ascii="Arial" w:hAnsi="Arial" w:cs="Arial"/>
        </w:rPr>
        <w:t xml:space="preserve">COVID-19 vaccines in the literature, evaluated by </w:t>
      </w:r>
      <w:r w:rsidR="003E5A05" w:rsidRPr="00163A6B">
        <w:rPr>
          <w:rFonts w:ascii="Arial" w:hAnsi="Arial" w:cs="Arial"/>
        </w:rPr>
        <w:t xml:space="preserve">independently by the </w:t>
      </w:r>
      <w:r w:rsidR="00684DBD" w:rsidRPr="00163A6B">
        <w:rPr>
          <w:rFonts w:ascii="Arial" w:hAnsi="Arial" w:cs="Arial"/>
        </w:rPr>
        <w:t xml:space="preserve">authors and </w:t>
      </w:r>
      <w:r w:rsidR="003E5A05" w:rsidRPr="00163A6B">
        <w:rPr>
          <w:rFonts w:ascii="Arial" w:hAnsi="Arial" w:cs="Arial"/>
        </w:rPr>
        <w:t xml:space="preserve">final consensus </w:t>
      </w:r>
      <w:r w:rsidR="00684DBD" w:rsidRPr="00163A6B">
        <w:rPr>
          <w:rFonts w:ascii="Arial" w:hAnsi="Arial" w:cs="Arial"/>
        </w:rPr>
        <w:t>achieved</w:t>
      </w:r>
      <w:r w:rsidR="003E5A05" w:rsidRPr="00163A6B">
        <w:rPr>
          <w:rFonts w:ascii="Arial" w:hAnsi="Arial" w:cs="Arial"/>
        </w:rPr>
        <w:t>.</w:t>
      </w:r>
      <w:r w:rsidR="00684DBD" w:rsidRPr="00163A6B">
        <w:rPr>
          <w:rFonts w:ascii="Arial" w:hAnsi="Arial" w:cs="Arial"/>
        </w:rPr>
        <w:t xml:space="preserve"> </w:t>
      </w:r>
    </w:p>
    <w:p w14:paraId="68C28EF6" w14:textId="77777777" w:rsidR="00604A34" w:rsidRPr="00163A6B" w:rsidRDefault="00604A34" w:rsidP="005016A2">
      <w:pPr>
        <w:jc w:val="both"/>
        <w:rPr>
          <w:rFonts w:ascii="Arial" w:hAnsi="Arial" w:cs="Arial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65"/>
        <w:gridCol w:w="1830"/>
        <w:gridCol w:w="1736"/>
        <w:gridCol w:w="1848"/>
        <w:gridCol w:w="1608"/>
        <w:gridCol w:w="85"/>
      </w:tblGrid>
      <w:tr w:rsidR="00363EF2" w:rsidRPr="005016A2" w14:paraId="1FB68E1F" w14:textId="77777777" w:rsidTr="00E66526">
        <w:tc>
          <w:tcPr>
            <w:tcW w:w="1965" w:type="dxa"/>
            <w:vMerge w:val="restart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0AF3572D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163A6B">
              <w:rPr>
                <w:rFonts w:ascii="Arial" w:hAnsi="Arial" w:cs="Arial"/>
                <w:b/>
                <w:sz w:val="20"/>
                <w:lang w:val="en-US"/>
              </w:rPr>
              <w:t>Anaphylaxis definition</w:t>
            </w:r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44BB9E74" w14:textId="1ED0E70B" w:rsidR="006A1D29" w:rsidRPr="00163A6B" w:rsidRDefault="006A1D29" w:rsidP="00501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A6B">
              <w:rPr>
                <w:rFonts w:ascii="Arial" w:hAnsi="Arial" w:cs="Arial"/>
                <w:b/>
                <w:bCs/>
                <w:sz w:val="20"/>
                <w:szCs w:val="20"/>
              </w:rPr>
              <w:t>Certainty</w:t>
            </w:r>
          </w:p>
        </w:tc>
        <w:tc>
          <w:tcPr>
            <w:tcW w:w="358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4640ABA" w14:textId="02A6669F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CDC COVID-19 Vaccine Task Force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7CFC4FF1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Non-COVID vaccines</w:t>
            </w:r>
          </w:p>
          <w:p w14:paraId="6E6E21F7" w14:textId="77777777" w:rsidR="006A1D29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2009-2011, USA</w:t>
            </w:r>
          </w:p>
          <w:p w14:paraId="7693D09A" w14:textId="66CD5BEB" w:rsidR="00866F0E" w:rsidRPr="00163A6B" w:rsidRDefault="00866F0E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(Ref 4)</w:t>
            </w:r>
          </w:p>
        </w:tc>
      </w:tr>
      <w:tr w:rsidR="00363EF2" w:rsidRPr="005016A2" w14:paraId="40A78749" w14:textId="77777777" w:rsidTr="00E66526">
        <w:tc>
          <w:tcPr>
            <w:tcW w:w="1965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3976FD93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30" w:type="dxa"/>
            <w:tcBorders>
              <w:left w:val="nil"/>
              <w:bottom w:val="double" w:sz="4" w:space="0" w:color="auto"/>
            </w:tcBorders>
            <w:vAlign w:val="center"/>
          </w:tcPr>
          <w:p w14:paraId="4FA2BA53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  <w:vAlign w:val="center"/>
          </w:tcPr>
          <w:p w14:paraId="24EAC0BA" w14:textId="6CBAA6ED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Pfizer-BioNTech</w:t>
            </w:r>
          </w:p>
          <w:p w14:paraId="1FBC6366" w14:textId="77777777" w:rsidR="006A1D29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14–23 Dec 2020</w:t>
            </w:r>
          </w:p>
          <w:p w14:paraId="5CF06E9E" w14:textId="37132D04" w:rsidR="00866F0E" w:rsidRPr="00163A6B" w:rsidRDefault="00866F0E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(Ref 2)</w:t>
            </w:r>
          </w:p>
        </w:tc>
        <w:tc>
          <w:tcPr>
            <w:tcW w:w="1848" w:type="dxa"/>
            <w:tcBorders>
              <w:top w:val="nil"/>
              <w:bottom w:val="double" w:sz="4" w:space="0" w:color="auto"/>
            </w:tcBorders>
            <w:vAlign w:val="center"/>
          </w:tcPr>
          <w:p w14:paraId="43B12E90" w14:textId="77777777" w:rsidR="005016A2" w:rsidRDefault="005016A2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ED09571" w14:textId="21BF51C8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63A6B">
              <w:rPr>
                <w:rFonts w:ascii="Arial" w:hAnsi="Arial" w:cs="Arial"/>
                <w:sz w:val="20"/>
                <w:lang w:val="en-US"/>
              </w:rPr>
              <w:t>Moderna</w:t>
            </w:r>
            <w:proofErr w:type="spellEnd"/>
          </w:p>
          <w:p w14:paraId="14B2F470" w14:textId="77777777" w:rsidR="006A1D29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21 Dec 2020–10 Jan 2021</w:t>
            </w:r>
          </w:p>
          <w:p w14:paraId="7301D50F" w14:textId="75B2B42A" w:rsidR="00866F0E" w:rsidRPr="00163A6B" w:rsidRDefault="00866F0E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(Ref 3)</w:t>
            </w:r>
          </w:p>
        </w:tc>
        <w:tc>
          <w:tcPr>
            <w:tcW w:w="1693" w:type="dxa"/>
            <w:gridSpan w:val="2"/>
            <w:vMerge/>
            <w:tcBorders>
              <w:bottom w:val="double" w:sz="4" w:space="0" w:color="auto"/>
              <w:right w:val="nil"/>
            </w:tcBorders>
          </w:tcPr>
          <w:p w14:paraId="28578574" w14:textId="77777777" w:rsidR="006A1D29" w:rsidRPr="00163A6B" w:rsidRDefault="006A1D29" w:rsidP="005016A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3EF2" w:rsidRPr="005016A2" w14:paraId="59B9AA71" w14:textId="77777777" w:rsidTr="00E66526">
        <w:tc>
          <w:tcPr>
            <w:tcW w:w="1965" w:type="dxa"/>
            <w:tcBorders>
              <w:top w:val="double" w:sz="4" w:space="0" w:color="auto"/>
              <w:left w:val="nil"/>
            </w:tcBorders>
            <w:vAlign w:val="center"/>
          </w:tcPr>
          <w:p w14:paraId="75FDD4AE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Brighton criteria (reported)</w:t>
            </w:r>
          </w:p>
        </w:tc>
        <w:tc>
          <w:tcPr>
            <w:tcW w:w="1830" w:type="dxa"/>
            <w:tcBorders>
              <w:top w:val="double" w:sz="4" w:space="0" w:color="auto"/>
              <w:left w:val="nil"/>
            </w:tcBorders>
            <w:vAlign w:val="center"/>
          </w:tcPr>
          <w:p w14:paraId="5D10340A" w14:textId="0EE6D490" w:rsidR="00063AC3" w:rsidRPr="00163A6B" w:rsidRDefault="00063AC3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Level</w:t>
            </w:r>
          </w:p>
          <w:p w14:paraId="22600731" w14:textId="38959209" w:rsidR="006A1D29" w:rsidRPr="00163A6B" w:rsidRDefault="00063AC3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1736" w:type="dxa"/>
            <w:tcBorders>
              <w:top w:val="double" w:sz="4" w:space="0" w:color="auto"/>
            </w:tcBorders>
          </w:tcPr>
          <w:p w14:paraId="25D51D42" w14:textId="43C995FE" w:rsidR="006A1D29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21 cases</w:t>
            </w:r>
          </w:p>
          <w:p w14:paraId="2E867C75" w14:textId="77777777" w:rsidR="006E5BFA" w:rsidRPr="00460511" w:rsidRDefault="006E5BFA" w:rsidP="006E5BF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60511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574CEA">
              <w:rPr>
                <w:rFonts w:cstheme="minorHAnsi"/>
                <w:sz w:val="20"/>
                <w:szCs w:val="20"/>
                <w:lang w:val="en-US"/>
              </w:rPr>
              <w:t xml:space="preserve">n </w:t>
            </w:r>
            <w:r w:rsidRPr="00574CEA">
              <w:rPr>
                <w:rFonts w:cstheme="minorHAnsi"/>
                <w:sz w:val="20"/>
                <w:szCs w:val="20"/>
              </w:rPr>
              <w:t>1, 893 360 doses</w:t>
            </w:r>
          </w:p>
          <w:p w14:paraId="278C07D1" w14:textId="77777777" w:rsidR="006E5BFA" w:rsidRPr="00163A6B" w:rsidRDefault="006E5BFA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7BD0452A" w14:textId="1875652F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11.1</w:t>
            </w:r>
            <w:r w:rsidR="00363EF2" w:rsidRPr="00163A6B">
              <w:rPr>
                <w:rFonts w:ascii="Arial" w:hAnsi="Arial" w:cs="Arial"/>
                <w:color w:val="221E1F"/>
                <w:sz w:val="20"/>
                <w:szCs w:val="20"/>
              </w:rPr>
              <w:t>/m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illion (95%CI 6.9-17.0) </w:t>
            </w:r>
          </w:p>
        </w:tc>
        <w:tc>
          <w:tcPr>
            <w:tcW w:w="1848" w:type="dxa"/>
            <w:tcBorders>
              <w:top w:val="double" w:sz="4" w:space="0" w:color="auto"/>
            </w:tcBorders>
          </w:tcPr>
          <w:p w14:paraId="7FFA5470" w14:textId="4B4E0B0B" w:rsidR="006A1D29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1</w:t>
            </w:r>
            <w:r w:rsidRPr="00163A6B">
              <w:rPr>
                <w:rFonts w:ascii="Arial" w:hAnsi="Arial" w:cs="Arial"/>
                <w:sz w:val="20"/>
              </w:rPr>
              <w:t>0</w:t>
            </w:r>
            <w:r w:rsidRPr="00163A6B">
              <w:rPr>
                <w:rFonts w:ascii="Arial" w:hAnsi="Arial" w:cs="Arial"/>
                <w:sz w:val="20"/>
                <w:lang w:val="en-US"/>
              </w:rPr>
              <w:t xml:space="preserve"> cases</w:t>
            </w:r>
          </w:p>
          <w:p w14:paraId="636B575E" w14:textId="77777777" w:rsidR="006E5BFA" w:rsidRPr="00D36F64" w:rsidRDefault="006E5BFA" w:rsidP="006E5B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r w:rsidRPr="00725F3C">
              <w:rPr>
                <w:sz w:val="20"/>
                <w:szCs w:val="20"/>
                <w:lang w:val="en-US"/>
              </w:rPr>
              <w:t>4,041,396</w:t>
            </w:r>
            <w:r>
              <w:rPr>
                <w:sz w:val="20"/>
                <w:szCs w:val="20"/>
                <w:lang w:val="en-US"/>
              </w:rPr>
              <w:t xml:space="preserve"> doses</w:t>
            </w:r>
            <w:r>
              <w:t xml:space="preserve"> </w:t>
            </w:r>
          </w:p>
          <w:p w14:paraId="0C0A8728" w14:textId="77777777" w:rsidR="006E5BFA" w:rsidRPr="00163A6B" w:rsidRDefault="006E5BFA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68D85C9F" w14:textId="77777777" w:rsidR="00866F0E" w:rsidRDefault="00866F0E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  <w:p w14:paraId="26BA1722" w14:textId="0D4345C5" w:rsidR="00363EF2" w:rsidRPr="00163A6B" w:rsidRDefault="006A1D29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2.5</w:t>
            </w:r>
            <w:r w:rsidR="00363EF2" w:rsidRPr="00163A6B">
              <w:rPr>
                <w:rFonts w:ascii="Arial" w:hAnsi="Arial" w:cs="Arial"/>
                <w:color w:val="221E1F"/>
                <w:sz w:val="20"/>
                <w:szCs w:val="20"/>
              </w:rPr>
              <w:t>/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million </w:t>
            </w:r>
          </w:p>
          <w:p w14:paraId="41865A61" w14:textId="04360067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 (95%CI 1.2-4.6)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right w:val="nil"/>
            </w:tcBorders>
          </w:tcPr>
          <w:p w14:paraId="5A46014C" w14:textId="2B149C4A" w:rsidR="006A1D29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</w:rPr>
              <w:t>33</w:t>
            </w:r>
            <w:r w:rsidRPr="00163A6B">
              <w:rPr>
                <w:rFonts w:ascii="Arial" w:hAnsi="Arial" w:cs="Arial"/>
                <w:sz w:val="20"/>
                <w:lang w:val="en-US"/>
              </w:rPr>
              <w:t xml:space="preserve"> cases</w:t>
            </w:r>
          </w:p>
          <w:p w14:paraId="155C8C5F" w14:textId="77777777" w:rsidR="006E5BFA" w:rsidRPr="00574CEA" w:rsidRDefault="006E5BFA" w:rsidP="006E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r w:rsidRPr="00725F3C">
              <w:rPr>
                <w:sz w:val="20"/>
                <w:szCs w:val="20"/>
                <w:lang w:val="en-US"/>
              </w:rPr>
              <w:t>25,173,965</w:t>
            </w:r>
            <w:r>
              <w:rPr>
                <w:sz w:val="20"/>
                <w:szCs w:val="20"/>
                <w:lang w:val="en-US"/>
              </w:rPr>
              <w:t xml:space="preserve"> doses</w:t>
            </w:r>
          </w:p>
          <w:p w14:paraId="50BC996D" w14:textId="77777777" w:rsidR="006E5BFA" w:rsidRPr="00163A6B" w:rsidRDefault="006E5BFA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4AAC9414" w14:textId="72A54655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1.3</w:t>
            </w:r>
            <w:r w:rsidR="00363EF2" w:rsidRPr="00163A6B">
              <w:rPr>
                <w:rFonts w:ascii="Arial" w:hAnsi="Arial" w:cs="Arial"/>
                <w:color w:val="221E1F"/>
                <w:sz w:val="20"/>
                <w:szCs w:val="20"/>
              </w:rPr>
              <w:t>/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million (95%CI 0.9-1.8)</w:t>
            </w:r>
          </w:p>
        </w:tc>
      </w:tr>
      <w:tr w:rsidR="00363EF2" w:rsidRPr="005016A2" w14:paraId="3B938422" w14:textId="77777777" w:rsidTr="00E66526">
        <w:tc>
          <w:tcPr>
            <w:tcW w:w="1965" w:type="dxa"/>
            <w:tcBorders>
              <w:left w:val="nil"/>
            </w:tcBorders>
            <w:vAlign w:val="center"/>
          </w:tcPr>
          <w:p w14:paraId="42CC8F76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sz w:val="20"/>
                <w:lang w:val="en-US"/>
              </w:rPr>
              <w:t>Brighton criteria (reassessed)</w:t>
            </w:r>
          </w:p>
        </w:tc>
        <w:tc>
          <w:tcPr>
            <w:tcW w:w="1830" w:type="dxa"/>
            <w:tcBorders>
              <w:left w:val="nil"/>
            </w:tcBorders>
            <w:vAlign w:val="center"/>
          </w:tcPr>
          <w:p w14:paraId="6B44ECC9" w14:textId="77777777" w:rsidR="00063AC3" w:rsidRPr="00163A6B" w:rsidRDefault="00063AC3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Level</w:t>
            </w:r>
          </w:p>
          <w:p w14:paraId="093E14B0" w14:textId="5A72CD51" w:rsidR="006A1D29" w:rsidRPr="00163A6B" w:rsidRDefault="00063AC3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1736" w:type="dxa"/>
          </w:tcPr>
          <w:p w14:paraId="3CA8769D" w14:textId="5900A81C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</w:rPr>
            </w:pPr>
            <w:r w:rsidRPr="00163A6B">
              <w:rPr>
                <w:rFonts w:ascii="Arial" w:hAnsi="Arial" w:cs="Arial"/>
                <w:sz w:val="20"/>
              </w:rPr>
              <w:t>15 cases</w:t>
            </w:r>
          </w:p>
          <w:p w14:paraId="25DB2939" w14:textId="2AC3030F" w:rsidR="006A1D29" w:rsidRPr="00163A6B" w:rsidRDefault="006A1D29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</w:rPr>
              <w:t>7.9</w:t>
            </w:r>
            <w:r w:rsidR="00363EF2" w:rsidRPr="00163A6B">
              <w:rPr>
                <w:rFonts w:ascii="Arial" w:hAnsi="Arial" w:cs="Arial"/>
                <w:sz w:val="20"/>
              </w:rPr>
              <w:t>/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million </w:t>
            </w:r>
          </w:p>
          <w:p w14:paraId="63C92E6C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(95%CI 4.4-13.1)</w:t>
            </w:r>
          </w:p>
        </w:tc>
        <w:tc>
          <w:tcPr>
            <w:tcW w:w="1848" w:type="dxa"/>
          </w:tcPr>
          <w:p w14:paraId="3806C059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</w:rPr>
            </w:pPr>
            <w:r w:rsidRPr="00163A6B">
              <w:rPr>
                <w:rFonts w:ascii="Arial" w:hAnsi="Arial" w:cs="Arial"/>
                <w:sz w:val="20"/>
              </w:rPr>
              <w:t>5 cases</w:t>
            </w:r>
          </w:p>
          <w:p w14:paraId="760DEB5F" w14:textId="572B4531" w:rsidR="006A1D29" w:rsidRPr="00163A6B" w:rsidRDefault="006A1D29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</w:rPr>
              <w:t>1.2</w:t>
            </w:r>
            <w:r w:rsidR="00363EF2" w:rsidRPr="00163A6B">
              <w:rPr>
                <w:rFonts w:ascii="Arial" w:hAnsi="Arial" w:cs="Arial"/>
                <w:sz w:val="20"/>
              </w:rPr>
              <w:t>/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 million </w:t>
            </w:r>
          </w:p>
          <w:p w14:paraId="0F0BA1F0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(95%CI 0.4-2.9)</w:t>
            </w:r>
          </w:p>
        </w:tc>
        <w:tc>
          <w:tcPr>
            <w:tcW w:w="1693" w:type="dxa"/>
            <w:gridSpan w:val="2"/>
            <w:tcBorders>
              <w:right w:val="nil"/>
            </w:tcBorders>
          </w:tcPr>
          <w:p w14:paraId="4C502291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</w:rPr>
            </w:pPr>
            <w:r w:rsidRPr="00163A6B">
              <w:rPr>
                <w:rFonts w:ascii="Arial" w:hAnsi="Arial" w:cs="Arial"/>
                <w:sz w:val="20"/>
              </w:rPr>
              <w:t>31 cases</w:t>
            </w:r>
          </w:p>
          <w:p w14:paraId="394AFF39" w14:textId="5F360548" w:rsidR="006A1D29" w:rsidRPr="00163A6B" w:rsidRDefault="006A1D29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</w:rPr>
              <w:t>1.2</w:t>
            </w:r>
            <w:r w:rsidR="00363EF2" w:rsidRPr="00163A6B">
              <w:rPr>
                <w:rFonts w:ascii="Arial" w:hAnsi="Arial" w:cs="Arial"/>
                <w:sz w:val="20"/>
              </w:rPr>
              <w:t>/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million </w:t>
            </w:r>
          </w:p>
          <w:p w14:paraId="0D2E12CA" w14:textId="77777777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(95%CI 0.8-1.8)</w:t>
            </w:r>
          </w:p>
        </w:tc>
      </w:tr>
      <w:tr w:rsidR="00363EF2" w:rsidRPr="005016A2" w14:paraId="69FD8729" w14:textId="77777777" w:rsidTr="00E66526">
        <w:trPr>
          <w:gridAfter w:val="1"/>
          <w:wAfter w:w="85" w:type="dxa"/>
          <w:trHeight w:val="434"/>
        </w:trPr>
        <w:tc>
          <w:tcPr>
            <w:tcW w:w="1965" w:type="dxa"/>
            <w:tcBorders>
              <w:left w:val="nil"/>
            </w:tcBorders>
            <w:vAlign w:val="center"/>
          </w:tcPr>
          <w:p w14:paraId="2540E166" w14:textId="48C919C9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National Institute of Allergy and Infectious Disease (NIAID)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4A0F333F" w14:textId="208BDDB6" w:rsidR="006A1D29" w:rsidRPr="00163A6B" w:rsidRDefault="006A1D29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513BFC0" w14:textId="5B713979" w:rsidR="006A1D29" w:rsidRPr="00163A6B" w:rsidRDefault="00684DBD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6A1D29" w:rsidRPr="00163A6B">
              <w:rPr>
                <w:rFonts w:ascii="Arial" w:hAnsi="Arial" w:cs="Arial"/>
                <w:sz w:val="20"/>
                <w:szCs w:val="20"/>
              </w:rPr>
              <w:t>cases</w:t>
            </w:r>
          </w:p>
          <w:p w14:paraId="1F6879C0" w14:textId="38D86DE9" w:rsidR="006A1D29" w:rsidRPr="00163A6B" w:rsidRDefault="00684DBD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2.1</w:t>
            </w:r>
            <w:r w:rsidR="006A1D29" w:rsidRPr="00163A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EF2" w:rsidRPr="00163A6B">
              <w:rPr>
                <w:rFonts w:ascii="Arial" w:hAnsi="Arial" w:cs="Arial"/>
                <w:sz w:val="20"/>
                <w:szCs w:val="20"/>
              </w:rPr>
              <w:t>/</w:t>
            </w:r>
            <w:r w:rsidR="006A1D29"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million </w:t>
            </w:r>
          </w:p>
          <w:p w14:paraId="21AFFD59" w14:textId="1209C191" w:rsidR="006A1D29" w:rsidRPr="00163A6B" w:rsidRDefault="006A1D29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(95%CI 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0.6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-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5.4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7796F594" w14:textId="21B6B97D" w:rsidR="006A1D29" w:rsidRPr="00163A6B" w:rsidRDefault="00684DBD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3</w:t>
            </w:r>
            <w:r w:rsidR="006A1D29" w:rsidRPr="00163A6B">
              <w:rPr>
                <w:rFonts w:ascii="Arial" w:hAnsi="Arial" w:cs="Arial"/>
                <w:sz w:val="20"/>
                <w:szCs w:val="20"/>
              </w:rPr>
              <w:t xml:space="preserve"> cases</w:t>
            </w:r>
          </w:p>
          <w:p w14:paraId="63D1FD0E" w14:textId="7CA8D7D3" w:rsidR="006A1D29" w:rsidRPr="00163A6B" w:rsidRDefault="006A1D29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1.5</w:t>
            </w:r>
            <w:r w:rsidR="00363EF2" w:rsidRPr="00163A6B">
              <w:rPr>
                <w:rFonts w:ascii="Arial" w:hAnsi="Arial" w:cs="Arial"/>
                <w:sz w:val="20"/>
                <w:szCs w:val="20"/>
              </w:rPr>
              <w:t>/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million </w:t>
            </w:r>
          </w:p>
          <w:p w14:paraId="75581C15" w14:textId="7B256432" w:rsidR="006A1D29" w:rsidRPr="00163A6B" w:rsidRDefault="006A1D29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(95%CI 0.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2-2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.2)</w:t>
            </w:r>
          </w:p>
        </w:tc>
        <w:tc>
          <w:tcPr>
            <w:tcW w:w="1608" w:type="dxa"/>
            <w:tcBorders>
              <w:bottom w:val="single" w:sz="4" w:space="0" w:color="auto"/>
              <w:right w:val="nil"/>
            </w:tcBorders>
          </w:tcPr>
          <w:p w14:paraId="503A526E" w14:textId="4AD58520" w:rsidR="006A1D29" w:rsidRPr="00163A6B" w:rsidRDefault="00684DBD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18</w:t>
            </w:r>
            <w:r w:rsidR="006A1D29" w:rsidRPr="00163A6B">
              <w:rPr>
                <w:rFonts w:ascii="Arial" w:hAnsi="Arial" w:cs="Arial"/>
                <w:sz w:val="20"/>
                <w:szCs w:val="20"/>
              </w:rPr>
              <w:t xml:space="preserve"> cases</w:t>
            </w:r>
          </w:p>
          <w:p w14:paraId="6E513294" w14:textId="77777777" w:rsidR="00363EF2" w:rsidRPr="00163A6B" w:rsidRDefault="003E5A05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0</w:t>
            </w:r>
            <w:r w:rsidR="006A1D29" w:rsidRPr="00163A6B">
              <w:rPr>
                <w:rFonts w:ascii="Arial" w:hAnsi="Arial" w:cs="Arial"/>
                <w:sz w:val="20"/>
                <w:szCs w:val="20"/>
              </w:rPr>
              <w:t>.</w:t>
            </w:r>
            <w:r w:rsidRPr="00163A6B">
              <w:rPr>
                <w:rFonts w:ascii="Arial" w:hAnsi="Arial" w:cs="Arial"/>
                <w:sz w:val="20"/>
                <w:szCs w:val="20"/>
              </w:rPr>
              <w:t>7</w:t>
            </w:r>
            <w:r w:rsidR="00363EF2" w:rsidRPr="00163A6B">
              <w:rPr>
                <w:rFonts w:ascii="Arial" w:hAnsi="Arial" w:cs="Arial"/>
                <w:sz w:val="20"/>
                <w:szCs w:val="20"/>
              </w:rPr>
              <w:t>/</w:t>
            </w:r>
            <w:r w:rsidR="006A1D29" w:rsidRPr="00163A6B">
              <w:rPr>
                <w:rFonts w:ascii="Arial" w:hAnsi="Arial" w:cs="Arial"/>
                <w:color w:val="221E1F"/>
                <w:sz w:val="20"/>
                <w:szCs w:val="20"/>
              </w:rPr>
              <w:t>million</w:t>
            </w:r>
          </w:p>
          <w:p w14:paraId="0B2A3D1D" w14:textId="22C6D824" w:rsidR="006A1D29" w:rsidRPr="00163A6B" w:rsidRDefault="00363EF2" w:rsidP="005016A2">
            <w:pPr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(</w:t>
            </w:r>
            <w:r w:rsidR="006A1D29" w:rsidRPr="00163A6B">
              <w:rPr>
                <w:rFonts w:ascii="Arial" w:hAnsi="Arial" w:cs="Arial"/>
                <w:color w:val="221E1F"/>
                <w:sz w:val="20"/>
                <w:szCs w:val="20"/>
              </w:rPr>
              <w:t>95%CI 0.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4</w:t>
            </w:r>
            <w:r w:rsidR="006A1D29" w:rsidRPr="00163A6B">
              <w:rPr>
                <w:rFonts w:ascii="Arial" w:hAnsi="Arial" w:cs="Arial"/>
                <w:color w:val="221E1F"/>
                <w:sz w:val="20"/>
                <w:szCs w:val="20"/>
              </w:rPr>
              <w:t>-1.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1</w:t>
            </w:r>
            <w:r w:rsidR="006A1D29" w:rsidRPr="00163A6B">
              <w:rPr>
                <w:rFonts w:ascii="Arial" w:hAnsi="Arial" w:cs="Arial"/>
                <w:color w:val="221E1F"/>
                <w:sz w:val="20"/>
                <w:szCs w:val="20"/>
              </w:rPr>
              <w:t>)</w:t>
            </w:r>
          </w:p>
        </w:tc>
      </w:tr>
      <w:tr w:rsidR="00363EF2" w:rsidRPr="005016A2" w14:paraId="4A843FA3" w14:textId="77777777" w:rsidTr="00E66526">
        <w:trPr>
          <w:gridAfter w:val="1"/>
          <w:wAfter w:w="85" w:type="dxa"/>
        </w:trPr>
        <w:tc>
          <w:tcPr>
            <w:tcW w:w="1965" w:type="dxa"/>
            <w:tcBorders>
              <w:left w:val="nil"/>
            </w:tcBorders>
            <w:vAlign w:val="center"/>
          </w:tcPr>
          <w:p w14:paraId="1BD803AD" w14:textId="06A087F9" w:rsidR="00063AC3" w:rsidRPr="00163A6B" w:rsidRDefault="00063AC3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World Allergy Organization (WAO)</w:t>
            </w: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14:paraId="4911D525" w14:textId="30C55BB2" w:rsidR="00063AC3" w:rsidRPr="00163A6B" w:rsidRDefault="00063AC3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14:paraId="4C2AC95A" w14:textId="059B8FBD" w:rsidR="00063AC3" w:rsidRPr="00163A6B" w:rsidRDefault="00063AC3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1</w:t>
            </w:r>
            <w:r w:rsidR="00684DBD" w:rsidRPr="00163A6B">
              <w:rPr>
                <w:rFonts w:ascii="Arial" w:hAnsi="Arial" w:cs="Arial"/>
                <w:sz w:val="20"/>
                <w:szCs w:val="20"/>
              </w:rPr>
              <w:t>0</w:t>
            </w:r>
            <w:r w:rsidRPr="00163A6B">
              <w:rPr>
                <w:rFonts w:ascii="Arial" w:hAnsi="Arial" w:cs="Arial"/>
                <w:sz w:val="20"/>
                <w:szCs w:val="20"/>
              </w:rPr>
              <w:t xml:space="preserve"> cases</w:t>
            </w:r>
          </w:p>
          <w:p w14:paraId="643A3441" w14:textId="77777777" w:rsidR="00363EF2" w:rsidRPr="00163A6B" w:rsidRDefault="003E5A05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5</w:t>
            </w:r>
            <w:r w:rsidR="00063AC3" w:rsidRPr="00163A6B">
              <w:rPr>
                <w:rFonts w:ascii="Arial" w:hAnsi="Arial" w:cs="Arial"/>
                <w:sz w:val="20"/>
                <w:szCs w:val="20"/>
              </w:rPr>
              <w:t>.3</w:t>
            </w:r>
            <w:r w:rsidR="00363EF2" w:rsidRPr="00163A6B">
              <w:rPr>
                <w:rFonts w:ascii="Arial" w:hAnsi="Arial" w:cs="Arial"/>
                <w:sz w:val="20"/>
                <w:szCs w:val="20"/>
              </w:rPr>
              <w:t>/</w:t>
            </w:r>
            <w:r w:rsidR="00063AC3" w:rsidRPr="00163A6B">
              <w:rPr>
                <w:rFonts w:ascii="Arial" w:hAnsi="Arial" w:cs="Arial"/>
                <w:color w:val="221E1F"/>
                <w:sz w:val="20"/>
                <w:szCs w:val="20"/>
              </w:rPr>
              <w:t>million</w:t>
            </w:r>
          </w:p>
          <w:p w14:paraId="6FE31CD3" w14:textId="32724127" w:rsidR="00063AC3" w:rsidRPr="00163A6B" w:rsidRDefault="00063AC3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 (95%CI 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2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.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5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-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9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.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7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) 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76D5AB9B" w14:textId="73D5902C" w:rsidR="00063AC3" w:rsidRPr="00163A6B" w:rsidRDefault="00684DBD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4</w:t>
            </w:r>
            <w:r w:rsidR="00063AC3" w:rsidRPr="00163A6B">
              <w:rPr>
                <w:rFonts w:ascii="Arial" w:hAnsi="Arial" w:cs="Arial"/>
                <w:sz w:val="20"/>
                <w:szCs w:val="20"/>
              </w:rPr>
              <w:t xml:space="preserve"> cases</w:t>
            </w:r>
          </w:p>
          <w:p w14:paraId="3A439876" w14:textId="77777777" w:rsidR="005E303B" w:rsidRPr="00163A6B" w:rsidRDefault="00063AC3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1.</w:t>
            </w:r>
            <w:r w:rsidR="003E5A05" w:rsidRPr="00163A6B">
              <w:rPr>
                <w:rFonts w:ascii="Arial" w:hAnsi="Arial" w:cs="Arial"/>
                <w:sz w:val="20"/>
                <w:szCs w:val="20"/>
              </w:rPr>
              <w:t>0</w:t>
            </w:r>
            <w:r w:rsidR="00363EF2" w:rsidRPr="00163A6B">
              <w:rPr>
                <w:rFonts w:ascii="Arial" w:hAnsi="Arial" w:cs="Arial"/>
                <w:sz w:val="20"/>
                <w:szCs w:val="20"/>
              </w:rPr>
              <w:t>/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 xml:space="preserve">million </w:t>
            </w:r>
          </w:p>
          <w:p w14:paraId="6E5FE277" w14:textId="12D2C105" w:rsidR="00063AC3" w:rsidRPr="00163A6B" w:rsidRDefault="00063AC3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(95%CI 0.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3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-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2.5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bottom w:val="single" w:sz="12" w:space="0" w:color="auto"/>
              <w:right w:val="nil"/>
            </w:tcBorders>
          </w:tcPr>
          <w:p w14:paraId="6F7FDE7F" w14:textId="462C9596" w:rsidR="00063AC3" w:rsidRPr="00163A6B" w:rsidRDefault="00684DBD" w:rsidP="0050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25</w:t>
            </w:r>
            <w:r w:rsidR="00063AC3" w:rsidRPr="00163A6B">
              <w:rPr>
                <w:rFonts w:ascii="Arial" w:hAnsi="Arial" w:cs="Arial"/>
                <w:sz w:val="20"/>
                <w:szCs w:val="20"/>
              </w:rPr>
              <w:t xml:space="preserve"> cases</w:t>
            </w:r>
          </w:p>
          <w:p w14:paraId="1787A44D" w14:textId="69DFA709" w:rsidR="00063AC3" w:rsidRPr="00163A6B" w:rsidRDefault="00063AC3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sz w:val="20"/>
                <w:szCs w:val="20"/>
              </w:rPr>
              <w:t>1.</w:t>
            </w:r>
            <w:r w:rsidR="003E5A05" w:rsidRPr="00163A6B">
              <w:rPr>
                <w:rFonts w:ascii="Arial" w:hAnsi="Arial" w:cs="Arial"/>
                <w:sz w:val="20"/>
                <w:szCs w:val="20"/>
              </w:rPr>
              <w:t>0</w:t>
            </w:r>
            <w:r w:rsidRPr="00163A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EF2" w:rsidRPr="00163A6B">
              <w:rPr>
                <w:rFonts w:ascii="Arial" w:hAnsi="Arial" w:cs="Arial"/>
                <w:color w:val="221E1F"/>
                <w:sz w:val="20"/>
                <w:szCs w:val="20"/>
              </w:rPr>
              <w:t>/million</w:t>
            </w:r>
          </w:p>
          <w:p w14:paraId="013C1175" w14:textId="59F52CEE" w:rsidR="00063AC3" w:rsidRPr="00163A6B" w:rsidRDefault="00063AC3" w:rsidP="005016A2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(95%CI 0.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6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-1.</w:t>
            </w:r>
            <w:r w:rsidR="003E5A05" w:rsidRPr="00163A6B">
              <w:rPr>
                <w:rFonts w:ascii="Arial" w:hAnsi="Arial" w:cs="Arial"/>
                <w:color w:val="221E1F"/>
                <w:sz w:val="20"/>
                <w:szCs w:val="20"/>
              </w:rPr>
              <w:t>5</w:t>
            </w:r>
            <w:r w:rsidRPr="00163A6B">
              <w:rPr>
                <w:rFonts w:ascii="Arial" w:hAnsi="Arial" w:cs="Arial"/>
                <w:color w:val="221E1F"/>
                <w:sz w:val="20"/>
                <w:szCs w:val="20"/>
              </w:rPr>
              <w:t>)</w:t>
            </w:r>
          </w:p>
        </w:tc>
      </w:tr>
    </w:tbl>
    <w:p w14:paraId="797C787A" w14:textId="77777777" w:rsidR="00604A34" w:rsidRPr="00163A6B" w:rsidRDefault="00604A34" w:rsidP="005016A2">
      <w:pPr>
        <w:jc w:val="both"/>
        <w:rPr>
          <w:rFonts w:ascii="Arial" w:hAnsi="Arial" w:cs="Arial"/>
        </w:rPr>
      </w:pPr>
    </w:p>
    <w:p w14:paraId="55232E5F" w14:textId="77777777" w:rsidR="006E748C" w:rsidRPr="00163A6B" w:rsidRDefault="006E748C" w:rsidP="005016A2">
      <w:pPr>
        <w:jc w:val="both"/>
        <w:rPr>
          <w:rFonts w:ascii="Arial" w:hAnsi="Arial" w:cs="Arial"/>
        </w:rPr>
      </w:pPr>
    </w:p>
    <w:p w14:paraId="20CC0F19" w14:textId="77777777" w:rsidR="005F09A8" w:rsidRPr="00163A6B" w:rsidRDefault="005F09A8" w:rsidP="005016A2">
      <w:pPr>
        <w:jc w:val="both"/>
        <w:rPr>
          <w:rFonts w:ascii="Arial" w:hAnsi="Arial" w:cs="Arial"/>
        </w:rPr>
      </w:pPr>
    </w:p>
    <w:p w14:paraId="117AACFE" w14:textId="1F639850" w:rsidR="006E7BF4" w:rsidRPr="00163A6B" w:rsidRDefault="006E7BF4" w:rsidP="005016A2">
      <w:pPr>
        <w:rPr>
          <w:rFonts w:ascii="Arial" w:hAnsi="Arial" w:cs="Arial"/>
        </w:rPr>
      </w:pPr>
    </w:p>
    <w:bookmarkEnd w:id="1"/>
    <w:p w14:paraId="6EA7EE8B" w14:textId="67041867" w:rsidR="006E7BF4" w:rsidRPr="007E6A33" w:rsidRDefault="00A2691B" w:rsidP="006E7BF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6E7BF4" w:rsidRPr="007E6A33">
        <w:rPr>
          <w:rFonts w:ascii="Arial" w:hAnsi="Arial" w:cs="Arial"/>
          <w:b/>
          <w:bCs/>
          <w:sz w:val="22"/>
          <w:szCs w:val="22"/>
        </w:rPr>
        <w:t xml:space="preserve">eferences </w:t>
      </w:r>
    </w:p>
    <w:p w14:paraId="66DED05C" w14:textId="0490625C" w:rsidR="006E7BF4" w:rsidRDefault="006E7BF4" w:rsidP="006E7BF4">
      <w:pPr>
        <w:rPr>
          <w:sz w:val="20"/>
        </w:rPr>
      </w:pPr>
    </w:p>
    <w:p w14:paraId="236AA51A" w14:textId="3F5E0FD2" w:rsidR="005C03A6" w:rsidRPr="00163A6B" w:rsidRDefault="005C03A6" w:rsidP="007E6A3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Raine J. Confirmation of guidance to vaccination centres on managing allergic reactions following COVID-19 vaccination with the Pfizer/BioNTech vaccine (press release). Medicines and Healthcare products Regulatory Agency (MHRA), 9 December 2020. Available at: </w:t>
      </w:r>
      <w:hyperlink r:id="rId6" w:history="1">
        <w:r w:rsidRPr="00163A6B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www.gov.uk/government/news/confirmation-of-guidance-to-vaccination-centres-on-managing-allergic-reactions-following-covid-19-vaccination-with-the-pfizer-biontech-vaccine</w:t>
        </w:r>
      </w:hyperlink>
    </w:p>
    <w:p w14:paraId="6933A02F" w14:textId="77777777" w:rsidR="005C03A6" w:rsidRPr="00163A6B" w:rsidRDefault="005C03A6" w:rsidP="007E6A33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4D84264" w14:textId="7A03C961" w:rsidR="00E22859" w:rsidRPr="00163A6B" w:rsidRDefault="005E303B" w:rsidP="007E6A33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63A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Shimabukuro T, Nair N. </w:t>
      </w:r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. </w:t>
      </w:r>
      <w:r w:rsidRPr="00163A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JAMA. 2021 </w:t>
      </w:r>
      <w:proofErr w:type="spellStart"/>
      <w:r w:rsidRPr="00163A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Pr="00163A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</w:t>
      </w:r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Pr="00163A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10.1001/jama.2021.0600. </w:t>
      </w:r>
      <w:r w:rsidR="009418F8" w:rsidRPr="00163A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Allergic Reactions Including Anaphylaxis After Receipt of the First Dose of Pfizer-BioNTech COVID-19 Vaccine</w:t>
      </w:r>
      <w:r w:rsidRPr="00163A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BB67C8B" w14:textId="77777777" w:rsidR="005E303B" w:rsidRPr="00163A6B" w:rsidRDefault="005E303B" w:rsidP="007E6A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BD7FCD" w14:textId="43FEA87D" w:rsidR="005C03A6" w:rsidRPr="00163A6B" w:rsidRDefault="005C03A6" w:rsidP="007E6A3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CDC COVID-19 Response Team; Food and Drug Administration. Allergic Reactions Including Anaphylaxis After Receipt of the First Dose of </w:t>
      </w:r>
      <w:proofErr w:type="spellStart"/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Moderna</w:t>
      </w:r>
      <w:proofErr w:type="spellEnd"/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COVID-19 Vaccine - United States, December 21, 2020-January 10, 2021. MMWR </w:t>
      </w:r>
      <w:proofErr w:type="spellStart"/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Morb</w:t>
      </w:r>
      <w:proofErr w:type="spellEnd"/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Mortal </w:t>
      </w:r>
      <w:proofErr w:type="spellStart"/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Wkly</w:t>
      </w:r>
      <w:proofErr w:type="spellEnd"/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Rep. 2021 Jan 29;70(4):125-129. </w:t>
      </w:r>
    </w:p>
    <w:p w14:paraId="60ECC5D6" w14:textId="77777777" w:rsidR="005C03A6" w:rsidRPr="00163A6B" w:rsidRDefault="005C03A6" w:rsidP="007E6A33">
      <w:pPr>
        <w:pStyle w:val="ListParagrap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B9291B6" w14:textId="77777777" w:rsidR="005C03A6" w:rsidRPr="00163A6B" w:rsidRDefault="005C03A6" w:rsidP="007E6A33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5DF99FDA" w14:textId="4CF8FB23" w:rsidR="005C03A6" w:rsidRPr="00163A6B" w:rsidRDefault="005C03A6" w:rsidP="007E6A33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66F0E">
        <w:rPr>
          <w:rFonts w:ascii="Arial" w:hAnsi="Arial" w:cs="Arial"/>
          <w:sz w:val="22"/>
          <w:szCs w:val="22"/>
          <w:lang w:val="de-DE"/>
        </w:rPr>
        <w:t xml:space="preserve">McNeil M, </w:t>
      </w:r>
      <w:proofErr w:type="spellStart"/>
      <w:r w:rsidRPr="00866F0E">
        <w:rPr>
          <w:rFonts w:ascii="Arial" w:hAnsi="Arial" w:cs="Arial"/>
          <w:sz w:val="22"/>
          <w:szCs w:val="22"/>
          <w:lang w:val="de-DE"/>
        </w:rPr>
        <w:t>Weintraub</w:t>
      </w:r>
      <w:proofErr w:type="spellEnd"/>
      <w:r w:rsidRPr="00866F0E">
        <w:rPr>
          <w:rFonts w:ascii="Arial" w:hAnsi="Arial" w:cs="Arial"/>
          <w:sz w:val="22"/>
          <w:szCs w:val="22"/>
          <w:lang w:val="de-DE"/>
        </w:rPr>
        <w:t xml:space="preserve"> ES, Duffy J et al. </w:t>
      </w:r>
      <w:r w:rsidRPr="00163A6B">
        <w:rPr>
          <w:rFonts w:ascii="Arial" w:hAnsi="Arial" w:cs="Arial"/>
          <w:sz w:val="22"/>
          <w:szCs w:val="22"/>
        </w:rPr>
        <w:t>Risk of anaphylaxis after vaccination in children and adults J Allergy Clin Immunol. 2016;137(3):868-78.</w:t>
      </w:r>
    </w:p>
    <w:p w14:paraId="06C74310" w14:textId="77777777" w:rsidR="005C03A6" w:rsidRPr="00163A6B" w:rsidRDefault="005C03A6" w:rsidP="007E6A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07E75FC" w14:textId="0AD7FB86" w:rsidR="005C03A6" w:rsidRPr="00777569" w:rsidRDefault="005C03A6" w:rsidP="007E6A33">
      <w:pPr>
        <w:pStyle w:val="ListParagraph"/>
        <w:numPr>
          <w:ilvl w:val="0"/>
          <w:numId w:val="5"/>
        </w:numP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  <w:lang w:eastAsia="en-GB"/>
        </w:rPr>
      </w:pPr>
      <w:r w:rsidRPr="00163A6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CDC COVID-19 Response Team; Food and Drug Administration. COVID-19 vaccine safety update. 27 January 2021. Available at: </w:t>
      </w:r>
      <w:hyperlink r:id="rId7" w:history="1">
        <w:r w:rsidRPr="00163A6B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www.cdc.gov/vaccines/acip/meetings/downloads/slides-2021-01/06-COVID-Shimabukuro.pdf</w:t>
        </w:r>
      </w:hyperlink>
    </w:p>
    <w:p w14:paraId="0EB7206A" w14:textId="77777777" w:rsidR="00777569" w:rsidRPr="00777569" w:rsidRDefault="00777569" w:rsidP="00777569">
      <w:pPr>
        <w:pStyle w:val="ListParagrap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47F9EAA6" w14:textId="77777777" w:rsidR="00777569" w:rsidRDefault="00777569" w:rsidP="00777569">
      <w:pPr>
        <w:pStyle w:val="ListParagraph"/>
        <w:numPr>
          <w:ilvl w:val="0"/>
          <w:numId w:val="5"/>
        </w:numPr>
      </w:pPr>
      <w:r w:rsidRPr="00ED302F">
        <w:t xml:space="preserve">George S, Suresh S. Vocal Cord Dysfunction: Analysis of 27 Cases and Updated Review of Pathophysiology &amp; Management. Int Arch </w:t>
      </w:r>
      <w:proofErr w:type="spellStart"/>
      <w:r w:rsidRPr="00ED302F">
        <w:t>Otorhinolaryngol</w:t>
      </w:r>
      <w:proofErr w:type="spellEnd"/>
      <w:r w:rsidRPr="00ED302F">
        <w:t xml:space="preserve">. 2019;23(2):125-130. </w:t>
      </w:r>
      <w:proofErr w:type="spellStart"/>
      <w:r w:rsidRPr="00ED302F">
        <w:t>doi</w:t>
      </w:r>
      <w:proofErr w:type="spellEnd"/>
      <w:r w:rsidRPr="00ED302F">
        <w:t>: 10.1055/s-0038-1661358.  2018 Oct 24. PMID: 30956693; PMCID: PMC6449128.</w:t>
      </w:r>
    </w:p>
    <w:p w14:paraId="1AD8EADF" w14:textId="77777777" w:rsidR="00777569" w:rsidRPr="00777569" w:rsidRDefault="00777569" w:rsidP="00777569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72B4AFC" w14:textId="77777777" w:rsidR="005C03A6" w:rsidRPr="00163A6B" w:rsidRDefault="005C03A6" w:rsidP="007E6A33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71D7800" w14:textId="00958518" w:rsidR="006E7BF4" w:rsidRPr="00163A6B" w:rsidRDefault="006E7BF4" w:rsidP="007E6A33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866F0E">
        <w:rPr>
          <w:rFonts w:ascii="Arial" w:hAnsi="Arial" w:cs="Arial"/>
          <w:color w:val="000000" w:themeColor="text1"/>
          <w:sz w:val="22"/>
          <w:szCs w:val="22"/>
          <w:lang w:val="de-DE"/>
        </w:rPr>
        <w:t>Rüggeberg  JU</w:t>
      </w:r>
      <w:r w:rsidRPr="00163A6B">
        <w:rPr>
          <w:rFonts w:ascii="Calibri" w:hAnsi="Calibri" w:cs="Calibri"/>
          <w:color w:val="000000" w:themeColor="text1"/>
          <w:sz w:val="22"/>
          <w:szCs w:val="22"/>
        </w:rPr>
        <w:t>﻿</w:t>
      </w:r>
      <w:proofErr w:type="gramEnd"/>
      <w:r w:rsidRPr="00866F0E">
        <w:rPr>
          <w:rFonts w:ascii="Arial" w:hAnsi="Arial" w:cs="Arial"/>
          <w:color w:val="000000" w:themeColor="text1"/>
          <w:sz w:val="22"/>
          <w:szCs w:val="22"/>
          <w:lang w:val="de-DE"/>
        </w:rPr>
        <w:t>, Gold  MS</w:t>
      </w:r>
      <w:r w:rsidRPr="00163A6B">
        <w:rPr>
          <w:rFonts w:ascii="Calibri" w:hAnsi="Calibri" w:cs="Calibri"/>
          <w:color w:val="000000" w:themeColor="text1"/>
          <w:sz w:val="22"/>
          <w:szCs w:val="22"/>
        </w:rPr>
        <w:t>﻿</w:t>
      </w:r>
      <w:r w:rsidRPr="00866F0E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866F0E">
        <w:rPr>
          <w:rFonts w:ascii="Arial" w:hAnsi="Arial" w:cs="Arial"/>
          <w:color w:val="000000" w:themeColor="text1"/>
          <w:sz w:val="22"/>
          <w:szCs w:val="22"/>
          <w:lang w:val="de-DE"/>
        </w:rPr>
        <w:t>Bayas</w:t>
      </w:r>
      <w:proofErr w:type="spellEnd"/>
      <w:r w:rsidRPr="00866F0E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 JM</w:t>
      </w:r>
      <w:r w:rsidRPr="00163A6B">
        <w:rPr>
          <w:rFonts w:ascii="Calibri" w:hAnsi="Calibri" w:cs="Calibri"/>
          <w:color w:val="000000" w:themeColor="text1"/>
          <w:sz w:val="22"/>
          <w:szCs w:val="22"/>
        </w:rPr>
        <w:t>﻿</w:t>
      </w:r>
      <w:r w:rsidRPr="00866F0E">
        <w:rPr>
          <w:rFonts w:ascii="Arial" w:hAnsi="Arial" w:cs="Arial"/>
          <w:color w:val="000000" w:themeColor="text1"/>
          <w:sz w:val="22"/>
          <w:szCs w:val="22"/>
          <w:lang w:val="de-DE"/>
        </w:rPr>
        <w:t>,  et al.  </w:t>
      </w:r>
      <w:r w:rsidRPr="00163A6B">
        <w:rPr>
          <w:rFonts w:ascii="Arial" w:hAnsi="Arial" w:cs="Arial"/>
          <w:color w:val="000000" w:themeColor="text1"/>
          <w:sz w:val="22"/>
          <w:szCs w:val="22"/>
        </w:rPr>
        <w:t>Anaphylaxis: case definition and guidelines for data collection, analysis, and presentation of immunization safety data. </w:t>
      </w:r>
      <w:r w:rsidRPr="00163A6B">
        <w:rPr>
          <w:rFonts w:ascii="Calibri" w:hAnsi="Calibri" w:cs="Calibri"/>
          <w:color w:val="000000" w:themeColor="text1"/>
          <w:sz w:val="22"/>
          <w:szCs w:val="22"/>
        </w:rPr>
        <w:t>﻿</w:t>
      </w:r>
      <w:r w:rsidRPr="00163A6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63A6B">
        <w:rPr>
          <w:rFonts w:ascii="Arial" w:hAnsi="Arial" w:cs="Arial"/>
          <w:i/>
          <w:color w:val="000000" w:themeColor="text1"/>
          <w:sz w:val="22"/>
          <w:szCs w:val="22"/>
        </w:rPr>
        <w:t> Vaccine</w:t>
      </w:r>
      <w:r w:rsidRPr="00163A6B">
        <w:rPr>
          <w:rFonts w:ascii="Arial" w:hAnsi="Arial" w:cs="Arial"/>
          <w:color w:val="000000" w:themeColor="text1"/>
          <w:sz w:val="22"/>
          <w:szCs w:val="22"/>
        </w:rPr>
        <w:t>. 2007;25(31):5675-5684. doi:</w:t>
      </w:r>
      <w:hyperlink r:id="rId8" w:history="1">
        <w:r w:rsidRPr="00163A6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10.1016/j.vaccine.2007.02.064</w:t>
        </w:r>
      </w:hyperlink>
      <w:r w:rsidRPr="00163A6B">
        <w:rPr>
          <w:rFonts w:ascii="Calibri" w:hAnsi="Calibri" w:cs="Calibri"/>
          <w:color w:val="000000" w:themeColor="text1"/>
          <w:sz w:val="22"/>
          <w:szCs w:val="22"/>
        </w:rPr>
        <w:t>﻿</w:t>
      </w:r>
    </w:p>
    <w:p w14:paraId="125E6BAA" w14:textId="77777777" w:rsidR="005C03A6" w:rsidRPr="00163A6B" w:rsidRDefault="005C03A6" w:rsidP="007E6A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175318" w14:textId="67D1449E" w:rsidR="00163A6B" w:rsidRPr="00866F0E" w:rsidRDefault="006E7BF4" w:rsidP="007E6A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30"/>
        <w:outlineLvl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63A6B">
        <w:rPr>
          <w:rFonts w:ascii="Arial" w:hAnsi="Arial" w:cs="Arial"/>
          <w:color w:val="000000" w:themeColor="text1"/>
          <w:sz w:val="22"/>
          <w:szCs w:val="22"/>
        </w:rPr>
        <w:t xml:space="preserve">Sampson HA, Munoz-Furlong A, Campbell RL, et al. Second symposium on the definition and management of anaphylaxis: summary report--Second National Institute of Allergy and Infectious Disease/Food Allergy and Anaphylaxis </w:t>
      </w:r>
      <w:r w:rsidR="001E4C2E">
        <w:rPr>
          <w:rFonts w:ascii="Arial" w:hAnsi="Arial" w:cs="Arial"/>
          <w:color w:val="000000" w:themeColor="text1"/>
          <w:sz w:val="22"/>
          <w:szCs w:val="22"/>
        </w:rPr>
        <w:t>N</w:t>
      </w:r>
      <w:r w:rsidRPr="00163A6B">
        <w:rPr>
          <w:rFonts w:ascii="Arial" w:hAnsi="Arial" w:cs="Arial"/>
          <w:color w:val="000000" w:themeColor="text1"/>
          <w:sz w:val="22"/>
          <w:szCs w:val="22"/>
        </w:rPr>
        <w:t>etwork</w:t>
      </w:r>
      <w:r w:rsidR="001E4C2E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Pr="00163A6B">
        <w:rPr>
          <w:rFonts w:ascii="Arial" w:hAnsi="Arial" w:cs="Arial"/>
          <w:color w:val="000000" w:themeColor="text1"/>
          <w:sz w:val="22"/>
          <w:szCs w:val="22"/>
        </w:rPr>
        <w:t>ymposium. J Allergy Clin Immunol. 2006;117(2):391-397.</w:t>
      </w:r>
    </w:p>
    <w:p w14:paraId="60625675" w14:textId="77777777" w:rsidR="001E4C2E" w:rsidRDefault="001E4C2E" w:rsidP="001E4C2E"/>
    <w:p w14:paraId="036BC75E" w14:textId="7F4C1E94" w:rsidR="009D4753" w:rsidRDefault="009D4753" w:rsidP="001E4C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3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63A6B">
        <w:rPr>
          <w:rFonts w:ascii="Arial" w:hAnsi="Arial" w:cs="Arial"/>
          <w:color w:val="000000" w:themeColor="text1"/>
          <w:sz w:val="22"/>
          <w:szCs w:val="22"/>
        </w:rPr>
        <w:t xml:space="preserve">Cardona V, </w:t>
      </w:r>
      <w:proofErr w:type="spellStart"/>
      <w:r w:rsidRPr="00163A6B">
        <w:rPr>
          <w:rFonts w:ascii="Arial" w:hAnsi="Arial" w:cs="Arial"/>
          <w:color w:val="000000" w:themeColor="text1"/>
          <w:sz w:val="22"/>
          <w:szCs w:val="22"/>
        </w:rPr>
        <w:t>Ansotegui</w:t>
      </w:r>
      <w:proofErr w:type="spellEnd"/>
      <w:r w:rsidRPr="00163A6B">
        <w:rPr>
          <w:rFonts w:ascii="Arial" w:hAnsi="Arial" w:cs="Arial"/>
          <w:color w:val="000000" w:themeColor="text1"/>
          <w:sz w:val="22"/>
          <w:szCs w:val="22"/>
        </w:rPr>
        <w:t xml:space="preserve"> IJ, </w:t>
      </w:r>
      <w:proofErr w:type="spellStart"/>
      <w:r w:rsidRPr="00163A6B">
        <w:rPr>
          <w:rFonts w:ascii="Arial" w:hAnsi="Arial" w:cs="Arial"/>
          <w:color w:val="000000" w:themeColor="text1"/>
          <w:sz w:val="22"/>
          <w:szCs w:val="22"/>
        </w:rPr>
        <w:t>Ebisawa</w:t>
      </w:r>
      <w:proofErr w:type="spellEnd"/>
      <w:r w:rsidRPr="00163A6B">
        <w:rPr>
          <w:rFonts w:ascii="Arial" w:hAnsi="Arial" w:cs="Arial"/>
          <w:color w:val="000000" w:themeColor="text1"/>
          <w:sz w:val="22"/>
          <w:szCs w:val="22"/>
        </w:rPr>
        <w:t xml:space="preserve"> M, et al. World </w:t>
      </w:r>
      <w:r w:rsidR="00E24AC3">
        <w:rPr>
          <w:rFonts w:ascii="Arial" w:hAnsi="Arial" w:cs="Arial"/>
          <w:color w:val="000000" w:themeColor="text1"/>
          <w:sz w:val="22"/>
          <w:szCs w:val="22"/>
        </w:rPr>
        <w:t>A</w:t>
      </w:r>
      <w:r w:rsidRPr="00163A6B">
        <w:rPr>
          <w:rFonts w:ascii="Arial" w:hAnsi="Arial" w:cs="Arial"/>
          <w:color w:val="000000" w:themeColor="text1"/>
          <w:sz w:val="22"/>
          <w:szCs w:val="22"/>
        </w:rPr>
        <w:t xml:space="preserve">llergy </w:t>
      </w:r>
      <w:r w:rsidR="00E24AC3">
        <w:rPr>
          <w:rFonts w:ascii="Arial" w:hAnsi="Arial" w:cs="Arial"/>
          <w:color w:val="000000" w:themeColor="text1"/>
          <w:sz w:val="22"/>
          <w:szCs w:val="22"/>
        </w:rPr>
        <w:t>O</w:t>
      </w:r>
      <w:r w:rsidRPr="00163A6B">
        <w:rPr>
          <w:rFonts w:ascii="Arial" w:hAnsi="Arial" w:cs="Arial"/>
          <w:color w:val="000000" w:themeColor="text1"/>
          <w:sz w:val="22"/>
          <w:szCs w:val="22"/>
        </w:rPr>
        <w:t>rganization anaphylaxis guidance 2020. World Allergy Organ J. 2020 Oct 30;13(10):100472.</w:t>
      </w:r>
    </w:p>
    <w:p w14:paraId="2DD4021F" w14:textId="77777777" w:rsidR="001E4C2E" w:rsidRPr="001E4C2E" w:rsidRDefault="001E4C2E" w:rsidP="001E4C2E">
      <w:pPr>
        <w:autoSpaceDE w:val="0"/>
        <w:autoSpaceDN w:val="0"/>
        <w:adjustRightInd w:val="0"/>
        <w:spacing w:after="330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7023B7F" w14:textId="7230CF54" w:rsidR="006E7BF4" w:rsidRPr="00163A6B" w:rsidRDefault="006E7BF4" w:rsidP="001E4C2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63A6B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Turner PJ, </w:t>
      </w:r>
      <w:proofErr w:type="spellStart"/>
      <w:r w:rsidRPr="00163A6B">
        <w:rPr>
          <w:rFonts w:ascii="Arial" w:hAnsi="Arial" w:cs="Arial"/>
          <w:color w:val="000000" w:themeColor="text1"/>
          <w:kern w:val="36"/>
          <w:sz w:val="22"/>
          <w:szCs w:val="22"/>
        </w:rPr>
        <w:t>DunnGalvin</w:t>
      </w:r>
      <w:proofErr w:type="spellEnd"/>
      <w:r w:rsidRPr="00163A6B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A, Hourihane JO’B. The Emperor Has No Symptoms: The Risks of a Blanket Approach to Using Epinephrine Autoinjectors for All Allergic </w:t>
      </w:r>
      <w:r w:rsidR="00EF53EE" w:rsidRPr="00163A6B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eastAsia="en-GB"/>
        </w:rPr>
        <w:t>R</w:t>
      </w:r>
      <w:r w:rsidRPr="00163A6B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eastAsia="en-GB"/>
        </w:rPr>
        <w:t>eactions</w:t>
      </w:r>
      <w:r w:rsidRPr="00163A6B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J Allergy Clin practice </w:t>
      </w:r>
      <w:r w:rsidRPr="00163A6B">
        <w:rPr>
          <w:rFonts w:ascii="Arial" w:hAnsi="Arial" w:cs="Arial"/>
          <w:color w:val="000000" w:themeColor="text1"/>
          <w:sz w:val="22"/>
          <w:szCs w:val="22"/>
        </w:rPr>
        <w:t xml:space="preserve">2016;4(6):1143-1146. </w:t>
      </w:r>
      <w:r w:rsidRPr="00163A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163A6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163A6B">
        <w:rPr>
          <w:rFonts w:ascii="Arial" w:hAnsi="Arial" w:cs="Arial"/>
          <w:color w:val="000000" w:themeColor="text1"/>
          <w:sz w:val="22"/>
          <w:szCs w:val="22"/>
        </w:rPr>
        <w:t>: 10.1016/j.jaip.2016.05.005.</w:t>
      </w:r>
    </w:p>
    <w:p w14:paraId="033EF64F" w14:textId="16B7D75F" w:rsidR="006E7BF4" w:rsidRPr="00163A6B" w:rsidRDefault="006E7BF4" w:rsidP="006E7BF4">
      <w:pPr>
        <w:spacing w:after="330"/>
        <w:outlineLvl w:val="0"/>
        <w:rPr>
          <w:rFonts w:ascii="Arial" w:hAnsi="Arial" w:cs="Arial"/>
          <w:sz w:val="22"/>
          <w:szCs w:val="22"/>
        </w:rPr>
      </w:pPr>
    </w:p>
    <w:p w14:paraId="0FB11FFB" w14:textId="768D1FDD" w:rsidR="00C94B41" w:rsidRDefault="00C94B41" w:rsidP="006E7BF4">
      <w:pPr>
        <w:spacing w:after="330"/>
        <w:outlineLvl w:val="0"/>
        <w:rPr>
          <w:rFonts w:cs="Arial"/>
        </w:rPr>
      </w:pPr>
    </w:p>
    <w:p w14:paraId="1F0C5354" w14:textId="77777777" w:rsidR="00E66526" w:rsidRPr="00E22859" w:rsidRDefault="00E66526" w:rsidP="006E7BF4">
      <w:pPr>
        <w:spacing w:after="330"/>
        <w:outlineLvl w:val="0"/>
        <w:rPr>
          <w:rFonts w:cs="Arial"/>
        </w:rPr>
      </w:pPr>
    </w:p>
    <w:p w14:paraId="2741067A" w14:textId="66C18AC0" w:rsidR="007E6A33" w:rsidRDefault="007E6A33" w:rsidP="006E7BF4">
      <w:pPr>
        <w:spacing w:after="330"/>
        <w:outlineLvl w:val="0"/>
        <w:rPr>
          <w:rFonts w:ascii="Arial" w:hAnsi="Arial" w:cs="Arial"/>
        </w:rPr>
      </w:pPr>
    </w:p>
    <w:p w14:paraId="63A45F1A" w14:textId="77777777" w:rsidR="00E66526" w:rsidRPr="002675B4" w:rsidRDefault="00E66526" w:rsidP="006E7BF4">
      <w:pPr>
        <w:spacing w:after="330"/>
        <w:outlineLvl w:val="0"/>
        <w:rPr>
          <w:rFonts w:ascii="Arial" w:hAnsi="Arial" w:cs="Arial"/>
          <w:b/>
          <w:bCs/>
          <w:color w:val="000000" w:themeColor="text1"/>
        </w:rPr>
      </w:pPr>
      <w:r w:rsidRPr="002675B4">
        <w:rPr>
          <w:rFonts w:ascii="Arial" w:hAnsi="Arial" w:cs="Arial"/>
          <w:b/>
          <w:bCs/>
          <w:color w:val="000000" w:themeColor="text1"/>
        </w:rPr>
        <w:lastRenderedPageBreak/>
        <w:t>Authors</w:t>
      </w:r>
    </w:p>
    <w:p w14:paraId="382B6D24" w14:textId="689CD500" w:rsidR="00917815" w:rsidRPr="00866F0E" w:rsidRDefault="007E6A33" w:rsidP="006E7BF4">
      <w:pPr>
        <w:spacing w:after="330"/>
        <w:outlineLvl w:val="0"/>
        <w:rPr>
          <w:rFonts w:ascii="Arial" w:hAnsi="Arial" w:cs="Arial"/>
          <w:color w:val="000000" w:themeColor="text1"/>
        </w:rPr>
      </w:pPr>
      <w:r w:rsidRPr="00866F0E">
        <w:rPr>
          <w:rFonts w:ascii="Arial" w:hAnsi="Arial" w:cs="Arial"/>
          <w:color w:val="000000" w:themeColor="text1"/>
        </w:rPr>
        <w:t>J</w:t>
      </w:r>
      <w:r w:rsidR="00917815" w:rsidRPr="00866F0E">
        <w:rPr>
          <w:rFonts w:ascii="Arial" w:hAnsi="Arial" w:cs="Arial"/>
          <w:color w:val="000000" w:themeColor="text1"/>
        </w:rPr>
        <w:t>onathan O’B Hourihane DM, FRCPI, Paediatrics and Child Health, Royal College of Surgeons in Ireland and Children’s Health Ireland, Dublin, Ireland</w:t>
      </w:r>
    </w:p>
    <w:p w14:paraId="7B744559" w14:textId="7E517CD4" w:rsidR="00917815" w:rsidRPr="00866F0E" w:rsidRDefault="00917815" w:rsidP="00917815">
      <w:pPr>
        <w:spacing w:after="330"/>
        <w:outlineLvl w:val="0"/>
        <w:rPr>
          <w:rFonts w:ascii="Arial" w:hAnsi="Arial" w:cs="Arial"/>
          <w:color w:val="000000" w:themeColor="text1"/>
        </w:rPr>
      </w:pPr>
      <w:r w:rsidRPr="00866F0E">
        <w:rPr>
          <w:rFonts w:ascii="Arial" w:hAnsi="Arial" w:cs="Arial"/>
          <w:color w:val="000000" w:themeColor="text1"/>
        </w:rPr>
        <w:t xml:space="preserve">Aideen M Byrne PhD, FRCPI,  Children’s Health Ireland and </w:t>
      </w:r>
      <w:r w:rsidR="00E66526">
        <w:rPr>
          <w:rFonts w:ascii="Arial" w:hAnsi="Arial" w:cs="Arial"/>
          <w:color w:val="000000" w:themeColor="text1"/>
        </w:rPr>
        <w:t xml:space="preserve">Trinity College </w:t>
      </w:r>
      <w:r w:rsidRPr="00866F0E">
        <w:rPr>
          <w:rFonts w:ascii="Arial" w:hAnsi="Arial" w:cs="Arial"/>
          <w:color w:val="000000" w:themeColor="text1"/>
        </w:rPr>
        <w:t xml:space="preserve">Dublin, Ireland </w:t>
      </w:r>
    </w:p>
    <w:p w14:paraId="453F978B" w14:textId="3AD29DDC" w:rsidR="001E4C2E" w:rsidRPr="001E4C2E" w:rsidRDefault="00EF53EE" w:rsidP="001E4C2E">
      <w:pPr>
        <w:rPr>
          <w:rFonts w:ascii="Arial" w:hAnsi="Arial" w:cs="Arial"/>
          <w:color w:val="000000" w:themeColor="text1"/>
        </w:rPr>
      </w:pPr>
      <w:r w:rsidRPr="00866F0E">
        <w:rPr>
          <w:rFonts w:ascii="Arial" w:hAnsi="Arial" w:cs="Arial"/>
          <w:color w:val="000000" w:themeColor="text1"/>
        </w:rPr>
        <w:t>K</w:t>
      </w:r>
      <w:r w:rsidR="005E303B" w:rsidRPr="00866F0E">
        <w:rPr>
          <w:rFonts w:ascii="Arial" w:hAnsi="Arial" w:cs="Arial"/>
          <w:color w:val="000000" w:themeColor="text1"/>
        </w:rPr>
        <w:t>at</w:t>
      </w:r>
      <w:r w:rsidR="00866F0E" w:rsidRPr="00866F0E">
        <w:rPr>
          <w:rFonts w:ascii="Arial" w:hAnsi="Arial" w:cs="Arial"/>
          <w:color w:val="000000" w:themeColor="text1"/>
        </w:rPr>
        <w:t>ha</w:t>
      </w:r>
      <w:r w:rsidR="005E303B" w:rsidRPr="00866F0E">
        <w:rPr>
          <w:rFonts w:ascii="Arial" w:hAnsi="Arial" w:cs="Arial"/>
          <w:color w:val="000000" w:themeColor="text1"/>
        </w:rPr>
        <w:t>rina</w:t>
      </w:r>
      <w:r w:rsidRPr="00866F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66F0E">
        <w:rPr>
          <w:rFonts w:ascii="Arial" w:hAnsi="Arial" w:cs="Arial"/>
          <w:color w:val="000000" w:themeColor="text1"/>
        </w:rPr>
        <w:t>Bl</w:t>
      </w:r>
      <w:r w:rsidR="00CB349E">
        <w:rPr>
          <w:rFonts w:ascii="Arial" w:hAnsi="Arial" w:cs="Arial"/>
          <w:color w:val="000000" w:themeColor="text1"/>
        </w:rPr>
        <w:t>ü</w:t>
      </w:r>
      <w:r w:rsidRPr="00866F0E">
        <w:rPr>
          <w:rFonts w:ascii="Arial" w:hAnsi="Arial" w:cs="Arial"/>
          <w:color w:val="000000" w:themeColor="text1"/>
        </w:rPr>
        <w:t>mchen</w:t>
      </w:r>
      <w:proofErr w:type="spellEnd"/>
      <w:r w:rsidR="007207E8">
        <w:rPr>
          <w:rFonts w:ascii="Arial" w:hAnsi="Arial" w:cs="Arial"/>
          <w:color w:val="000000" w:themeColor="text1"/>
        </w:rPr>
        <w:t xml:space="preserve"> MD</w:t>
      </w:r>
      <w:r w:rsidR="001E4C2E">
        <w:rPr>
          <w:rFonts w:ascii="Arial" w:hAnsi="Arial" w:cs="Arial"/>
          <w:color w:val="000000" w:themeColor="text1"/>
        </w:rPr>
        <w:t>,</w:t>
      </w:r>
      <w:r w:rsidR="007207E8">
        <w:rPr>
          <w:rFonts w:ascii="Arial" w:hAnsi="Arial" w:cs="Arial"/>
          <w:color w:val="000000" w:themeColor="text1"/>
        </w:rPr>
        <w:t xml:space="preserve"> PhD</w:t>
      </w:r>
      <w:r w:rsidR="00866F0E" w:rsidRPr="00866F0E">
        <w:rPr>
          <w:rFonts w:ascii="Arial" w:hAnsi="Arial" w:cs="Arial"/>
          <w:color w:val="000000" w:themeColor="text1"/>
        </w:rPr>
        <w:t xml:space="preserve">, </w:t>
      </w:r>
      <w:r w:rsidR="001E4C2E" w:rsidRPr="001E4C2E">
        <w:rPr>
          <w:rFonts w:ascii="Arial" w:hAnsi="Arial" w:cs="Arial"/>
          <w:color w:val="000000" w:themeColor="text1"/>
        </w:rPr>
        <w:t xml:space="preserve">Children and </w:t>
      </w:r>
      <w:r w:rsidR="009C097F">
        <w:rPr>
          <w:rFonts w:ascii="Arial" w:hAnsi="Arial" w:cs="Arial"/>
          <w:color w:val="000000" w:themeColor="text1"/>
        </w:rPr>
        <w:t>A</w:t>
      </w:r>
      <w:r w:rsidR="001E4C2E" w:rsidRPr="001E4C2E">
        <w:rPr>
          <w:rFonts w:ascii="Arial" w:hAnsi="Arial" w:cs="Arial"/>
          <w:color w:val="000000" w:themeColor="text1"/>
        </w:rPr>
        <w:t>dolescent medicine, Division of Allergology, Pneumology and Cystic Fibrosis, Goethe University Frankfurt, Frankfurt, Germany</w:t>
      </w:r>
    </w:p>
    <w:p w14:paraId="5A64C4DE" w14:textId="77777777" w:rsidR="001E4C2E" w:rsidRPr="001E4C2E" w:rsidRDefault="001E4C2E" w:rsidP="001E4C2E">
      <w:pPr>
        <w:rPr>
          <w:rFonts w:ascii="Arial" w:hAnsi="Arial" w:cs="Arial"/>
        </w:rPr>
      </w:pPr>
    </w:p>
    <w:p w14:paraId="6E0684CB" w14:textId="1202AF99" w:rsidR="009D4753" w:rsidRPr="00866F0E" w:rsidRDefault="00EF53EE" w:rsidP="009D4753">
      <w:pPr>
        <w:spacing w:after="330"/>
        <w:outlineLvl w:val="0"/>
        <w:rPr>
          <w:rFonts w:ascii="Arial" w:hAnsi="Arial" w:cs="Arial"/>
          <w:color w:val="000000" w:themeColor="text1"/>
        </w:rPr>
      </w:pPr>
      <w:r w:rsidRPr="00866F0E">
        <w:rPr>
          <w:rFonts w:ascii="Arial" w:hAnsi="Arial" w:cs="Arial"/>
          <w:color w:val="000000" w:themeColor="text1"/>
          <w:lang w:val="en-US"/>
        </w:rPr>
        <w:t>P</w:t>
      </w:r>
      <w:r w:rsidR="005E303B" w:rsidRPr="00866F0E">
        <w:rPr>
          <w:rFonts w:ascii="Arial" w:hAnsi="Arial" w:cs="Arial"/>
          <w:color w:val="000000" w:themeColor="text1"/>
          <w:lang w:val="en-US"/>
        </w:rPr>
        <w:t xml:space="preserve">aul </w:t>
      </w:r>
      <w:r w:rsidRPr="00866F0E">
        <w:rPr>
          <w:rFonts w:ascii="Arial" w:hAnsi="Arial" w:cs="Arial"/>
          <w:color w:val="000000" w:themeColor="text1"/>
          <w:lang w:val="en-US"/>
        </w:rPr>
        <w:t>J Turner</w:t>
      </w:r>
      <w:r w:rsidR="007207E8">
        <w:rPr>
          <w:rFonts w:ascii="Arial" w:hAnsi="Arial" w:cs="Arial"/>
          <w:color w:val="000000" w:themeColor="text1"/>
          <w:lang w:val="en-US"/>
        </w:rPr>
        <w:t xml:space="preserve"> PhD, FRCPCH</w:t>
      </w:r>
      <w:r w:rsidR="005E303B" w:rsidRPr="00866F0E">
        <w:rPr>
          <w:rFonts w:ascii="Arial" w:hAnsi="Arial" w:cs="Arial"/>
          <w:color w:val="000000" w:themeColor="text1"/>
        </w:rPr>
        <w:t xml:space="preserve">, </w:t>
      </w:r>
      <w:r w:rsidR="009D4753" w:rsidRPr="00866F0E">
        <w:rPr>
          <w:rFonts w:ascii="Arial" w:hAnsi="Arial" w:cs="Arial"/>
          <w:color w:val="000000" w:themeColor="text1"/>
        </w:rPr>
        <w:t>National Heart &amp; Lung Institute, Imperial College London, London, UK</w:t>
      </w:r>
    </w:p>
    <w:p w14:paraId="12992DB8" w14:textId="1726E782" w:rsidR="00866F0E" w:rsidRPr="00866F0E" w:rsidRDefault="00EF53EE" w:rsidP="00866F0E">
      <w:pPr>
        <w:pStyle w:val="NormalWeb"/>
        <w:rPr>
          <w:color w:val="000000" w:themeColor="text1"/>
          <w:lang w:val="en-IE"/>
        </w:rPr>
      </w:pPr>
      <w:r w:rsidRPr="00866F0E">
        <w:rPr>
          <w:rFonts w:ascii="Arial" w:hAnsi="Arial" w:cs="Arial"/>
          <w:color w:val="000000" w:themeColor="text1"/>
        </w:rPr>
        <w:t>M</w:t>
      </w:r>
      <w:r w:rsidR="005E303B" w:rsidRPr="00866F0E">
        <w:rPr>
          <w:rFonts w:ascii="Arial" w:hAnsi="Arial" w:cs="Arial"/>
          <w:color w:val="000000" w:themeColor="text1"/>
        </w:rPr>
        <w:t xml:space="preserve">atthew </w:t>
      </w:r>
      <w:proofErr w:type="spellStart"/>
      <w:r w:rsidRPr="00866F0E">
        <w:rPr>
          <w:rFonts w:ascii="Arial" w:hAnsi="Arial" w:cs="Arial"/>
          <w:color w:val="000000" w:themeColor="text1"/>
        </w:rPr>
        <w:t>Greenhawt</w:t>
      </w:r>
      <w:proofErr w:type="spellEnd"/>
      <w:r w:rsidR="00866F0E" w:rsidRPr="00866F0E">
        <w:rPr>
          <w:rFonts w:ascii="Arial" w:hAnsi="Arial" w:cs="Arial"/>
          <w:color w:val="000000" w:themeColor="text1"/>
        </w:rPr>
        <w:t xml:space="preserve">, </w:t>
      </w:r>
      <w:r w:rsidR="00866F0E">
        <w:rPr>
          <w:rFonts w:ascii="Arial" w:hAnsi="Arial" w:cs="Arial"/>
          <w:color w:val="000000" w:themeColor="text1"/>
        </w:rPr>
        <w:t>MD MBA Allergy and Immunology</w:t>
      </w:r>
      <w:r w:rsidR="00E66526">
        <w:rPr>
          <w:rFonts w:ascii="Arial" w:hAnsi="Arial" w:cs="Arial"/>
          <w:color w:val="000000" w:themeColor="text1"/>
        </w:rPr>
        <w:t xml:space="preserve">, </w:t>
      </w:r>
      <w:r w:rsidR="00866F0E" w:rsidRPr="00866F0E">
        <w:rPr>
          <w:rFonts w:ascii="Arial" w:hAnsi="Arial" w:cs="Arial"/>
          <w:color w:val="000000" w:themeColor="text1"/>
        </w:rPr>
        <w:t xml:space="preserve">Children’s Hospital Colorado, University of Colorado School of Medicine, Aurora, Colorado, USA </w:t>
      </w:r>
    </w:p>
    <w:p w14:paraId="10BD2166" w14:textId="7C72382C" w:rsidR="00917815" w:rsidRPr="00163A6B" w:rsidRDefault="00917815" w:rsidP="00E66526">
      <w:pPr>
        <w:spacing w:after="330"/>
        <w:outlineLvl w:val="0"/>
        <w:rPr>
          <w:rFonts w:ascii="Arial" w:hAnsi="Arial" w:cs="Arial"/>
        </w:rPr>
      </w:pPr>
      <w:r w:rsidRPr="00E66526">
        <w:rPr>
          <w:rFonts w:ascii="Arial" w:hAnsi="Arial" w:cs="Arial"/>
          <w:b/>
          <w:bCs/>
        </w:rPr>
        <w:t>Funding</w:t>
      </w:r>
      <w:r w:rsidR="00E66526" w:rsidRPr="00E66526">
        <w:rPr>
          <w:rFonts w:ascii="Arial" w:hAnsi="Arial" w:cs="Arial"/>
          <w:b/>
          <w:bCs/>
        </w:rPr>
        <w:t>:</w:t>
      </w:r>
      <w:r w:rsidR="00E66526">
        <w:rPr>
          <w:rFonts w:ascii="Arial" w:hAnsi="Arial" w:cs="Arial"/>
        </w:rPr>
        <w:t xml:space="preserve"> N</w:t>
      </w:r>
      <w:r w:rsidRPr="00163A6B">
        <w:rPr>
          <w:rFonts w:ascii="Arial" w:hAnsi="Arial" w:cs="Arial"/>
        </w:rPr>
        <w:t>one</w:t>
      </w:r>
    </w:p>
    <w:p w14:paraId="3DD59F01" w14:textId="5BC882FB" w:rsidR="009A77DB" w:rsidRDefault="00917815" w:rsidP="009A77DB">
      <w:pPr>
        <w:pStyle w:val="CommentText"/>
        <w:rPr>
          <w:rFonts w:ascii="Arial" w:hAnsi="Arial" w:cs="Arial"/>
          <w:sz w:val="24"/>
          <w:szCs w:val="24"/>
          <w:lang w:val="pt-PT"/>
        </w:rPr>
      </w:pPr>
      <w:r w:rsidRPr="009A77DB">
        <w:rPr>
          <w:rFonts w:ascii="Arial" w:hAnsi="Arial" w:cs="Arial"/>
          <w:sz w:val="24"/>
          <w:szCs w:val="24"/>
        </w:rPr>
        <w:t>Conflicts of Interest</w:t>
      </w:r>
      <w:r w:rsidR="00AA29B8" w:rsidRPr="009A77DB">
        <w:rPr>
          <w:rFonts w:ascii="Arial" w:hAnsi="Arial" w:cs="Arial"/>
          <w:sz w:val="24"/>
          <w:szCs w:val="24"/>
        </w:rPr>
        <w:t xml:space="preserve">: </w:t>
      </w:r>
      <w:r w:rsidR="00163A6B" w:rsidRPr="009A77DB">
        <w:rPr>
          <w:rFonts w:ascii="Arial" w:hAnsi="Arial" w:cs="Arial"/>
          <w:sz w:val="24"/>
          <w:szCs w:val="24"/>
        </w:rPr>
        <w:t>JOBH and AMB have provided advice, without remuneration</w:t>
      </w:r>
      <w:r w:rsidR="007E6A33" w:rsidRPr="009A77DB">
        <w:rPr>
          <w:rFonts w:ascii="Arial" w:hAnsi="Arial" w:cs="Arial"/>
          <w:sz w:val="24"/>
          <w:szCs w:val="24"/>
        </w:rPr>
        <w:t>,</w:t>
      </w:r>
      <w:r w:rsidR="00163A6B" w:rsidRPr="009A77DB">
        <w:rPr>
          <w:rFonts w:ascii="Arial" w:hAnsi="Arial" w:cs="Arial"/>
          <w:sz w:val="24"/>
          <w:szCs w:val="24"/>
        </w:rPr>
        <w:t xml:space="preserve">  to Ireland’s Health Products Regulatory Authority and National Immunisation Advisory Council</w:t>
      </w:r>
      <w:r w:rsidR="007207E8" w:rsidRPr="009A77DB">
        <w:rPr>
          <w:rFonts w:ascii="Arial" w:hAnsi="Arial" w:cs="Arial"/>
          <w:sz w:val="24"/>
          <w:szCs w:val="24"/>
        </w:rPr>
        <w:t xml:space="preserve">. </w:t>
      </w:r>
      <w:r w:rsidR="00AA29B8" w:rsidRPr="009A77DB">
        <w:rPr>
          <w:rFonts w:ascii="Arial" w:hAnsi="Arial" w:cs="Arial"/>
          <w:sz w:val="24"/>
          <w:szCs w:val="24"/>
        </w:rPr>
        <w:t xml:space="preserve">PJT has provided expertise to the UK MHRA without remuneration, and has an honorary contract with Public Health England. </w:t>
      </w:r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MG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has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served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as a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consultant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for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Canadian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Transportation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Agency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Thermo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Fisher,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Intrommune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and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Aimmune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Therapeutics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;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is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a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member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of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physician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/medical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advisory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boards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for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Aimmune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Therapeutics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DBV Technologies,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Sanofi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>/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Genzyme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Genentech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Nutricia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Kaleo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Pharmaceutical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Nestle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Acquestive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Allergy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Therapeutics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Pfizer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US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World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Meds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Allergenis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Aravax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and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Monsanto;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is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a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member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of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scientific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advisory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council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for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National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Peanut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Board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;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has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received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honorarium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for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lectures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from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Thermo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Fisher,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Aimmune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DBV,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Before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Brands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multiple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state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allergy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societies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American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College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of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Allergy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Asthma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and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Immunology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Eurpoean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Academy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of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Allergy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and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Clinical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Immunology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;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is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an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associate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editor for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Annals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of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Allergy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Asthma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and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Immunology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;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and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is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a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member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of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the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Joint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Taskforce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on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Allergy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Practice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9A77DB" w:rsidRPr="009A77DB">
        <w:rPr>
          <w:rFonts w:ascii="Arial" w:hAnsi="Arial" w:cs="Arial"/>
          <w:sz w:val="24"/>
          <w:szCs w:val="24"/>
          <w:lang w:val="pt-PT"/>
        </w:rPr>
        <w:t>Parameters</w:t>
      </w:r>
      <w:proofErr w:type="spellEnd"/>
      <w:r w:rsidR="009A77DB" w:rsidRPr="009A77DB">
        <w:rPr>
          <w:rFonts w:ascii="Arial" w:hAnsi="Arial" w:cs="Arial"/>
          <w:sz w:val="24"/>
          <w:szCs w:val="24"/>
          <w:lang w:val="pt-PT"/>
        </w:rPr>
        <w:t>.</w:t>
      </w:r>
    </w:p>
    <w:p w14:paraId="3655BE96" w14:textId="77777777" w:rsidR="009C097F" w:rsidRPr="009A77DB" w:rsidRDefault="009C097F" w:rsidP="009A77DB">
      <w:pPr>
        <w:pStyle w:val="CommentText"/>
        <w:rPr>
          <w:rFonts w:ascii="Arial" w:hAnsi="Arial" w:cs="Arial"/>
          <w:sz w:val="24"/>
          <w:szCs w:val="24"/>
        </w:rPr>
      </w:pPr>
    </w:p>
    <w:p w14:paraId="4F09E8C1" w14:textId="5E6B217E" w:rsidR="00917815" w:rsidRPr="009A77DB" w:rsidRDefault="00AA29B8" w:rsidP="00AA29B8">
      <w:pPr>
        <w:spacing w:after="330"/>
        <w:outlineLvl w:val="0"/>
        <w:rPr>
          <w:rFonts w:ascii="Arial" w:hAnsi="Arial" w:cs="Arial"/>
        </w:rPr>
      </w:pPr>
      <w:r w:rsidRPr="009A77DB">
        <w:rPr>
          <w:rFonts w:ascii="Arial" w:hAnsi="Arial" w:cs="Arial"/>
        </w:rPr>
        <w:t xml:space="preserve">We declare no other competing interests. The views expressed in this publication are those of the authors and not necessarily those of the </w:t>
      </w:r>
      <w:r w:rsidR="007E6A33" w:rsidRPr="009A77DB">
        <w:rPr>
          <w:rFonts w:ascii="Arial" w:hAnsi="Arial" w:cs="Arial"/>
        </w:rPr>
        <w:t>any n</w:t>
      </w:r>
      <w:r w:rsidRPr="009A77DB">
        <w:rPr>
          <w:rFonts w:ascii="Arial" w:hAnsi="Arial" w:cs="Arial"/>
        </w:rPr>
        <w:t xml:space="preserve">ational Health Service, </w:t>
      </w:r>
      <w:r w:rsidR="007E6A33" w:rsidRPr="009A77DB">
        <w:rPr>
          <w:rFonts w:ascii="Arial" w:hAnsi="Arial" w:cs="Arial"/>
        </w:rPr>
        <w:t xml:space="preserve">Government department or agency or </w:t>
      </w:r>
      <w:r w:rsidRPr="009A77DB">
        <w:rPr>
          <w:rFonts w:ascii="Arial" w:hAnsi="Arial" w:cs="Arial"/>
        </w:rPr>
        <w:t>arms’ length bodie</w:t>
      </w:r>
      <w:r w:rsidR="007E6A33" w:rsidRPr="009A77DB">
        <w:rPr>
          <w:rFonts w:ascii="Arial" w:hAnsi="Arial" w:cs="Arial"/>
        </w:rPr>
        <w:t xml:space="preserve">s. </w:t>
      </w:r>
    </w:p>
    <w:p w14:paraId="39CDEDB2" w14:textId="72B6715D" w:rsidR="00163A6B" w:rsidRPr="009C097F" w:rsidRDefault="00A2691B" w:rsidP="00AA29B8">
      <w:pPr>
        <w:spacing w:after="330"/>
        <w:outlineLvl w:val="0"/>
        <w:rPr>
          <w:rFonts w:ascii="Arial" w:hAnsi="Arial" w:cs="Arial"/>
          <w:b/>
          <w:bCs/>
        </w:rPr>
      </w:pPr>
      <w:r w:rsidRPr="009C097F">
        <w:rPr>
          <w:rFonts w:ascii="Arial" w:hAnsi="Arial" w:cs="Arial"/>
          <w:b/>
          <w:bCs/>
        </w:rPr>
        <w:t xml:space="preserve">Contributions </w:t>
      </w:r>
    </w:p>
    <w:p w14:paraId="5C27F09F" w14:textId="10CB827C" w:rsidR="00A2691B" w:rsidRPr="005E303B" w:rsidRDefault="00A2691B" w:rsidP="00AA29B8">
      <w:pPr>
        <w:spacing w:after="330"/>
        <w:outlineLvl w:val="0"/>
      </w:pPr>
      <w:r>
        <w:t>J</w:t>
      </w:r>
      <w:r w:rsidRPr="009C097F">
        <w:rPr>
          <w:rFonts w:ascii="Arial" w:hAnsi="Arial" w:cs="Arial"/>
        </w:rPr>
        <w:t>OBH and AB conceived the concept and developed it with all other authors. JH wrote all drafts with AB and all other authors contribute</w:t>
      </w:r>
      <w:r w:rsidR="005962D9" w:rsidRPr="009C097F">
        <w:rPr>
          <w:rFonts w:ascii="Arial" w:hAnsi="Arial" w:cs="Arial"/>
        </w:rPr>
        <w:t>d</w:t>
      </w:r>
      <w:r w:rsidRPr="009C097F">
        <w:rPr>
          <w:rFonts w:ascii="Arial" w:hAnsi="Arial" w:cs="Arial"/>
        </w:rPr>
        <w:t xml:space="preserve"> equally significantly to revisions</w:t>
      </w:r>
      <w:r w:rsidR="005962D9" w:rsidRPr="009C097F">
        <w:rPr>
          <w:rFonts w:ascii="Arial" w:hAnsi="Arial" w:cs="Arial"/>
        </w:rPr>
        <w:t>.</w:t>
      </w:r>
      <w:r w:rsidRPr="009C097F">
        <w:rPr>
          <w:rFonts w:ascii="Arial" w:hAnsi="Arial" w:cs="Arial"/>
        </w:rPr>
        <w:t xml:space="preserve"> KB, PJT and MG performed the comparative analyses. All authors approved the final version</w:t>
      </w:r>
      <w:r>
        <w:t xml:space="preserve">.  </w:t>
      </w:r>
    </w:p>
    <w:sectPr w:rsidR="00A2691B" w:rsidRPr="005E303B" w:rsidSect="00501A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04AD1"/>
    <w:multiLevelType w:val="multilevel"/>
    <w:tmpl w:val="D42E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20F45"/>
    <w:multiLevelType w:val="multilevel"/>
    <w:tmpl w:val="06AE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7286E"/>
    <w:multiLevelType w:val="hybridMultilevel"/>
    <w:tmpl w:val="6D3C1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2AF2"/>
    <w:multiLevelType w:val="multilevel"/>
    <w:tmpl w:val="97C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942FB"/>
    <w:multiLevelType w:val="multilevel"/>
    <w:tmpl w:val="BFE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1C"/>
    <w:rsid w:val="00004B8A"/>
    <w:rsid w:val="00063AC3"/>
    <w:rsid w:val="00093C67"/>
    <w:rsid w:val="00095B64"/>
    <w:rsid w:val="000C6D8F"/>
    <w:rsid w:val="000E5041"/>
    <w:rsid w:val="00163A6B"/>
    <w:rsid w:val="001A1580"/>
    <w:rsid w:val="001A59F0"/>
    <w:rsid w:val="001E4C2E"/>
    <w:rsid w:val="001F6AE0"/>
    <w:rsid w:val="0020562C"/>
    <w:rsid w:val="002119A9"/>
    <w:rsid w:val="00222E6B"/>
    <w:rsid w:val="00227838"/>
    <w:rsid w:val="00232715"/>
    <w:rsid w:val="00256A98"/>
    <w:rsid w:val="00265F76"/>
    <w:rsid w:val="002675B4"/>
    <w:rsid w:val="002A32EA"/>
    <w:rsid w:val="002B5536"/>
    <w:rsid w:val="002D53DC"/>
    <w:rsid w:val="002E1D1D"/>
    <w:rsid w:val="0030459E"/>
    <w:rsid w:val="00363EF2"/>
    <w:rsid w:val="003B50B7"/>
    <w:rsid w:val="003D043D"/>
    <w:rsid w:val="003E5927"/>
    <w:rsid w:val="003E5A05"/>
    <w:rsid w:val="003F2852"/>
    <w:rsid w:val="00434C4D"/>
    <w:rsid w:val="00455857"/>
    <w:rsid w:val="00465874"/>
    <w:rsid w:val="00486D69"/>
    <w:rsid w:val="00490D21"/>
    <w:rsid w:val="004912EF"/>
    <w:rsid w:val="004954C5"/>
    <w:rsid w:val="004A37CB"/>
    <w:rsid w:val="004D28FA"/>
    <w:rsid w:val="004E5971"/>
    <w:rsid w:val="004E5F76"/>
    <w:rsid w:val="00500EB6"/>
    <w:rsid w:val="005016A2"/>
    <w:rsid w:val="00501A68"/>
    <w:rsid w:val="0053161F"/>
    <w:rsid w:val="0055551C"/>
    <w:rsid w:val="00561A90"/>
    <w:rsid w:val="005962D9"/>
    <w:rsid w:val="005C03A6"/>
    <w:rsid w:val="005C6575"/>
    <w:rsid w:val="005C739F"/>
    <w:rsid w:val="005E303B"/>
    <w:rsid w:val="005F09A8"/>
    <w:rsid w:val="005F52ED"/>
    <w:rsid w:val="00604A34"/>
    <w:rsid w:val="00666310"/>
    <w:rsid w:val="00684DBD"/>
    <w:rsid w:val="006912E6"/>
    <w:rsid w:val="00697CDB"/>
    <w:rsid w:val="006A1D29"/>
    <w:rsid w:val="006D698C"/>
    <w:rsid w:val="006E5B7E"/>
    <w:rsid w:val="006E5BFA"/>
    <w:rsid w:val="006E748C"/>
    <w:rsid w:val="006E7BF4"/>
    <w:rsid w:val="007119C3"/>
    <w:rsid w:val="007207E8"/>
    <w:rsid w:val="00730CD6"/>
    <w:rsid w:val="0074765A"/>
    <w:rsid w:val="00777569"/>
    <w:rsid w:val="00781072"/>
    <w:rsid w:val="00781683"/>
    <w:rsid w:val="007855F8"/>
    <w:rsid w:val="00787B98"/>
    <w:rsid w:val="007A0B86"/>
    <w:rsid w:val="007A1005"/>
    <w:rsid w:val="007A1BD2"/>
    <w:rsid w:val="007B3B9A"/>
    <w:rsid w:val="007B4A7F"/>
    <w:rsid w:val="007E2061"/>
    <w:rsid w:val="007E6A33"/>
    <w:rsid w:val="007F59B3"/>
    <w:rsid w:val="00825F94"/>
    <w:rsid w:val="00847BAF"/>
    <w:rsid w:val="008640BC"/>
    <w:rsid w:val="00866F0E"/>
    <w:rsid w:val="0089403F"/>
    <w:rsid w:val="008A284A"/>
    <w:rsid w:val="008D3BD2"/>
    <w:rsid w:val="008F116E"/>
    <w:rsid w:val="0091023F"/>
    <w:rsid w:val="00917815"/>
    <w:rsid w:val="009418F8"/>
    <w:rsid w:val="0097034E"/>
    <w:rsid w:val="009A77DB"/>
    <w:rsid w:val="009B1810"/>
    <w:rsid w:val="009C097F"/>
    <w:rsid w:val="009D4753"/>
    <w:rsid w:val="00A20BDA"/>
    <w:rsid w:val="00A259BD"/>
    <w:rsid w:val="00A2691B"/>
    <w:rsid w:val="00A3093D"/>
    <w:rsid w:val="00A635B8"/>
    <w:rsid w:val="00A76768"/>
    <w:rsid w:val="00A81F5D"/>
    <w:rsid w:val="00A879A9"/>
    <w:rsid w:val="00AA29B8"/>
    <w:rsid w:val="00AA2AD6"/>
    <w:rsid w:val="00AC7D1C"/>
    <w:rsid w:val="00AE3F43"/>
    <w:rsid w:val="00AE6EA7"/>
    <w:rsid w:val="00B2343B"/>
    <w:rsid w:val="00BB3031"/>
    <w:rsid w:val="00BE59CE"/>
    <w:rsid w:val="00C024C8"/>
    <w:rsid w:val="00C701B6"/>
    <w:rsid w:val="00C87CC7"/>
    <w:rsid w:val="00C94B41"/>
    <w:rsid w:val="00CB349E"/>
    <w:rsid w:val="00CD6B87"/>
    <w:rsid w:val="00CE2D94"/>
    <w:rsid w:val="00D0798E"/>
    <w:rsid w:val="00D12A9F"/>
    <w:rsid w:val="00D26C87"/>
    <w:rsid w:val="00D96BD5"/>
    <w:rsid w:val="00DE3199"/>
    <w:rsid w:val="00DE783B"/>
    <w:rsid w:val="00E22859"/>
    <w:rsid w:val="00E24AC3"/>
    <w:rsid w:val="00E40979"/>
    <w:rsid w:val="00E66526"/>
    <w:rsid w:val="00E81DE8"/>
    <w:rsid w:val="00EC0606"/>
    <w:rsid w:val="00ED302F"/>
    <w:rsid w:val="00EF5000"/>
    <w:rsid w:val="00EF53EE"/>
    <w:rsid w:val="00F51AF8"/>
    <w:rsid w:val="00F745B9"/>
    <w:rsid w:val="00F90ACF"/>
    <w:rsid w:val="00FE2451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4177"/>
  <w15:chartTrackingRefBased/>
  <w15:docId w15:val="{02D0F90C-4BF9-B44E-95B2-5E735960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97F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E7B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B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7BF4"/>
  </w:style>
  <w:style w:type="character" w:styleId="Emphasis">
    <w:name w:val="Emphasis"/>
    <w:basedOn w:val="DefaultParagraphFont"/>
    <w:uiPriority w:val="20"/>
    <w:qFormat/>
    <w:rsid w:val="006E7BF4"/>
    <w:rPr>
      <w:i/>
      <w:iCs/>
    </w:rPr>
  </w:style>
  <w:style w:type="character" w:customStyle="1" w:styleId="Subtitle1">
    <w:name w:val="Subtitle1"/>
    <w:basedOn w:val="DefaultParagraphFont"/>
    <w:rsid w:val="006E7BF4"/>
  </w:style>
  <w:style w:type="character" w:customStyle="1" w:styleId="colon-for-citation-subtitle">
    <w:name w:val="colon-for-citation-subtitle"/>
    <w:basedOn w:val="DefaultParagraphFont"/>
    <w:rsid w:val="006E7BF4"/>
  </w:style>
  <w:style w:type="character" w:customStyle="1" w:styleId="Heading1Char">
    <w:name w:val="Heading 1 Char"/>
    <w:basedOn w:val="DefaultParagraphFont"/>
    <w:link w:val="Heading1"/>
    <w:uiPriority w:val="9"/>
    <w:rsid w:val="006E7BF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refauthorsname">
    <w:name w:val="ref__authors__name"/>
    <w:basedOn w:val="Normal"/>
    <w:rsid w:val="006E7BF4"/>
    <w:pPr>
      <w:spacing w:before="100" w:beforeAutospacing="1" w:after="100" w:afterAutospacing="1"/>
    </w:pPr>
    <w:rPr>
      <w:lang w:val="en-GB"/>
    </w:rPr>
  </w:style>
  <w:style w:type="character" w:customStyle="1" w:styleId="refseries">
    <w:name w:val="ref__series"/>
    <w:basedOn w:val="DefaultParagraphFont"/>
    <w:rsid w:val="006E7BF4"/>
  </w:style>
  <w:style w:type="character" w:customStyle="1" w:styleId="refseriesdate">
    <w:name w:val="ref__seriesdate"/>
    <w:basedOn w:val="DefaultParagraphFont"/>
    <w:rsid w:val="006E7BF4"/>
  </w:style>
  <w:style w:type="character" w:customStyle="1" w:styleId="refseriesvolume">
    <w:name w:val="ref__seriesvolume"/>
    <w:basedOn w:val="DefaultParagraphFont"/>
    <w:rsid w:val="006E7BF4"/>
  </w:style>
  <w:style w:type="character" w:customStyle="1" w:styleId="refseriespages">
    <w:name w:val="ref__seriespages"/>
    <w:basedOn w:val="DefaultParagraphFont"/>
    <w:rsid w:val="006E7BF4"/>
  </w:style>
  <w:style w:type="paragraph" w:styleId="ListParagraph">
    <w:name w:val="List Paragraph"/>
    <w:basedOn w:val="Normal"/>
    <w:uiPriority w:val="34"/>
    <w:qFormat/>
    <w:rsid w:val="006E7BF4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period">
    <w:name w:val="period"/>
    <w:basedOn w:val="DefaultParagraphFont"/>
    <w:rsid w:val="006E7BF4"/>
  </w:style>
  <w:style w:type="character" w:customStyle="1" w:styleId="cit">
    <w:name w:val="cit"/>
    <w:basedOn w:val="DefaultParagraphFont"/>
    <w:rsid w:val="006E7BF4"/>
  </w:style>
  <w:style w:type="character" w:customStyle="1" w:styleId="citation-doi">
    <w:name w:val="citation-doi"/>
    <w:basedOn w:val="DefaultParagraphFont"/>
    <w:rsid w:val="006E7BF4"/>
  </w:style>
  <w:style w:type="character" w:customStyle="1" w:styleId="secondary-date">
    <w:name w:val="secondary-date"/>
    <w:basedOn w:val="DefaultParagraphFont"/>
    <w:rsid w:val="006E7BF4"/>
  </w:style>
  <w:style w:type="character" w:customStyle="1" w:styleId="identifier">
    <w:name w:val="identifier"/>
    <w:basedOn w:val="DefaultParagraphFont"/>
    <w:rsid w:val="006E7BF4"/>
  </w:style>
  <w:style w:type="character" w:customStyle="1" w:styleId="id-label">
    <w:name w:val="id-label"/>
    <w:basedOn w:val="DefaultParagraphFont"/>
    <w:rsid w:val="006E7BF4"/>
  </w:style>
  <w:style w:type="paragraph" w:styleId="Revision">
    <w:name w:val="Revision"/>
    <w:hidden/>
    <w:uiPriority w:val="99"/>
    <w:semiHidden/>
    <w:rsid w:val="00D0798E"/>
  </w:style>
  <w:style w:type="character" w:styleId="CommentReference">
    <w:name w:val="annotation reference"/>
    <w:basedOn w:val="DefaultParagraphFont"/>
    <w:uiPriority w:val="99"/>
    <w:semiHidden/>
    <w:unhideWhenUsed/>
    <w:rsid w:val="00D07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98E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98"/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53EE"/>
    <w:pPr>
      <w:spacing w:before="100" w:beforeAutospacing="1" w:after="100" w:afterAutospacing="1"/>
    </w:pPr>
    <w:rPr>
      <w:lang w:val="en-GB"/>
    </w:rPr>
  </w:style>
  <w:style w:type="table" w:styleId="TableGrid">
    <w:name w:val="Table Grid"/>
    <w:basedOn w:val="TableNormal"/>
    <w:uiPriority w:val="39"/>
    <w:rsid w:val="006E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353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272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vaccine.2007.02.06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dc.gov/vaccines/acip/meetings/downloads/slides-2021-01/06-COVID-Shimabukur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uk/government/news/confirmation-of-guidance-to-vaccination-centres-on-managing-allergic-reactions-following-covid-19-vaccination-with-the-pfizer-biontech-vacci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7D4094-106F-4B60-8A00-61AAE1CC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2609</Words>
  <Characters>14876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Jonathan Hourihane</dc:creator>
  <cp:keywords/>
  <dc:description/>
  <cp:lastModifiedBy>Turner, Paul J</cp:lastModifiedBy>
  <cp:revision>3</cp:revision>
  <dcterms:created xsi:type="dcterms:W3CDTF">2021-03-19T13:47:00Z</dcterms:created>
  <dcterms:modified xsi:type="dcterms:W3CDTF">2021-05-21T14:06:00Z</dcterms:modified>
</cp:coreProperties>
</file>