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CAC19" w14:textId="7DDFCB07" w:rsidR="00EE0985" w:rsidRPr="00E70281" w:rsidRDefault="00EE0985" w:rsidP="00EE0985">
      <w:pPr>
        <w:rPr>
          <w:color w:val="auto"/>
        </w:rPr>
      </w:pPr>
    </w:p>
    <w:p w14:paraId="25E6F7E6" w14:textId="3255B9E5" w:rsidR="00BF07E0" w:rsidRPr="00E70281" w:rsidRDefault="0003613D" w:rsidP="00EE0985">
      <w:pPr>
        <w:pStyle w:val="Title"/>
        <w:jc w:val="center"/>
        <w:rPr>
          <w:color w:val="auto"/>
        </w:rPr>
      </w:pPr>
      <w:r w:rsidRPr="00E70281">
        <w:rPr>
          <w:color w:val="auto"/>
        </w:rPr>
        <w:t>A</w:t>
      </w:r>
      <w:r w:rsidR="00A23662" w:rsidRPr="00E70281">
        <w:rPr>
          <w:color w:val="auto"/>
        </w:rPr>
        <w:t xml:space="preserve"> </w:t>
      </w:r>
      <w:r w:rsidR="007315CF" w:rsidRPr="00E70281">
        <w:rPr>
          <w:color w:val="auto"/>
        </w:rPr>
        <w:t xml:space="preserve">revised </w:t>
      </w:r>
      <w:r w:rsidR="00A23662" w:rsidRPr="00E70281">
        <w:rPr>
          <w:color w:val="auto"/>
        </w:rPr>
        <w:t>p</w:t>
      </w:r>
      <w:r w:rsidR="0001230D">
        <w:rPr>
          <w:color w:val="auto"/>
        </w:rPr>
        <w:t>seudo-second order</w:t>
      </w:r>
      <w:r w:rsidR="00A23662" w:rsidRPr="00E70281">
        <w:rPr>
          <w:color w:val="auto"/>
        </w:rPr>
        <w:t xml:space="preserve"> kinetic model for adsorption</w:t>
      </w:r>
      <w:r w:rsidR="00585451" w:rsidRPr="00E70281">
        <w:rPr>
          <w:color w:val="auto"/>
        </w:rPr>
        <w:t>,</w:t>
      </w:r>
      <w:r w:rsidRPr="00E70281">
        <w:rPr>
          <w:color w:val="auto"/>
        </w:rPr>
        <w:t xml:space="preserve"> sensitive to changes in</w:t>
      </w:r>
      <w:r w:rsidR="00FF726D" w:rsidRPr="00E70281">
        <w:rPr>
          <w:color w:val="auto"/>
        </w:rPr>
        <w:t xml:space="preserve"> adsorbate</w:t>
      </w:r>
      <w:r w:rsidRPr="00E70281">
        <w:rPr>
          <w:color w:val="auto"/>
        </w:rPr>
        <w:t xml:space="preserve"> and</w:t>
      </w:r>
      <w:r w:rsidR="00FF726D" w:rsidRPr="00E70281">
        <w:rPr>
          <w:color w:val="auto"/>
        </w:rPr>
        <w:t xml:space="preserve"> adsorbent</w:t>
      </w:r>
      <w:r w:rsidRPr="00E70281">
        <w:rPr>
          <w:color w:val="auto"/>
        </w:rPr>
        <w:t xml:space="preserve"> concentrations</w:t>
      </w:r>
    </w:p>
    <w:p w14:paraId="309F2D83" w14:textId="77777777" w:rsidR="00F90D5B" w:rsidRPr="00E70281" w:rsidRDefault="00F90D5B" w:rsidP="00384F08">
      <w:pPr>
        <w:rPr>
          <w:color w:val="auto"/>
        </w:rPr>
      </w:pPr>
    </w:p>
    <w:p w14:paraId="39A5BB70" w14:textId="140402B0" w:rsidR="00887AD9" w:rsidRPr="00E70281" w:rsidRDefault="009D2B96" w:rsidP="00E84541">
      <w:pPr>
        <w:jc w:val="center"/>
        <w:rPr>
          <w:rFonts w:cstheme="minorHAnsi"/>
          <w:color w:val="auto"/>
        </w:rPr>
      </w:pPr>
      <w:r w:rsidRPr="00E70281">
        <w:rPr>
          <w:rFonts w:cstheme="minorHAnsi"/>
          <w:color w:val="auto"/>
          <w:vertAlign w:val="superscript"/>
        </w:rPr>
        <w:t>1</w:t>
      </w:r>
      <w:r w:rsidR="00F704FF" w:rsidRPr="00E70281">
        <w:rPr>
          <w:rFonts w:cstheme="minorHAnsi"/>
          <w:color w:val="auto"/>
          <w:vertAlign w:val="superscript"/>
        </w:rPr>
        <w:t>*</w:t>
      </w:r>
      <w:r w:rsidRPr="00E70281">
        <w:rPr>
          <w:rFonts w:cstheme="minorHAnsi"/>
          <w:color w:val="auto"/>
        </w:rPr>
        <w:t xml:space="preserve">Jay </w:t>
      </w:r>
      <w:r w:rsidR="00CC247C" w:rsidRPr="00E70281">
        <w:rPr>
          <w:rFonts w:cstheme="minorHAnsi"/>
          <w:color w:val="auto"/>
        </w:rPr>
        <w:t xml:space="preserve">C. </w:t>
      </w:r>
      <w:r w:rsidRPr="00E70281">
        <w:rPr>
          <w:rFonts w:cstheme="minorHAnsi"/>
          <w:color w:val="auto"/>
        </w:rPr>
        <w:t>Bullen;</w:t>
      </w:r>
      <w:r w:rsidR="0056703D" w:rsidRPr="00E70281">
        <w:rPr>
          <w:rFonts w:cstheme="minorHAnsi"/>
          <w:color w:val="auto"/>
        </w:rPr>
        <w:t xml:space="preserve"> </w:t>
      </w:r>
      <w:r w:rsidR="002D3C4F" w:rsidRPr="00E70281">
        <w:rPr>
          <w:rFonts w:cstheme="minorHAnsi"/>
          <w:color w:val="auto"/>
          <w:vertAlign w:val="superscript"/>
        </w:rPr>
        <w:t>1</w:t>
      </w:r>
      <w:r w:rsidR="002D3C4F" w:rsidRPr="00E70281">
        <w:rPr>
          <w:rFonts w:cstheme="minorHAnsi"/>
          <w:color w:val="auto"/>
        </w:rPr>
        <w:t>Sarawud Saleesongsom</w:t>
      </w:r>
      <w:r w:rsidR="007C3135" w:rsidRPr="00E70281">
        <w:rPr>
          <w:rFonts w:cstheme="minorHAnsi"/>
          <w:color w:val="auto"/>
        </w:rPr>
        <w:t xml:space="preserve">; </w:t>
      </w:r>
      <w:r w:rsidR="00FE379F" w:rsidRPr="00E70281">
        <w:rPr>
          <w:rFonts w:cstheme="minorHAnsi"/>
          <w:color w:val="auto"/>
          <w:vertAlign w:val="superscript"/>
        </w:rPr>
        <w:t>2</w:t>
      </w:r>
      <w:r w:rsidR="00FE379F" w:rsidRPr="00E70281">
        <w:rPr>
          <w:rFonts w:cstheme="minorHAnsi"/>
          <w:color w:val="auto"/>
        </w:rPr>
        <w:t xml:space="preserve">Kerry Gallagher; </w:t>
      </w:r>
      <w:r w:rsidR="0056703D" w:rsidRPr="00E70281">
        <w:rPr>
          <w:rFonts w:cstheme="minorHAnsi"/>
          <w:color w:val="auto"/>
        </w:rPr>
        <w:t xml:space="preserve">and </w:t>
      </w:r>
      <w:r w:rsidRPr="00E70281">
        <w:rPr>
          <w:rFonts w:cstheme="minorHAnsi"/>
          <w:color w:val="auto"/>
          <w:vertAlign w:val="superscript"/>
        </w:rPr>
        <w:t>1</w:t>
      </w:r>
      <w:r w:rsidR="002D3C4F" w:rsidRPr="00E70281">
        <w:rPr>
          <w:rFonts w:cstheme="minorHAnsi"/>
          <w:color w:val="auto"/>
          <w:vertAlign w:val="superscript"/>
        </w:rPr>
        <w:t>,</w:t>
      </w:r>
      <w:r w:rsidR="00FE379F" w:rsidRPr="00E70281">
        <w:rPr>
          <w:rFonts w:cstheme="minorHAnsi"/>
          <w:color w:val="auto"/>
          <w:vertAlign w:val="superscript"/>
        </w:rPr>
        <w:t>3</w:t>
      </w:r>
      <w:r w:rsidR="00F704FF" w:rsidRPr="00E70281">
        <w:rPr>
          <w:rFonts w:cstheme="minorHAnsi"/>
          <w:color w:val="auto"/>
          <w:vertAlign w:val="superscript"/>
        </w:rPr>
        <w:t>*</w:t>
      </w:r>
      <w:r w:rsidR="00281DC8" w:rsidRPr="00E70281">
        <w:rPr>
          <w:rFonts w:cstheme="minorHAnsi"/>
          <w:color w:val="auto"/>
        </w:rPr>
        <w:t>Dominik J. Weiss</w:t>
      </w:r>
    </w:p>
    <w:p w14:paraId="7E8B9DE1" w14:textId="77777777" w:rsidR="00F47D62" w:rsidRPr="00E70281" w:rsidRDefault="00F47D62" w:rsidP="00E84541">
      <w:pPr>
        <w:jc w:val="center"/>
        <w:rPr>
          <w:rFonts w:cstheme="minorHAnsi"/>
          <w:color w:val="auto"/>
        </w:rPr>
      </w:pPr>
    </w:p>
    <w:p w14:paraId="5B8B6982" w14:textId="08FB1D9E" w:rsidR="005C0EB2" w:rsidRPr="00E70281" w:rsidRDefault="009D2B96" w:rsidP="00E84541">
      <w:pPr>
        <w:jc w:val="center"/>
        <w:rPr>
          <w:rFonts w:cstheme="minorHAnsi"/>
          <w:color w:val="auto"/>
          <w:sz w:val="20"/>
          <w:szCs w:val="20"/>
        </w:rPr>
      </w:pPr>
      <w:r w:rsidRPr="00E70281">
        <w:rPr>
          <w:rFonts w:cstheme="minorHAnsi"/>
          <w:color w:val="auto"/>
          <w:sz w:val="20"/>
          <w:szCs w:val="20"/>
          <w:vertAlign w:val="superscript"/>
        </w:rPr>
        <w:t>1</w:t>
      </w:r>
      <w:r w:rsidRPr="00E70281">
        <w:rPr>
          <w:rFonts w:cstheme="minorHAnsi"/>
          <w:color w:val="auto"/>
          <w:sz w:val="20"/>
          <w:szCs w:val="20"/>
        </w:rPr>
        <w:t>Department of Earth Science and Engineering, Imperial College London, London SW7 2AZ, United Kingdom</w:t>
      </w:r>
    </w:p>
    <w:p w14:paraId="24ABE934" w14:textId="70190BBF" w:rsidR="00FE379F" w:rsidRPr="00E70281" w:rsidRDefault="00FE379F" w:rsidP="004E321B">
      <w:pPr>
        <w:jc w:val="center"/>
        <w:rPr>
          <w:rFonts w:cstheme="minorHAnsi"/>
          <w:color w:val="auto"/>
          <w:sz w:val="20"/>
          <w:szCs w:val="20"/>
        </w:rPr>
      </w:pPr>
      <w:r w:rsidRPr="00E70281">
        <w:rPr>
          <w:rFonts w:cstheme="minorHAnsi"/>
          <w:color w:val="auto"/>
          <w:sz w:val="20"/>
          <w:szCs w:val="20"/>
          <w:vertAlign w:val="superscript"/>
        </w:rPr>
        <w:t>2</w:t>
      </w:r>
      <w:r w:rsidRPr="00E70281">
        <w:rPr>
          <w:rFonts w:cstheme="minorHAnsi"/>
          <w:color w:val="auto"/>
          <w:sz w:val="20"/>
          <w:szCs w:val="20"/>
        </w:rPr>
        <w:t xml:space="preserve"> </w:t>
      </w:r>
      <w:proofErr w:type="spellStart"/>
      <w:r w:rsidR="004E321B" w:rsidRPr="00E70281">
        <w:rPr>
          <w:rFonts w:cstheme="minorHAnsi"/>
          <w:color w:val="auto"/>
          <w:sz w:val="20"/>
          <w:szCs w:val="20"/>
        </w:rPr>
        <w:t>Géosciences</w:t>
      </w:r>
      <w:proofErr w:type="spellEnd"/>
      <w:r w:rsidR="004E321B" w:rsidRPr="00E70281">
        <w:rPr>
          <w:rFonts w:cstheme="minorHAnsi"/>
          <w:color w:val="auto"/>
          <w:sz w:val="20"/>
          <w:szCs w:val="20"/>
        </w:rPr>
        <w:t>/OSUR, University of Rennes, Rennes, 35042, France</w:t>
      </w:r>
    </w:p>
    <w:p w14:paraId="39210ED3" w14:textId="06D27977" w:rsidR="0086445C" w:rsidRPr="00E70281" w:rsidRDefault="00FE379F" w:rsidP="00E84541">
      <w:pPr>
        <w:jc w:val="center"/>
        <w:rPr>
          <w:rFonts w:cstheme="minorHAnsi"/>
          <w:color w:val="auto"/>
          <w:sz w:val="20"/>
          <w:szCs w:val="20"/>
        </w:rPr>
      </w:pPr>
      <w:r w:rsidRPr="00E70281">
        <w:rPr>
          <w:rFonts w:cstheme="minorHAnsi"/>
          <w:color w:val="auto"/>
          <w:sz w:val="20"/>
          <w:szCs w:val="20"/>
          <w:vertAlign w:val="superscript"/>
        </w:rPr>
        <w:t>3</w:t>
      </w:r>
      <w:r w:rsidR="00660804" w:rsidRPr="00E70281">
        <w:rPr>
          <w:rFonts w:cstheme="minorHAnsi"/>
          <w:color w:val="auto"/>
          <w:sz w:val="20"/>
          <w:szCs w:val="20"/>
        </w:rPr>
        <w:t xml:space="preserve">Civil </w:t>
      </w:r>
      <w:r w:rsidR="0086445C" w:rsidRPr="00E70281">
        <w:rPr>
          <w:rFonts w:cstheme="minorHAnsi"/>
          <w:color w:val="auto"/>
          <w:sz w:val="20"/>
          <w:szCs w:val="20"/>
        </w:rPr>
        <w:t>and Environmental Engineering, Princeton University, United States of America</w:t>
      </w:r>
    </w:p>
    <w:p w14:paraId="70DFB52C" w14:textId="51365A63" w:rsidR="00A23662" w:rsidRPr="00E70281" w:rsidRDefault="00A23662" w:rsidP="00E84541">
      <w:pPr>
        <w:jc w:val="center"/>
        <w:rPr>
          <w:rFonts w:cstheme="minorHAnsi"/>
          <w:color w:val="auto"/>
          <w:sz w:val="20"/>
          <w:szCs w:val="20"/>
        </w:rPr>
      </w:pPr>
    </w:p>
    <w:p w14:paraId="0B84A46F" w14:textId="07A16B1B" w:rsidR="00383417" w:rsidRPr="00E70281" w:rsidRDefault="00383417" w:rsidP="00E84541">
      <w:pPr>
        <w:jc w:val="center"/>
        <w:rPr>
          <w:rFonts w:cstheme="minorHAnsi"/>
          <w:color w:val="auto"/>
        </w:rPr>
      </w:pPr>
    </w:p>
    <w:p w14:paraId="2B8D67A4" w14:textId="4F5952FF" w:rsidR="00181442" w:rsidRPr="00E70281" w:rsidRDefault="00C40126" w:rsidP="00E84541">
      <w:pPr>
        <w:jc w:val="center"/>
        <w:rPr>
          <w:rFonts w:cstheme="minorHAnsi"/>
          <w:color w:val="auto"/>
        </w:rPr>
      </w:pPr>
      <w:r w:rsidRPr="00E70281">
        <w:rPr>
          <w:rFonts w:cstheme="minorHAnsi"/>
          <w:color w:val="auto"/>
        </w:rPr>
        <w:t>*Corresponding author</w:t>
      </w:r>
      <w:r w:rsidR="00344F61" w:rsidRPr="00E70281">
        <w:rPr>
          <w:rFonts w:cstheme="minorHAnsi"/>
          <w:color w:val="auto"/>
        </w:rPr>
        <w:t>s</w:t>
      </w:r>
      <w:r w:rsidR="00B56A84" w:rsidRPr="00E70281">
        <w:rPr>
          <w:rFonts w:cstheme="minorHAnsi"/>
          <w:color w:val="auto"/>
        </w:rPr>
        <w:t>:</w:t>
      </w:r>
    </w:p>
    <w:p w14:paraId="3E5B46C9" w14:textId="1BE0C059" w:rsidR="003526B1" w:rsidRPr="00E70281" w:rsidRDefault="00C40126" w:rsidP="00E84541">
      <w:pPr>
        <w:jc w:val="center"/>
        <w:rPr>
          <w:rFonts w:cstheme="minorHAnsi"/>
          <w:color w:val="auto"/>
        </w:rPr>
      </w:pPr>
      <w:r w:rsidRPr="00E70281">
        <w:rPr>
          <w:rFonts w:cstheme="minorHAnsi"/>
          <w:color w:val="auto"/>
        </w:rPr>
        <w:t>Email:</w:t>
      </w:r>
      <w:r w:rsidR="00BE331B" w:rsidRPr="00E70281">
        <w:rPr>
          <w:rFonts w:cstheme="minorHAnsi"/>
          <w:color w:val="auto"/>
        </w:rPr>
        <w:t xml:space="preserve"> </w:t>
      </w:r>
      <w:hyperlink r:id="rId8" w:history="1">
        <w:r w:rsidR="00BE331B" w:rsidRPr="00E70281">
          <w:rPr>
            <w:rStyle w:val="Hyperlink"/>
            <w:rFonts w:cstheme="minorHAnsi"/>
            <w:color w:val="auto"/>
          </w:rPr>
          <w:t>j.bullen16@imperial.ac.uk</w:t>
        </w:r>
      </w:hyperlink>
      <w:r w:rsidR="00BE331B" w:rsidRPr="00E70281">
        <w:rPr>
          <w:rFonts w:cstheme="minorHAnsi"/>
          <w:color w:val="auto"/>
        </w:rPr>
        <w:t xml:space="preserve">; </w:t>
      </w:r>
      <w:hyperlink r:id="rId9" w:history="1">
        <w:r w:rsidR="00BE331B" w:rsidRPr="00E70281">
          <w:rPr>
            <w:rStyle w:val="Hyperlink"/>
            <w:rFonts w:cstheme="minorHAnsi"/>
            <w:color w:val="auto"/>
          </w:rPr>
          <w:t>d.weiss@imperial.ac.uk</w:t>
        </w:r>
      </w:hyperlink>
    </w:p>
    <w:p w14:paraId="48895096" w14:textId="2BFD6367" w:rsidR="002F2C6F" w:rsidRPr="00E70281" w:rsidRDefault="002F2C6F">
      <w:pPr>
        <w:spacing w:after="200"/>
        <w:jc w:val="left"/>
        <w:rPr>
          <w:color w:val="auto"/>
        </w:rPr>
      </w:pPr>
    </w:p>
    <w:p w14:paraId="32DB3731" w14:textId="77777777" w:rsidR="002F2C6F" w:rsidRPr="00E70281" w:rsidRDefault="002F2C6F">
      <w:pPr>
        <w:spacing w:after="200"/>
        <w:jc w:val="left"/>
        <w:rPr>
          <w:color w:val="auto"/>
        </w:rPr>
      </w:pPr>
    </w:p>
    <w:p w14:paraId="3299BC5C" w14:textId="651FC4F6" w:rsidR="00876B3D" w:rsidRPr="00E70281" w:rsidRDefault="00876B3D" w:rsidP="00876B3D">
      <w:pPr>
        <w:pStyle w:val="Heading1"/>
        <w:numPr>
          <w:ilvl w:val="0"/>
          <w:numId w:val="0"/>
        </w:numPr>
        <w:rPr>
          <w:color w:val="auto"/>
        </w:rPr>
      </w:pPr>
      <w:r w:rsidRPr="00E70281">
        <w:rPr>
          <w:color w:val="auto"/>
        </w:rPr>
        <w:t>Graphical Abstract</w:t>
      </w:r>
    </w:p>
    <w:p w14:paraId="1D41B11B" w14:textId="1EFD750F" w:rsidR="00EE7D62" w:rsidRPr="00E70281" w:rsidRDefault="005E40FA" w:rsidP="0000797F">
      <w:pPr>
        <w:jc w:val="center"/>
        <w:rPr>
          <w:color w:val="auto"/>
        </w:rPr>
      </w:pPr>
      <w:r w:rsidRPr="00E70281">
        <w:rPr>
          <w:noProof/>
          <w:color w:val="auto"/>
        </w:rPr>
        <w:drawing>
          <wp:inline distT="0" distB="0" distL="0" distR="0" wp14:anchorId="53AF1115" wp14:editId="3B99733C">
            <wp:extent cx="2970000" cy="159078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000" cy="1590785"/>
                    </a:xfrm>
                    <a:prstGeom prst="rect">
                      <a:avLst/>
                    </a:prstGeom>
                    <a:noFill/>
                    <a:ln>
                      <a:noFill/>
                    </a:ln>
                  </pic:spPr>
                </pic:pic>
              </a:graphicData>
            </a:graphic>
          </wp:inline>
        </w:drawing>
      </w:r>
    </w:p>
    <w:p w14:paraId="242557B3" w14:textId="77777777" w:rsidR="0000797F" w:rsidRPr="00E70281" w:rsidRDefault="0000797F" w:rsidP="0000797F">
      <w:pPr>
        <w:jc w:val="center"/>
        <w:rPr>
          <w:color w:val="auto"/>
        </w:rPr>
      </w:pPr>
    </w:p>
    <w:p w14:paraId="78D59D62" w14:textId="30A902D4" w:rsidR="005D3B68" w:rsidRPr="00E70281" w:rsidRDefault="005D3B68" w:rsidP="005D3B68">
      <w:pPr>
        <w:pStyle w:val="Heading1"/>
        <w:numPr>
          <w:ilvl w:val="0"/>
          <w:numId w:val="0"/>
        </w:numPr>
        <w:rPr>
          <w:color w:val="auto"/>
        </w:rPr>
      </w:pPr>
      <w:r w:rsidRPr="00E70281">
        <w:rPr>
          <w:color w:val="auto"/>
        </w:rPr>
        <w:t>Keywords</w:t>
      </w:r>
    </w:p>
    <w:p w14:paraId="0E11E3D4" w14:textId="51A102A3" w:rsidR="002F2C6F" w:rsidRPr="00E70281" w:rsidRDefault="005D3B68" w:rsidP="00D4290E">
      <w:pPr>
        <w:jc w:val="center"/>
        <w:rPr>
          <w:color w:val="auto"/>
        </w:rPr>
      </w:pPr>
      <w:r w:rsidRPr="00E70281">
        <w:rPr>
          <w:color w:val="auto"/>
        </w:rPr>
        <w:t>Adsorption kinetics; kinetic</w:t>
      </w:r>
      <w:r w:rsidR="00B46A50" w:rsidRPr="00E70281">
        <w:rPr>
          <w:color w:val="auto"/>
        </w:rPr>
        <w:t xml:space="preserve"> model; </w:t>
      </w:r>
      <w:r w:rsidR="00DF3839" w:rsidRPr="00E70281">
        <w:rPr>
          <w:color w:val="auto"/>
        </w:rPr>
        <w:t>p</w:t>
      </w:r>
      <w:r w:rsidR="0001230D">
        <w:rPr>
          <w:color w:val="auto"/>
        </w:rPr>
        <w:t>seudo-second order</w:t>
      </w:r>
      <w:r w:rsidR="00DF3839" w:rsidRPr="00E70281">
        <w:rPr>
          <w:color w:val="auto"/>
        </w:rPr>
        <w:t xml:space="preserve">; </w:t>
      </w:r>
      <w:proofErr w:type="spellStart"/>
      <w:r w:rsidR="00B46A50" w:rsidRPr="00E70281">
        <w:rPr>
          <w:color w:val="auto"/>
        </w:rPr>
        <w:t>Lagergren</w:t>
      </w:r>
      <w:proofErr w:type="spellEnd"/>
      <w:r w:rsidR="00B46A50" w:rsidRPr="00E70281">
        <w:rPr>
          <w:color w:val="auto"/>
        </w:rPr>
        <w:t xml:space="preserve">; </w:t>
      </w:r>
      <w:r w:rsidR="00DF3839" w:rsidRPr="00E70281">
        <w:rPr>
          <w:color w:val="auto"/>
        </w:rPr>
        <w:t>water treatment</w:t>
      </w:r>
      <w:r w:rsidR="00EE64A7" w:rsidRPr="00E70281">
        <w:rPr>
          <w:color w:val="auto"/>
        </w:rPr>
        <w:t xml:space="preserve">; </w:t>
      </w:r>
      <w:r w:rsidR="00D72D90" w:rsidRPr="00E70281">
        <w:rPr>
          <w:color w:val="auto"/>
        </w:rPr>
        <w:t>particle size</w:t>
      </w:r>
      <w:r w:rsidR="002F2C6F" w:rsidRPr="00E70281">
        <w:rPr>
          <w:color w:val="auto"/>
        </w:rPr>
        <w:br w:type="page"/>
      </w:r>
    </w:p>
    <w:p w14:paraId="02D1EC64" w14:textId="726DC8A1" w:rsidR="00DF03B0" w:rsidRPr="00E70281" w:rsidRDefault="004379CF" w:rsidP="00020240">
      <w:pPr>
        <w:pStyle w:val="Heading1"/>
        <w:numPr>
          <w:ilvl w:val="0"/>
          <w:numId w:val="0"/>
        </w:numPr>
        <w:rPr>
          <w:color w:val="auto"/>
        </w:rPr>
      </w:pPr>
      <w:r w:rsidRPr="00E70281">
        <w:rPr>
          <w:color w:val="auto"/>
        </w:rPr>
        <w:lastRenderedPageBreak/>
        <w:t>Abstract</w:t>
      </w:r>
    </w:p>
    <w:p w14:paraId="68425783" w14:textId="76330ECB" w:rsidR="00F91A07" w:rsidRPr="00E70281" w:rsidRDefault="00F91A07" w:rsidP="00F91A07">
      <w:pPr>
        <w:spacing w:after="200"/>
        <w:rPr>
          <w:color w:val="auto"/>
        </w:rPr>
      </w:pPr>
      <w:r w:rsidRPr="00E70281">
        <w:rPr>
          <w:color w:val="auto"/>
        </w:rPr>
        <w:t>The development of new adsorbent</w:t>
      </w:r>
      <w:r w:rsidR="00D4382B" w:rsidRPr="00E70281">
        <w:rPr>
          <w:color w:val="auto"/>
        </w:rPr>
        <w:t xml:space="preserve"> material</w:t>
      </w:r>
      <w:r w:rsidRPr="00E70281">
        <w:rPr>
          <w:color w:val="auto"/>
        </w:rPr>
        <w:t xml:space="preserve">s for the removal of toxic contaminants from drinking water is </w:t>
      </w:r>
      <w:r w:rsidR="000076F0" w:rsidRPr="00E70281">
        <w:rPr>
          <w:color w:val="auto"/>
        </w:rPr>
        <w:t xml:space="preserve">crucial </w:t>
      </w:r>
      <w:r w:rsidR="000076F0" w:rsidRPr="00E70281">
        <w:rPr>
          <w:color w:val="FF0000"/>
        </w:rPr>
        <w:t>to</w:t>
      </w:r>
      <w:r w:rsidR="00FC20CA" w:rsidRPr="00E70281">
        <w:rPr>
          <w:color w:val="FF0000"/>
        </w:rPr>
        <w:t>wards</w:t>
      </w:r>
      <w:r w:rsidR="000076F0" w:rsidRPr="00E70281">
        <w:rPr>
          <w:color w:val="FF0000"/>
        </w:rPr>
        <w:t xml:space="preserve"> </w:t>
      </w:r>
      <w:r w:rsidR="000076F0" w:rsidRPr="00E70281">
        <w:rPr>
          <w:color w:val="auto"/>
        </w:rPr>
        <w:t>achieving</w:t>
      </w:r>
      <w:r w:rsidRPr="00E70281">
        <w:rPr>
          <w:color w:val="auto"/>
        </w:rPr>
        <w:t xml:space="preserve"> the United Nations Sustainable Development Goal 6 (clean water and sanitation). The characterisation of these </w:t>
      </w:r>
      <w:r w:rsidR="00084249" w:rsidRPr="00E70281">
        <w:rPr>
          <w:color w:val="auto"/>
        </w:rPr>
        <w:t>materials</w:t>
      </w:r>
      <w:r w:rsidRPr="00E70281">
        <w:rPr>
          <w:color w:val="auto"/>
        </w:rPr>
        <w:t xml:space="preserve"> includes fitting models</w:t>
      </w:r>
      <w:r w:rsidR="00D4382B" w:rsidRPr="00E70281">
        <w:rPr>
          <w:color w:val="auto"/>
        </w:rPr>
        <w:t xml:space="preserve"> of adsorption kinetics</w:t>
      </w:r>
      <w:r w:rsidRPr="00E70281">
        <w:rPr>
          <w:color w:val="auto"/>
        </w:rPr>
        <w:t xml:space="preserve"> to experimental </w:t>
      </w:r>
      <w:r w:rsidR="00407B13" w:rsidRPr="00E70281">
        <w:rPr>
          <w:color w:val="auto"/>
        </w:rPr>
        <w:t>data</w:t>
      </w:r>
      <w:r w:rsidRPr="00E70281">
        <w:rPr>
          <w:color w:val="auto"/>
        </w:rPr>
        <w:t>, most commonly the p</w:t>
      </w:r>
      <w:r w:rsidR="0001230D">
        <w:rPr>
          <w:color w:val="auto"/>
        </w:rPr>
        <w:t>seudo-second order</w:t>
      </w:r>
      <w:r w:rsidRPr="00E70281">
        <w:rPr>
          <w:color w:val="auto"/>
        </w:rPr>
        <w:t xml:space="preserve"> (PSO) model. The PSO model, however, provides no </w:t>
      </w:r>
      <w:r w:rsidR="00084249" w:rsidRPr="00E70281">
        <w:rPr>
          <w:color w:val="auto"/>
        </w:rPr>
        <w:t xml:space="preserve">sensitivity </w:t>
      </w:r>
      <w:r w:rsidR="00407B13" w:rsidRPr="00E70281">
        <w:rPr>
          <w:color w:val="auto"/>
        </w:rPr>
        <w:t>to</w:t>
      </w:r>
      <w:r w:rsidRPr="00E70281">
        <w:rPr>
          <w:color w:val="auto"/>
        </w:rPr>
        <w:t xml:space="preserve"> changes in experimental conditions </w:t>
      </w:r>
      <w:r w:rsidR="00540E6F" w:rsidRPr="00E70281">
        <w:rPr>
          <w:color w:val="auto"/>
        </w:rPr>
        <w:t>such as</w:t>
      </w:r>
      <w:r w:rsidRPr="00E70281">
        <w:rPr>
          <w:color w:val="auto"/>
        </w:rPr>
        <w:t xml:space="preserve"> adsorbate and adsorbent concentrations</w:t>
      </w:r>
      <w:r w:rsidR="00D54752" w:rsidRPr="00E70281">
        <w:rPr>
          <w:color w:val="auto"/>
        </w:rPr>
        <w:t xml:space="preserve"> (C</w:t>
      </w:r>
      <w:r w:rsidR="00D54752" w:rsidRPr="00E70281">
        <w:rPr>
          <w:color w:val="auto"/>
          <w:vertAlign w:val="subscript"/>
        </w:rPr>
        <w:t>0</w:t>
      </w:r>
      <w:r w:rsidR="00D54752" w:rsidRPr="00E70281">
        <w:rPr>
          <w:color w:val="auto"/>
        </w:rPr>
        <w:t xml:space="preserve"> and C</w:t>
      </w:r>
      <w:r w:rsidR="00D54752" w:rsidRPr="00E70281">
        <w:rPr>
          <w:color w:val="auto"/>
          <w:vertAlign w:val="subscript"/>
        </w:rPr>
        <w:t>s</w:t>
      </w:r>
      <w:r w:rsidR="00D54752" w:rsidRPr="00E70281">
        <w:rPr>
          <w:color w:val="auto"/>
        </w:rPr>
        <w:t>)</w:t>
      </w:r>
      <w:r w:rsidRPr="00E70281">
        <w:rPr>
          <w:color w:val="auto"/>
        </w:rPr>
        <w:t xml:space="preserve"> and</w:t>
      </w:r>
      <w:r w:rsidR="000076F0" w:rsidRPr="00E70281">
        <w:rPr>
          <w:color w:val="auto"/>
        </w:rPr>
        <w:t xml:space="preserve"> </w:t>
      </w:r>
      <w:r w:rsidR="00540E6F" w:rsidRPr="00E70281">
        <w:rPr>
          <w:color w:val="auto"/>
        </w:rPr>
        <w:t>consequently</w:t>
      </w:r>
      <w:r w:rsidRPr="00E70281">
        <w:rPr>
          <w:color w:val="auto"/>
        </w:rPr>
        <w:t xml:space="preserve"> </w:t>
      </w:r>
      <w:r w:rsidR="00D4382B" w:rsidRPr="00E70281">
        <w:rPr>
          <w:color w:val="auto"/>
        </w:rPr>
        <w:t xml:space="preserve">is </w:t>
      </w:r>
      <w:r w:rsidRPr="00E70281">
        <w:rPr>
          <w:color w:val="auto"/>
        </w:rPr>
        <w:t xml:space="preserve">not </w:t>
      </w:r>
      <w:r w:rsidR="00540E6F" w:rsidRPr="00E70281">
        <w:rPr>
          <w:color w:val="auto"/>
        </w:rPr>
        <w:t>able to predict</w:t>
      </w:r>
      <w:r w:rsidRPr="00E70281">
        <w:rPr>
          <w:color w:val="auto"/>
        </w:rPr>
        <w:t xml:space="preserve"> changes in performance as a function of operating conditions. Furthermore, the experimental conditionality of the PSO rate constant, k</w:t>
      </w:r>
      <w:r w:rsidRPr="00E70281">
        <w:rPr>
          <w:color w:val="auto"/>
          <w:vertAlign w:val="subscript"/>
        </w:rPr>
        <w:t>2</w:t>
      </w:r>
      <w:r w:rsidRPr="00E70281">
        <w:rPr>
          <w:color w:val="auto"/>
        </w:rPr>
        <w:t xml:space="preserve">, </w:t>
      </w:r>
      <w:r w:rsidR="00540E6F" w:rsidRPr="00E70281">
        <w:rPr>
          <w:color w:val="auto"/>
        </w:rPr>
        <w:t>can lead to erroneous conclusions when comparing literature results</w:t>
      </w:r>
      <w:r w:rsidRPr="00E70281">
        <w:rPr>
          <w:color w:val="auto"/>
        </w:rPr>
        <w:t>. In this study,</w:t>
      </w:r>
      <w:r w:rsidR="003F3BE8" w:rsidRPr="00E70281">
        <w:rPr>
          <w:color w:val="auto"/>
        </w:rPr>
        <w:t xml:space="preserve"> we analyse </w:t>
      </w:r>
      <w:r w:rsidR="00860C5C" w:rsidRPr="00E70281">
        <w:rPr>
          <w:color w:val="auto"/>
        </w:rPr>
        <w:t>103</w:t>
      </w:r>
      <w:r w:rsidR="003F3BE8" w:rsidRPr="00E70281">
        <w:rPr>
          <w:color w:val="auto"/>
        </w:rPr>
        <w:t xml:space="preserve"> kinetic experiments from 4</w:t>
      </w:r>
      <w:r w:rsidR="00F80654" w:rsidRPr="00E70281">
        <w:rPr>
          <w:color w:val="auto"/>
        </w:rPr>
        <w:t>7</w:t>
      </w:r>
      <w:r w:rsidR="003F3BE8" w:rsidRPr="00E70281">
        <w:rPr>
          <w:color w:val="auto"/>
        </w:rPr>
        <w:t xml:space="preserve"> literature sources to</w:t>
      </w:r>
      <w:r w:rsidRPr="00E70281">
        <w:rPr>
          <w:color w:val="auto"/>
        </w:rPr>
        <w:t xml:space="preserve"> </w:t>
      </w:r>
      <w:r w:rsidR="003F3BE8" w:rsidRPr="00E70281">
        <w:rPr>
          <w:color w:val="auto"/>
        </w:rPr>
        <w:t>develop</w:t>
      </w:r>
      <w:r w:rsidRPr="00E70281">
        <w:rPr>
          <w:color w:val="auto"/>
        </w:rPr>
        <w:t xml:space="preserve"> a relatively simple modification of the PSO </w:t>
      </w:r>
      <w:r w:rsidR="002E15D3" w:rsidRPr="00E70281">
        <w:rPr>
          <w:color w:val="auto"/>
        </w:rPr>
        <w:t>rate equation, yielding</w:t>
      </w:r>
      <w:r w:rsidR="00D4382B" w:rsidRPr="00E70281">
        <w:rPr>
          <w:color w:val="auto"/>
        </w:rPr>
        <w:t>:</w:t>
      </w:r>
    </w:p>
    <w:p w14:paraId="13F7A79E" w14:textId="3C991816" w:rsidR="00A00A7F" w:rsidRPr="00E70281" w:rsidRDefault="00474213" w:rsidP="00D4290E">
      <w:pPr>
        <w:spacing w:after="200"/>
        <w:rPr>
          <w:color w:val="auto"/>
        </w:rPr>
      </w:pPr>
      <m:oMathPara>
        <m:oMath>
          <m:f>
            <m:fPr>
              <m:ctrlPr>
                <w:rPr>
                  <w:rFonts w:ascii="Cambria Math" w:hAnsi="Cambria Math" w:cstheme="minorHAnsi"/>
                  <w:color w:val="FF0000"/>
                </w:rPr>
              </m:ctrlPr>
            </m:fPr>
            <m:num>
              <m:r>
                <m:rPr>
                  <m:sty m:val="p"/>
                </m:rPr>
                <w:rPr>
                  <w:rFonts w:ascii="Cambria Math" w:hAnsi="Cambria Math" w:cstheme="minorHAnsi"/>
                  <w:color w:val="FF0000"/>
                </w:rPr>
                <m:t>d</m:t>
              </m:r>
              <m:sSub>
                <m:sSubPr>
                  <m:ctrlPr>
                    <w:rPr>
                      <w:rFonts w:ascii="Cambria Math" w:hAnsi="Cambria Math" w:cstheme="minorHAnsi"/>
                      <w:color w:val="FF0000"/>
                    </w:rPr>
                  </m:ctrlPr>
                </m:sSubPr>
                <m:e>
                  <m:r>
                    <m:rPr>
                      <m:sty m:val="p"/>
                    </m:rPr>
                    <w:rPr>
                      <w:rFonts w:ascii="Cambria Math" w:hAnsi="Cambria Math" w:cstheme="minorHAnsi"/>
                      <w:color w:val="FF0000"/>
                    </w:rPr>
                    <m:t>q</m:t>
                  </m:r>
                </m:e>
                <m:sub>
                  <m:r>
                    <m:rPr>
                      <m:sty m:val="p"/>
                    </m:rPr>
                    <w:rPr>
                      <w:rFonts w:ascii="Cambria Math" w:hAnsi="Cambria Math" w:cstheme="minorHAnsi"/>
                      <w:color w:val="FF0000"/>
                    </w:rPr>
                    <m:t>t</m:t>
                  </m:r>
                </m:sub>
              </m:sSub>
            </m:num>
            <m:den>
              <m:r>
                <m:rPr>
                  <m:sty m:val="p"/>
                </m:rPr>
                <w:rPr>
                  <w:rFonts w:ascii="Cambria Math" w:hAnsi="Cambria Math" w:cstheme="minorHAnsi"/>
                  <w:color w:val="FF0000"/>
                </w:rPr>
                <m:t>dt</m:t>
              </m:r>
            </m:den>
          </m:f>
          <m:r>
            <m:rPr>
              <m:sty m:val="p"/>
            </m:rPr>
            <w:rPr>
              <w:rFonts w:ascii="Cambria Math" w:hAnsi="Cambria Math" w:cstheme="minorHAnsi"/>
              <w:color w:val="FF0000"/>
            </w:rPr>
            <m:t>= k'</m:t>
          </m:r>
          <m:sSub>
            <m:sSubPr>
              <m:ctrlPr>
                <w:rPr>
                  <w:rFonts w:ascii="Cambria Math" w:hAnsi="Cambria Math" w:cstheme="minorHAnsi"/>
                  <w:color w:val="FF0000"/>
                </w:rPr>
              </m:ctrlPr>
            </m:sSubPr>
            <m:e>
              <m:r>
                <m:rPr>
                  <m:sty m:val="p"/>
                </m:rPr>
                <w:rPr>
                  <w:rFonts w:ascii="Cambria Math" w:hAnsi="Cambria Math" w:cstheme="minorHAnsi"/>
                  <w:color w:val="FF0000"/>
                </w:rPr>
                <m:t>C</m:t>
              </m:r>
            </m:e>
            <m:sub>
              <m:r>
                <m:rPr>
                  <m:sty m:val="p"/>
                </m:rPr>
                <w:rPr>
                  <w:rFonts w:ascii="Cambria Math" w:hAnsi="Cambria Math" w:cstheme="minorHAnsi"/>
                  <w:color w:val="FF0000"/>
                </w:rPr>
                <m:t>t</m:t>
              </m:r>
            </m:sub>
          </m:sSub>
          <m:sSup>
            <m:sSupPr>
              <m:ctrlPr>
                <w:rPr>
                  <w:rFonts w:ascii="Cambria Math" w:hAnsi="Cambria Math" w:cstheme="minorHAnsi"/>
                  <w:color w:val="FF0000"/>
                </w:rPr>
              </m:ctrlPr>
            </m:sSupPr>
            <m:e>
              <m:d>
                <m:dPr>
                  <m:ctrlPr>
                    <w:rPr>
                      <w:rFonts w:ascii="Cambria Math" w:hAnsi="Cambria Math" w:cstheme="minorHAnsi"/>
                      <w:color w:val="FF0000"/>
                    </w:rPr>
                  </m:ctrlPr>
                </m:dPr>
                <m:e>
                  <m:r>
                    <m:rPr>
                      <m:sty m:val="p"/>
                    </m:rPr>
                    <w:rPr>
                      <w:rFonts w:ascii="Cambria Math" w:hAnsi="Cambria Math" w:cstheme="minorHAnsi"/>
                      <w:color w:val="FF0000"/>
                    </w:rPr>
                    <m:t>1-</m:t>
                  </m:r>
                  <m:f>
                    <m:fPr>
                      <m:ctrlPr>
                        <w:rPr>
                          <w:rFonts w:ascii="Cambria Math" w:hAnsi="Cambria Math" w:cstheme="minorHAnsi"/>
                          <w:color w:val="FF0000"/>
                        </w:rPr>
                      </m:ctrlPr>
                    </m:fPr>
                    <m:num>
                      <m:sSub>
                        <m:sSubPr>
                          <m:ctrlPr>
                            <w:rPr>
                              <w:rFonts w:ascii="Cambria Math" w:hAnsi="Cambria Math" w:cstheme="minorHAnsi"/>
                              <w:color w:val="FF0000"/>
                            </w:rPr>
                          </m:ctrlPr>
                        </m:sSubPr>
                        <m:e>
                          <m:r>
                            <m:rPr>
                              <m:sty m:val="p"/>
                            </m:rPr>
                            <w:rPr>
                              <w:rFonts w:ascii="Cambria Math" w:hAnsi="Cambria Math" w:cstheme="minorHAnsi"/>
                              <w:color w:val="FF0000"/>
                            </w:rPr>
                            <m:t>q</m:t>
                          </m:r>
                        </m:e>
                        <m:sub>
                          <m:r>
                            <m:rPr>
                              <m:sty m:val="p"/>
                            </m:rPr>
                            <w:rPr>
                              <w:rFonts w:ascii="Cambria Math" w:hAnsi="Cambria Math" w:cstheme="minorHAnsi"/>
                              <w:color w:val="FF0000"/>
                            </w:rPr>
                            <m:t>t</m:t>
                          </m:r>
                        </m:sub>
                      </m:sSub>
                    </m:num>
                    <m:den>
                      <m:sSub>
                        <m:sSubPr>
                          <m:ctrlPr>
                            <w:rPr>
                              <w:rFonts w:ascii="Cambria Math" w:hAnsi="Cambria Math" w:cstheme="minorHAnsi"/>
                              <w:color w:val="FF0000"/>
                            </w:rPr>
                          </m:ctrlPr>
                        </m:sSubPr>
                        <m:e>
                          <m:r>
                            <m:rPr>
                              <m:sty m:val="p"/>
                            </m:rPr>
                            <w:rPr>
                              <w:rFonts w:ascii="Cambria Math" w:hAnsi="Cambria Math" w:cstheme="minorHAnsi"/>
                              <w:color w:val="FF0000"/>
                            </w:rPr>
                            <m:t>q</m:t>
                          </m:r>
                        </m:e>
                        <m:sub>
                          <m:r>
                            <m:rPr>
                              <m:sty m:val="p"/>
                            </m:rPr>
                            <w:rPr>
                              <w:rFonts w:ascii="Cambria Math" w:hAnsi="Cambria Math" w:cstheme="minorHAnsi"/>
                              <w:color w:val="FF0000"/>
                            </w:rPr>
                            <m:t>e</m:t>
                          </m:r>
                        </m:sub>
                      </m:sSub>
                    </m:den>
                  </m:f>
                </m:e>
              </m:d>
            </m:e>
            <m:sup>
              <m:r>
                <m:rPr>
                  <m:sty m:val="p"/>
                </m:rPr>
                <w:rPr>
                  <w:rFonts w:ascii="Cambria Math" w:hAnsi="Cambria Math" w:cstheme="minorHAnsi"/>
                  <w:color w:val="FF0000"/>
                </w:rPr>
                <m:t>2</m:t>
              </m:r>
            </m:sup>
          </m:sSup>
        </m:oMath>
      </m:oMathPara>
    </w:p>
    <w:p w14:paraId="383360CD" w14:textId="0ACEF435" w:rsidR="00B664A7" w:rsidRPr="00E70281" w:rsidRDefault="000076F0" w:rsidP="00D4290E">
      <w:pPr>
        <w:spacing w:after="200"/>
        <w:rPr>
          <w:rFonts w:cstheme="minorHAnsi"/>
          <w:color w:val="auto"/>
        </w:rPr>
      </w:pPr>
      <w:r w:rsidRPr="00E70281">
        <w:rPr>
          <w:color w:val="auto"/>
        </w:rPr>
        <w:t xml:space="preserve">Unlike </w:t>
      </w:r>
      <w:r w:rsidR="002E15D3" w:rsidRPr="00E70281">
        <w:rPr>
          <w:color w:val="auto"/>
        </w:rPr>
        <w:t xml:space="preserve">the original </w:t>
      </w:r>
      <w:r w:rsidRPr="00E70281">
        <w:rPr>
          <w:color w:val="auto"/>
        </w:rPr>
        <w:t xml:space="preserve">PSO </w:t>
      </w:r>
      <w:r w:rsidR="002E15D3" w:rsidRPr="00E70281">
        <w:rPr>
          <w:color w:val="auto"/>
        </w:rPr>
        <w:t>model</w:t>
      </w:r>
      <w:r w:rsidRPr="00E70281">
        <w:rPr>
          <w:color w:val="auto"/>
        </w:rPr>
        <w:t>, this</w:t>
      </w:r>
      <w:r w:rsidR="002E15D3" w:rsidRPr="00E70281">
        <w:rPr>
          <w:color w:val="auto"/>
        </w:rPr>
        <w:t xml:space="preserve"> revised</w:t>
      </w:r>
      <w:r w:rsidR="00D4382B" w:rsidRPr="00E70281">
        <w:rPr>
          <w:color w:val="auto"/>
        </w:rPr>
        <w:t xml:space="preserve"> rate</w:t>
      </w:r>
      <w:r w:rsidR="002E15D3" w:rsidRPr="00E70281">
        <w:rPr>
          <w:color w:val="auto"/>
        </w:rPr>
        <w:t xml:space="preserve"> equation (rPSO)</w:t>
      </w:r>
      <w:r w:rsidRPr="00E70281">
        <w:rPr>
          <w:color w:val="auto"/>
        </w:rPr>
        <w:t xml:space="preserve"> </w:t>
      </w:r>
      <w:r w:rsidR="004A403F" w:rsidRPr="00E70281">
        <w:rPr>
          <w:color w:val="FF0000"/>
        </w:rPr>
        <w:t>provides</w:t>
      </w:r>
      <w:r w:rsidRPr="00E70281">
        <w:rPr>
          <w:color w:val="FF0000"/>
        </w:rPr>
        <w:t xml:space="preserve"> </w:t>
      </w:r>
      <w:r w:rsidRPr="00E70281">
        <w:rPr>
          <w:color w:val="auto"/>
        </w:rPr>
        <w:t>the first-order</w:t>
      </w:r>
      <w:r w:rsidR="002E15D3" w:rsidRPr="00E70281">
        <w:rPr>
          <w:color w:val="auto"/>
        </w:rPr>
        <w:t xml:space="preserve"> and zero-order</w:t>
      </w:r>
      <w:r w:rsidRPr="00E70281">
        <w:rPr>
          <w:color w:val="auto"/>
        </w:rPr>
        <w:t xml:space="preserve"> dependenc</w:t>
      </w:r>
      <w:r w:rsidR="002E15D3" w:rsidRPr="00E70281">
        <w:rPr>
          <w:color w:val="auto"/>
        </w:rPr>
        <w:t>ies</w:t>
      </w:r>
      <w:r w:rsidRPr="00E70281">
        <w:rPr>
          <w:color w:val="auto"/>
        </w:rPr>
        <w:t xml:space="preserve"> </w:t>
      </w:r>
      <w:r w:rsidR="00407B13" w:rsidRPr="00E70281">
        <w:rPr>
          <w:color w:val="auto"/>
        </w:rPr>
        <w:t>upon</w:t>
      </w:r>
      <w:r w:rsidRPr="00E70281">
        <w:rPr>
          <w:color w:val="auto"/>
        </w:rPr>
        <w:t xml:space="preserve"> C</w:t>
      </w:r>
      <w:r w:rsidRPr="00E70281">
        <w:rPr>
          <w:color w:val="auto"/>
          <w:vertAlign w:val="subscript"/>
        </w:rPr>
        <w:t>0</w:t>
      </w:r>
      <w:r w:rsidRPr="00E70281">
        <w:rPr>
          <w:color w:val="auto"/>
        </w:rPr>
        <w:t xml:space="preserve"> and C</w:t>
      </w:r>
      <w:r w:rsidRPr="00E70281">
        <w:rPr>
          <w:color w:val="auto"/>
          <w:vertAlign w:val="subscript"/>
        </w:rPr>
        <w:t>s</w:t>
      </w:r>
      <w:r w:rsidRPr="00E70281">
        <w:rPr>
          <w:color w:val="auto"/>
        </w:rPr>
        <w:t xml:space="preserve"> that we </w:t>
      </w:r>
      <w:r w:rsidR="003F3BE8" w:rsidRPr="00E70281">
        <w:rPr>
          <w:color w:val="auto"/>
        </w:rPr>
        <w:t>observe</w:t>
      </w:r>
      <w:r w:rsidRPr="00E70281">
        <w:rPr>
          <w:color w:val="auto"/>
        </w:rPr>
        <w:t xml:space="preserve"> </w:t>
      </w:r>
      <w:r w:rsidR="003F3BE8" w:rsidRPr="00E70281">
        <w:rPr>
          <w:color w:val="auto"/>
        </w:rPr>
        <w:t>empirically</w:t>
      </w:r>
      <w:r w:rsidRPr="00E70281">
        <w:rPr>
          <w:color w:val="auto"/>
        </w:rPr>
        <w:t xml:space="preserve">. </w:t>
      </w:r>
      <w:r w:rsidR="002E15D3" w:rsidRPr="00E70281">
        <w:rPr>
          <w:color w:val="auto"/>
        </w:rPr>
        <w:t>Our</w:t>
      </w:r>
      <w:r w:rsidRPr="00E70281">
        <w:rPr>
          <w:color w:val="auto"/>
        </w:rPr>
        <w:t xml:space="preserve"> new model reduces the residual sum of squares by 66% when using a single rate constant to model</w:t>
      </w:r>
      <w:r w:rsidR="00D4382B" w:rsidRPr="00E70281">
        <w:rPr>
          <w:color w:val="auto"/>
        </w:rPr>
        <w:t xml:space="preserve"> multiple adsorption experiments with varying initial conditions</w:t>
      </w:r>
      <w:r w:rsidRPr="00E70281">
        <w:rPr>
          <w:color w:val="auto"/>
        </w:rPr>
        <w:t xml:space="preserve">. </w:t>
      </w:r>
      <w:r w:rsidR="00D4382B" w:rsidRPr="00E70281">
        <w:rPr>
          <w:color w:val="auto"/>
        </w:rPr>
        <w:t>Furthermore, w</w:t>
      </w:r>
      <w:r w:rsidRPr="00E70281">
        <w:rPr>
          <w:color w:val="auto"/>
        </w:rPr>
        <w:t xml:space="preserve">e highlight </w:t>
      </w:r>
      <w:r w:rsidR="002E15D3" w:rsidRPr="00E70281">
        <w:rPr>
          <w:color w:val="auto"/>
        </w:rPr>
        <w:t>how the rPSO rate constant k’ is more appropriate for literature comparison,</w:t>
      </w:r>
      <w:r w:rsidR="00D4382B" w:rsidRPr="00E70281">
        <w:rPr>
          <w:color w:val="auto"/>
        </w:rPr>
        <w:t xml:space="preserve"> </w:t>
      </w:r>
      <w:r w:rsidR="002E15D3" w:rsidRPr="00E70281">
        <w:rPr>
          <w:color w:val="auto"/>
        </w:rPr>
        <w:t xml:space="preserve">highlighting </w:t>
      </w:r>
      <w:r w:rsidRPr="00E70281">
        <w:rPr>
          <w:color w:val="auto"/>
        </w:rPr>
        <w:t xml:space="preserve">faster kinetics in the adsorption of arsenic onto alumina </w:t>
      </w:r>
      <w:r w:rsidR="002E15D3" w:rsidRPr="00E70281">
        <w:rPr>
          <w:color w:val="auto"/>
        </w:rPr>
        <w:t>versus</w:t>
      </w:r>
      <w:r w:rsidRPr="00E70281">
        <w:rPr>
          <w:color w:val="auto"/>
        </w:rPr>
        <w:t xml:space="preserve"> iron oxides. This revised rate equation should find applications in engineering </w:t>
      </w:r>
      <w:r w:rsidR="002E15D3" w:rsidRPr="00E70281">
        <w:rPr>
          <w:color w:val="auto"/>
        </w:rPr>
        <w:t>stu</w:t>
      </w:r>
      <w:r w:rsidR="00D4382B" w:rsidRPr="00E70281">
        <w:rPr>
          <w:color w:val="auto"/>
        </w:rPr>
        <w:t>dies, especially since the rPSO rate constant k’ does not show a counter-intuitive inverse relationship with increasing reaction rate</w:t>
      </w:r>
      <w:r w:rsidR="00053FA0" w:rsidRPr="00E70281">
        <w:rPr>
          <w:color w:val="auto"/>
        </w:rPr>
        <w:t>s</w:t>
      </w:r>
      <w:r w:rsidR="00D4382B" w:rsidRPr="00E70281">
        <w:rPr>
          <w:color w:val="auto"/>
        </w:rPr>
        <w:t xml:space="preserve"> when C</w:t>
      </w:r>
      <w:r w:rsidR="00D4382B" w:rsidRPr="00E70281">
        <w:rPr>
          <w:color w:val="auto"/>
          <w:vertAlign w:val="subscript"/>
        </w:rPr>
        <w:t>0</w:t>
      </w:r>
      <w:r w:rsidR="00D4382B" w:rsidRPr="00E70281">
        <w:rPr>
          <w:color w:val="auto"/>
        </w:rPr>
        <w:t xml:space="preserve"> is increased</w:t>
      </w:r>
      <w:r w:rsidR="001A7AFD" w:rsidRPr="00E70281">
        <w:rPr>
          <w:color w:val="auto"/>
        </w:rPr>
        <w:t>,</w:t>
      </w:r>
      <w:r w:rsidR="001A7AFD" w:rsidRPr="00E70281">
        <w:rPr>
          <w:color w:val="FF0000"/>
        </w:rPr>
        <w:t xml:space="preserve"> </w:t>
      </w:r>
      <w:r w:rsidR="001A7AFD" w:rsidRPr="00E70281">
        <w:rPr>
          <w:color w:val="FF0000"/>
        </w:rPr>
        <w:t>unlike the PSO rate constant k</w:t>
      </w:r>
      <w:r w:rsidR="001A7AFD" w:rsidRPr="00E70281">
        <w:rPr>
          <w:color w:val="FF0000"/>
          <w:vertAlign w:val="subscript"/>
        </w:rPr>
        <w:t>2</w:t>
      </w:r>
      <w:r w:rsidR="00D4382B" w:rsidRPr="00E70281">
        <w:rPr>
          <w:color w:val="auto"/>
        </w:rPr>
        <w:t xml:space="preserve">. </w:t>
      </w:r>
      <w:r w:rsidR="00B664A7" w:rsidRPr="00E70281">
        <w:rPr>
          <w:rFonts w:cstheme="minorHAnsi"/>
          <w:color w:val="auto"/>
        </w:rPr>
        <w:br w:type="page"/>
      </w:r>
    </w:p>
    <w:p w14:paraId="5B603563" w14:textId="619BAD0F" w:rsidR="004776C2" w:rsidRPr="00E70281" w:rsidRDefault="00B664A7" w:rsidP="009222BF">
      <w:pPr>
        <w:pStyle w:val="Heading1"/>
        <w:numPr>
          <w:ilvl w:val="0"/>
          <w:numId w:val="0"/>
        </w:numPr>
        <w:ind w:left="360"/>
        <w:jc w:val="both"/>
        <w:rPr>
          <w:color w:val="auto"/>
        </w:rPr>
      </w:pPr>
      <w:r w:rsidRPr="00E70281">
        <w:rPr>
          <w:color w:val="auto"/>
        </w:rPr>
        <w:lastRenderedPageBreak/>
        <w:t>Introduction</w:t>
      </w:r>
    </w:p>
    <w:p w14:paraId="4AA6D3E3" w14:textId="7835F11B" w:rsidR="00A85AA0" w:rsidRPr="00E70281" w:rsidRDefault="00A85AA0" w:rsidP="00A85AA0">
      <w:pPr>
        <w:rPr>
          <w:color w:val="auto"/>
        </w:rPr>
      </w:pPr>
    </w:p>
    <w:p w14:paraId="7FE64A2D" w14:textId="4886D285" w:rsidR="00DD63C6" w:rsidRPr="00E70281" w:rsidRDefault="00A85AA0" w:rsidP="000C329B">
      <w:pPr>
        <w:rPr>
          <w:color w:val="auto"/>
        </w:rPr>
      </w:pPr>
      <w:r w:rsidRPr="00E70281">
        <w:rPr>
          <w:color w:val="auto"/>
        </w:rPr>
        <w:t xml:space="preserve">There is a wealth of </w:t>
      </w:r>
      <w:r w:rsidR="00621B2A" w:rsidRPr="00E70281">
        <w:rPr>
          <w:color w:val="auto"/>
        </w:rPr>
        <w:t>recent literature</w:t>
      </w:r>
      <w:r w:rsidRPr="00E70281">
        <w:rPr>
          <w:color w:val="auto"/>
        </w:rPr>
        <w:t xml:space="preserve"> concerning the development of novel</w:t>
      </w:r>
      <w:r w:rsidR="00FF726D" w:rsidRPr="00E70281">
        <w:rPr>
          <w:color w:val="auto"/>
        </w:rPr>
        <w:t xml:space="preserve"> adsorbent</w:t>
      </w:r>
      <w:r w:rsidRPr="00E70281">
        <w:rPr>
          <w:color w:val="auto"/>
        </w:rPr>
        <w:t xml:space="preserve"> materials for the remediation of contaminated water</w:t>
      </w:r>
      <w:r w:rsidR="00407B13" w:rsidRPr="00E70281">
        <w:rPr>
          <w:color w:val="auto"/>
        </w:rPr>
        <w:t>, such as</w:t>
      </w:r>
      <w:r w:rsidRPr="00E70281">
        <w:rPr>
          <w:color w:val="auto"/>
        </w:rPr>
        <w:t xml:space="preserve"> </w:t>
      </w:r>
      <w:r w:rsidR="00FF5DB0" w:rsidRPr="00E70281">
        <w:rPr>
          <w:color w:val="auto"/>
        </w:rPr>
        <w:t xml:space="preserve">composite materials </w:t>
      </w:r>
      <w:r w:rsidR="0036463B" w:rsidRPr="00E70281">
        <w:rPr>
          <w:color w:val="auto"/>
        </w:rPr>
        <w:t>offering</w:t>
      </w:r>
      <w:r w:rsidR="00FF5DB0" w:rsidRPr="00E70281">
        <w:rPr>
          <w:color w:val="auto"/>
        </w:rPr>
        <w:t xml:space="preserve"> superior stability</w:t>
      </w:r>
      <w:r w:rsidR="0036463B" w:rsidRPr="00E70281">
        <w:rPr>
          <w:color w:val="auto"/>
        </w:rPr>
        <w:t xml:space="preserve"> </w:t>
      </w:r>
      <w:r w:rsidR="0036463B" w:rsidRPr="00E70281">
        <w:rPr>
          <w:color w:val="auto"/>
        </w:rPr>
        <w:fldChar w:fldCharType="begin" w:fldLock="1"/>
      </w:r>
      <w:r w:rsidR="00122D53" w:rsidRPr="00E70281">
        <w:rPr>
          <w:color w:val="auto"/>
        </w:rPr>
        <w:instrText>ADDIN CSL_CITATION {"citationItems":[{"id":"ITEM-1","itemData":{"DOI":"10.1080/01496390801940762","ISSN":"01496395","abstract":"A composite chitosan biosorbent (CCB) was prepared by coating chitosan on to ceramic alumina. The adsorption characteristics of the sorbent for copper and nickel ions were studied under batch equilibrium and dynamic flow conditions at pH 4.0. The equilibrium adsorption data were correlated with Langmuir, Freundlich, and Redlich-Peterson models. The ultimate monolayer capacities, obtained from Langmuir isotherm, were 86.2 and 78.1 mg/g of chitosan for Cu(II) and Ni(II), respectively. In addition, dynamic column adsorption studies were conducted to obtain breakthrough curves. After the column was saturated with metal ions, it was regenerated with 0.1 M sodium hydroxide. The regenerated column was used for a second adsorption cycle.","author":[{"dropping-particle":"","family":"Boddu","given":"Veera M","non-dropping-particle":"","parse-names":false,"suffix":""},{"dropping-particle":"","family":"Abburi","given":"Krishnaiah","non-dropping-particle":"","parse-names":false,"suffix":""},{"dropping-particle":"","family":"Randolph","given":"Ann J","non-dropping-particle":"","parse-names":false,"suffix":""},{"dropping-particle":"","family":"Smith","given":"Edgar D","non-dropping-particle":"","parse-names":false,"suffix":""}],"container-title":"Separation Science and Technology","id":"ITEM-1","issue":"6","issued":{"date-parts":[["2008"]]},"page":"1365-1381","title":"Removal of copper(II) and nickel(II) ions from aqueous solutions by a composite chitosan biosorbent","type":"article-journal","volume":"43"},"uris":["http://www.mendeley.com/documents/?uuid=c5198fc7-2ac0-4fd7-aea8-44dc18ebf3fb"]}],"mendeley":{"formattedCitation":"&lt;sup&gt;1&lt;/sup&gt;","plainTextFormattedCitation":"1","previouslyFormattedCitation":"&lt;sup&gt;1&lt;/sup&gt;"},"properties":{"noteIndex":0},"schema":"https://github.com/citation-style-language/schema/raw/master/csl-citation.json"}</w:instrText>
      </w:r>
      <w:r w:rsidR="0036463B" w:rsidRPr="00E70281">
        <w:rPr>
          <w:color w:val="auto"/>
        </w:rPr>
        <w:fldChar w:fldCharType="separate"/>
      </w:r>
      <w:r w:rsidR="00C010E0" w:rsidRPr="00E70281">
        <w:rPr>
          <w:noProof/>
          <w:color w:val="auto"/>
          <w:vertAlign w:val="superscript"/>
        </w:rPr>
        <w:t>1</w:t>
      </w:r>
      <w:r w:rsidR="0036463B" w:rsidRPr="00E70281">
        <w:rPr>
          <w:color w:val="auto"/>
        </w:rPr>
        <w:fldChar w:fldCharType="end"/>
      </w:r>
      <w:r w:rsidR="00FF5DB0" w:rsidRPr="00E70281">
        <w:rPr>
          <w:color w:val="auto"/>
        </w:rPr>
        <w:t xml:space="preserve">, ease of separation from </w:t>
      </w:r>
      <w:r w:rsidR="00D47C4C" w:rsidRPr="00E70281">
        <w:rPr>
          <w:color w:val="auto"/>
        </w:rPr>
        <w:t xml:space="preserve">the </w:t>
      </w:r>
      <w:r w:rsidR="0036463B" w:rsidRPr="00E70281">
        <w:rPr>
          <w:color w:val="auto"/>
        </w:rPr>
        <w:t>effluent</w:t>
      </w:r>
      <w:r w:rsidR="00FF5DB0" w:rsidRPr="00E70281">
        <w:rPr>
          <w:color w:val="auto"/>
        </w:rPr>
        <w:t xml:space="preserve"> </w:t>
      </w:r>
      <w:r w:rsidR="00FF5DB0" w:rsidRPr="00E70281">
        <w:rPr>
          <w:color w:val="auto"/>
        </w:rPr>
        <w:fldChar w:fldCharType="begin" w:fldLock="1"/>
      </w:r>
      <w:r w:rsidR="00233E49" w:rsidRPr="00E70281">
        <w:rPr>
          <w:color w:val="auto"/>
        </w:rPr>
        <w:instrText>ADDIN CSL_CITATION {"citationItems":[{"id":"ITEM-1","itemData":{"DOI":"10.1021/acssuschemeng.7b01303","ISSN":"21680485","abstract":"The removal mechanism of U(VI) on Mg-Al-layered double hydroxide-supported graphene oxide (LDH/GO) composites was investigated by batch, spectroscopic, and surface complexation modeling. The batch experiments showed that the enhanced removal of U(VI) on LDH and LDH/GO composites in the presence of carbonate was observed at pH &lt; 5.0, whereas the presence of carbonate significantly inhibited U(VI) removal at pH starting from 7.0 to 9.0. It is demonstrated that the oxygenated functional groups (i.e., -OH) were responsible for the high effective removal of U(VI) by XPS analysis. The results of XANES and EXAFS spectra indicated that adsorption of U(VI) on LDH/GO composites was inner-sphere surface complexation. According to surface complexation modeling, the removal of U(VI) on LDH/GO composites can be satisfactorily fitted by a diffuse layer model with an ion exchange (X2UO2) and two inner-sphere surface complexes (SOUO2+ and SOUO2(CO3)23- species). The maximum adsorption capacities of LDH and LDH/GO composites calculated from the Langmuir model at pH 4.5 and T = 293 K were 99.01 and 129.87 mg/g, respectively. These findings indicated that GO-based composites can be used as a highly effective adsorbents for the preconcentration and immobilization of radionuclides in environmental cleanup.","author":[{"dropping-particle":"","family":"Linghu","given":"Wensheng","non-dropping-particle":"","parse-names":false,"suffix":""},{"dropping-particle":"","family":"Yang","given":"Hai","non-dropping-particle":"","parse-names":false,"suffix":""},{"dropping-particle":"","family":"Sun","given":"Yanxia","non-dropping-particle":"","parse-names":false,"suffix":""},{"dropping-particle":"","family":"Sheng","given":"Guodong","non-dropping-particle":"","parse-names":false,"suffix":""},{"dropping-particle":"","family":"Huang","given":"Yuying","non-dropping-particle":"","parse-names":false,"suffix":""}],"container-title":"ACS Sustainable Chemistry and Engineering","id":"ITEM-1","issue":"6","issued":{"date-parts":[["2017"]]},"page":"5608-5616","title":"One-Pot Synthesis of LDH/GO Composites as Highly Effective Adsorbents for Decontamination of U(VI)","type":"article-journal","volume":"5"},"uris":["http://www.mendeley.com/documents/?uuid=2270bd74-7544-48e1-a523-6f1fda41892d"]}],"mendeley":{"formattedCitation":"&lt;sup&gt;2&lt;/sup&gt;","plainTextFormattedCitation":"2","previouslyFormattedCitation":"&lt;sup&gt;2&lt;/sup&gt;"},"properties":{"noteIndex":0},"schema":"https://github.com/citation-style-language/schema/raw/master/csl-citation.json"}</w:instrText>
      </w:r>
      <w:r w:rsidR="00FF5DB0" w:rsidRPr="00E70281">
        <w:rPr>
          <w:color w:val="auto"/>
        </w:rPr>
        <w:fldChar w:fldCharType="separate"/>
      </w:r>
      <w:r w:rsidR="00C010E0" w:rsidRPr="00E70281">
        <w:rPr>
          <w:noProof/>
          <w:color w:val="auto"/>
          <w:vertAlign w:val="superscript"/>
        </w:rPr>
        <w:t>2</w:t>
      </w:r>
      <w:r w:rsidR="00FF5DB0" w:rsidRPr="00E70281">
        <w:rPr>
          <w:color w:val="auto"/>
        </w:rPr>
        <w:fldChar w:fldCharType="end"/>
      </w:r>
      <w:r w:rsidR="00FF5DB0" w:rsidRPr="00E70281">
        <w:rPr>
          <w:color w:val="auto"/>
        </w:rPr>
        <w:t xml:space="preserve"> </w:t>
      </w:r>
      <w:r w:rsidR="00FF5DB0" w:rsidRPr="00E70281">
        <w:rPr>
          <w:color w:val="auto"/>
        </w:rPr>
        <w:fldChar w:fldCharType="begin" w:fldLock="1"/>
      </w:r>
      <w:r w:rsidR="00122D53" w:rsidRPr="00E70281">
        <w:rPr>
          <w:color w:val="auto"/>
        </w:rPr>
        <w:instrText>ADDIN CSL_CITATION {"citationItems":[{"id":"ITEM-1","itemData":{"DOI":"10.1039/c5ra06178d","ISSN":"20462069","abstract":"Magnetic materials as adsorbents can provide effective removal and quickly separate pollutants in wastewater treatment. A magnetic CoFe2O4/MgAl-LDH composite was successfully synthesized through a low saturation coprecipitation method. The adsorption behaviors of Cr(vi) from an aqueous solution by CoFe2O4/MgAl-LDH were investigated. The adsorbents were characterized using scanning electron microscopy (SEM), N2 adsorption-desorption isotherms, X-ray diffraction (XRD), Fourier transform infrared spectroscopy (FTIR) and X-ray photoelectron spectroscopy (XPS). Kinetic and equilibrium studies indicated that the experimental data of Cr(vi) adsorption were best described by pseudo-second-order kinetic and Langmuir models. The maximum adsorption capacity of CoFe2O4/MgAl-LDH for Cr(vi) was found to be 72.4 mg g-1 at an equilibrium time of 300 min and temperature of 283 K. Evaluation of the thermodynamics parameters (ΔH &lt; 0, ΔS &lt; 0 and ΔG &lt; 0) revealed the adsorption process was exothermic and spontaneous. The mechanism study showed that the adsorption of Cr(vi) onto CoFe2O4/MgAl-LDH likely involved adsorption/surface complexation and an ion exchange interaction. This study demonstrated that the magnetic CoFe2O4/MgAl-LDH composite was an effective adsorbent for Cr(vi) removal with quick separation.","author":[{"dropping-particle":"","family":"Deng","given":"Lin","non-dropping-particle":"","parse-names":false,"suffix":""},{"dropping-particle":"","family":"Shi","given":"Zhou","non-dropping-particle":"","parse-names":false,"suffix":""},{"dropping-particle":"","family":"Peng","given":"Xiaoxu","non-dropping-particle":"","parse-names":false,"suffix":""}],"container-title":"RSC Advances","id":"ITEM-1","issue":"61","issued":{"date-parts":[["2015"]]},"page":"49791-49801","publisher":"Royal Society of Chemistry","title":"Adsorption of Cr(VI) onto a magnetic CoFe2O4/MgAl-LDH composite and mechanism study","type":"article-journal","volume":"5"},"uris":["http://www.mendeley.com/documents/?uuid=547f39c8-f5a2-44c9-93f7-8e43347a7a6e"]}],"mendeley":{"formattedCitation":"&lt;sup&gt;3&lt;/sup&gt;","plainTextFormattedCitation":"3","previouslyFormattedCitation":"&lt;sup&gt;3&lt;/sup&gt;"},"properties":{"noteIndex":0},"schema":"https://github.com/citation-style-language/schema/raw/master/csl-citation.json"}</w:instrText>
      </w:r>
      <w:r w:rsidR="00FF5DB0" w:rsidRPr="00E70281">
        <w:rPr>
          <w:color w:val="auto"/>
        </w:rPr>
        <w:fldChar w:fldCharType="separate"/>
      </w:r>
      <w:r w:rsidR="00C010E0" w:rsidRPr="00E70281">
        <w:rPr>
          <w:noProof/>
          <w:color w:val="auto"/>
          <w:vertAlign w:val="superscript"/>
        </w:rPr>
        <w:t>3</w:t>
      </w:r>
      <w:r w:rsidR="00FF5DB0" w:rsidRPr="00E70281">
        <w:rPr>
          <w:color w:val="auto"/>
        </w:rPr>
        <w:fldChar w:fldCharType="end"/>
      </w:r>
      <w:r w:rsidR="0036463B" w:rsidRPr="00E70281">
        <w:rPr>
          <w:color w:val="auto"/>
        </w:rPr>
        <w:t>, or multifunctional capabilities such as photocatalytic activity</w:t>
      </w:r>
      <w:r w:rsidR="00FF5DB0" w:rsidRPr="00E70281">
        <w:rPr>
          <w:color w:val="auto"/>
        </w:rPr>
        <w:t xml:space="preserve"> </w:t>
      </w:r>
      <w:r w:rsidR="00FF5DB0" w:rsidRPr="00E70281">
        <w:rPr>
          <w:color w:val="auto"/>
        </w:rPr>
        <w:fldChar w:fldCharType="begin" w:fldLock="1"/>
      </w:r>
      <w:r w:rsidR="00233E49" w:rsidRPr="00E70281">
        <w:rPr>
          <w:color w:val="auto"/>
        </w:rPr>
        <w:instrText>ADDIN CSL_CITATION {"citationItems":[{"id":"ITEM-1","itemData":{"DOI":"10.1016/j.jcis.2011.08.023","ISBN":"1095-7103 (Electronic)\\n0021-9797 (Linking)","ISSN":"00219797","PMID":"21907345","abstract":"Mixed oxide TiO 2-Fe 2O 3 bi-composites have been recognised as efficient and economical sorbents with great promise for arsenic removal from groundwater. In this study, we use a fast, simple and inexpensive synthesis method for this type of bi-composite and assess its adsorption performance. The kinetics of arsenate and phosphate adsorption onto the bi-composite are determined, demonstrating rapid and stable uptake of both oxy-anions over several days and with improved performance compared to the widely used TiO 2 sorbent. A modified pseudo-second order rate equation is introduced, which allows the adsorption kinetics to be modelled as two simultaneous, parallel reaction pathways with separate kinetic parameters. This equation reproduces the experimental observations accurately across a wide range of timescales from minutes to days. Our experimental data agrees with previous interpretations of the adsorption mechanism including the formation of mono-dentate and bi-dentate inner-sphere surface complexes. The arsenate and phosphate uptake capacities of the bi-composite are reported. Equilibrium studies were conducted between pH 5 and 9 and interpreted within the Langmuir, Freundlich and Dubinin-Radushkevich isotherm models. ?? 2011 Elsevier Inc.","author":[{"dropping-particle":"","family":"D'Arcy","given":"Mitch","non-dropping-particle":"","parse-names":false,"suffix":""},{"dropping-particle":"","family":"Weiss","given":"Dominik","non-dropping-particle":"","parse-names":false,"suffix":""},{"dropping-particle":"","family":"Bluck","given":"Michael","non-dropping-particle":"","parse-names":false,"suffix":""},{"dropping-particle":"","family":"Vilar","given":"Ramon","non-dropping-particle":"","parse-names":false,"suffix":""}],"container-title":"Journal of Colloid and Interface Science","id":"ITEM-1","issue":"1","issued":{"date-parts":[["2011"]]},"page":"205-212","publisher":"Elsevier Inc.","title":"Adsorption kinetics, capacity and mechanism of arsenate and phosphate on a bifunctional TiO2-Fe2O3 bi-composite","type":"article-journal","volume":"364"},"uris":["http://www.mendeley.com/documents/?uuid=36ed4158-1dd7-44f2-b690-caeea01de255"]}],"mendeley":{"formattedCitation":"&lt;sup&gt;4&lt;/sup&gt;","plainTextFormattedCitation":"4","previouslyFormattedCitation":"&lt;sup&gt;4&lt;/sup&gt;"},"properties":{"noteIndex":0},"schema":"https://github.com/citation-style-language/schema/raw/master/csl-citation.json"}</w:instrText>
      </w:r>
      <w:r w:rsidR="00FF5DB0" w:rsidRPr="00E70281">
        <w:rPr>
          <w:color w:val="auto"/>
        </w:rPr>
        <w:fldChar w:fldCharType="separate"/>
      </w:r>
      <w:r w:rsidR="00C010E0" w:rsidRPr="00E70281">
        <w:rPr>
          <w:noProof/>
          <w:color w:val="auto"/>
          <w:vertAlign w:val="superscript"/>
        </w:rPr>
        <w:t>4</w:t>
      </w:r>
      <w:r w:rsidR="00FF5DB0" w:rsidRPr="00E70281">
        <w:rPr>
          <w:color w:val="auto"/>
        </w:rPr>
        <w:fldChar w:fldCharType="end"/>
      </w:r>
      <w:r w:rsidR="00FF5DB0" w:rsidRPr="00E70281">
        <w:rPr>
          <w:color w:val="auto"/>
        </w:rPr>
        <w:t xml:space="preserve"> </w:t>
      </w:r>
      <w:r w:rsidR="00FF5DB0" w:rsidRPr="00E70281">
        <w:rPr>
          <w:color w:val="auto"/>
        </w:rPr>
        <w:fldChar w:fldCharType="begin" w:fldLock="1"/>
      </w:r>
      <w:r w:rsidR="00233E49" w:rsidRPr="00E70281">
        <w:rPr>
          <w:color w:val="auto"/>
        </w:rPr>
        <w:instrText>ADDIN CSL_CITATION {"citationItems":[{"id":"ITEM-1","itemData":{"DOI":"10.1021/acs.iecr.6b02178","ISSN":"0888-5885","author":[{"dropping-particle":"","family":"Chi","given":"Shenghua","non-dropping-particle":"","parse-names":false,"suffix":""},{"dropping-particle":"","family":"Ji","given":"Chunnuan","non-dropping-particle":"","parse-names":false,"suffix":""},{"dropping-particle":"","family":"Sun","given":"Suwen","non-dropping-particle":"","parse-names":false,"suffix":""},{"dropping-particle":"","family":"Jiang","given":"Hua","non-dropping-particle":"","parse-names":false,"suffix":""},{"dropping-particle":"","family":"Qu","given":"Rongjun","non-dropping-particle":"","parse-names":false,"suffix":""},{"dropping-particle":"","family":"Sun","given":"Changmei","non-dropping-particle":"","parse-names":false,"suffix":""}],"container-title":"Industrial &amp; Engineering Chemistry Research","id":"ITEM-1","issue":"46","issued":{"date-parts":[["2016"]]},"page":"12060-12067","title":"Magnetically Separated meso-g-C3N4/Fe3O4: Bifuctional Composites for Removal of Arsenite by Simultaneous Visible-Light Catalysis and Adsorption","type":"article-journal","volume":"55"},"uris":["http://www.mendeley.com/documents/?uuid=3fa2779d-880c-4e1a-a9ff-f5064c3e02af"]}],"mendeley":{"formattedCitation":"&lt;sup&gt;5&lt;/sup&gt;","plainTextFormattedCitation":"5","previouslyFormattedCitation":"&lt;sup&gt;5&lt;/sup&gt;"},"properties":{"noteIndex":0},"schema":"https://github.com/citation-style-language/schema/raw/master/csl-citation.json"}</w:instrText>
      </w:r>
      <w:r w:rsidR="00FF5DB0" w:rsidRPr="00E70281">
        <w:rPr>
          <w:color w:val="auto"/>
        </w:rPr>
        <w:fldChar w:fldCharType="separate"/>
      </w:r>
      <w:r w:rsidR="00C010E0" w:rsidRPr="00E70281">
        <w:rPr>
          <w:noProof/>
          <w:color w:val="auto"/>
          <w:vertAlign w:val="superscript"/>
        </w:rPr>
        <w:t>5</w:t>
      </w:r>
      <w:r w:rsidR="00FF5DB0" w:rsidRPr="00E70281">
        <w:rPr>
          <w:color w:val="auto"/>
        </w:rPr>
        <w:fldChar w:fldCharType="end"/>
      </w:r>
      <w:r w:rsidR="00DD63C6" w:rsidRPr="00E70281">
        <w:rPr>
          <w:color w:val="auto"/>
        </w:rPr>
        <w:t xml:space="preserve">. </w:t>
      </w:r>
      <w:r w:rsidR="000C329B" w:rsidRPr="00E70281">
        <w:rPr>
          <w:color w:val="FF0000"/>
        </w:rPr>
        <w:t xml:space="preserve">Energy input </w:t>
      </w:r>
      <w:r w:rsidR="00FE3E6C" w:rsidRPr="00E70281">
        <w:rPr>
          <w:color w:val="FF0000"/>
        </w:rPr>
        <w:t xml:space="preserve">typically forms about one third of water treatment plant operation costs </w:t>
      </w:r>
      <w:r w:rsidR="00FE3E6C" w:rsidRPr="00E70281">
        <w:rPr>
          <w:color w:val="FF0000"/>
        </w:rPr>
        <w:fldChar w:fldCharType="begin" w:fldLock="1"/>
      </w:r>
      <w:r w:rsidR="00467736" w:rsidRPr="00E70281">
        <w:rPr>
          <w:color w:val="FF0000"/>
        </w:rPr>
        <w:instrText>ADDIN CSL_CITATION {"citationItems":[{"id":"ITEM-1","itemData":{"DOI":"10.1002/gch2.201600016","ISSN":"2056-6646","abstract":"This review seeks to provide a better understanding of energy used in the urban water system in China. Electricity is a major contributor to the environmental impact of water supply and wastewater treatment, particularly in countries like China where electricity is largely generated using coal and has a significant impact on greenhouse gas emissions. Electricity use can also constitute one of the main costs for water and wastewater companies. China is an important country for the study of energy for water, particularly in urban areas where population is rapidly increasing. China's daily wastewater treatment capacity has increased dramatically over the last decade and a half, and energy use for both wastewater treatment and potable water supply has grown significantly. This paper deals with the challenge of energy for water in China. It reviews the growing body of work on energy for conventional water supply and wastewater treatment in urban China. The review covers energy for all parts of conventional water supply and wastewater treatment, including energy for sourcing, treating and distributing groundwater and surface water, and energy for primary and secondary treatment and sludge treatment and disposal.","author":[{"dropping-particle":"","family":"Smith","given":"Kate","non-dropping-particle":"","parse-names":false,"suffix":""},{"dropping-particle":"","family":"Liu","given":"Shuming","non-dropping-particle":"","parse-names":false,"suffix":""}],"container-title":"Global Challenges","id":"ITEM-1","issue":"5","issued":{"date-parts":[["2017"]]},"page":"1600016","title":"Energy for Conventional Water Supply and Wastewater Treatment in Urban China: A Review","type":"article-journal","volume":"1"},"uris":["http://www.mendeley.com/documents/?uuid=91233259-0c7b-40d7-87a2-9606251ccad6"]}],"mendeley":{"formattedCitation":"&lt;sup&gt;6&lt;/sup&gt;","plainTextFormattedCitation":"6","previouslyFormattedCitation":"&lt;sup&gt;6&lt;/sup&gt;"},"properties":{"noteIndex":0},"schema":"https://github.com/citation-style-language/schema/raw/master/csl-citation.json"}</w:instrText>
      </w:r>
      <w:r w:rsidR="00FE3E6C" w:rsidRPr="00E70281">
        <w:rPr>
          <w:color w:val="FF0000"/>
        </w:rPr>
        <w:fldChar w:fldCharType="separate"/>
      </w:r>
      <w:r w:rsidR="00FE3E6C" w:rsidRPr="00E70281">
        <w:rPr>
          <w:noProof/>
          <w:color w:val="FF0000"/>
          <w:vertAlign w:val="superscript"/>
        </w:rPr>
        <w:t>6</w:t>
      </w:r>
      <w:r w:rsidR="00FE3E6C" w:rsidRPr="00E70281">
        <w:rPr>
          <w:color w:val="FF0000"/>
        </w:rPr>
        <w:fldChar w:fldCharType="end"/>
      </w:r>
      <w:r w:rsidR="000C329B" w:rsidRPr="00E70281">
        <w:rPr>
          <w:color w:val="auto"/>
        </w:rPr>
        <w:t>, and if energy efficiencies are to be improved then accurate models of adsorption kinetics</w:t>
      </w:r>
      <w:r w:rsidR="00E625AB" w:rsidRPr="00E70281">
        <w:rPr>
          <w:color w:val="auto"/>
        </w:rPr>
        <w:t xml:space="preserve"> (including rate constants)</w:t>
      </w:r>
      <w:r w:rsidR="00DD63C6" w:rsidRPr="00E70281">
        <w:rPr>
          <w:color w:val="auto"/>
        </w:rPr>
        <w:t xml:space="preserve"> </w:t>
      </w:r>
      <w:r w:rsidR="000C329B" w:rsidRPr="00E70281">
        <w:rPr>
          <w:color w:val="auto"/>
        </w:rPr>
        <w:t>are</w:t>
      </w:r>
      <w:r w:rsidR="00DD63C6" w:rsidRPr="00E70281">
        <w:rPr>
          <w:color w:val="auto"/>
        </w:rPr>
        <w:t xml:space="preserve"> </w:t>
      </w:r>
      <w:r w:rsidR="000C329B" w:rsidRPr="00E70281">
        <w:rPr>
          <w:color w:val="auto"/>
        </w:rPr>
        <w:t>needed</w:t>
      </w:r>
      <w:r w:rsidR="00DD63C6" w:rsidRPr="00E70281">
        <w:rPr>
          <w:color w:val="auto"/>
        </w:rPr>
        <w:t xml:space="preserve"> </w:t>
      </w:r>
      <w:r w:rsidR="00E625AB" w:rsidRPr="00E70281">
        <w:rPr>
          <w:color w:val="auto"/>
        </w:rPr>
        <w:t>to (a)</w:t>
      </w:r>
      <w:r w:rsidR="000C329B" w:rsidRPr="00E70281">
        <w:rPr>
          <w:color w:val="auto"/>
        </w:rPr>
        <w:t xml:space="preserve"> identify</w:t>
      </w:r>
      <w:r w:rsidR="00DD63C6" w:rsidRPr="00E70281">
        <w:rPr>
          <w:color w:val="auto"/>
        </w:rPr>
        <w:t xml:space="preserve"> the minimum </w:t>
      </w:r>
      <w:r w:rsidR="004737F3" w:rsidRPr="00E70281">
        <w:rPr>
          <w:color w:val="FF0000"/>
        </w:rPr>
        <w:t xml:space="preserve">mixing </w:t>
      </w:r>
      <w:r w:rsidR="009868F2" w:rsidRPr="00E70281">
        <w:rPr>
          <w:color w:val="FF0000"/>
        </w:rPr>
        <w:t>time</w:t>
      </w:r>
      <w:r w:rsidR="00DD63C6" w:rsidRPr="00E70281">
        <w:rPr>
          <w:color w:val="FF0000"/>
        </w:rPr>
        <w:t xml:space="preserve"> </w:t>
      </w:r>
      <w:r w:rsidR="007A5C1B" w:rsidRPr="00E70281">
        <w:rPr>
          <w:color w:val="FF0000"/>
        </w:rPr>
        <w:t>necessary</w:t>
      </w:r>
      <w:r w:rsidR="00DD63C6" w:rsidRPr="00E70281">
        <w:rPr>
          <w:color w:val="FF0000"/>
        </w:rPr>
        <w:t xml:space="preserve"> </w:t>
      </w:r>
      <w:r w:rsidR="00DD63C6" w:rsidRPr="00E70281">
        <w:rPr>
          <w:color w:val="auto"/>
        </w:rPr>
        <w:t xml:space="preserve">for batch treatments and </w:t>
      </w:r>
      <w:r w:rsidR="00E625AB" w:rsidRPr="00E70281">
        <w:rPr>
          <w:color w:val="auto"/>
        </w:rPr>
        <w:t xml:space="preserve">(b) </w:t>
      </w:r>
      <w:r w:rsidR="00D47C4C" w:rsidRPr="00E70281">
        <w:rPr>
          <w:color w:val="auto"/>
        </w:rPr>
        <w:t>estimate</w:t>
      </w:r>
      <w:r w:rsidR="00DD63C6" w:rsidRPr="00E70281">
        <w:rPr>
          <w:color w:val="auto"/>
        </w:rPr>
        <w:t xml:space="preserve"> maximum flow rates for column or continuous-flow treatments</w:t>
      </w:r>
      <w:r w:rsidR="00CF348C" w:rsidRPr="00E70281">
        <w:rPr>
          <w:color w:val="auto"/>
        </w:rPr>
        <w:t xml:space="preserve"> </w:t>
      </w:r>
      <w:r w:rsidR="00CF348C" w:rsidRPr="00E70281">
        <w:rPr>
          <w:color w:val="auto"/>
        </w:rPr>
        <w:fldChar w:fldCharType="begin" w:fldLock="1"/>
      </w:r>
      <w:r w:rsidR="0008043E" w:rsidRPr="00E70281">
        <w:rPr>
          <w:color w:val="auto"/>
        </w:rPr>
        <w:instrText>ADDIN CSL_CITATION {"citationItems":[{"id":"ITEM-1","itemData":{"DOI":"10.1021/acs.iecr.5b02350","ISSN":"15205045","abstract":"© 2015 American Chemical Society.Newly emerged nanomaterials, such as graphene or carbon nanotubes, are of increasingly widespread importance in environmental remediation, especially in their ability to remove undesirable chemicals from hydrological systems. Despite recent advances, the high cost of these materials and the relative inability to regenerate them hinders their use at larger scales. Although it is commonly held that adsorption in fixed bed processes is more efficient than in batch processes, the definition of efficiency needs to be examined closely. In this paper, we show that there exists a critical effluent concentration above which batch processes are more efficient than fixed bed processes from this perspective. This work proposes a simple method to choose either batch or fixed bed processes when the goal is to minimize the quantity of adsorbent needed to remove contaminants to below a specified threshold level. It also provides a systematic set of self-consistency checks on experimental measurements that may be used for comparative studies of these methods.","author":[{"dropping-particle":"","family":"Dichiara","given":"Anthony B.","non-dropping-particle":"","parse-names":false,"suffix":""},{"dropping-particle":"","family":"Weinstein","given":"Steven J.","non-dropping-particle":"","parse-names":false,"suffix":""},{"dropping-particle":"","family":"Rogers","given":"Reginald E.","non-dropping-particle":"","parse-names":false,"suffix":""}],"container-title":"Industrial and Engineering Chemistry Research","id":"ITEM-1","issue":"34","issued":{"date-parts":[["2015"]]},"page":"8579-8586","title":"On the Choice of Batch or Fixed Bed Adsorption Processes for Wastewater Treatment","type":"article-journal","volume":"54"},"uris":["http://www.mendeley.com/documents/?uuid=11f82229-d7c5-4da6-9b90-b6763830465b"]}],"mendeley":{"formattedCitation":"&lt;sup&gt;7&lt;/sup&gt;","plainTextFormattedCitation":"7","previouslyFormattedCitation":"&lt;sup&gt;7&lt;/sup&gt;"},"properties":{"noteIndex":0},"schema":"https://github.com/citation-style-language/schema/raw/master/csl-citation.json"}</w:instrText>
      </w:r>
      <w:r w:rsidR="00CF348C" w:rsidRPr="00E70281">
        <w:rPr>
          <w:color w:val="auto"/>
        </w:rPr>
        <w:fldChar w:fldCharType="separate"/>
      </w:r>
      <w:r w:rsidR="0008043E" w:rsidRPr="00E70281">
        <w:rPr>
          <w:noProof/>
          <w:color w:val="auto"/>
          <w:vertAlign w:val="superscript"/>
        </w:rPr>
        <w:t>7</w:t>
      </w:r>
      <w:r w:rsidR="00CF348C" w:rsidRPr="00E70281">
        <w:rPr>
          <w:color w:val="auto"/>
        </w:rPr>
        <w:fldChar w:fldCharType="end"/>
      </w:r>
      <w:r w:rsidR="00DD63C6" w:rsidRPr="00E70281">
        <w:rPr>
          <w:color w:val="auto"/>
        </w:rPr>
        <w:t xml:space="preserve">. </w:t>
      </w:r>
      <w:r w:rsidR="00E625AB" w:rsidRPr="00E70281">
        <w:rPr>
          <w:color w:val="auto"/>
        </w:rPr>
        <w:t>L</w:t>
      </w:r>
      <w:r w:rsidR="00DD63C6" w:rsidRPr="00E70281">
        <w:rPr>
          <w:color w:val="auto"/>
        </w:rPr>
        <w:t xml:space="preserve">aboratory experiments can only </w:t>
      </w:r>
      <w:r w:rsidR="00E625AB" w:rsidRPr="00E70281">
        <w:rPr>
          <w:color w:val="auto"/>
        </w:rPr>
        <w:t>partially capture the</w:t>
      </w:r>
      <w:r w:rsidR="00DD63C6" w:rsidRPr="00E70281">
        <w:rPr>
          <w:color w:val="auto"/>
        </w:rPr>
        <w:t xml:space="preserve"> environments in which </w:t>
      </w:r>
      <w:r w:rsidR="007D0E86" w:rsidRPr="00E70281">
        <w:rPr>
          <w:color w:val="auto"/>
        </w:rPr>
        <w:t>new</w:t>
      </w:r>
      <w:r w:rsidR="00FF726D" w:rsidRPr="00E70281">
        <w:rPr>
          <w:color w:val="auto"/>
        </w:rPr>
        <w:t xml:space="preserve"> adsorbent</w:t>
      </w:r>
      <w:r w:rsidR="00DD63C6" w:rsidRPr="00E70281">
        <w:rPr>
          <w:color w:val="auto"/>
        </w:rPr>
        <w:t>s will operat</w:t>
      </w:r>
      <w:r w:rsidR="007D0E86" w:rsidRPr="00E70281">
        <w:rPr>
          <w:color w:val="auto"/>
        </w:rPr>
        <w:t>e</w:t>
      </w:r>
      <w:r w:rsidR="000C329B" w:rsidRPr="00E70281">
        <w:rPr>
          <w:color w:val="auto"/>
        </w:rPr>
        <w:t xml:space="preserve">, </w:t>
      </w:r>
      <w:r w:rsidR="00D4382B" w:rsidRPr="00E70281">
        <w:rPr>
          <w:color w:val="auto"/>
        </w:rPr>
        <w:t>and in practice</w:t>
      </w:r>
      <w:r w:rsidR="004E321B" w:rsidRPr="00E70281">
        <w:rPr>
          <w:color w:val="auto"/>
        </w:rPr>
        <w:t xml:space="preserve"> </w:t>
      </w:r>
      <w:r w:rsidR="000C329B" w:rsidRPr="00E70281">
        <w:rPr>
          <w:color w:val="auto"/>
        </w:rPr>
        <w:t>different concentrations of adsorbent (C</w:t>
      </w:r>
      <w:r w:rsidR="000C329B" w:rsidRPr="00E70281">
        <w:rPr>
          <w:color w:val="auto"/>
          <w:vertAlign w:val="subscript"/>
        </w:rPr>
        <w:t>s</w:t>
      </w:r>
      <w:r w:rsidR="000C329B" w:rsidRPr="00E70281">
        <w:rPr>
          <w:color w:val="auto"/>
        </w:rPr>
        <w:t>) will be needed to treat different concentrations of contaminant</w:t>
      </w:r>
      <w:r w:rsidR="00D4382B" w:rsidRPr="00E70281">
        <w:rPr>
          <w:color w:val="auto"/>
        </w:rPr>
        <w:t xml:space="preserve"> in the influent</w:t>
      </w:r>
      <w:r w:rsidR="000C329B" w:rsidRPr="00E70281">
        <w:rPr>
          <w:color w:val="auto"/>
        </w:rPr>
        <w:t xml:space="preserve"> (C</w:t>
      </w:r>
      <w:r w:rsidR="000C329B" w:rsidRPr="00E70281">
        <w:rPr>
          <w:color w:val="auto"/>
          <w:vertAlign w:val="subscript"/>
        </w:rPr>
        <w:t>0</w:t>
      </w:r>
      <w:r w:rsidR="00D4382B" w:rsidRPr="00E70281">
        <w:rPr>
          <w:color w:val="auto"/>
        </w:rPr>
        <w:t>)</w:t>
      </w:r>
      <w:r w:rsidR="000C329B" w:rsidRPr="00E70281">
        <w:rPr>
          <w:color w:val="auto"/>
        </w:rPr>
        <w:t xml:space="preserve">. It </w:t>
      </w:r>
      <w:r w:rsidR="00DD63C6" w:rsidRPr="00E70281">
        <w:rPr>
          <w:color w:val="auto"/>
        </w:rPr>
        <w:t xml:space="preserve">is thus </w:t>
      </w:r>
      <w:r w:rsidR="00E625AB" w:rsidRPr="00E70281">
        <w:rPr>
          <w:color w:val="auto"/>
        </w:rPr>
        <w:t xml:space="preserve">important that </w:t>
      </w:r>
      <w:r w:rsidR="000C329B" w:rsidRPr="00E70281">
        <w:rPr>
          <w:color w:val="auto"/>
        </w:rPr>
        <w:t>adsorption models</w:t>
      </w:r>
      <w:r w:rsidR="004E321B" w:rsidRPr="00E70281">
        <w:rPr>
          <w:color w:val="auto"/>
        </w:rPr>
        <w:t xml:space="preserve"> are made sensitive to operating conditions</w:t>
      </w:r>
      <w:r w:rsidR="00D4382B" w:rsidRPr="00E70281">
        <w:rPr>
          <w:color w:val="auto"/>
        </w:rPr>
        <w:t>, providing predictive capabilities</w:t>
      </w:r>
      <w:r w:rsidR="004E321B" w:rsidRPr="00E70281">
        <w:rPr>
          <w:color w:val="auto"/>
        </w:rPr>
        <w:t xml:space="preserve">. </w:t>
      </w:r>
    </w:p>
    <w:p w14:paraId="30E326DC" w14:textId="5EBDA828" w:rsidR="00A85AA0" w:rsidRPr="00E70281" w:rsidRDefault="00CF6C48" w:rsidP="00A85AA0">
      <w:pPr>
        <w:rPr>
          <w:color w:val="auto"/>
        </w:rPr>
      </w:pPr>
      <w:r w:rsidRPr="00E70281">
        <w:rPr>
          <w:color w:val="FF0000"/>
        </w:rPr>
        <w:t>Currently</w:t>
      </w:r>
      <w:r w:rsidRPr="00E70281">
        <w:rPr>
          <w:color w:val="auto"/>
        </w:rPr>
        <w:t>, t</w:t>
      </w:r>
      <w:r w:rsidR="00F8403A" w:rsidRPr="00E70281">
        <w:rPr>
          <w:color w:val="auto"/>
        </w:rPr>
        <w:t>he</w:t>
      </w:r>
      <w:r w:rsidR="00A85AA0" w:rsidRPr="00E70281">
        <w:rPr>
          <w:color w:val="auto"/>
        </w:rPr>
        <w:t xml:space="preserve"> p</w:t>
      </w:r>
      <w:r w:rsidR="0001230D">
        <w:rPr>
          <w:color w:val="auto"/>
        </w:rPr>
        <w:t>seudo-second order</w:t>
      </w:r>
      <w:r w:rsidR="00A85AA0" w:rsidRPr="00E70281">
        <w:rPr>
          <w:color w:val="auto"/>
        </w:rPr>
        <w:t xml:space="preserve"> (PSO) rate equation</w:t>
      </w:r>
      <w:r w:rsidR="0008043E" w:rsidRPr="00E70281">
        <w:rPr>
          <w:color w:val="auto"/>
        </w:rPr>
        <w:t xml:space="preserve"> </w:t>
      </w:r>
      <w:r w:rsidR="0008043E" w:rsidRPr="00E70281">
        <w:rPr>
          <w:color w:val="auto"/>
        </w:rPr>
        <w:fldChar w:fldCharType="begin" w:fldLock="1"/>
      </w:r>
      <w:r w:rsidR="00D02D2A" w:rsidRPr="00E70281">
        <w:rPr>
          <w:color w:val="auto"/>
        </w:rPr>
        <w:instrText>ADDIN CSL_CITATION {"citationItems":[{"id":"ITEM-1","itemData":{"DOI":"10.1016/0043-1354(84)90124-6","ISSN":"00431354","abstract":"The natural zeolite clinoptilolite can be used as an ion exchanger for the removal of ammonium ions from drinking waters. These waters may also contain small amounts of heavy metals. The retention possibilities of these cations by the zeolite are presented. The study of the selectivity of the Na-exchanged clinoptilolite in presence of ammonium ions has been achieved by plotting the exchange isotherms relative to the various cations. This leads to the following order of decreasing efficiency of the zeolite. © 1984.","author":[{"dropping-particle":"","family":"Blanchard","given":"G.","non-dropping-particle":"","parse-names":false,"suffix":""},{"dropping-particle":"","family":"Maunaye","given":"M.","non-dropping-particle":"","parse-names":false,"suffix":""},{"dropping-particle":"","family":"Martin","given":"G.","non-dropping-particle":"","parse-names":false,"suffix":""}],"container-title":"Water Research","id":"ITEM-1","issue":"12","issued":{"date-parts":[["1984"]]},"page":"1501-1507","title":"Removal of heavy metals from waters by means of natural zeolites","type":"article-journal","volume":"18"},"uris":["http://www.mendeley.com/documents/?uuid=fa9d5929-fdab-4bb7-ba96-b79064b7ea77"]}],"mendeley":{"formattedCitation":"&lt;sup&gt;8&lt;/sup&gt;","plainTextFormattedCitation":"8","previouslyFormattedCitation":"&lt;sup&gt;8&lt;/sup&gt;"},"properties":{"noteIndex":0},"schema":"https://github.com/citation-style-language/schema/raw/master/csl-citation.json"}</w:instrText>
      </w:r>
      <w:r w:rsidR="0008043E" w:rsidRPr="00E70281">
        <w:rPr>
          <w:color w:val="auto"/>
        </w:rPr>
        <w:fldChar w:fldCharType="separate"/>
      </w:r>
      <w:r w:rsidR="0008043E" w:rsidRPr="00E70281">
        <w:rPr>
          <w:noProof/>
          <w:color w:val="auto"/>
          <w:vertAlign w:val="superscript"/>
        </w:rPr>
        <w:t>8</w:t>
      </w:r>
      <w:r w:rsidR="0008043E" w:rsidRPr="00E70281">
        <w:rPr>
          <w:color w:val="auto"/>
        </w:rPr>
        <w:fldChar w:fldCharType="end"/>
      </w:r>
      <w:r w:rsidR="00C25D58" w:rsidRPr="00E70281">
        <w:rPr>
          <w:color w:val="auto"/>
        </w:rPr>
        <w:t>,</w:t>
      </w:r>
      <w:r w:rsidR="005965D3" w:rsidRPr="00E70281">
        <w:rPr>
          <w:color w:val="auto"/>
        </w:rPr>
        <w:t xml:space="preserve"> </w:t>
      </w:r>
      <w:r w:rsidR="00250B66" w:rsidRPr="00E70281">
        <w:rPr>
          <w:color w:val="auto"/>
        </w:rPr>
        <w:t>popularised</w:t>
      </w:r>
      <w:r w:rsidR="00233E49" w:rsidRPr="00E70281">
        <w:rPr>
          <w:color w:val="auto"/>
        </w:rPr>
        <w:t xml:space="preserve"> by </w:t>
      </w:r>
      <w:proofErr w:type="spellStart"/>
      <w:r w:rsidR="00233E49" w:rsidRPr="00E70281">
        <w:rPr>
          <w:color w:val="auto"/>
        </w:rPr>
        <w:t>Ho</w:t>
      </w:r>
      <w:proofErr w:type="spellEnd"/>
      <w:r w:rsidR="00233E49" w:rsidRPr="00E70281">
        <w:rPr>
          <w:color w:val="auto"/>
        </w:rPr>
        <w:t xml:space="preserve"> and M</w:t>
      </w:r>
      <w:r w:rsidR="00D4382B" w:rsidRPr="00E70281">
        <w:rPr>
          <w:color w:val="auto"/>
        </w:rPr>
        <w:t>cK</w:t>
      </w:r>
      <w:r w:rsidR="005965D3" w:rsidRPr="00E70281">
        <w:rPr>
          <w:color w:val="auto"/>
        </w:rPr>
        <w:t>ay</w:t>
      </w:r>
      <w:r w:rsidR="00C25D58" w:rsidRPr="00E70281">
        <w:rPr>
          <w:color w:val="auto"/>
        </w:rPr>
        <w:t xml:space="preserve"> (1999)</w:t>
      </w:r>
      <w:r w:rsidR="00233E49" w:rsidRPr="00E70281">
        <w:rPr>
          <w:color w:val="auto"/>
        </w:rPr>
        <w:t xml:space="preserve"> </w:t>
      </w:r>
      <w:r w:rsidR="00233E49" w:rsidRPr="00E70281">
        <w:rPr>
          <w:color w:val="auto"/>
        </w:rPr>
        <w:fldChar w:fldCharType="begin" w:fldLock="1"/>
      </w:r>
      <w:r w:rsidR="00D02D2A" w:rsidRPr="00E70281">
        <w:rPr>
          <w:color w:val="auto"/>
        </w:rPr>
        <w:instrText>ADDIN CSL_CITATION {"citationItems":[{"id":"ITEM-1","itemData":{"DOI":"10.1016/S0032-9592(98)00112-5","ISSN":"13595113","abstract":"A literature review of the use of sorbents and biosorbents to treat polluted aqueous effluents containing dyes/organics or metal ions has been conducted. Over 70 systems have been reported since 1984 and over 43 of these reported the mechanism as being a pseudo-first order kinetic mechanism. Three sorption kinetic models are presented in this paper and have been used to test 11 of the literature systems previously reported as first order kinetics and one system previously reported as a second order process. In all 12 systems, the highest correlation coefficients were obtained for the pseudo- second order kinetic model.","author":[{"dropping-particle":"","family":"Ho","given":"Y S","non-dropping-particle":"","parse-names":false,"suffix":""},{"dropping-particle":"","family":"McKay","given":"G.","non-dropping-particle":"","parse-names":false,"suffix":""}],"container-title":"Process Biochemistry","id":"ITEM-1","issue":"5","issued":{"date-parts":[["1999"]]},"page":"451-465","title":"Pseudo-second order model for sorption processes","type":"article-journal","volume":"34"},"uris":["http://www.mendeley.com/documents/?uuid=1a9fc2b7-7b73-47e3-95f3-f7b4bc9c0c6f"]}],"mendeley":{"formattedCitation":"&lt;sup&gt;9&lt;/sup&gt;","plainTextFormattedCitation":"9","previouslyFormattedCitation":"&lt;sup&gt;9&lt;/sup&gt;"},"properties":{"noteIndex":0},"schema":"https://github.com/citation-style-language/schema/raw/master/csl-citation.json"}</w:instrText>
      </w:r>
      <w:r w:rsidR="00233E49" w:rsidRPr="00E70281">
        <w:rPr>
          <w:color w:val="auto"/>
        </w:rPr>
        <w:fldChar w:fldCharType="separate"/>
      </w:r>
      <w:r w:rsidR="0008043E" w:rsidRPr="00E70281">
        <w:rPr>
          <w:noProof/>
          <w:color w:val="auto"/>
          <w:vertAlign w:val="superscript"/>
        </w:rPr>
        <w:t>9</w:t>
      </w:r>
      <w:r w:rsidR="00233E49" w:rsidRPr="00E70281">
        <w:rPr>
          <w:color w:val="auto"/>
        </w:rPr>
        <w:fldChar w:fldCharType="end"/>
      </w:r>
      <w:r w:rsidR="00C25D58" w:rsidRPr="00E70281">
        <w:rPr>
          <w:color w:val="auto"/>
        </w:rPr>
        <w:t>,</w:t>
      </w:r>
      <w:r w:rsidR="00A85AA0" w:rsidRPr="00E70281">
        <w:rPr>
          <w:color w:val="auto"/>
        </w:rPr>
        <w:t xml:space="preserve"> is </w:t>
      </w:r>
      <w:r w:rsidR="00274638" w:rsidRPr="00E70281">
        <w:rPr>
          <w:color w:val="auto"/>
        </w:rPr>
        <w:t>probably</w:t>
      </w:r>
      <w:r w:rsidR="00A85AA0" w:rsidRPr="00E70281">
        <w:rPr>
          <w:color w:val="auto"/>
        </w:rPr>
        <w:t xml:space="preserve"> the </w:t>
      </w:r>
      <w:r w:rsidR="00E80723" w:rsidRPr="00E70281">
        <w:rPr>
          <w:color w:val="FF0000"/>
        </w:rPr>
        <w:t>most widely used</w:t>
      </w:r>
      <w:r w:rsidR="00E80723" w:rsidRPr="00E70281">
        <w:rPr>
          <w:color w:val="FF0000"/>
        </w:rPr>
        <w:t xml:space="preserve"> model </w:t>
      </w:r>
      <w:r w:rsidR="00E80723" w:rsidRPr="00E70281">
        <w:rPr>
          <w:color w:val="auto"/>
        </w:rPr>
        <w:t>for</w:t>
      </w:r>
      <w:r w:rsidR="00A85AA0" w:rsidRPr="00E70281">
        <w:rPr>
          <w:color w:val="auto"/>
        </w:rPr>
        <w:t xml:space="preserve"> adsorption kinetics</w:t>
      </w:r>
      <w:r w:rsidR="00E80723" w:rsidRPr="00E70281">
        <w:rPr>
          <w:color w:val="auto"/>
        </w:rPr>
        <w:t xml:space="preserve"> </w:t>
      </w:r>
      <w:r w:rsidR="00A85AA0" w:rsidRPr="00E70281">
        <w:rPr>
          <w:color w:val="auto"/>
        </w:rPr>
        <w:fldChar w:fldCharType="begin" w:fldLock="1"/>
      </w:r>
      <w:r w:rsidR="00D02D2A" w:rsidRPr="00E70281">
        <w:rPr>
          <w:color w:val="auto"/>
        </w:rPr>
        <w:instrText>ADDIN CSL_CITATION {"citationItems":[{"id":"ITEM-1","itemData":{"DOI":"10.1016/j.cej.2016.04.079","ISSN":"13858947","abstract":"In most works in the current literature about liquid/solid adsorption kinetics, the respective abilities of pseudo-first order and pseudo-second kinetics for describing the data are compared. In nearly all cases, it is concluded that the latter surpasses the former. The aim of this work is to point out that more caution should be exercised in this comparison. Indeed, it appears that the method generally used is flawed and that it unfairly favors pseudo-second order kinetics. A different method is proposed to analyze experimental results. It is employed here to reexamine experimental data taken from the literature.","author":[{"dropping-particle":"","family":"Simonin","given":"Jean Pierre","non-dropping-particle":"","parse-names":false,"suffix":""}],"container-title":"Chemical Engineering Journal","id":"ITEM-1","issued":{"date-parts":[["2016"]]},"page":"254-263","publisher":"Elsevier B.V.","title":"On the comparison of pseudo-first order and pseudo-second order rate laws in the modeling of adsorption kinetics","type":"article-journal","volume":"300"},"uris":["http://www.mendeley.com/documents/?uuid=9ff183f8-c1b6-4134-ae25-3cd6b37f44df"]}],"mendeley":{"formattedCitation":"&lt;sup&gt;10&lt;/sup&gt;","plainTextFormattedCitation":"10","previouslyFormattedCitation":"&lt;sup&gt;10&lt;/sup&gt;"},"properties":{"noteIndex":0},"schema":"https://github.com/citation-style-language/schema/raw/master/csl-citation.json"}</w:instrText>
      </w:r>
      <w:r w:rsidR="00A85AA0" w:rsidRPr="00E70281">
        <w:rPr>
          <w:color w:val="auto"/>
        </w:rPr>
        <w:fldChar w:fldCharType="separate"/>
      </w:r>
      <w:r w:rsidR="0008043E" w:rsidRPr="00E70281">
        <w:rPr>
          <w:noProof/>
          <w:color w:val="auto"/>
          <w:vertAlign w:val="superscript"/>
        </w:rPr>
        <w:t>10</w:t>
      </w:r>
      <w:r w:rsidR="00A85AA0" w:rsidRPr="00E70281">
        <w:rPr>
          <w:color w:val="auto"/>
        </w:rPr>
        <w:fldChar w:fldCharType="end"/>
      </w:r>
      <w:r w:rsidR="00A85AA0" w:rsidRPr="00E70281">
        <w:rPr>
          <w:color w:val="auto"/>
        </w:rPr>
        <w:t>.</w:t>
      </w:r>
      <w:r w:rsidR="00731DFC" w:rsidRPr="00E70281">
        <w:rPr>
          <w:color w:val="auto"/>
        </w:rPr>
        <w:t xml:space="preserve"> </w:t>
      </w:r>
      <w:r w:rsidR="00A85AA0" w:rsidRPr="00E70281">
        <w:rPr>
          <w:color w:val="auto"/>
        </w:rPr>
        <w:t>The P</w:t>
      </w:r>
      <w:r w:rsidR="00962AB2" w:rsidRPr="00E70281">
        <w:rPr>
          <w:color w:val="auto"/>
        </w:rPr>
        <w:t>SO rate equation takes the form:</w:t>
      </w:r>
    </w:p>
    <w:bookmarkStart w:id="0" w:name="_Ref21541941"/>
    <w:p w14:paraId="1556817E" w14:textId="475B1A28" w:rsidR="00A85AA0" w:rsidRPr="00E70281" w:rsidRDefault="00474213" w:rsidP="002D3C4F">
      <w:pPr>
        <w:pStyle w:val="Caption"/>
        <w:jc w:val="center"/>
        <w:rPr>
          <w:rFonts w:cstheme="minorHAnsi"/>
          <w:i w:val="0"/>
          <w:color w:val="auto"/>
          <w:sz w:val="22"/>
          <w:szCs w:val="22"/>
        </w:rPr>
      </w:pPr>
      <m:oMathPara>
        <m:oMath>
          <m:f>
            <m:fPr>
              <m:ctrlPr>
                <w:rPr>
                  <w:rFonts w:ascii="Cambria Math" w:hAnsi="Cambria Math" w:cstheme="minorHAnsi"/>
                  <w:i w:val="0"/>
                  <w:color w:val="auto"/>
                  <w:sz w:val="22"/>
                  <w:szCs w:val="22"/>
                </w:rPr>
              </m:ctrlPr>
            </m:fPr>
            <m:num>
              <m:sSub>
                <m:sSubPr>
                  <m:ctrlPr>
                    <w:rPr>
                      <w:rFonts w:ascii="Cambria Math" w:hAnsi="Cambria Math" w:cstheme="minorHAnsi"/>
                      <w:i w:val="0"/>
                      <w:color w:val="auto"/>
                      <w:sz w:val="22"/>
                      <w:szCs w:val="22"/>
                    </w:rPr>
                  </m:ctrlPr>
                </m:sSubPr>
                <m:e>
                  <m:r>
                    <w:rPr>
                      <w:rFonts w:ascii="Cambria Math" w:hAnsi="Cambria Math" w:cstheme="minorHAnsi"/>
                      <w:color w:val="auto"/>
                      <w:sz w:val="22"/>
                      <w:szCs w:val="22"/>
                    </w:rPr>
                    <m:t>dq</m:t>
                  </m:r>
                </m:e>
                <m:sub>
                  <m:r>
                    <w:rPr>
                      <w:rFonts w:ascii="Cambria Math" w:hAnsi="Cambria Math" w:cstheme="minorHAnsi"/>
                      <w:color w:val="auto"/>
                      <w:sz w:val="22"/>
                      <w:szCs w:val="22"/>
                    </w:rPr>
                    <m:t>t</m:t>
                  </m:r>
                </m:sub>
              </m:sSub>
            </m:num>
            <m:den>
              <m:r>
                <w:rPr>
                  <w:rFonts w:ascii="Cambria Math" w:hAnsi="Cambria Math" w:cstheme="minorHAnsi"/>
                  <w:color w:val="auto"/>
                  <w:sz w:val="22"/>
                  <w:szCs w:val="22"/>
                </w:rPr>
                <m:t>dt</m:t>
              </m:r>
            </m:den>
          </m:f>
          <m:r>
            <w:rPr>
              <w:rFonts w:ascii="Cambria Math" w:hAnsi="Cambria Math" w:cstheme="minorHAnsi"/>
              <w:color w:val="auto"/>
              <w:sz w:val="22"/>
              <w:szCs w:val="22"/>
            </w:rPr>
            <m:t xml:space="preserve">= </m:t>
          </m:r>
          <m:sSub>
            <m:sSubPr>
              <m:ctrlPr>
                <w:rPr>
                  <w:rFonts w:ascii="Cambria Math" w:hAnsi="Cambria Math" w:cstheme="minorHAnsi"/>
                  <w:i w:val="0"/>
                  <w:color w:val="auto"/>
                  <w:sz w:val="22"/>
                  <w:szCs w:val="22"/>
                </w:rPr>
              </m:ctrlPr>
            </m:sSubPr>
            <m:e>
              <m:r>
                <w:rPr>
                  <w:rFonts w:ascii="Cambria Math" w:hAnsi="Cambria Math" w:cstheme="minorHAnsi"/>
                  <w:color w:val="auto"/>
                  <w:sz w:val="22"/>
                  <w:szCs w:val="22"/>
                </w:rPr>
                <m:t>k</m:t>
              </m:r>
            </m:e>
            <m:sub>
              <m:r>
                <w:rPr>
                  <w:rFonts w:ascii="Cambria Math" w:hAnsi="Cambria Math" w:cstheme="minorHAnsi"/>
                  <w:color w:val="auto"/>
                  <w:sz w:val="22"/>
                  <w:szCs w:val="22"/>
                </w:rPr>
                <m:t>2</m:t>
              </m:r>
            </m:sub>
          </m:sSub>
          <m:sSup>
            <m:sSupPr>
              <m:ctrlPr>
                <w:rPr>
                  <w:rFonts w:ascii="Cambria Math" w:hAnsi="Cambria Math" w:cstheme="minorHAnsi"/>
                  <w:i w:val="0"/>
                  <w:color w:val="auto"/>
                  <w:sz w:val="22"/>
                  <w:szCs w:val="22"/>
                </w:rPr>
              </m:ctrlPr>
            </m:sSupPr>
            <m:e>
              <m:r>
                <w:rPr>
                  <w:rFonts w:ascii="Cambria Math" w:hAnsi="Cambria Math" w:cstheme="minorHAnsi"/>
                  <w:color w:val="auto"/>
                  <w:sz w:val="22"/>
                  <w:szCs w:val="22"/>
                </w:rPr>
                <m:t>(</m:t>
              </m:r>
              <m:sSub>
                <m:sSubPr>
                  <m:ctrlPr>
                    <w:rPr>
                      <w:rFonts w:ascii="Cambria Math" w:hAnsi="Cambria Math" w:cstheme="minorHAnsi"/>
                      <w:i w:val="0"/>
                      <w:color w:val="auto"/>
                      <w:sz w:val="22"/>
                      <w:szCs w:val="22"/>
                    </w:rPr>
                  </m:ctrlPr>
                </m:sSubPr>
                <m:e>
                  <m:r>
                    <w:rPr>
                      <w:rFonts w:ascii="Cambria Math" w:hAnsi="Cambria Math" w:cstheme="minorHAnsi"/>
                      <w:color w:val="auto"/>
                      <w:sz w:val="22"/>
                      <w:szCs w:val="22"/>
                    </w:rPr>
                    <m:t>q</m:t>
                  </m:r>
                </m:e>
                <m:sub>
                  <m:r>
                    <w:rPr>
                      <w:rFonts w:ascii="Cambria Math" w:hAnsi="Cambria Math" w:cstheme="minorHAnsi"/>
                      <w:color w:val="auto"/>
                      <w:sz w:val="22"/>
                      <w:szCs w:val="22"/>
                    </w:rPr>
                    <m:t>e</m:t>
                  </m:r>
                </m:sub>
              </m:sSub>
              <m:r>
                <w:rPr>
                  <w:rFonts w:ascii="Cambria Math" w:hAnsi="Cambria Math" w:cstheme="minorHAnsi"/>
                  <w:color w:val="auto"/>
                  <w:sz w:val="22"/>
                  <w:szCs w:val="22"/>
                </w:rPr>
                <m:t>-</m:t>
              </m:r>
              <m:sSub>
                <m:sSubPr>
                  <m:ctrlPr>
                    <w:rPr>
                      <w:rFonts w:ascii="Cambria Math" w:hAnsi="Cambria Math" w:cstheme="minorHAnsi"/>
                      <w:i w:val="0"/>
                      <w:color w:val="auto"/>
                      <w:sz w:val="22"/>
                      <w:szCs w:val="22"/>
                    </w:rPr>
                  </m:ctrlPr>
                </m:sSubPr>
                <m:e>
                  <m:r>
                    <w:rPr>
                      <w:rFonts w:ascii="Cambria Math" w:hAnsi="Cambria Math" w:cstheme="minorHAnsi"/>
                      <w:color w:val="auto"/>
                      <w:sz w:val="22"/>
                      <w:szCs w:val="22"/>
                    </w:rPr>
                    <m:t>q</m:t>
                  </m:r>
                </m:e>
                <m:sub>
                  <m:r>
                    <w:rPr>
                      <w:rFonts w:ascii="Cambria Math" w:hAnsi="Cambria Math" w:cstheme="minorHAnsi"/>
                      <w:color w:val="auto"/>
                      <w:sz w:val="22"/>
                      <w:szCs w:val="22"/>
                    </w:rPr>
                    <m:t>t</m:t>
                  </m:r>
                </m:sub>
              </m:sSub>
              <m:r>
                <w:rPr>
                  <w:rFonts w:ascii="Cambria Math" w:hAnsi="Cambria Math" w:cstheme="minorHAnsi"/>
                  <w:color w:val="auto"/>
                  <w:sz w:val="22"/>
                  <w:szCs w:val="22"/>
                </w:rPr>
                <m:t>)</m:t>
              </m:r>
            </m:e>
            <m:sup>
              <m:r>
                <w:rPr>
                  <w:rFonts w:ascii="Cambria Math" w:hAnsi="Cambria Math" w:cstheme="minorHAnsi"/>
                  <w:color w:val="auto"/>
                  <w:sz w:val="22"/>
                  <w:szCs w:val="22"/>
                </w:rPr>
                <m:t>2</m:t>
              </m:r>
            </m:sup>
          </m:sSup>
        </m:oMath>
      </m:oMathPara>
    </w:p>
    <w:p w14:paraId="32B281C3" w14:textId="5D1C63DD" w:rsidR="00A85AA0" w:rsidRPr="00E70281" w:rsidRDefault="00A85AA0" w:rsidP="00A85AA0">
      <w:pPr>
        <w:pStyle w:val="Caption"/>
        <w:jc w:val="right"/>
        <w:rPr>
          <w:color w:val="auto"/>
        </w:rPr>
      </w:pPr>
      <w:bookmarkStart w:id="1" w:name="_Ref34128213"/>
      <w:r w:rsidRPr="00E70281">
        <w:rPr>
          <w:color w:val="auto"/>
        </w:rPr>
        <w:t xml:space="preserve">Equation </w:t>
      </w:r>
      <w:r w:rsidRPr="00E70281">
        <w:rPr>
          <w:color w:val="auto"/>
        </w:rPr>
        <w:fldChar w:fldCharType="begin"/>
      </w:r>
      <w:r w:rsidRPr="00E70281">
        <w:rPr>
          <w:color w:val="auto"/>
        </w:rPr>
        <w:instrText xml:space="preserve"> SEQ Equation \* ARABIC </w:instrText>
      </w:r>
      <w:r w:rsidRPr="00E70281">
        <w:rPr>
          <w:color w:val="auto"/>
        </w:rPr>
        <w:fldChar w:fldCharType="separate"/>
      </w:r>
      <w:r w:rsidR="00D37CAD" w:rsidRPr="00E70281">
        <w:rPr>
          <w:noProof/>
          <w:color w:val="auto"/>
        </w:rPr>
        <w:t>1</w:t>
      </w:r>
      <w:r w:rsidRPr="00E70281">
        <w:rPr>
          <w:color w:val="auto"/>
        </w:rPr>
        <w:fldChar w:fldCharType="end"/>
      </w:r>
      <w:bookmarkEnd w:id="0"/>
      <w:bookmarkEnd w:id="1"/>
    </w:p>
    <w:p w14:paraId="53711504" w14:textId="7E8F7BB0" w:rsidR="00E1375F" w:rsidRPr="00E70281" w:rsidRDefault="00A85AA0" w:rsidP="00C966C8">
      <w:pPr>
        <w:rPr>
          <w:color w:val="auto"/>
        </w:rPr>
      </w:pPr>
      <w:r w:rsidRPr="00E70281">
        <w:rPr>
          <w:color w:val="auto"/>
        </w:rPr>
        <w:t xml:space="preserve">where </w:t>
      </w:r>
      <w:proofErr w:type="spellStart"/>
      <w:r w:rsidRPr="00E70281">
        <w:rPr>
          <w:color w:val="auto"/>
        </w:rPr>
        <w:t>t</w:t>
      </w:r>
      <w:proofErr w:type="spellEnd"/>
      <w:r w:rsidRPr="00E70281">
        <w:rPr>
          <w:color w:val="auto"/>
        </w:rPr>
        <w:t xml:space="preserve"> is time (minutes), q</w:t>
      </w:r>
      <w:r w:rsidRPr="00E70281">
        <w:rPr>
          <w:color w:val="auto"/>
          <w:vertAlign w:val="subscript"/>
        </w:rPr>
        <w:t>t</w:t>
      </w:r>
      <w:r w:rsidRPr="00E70281">
        <w:rPr>
          <w:color w:val="auto"/>
        </w:rPr>
        <w:t xml:space="preserve"> is the amount of</w:t>
      </w:r>
      <w:r w:rsidR="00FF726D" w:rsidRPr="00E70281">
        <w:rPr>
          <w:color w:val="auto"/>
        </w:rPr>
        <w:t xml:space="preserve"> adsorbate</w:t>
      </w:r>
      <w:r w:rsidRPr="00E70281">
        <w:rPr>
          <w:color w:val="auto"/>
        </w:rPr>
        <w:t xml:space="preserve"> adsorbed</w:t>
      </w:r>
      <w:r w:rsidR="00CD0EE0" w:rsidRPr="00E70281">
        <w:rPr>
          <w:color w:val="auto"/>
        </w:rPr>
        <w:t xml:space="preserve"> per mass of</w:t>
      </w:r>
      <w:r w:rsidR="00FF726D" w:rsidRPr="00E70281">
        <w:rPr>
          <w:color w:val="auto"/>
        </w:rPr>
        <w:t xml:space="preserve"> adsorbent</w:t>
      </w:r>
      <w:r w:rsidRPr="00E70281">
        <w:rPr>
          <w:color w:val="auto"/>
        </w:rPr>
        <w:t xml:space="preserve"> at time t (mg g</w:t>
      </w:r>
      <w:r w:rsidRPr="00E70281">
        <w:rPr>
          <w:color w:val="auto"/>
          <w:vertAlign w:val="superscript"/>
        </w:rPr>
        <w:t>-1</w:t>
      </w:r>
      <w:r w:rsidRPr="00E70281">
        <w:rPr>
          <w:color w:val="auto"/>
        </w:rPr>
        <w:t xml:space="preserve">), </w:t>
      </w:r>
      <w:r w:rsidR="0086445C" w:rsidRPr="00E70281">
        <w:rPr>
          <w:color w:val="auto"/>
        </w:rPr>
        <w:t>k</w:t>
      </w:r>
      <w:r w:rsidR="0086445C" w:rsidRPr="00E70281">
        <w:rPr>
          <w:color w:val="auto"/>
          <w:vertAlign w:val="subscript"/>
        </w:rPr>
        <w:t>2</w:t>
      </w:r>
      <w:r w:rsidR="0086445C" w:rsidRPr="00E70281">
        <w:rPr>
          <w:color w:val="auto"/>
        </w:rPr>
        <w:t xml:space="preserve"> </w:t>
      </w:r>
      <w:r w:rsidRPr="00E70281">
        <w:rPr>
          <w:color w:val="auto"/>
        </w:rPr>
        <w:t>is the p</w:t>
      </w:r>
      <w:r w:rsidR="0001230D">
        <w:rPr>
          <w:color w:val="auto"/>
        </w:rPr>
        <w:t>seudo-second order</w:t>
      </w:r>
      <w:r w:rsidRPr="00E70281">
        <w:rPr>
          <w:color w:val="auto"/>
        </w:rPr>
        <w:t xml:space="preserve"> rate constant (g mg</w:t>
      </w:r>
      <w:r w:rsidRPr="00E70281">
        <w:rPr>
          <w:color w:val="auto"/>
          <w:vertAlign w:val="superscript"/>
        </w:rPr>
        <w:t>-1</w:t>
      </w:r>
      <w:r w:rsidRPr="00E70281">
        <w:rPr>
          <w:color w:val="auto"/>
        </w:rPr>
        <w:t xml:space="preserve"> min</w:t>
      </w:r>
      <w:r w:rsidRPr="00E70281">
        <w:rPr>
          <w:color w:val="auto"/>
          <w:vertAlign w:val="superscript"/>
        </w:rPr>
        <w:t>-1</w:t>
      </w:r>
      <w:r w:rsidRPr="00E70281">
        <w:rPr>
          <w:color w:val="auto"/>
        </w:rPr>
        <w:t>), and q</w:t>
      </w:r>
      <w:r w:rsidRPr="00E70281">
        <w:rPr>
          <w:color w:val="auto"/>
          <w:vertAlign w:val="subscript"/>
        </w:rPr>
        <w:t>e</w:t>
      </w:r>
      <w:r w:rsidRPr="00E70281">
        <w:rPr>
          <w:color w:val="auto"/>
        </w:rPr>
        <w:t xml:space="preserve"> is the amount of</w:t>
      </w:r>
      <w:r w:rsidR="00FF726D" w:rsidRPr="00E70281">
        <w:rPr>
          <w:color w:val="auto"/>
        </w:rPr>
        <w:t xml:space="preserve"> adsorbate</w:t>
      </w:r>
      <w:r w:rsidRPr="00E70281">
        <w:rPr>
          <w:color w:val="auto"/>
        </w:rPr>
        <w:t xml:space="preserve"> adsorbed at equilibrium</w:t>
      </w:r>
      <w:r w:rsidR="00443424" w:rsidRPr="00E70281">
        <w:rPr>
          <w:color w:val="auto"/>
        </w:rPr>
        <w:t xml:space="preserve"> (mg g</w:t>
      </w:r>
      <w:r w:rsidR="00443424" w:rsidRPr="00E70281">
        <w:rPr>
          <w:color w:val="auto"/>
          <w:vertAlign w:val="superscript"/>
        </w:rPr>
        <w:t>-1</w:t>
      </w:r>
      <w:r w:rsidR="00443424" w:rsidRPr="00E70281">
        <w:rPr>
          <w:color w:val="auto"/>
        </w:rPr>
        <w:t>)</w:t>
      </w:r>
      <w:r w:rsidRPr="00E70281">
        <w:rPr>
          <w:color w:val="auto"/>
        </w:rPr>
        <w:t xml:space="preserve"> </w:t>
      </w:r>
      <w:r w:rsidRPr="00E70281">
        <w:rPr>
          <w:color w:val="auto"/>
        </w:rPr>
        <w:fldChar w:fldCharType="begin" w:fldLock="1"/>
      </w:r>
      <w:r w:rsidR="00D02D2A" w:rsidRPr="00E70281">
        <w:rPr>
          <w:color w:val="auto"/>
        </w:rPr>
        <w:instrText>ADDIN CSL_CITATION {"citationItems":[{"id":"ITEM-1","itemData":{"DOI":"10.1016/S0032-9592(98)00112-5","ISSN":"13595113","abstract":"A literature review of the use of sorbents and biosorbents to treat polluted aqueous effluents containing dyes/organics or metal ions has been conducted. Over 70 systems have been reported since 1984 and over 43 of these reported the mechanism as being a pseudo-first order kinetic mechanism. Three sorption kinetic models are presented in this paper and have been used to test 11 of the literature systems previously reported as first order kinetics and one system previously reported as a second order process. In all 12 systems, the highest correlation coefficients were obtained for the pseudo- second order kinetic model.","author":[{"dropping-particle":"","family":"Ho","given":"Y S","non-dropping-particle":"","parse-names":false,"suffix":""},{"dropping-particle":"","family":"McKay","given":"G.","non-dropping-particle":"","parse-names":false,"suffix":""}],"container-title":"Process Biochemistry","id":"ITEM-1","issue":"5","issued":{"date-parts":[["1999"]]},"page":"451-465","title":"Pseudo-second order model for sorption processes","type":"article-journal","volume":"34"},"uris":["http://www.mendeley.com/documents/?uuid=1a9fc2b7-7b73-47e3-95f3-f7b4bc9c0c6f"]}],"mendeley":{"formattedCitation":"&lt;sup&gt;9&lt;/sup&gt;","plainTextFormattedCitation":"9","previouslyFormattedCitation":"&lt;sup&gt;9&lt;/sup&gt;"},"properties":{"noteIndex":0},"schema":"https://github.com/citation-style-language/schema/raw/master/csl-citation.json"}</w:instrText>
      </w:r>
      <w:r w:rsidRPr="00E70281">
        <w:rPr>
          <w:color w:val="auto"/>
        </w:rPr>
        <w:fldChar w:fldCharType="separate"/>
      </w:r>
      <w:r w:rsidR="0008043E" w:rsidRPr="00E70281">
        <w:rPr>
          <w:noProof/>
          <w:color w:val="auto"/>
          <w:vertAlign w:val="superscript"/>
        </w:rPr>
        <w:t>9</w:t>
      </w:r>
      <w:r w:rsidRPr="00E70281">
        <w:rPr>
          <w:color w:val="auto"/>
        </w:rPr>
        <w:fldChar w:fldCharType="end"/>
      </w:r>
      <w:r w:rsidRPr="00E70281">
        <w:rPr>
          <w:color w:val="auto"/>
        </w:rPr>
        <w:t>.</w:t>
      </w:r>
      <w:r w:rsidR="004F696E" w:rsidRPr="00E70281">
        <w:rPr>
          <w:color w:val="auto"/>
        </w:rPr>
        <w:t xml:space="preserve"> </w:t>
      </w:r>
      <w:bookmarkStart w:id="2" w:name="_Hlk58332730"/>
    </w:p>
    <w:p w14:paraId="18A86506" w14:textId="7DB7735A" w:rsidR="00F81864" w:rsidRPr="00E70281" w:rsidRDefault="00F81864" w:rsidP="00C966C8">
      <w:pPr>
        <w:rPr>
          <w:color w:val="auto"/>
        </w:rPr>
      </w:pPr>
      <w:r w:rsidRPr="00E70281">
        <w:rPr>
          <w:color w:val="auto"/>
        </w:rPr>
        <w:t>The decrease in the concentration of aqueous adsorbate with time is given by the equation:</w:t>
      </w:r>
    </w:p>
    <w:p w14:paraId="735383C2" w14:textId="6A255572" w:rsidR="00F81864" w:rsidRPr="00E70281" w:rsidRDefault="00474213" w:rsidP="00C966C8">
      <w:pPr>
        <w:rPr>
          <w:color w:val="auto"/>
        </w:rPr>
      </w:pPr>
      <m:oMathPara>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0</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s</m:t>
              </m:r>
            </m:sub>
          </m:sSub>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oMath>
      </m:oMathPara>
    </w:p>
    <w:p w14:paraId="5F3415DB" w14:textId="3DDE65D0" w:rsidR="00F81864" w:rsidRPr="00E70281" w:rsidRDefault="00F81864" w:rsidP="00F81864">
      <w:pPr>
        <w:pStyle w:val="Caption"/>
        <w:jc w:val="right"/>
        <w:rPr>
          <w:color w:val="auto"/>
        </w:rPr>
      </w:pPr>
      <w:r w:rsidRPr="00E70281">
        <w:rPr>
          <w:color w:val="auto"/>
        </w:rPr>
        <w:t xml:space="preserve">Equation </w:t>
      </w:r>
      <w:r w:rsidRPr="00E70281">
        <w:rPr>
          <w:color w:val="auto"/>
        </w:rPr>
        <w:fldChar w:fldCharType="begin"/>
      </w:r>
      <w:r w:rsidRPr="00E70281">
        <w:rPr>
          <w:color w:val="auto"/>
        </w:rPr>
        <w:instrText xml:space="preserve"> SEQ Equation \* ARABIC </w:instrText>
      </w:r>
      <w:r w:rsidRPr="00E70281">
        <w:rPr>
          <w:color w:val="auto"/>
        </w:rPr>
        <w:fldChar w:fldCharType="separate"/>
      </w:r>
      <w:r w:rsidR="00D37CAD" w:rsidRPr="00E70281">
        <w:rPr>
          <w:noProof/>
          <w:color w:val="auto"/>
        </w:rPr>
        <w:t>2</w:t>
      </w:r>
      <w:r w:rsidRPr="00E70281">
        <w:rPr>
          <w:color w:val="auto"/>
        </w:rPr>
        <w:fldChar w:fldCharType="end"/>
      </w:r>
    </w:p>
    <w:p w14:paraId="29408168" w14:textId="7261C9A4" w:rsidR="00F81864" w:rsidRPr="00E70281" w:rsidRDefault="00F81864" w:rsidP="00C966C8">
      <w:pPr>
        <w:rPr>
          <w:color w:val="auto"/>
        </w:rPr>
      </w:pPr>
      <w:r w:rsidRPr="00E70281">
        <w:rPr>
          <w:color w:val="auto"/>
        </w:rPr>
        <w:t>where C</w:t>
      </w:r>
      <w:r w:rsidRPr="00E70281">
        <w:rPr>
          <w:color w:val="auto"/>
          <w:vertAlign w:val="subscript"/>
        </w:rPr>
        <w:t>t</w:t>
      </w:r>
      <w:r w:rsidRPr="00E70281">
        <w:rPr>
          <w:color w:val="auto"/>
        </w:rPr>
        <w:t xml:space="preserve"> is the concentration of aqueous adsorbate at time t (mg L</w:t>
      </w:r>
      <w:r w:rsidRPr="00E70281">
        <w:rPr>
          <w:color w:val="auto"/>
          <w:vertAlign w:val="superscript"/>
        </w:rPr>
        <w:t>-1</w:t>
      </w:r>
      <w:r w:rsidRPr="00E70281">
        <w:rPr>
          <w:color w:val="auto"/>
        </w:rPr>
        <w:t>), C</w:t>
      </w:r>
      <w:r w:rsidRPr="00E70281">
        <w:rPr>
          <w:color w:val="auto"/>
          <w:vertAlign w:val="subscript"/>
        </w:rPr>
        <w:t>0</w:t>
      </w:r>
      <w:r w:rsidRPr="00E70281">
        <w:rPr>
          <w:color w:val="auto"/>
        </w:rPr>
        <w:t xml:space="preserve"> is the initial adsorbate concentration at t=0 (mg L</w:t>
      </w:r>
      <w:r w:rsidRPr="00E70281">
        <w:rPr>
          <w:color w:val="auto"/>
          <w:vertAlign w:val="superscript"/>
        </w:rPr>
        <w:t>-1</w:t>
      </w:r>
      <w:r w:rsidRPr="00E70281">
        <w:rPr>
          <w:color w:val="auto"/>
        </w:rPr>
        <w:t>) and C</w:t>
      </w:r>
      <w:r w:rsidRPr="00E70281">
        <w:rPr>
          <w:color w:val="auto"/>
          <w:vertAlign w:val="subscript"/>
        </w:rPr>
        <w:t>s</w:t>
      </w:r>
      <w:r w:rsidRPr="00E70281">
        <w:rPr>
          <w:color w:val="auto"/>
        </w:rPr>
        <w:t xml:space="preserve"> is the concentration of adsorbent (g L</w:t>
      </w:r>
      <w:r w:rsidRPr="00E70281">
        <w:rPr>
          <w:color w:val="auto"/>
          <w:vertAlign w:val="superscript"/>
        </w:rPr>
        <w:t>-1</w:t>
      </w:r>
      <w:r w:rsidRPr="00E70281">
        <w:rPr>
          <w:color w:val="auto"/>
        </w:rPr>
        <w:t>).</w:t>
      </w:r>
    </w:p>
    <w:p w14:paraId="562C5B08" w14:textId="65F79AA0" w:rsidR="00E1375F" w:rsidRPr="00E70281" w:rsidRDefault="00E1375F" w:rsidP="00C966C8">
      <w:pPr>
        <w:rPr>
          <w:color w:val="auto"/>
        </w:rPr>
      </w:pPr>
      <w:bookmarkStart w:id="3" w:name="_Hlk61253972"/>
      <w:r w:rsidRPr="00E70281">
        <w:rPr>
          <w:color w:val="auto"/>
        </w:rPr>
        <w:t xml:space="preserve">The PSO model is popular </w:t>
      </w:r>
      <w:r w:rsidR="00B76DC3" w:rsidRPr="00E70281">
        <w:rPr>
          <w:color w:val="auto"/>
        </w:rPr>
        <w:t xml:space="preserve">for </w:t>
      </w:r>
      <w:r w:rsidR="0077414B" w:rsidRPr="00E70281">
        <w:rPr>
          <w:color w:val="auto"/>
        </w:rPr>
        <w:t>several</w:t>
      </w:r>
      <w:r w:rsidR="00B76DC3" w:rsidRPr="00E70281">
        <w:rPr>
          <w:color w:val="auto"/>
        </w:rPr>
        <w:t xml:space="preserve"> reasons. Firstly,</w:t>
      </w:r>
      <w:r w:rsidRPr="00E70281">
        <w:rPr>
          <w:color w:val="auto"/>
        </w:rPr>
        <w:t xml:space="preserve"> </w:t>
      </w:r>
      <w:r w:rsidR="00B76DC3" w:rsidRPr="00E70281">
        <w:rPr>
          <w:color w:val="auto"/>
        </w:rPr>
        <w:t>it has a</w:t>
      </w:r>
      <w:r w:rsidRPr="00E70281">
        <w:rPr>
          <w:color w:val="auto"/>
        </w:rPr>
        <w:t xml:space="preserve"> simple mathematical form</w:t>
      </w:r>
      <w:r w:rsidR="00B76DC3" w:rsidRPr="00E70281">
        <w:rPr>
          <w:color w:val="auto"/>
        </w:rPr>
        <w:t xml:space="preserve">. Secondly, </w:t>
      </w:r>
      <w:r w:rsidR="00207B61" w:rsidRPr="00E70281">
        <w:rPr>
          <w:color w:val="FF0000"/>
        </w:rPr>
        <w:t>whilst</w:t>
      </w:r>
      <w:r w:rsidR="00B76DC3" w:rsidRPr="00E70281">
        <w:rPr>
          <w:color w:val="FF0000"/>
        </w:rPr>
        <w:t xml:space="preserve"> </w:t>
      </w:r>
      <w:r w:rsidR="007F34D1" w:rsidRPr="00E70281">
        <w:rPr>
          <w:color w:val="FF0000"/>
        </w:rPr>
        <w:t xml:space="preserve">the PSO </w:t>
      </w:r>
      <w:r w:rsidR="00F90140" w:rsidRPr="00E70281">
        <w:rPr>
          <w:color w:val="FF0000"/>
        </w:rPr>
        <w:t>rate equation</w:t>
      </w:r>
      <w:r w:rsidR="007F34D1" w:rsidRPr="00E70281">
        <w:rPr>
          <w:color w:val="FF0000"/>
        </w:rPr>
        <w:t xml:space="preserve"> was</w:t>
      </w:r>
      <w:r w:rsidR="00207B61" w:rsidRPr="00E70281">
        <w:rPr>
          <w:color w:val="FF0000"/>
        </w:rPr>
        <w:t xml:space="preserve"> </w:t>
      </w:r>
      <w:r w:rsidR="004A4D2B" w:rsidRPr="00E70281">
        <w:rPr>
          <w:color w:val="FF0000"/>
        </w:rPr>
        <w:t xml:space="preserve">originally </w:t>
      </w:r>
      <w:r w:rsidR="007F34D1" w:rsidRPr="00E70281">
        <w:rPr>
          <w:color w:val="FF0000"/>
        </w:rPr>
        <w:t>rationalised</w:t>
      </w:r>
      <w:r w:rsidR="0008043E" w:rsidRPr="00E70281">
        <w:rPr>
          <w:color w:val="FF0000"/>
        </w:rPr>
        <w:t xml:space="preserve"> </w:t>
      </w:r>
      <w:r w:rsidR="00B76DC3" w:rsidRPr="00E70281">
        <w:rPr>
          <w:color w:val="auto"/>
        </w:rPr>
        <w:t xml:space="preserve">as a mechanistic model </w:t>
      </w:r>
      <w:r w:rsidR="007F34D1" w:rsidRPr="00E70281">
        <w:rPr>
          <w:color w:val="FF0000"/>
        </w:rPr>
        <w:t>for describing</w:t>
      </w:r>
      <w:r w:rsidR="00B76DC3" w:rsidRPr="00E70281">
        <w:rPr>
          <w:color w:val="FF0000"/>
        </w:rPr>
        <w:t xml:space="preserve"> </w:t>
      </w:r>
      <w:r w:rsidR="00B76DC3" w:rsidRPr="00E70281">
        <w:rPr>
          <w:color w:val="auto"/>
        </w:rPr>
        <w:t xml:space="preserve">the </w:t>
      </w:r>
      <w:r w:rsidR="000362A2" w:rsidRPr="00E70281">
        <w:rPr>
          <w:color w:val="auto"/>
        </w:rPr>
        <w:t xml:space="preserve">bidentate </w:t>
      </w:r>
      <w:r w:rsidR="00B76DC3" w:rsidRPr="00E70281">
        <w:rPr>
          <w:color w:val="auto"/>
        </w:rPr>
        <w:t xml:space="preserve">adsorption of </w:t>
      </w:r>
      <w:r w:rsidR="000362A2" w:rsidRPr="00E70281">
        <w:rPr>
          <w:color w:val="auto"/>
        </w:rPr>
        <w:t>copper onto peat</w:t>
      </w:r>
      <w:r w:rsidR="00F8403A" w:rsidRPr="00E70281">
        <w:rPr>
          <w:color w:val="auto"/>
        </w:rPr>
        <w:t xml:space="preserve"> </w:t>
      </w:r>
      <w:r w:rsidR="00F8403A" w:rsidRPr="00E70281">
        <w:rPr>
          <w:color w:val="auto"/>
        </w:rPr>
        <w:fldChar w:fldCharType="begin" w:fldLock="1"/>
      </w:r>
      <w:r w:rsidR="00AA2619" w:rsidRPr="00E70281">
        <w:rPr>
          <w:color w:val="auto"/>
        </w:rPr>
        <w:instrText>ADDIN CSL_CITATION {"citationItems":[{"id":"ITEM-1","itemData":{"author":[{"dropping-particle":"","family":"Ho","given":"Y S","non-dropping-particle":"","parse-names":false,"suffix":""},{"dropping-particle":"","family":"Mckay","given":"G","non-dropping-particle":"","parse-names":false,"suffix":""}],"container-title":"Water Research","id":"ITEM-1","issue":"3","issued":{"date-parts":[["2000"]]},"page":"735-742","title":"The Kinetics of Sorption of Divalent Metal Ions onto Sphagnum Moss Peat","type":"article-journal","volume":"34"},"uris":["http://www.mendeley.com/documents/?uuid=d8bd3960-51f2-42b8-8970-e1adb20d613c"]}],"mendeley":{"formattedCitation":"&lt;sup&gt;11&lt;/sup&gt;","plainTextFormattedCitation":"11","previouslyFormattedCitation":"&lt;sup&gt;11&lt;/sup&gt;"},"properties":{"noteIndex":0},"schema":"https://github.com/citation-style-language/schema/raw/master/csl-citation.json"}</w:instrText>
      </w:r>
      <w:r w:rsidR="00F8403A" w:rsidRPr="00E70281">
        <w:rPr>
          <w:color w:val="auto"/>
        </w:rPr>
        <w:fldChar w:fldCharType="separate"/>
      </w:r>
      <w:r w:rsidR="0008043E" w:rsidRPr="00E70281">
        <w:rPr>
          <w:noProof/>
          <w:color w:val="auto"/>
          <w:vertAlign w:val="superscript"/>
        </w:rPr>
        <w:t>11</w:t>
      </w:r>
      <w:r w:rsidR="00F8403A" w:rsidRPr="00E70281">
        <w:rPr>
          <w:color w:val="auto"/>
        </w:rPr>
        <w:fldChar w:fldCharType="end"/>
      </w:r>
      <w:r w:rsidR="000362A2" w:rsidRPr="00E70281">
        <w:rPr>
          <w:color w:val="auto"/>
        </w:rPr>
        <w:t>,</w:t>
      </w:r>
      <w:r w:rsidRPr="00E70281">
        <w:rPr>
          <w:color w:val="auto"/>
        </w:rPr>
        <w:t xml:space="preserve"> </w:t>
      </w:r>
      <w:r w:rsidR="000362A2" w:rsidRPr="00E70281">
        <w:rPr>
          <w:color w:val="auto"/>
        </w:rPr>
        <w:t>the PSO model is able</w:t>
      </w:r>
      <w:r w:rsidRPr="00E70281">
        <w:rPr>
          <w:color w:val="auto"/>
        </w:rPr>
        <w:t xml:space="preserve"> to</w:t>
      </w:r>
      <w:r w:rsidR="00F238D0" w:rsidRPr="00E70281">
        <w:rPr>
          <w:color w:val="auto"/>
        </w:rPr>
        <w:t xml:space="preserve"> fit</w:t>
      </w:r>
      <w:r w:rsidRPr="00E70281">
        <w:rPr>
          <w:color w:val="auto"/>
        </w:rPr>
        <w:t xml:space="preserve"> </w:t>
      </w:r>
      <w:r w:rsidR="00F8403A" w:rsidRPr="00E70281">
        <w:rPr>
          <w:color w:val="auto"/>
        </w:rPr>
        <w:t>kinetic data for</w:t>
      </w:r>
      <w:r w:rsidRPr="00E70281">
        <w:rPr>
          <w:color w:val="auto"/>
        </w:rPr>
        <w:t xml:space="preserve"> a wide range of systems</w:t>
      </w:r>
      <w:r w:rsidR="000362A2" w:rsidRPr="00E70281">
        <w:rPr>
          <w:color w:val="auto"/>
        </w:rPr>
        <w:t xml:space="preserve"> with different</w:t>
      </w:r>
      <w:r w:rsidR="004E321B" w:rsidRPr="00E70281">
        <w:rPr>
          <w:color w:val="auto"/>
        </w:rPr>
        <w:t xml:space="preserve"> reaction</w:t>
      </w:r>
      <w:r w:rsidR="000362A2" w:rsidRPr="00E70281">
        <w:rPr>
          <w:color w:val="auto"/>
        </w:rPr>
        <w:t xml:space="preserve"> mechanisms</w:t>
      </w:r>
      <w:r w:rsidR="0008043E" w:rsidRPr="00E70281">
        <w:rPr>
          <w:color w:val="auto"/>
        </w:rPr>
        <w:t xml:space="preserve"> </w:t>
      </w:r>
      <w:bookmarkStart w:id="4" w:name="_Hlk61356958"/>
      <w:r w:rsidRPr="00E70281">
        <w:rPr>
          <w:color w:val="auto"/>
        </w:rPr>
        <w:fldChar w:fldCharType="begin" w:fldLock="1"/>
      </w:r>
      <w:r w:rsidR="00D02D2A" w:rsidRPr="00E70281">
        <w:rPr>
          <w:color w:val="auto"/>
        </w:rPr>
        <w:instrText>ADDIN CSL_CITATION {"citationItems":[{"id":"ITEM-1","itemData":{"DOI":"10.1016/S0032-9592(98)00112-5","ISSN":"13595113","abstract":"A literature review of the use of sorbents and biosorbents to treat polluted aqueous effluents containing dyes/organics or metal ions has been conducted. Over 70 systems have been reported since 1984 and over 43 of these reported the mechanism as being a pseudo-first order kinetic mechanism. Three sorption kinetic models are presented in this paper and have been used to test 11 of the literature systems previously reported as first order kinetics and one system previously reported as a second order process. In all 12 systems, the highest correlation coefficients were obtained for the pseudo- second order kinetic model.","author":[{"dropping-particle":"","family":"Ho","given":"Y S","non-dropping-particle":"","parse-names":false,"suffix":""},{"dropping-particle":"","family":"McKay","given":"G.","non-dropping-particle":"","parse-names":false,"suffix":""}],"container-title":"Process Biochemistry","id":"ITEM-1","issue":"5","issued":{"date-parts":[["1999"]]},"page":"451-465","title":"Pseudo-second order model for sorption processes","type":"article-journal","volume":"34"},"uris":["http://www.mendeley.com/documents/?uuid=1a9fc2b7-7b73-47e3-95f3-f7b4bc9c0c6f"]}],"mendeley":{"formattedCitation":"&lt;sup&gt;9&lt;/sup&gt;","plainTextFormattedCitation":"9","previouslyFormattedCitation":"&lt;sup&gt;9&lt;/sup&gt;"},"properties":{"noteIndex":0},"schema":"https://github.com/citation-style-language/schema/raw/master/csl-citation.json"}</w:instrText>
      </w:r>
      <w:r w:rsidRPr="00E70281">
        <w:rPr>
          <w:color w:val="auto"/>
        </w:rPr>
        <w:fldChar w:fldCharType="separate"/>
      </w:r>
      <w:r w:rsidR="0008043E" w:rsidRPr="00E70281">
        <w:rPr>
          <w:noProof/>
          <w:color w:val="auto"/>
          <w:vertAlign w:val="superscript"/>
        </w:rPr>
        <w:t>9</w:t>
      </w:r>
      <w:r w:rsidRPr="00E70281">
        <w:rPr>
          <w:color w:val="auto"/>
        </w:rPr>
        <w:fldChar w:fldCharType="end"/>
      </w:r>
      <w:r w:rsidRPr="00E70281">
        <w:rPr>
          <w:color w:val="auto"/>
        </w:rPr>
        <w:t xml:space="preserve"> </w:t>
      </w:r>
      <w:r w:rsidRPr="00E70281">
        <w:rPr>
          <w:color w:val="auto"/>
        </w:rPr>
        <w:fldChar w:fldCharType="begin" w:fldLock="1"/>
      </w:r>
      <w:r w:rsidR="00AA2619" w:rsidRPr="00E70281">
        <w:rPr>
          <w:color w:val="auto"/>
        </w:rPr>
        <w:instrText>ADDIN CSL_CITATION {"citationItems":[{"id":"ITEM-1","itemData":{"DOI":"10.1016/j.jhazmat.2005.12.043","author":[{"dropping-particle":"","family":"Ho","given":"Yuh-shan","non-dropping-particle":"","parse-names":false,"suffix":""}],"container-title":"Journal of Hazardous Materials","id":"ITEM-1","issue":"April 2005","issued":{"date-parts":[["2006"]]},"page":"681-689","title":"Review of second-order models for adsorption systems","type":"article-journal","volume":"136"},"uris":["http://www.mendeley.com/documents/?uuid=95ba43b6-f877-4642-a8f9-8882e7882e6c"]}],"mendeley":{"formattedCitation":"&lt;sup&gt;12&lt;/sup&gt;","plainTextFormattedCitation":"12","previouslyFormattedCitation":"&lt;sup&gt;12&lt;/sup&gt;"},"properties":{"noteIndex":0},"schema":"https://github.com/citation-style-language/schema/raw/master/csl-citation.json"}</w:instrText>
      </w:r>
      <w:r w:rsidRPr="00E70281">
        <w:rPr>
          <w:color w:val="auto"/>
        </w:rPr>
        <w:fldChar w:fldCharType="separate"/>
      </w:r>
      <w:r w:rsidR="0008043E" w:rsidRPr="00E70281">
        <w:rPr>
          <w:noProof/>
          <w:color w:val="auto"/>
          <w:vertAlign w:val="superscript"/>
        </w:rPr>
        <w:t>12</w:t>
      </w:r>
      <w:r w:rsidRPr="00E70281">
        <w:rPr>
          <w:color w:val="auto"/>
        </w:rPr>
        <w:fldChar w:fldCharType="end"/>
      </w:r>
      <w:r w:rsidR="00F238D0" w:rsidRPr="00E70281">
        <w:rPr>
          <w:color w:val="auto"/>
        </w:rPr>
        <w:t xml:space="preserve"> </w:t>
      </w:r>
      <w:r w:rsidR="00D02D2A" w:rsidRPr="00E70281">
        <w:rPr>
          <w:color w:val="auto"/>
        </w:rPr>
        <w:fldChar w:fldCharType="begin" w:fldLock="1"/>
      </w:r>
      <w:r w:rsidR="00D02D2A" w:rsidRPr="00E70281">
        <w:rPr>
          <w:color w:val="auto"/>
        </w:rPr>
        <w:instrText>ADDIN CSL_CITATION {"citationItems":[{"id":"ITEM-1","itemData":{"DOI":"10.1007/s10450-013-9529-0","ISSN":"09295607","abstract":"The applicability of the pseudo-second order equation (PSOE) has been explained on the ground of the model assuming that the overall sorption rate is limited by the rate of sorbate diffusion in the pores of sorbent (intraparticle diffusion model). Mathematical expressions have been proposed in order to describe the dependence of the pseudo-second order constant on such parameters as the initial sorbate concentration, the progress of the sorption process and the solid/solution ratio. Further, it has been shown that equilibrium sorption capacities estimated by using PSOE may be much lower than the actual ones: it depends mainly on how the sorption system is close to equilibrium. The values of parameters applied in calculations were taken from the literature and correspond to the biosorption systems designed to remove the heavy metals from the aqueous solution. © 2013 The Author(s).","author":[{"dropping-particle":"","family":"Plazinski","given":"Wojciech","non-dropping-particle":"","parse-names":false,"suffix":""},{"dropping-particle":"","family":"Dziuba","given":"Jakub","non-dropping-particle":"","parse-names":false,"suffix":""},{"dropping-particle":"","family":"Rudzinski","given":"Wladyslaw","non-dropping-particle":"","parse-names":false,"suffix":""}],"container-title":"Adsorption","id":"ITEM-1","issue":"5","issued":{"date-parts":[["2013"]]},"page":"1055-1064","title":"Modeling of sorption kinetics: The pseudo-second order equation and the sorbate intraparticle diffusivity","type":"article-journal","volume":"19"},"uris":["http://www.mendeley.com/documents/?uuid=6f8091cb-15c7-4742-9e76-1a283f91d965"]}],"mendeley":{"formattedCitation":"&lt;sup&gt;13&lt;/sup&gt;","plainTextFormattedCitation":"13","previouslyFormattedCitation":"&lt;sup&gt;13&lt;/sup&gt;"},"properties":{"noteIndex":0},"schema":"https://github.com/citation-style-language/schema/raw/master/csl-citation.json"}</w:instrText>
      </w:r>
      <w:r w:rsidR="00D02D2A" w:rsidRPr="00E70281">
        <w:rPr>
          <w:color w:val="auto"/>
        </w:rPr>
        <w:fldChar w:fldCharType="separate"/>
      </w:r>
      <w:r w:rsidR="00D02D2A" w:rsidRPr="00E70281">
        <w:rPr>
          <w:noProof/>
          <w:color w:val="auto"/>
          <w:vertAlign w:val="superscript"/>
        </w:rPr>
        <w:t>13</w:t>
      </w:r>
      <w:r w:rsidR="00D02D2A" w:rsidRPr="00E70281">
        <w:rPr>
          <w:color w:val="auto"/>
        </w:rPr>
        <w:fldChar w:fldCharType="end"/>
      </w:r>
      <w:r w:rsidR="00D02D2A" w:rsidRPr="00E70281">
        <w:rPr>
          <w:color w:val="auto"/>
        </w:rPr>
        <w:t xml:space="preserve"> </w:t>
      </w:r>
      <w:r w:rsidR="00F238D0" w:rsidRPr="00E70281">
        <w:rPr>
          <w:color w:val="auto"/>
        </w:rPr>
        <w:t xml:space="preserve">(including where diffusion control is to be expected </w:t>
      </w:r>
      <w:r w:rsidR="00F238D0" w:rsidRPr="00E70281">
        <w:rPr>
          <w:color w:val="auto"/>
        </w:rPr>
        <w:fldChar w:fldCharType="begin" w:fldLock="1"/>
      </w:r>
      <w:r w:rsidR="00D02D2A" w:rsidRPr="00E70281">
        <w:rPr>
          <w:color w:val="auto"/>
        </w:rPr>
        <w:instrText>ADDIN CSL_CITATION {"citationItems":[{"id":"ITEM-1","itemData":{"DOI":"10.1021/acs.iecr.7b04724","ISSN":"15205045","abstract":"In this research note, we revisit the pseudo-second-order model for adsorption kinetics, its assumptions, and its application to simulated, random, and published data. In particular, a widely used linear form of the pseudo-second-order model - plotting t/qt against t - is shown to result in spurious correlations for typical adsorption experimental data. Depending on the range of data used, data from pseudo-first-order and pseudo-third-order models can also appear to be well-fit by the pseudo-second-order model. Inspection of the residual errors, however, indicates that the errors are not randomly distributed, as they should be. Based on this study, it is recommended to always verify the assumptions of a model, fit the data with the nonlinear form of the model equation, and inspect the residual plot to determine the goodness of fit.","author":[{"dropping-particle":"","family":"Xiao","given":"Ye","non-dropping-particle":"","parse-names":false,"suffix":""},{"dropping-particle":"","family":"Azaiez","given":"Jalel","non-dropping-particle":"","parse-names":false,"suffix":""},{"dropping-particle":"","family":"Hill","given":"Josephine M.","non-dropping-particle":"","parse-names":false,"suffix":""}],"container-title":"Industrial and Engineering Chemistry Research","id":"ITEM-1","issue":"7","issued":{"date-parts":[["2018"]]},"page":"2705-2709","title":"Erroneous Application of Pseudo-Second-Order Adsorption Kinetics Model: Ignored Assumptions and Spurious Correlations","type":"article-journal","volume":"57"},"uris":["http://www.mendeley.com/documents/?uuid=6921983a-8111-4b1c-9346-ca167b7787bc"]}],"mendeley":{"formattedCitation":"&lt;sup&gt;14&lt;/sup&gt;","plainTextFormattedCitation":"14","previouslyFormattedCitation":"&lt;sup&gt;14&lt;/sup&gt;"},"properties":{"noteIndex":0},"schema":"https://github.com/citation-style-language/schema/raw/master/csl-citation.json"}</w:instrText>
      </w:r>
      <w:r w:rsidR="00F238D0" w:rsidRPr="00E70281">
        <w:rPr>
          <w:color w:val="auto"/>
        </w:rPr>
        <w:fldChar w:fldCharType="separate"/>
      </w:r>
      <w:r w:rsidR="00D02D2A" w:rsidRPr="00E70281">
        <w:rPr>
          <w:noProof/>
          <w:color w:val="auto"/>
          <w:vertAlign w:val="superscript"/>
        </w:rPr>
        <w:t>14</w:t>
      </w:r>
      <w:r w:rsidR="00F238D0" w:rsidRPr="00E70281">
        <w:rPr>
          <w:color w:val="auto"/>
        </w:rPr>
        <w:fldChar w:fldCharType="end"/>
      </w:r>
      <w:bookmarkEnd w:id="4"/>
      <w:r w:rsidR="00F238D0" w:rsidRPr="00E70281">
        <w:rPr>
          <w:color w:val="auto"/>
        </w:rPr>
        <w:t>)</w:t>
      </w:r>
      <w:r w:rsidR="000362A2" w:rsidRPr="00E70281">
        <w:rPr>
          <w:color w:val="auto"/>
        </w:rPr>
        <w:t xml:space="preserve">. Thirdly, </w:t>
      </w:r>
      <w:r w:rsidR="00F8403A" w:rsidRPr="00E70281">
        <w:rPr>
          <w:color w:val="auto"/>
        </w:rPr>
        <w:fldChar w:fldCharType="begin"/>
      </w:r>
      <w:r w:rsidR="00F8403A" w:rsidRPr="00E70281">
        <w:rPr>
          <w:color w:val="auto"/>
        </w:rPr>
        <w:instrText xml:space="preserve"> REF _Ref34128213 \h </w:instrText>
      </w:r>
      <w:r w:rsidR="00F8403A" w:rsidRPr="00E70281">
        <w:rPr>
          <w:color w:val="auto"/>
        </w:rPr>
      </w:r>
      <w:r w:rsidR="00F8403A" w:rsidRPr="00E70281">
        <w:rPr>
          <w:color w:val="auto"/>
        </w:rPr>
        <w:fldChar w:fldCharType="separate"/>
      </w:r>
      <w:r w:rsidR="00D37CAD" w:rsidRPr="00E70281">
        <w:rPr>
          <w:color w:val="auto"/>
        </w:rPr>
        <w:t xml:space="preserve">Equation </w:t>
      </w:r>
      <w:r w:rsidR="00D37CAD" w:rsidRPr="00E70281">
        <w:rPr>
          <w:noProof/>
          <w:color w:val="auto"/>
        </w:rPr>
        <w:t>1</w:t>
      </w:r>
      <w:r w:rsidR="00F8403A" w:rsidRPr="00E70281">
        <w:rPr>
          <w:color w:val="auto"/>
        </w:rPr>
        <w:fldChar w:fldCharType="end"/>
      </w:r>
      <w:r w:rsidR="00F8403A" w:rsidRPr="00E70281">
        <w:rPr>
          <w:color w:val="auto"/>
        </w:rPr>
        <w:t xml:space="preserve"> </w:t>
      </w:r>
      <w:r w:rsidR="000362A2" w:rsidRPr="00E70281">
        <w:rPr>
          <w:color w:val="auto"/>
        </w:rPr>
        <w:t>can be integrated and rearranged to provide</w:t>
      </w:r>
      <w:r w:rsidRPr="00E70281">
        <w:rPr>
          <w:color w:val="auto"/>
        </w:rPr>
        <w:t xml:space="preserve"> linear </w:t>
      </w:r>
      <w:r w:rsidR="00F8403A" w:rsidRPr="00E70281">
        <w:rPr>
          <w:color w:val="auto"/>
        </w:rPr>
        <w:t>equations (of the form y=</w:t>
      </w:r>
      <w:proofErr w:type="spellStart"/>
      <w:r w:rsidR="00F8403A" w:rsidRPr="00E70281">
        <w:rPr>
          <w:color w:val="auto"/>
        </w:rPr>
        <w:t>mx+c</w:t>
      </w:r>
      <w:proofErr w:type="spellEnd"/>
      <w:r w:rsidR="00F8403A" w:rsidRPr="00E70281">
        <w:rPr>
          <w:color w:val="auto"/>
        </w:rPr>
        <w:t>)</w:t>
      </w:r>
      <w:r w:rsidRPr="00E70281">
        <w:rPr>
          <w:color w:val="auto"/>
        </w:rPr>
        <w:t xml:space="preserve"> from which </w:t>
      </w:r>
      <w:r w:rsidR="00D02D2A" w:rsidRPr="00E70281">
        <w:rPr>
          <w:color w:val="auto"/>
        </w:rPr>
        <w:t>the model</w:t>
      </w:r>
      <w:r w:rsidRPr="00E70281">
        <w:rPr>
          <w:color w:val="auto"/>
        </w:rPr>
        <w:t xml:space="preserve"> parameters</w:t>
      </w:r>
      <w:r w:rsidR="00F07912" w:rsidRPr="00E70281">
        <w:rPr>
          <w:color w:val="auto"/>
        </w:rPr>
        <w:t xml:space="preserve"> </w:t>
      </w:r>
      <w:r w:rsidR="00D02D2A" w:rsidRPr="00E70281">
        <w:rPr>
          <w:color w:val="auto"/>
        </w:rPr>
        <w:t>k</w:t>
      </w:r>
      <w:r w:rsidR="00D02D2A" w:rsidRPr="00E70281">
        <w:rPr>
          <w:color w:val="auto"/>
          <w:vertAlign w:val="subscript"/>
        </w:rPr>
        <w:t>2</w:t>
      </w:r>
      <w:r w:rsidR="00D02D2A" w:rsidRPr="00E70281">
        <w:rPr>
          <w:color w:val="auto"/>
        </w:rPr>
        <w:t xml:space="preserve"> and q</w:t>
      </w:r>
      <w:r w:rsidR="00D02D2A" w:rsidRPr="00E70281">
        <w:rPr>
          <w:color w:val="auto"/>
          <w:vertAlign w:val="subscript"/>
        </w:rPr>
        <w:t>e</w:t>
      </w:r>
      <w:r w:rsidRPr="00E70281">
        <w:rPr>
          <w:color w:val="auto"/>
        </w:rPr>
        <w:t xml:space="preserve"> can be </w:t>
      </w:r>
      <w:r w:rsidR="00D02D2A" w:rsidRPr="00E70281">
        <w:rPr>
          <w:color w:val="auto"/>
        </w:rPr>
        <w:t xml:space="preserve">easily </w:t>
      </w:r>
      <w:r w:rsidRPr="00E70281">
        <w:rPr>
          <w:color w:val="auto"/>
        </w:rPr>
        <w:t>obtained</w:t>
      </w:r>
      <w:r w:rsidR="00407B13" w:rsidRPr="00E70281">
        <w:rPr>
          <w:color w:val="auto"/>
        </w:rPr>
        <w:t xml:space="preserve"> </w:t>
      </w:r>
      <w:r w:rsidR="00F07912" w:rsidRPr="00E70281">
        <w:rPr>
          <w:color w:val="auto"/>
        </w:rPr>
        <w:t>by</w:t>
      </w:r>
      <w:r w:rsidR="00407B13" w:rsidRPr="00E70281">
        <w:rPr>
          <w:color w:val="auto"/>
        </w:rPr>
        <w:t xml:space="preserve"> linear regression</w:t>
      </w:r>
      <w:r w:rsidR="00A4306C" w:rsidRPr="00E70281">
        <w:rPr>
          <w:color w:val="auto"/>
        </w:rPr>
        <w:t xml:space="preserve"> </w:t>
      </w:r>
      <w:r w:rsidR="00A4306C" w:rsidRPr="00E70281">
        <w:rPr>
          <w:color w:val="auto"/>
        </w:rPr>
        <w:fldChar w:fldCharType="begin" w:fldLock="1"/>
      </w:r>
      <w:r w:rsidR="00D02D2A" w:rsidRPr="00E70281">
        <w:rPr>
          <w:color w:val="auto"/>
        </w:rPr>
        <w:instrText>ADDIN CSL_CITATION {"citationItems":[{"id":"ITEM-1","itemData":{"DOI":"10.1260/0263-6174.30.3.217","ISSN":"02636174","abstract":"Numerical simulation of sorption dynamics showed that the use of data recorded at (or very close to) equilibrium in the search for the kinetic equation that best describes the process frequently leads to incorrect conclusions. Notably, it has been demonstrated that the fit of the adsorption data at equilibrium (t/ t versus t) is a straight line irrespective of the sorption kinetics. In order to distinguish pseudo-first-order from pseudo-second-order sorption kinetics, the data near the equilibrium should be omitted from the least-squares fit and the result confirmed by a different method. A straightforward method based on Δ( t/ e)/Δt versus 1- t/ e and versus (1- t/ e) 2 plots is suggested. Some recent papers reporting incorrect sorption kinetic analyses are discussed.","author":[{"dropping-particle":"","family":"Canzano","given":"Silvana","non-dropping-particle":"","parse-names":false,"suffix":""},{"dropping-particle":"","family":"Iovino","given":"Pasquale","non-dropping-particle":"","parse-names":false,"suffix":""},{"dropping-particle":"","family":"Leone","given":"Vincenzo","non-dropping-particle":"","parse-names":false,"suffix":""},{"dropping-particle":"","family":"Salvestrini","given":"Stefano","non-dropping-particle":"","parse-names":false,"suffix":""},{"dropping-particle":"","family":"Capasso","given":"Sante","non-dropping-particle":"","parse-names":false,"suffix":""}],"container-title":"Adsorption Science and Technology","id":"ITEM-1","issue":"3","issued":{"date-parts":[["2012"]]},"page":"217-225","title":"Use and misuse of sorption kinetic data: A common mistake that should be avoided","type":"article-journal","volume":"30"},"uris":["http://www.mendeley.com/documents/?uuid=4742d43f-a144-41f6-996f-9d271602f8e5"]}],"mendeley":{"formattedCitation":"&lt;sup&gt;15&lt;/sup&gt;","plainTextFormattedCitation":"15","previouslyFormattedCitation":"&lt;sup&gt;15&lt;/sup&gt;"},"properties":{"noteIndex":0},"schema":"https://github.com/citation-style-language/schema/raw/master/csl-citation.json"}</w:instrText>
      </w:r>
      <w:r w:rsidR="00A4306C" w:rsidRPr="00E70281">
        <w:rPr>
          <w:color w:val="auto"/>
        </w:rPr>
        <w:fldChar w:fldCharType="separate"/>
      </w:r>
      <w:r w:rsidR="00D02D2A" w:rsidRPr="00E70281">
        <w:rPr>
          <w:noProof/>
          <w:color w:val="auto"/>
          <w:vertAlign w:val="superscript"/>
        </w:rPr>
        <w:t>15</w:t>
      </w:r>
      <w:r w:rsidR="00A4306C" w:rsidRPr="00E70281">
        <w:rPr>
          <w:color w:val="auto"/>
        </w:rPr>
        <w:fldChar w:fldCharType="end"/>
      </w:r>
      <w:r w:rsidRPr="00E70281">
        <w:rPr>
          <w:color w:val="auto"/>
        </w:rPr>
        <w:t>.</w:t>
      </w:r>
    </w:p>
    <w:p w14:paraId="538DE61D" w14:textId="6F185A4A" w:rsidR="008517E5" w:rsidRPr="00E70281" w:rsidRDefault="00D25DAC" w:rsidP="00B7259F">
      <w:pPr>
        <w:rPr>
          <w:color w:val="auto"/>
        </w:rPr>
      </w:pPr>
      <w:bookmarkStart w:id="5" w:name="_Hlk61257123"/>
      <w:bookmarkStart w:id="6" w:name="_Hlk61356825"/>
      <w:bookmarkStart w:id="7" w:name="_Hlk61255417"/>
      <w:bookmarkEnd w:id="3"/>
      <w:r w:rsidRPr="00E70281">
        <w:rPr>
          <w:color w:val="auto"/>
        </w:rPr>
        <w:t>However, the PS</w:t>
      </w:r>
      <w:r w:rsidR="00F8403A" w:rsidRPr="00E70281">
        <w:rPr>
          <w:color w:val="auto"/>
        </w:rPr>
        <w:t>O model has several</w:t>
      </w:r>
      <w:r w:rsidR="004F36E4" w:rsidRPr="00E70281">
        <w:rPr>
          <w:color w:val="auto"/>
        </w:rPr>
        <w:t xml:space="preserve"> important</w:t>
      </w:r>
      <w:r w:rsidR="00F8403A" w:rsidRPr="00E70281">
        <w:rPr>
          <w:color w:val="auto"/>
        </w:rPr>
        <w:t xml:space="preserve"> limitations</w:t>
      </w:r>
      <w:r w:rsidRPr="00E70281">
        <w:rPr>
          <w:color w:val="auto"/>
        </w:rPr>
        <w:t xml:space="preserve"> due to the </w:t>
      </w:r>
      <w:r w:rsidR="000358E7" w:rsidRPr="00E70281">
        <w:rPr>
          <w:color w:val="FF0000"/>
        </w:rPr>
        <w:t>concentrations of</w:t>
      </w:r>
      <w:r w:rsidRPr="00E70281">
        <w:rPr>
          <w:color w:val="FF0000"/>
        </w:rPr>
        <w:t xml:space="preserve"> </w:t>
      </w:r>
      <w:r w:rsidRPr="00E70281">
        <w:rPr>
          <w:color w:val="auto"/>
        </w:rPr>
        <w:t xml:space="preserve">adsorbate and adsorbent </w:t>
      </w:r>
      <w:r w:rsidR="000358E7" w:rsidRPr="00E70281">
        <w:rPr>
          <w:color w:val="FF0000"/>
        </w:rPr>
        <w:t>not being included</w:t>
      </w:r>
      <w:r w:rsidRPr="00E70281">
        <w:rPr>
          <w:color w:val="FF0000"/>
        </w:rPr>
        <w:t xml:space="preserve"> </w:t>
      </w:r>
      <w:r w:rsidRPr="00E70281">
        <w:rPr>
          <w:color w:val="auto"/>
        </w:rPr>
        <w:t>within the rate equation</w:t>
      </w:r>
      <w:r w:rsidR="00B7259F" w:rsidRPr="00E70281">
        <w:rPr>
          <w:color w:val="auto"/>
        </w:rPr>
        <w:t>, with k</w:t>
      </w:r>
      <w:r w:rsidR="00B7259F" w:rsidRPr="00E70281">
        <w:rPr>
          <w:color w:val="auto"/>
          <w:vertAlign w:val="subscript"/>
        </w:rPr>
        <w:t>2</w:t>
      </w:r>
      <w:r w:rsidR="00B7259F" w:rsidRPr="00E70281">
        <w:rPr>
          <w:color w:val="auto"/>
        </w:rPr>
        <w:t xml:space="preserve"> and q</w:t>
      </w:r>
      <w:r w:rsidR="00B7259F" w:rsidRPr="00E70281">
        <w:rPr>
          <w:color w:val="auto"/>
          <w:vertAlign w:val="subscript"/>
        </w:rPr>
        <w:t>e</w:t>
      </w:r>
      <w:r w:rsidR="00B7259F" w:rsidRPr="00E70281">
        <w:rPr>
          <w:color w:val="auto"/>
        </w:rPr>
        <w:t xml:space="preserve"> parameters </w:t>
      </w:r>
      <w:r w:rsidR="004F36E4" w:rsidRPr="00E70281">
        <w:rPr>
          <w:color w:val="auto"/>
        </w:rPr>
        <w:t xml:space="preserve">only </w:t>
      </w:r>
      <w:r w:rsidR="000358E7" w:rsidRPr="00E70281">
        <w:rPr>
          <w:color w:val="FF0000"/>
        </w:rPr>
        <w:t xml:space="preserve">being valid </w:t>
      </w:r>
      <w:r w:rsidR="000358E7" w:rsidRPr="00E70281">
        <w:rPr>
          <w:color w:val="FF0000"/>
        </w:rPr>
        <w:t>for</w:t>
      </w:r>
      <w:r w:rsidR="00B7259F" w:rsidRPr="00E70281">
        <w:rPr>
          <w:color w:val="FF0000"/>
        </w:rPr>
        <w:t xml:space="preserve"> </w:t>
      </w:r>
      <w:r w:rsidR="00B7259F" w:rsidRPr="00E70281">
        <w:rPr>
          <w:color w:val="auto"/>
        </w:rPr>
        <w:t>the experimental conditions under which the PSO model was fitted.</w:t>
      </w:r>
      <w:r w:rsidRPr="00E70281">
        <w:rPr>
          <w:color w:val="auto"/>
        </w:rPr>
        <w:t xml:space="preserve"> </w:t>
      </w:r>
      <w:bookmarkEnd w:id="5"/>
      <w:r w:rsidR="00D02D2A" w:rsidRPr="00E70281">
        <w:rPr>
          <w:color w:val="auto"/>
        </w:rPr>
        <w:t>The first limitation</w:t>
      </w:r>
      <w:r w:rsidR="00F8403A" w:rsidRPr="00E70281">
        <w:rPr>
          <w:color w:val="auto"/>
        </w:rPr>
        <w:t xml:space="preserve"> is that</w:t>
      </w:r>
      <w:r w:rsidRPr="00E70281">
        <w:rPr>
          <w:color w:val="auto"/>
        </w:rPr>
        <w:t xml:space="preserve"> the model cannot predict how adsorption kinetics will change as a function</w:t>
      </w:r>
      <w:r w:rsidR="00F07912" w:rsidRPr="00E70281">
        <w:rPr>
          <w:color w:val="auto"/>
        </w:rPr>
        <w:t xml:space="preserve"> of</w:t>
      </w:r>
      <w:r w:rsidRPr="00E70281">
        <w:rPr>
          <w:color w:val="auto"/>
        </w:rPr>
        <w:t xml:space="preserve"> C</w:t>
      </w:r>
      <w:r w:rsidRPr="00E70281">
        <w:rPr>
          <w:color w:val="auto"/>
          <w:vertAlign w:val="subscript"/>
        </w:rPr>
        <w:t>0</w:t>
      </w:r>
      <w:r w:rsidRPr="00E70281">
        <w:rPr>
          <w:color w:val="auto"/>
        </w:rPr>
        <w:t xml:space="preserve"> and C</w:t>
      </w:r>
      <w:r w:rsidRPr="00E70281">
        <w:rPr>
          <w:color w:val="auto"/>
          <w:vertAlign w:val="subscript"/>
        </w:rPr>
        <w:t>s</w:t>
      </w:r>
      <w:r w:rsidR="00642D0E" w:rsidRPr="00E70281">
        <w:rPr>
          <w:color w:val="auto"/>
        </w:rPr>
        <w:t xml:space="preserve">, </w:t>
      </w:r>
      <w:r w:rsidR="002739F5" w:rsidRPr="00E70281">
        <w:rPr>
          <w:color w:val="FF0000"/>
        </w:rPr>
        <w:t>limiting the usefulness of the PSO model, especially</w:t>
      </w:r>
      <w:r w:rsidR="00B7259F" w:rsidRPr="00E70281">
        <w:rPr>
          <w:color w:val="auto"/>
        </w:rPr>
        <w:t xml:space="preserve"> </w:t>
      </w:r>
      <w:r w:rsidR="00F8403A" w:rsidRPr="00E70281">
        <w:rPr>
          <w:color w:val="auto"/>
        </w:rPr>
        <w:t>in</w:t>
      </w:r>
      <w:r w:rsidR="00B7259F" w:rsidRPr="00E70281">
        <w:rPr>
          <w:color w:val="auto"/>
        </w:rPr>
        <w:t xml:space="preserve"> engineering or </w:t>
      </w:r>
      <w:r w:rsidR="00642D0E" w:rsidRPr="00E70281">
        <w:rPr>
          <w:color w:val="auto"/>
        </w:rPr>
        <w:t>optimisation studies.</w:t>
      </w:r>
      <w:r w:rsidRPr="00E70281">
        <w:rPr>
          <w:color w:val="auto"/>
        </w:rPr>
        <w:t xml:space="preserve"> </w:t>
      </w:r>
      <w:r w:rsidR="00642D0E" w:rsidRPr="00E70281">
        <w:rPr>
          <w:color w:val="auto"/>
        </w:rPr>
        <w:t>Furthermore,</w:t>
      </w:r>
      <w:r w:rsidRPr="00E70281">
        <w:rPr>
          <w:color w:val="auto"/>
        </w:rPr>
        <w:t xml:space="preserve"> rate constants from different literature sources with different experimental conditions cannot be </w:t>
      </w:r>
      <w:r w:rsidR="004F36E4" w:rsidRPr="00E70281">
        <w:rPr>
          <w:color w:val="auto"/>
        </w:rPr>
        <w:lastRenderedPageBreak/>
        <w:t>meaningfully compared:</w:t>
      </w:r>
      <w:r w:rsidRPr="00E70281">
        <w:rPr>
          <w:color w:val="auto"/>
        </w:rPr>
        <w:t xml:space="preserve"> </w:t>
      </w:r>
      <w:r w:rsidR="004F36E4" w:rsidRPr="00E70281">
        <w:rPr>
          <w:color w:val="auto"/>
        </w:rPr>
        <w:t>greater values of</w:t>
      </w:r>
      <w:r w:rsidR="00F8403A" w:rsidRPr="00E70281">
        <w:rPr>
          <w:color w:val="auto"/>
        </w:rPr>
        <w:t xml:space="preserve"> k</w:t>
      </w:r>
      <w:r w:rsidR="00F8403A" w:rsidRPr="00E70281">
        <w:rPr>
          <w:color w:val="auto"/>
          <w:vertAlign w:val="subscript"/>
        </w:rPr>
        <w:t>2</w:t>
      </w:r>
      <w:r w:rsidR="00F8403A" w:rsidRPr="00E70281">
        <w:rPr>
          <w:color w:val="auto"/>
        </w:rPr>
        <w:t xml:space="preserve"> </w:t>
      </w:r>
      <w:r w:rsidR="004F36E4" w:rsidRPr="00E70281">
        <w:rPr>
          <w:color w:val="auto"/>
        </w:rPr>
        <w:t>do</w:t>
      </w:r>
      <w:r w:rsidR="00F8403A" w:rsidRPr="00E70281">
        <w:rPr>
          <w:color w:val="auto"/>
        </w:rPr>
        <w:t xml:space="preserve"> </w:t>
      </w:r>
      <w:bookmarkEnd w:id="2"/>
      <w:r w:rsidR="00B7259F" w:rsidRPr="00E70281">
        <w:rPr>
          <w:color w:val="auto"/>
        </w:rPr>
        <w:t xml:space="preserve">not necessarily </w:t>
      </w:r>
      <w:r w:rsidR="004F36E4" w:rsidRPr="00E70281">
        <w:rPr>
          <w:color w:val="auto"/>
        </w:rPr>
        <w:t>indicate</w:t>
      </w:r>
      <w:r w:rsidR="00BB5B35" w:rsidRPr="00E70281">
        <w:rPr>
          <w:color w:val="auto"/>
        </w:rPr>
        <w:t xml:space="preserve"> </w:t>
      </w:r>
      <w:r w:rsidR="00B7259F" w:rsidRPr="00E70281">
        <w:rPr>
          <w:color w:val="auto"/>
        </w:rPr>
        <w:t xml:space="preserve">adsorbents </w:t>
      </w:r>
      <w:r w:rsidR="00BB5B35" w:rsidRPr="00E70281">
        <w:rPr>
          <w:color w:val="FF0000"/>
        </w:rPr>
        <w:t>with</w:t>
      </w:r>
      <w:r w:rsidR="00B7259F" w:rsidRPr="00E70281">
        <w:rPr>
          <w:color w:val="FF0000"/>
        </w:rPr>
        <w:t xml:space="preserve"> </w:t>
      </w:r>
      <w:r w:rsidR="00B7259F" w:rsidRPr="00E70281">
        <w:rPr>
          <w:color w:val="auto"/>
        </w:rPr>
        <w:t>superior adsorption kinetics.</w:t>
      </w:r>
    </w:p>
    <w:bookmarkEnd w:id="6"/>
    <w:p w14:paraId="206DE372" w14:textId="5736378F" w:rsidR="00642D0E" w:rsidRPr="00E70281" w:rsidRDefault="008517E5" w:rsidP="00F8403A">
      <w:pPr>
        <w:rPr>
          <w:color w:val="auto"/>
        </w:rPr>
      </w:pPr>
      <w:r w:rsidRPr="00E70281">
        <w:rPr>
          <w:color w:val="auto"/>
        </w:rPr>
        <w:t xml:space="preserve">The aim of </w:t>
      </w:r>
      <w:r w:rsidR="00DB0786" w:rsidRPr="00E70281">
        <w:rPr>
          <w:color w:val="auto"/>
        </w:rPr>
        <w:t>the present study</w:t>
      </w:r>
      <w:r w:rsidRPr="00E70281">
        <w:rPr>
          <w:color w:val="auto"/>
        </w:rPr>
        <w:t xml:space="preserve"> was to modify the popular PSO equation, introducing sensitivity towards changes in C</w:t>
      </w:r>
      <w:r w:rsidRPr="00E70281">
        <w:rPr>
          <w:color w:val="auto"/>
          <w:vertAlign w:val="subscript"/>
        </w:rPr>
        <w:t>0</w:t>
      </w:r>
      <w:r w:rsidRPr="00E70281">
        <w:rPr>
          <w:color w:val="auto"/>
        </w:rPr>
        <w:t xml:space="preserve"> and C</w:t>
      </w:r>
      <w:r w:rsidRPr="00E70281">
        <w:rPr>
          <w:color w:val="auto"/>
          <w:vertAlign w:val="subscript"/>
        </w:rPr>
        <w:t>s</w:t>
      </w:r>
      <w:r w:rsidRPr="00E70281">
        <w:rPr>
          <w:color w:val="auto"/>
        </w:rPr>
        <w:t xml:space="preserve">, </w:t>
      </w:r>
      <w:r w:rsidR="00642D0E" w:rsidRPr="00E70281">
        <w:rPr>
          <w:color w:val="auto"/>
        </w:rPr>
        <w:t>with the objective of</w:t>
      </w:r>
      <w:r w:rsidR="00F81792" w:rsidRPr="00E70281">
        <w:rPr>
          <w:color w:val="auto"/>
        </w:rPr>
        <w:t xml:space="preserve"> both </w:t>
      </w:r>
      <w:r w:rsidRPr="00E70281">
        <w:rPr>
          <w:color w:val="auto"/>
        </w:rPr>
        <w:t>improving predictive capabilities</w:t>
      </w:r>
      <w:r w:rsidR="00642D0E" w:rsidRPr="00E70281">
        <w:rPr>
          <w:color w:val="auto"/>
        </w:rPr>
        <w:t xml:space="preserve"> for engineering studies</w:t>
      </w:r>
      <w:r w:rsidR="00F81792" w:rsidRPr="00E70281">
        <w:rPr>
          <w:color w:val="auto"/>
        </w:rPr>
        <w:t xml:space="preserve"> and</w:t>
      </w:r>
      <w:r w:rsidRPr="00E70281">
        <w:rPr>
          <w:color w:val="auto"/>
        </w:rPr>
        <w:t xml:space="preserve"> normalising rate constants for </w:t>
      </w:r>
      <w:r w:rsidR="00474213" w:rsidRPr="00E70281">
        <w:rPr>
          <w:color w:val="FF0000"/>
        </w:rPr>
        <w:t>meaningful</w:t>
      </w:r>
      <w:r w:rsidRPr="00E70281">
        <w:rPr>
          <w:color w:val="FF0000"/>
        </w:rPr>
        <w:t xml:space="preserve"> </w:t>
      </w:r>
      <w:r w:rsidRPr="00E70281">
        <w:rPr>
          <w:color w:val="auto"/>
        </w:rPr>
        <w:t>comparison between literature sources</w:t>
      </w:r>
      <w:bookmarkStart w:id="8" w:name="_Hlk61255281"/>
      <w:r w:rsidRPr="00E70281">
        <w:rPr>
          <w:color w:val="auto"/>
        </w:rPr>
        <w:t>.</w:t>
      </w:r>
      <w:r w:rsidR="00F61D25" w:rsidRPr="00E70281">
        <w:rPr>
          <w:color w:val="auto"/>
        </w:rPr>
        <w:t xml:space="preserve"> </w:t>
      </w:r>
      <w:bookmarkEnd w:id="7"/>
      <w:r w:rsidR="00843AB8" w:rsidRPr="00E70281">
        <w:rPr>
          <w:color w:val="FF0000"/>
        </w:rPr>
        <w:t>Given its ability to describe a wide range of systems, t</w:t>
      </w:r>
      <w:r w:rsidR="00F8403A" w:rsidRPr="00E70281">
        <w:rPr>
          <w:color w:val="FF0000"/>
        </w:rPr>
        <w:t xml:space="preserve">he </w:t>
      </w:r>
      <w:r w:rsidR="00F8403A" w:rsidRPr="00E70281">
        <w:rPr>
          <w:color w:val="auto"/>
        </w:rPr>
        <w:t xml:space="preserve">PSO model does not necessarily reveal insights into the adsorption mechanisms (i.e. </w:t>
      </w:r>
      <w:r w:rsidR="00DB0786" w:rsidRPr="00E70281">
        <w:rPr>
          <w:color w:val="auto"/>
        </w:rPr>
        <w:t xml:space="preserve">whether </w:t>
      </w:r>
      <w:r w:rsidR="00F8403A" w:rsidRPr="00E70281">
        <w:rPr>
          <w:color w:val="auto"/>
        </w:rPr>
        <w:t xml:space="preserve">intraparticle diffusion </w:t>
      </w:r>
      <w:r w:rsidR="00DB0786" w:rsidRPr="00E70281">
        <w:rPr>
          <w:color w:val="auto"/>
        </w:rPr>
        <w:t>or</w:t>
      </w:r>
      <w:r w:rsidR="00F8403A" w:rsidRPr="00E70281">
        <w:rPr>
          <w:color w:val="auto"/>
        </w:rPr>
        <w:t xml:space="preserve"> chemisorption</w:t>
      </w:r>
      <w:r w:rsidR="00DB0786" w:rsidRPr="00E70281">
        <w:rPr>
          <w:color w:val="auto"/>
        </w:rPr>
        <w:t xml:space="preserve"> is the rate determining step</w:t>
      </w:r>
      <w:r w:rsidR="00F8403A" w:rsidRPr="00E70281">
        <w:rPr>
          <w:color w:val="auto"/>
        </w:rPr>
        <w:t xml:space="preserve">) </w:t>
      </w:r>
      <w:r w:rsidR="00D02D2A" w:rsidRPr="00E70281">
        <w:rPr>
          <w:color w:val="auto"/>
        </w:rPr>
        <w:fldChar w:fldCharType="begin" w:fldLock="1"/>
      </w:r>
      <w:r w:rsidR="0090273C" w:rsidRPr="00E70281">
        <w:rPr>
          <w:color w:val="auto"/>
        </w:rPr>
        <w:instrText>ADDIN CSL_CITATION {"citationItems":[{"id":"ITEM-1","itemData":{"DOI":"10.1007/s10450-013-9529-0","ISSN":"09295607","abstract":"The applicability of the pseudo-second order equation (PSOE) has been explained on the ground of the model assuming that the overall sorption rate is limited by the rate of sorbate diffusion in the pores of sorbent (intraparticle diffusion model). Mathematical expressions have been proposed in order to describe the dependence of the pseudo-second order constant on such parameters as the initial sorbate concentration, the progress of the sorption process and the solid/solution ratio. Further, it has been shown that equilibrium sorption capacities estimated by using PSOE may be much lower than the actual ones: it depends mainly on how the sorption system is close to equilibrium. The values of parameters applied in calculations were taken from the literature and correspond to the biosorption systems designed to remove the heavy metals from the aqueous solution. © 2013 The Author(s).","author":[{"dropping-particle":"","family":"Plazinski","given":"Wojciech","non-dropping-particle":"","parse-names":false,"suffix":""},{"dropping-particle":"","family":"Dziuba","given":"Jakub","non-dropping-particle":"","parse-names":false,"suffix":""},{"dropping-particle":"","family":"Rudzinski","given":"Wladyslaw","non-dropping-particle":"","parse-names":false,"suffix":""}],"container-title":"Adsorption","id":"ITEM-1","issue":"5","issued":{"date-parts":[["2013"]]},"page":"1055-1064","title":"Modeling of sorption kinetics: The pseudo-second order equation and the sorbate intraparticle diffusivity","type":"article-journal","volume":"19"},"uris":["http://www.mendeley.com/documents/?uuid=6f8091cb-15c7-4742-9e76-1a283f91d965"]}],"mendeley":{"formattedCitation":"&lt;sup&gt;13&lt;/sup&gt;","plainTextFormattedCitation":"13","previouslyFormattedCitation":"&lt;sup&gt;13&lt;/sup&gt;"},"properties":{"noteIndex":0},"schema":"https://github.com/citation-style-language/schema/raw/master/csl-citation.json"}</w:instrText>
      </w:r>
      <w:r w:rsidR="00D02D2A" w:rsidRPr="00E70281">
        <w:rPr>
          <w:color w:val="auto"/>
        </w:rPr>
        <w:fldChar w:fldCharType="separate"/>
      </w:r>
      <w:r w:rsidR="00D02D2A" w:rsidRPr="00E70281">
        <w:rPr>
          <w:noProof/>
          <w:color w:val="auto"/>
          <w:vertAlign w:val="superscript"/>
        </w:rPr>
        <w:t>13</w:t>
      </w:r>
      <w:r w:rsidR="00D02D2A" w:rsidRPr="00E70281">
        <w:rPr>
          <w:color w:val="auto"/>
        </w:rPr>
        <w:fldChar w:fldCharType="end"/>
      </w:r>
      <w:r w:rsidR="00D02D2A" w:rsidRPr="00E70281">
        <w:rPr>
          <w:color w:val="auto"/>
        </w:rPr>
        <w:t xml:space="preserve"> </w:t>
      </w:r>
      <w:r w:rsidR="00F8403A" w:rsidRPr="00E70281">
        <w:rPr>
          <w:color w:val="auto"/>
        </w:rPr>
        <w:fldChar w:fldCharType="begin" w:fldLock="1"/>
      </w:r>
      <w:r w:rsidR="00D02D2A" w:rsidRPr="00E70281">
        <w:rPr>
          <w:color w:val="auto"/>
        </w:rPr>
        <w:instrText>ADDIN CSL_CITATION {"citationItems":[{"id":"ITEM-1","itemData":{"DOI":"10.1631/jzus.A0820524","ISSN":"1673565X","abstract":"Adsorption is one of the most widely applied techniques for environmental remediation. Its kinetics are of great significance to evaluate the performance of a given adsorbent and gain insight into the underlying mechanisms. There are lots of references available concerning adsorption kinetics, and several mathematic models have been developed to describe adsorption reaction and diffusion processes. However, these models were frequently employed to fit the kinetic data in an unsuitable or improper manner. This is mainly because the boundary conditions of the associated models were, to a considerable extent, ignored for data modeling. Here we reviewed several widely-used adsorption kinetic models and paid more attention to their boundary conditions. We believe that the review is of certain significance and improvement for adsorption kinetic modeling. © 2009 Zhejiang University and Springer-Verlag GmbH.","author":[{"dropping-particle":"","family":"Qiu","given":"Hui","non-dropping-particle":"","parse-names":false,"suffix":""},{"dropping-particle":"","family":"Lv","given":"Lu","non-dropping-particle":"","parse-names":false,"suffix":""},{"dropping-particle":"","family":"Pan","given":"Bing Cai","non-dropping-particle":"","parse-names":false,"suffix":""},{"dropping-particle":"","family":"Zhang","given":"Qing Jian","non-dropping-particle":"","parse-names":false,"suffix":""},{"dropping-particle":"","family":"Zhang","given":"Wei Ming","non-dropping-particle":"","parse-names":false,"suffix":""},{"dropping-particle":"","family":"Zhang","given":"Quan Xing","non-dropping-particle":"","parse-names":false,"suffix":""}],"container-title":"Journal of Zhejiang University: Science A","id":"ITEM-1","issue":"5","issued":{"date-parts":[["2009"]]},"page":"716-724","title":"Critical review in adsorption kinetic models","type":"article-journal","volume":"10"},"uris":["http://www.mendeley.com/documents/?uuid=298132a7-51fd-4eee-8aea-db55c3b1ff48"]}],"mendeley":{"formattedCitation":"&lt;sup&gt;16&lt;/sup&gt;","plainTextFormattedCitation":"16","previouslyFormattedCitation":"&lt;sup&gt;16&lt;/sup&gt;"},"properties":{"noteIndex":0},"schema":"https://github.com/citation-style-language/schema/raw/master/csl-citation.json"}</w:instrText>
      </w:r>
      <w:r w:rsidR="00F8403A" w:rsidRPr="00E70281">
        <w:rPr>
          <w:color w:val="auto"/>
        </w:rPr>
        <w:fldChar w:fldCharType="separate"/>
      </w:r>
      <w:r w:rsidR="00D02D2A" w:rsidRPr="00E70281">
        <w:rPr>
          <w:noProof/>
          <w:color w:val="auto"/>
          <w:vertAlign w:val="superscript"/>
        </w:rPr>
        <w:t>16</w:t>
      </w:r>
      <w:r w:rsidR="00F8403A" w:rsidRPr="00E70281">
        <w:rPr>
          <w:color w:val="auto"/>
        </w:rPr>
        <w:fldChar w:fldCharType="end"/>
      </w:r>
      <w:r w:rsidR="00F8403A" w:rsidRPr="00E70281">
        <w:rPr>
          <w:color w:val="auto"/>
        </w:rPr>
        <w:t>, and our aim was similarly to develop an empirical</w:t>
      </w:r>
      <w:r w:rsidR="00F81792" w:rsidRPr="00E70281">
        <w:rPr>
          <w:color w:val="auto"/>
        </w:rPr>
        <w:t xml:space="preserve"> model</w:t>
      </w:r>
      <w:r w:rsidR="00F8403A" w:rsidRPr="00E70281">
        <w:rPr>
          <w:color w:val="auto"/>
        </w:rPr>
        <w:t xml:space="preserve">, rather than </w:t>
      </w:r>
      <w:r w:rsidR="00F81792" w:rsidRPr="00E70281">
        <w:rPr>
          <w:color w:val="auto"/>
        </w:rPr>
        <w:t>a mechanistic</w:t>
      </w:r>
      <w:r w:rsidR="00F8403A" w:rsidRPr="00E70281">
        <w:rPr>
          <w:color w:val="auto"/>
        </w:rPr>
        <w:t xml:space="preserve"> model. We thus </w:t>
      </w:r>
      <w:r w:rsidR="00DB0786" w:rsidRPr="00E70281">
        <w:rPr>
          <w:color w:val="auto"/>
        </w:rPr>
        <w:t>conducted</w:t>
      </w:r>
      <w:r w:rsidR="00F8403A" w:rsidRPr="00E70281">
        <w:rPr>
          <w:color w:val="auto"/>
        </w:rPr>
        <w:t xml:space="preserve"> </w:t>
      </w:r>
      <w:r w:rsidR="00F81792" w:rsidRPr="00E70281">
        <w:rPr>
          <w:color w:val="auto"/>
        </w:rPr>
        <w:t xml:space="preserve">an </w:t>
      </w:r>
      <w:r w:rsidR="00F8403A" w:rsidRPr="00E70281">
        <w:rPr>
          <w:color w:val="auto"/>
        </w:rPr>
        <w:t xml:space="preserve">empirical analysis of </w:t>
      </w:r>
      <w:r w:rsidR="00F07912" w:rsidRPr="00E70281">
        <w:rPr>
          <w:color w:val="auto"/>
        </w:rPr>
        <w:t xml:space="preserve">the </w:t>
      </w:r>
      <w:r w:rsidR="00F81792" w:rsidRPr="00E70281">
        <w:rPr>
          <w:color w:val="auto"/>
        </w:rPr>
        <w:t xml:space="preserve">adsorption kinetics reported </w:t>
      </w:r>
      <w:r w:rsidR="00F07912" w:rsidRPr="00E70281">
        <w:rPr>
          <w:color w:val="auto"/>
        </w:rPr>
        <w:t>by</w:t>
      </w:r>
      <w:r w:rsidR="00F81792" w:rsidRPr="00E70281">
        <w:rPr>
          <w:color w:val="auto"/>
        </w:rPr>
        <w:t xml:space="preserve"> the</w:t>
      </w:r>
      <w:r w:rsidR="00F8403A" w:rsidRPr="00E70281">
        <w:rPr>
          <w:color w:val="auto"/>
        </w:rPr>
        <w:t xml:space="preserve"> literature to </w:t>
      </w:r>
      <w:r w:rsidR="00407B13" w:rsidRPr="00E70281">
        <w:rPr>
          <w:color w:val="auto"/>
        </w:rPr>
        <w:t>assess</w:t>
      </w:r>
      <w:r w:rsidR="00642D0E" w:rsidRPr="00E70281">
        <w:rPr>
          <w:color w:val="auto"/>
        </w:rPr>
        <w:t xml:space="preserve"> the influence of C</w:t>
      </w:r>
      <w:r w:rsidR="00642D0E" w:rsidRPr="00E70281">
        <w:rPr>
          <w:color w:val="auto"/>
          <w:vertAlign w:val="subscript"/>
        </w:rPr>
        <w:t>0</w:t>
      </w:r>
      <w:r w:rsidR="00642D0E" w:rsidRPr="00E70281">
        <w:rPr>
          <w:color w:val="auto"/>
        </w:rPr>
        <w:t xml:space="preserve"> and C</w:t>
      </w:r>
      <w:r w:rsidR="00642D0E" w:rsidRPr="00E70281">
        <w:rPr>
          <w:color w:val="auto"/>
          <w:vertAlign w:val="subscript"/>
        </w:rPr>
        <w:t>s</w:t>
      </w:r>
      <w:r w:rsidR="00642D0E" w:rsidRPr="00E70281">
        <w:rPr>
          <w:color w:val="auto"/>
        </w:rPr>
        <w:t xml:space="preserve"> on adsorption rates</w:t>
      </w:r>
      <w:r w:rsidR="00F8403A" w:rsidRPr="00E70281">
        <w:rPr>
          <w:color w:val="auto"/>
        </w:rPr>
        <w:t xml:space="preserve">, and to modify the PSO rate equation </w:t>
      </w:r>
      <w:r w:rsidR="00407B13" w:rsidRPr="00E70281">
        <w:rPr>
          <w:color w:val="auto"/>
        </w:rPr>
        <w:t>accordingly</w:t>
      </w:r>
      <w:r w:rsidR="00F8403A" w:rsidRPr="00E70281">
        <w:rPr>
          <w:color w:val="auto"/>
        </w:rPr>
        <w:t>.</w:t>
      </w:r>
      <w:r w:rsidR="00642D0E" w:rsidRPr="00E70281">
        <w:rPr>
          <w:color w:val="auto"/>
        </w:rPr>
        <w:t xml:space="preserve"> </w:t>
      </w:r>
    </w:p>
    <w:bookmarkEnd w:id="8"/>
    <w:p w14:paraId="2A3EF731" w14:textId="32944FA2" w:rsidR="00944EB5" w:rsidRPr="00E70281" w:rsidRDefault="00F81792" w:rsidP="00D4290E">
      <w:pPr>
        <w:rPr>
          <w:color w:val="auto"/>
        </w:rPr>
      </w:pPr>
      <w:r w:rsidRPr="00E70281">
        <w:rPr>
          <w:color w:val="auto"/>
        </w:rPr>
        <w:t>W</w:t>
      </w:r>
      <w:r w:rsidR="00642D0E" w:rsidRPr="00E70281">
        <w:rPr>
          <w:color w:val="auto"/>
        </w:rPr>
        <w:t xml:space="preserve">e </w:t>
      </w:r>
      <w:r w:rsidR="00F61D25" w:rsidRPr="00E70281">
        <w:rPr>
          <w:color w:val="auto"/>
        </w:rPr>
        <w:t xml:space="preserve">used the method of initial rates to determine the order of reaction with respect to </w:t>
      </w:r>
      <w:r w:rsidR="00F8403A" w:rsidRPr="00E70281">
        <w:rPr>
          <w:color w:val="auto"/>
        </w:rPr>
        <w:t>both</w:t>
      </w:r>
      <w:r w:rsidR="00F61D25" w:rsidRPr="00E70281">
        <w:rPr>
          <w:color w:val="auto"/>
        </w:rPr>
        <w:t xml:space="preserve"> C</w:t>
      </w:r>
      <w:r w:rsidR="00F61D25" w:rsidRPr="00E70281">
        <w:rPr>
          <w:color w:val="auto"/>
          <w:vertAlign w:val="subscript"/>
        </w:rPr>
        <w:t>0</w:t>
      </w:r>
      <w:r w:rsidR="00F61D25" w:rsidRPr="00E70281">
        <w:rPr>
          <w:color w:val="auto"/>
        </w:rPr>
        <w:t xml:space="preserve"> and C</w:t>
      </w:r>
      <w:r w:rsidR="00F61D25" w:rsidRPr="00E70281">
        <w:rPr>
          <w:color w:val="auto"/>
          <w:vertAlign w:val="subscript"/>
        </w:rPr>
        <w:t>s</w:t>
      </w:r>
      <w:r w:rsidR="00F61D25" w:rsidRPr="00E70281">
        <w:rPr>
          <w:color w:val="auto"/>
        </w:rPr>
        <w:t xml:space="preserve"> (given the possibility for</w:t>
      </w:r>
      <w:r w:rsidR="001F69E7" w:rsidRPr="00E70281">
        <w:rPr>
          <w:color w:val="auto"/>
        </w:rPr>
        <w:t xml:space="preserve"> data at later times to disguise the true reaction order </w:t>
      </w:r>
      <w:r w:rsidR="001F69E7" w:rsidRPr="00E70281">
        <w:rPr>
          <w:color w:val="auto"/>
        </w:rPr>
        <w:fldChar w:fldCharType="begin" w:fldLock="1"/>
      </w:r>
      <w:r w:rsidR="00AA2619" w:rsidRPr="00E70281">
        <w:rPr>
          <w:color w:val="auto"/>
        </w:rPr>
        <w:instrText>ADDIN CSL_CITATION {"citationItems":[{"id":"ITEM-1","itemData":{"DOI":"10.3389/fchem.2018.00378","author":[{"dropping-particle":"","family":"Ollis","given":"David F","non-dropping-particle":"","parse-names":false,"suffix":""}],"container-title":"Frontiers in Chemistry","id":"ITEM-1","issue":"378","issued":{"date-parts":[["2018"]]},"page":"1-7","title":"Kinetics of Photocatalyzed Reactions: Five Lessons Learned","type":"article-journal","volume":"6"},"uris":["http://www.mendeley.com/documents/?uuid=c4229f1f-3a44-409e-a5bd-0e60679e1ace"]}],"mendeley":{"formattedCitation":"&lt;sup&gt;17&lt;/sup&gt;","plainTextFormattedCitation":"17","previouslyFormattedCitation":"&lt;sup&gt;17&lt;/sup&gt;"},"properties":{"noteIndex":0},"schema":"https://github.com/citation-style-language/schema/raw/master/csl-citation.json"}</w:instrText>
      </w:r>
      <w:r w:rsidR="001F69E7" w:rsidRPr="00E70281">
        <w:rPr>
          <w:color w:val="auto"/>
        </w:rPr>
        <w:fldChar w:fldCharType="separate"/>
      </w:r>
      <w:r w:rsidR="00D02D2A" w:rsidRPr="00E70281">
        <w:rPr>
          <w:noProof/>
          <w:color w:val="auto"/>
          <w:vertAlign w:val="superscript"/>
        </w:rPr>
        <w:t>17</w:t>
      </w:r>
      <w:r w:rsidR="001F69E7" w:rsidRPr="00E70281">
        <w:rPr>
          <w:color w:val="auto"/>
        </w:rPr>
        <w:fldChar w:fldCharType="end"/>
      </w:r>
      <w:r w:rsidRPr="00E70281">
        <w:rPr>
          <w:color w:val="auto"/>
        </w:rPr>
        <w:t>,</w:t>
      </w:r>
      <w:r w:rsidR="001F69E7" w:rsidRPr="00E70281">
        <w:rPr>
          <w:color w:val="auto"/>
        </w:rPr>
        <w:t xml:space="preserve"> such as when</w:t>
      </w:r>
      <w:r w:rsidR="00DB0786" w:rsidRPr="00E70281">
        <w:rPr>
          <w:color w:val="auto"/>
        </w:rPr>
        <w:t xml:space="preserve"> slower</w:t>
      </w:r>
      <w:r w:rsidR="001F69E7" w:rsidRPr="00E70281">
        <w:rPr>
          <w:color w:val="auto"/>
        </w:rPr>
        <w:t xml:space="preserve"> surface precipitation </w:t>
      </w:r>
      <w:r w:rsidR="00DB0786" w:rsidRPr="00E70281">
        <w:rPr>
          <w:color w:val="auto"/>
        </w:rPr>
        <w:t>processes coincide</w:t>
      </w:r>
      <w:r w:rsidR="001F69E7" w:rsidRPr="00E70281">
        <w:rPr>
          <w:color w:val="auto"/>
        </w:rPr>
        <w:t xml:space="preserve"> with monolayer adsorption </w:t>
      </w:r>
      <w:r w:rsidR="001F69E7" w:rsidRPr="00E70281">
        <w:rPr>
          <w:rFonts w:cs="Times New Roman"/>
          <w:noProof/>
          <w:color w:val="auto"/>
        </w:rPr>
        <w:fldChar w:fldCharType="begin" w:fldLock="1"/>
      </w:r>
      <w:r w:rsidR="00D02D2A" w:rsidRPr="00E70281">
        <w:rPr>
          <w:rFonts w:cs="Times New Roman"/>
          <w:noProof/>
          <w:color w:val="auto"/>
        </w:rPr>
        <w:instrText>ADDIN CSL_CITATION {"citationItems":[{"id":"ITEM-1","itemData":{"DOI":"10.1007/BF00702740","ISSN":"15731421","abstract":"The surface precipitation model has been developed to describe sorption data over a wide range of free sorbate concentration. It provides a smooth transition from adsorption to surface precipitation. The applicability of the model has been shown in several publications. In most of the previous applications of the surface precipitation model all sorbent present was supposed to take part in the formation of an ideal solid solution. We show that if only the sorbent present as surface sites contributes to the ?solid solution?, the isotherm of the surface precipitation model reduces to the well-known BET isotherm. Between these limiting cases it is difficult to find a unique description of the macroscopic data. Some further problems involved in parameter estimation are discussed: especially for weakly adsorbing metal cations or those with low solubilities the choice of modelling parameters may be difficult. We describe how the observed difficulties may be used to estimate if adsorption constants, determined by modelling adsorption data, are reasonable and discuss the limitations of the proposed approach. Finally, it is concluded that apparent interfacial solubility products may be expected to change with pH and sorption density. ? 1996, Kluwer Academic Publishers. All rights reserved.","author":[{"dropping-particle":"","family":"Lützenkirchen","given":"J.","non-dropping-particle":"","parse-names":false,"suffix":""},{"dropping-particle":"","family":"Behra","given":"Ph","non-dropping-particle":"","parse-names":false,"suffix":""}],"container-title":"Aquatic Geochemistry","id":"ITEM-1","issue":"4","issued":{"date-parts":[["1995"]]},"page":"375-397","title":"On the surface precipitation model for cation sorption at the (hydr)oxide water interface","type":"article-journal","volume":"1"},"uris":["http://www.mendeley.com/documents/?uuid=5b70f474-8018-4065-8d06-c62e595a6c74"]}],"mendeley":{"formattedCitation":"&lt;sup&gt;18&lt;/sup&gt;","plainTextFormattedCitation":"18","previouslyFormattedCitation":"&lt;sup&gt;18&lt;/sup&gt;"},"properties":{"noteIndex":0},"schema":"https://github.com/citation-style-language/schema/raw/master/csl-citation.json"}</w:instrText>
      </w:r>
      <w:r w:rsidR="001F69E7" w:rsidRPr="00E70281">
        <w:rPr>
          <w:rFonts w:cs="Times New Roman"/>
          <w:noProof/>
          <w:color w:val="auto"/>
        </w:rPr>
        <w:fldChar w:fldCharType="separate"/>
      </w:r>
      <w:r w:rsidR="00D02D2A" w:rsidRPr="00E70281">
        <w:rPr>
          <w:rFonts w:cs="Times New Roman"/>
          <w:noProof/>
          <w:color w:val="auto"/>
          <w:vertAlign w:val="superscript"/>
        </w:rPr>
        <w:t>18</w:t>
      </w:r>
      <w:r w:rsidR="001F69E7" w:rsidRPr="00E70281">
        <w:rPr>
          <w:rFonts w:cs="Times New Roman"/>
          <w:noProof/>
          <w:color w:val="auto"/>
        </w:rPr>
        <w:fldChar w:fldCharType="end"/>
      </w:r>
      <w:r w:rsidR="001F69E7" w:rsidRPr="00E70281">
        <w:rPr>
          <w:rFonts w:cs="Times New Roman"/>
          <w:noProof/>
          <w:color w:val="auto"/>
        </w:rPr>
        <w:t xml:space="preserve">). </w:t>
      </w:r>
      <w:r w:rsidR="00F61D25" w:rsidRPr="00E70281">
        <w:rPr>
          <w:color w:val="auto"/>
        </w:rPr>
        <w:t>We</w:t>
      </w:r>
      <w:r w:rsidRPr="00E70281">
        <w:rPr>
          <w:color w:val="auto"/>
        </w:rPr>
        <w:t xml:space="preserve"> </w:t>
      </w:r>
      <w:r w:rsidR="00F07912" w:rsidRPr="00E70281">
        <w:rPr>
          <w:color w:val="auto"/>
        </w:rPr>
        <w:t xml:space="preserve">first </w:t>
      </w:r>
      <w:r w:rsidRPr="00E70281">
        <w:rPr>
          <w:color w:val="auto"/>
        </w:rPr>
        <w:t>performed quality control experiments, investigating</w:t>
      </w:r>
      <w:r w:rsidR="001F69E7" w:rsidRPr="00E70281">
        <w:rPr>
          <w:color w:val="auto"/>
        </w:rPr>
        <w:t xml:space="preserve"> </w:t>
      </w:r>
      <w:r w:rsidR="00843AB8" w:rsidRPr="00E70281">
        <w:rPr>
          <w:color w:val="FF0000"/>
        </w:rPr>
        <w:t>different</w:t>
      </w:r>
      <w:r w:rsidR="00407B13" w:rsidRPr="00E70281">
        <w:rPr>
          <w:color w:val="FF0000"/>
        </w:rPr>
        <w:t xml:space="preserve"> </w:t>
      </w:r>
      <w:r w:rsidR="00407B13" w:rsidRPr="00E70281">
        <w:rPr>
          <w:color w:val="auto"/>
        </w:rPr>
        <w:t>methods</w:t>
      </w:r>
      <w:r w:rsidR="001F69E7" w:rsidRPr="00E70281">
        <w:rPr>
          <w:color w:val="auto"/>
        </w:rPr>
        <w:t xml:space="preserve"> for </w:t>
      </w:r>
      <w:r w:rsidR="00F07912" w:rsidRPr="00E70281">
        <w:rPr>
          <w:color w:val="auto"/>
        </w:rPr>
        <w:t>calculating</w:t>
      </w:r>
      <w:r w:rsidR="001F69E7" w:rsidRPr="00E70281">
        <w:rPr>
          <w:color w:val="auto"/>
        </w:rPr>
        <w:t xml:space="preserve"> initial rates when the availability of early kinetic data is limited (as per many adsorption experiments). </w:t>
      </w:r>
      <w:bookmarkStart w:id="9" w:name="_Hlk61260475"/>
      <w:bookmarkStart w:id="10" w:name="_Hlk61259666"/>
      <w:r w:rsidR="00F61D25" w:rsidRPr="00E70281">
        <w:rPr>
          <w:color w:val="auto"/>
        </w:rPr>
        <w:t xml:space="preserve">We then </w:t>
      </w:r>
      <w:r w:rsidR="00407B13" w:rsidRPr="00E70281">
        <w:rPr>
          <w:color w:val="auto"/>
        </w:rPr>
        <w:t>compiled</w:t>
      </w:r>
      <w:r w:rsidR="00642D0E" w:rsidRPr="00E70281">
        <w:rPr>
          <w:color w:val="auto"/>
        </w:rPr>
        <w:t xml:space="preserve"> a wide range o</w:t>
      </w:r>
      <w:r w:rsidR="00E5397B" w:rsidRPr="00E70281">
        <w:rPr>
          <w:color w:val="auto"/>
        </w:rPr>
        <w:t xml:space="preserve">f literature data sets </w:t>
      </w:r>
      <w:r w:rsidR="00642D0E" w:rsidRPr="00E70281">
        <w:rPr>
          <w:color w:val="auto"/>
        </w:rPr>
        <w:t>where</w:t>
      </w:r>
      <w:r w:rsidR="00F07912" w:rsidRPr="00E70281">
        <w:rPr>
          <w:color w:val="auto"/>
        </w:rPr>
        <w:t>in multiple</w:t>
      </w:r>
      <w:r w:rsidR="00642D0E" w:rsidRPr="00E70281">
        <w:rPr>
          <w:color w:val="auto"/>
        </w:rPr>
        <w:t xml:space="preserve"> adsorption kinetic</w:t>
      </w:r>
      <w:r w:rsidR="00F07912" w:rsidRPr="00E70281">
        <w:rPr>
          <w:color w:val="auto"/>
        </w:rPr>
        <w:t xml:space="preserve"> experiments </w:t>
      </w:r>
      <w:r w:rsidR="00642D0E" w:rsidRPr="00E70281">
        <w:rPr>
          <w:color w:val="auto"/>
        </w:rPr>
        <w:t xml:space="preserve">with </w:t>
      </w:r>
      <w:r w:rsidR="00F07912" w:rsidRPr="00E70281">
        <w:rPr>
          <w:color w:val="auto"/>
        </w:rPr>
        <w:t>different values of</w:t>
      </w:r>
      <w:r w:rsidR="00642D0E" w:rsidRPr="00E70281">
        <w:rPr>
          <w:color w:val="auto"/>
        </w:rPr>
        <w:t xml:space="preserve"> C</w:t>
      </w:r>
      <w:r w:rsidR="00642D0E" w:rsidRPr="00E70281">
        <w:rPr>
          <w:color w:val="auto"/>
          <w:vertAlign w:val="subscript"/>
        </w:rPr>
        <w:t>0</w:t>
      </w:r>
      <w:r w:rsidR="00642D0E" w:rsidRPr="00E70281">
        <w:rPr>
          <w:color w:val="auto"/>
        </w:rPr>
        <w:t xml:space="preserve"> and C</w:t>
      </w:r>
      <w:r w:rsidR="00642D0E" w:rsidRPr="00E70281">
        <w:rPr>
          <w:color w:val="auto"/>
          <w:vertAlign w:val="subscript"/>
        </w:rPr>
        <w:t>s</w:t>
      </w:r>
      <w:r w:rsidR="00F61D25" w:rsidRPr="00E70281">
        <w:rPr>
          <w:color w:val="auto"/>
        </w:rPr>
        <w:t xml:space="preserve"> are reported</w:t>
      </w:r>
      <w:r w:rsidR="00E5397B" w:rsidRPr="00E70281">
        <w:rPr>
          <w:color w:val="auto"/>
        </w:rPr>
        <w:t xml:space="preserve"> (with each data set being a specific adsorbate-adsorbent system)</w:t>
      </w:r>
      <w:r w:rsidR="00F61D25" w:rsidRPr="00E70281">
        <w:rPr>
          <w:color w:val="auto"/>
        </w:rPr>
        <w:t xml:space="preserve"> and determined the order of reaction with respect to each variable.</w:t>
      </w:r>
      <w:r w:rsidR="000F6E35" w:rsidRPr="00E70281">
        <w:rPr>
          <w:color w:val="auto"/>
        </w:rPr>
        <w:t xml:space="preserve"> </w:t>
      </w:r>
      <w:bookmarkEnd w:id="9"/>
      <w:r w:rsidR="000F6E35" w:rsidRPr="00E70281">
        <w:rPr>
          <w:color w:val="auto"/>
        </w:rPr>
        <w:t xml:space="preserve">We used mineral and organic adsorbents, and metal, inorganic and organic adsorbates, </w:t>
      </w:r>
      <w:r w:rsidR="00DB0786" w:rsidRPr="00E70281">
        <w:rPr>
          <w:color w:val="auto"/>
        </w:rPr>
        <w:t>to achieve a model that is generally a</w:t>
      </w:r>
      <w:r w:rsidR="000F6E35" w:rsidRPr="00E70281">
        <w:rPr>
          <w:color w:val="auto"/>
        </w:rPr>
        <w:t>pplicable</w:t>
      </w:r>
      <w:r w:rsidRPr="00E70281">
        <w:rPr>
          <w:color w:val="auto"/>
        </w:rPr>
        <w:t xml:space="preserve"> to a wide range of systems, as per the original PSO model</w:t>
      </w:r>
      <w:r w:rsidR="000F6E35" w:rsidRPr="00E70281">
        <w:rPr>
          <w:color w:val="auto"/>
        </w:rPr>
        <w:t>.</w:t>
      </w:r>
      <w:bookmarkEnd w:id="10"/>
      <w:r w:rsidR="00F61D25" w:rsidRPr="00E70281">
        <w:rPr>
          <w:color w:val="auto"/>
        </w:rPr>
        <w:t xml:space="preserve"> We built the observed C</w:t>
      </w:r>
      <w:r w:rsidR="00F61D25" w:rsidRPr="00E70281">
        <w:rPr>
          <w:color w:val="auto"/>
          <w:vertAlign w:val="subscript"/>
        </w:rPr>
        <w:t>0</w:t>
      </w:r>
      <w:r w:rsidR="00F61D25" w:rsidRPr="00E70281">
        <w:rPr>
          <w:color w:val="auto"/>
        </w:rPr>
        <w:t xml:space="preserve"> and C</w:t>
      </w:r>
      <w:r w:rsidR="00F61D25" w:rsidRPr="00E70281">
        <w:rPr>
          <w:color w:val="auto"/>
          <w:vertAlign w:val="subscript"/>
        </w:rPr>
        <w:t>s</w:t>
      </w:r>
      <w:r w:rsidR="00F61D25" w:rsidRPr="00E70281">
        <w:rPr>
          <w:color w:val="auto"/>
        </w:rPr>
        <w:t xml:space="preserve"> dependence into a revised form of the PSO </w:t>
      </w:r>
      <w:r w:rsidR="006C6F27" w:rsidRPr="00E70281">
        <w:rPr>
          <w:color w:val="auto"/>
        </w:rPr>
        <w:t>rate equation</w:t>
      </w:r>
      <w:r w:rsidR="00F61D25" w:rsidRPr="00E70281">
        <w:rPr>
          <w:color w:val="auto"/>
        </w:rPr>
        <w:t xml:space="preserve"> </w:t>
      </w:r>
      <w:r w:rsidR="005A0F9A" w:rsidRPr="00E70281">
        <w:rPr>
          <w:color w:val="auto"/>
        </w:rPr>
        <w:t xml:space="preserve">(which we refer to as </w:t>
      </w:r>
      <w:r w:rsidR="00A613F8" w:rsidRPr="00E70281">
        <w:rPr>
          <w:color w:val="FF0000"/>
        </w:rPr>
        <w:t xml:space="preserve">the </w:t>
      </w:r>
      <w:r w:rsidR="005A0F9A" w:rsidRPr="00E70281">
        <w:rPr>
          <w:color w:val="FF0000"/>
        </w:rPr>
        <w:t>rPSO</w:t>
      </w:r>
      <w:r w:rsidR="00A613F8" w:rsidRPr="00E70281">
        <w:rPr>
          <w:color w:val="FF0000"/>
        </w:rPr>
        <w:t xml:space="preserve"> rate equation</w:t>
      </w:r>
      <w:r w:rsidR="005A0F9A" w:rsidRPr="00E70281">
        <w:rPr>
          <w:color w:val="auto"/>
        </w:rPr>
        <w:t xml:space="preserve">) </w:t>
      </w:r>
      <w:r w:rsidR="00F61D25" w:rsidRPr="00E70281">
        <w:rPr>
          <w:color w:val="auto"/>
        </w:rPr>
        <w:t xml:space="preserve">and verified that the rate constants given by this new model are more stable with </w:t>
      </w:r>
      <w:r w:rsidR="00407B13" w:rsidRPr="00E70281">
        <w:rPr>
          <w:color w:val="auto"/>
        </w:rPr>
        <w:t xml:space="preserve">respect to </w:t>
      </w:r>
      <w:r w:rsidR="00F61D25" w:rsidRPr="00E70281">
        <w:rPr>
          <w:color w:val="auto"/>
        </w:rPr>
        <w:t>changes in experimental conditions tha</w:t>
      </w:r>
      <w:r w:rsidR="006C6F27" w:rsidRPr="00E70281">
        <w:rPr>
          <w:color w:val="auto"/>
        </w:rPr>
        <w:t>n the PSO rate constant</w:t>
      </w:r>
      <w:r w:rsidR="00F61D25" w:rsidRPr="00E70281">
        <w:rPr>
          <w:color w:val="auto"/>
        </w:rPr>
        <w:t xml:space="preserve"> k</w:t>
      </w:r>
      <w:r w:rsidR="00F61D25" w:rsidRPr="00E70281">
        <w:rPr>
          <w:color w:val="auto"/>
          <w:vertAlign w:val="subscript"/>
        </w:rPr>
        <w:t>2</w:t>
      </w:r>
      <w:r w:rsidR="00F61D25" w:rsidRPr="00E70281">
        <w:rPr>
          <w:color w:val="auto"/>
        </w:rPr>
        <w:t xml:space="preserve">. </w:t>
      </w:r>
      <w:r w:rsidR="00DB0786" w:rsidRPr="00E70281">
        <w:rPr>
          <w:color w:val="auto"/>
        </w:rPr>
        <w:t>Finally, w</w:t>
      </w:r>
      <w:r w:rsidR="001F69E7" w:rsidRPr="00E70281">
        <w:rPr>
          <w:color w:val="auto"/>
        </w:rPr>
        <w:t>e</w:t>
      </w:r>
      <w:r w:rsidR="00DB0786" w:rsidRPr="00E70281">
        <w:rPr>
          <w:color w:val="auto"/>
        </w:rPr>
        <w:t xml:space="preserve"> used two</w:t>
      </w:r>
      <w:r w:rsidR="006C6F27" w:rsidRPr="00E70281">
        <w:rPr>
          <w:color w:val="auto"/>
        </w:rPr>
        <w:t xml:space="preserve"> applicat</w:t>
      </w:r>
      <w:r w:rsidR="005A16BA" w:rsidRPr="00E70281">
        <w:rPr>
          <w:color w:val="auto"/>
        </w:rPr>
        <w:t>i</w:t>
      </w:r>
      <w:r w:rsidR="006C6F27" w:rsidRPr="00E70281">
        <w:rPr>
          <w:color w:val="auto"/>
        </w:rPr>
        <w:t>on</w:t>
      </w:r>
      <w:r w:rsidR="00DB0786" w:rsidRPr="00E70281">
        <w:rPr>
          <w:color w:val="auto"/>
        </w:rPr>
        <w:t xml:space="preserve"> studies to assess the potential of this revised PSO model to overcome current limitations: </w:t>
      </w:r>
      <w:r w:rsidR="001F69E7" w:rsidRPr="00E70281">
        <w:rPr>
          <w:color w:val="auto"/>
        </w:rPr>
        <w:t>(1) describing multiple experiments with varying values of C</w:t>
      </w:r>
      <w:r w:rsidR="001F69E7" w:rsidRPr="00E70281">
        <w:rPr>
          <w:color w:val="auto"/>
          <w:vertAlign w:val="subscript"/>
        </w:rPr>
        <w:t>0</w:t>
      </w:r>
      <w:r w:rsidR="001F69E7" w:rsidRPr="00E70281">
        <w:rPr>
          <w:color w:val="auto"/>
        </w:rPr>
        <w:t xml:space="preserve"> and C</w:t>
      </w:r>
      <w:r w:rsidR="001F69E7" w:rsidRPr="00E70281">
        <w:rPr>
          <w:color w:val="auto"/>
          <w:vertAlign w:val="subscript"/>
        </w:rPr>
        <w:t>s</w:t>
      </w:r>
      <w:r w:rsidR="001F69E7" w:rsidRPr="00E70281">
        <w:rPr>
          <w:color w:val="auto"/>
        </w:rPr>
        <w:t xml:space="preserve"> using a single rate constant, and (2) </w:t>
      </w:r>
      <w:r w:rsidRPr="00E70281">
        <w:rPr>
          <w:color w:val="auto"/>
        </w:rPr>
        <w:t>achieving a more meaningful</w:t>
      </w:r>
      <w:r w:rsidR="001F69E7" w:rsidRPr="00E70281">
        <w:rPr>
          <w:color w:val="auto"/>
        </w:rPr>
        <w:t xml:space="preserve"> comparison of </w:t>
      </w:r>
      <w:r w:rsidR="006C6F27" w:rsidRPr="00E70281">
        <w:rPr>
          <w:color w:val="auto"/>
        </w:rPr>
        <w:t xml:space="preserve">the </w:t>
      </w:r>
      <w:r w:rsidR="001F69E7" w:rsidRPr="00E70281">
        <w:rPr>
          <w:color w:val="auto"/>
        </w:rPr>
        <w:t>adsorption kinetics</w:t>
      </w:r>
      <w:r w:rsidR="006C6F27" w:rsidRPr="00E70281">
        <w:rPr>
          <w:color w:val="auto"/>
        </w:rPr>
        <w:t xml:space="preserve"> reported</w:t>
      </w:r>
      <w:r w:rsidR="001F69E7" w:rsidRPr="00E70281">
        <w:rPr>
          <w:color w:val="auto"/>
        </w:rPr>
        <w:t xml:space="preserve"> across the literature</w:t>
      </w:r>
      <w:r w:rsidR="00F56EED" w:rsidRPr="00E70281">
        <w:rPr>
          <w:color w:val="auto"/>
        </w:rPr>
        <w:t>.</w:t>
      </w:r>
      <w:r w:rsidR="00944EB5" w:rsidRPr="00E70281">
        <w:rPr>
          <w:color w:val="auto"/>
        </w:rPr>
        <w:br w:type="page"/>
      </w:r>
    </w:p>
    <w:p w14:paraId="45C73C5C" w14:textId="6A84F09B" w:rsidR="00B664A7" w:rsidRPr="00E70281" w:rsidRDefault="00B664A7" w:rsidP="009222BF">
      <w:pPr>
        <w:pStyle w:val="Heading1"/>
        <w:numPr>
          <w:ilvl w:val="0"/>
          <w:numId w:val="0"/>
        </w:numPr>
        <w:ind w:left="360"/>
        <w:jc w:val="both"/>
        <w:rPr>
          <w:color w:val="auto"/>
        </w:rPr>
      </w:pPr>
      <w:r w:rsidRPr="00E70281">
        <w:rPr>
          <w:color w:val="auto"/>
        </w:rPr>
        <w:lastRenderedPageBreak/>
        <w:t>Experimental</w:t>
      </w:r>
    </w:p>
    <w:p w14:paraId="090F64E5" w14:textId="2E9E5EF6" w:rsidR="0084474C" w:rsidRPr="00E70281" w:rsidRDefault="0084474C" w:rsidP="0084474C">
      <w:pPr>
        <w:rPr>
          <w:color w:val="auto"/>
        </w:rPr>
      </w:pPr>
    </w:p>
    <w:p w14:paraId="6E7350C8" w14:textId="77777777" w:rsidR="00C27225" w:rsidRPr="00E70281" w:rsidRDefault="00C27225" w:rsidP="00C27225">
      <w:pPr>
        <w:pStyle w:val="Heading2"/>
      </w:pPr>
      <w:r w:rsidRPr="00E70281">
        <w:t xml:space="preserve">Data sets </w:t>
      </w:r>
    </w:p>
    <w:p w14:paraId="58EF0BC8" w14:textId="0158A8B5" w:rsidR="00C27225" w:rsidRPr="00E70281" w:rsidRDefault="00C27225" w:rsidP="00C27225">
      <w:pPr>
        <w:rPr>
          <w:color w:val="auto"/>
        </w:rPr>
      </w:pPr>
      <w:r w:rsidRPr="00E70281">
        <w:rPr>
          <w:color w:val="auto"/>
        </w:rPr>
        <w:t>Literature sources that experimentally investigated the influence of C</w:t>
      </w:r>
      <w:r w:rsidRPr="00E70281">
        <w:rPr>
          <w:color w:val="auto"/>
          <w:vertAlign w:val="subscript"/>
        </w:rPr>
        <w:t>0</w:t>
      </w:r>
      <w:r w:rsidR="00AB54D8" w:rsidRPr="00E70281">
        <w:rPr>
          <w:color w:val="auto"/>
        </w:rPr>
        <w:t xml:space="preserve"> </w:t>
      </w:r>
      <w:r w:rsidR="00AB54D8" w:rsidRPr="00E70281">
        <w:rPr>
          <w:color w:val="FF0000"/>
        </w:rPr>
        <w:t>and</w:t>
      </w:r>
      <w:r w:rsidRPr="00E70281">
        <w:rPr>
          <w:color w:val="FF0000"/>
        </w:rPr>
        <w:t xml:space="preserve"> </w:t>
      </w:r>
      <w:r w:rsidRPr="00E70281">
        <w:rPr>
          <w:color w:val="auto"/>
        </w:rPr>
        <w:t>C</w:t>
      </w:r>
      <w:r w:rsidRPr="00E70281">
        <w:rPr>
          <w:color w:val="auto"/>
          <w:vertAlign w:val="subscript"/>
        </w:rPr>
        <w:t>s</w:t>
      </w:r>
      <w:r w:rsidRPr="00E70281">
        <w:rPr>
          <w:color w:val="auto"/>
        </w:rPr>
        <w:t xml:space="preserve"> upon adsorption kinetics were compiled and the experimental data </w:t>
      </w:r>
      <w:r w:rsidR="00AB54D8" w:rsidRPr="00E70281">
        <w:rPr>
          <w:color w:val="FF0000"/>
        </w:rPr>
        <w:t xml:space="preserve">was </w:t>
      </w:r>
      <w:r w:rsidRPr="00E70281">
        <w:rPr>
          <w:color w:val="auto"/>
        </w:rPr>
        <w:t>tabulated (</w:t>
      </w:r>
      <w:r w:rsidR="00AB54D8" w:rsidRPr="00E70281">
        <w:rPr>
          <w:color w:val="FF0000"/>
        </w:rPr>
        <w:t xml:space="preserve">as </w:t>
      </w:r>
      <w:r w:rsidRPr="00E70281">
        <w:rPr>
          <w:color w:val="auto"/>
        </w:rPr>
        <w:t>referenced in the Supplementary Information: SI Table S1). Both mineral adsorbents and organic adsorbents (activated carbon and chitosan) were included, however zeolites and metal-organic frameworks (MOFs) were not since the sorption mechanism of adsorbate trapping within cages might produce contrary results. None of the literature sources found gave any mechanistic account or mathematical explanation for observed differences in adsorption kinetics due to varying values of C</w:t>
      </w:r>
      <w:r w:rsidRPr="00E70281">
        <w:rPr>
          <w:color w:val="auto"/>
          <w:vertAlign w:val="subscript"/>
        </w:rPr>
        <w:t>0</w:t>
      </w:r>
      <w:r w:rsidRPr="00E70281">
        <w:rPr>
          <w:color w:val="auto"/>
        </w:rPr>
        <w:t xml:space="preserve"> </w:t>
      </w:r>
      <w:r w:rsidR="00AB54D8" w:rsidRPr="00E70281">
        <w:rPr>
          <w:color w:val="FF0000"/>
        </w:rPr>
        <w:t xml:space="preserve">or </w:t>
      </w:r>
      <w:r w:rsidRPr="00E70281">
        <w:rPr>
          <w:color w:val="auto"/>
        </w:rPr>
        <w:t>C</w:t>
      </w:r>
      <w:r w:rsidRPr="00E70281">
        <w:rPr>
          <w:color w:val="auto"/>
          <w:vertAlign w:val="subscript"/>
        </w:rPr>
        <w:t>s</w:t>
      </w:r>
      <w:r w:rsidRPr="00E70281">
        <w:rPr>
          <w:color w:val="auto"/>
        </w:rPr>
        <w:t xml:space="preserve">. </w:t>
      </w:r>
      <w:proofErr w:type="gramStart"/>
      <w:r w:rsidRPr="00E70281">
        <w:rPr>
          <w:color w:val="auto"/>
        </w:rPr>
        <w:t>The majority of</w:t>
      </w:r>
      <w:proofErr w:type="gramEnd"/>
      <w:r w:rsidRPr="00E70281">
        <w:rPr>
          <w:color w:val="auto"/>
        </w:rPr>
        <w:t xml:space="preserve"> the compiled literature used the PSO model to describe adsorption kinetics. </w:t>
      </w:r>
    </w:p>
    <w:p w14:paraId="65A3CCB3" w14:textId="6F8863A6" w:rsidR="00C27225" w:rsidRPr="00E70281" w:rsidRDefault="00C27225" w:rsidP="00C27225">
      <w:pPr>
        <w:rPr>
          <w:color w:val="auto"/>
        </w:rPr>
      </w:pPr>
      <w:r w:rsidRPr="00E70281">
        <w:rPr>
          <w:color w:val="auto"/>
        </w:rPr>
        <w:t xml:space="preserve">In total 47 literature sources with approximately 100 kinetic experiments were collected. This includes: 14 literature sources </w:t>
      </w:r>
      <w:r w:rsidR="00807254" w:rsidRPr="00E70281">
        <w:rPr>
          <w:color w:val="FF0000"/>
        </w:rPr>
        <w:t>reporting</w:t>
      </w:r>
      <w:r w:rsidRPr="00E70281">
        <w:rPr>
          <w:color w:val="FF0000"/>
        </w:rPr>
        <w:t xml:space="preserve"> </w:t>
      </w:r>
      <w:r w:rsidRPr="00E70281">
        <w:rPr>
          <w:color w:val="auto"/>
        </w:rPr>
        <w:t xml:space="preserve">early kinetic data (where </w:t>
      </w:r>
      <m:oMath>
        <m:r>
          <m:rPr>
            <m:sty m:val="p"/>
          </m:rPr>
          <w:rPr>
            <w:rFonts w:ascii="Cambria Math" w:hAnsi="Cambria Math"/>
            <w:color w:val="auto"/>
          </w:rPr>
          <m:t>0&lt;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m:rPr>
            <m:sty m:val="p"/>
          </m:rPr>
          <w:rPr>
            <w:rFonts w:ascii="Cambria Math" w:hAnsi="Cambria Math"/>
            <w:color w:val="auto"/>
          </w:rPr>
          <m:t>&lt;0.2</m:t>
        </m:r>
      </m:oMath>
      <w:r w:rsidRPr="00E70281">
        <w:rPr>
          <w:color w:val="auto"/>
        </w:rPr>
        <w:t xml:space="preserve">) to investigate </w:t>
      </w:r>
      <w:r w:rsidR="00B76126" w:rsidRPr="00E70281">
        <w:rPr>
          <w:color w:val="FF0000"/>
        </w:rPr>
        <w:t>how</w:t>
      </w:r>
      <w:r w:rsidRPr="00E70281">
        <w:rPr>
          <w:color w:val="FF0000"/>
        </w:rPr>
        <w:t xml:space="preserve"> </w:t>
      </w:r>
      <w:r w:rsidR="00B244CC" w:rsidRPr="00E70281">
        <w:rPr>
          <w:color w:val="FF0000"/>
        </w:rPr>
        <w:t xml:space="preserve">the availability of </w:t>
      </w:r>
      <w:r w:rsidRPr="00E70281">
        <w:rPr>
          <w:color w:val="FF0000"/>
        </w:rPr>
        <w:t>early</w:t>
      </w:r>
      <w:r w:rsidR="00EF75E1" w:rsidRPr="00E70281">
        <w:rPr>
          <w:color w:val="FF0000"/>
        </w:rPr>
        <w:t xml:space="preserve"> kinetic data</w:t>
      </w:r>
      <w:r w:rsidR="00B76126" w:rsidRPr="00E70281">
        <w:rPr>
          <w:color w:val="FF0000"/>
        </w:rPr>
        <w:t xml:space="preserve"> influences</w:t>
      </w:r>
      <w:r w:rsidRPr="00E70281">
        <w:rPr>
          <w:color w:val="auto"/>
        </w:rPr>
        <w:t xml:space="preserve"> initial rate</w:t>
      </w:r>
      <w:r w:rsidR="00EF75E1" w:rsidRPr="00E70281">
        <w:rPr>
          <w:color w:val="auto"/>
        </w:rPr>
        <w:t xml:space="preserve"> </w:t>
      </w:r>
      <w:r w:rsidR="00EF75E1" w:rsidRPr="00E70281">
        <w:rPr>
          <w:color w:val="FF0000"/>
        </w:rPr>
        <w:t>calculations</w:t>
      </w:r>
      <w:r w:rsidRPr="00E70281">
        <w:rPr>
          <w:color w:val="auto"/>
        </w:rPr>
        <w:t>; 8 literature sources (9 data sets) with a total 37 experiments where C</w:t>
      </w:r>
      <w:r w:rsidRPr="00E70281">
        <w:rPr>
          <w:color w:val="auto"/>
          <w:vertAlign w:val="subscript"/>
        </w:rPr>
        <w:t>0</w:t>
      </w:r>
      <w:r w:rsidRPr="00E70281">
        <w:rPr>
          <w:color w:val="auto"/>
        </w:rPr>
        <w:t xml:space="preserve"> is varied; 6 literature sources (8 data sets) with a total 27 experiments where C</w:t>
      </w:r>
      <w:r w:rsidRPr="00E70281">
        <w:rPr>
          <w:color w:val="auto"/>
          <w:vertAlign w:val="subscript"/>
        </w:rPr>
        <w:t>s</w:t>
      </w:r>
      <w:r w:rsidRPr="00E70281">
        <w:rPr>
          <w:color w:val="auto"/>
        </w:rPr>
        <w:t xml:space="preserve"> is varied; and 21 literature sources (25 experiments) for the adsorption of inorganic arsenic onto iron oxide and alumina adsorbents. A data set </w:t>
      </w:r>
      <w:proofErr w:type="gramStart"/>
      <w:r w:rsidRPr="00E70281">
        <w:rPr>
          <w:color w:val="auto"/>
        </w:rPr>
        <w:t>is considered to be</w:t>
      </w:r>
      <w:proofErr w:type="gramEnd"/>
      <w:r w:rsidRPr="00E70281">
        <w:rPr>
          <w:color w:val="auto"/>
        </w:rPr>
        <w:t xml:space="preserve"> all kinetic experiments using the same adsorbate-adsorbent system within a single literature source. The compiled data sets are </w:t>
      </w:r>
      <w:r w:rsidR="004E4C35" w:rsidRPr="00E70281">
        <w:rPr>
          <w:color w:val="FF0000"/>
        </w:rPr>
        <w:t>presented</w:t>
      </w:r>
      <w:r w:rsidRPr="00E70281">
        <w:rPr>
          <w:color w:val="FF0000"/>
        </w:rPr>
        <w:t xml:space="preserve"> </w:t>
      </w:r>
      <w:r w:rsidRPr="00E70281">
        <w:rPr>
          <w:color w:val="auto"/>
        </w:rPr>
        <w:t xml:space="preserve">elsewhere </w:t>
      </w:r>
      <w:r w:rsidR="00623D96" w:rsidRPr="00E70281">
        <w:rPr>
          <w:color w:val="auto"/>
        </w:rPr>
        <w:fldChar w:fldCharType="begin" w:fldLock="1"/>
      </w:r>
      <w:r w:rsidR="003776C0" w:rsidRPr="00E70281">
        <w:rPr>
          <w:color w:val="auto"/>
        </w:rPr>
        <w:instrText>ADDIN CSL_CITATION {"citationItems":[{"id":"ITEM-1","itemData":{"DOI":"10.5281/ZENODO.4443102","author":[{"dropping-particle":"","family":"Bullen","given":"Jay C","non-dropping-particle":"","parse-names":false,"suffix":""},{"dropping-particle":"","family":"Saleesongsom","given":"Sarawud","non-dropping-particle":"","parse-names":false,"suffix":""}],"container-title":"Zenodo","id":"ITEM-1","issued":{"date-parts":[["2021","1","15"]]},"title":"Adsorption kinetics data sets, compiled from the literature. As used in the research article \"A revised pseudo-second order kinetic model for adsorption, sensitive to changes in adsorbate and adsorbent concentrations\"","type":"article"},"uris":["http://www.mendeley.com/documents/?uuid=8976386e-8f55-395f-81c1-a0ddc98fbfe7"]}],"mendeley":{"formattedCitation":"&lt;sup&gt;19&lt;/sup&gt;","plainTextFormattedCitation":"19","previouslyFormattedCitation":"&lt;sup&gt;19&lt;/sup&gt;"},"properties":{"noteIndex":0},"schema":"https://github.com/citation-style-language/schema/raw/master/csl-citation.json"}</w:instrText>
      </w:r>
      <w:r w:rsidR="00623D96" w:rsidRPr="00E70281">
        <w:rPr>
          <w:color w:val="auto"/>
        </w:rPr>
        <w:fldChar w:fldCharType="separate"/>
      </w:r>
      <w:r w:rsidR="00623D96" w:rsidRPr="00E70281">
        <w:rPr>
          <w:noProof/>
          <w:color w:val="auto"/>
          <w:vertAlign w:val="superscript"/>
        </w:rPr>
        <w:t>19</w:t>
      </w:r>
      <w:r w:rsidR="00623D96" w:rsidRPr="00E70281">
        <w:rPr>
          <w:color w:val="auto"/>
        </w:rPr>
        <w:fldChar w:fldCharType="end"/>
      </w:r>
      <w:r w:rsidRPr="00E70281">
        <w:rPr>
          <w:color w:val="auto"/>
        </w:rPr>
        <w:t>.</w:t>
      </w:r>
    </w:p>
    <w:p w14:paraId="57F0CF16" w14:textId="77777777" w:rsidR="00C27225" w:rsidRPr="00E70281" w:rsidRDefault="00C27225" w:rsidP="00C27225">
      <w:pPr>
        <w:rPr>
          <w:color w:val="auto"/>
        </w:rPr>
      </w:pPr>
    </w:p>
    <w:p w14:paraId="73D5A747" w14:textId="77777777" w:rsidR="00F56EED" w:rsidRPr="00E70281" w:rsidRDefault="00F56EED" w:rsidP="00F56EED">
      <w:pPr>
        <w:pStyle w:val="Heading2"/>
      </w:pPr>
      <w:r w:rsidRPr="00E70281">
        <w:t>Mathematical approaches for the determination of initial rates</w:t>
      </w:r>
    </w:p>
    <w:p w14:paraId="667F43E7" w14:textId="0B39FDEC" w:rsidR="00F56EED" w:rsidRPr="00E70281" w:rsidRDefault="00F56EED" w:rsidP="00F56EED">
      <w:pPr>
        <w:rPr>
          <w:color w:val="auto"/>
        </w:rPr>
      </w:pPr>
      <w:r w:rsidRPr="00E70281">
        <w:rPr>
          <w:color w:val="auto"/>
        </w:rPr>
        <w:t>Three approaches towards the calculation of initial rates were compared: (1) the initial slope, (2) linearised PSO kinetics, and (3) non-linear PSO kinetics.</w:t>
      </w:r>
    </w:p>
    <w:p w14:paraId="3B5CF186" w14:textId="0F4A5C0B" w:rsidR="00F56EED" w:rsidRPr="00E70281" w:rsidRDefault="00B244CC" w:rsidP="00F56EED">
      <w:pPr>
        <w:rPr>
          <w:color w:val="auto"/>
        </w:rPr>
      </w:pPr>
      <w:r w:rsidRPr="00E70281">
        <w:rPr>
          <w:color w:val="FF0000"/>
        </w:rPr>
        <w:t>Under</w:t>
      </w:r>
      <w:r w:rsidR="00F56EED" w:rsidRPr="00E70281">
        <w:rPr>
          <w:color w:val="FF0000"/>
        </w:rPr>
        <w:t xml:space="preserve"> </w:t>
      </w:r>
      <w:r w:rsidR="00F56EED" w:rsidRPr="00E70281">
        <w:rPr>
          <w:color w:val="auto"/>
        </w:rPr>
        <w:t>the initial slope approach, the initial rate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r>
              <m:rPr>
                <m:sty m:val="p"/>
              </m:rPr>
              <w:rPr>
                <w:rFonts w:ascii="Cambria Math" w:hAnsi="Cambria Math"/>
                <w:color w:val="auto"/>
              </w:rPr>
              <m:t>∆t</m:t>
            </m:r>
          </m:den>
        </m:f>
      </m:oMath>
      <w:r w:rsidR="00F56EED" w:rsidRPr="00E70281">
        <w:rPr>
          <w:color w:val="auto"/>
        </w:rPr>
        <w:t xml:space="preserve"> at t=0) was calculated as the slope between the origin at (0,0) and the earliest available data point at t&gt;0</w:t>
      </w:r>
      <w:r w:rsidR="007E02BB" w:rsidRPr="00E70281">
        <w:rPr>
          <w:color w:val="auto"/>
        </w:rPr>
        <w:t xml:space="preserve"> </w:t>
      </w:r>
      <w:r w:rsidR="007E02BB" w:rsidRPr="00E70281">
        <w:rPr>
          <w:color w:val="auto"/>
        </w:rPr>
        <w:fldChar w:fldCharType="begin" w:fldLock="1"/>
      </w:r>
      <w:r w:rsidR="003776C0" w:rsidRPr="00E70281">
        <w:rPr>
          <w:color w:val="auto"/>
        </w:rPr>
        <w:instrText>ADDIN CSL_CITATION {"citationItems":[{"id":"ITEM-1","itemData":{"DOI":"10.1021/ed056pA260.1","ISBN":"9780199543373","ISSN":"03681874","PMID":"5882806","abstract":"Atkins' Physical Chemistry epitomises the benchmark of achievement for a chemistry degree throughout the world. Its broad coverage, concise explanations, and robust mathematical support are clearly presented in an engaging style to furnish students with a solid foundation in the subject. In this ninth edition the authors continue to refine their presentation of physical chemistry. The coverage of introductory topics is streamlined, and the addition of a new fundamentals chapter provides students with an overview of key principles on which the subject is based. The text includes increased coverage of computational chemistry and additional contextual examples of materials chemistry throughout, mirroring the current needs of today's students and lecturers. Mathematics remains an intrinsic yet challenging part of physical chemistry. Extensive mathematical support, including a 'Checklist of key equations' at the end of every chapter, and 'Mathematical background' sections containing worked examples and self-tests, empower students to overcome any barriers to understanding that grasping the mathematical content might present. These features help to ensure the reader can master the subject without a need to sacrifice the rigour and depth of the mathematical content. The pedagogical framework, which is a hallmark of the authors' writing, has been further strengthened. New 'Key points' provide summaries of the main take-home messages of each section and enable students to gain an overview of the topic before tackling it in depth; 'Brief illustrations' give a concise insight into how a particular mathematical concept is applied in practice, providing students with the opportunity to contextualise their learning. All these exciting new features and innovations are presented within a refreshed full colour text design, to stimulate and engage students yet further. The Online Resource Centre contains Living Graphs, illustrations from the book, and web links. An Instructor's Solutions Manual (free to adopters) and a Student's Solutions Manual are also available. Access to the Physical Chemistry eBook is also included with the purchase of the printed text. Offering enhanced functionality, including notetaking and highlighting, it also includes access to 'Explorations in Physical Chemistry', which contains interactive Excel worksheets and exercises related to the Living Graphs, allowing students to visualise, actively explore and test their understanding of the subject.","author":[{"dropping-particle":"","family":"Atkins","given":"Peter","non-dropping-particle":"","parse-names":false,"suffix":""},{"dropping-particle":"De","family":"Paula","given":"J","non-dropping-particle":"","parse-names":false,"suffix":""}],"container-title":"Chemistry","edition":"9","id":"ITEM-1","issued":{"date-parts":[["2009"]]},"number-of-pages":"783-827","publisher":"Oxford University Press","title":"Atkins' Physical Chemistry","type":"book"},"uris":["http://www.mendeley.com/documents/?uuid=861f1d6e-ded7-4223-a2bc-2572bd50d394"]}],"mendeley":{"formattedCitation":"&lt;sup&gt;20&lt;/sup&gt;","plainTextFormattedCitation":"20","previouslyFormattedCitation":"&lt;sup&gt;20&lt;/sup&gt;"},"properties":{"noteIndex":0},"schema":"https://github.com/citation-style-language/schema/raw/master/csl-citation.json"}</w:instrText>
      </w:r>
      <w:r w:rsidR="007E02BB" w:rsidRPr="00E70281">
        <w:rPr>
          <w:color w:val="auto"/>
        </w:rPr>
        <w:fldChar w:fldCharType="separate"/>
      </w:r>
      <w:r w:rsidR="00623D96" w:rsidRPr="00E70281">
        <w:rPr>
          <w:noProof/>
          <w:color w:val="auto"/>
          <w:vertAlign w:val="superscript"/>
        </w:rPr>
        <w:t>20</w:t>
      </w:r>
      <w:r w:rsidR="007E02BB" w:rsidRPr="00E70281">
        <w:rPr>
          <w:color w:val="auto"/>
        </w:rPr>
        <w:fldChar w:fldCharType="end"/>
      </w:r>
      <w:r w:rsidR="00F56EED" w:rsidRPr="00E70281">
        <w:rPr>
          <w:color w:val="auto"/>
        </w:rPr>
        <w:t>.</w:t>
      </w:r>
    </w:p>
    <w:p w14:paraId="77AA7E23" w14:textId="15EFD955" w:rsidR="00F56EED" w:rsidRPr="00E70281" w:rsidRDefault="00F56EED" w:rsidP="00F56EED">
      <w:pPr>
        <w:rPr>
          <w:color w:val="auto"/>
        </w:rPr>
      </w:pPr>
      <w:r w:rsidRPr="00E70281">
        <w:rPr>
          <w:color w:val="auto"/>
        </w:rPr>
        <w:t>Initial rates were also calculated using the following linearised form of the</w:t>
      </w:r>
      <w:r w:rsidR="00C27225" w:rsidRPr="00E70281">
        <w:rPr>
          <w:color w:val="auto"/>
        </w:rPr>
        <w:t xml:space="preserve"> integrated</w:t>
      </w:r>
      <w:r w:rsidRPr="00E70281">
        <w:rPr>
          <w:color w:val="auto"/>
        </w:rPr>
        <w:t xml:space="preserve"> PSO rate equation: </w:t>
      </w:r>
    </w:p>
    <w:p w14:paraId="62B60A76" w14:textId="77777777" w:rsidR="00F56EED" w:rsidRPr="00E70281" w:rsidRDefault="00474213" w:rsidP="00F56EED">
      <w:pPr>
        <w:jc w:val="center"/>
        <w:rPr>
          <w:rFonts w:cstheme="minorHAnsi"/>
          <w:color w:val="auto"/>
          <w:szCs w:val="22"/>
        </w:rPr>
      </w:pPr>
      <m:oMathPara>
        <m:oMath>
          <m:f>
            <m:fPr>
              <m:ctrlPr>
                <w:rPr>
                  <w:rFonts w:ascii="Cambria Math" w:hAnsi="Cambria Math" w:cstheme="minorHAnsi"/>
                  <w:color w:val="auto"/>
                  <w:szCs w:val="22"/>
                </w:rPr>
              </m:ctrlPr>
            </m:fPr>
            <m:num>
              <m:r>
                <m:rPr>
                  <m:sty m:val="p"/>
                </m:rPr>
                <w:rPr>
                  <w:rFonts w:ascii="Cambria Math" w:hAnsi="Cambria Math" w:cstheme="minorHAnsi"/>
                  <w:color w:val="auto"/>
                  <w:szCs w:val="22"/>
                </w:rPr>
                <m:t>t</m:t>
              </m:r>
            </m:num>
            <m:den>
              <m:sSub>
                <m:sSubPr>
                  <m:ctrlPr>
                    <w:rPr>
                      <w:rFonts w:ascii="Cambria Math" w:hAnsi="Cambria Math" w:cstheme="minorHAnsi"/>
                      <w:color w:val="auto"/>
                      <w:szCs w:val="22"/>
                    </w:rPr>
                  </m:ctrlPr>
                </m:sSubPr>
                <m:e>
                  <m:r>
                    <m:rPr>
                      <m:sty m:val="p"/>
                    </m:rPr>
                    <w:rPr>
                      <w:rFonts w:ascii="Cambria Math" w:hAnsi="Cambria Math" w:cstheme="minorHAnsi"/>
                      <w:color w:val="auto"/>
                      <w:szCs w:val="22"/>
                    </w:rPr>
                    <m:t>q</m:t>
                  </m:r>
                </m:e>
                <m:sub>
                  <m:r>
                    <m:rPr>
                      <m:sty m:val="p"/>
                    </m:rPr>
                    <w:rPr>
                      <w:rFonts w:ascii="Cambria Math" w:hAnsi="Cambria Math" w:cstheme="minorHAnsi"/>
                      <w:color w:val="auto"/>
                      <w:szCs w:val="22"/>
                    </w:rPr>
                    <m:t>t</m:t>
                  </m:r>
                </m:sub>
              </m:sSub>
            </m:den>
          </m:f>
          <m:r>
            <m:rPr>
              <m:sty m:val="p"/>
            </m:rPr>
            <w:rPr>
              <w:rFonts w:ascii="Cambria Math" w:hAnsi="Cambria Math" w:cstheme="minorHAnsi"/>
              <w:color w:val="auto"/>
              <w:szCs w:val="22"/>
            </w:rPr>
            <m:t>=</m:t>
          </m:r>
          <m:f>
            <m:fPr>
              <m:ctrlPr>
                <w:rPr>
                  <w:rFonts w:ascii="Cambria Math" w:hAnsi="Cambria Math" w:cstheme="minorHAnsi"/>
                  <w:color w:val="auto"/>
                  <w:szCs w:val="22"/>
                </w:rPr>
              </m:ctrlPr>
            </m:fPr>
            <m:num>
              <m:r>
                <m:rPr>
                  <m:sty m:val="p"/>
                </m:rPr>
                <w:rPr>
                  <w:rFonts w:ascii="Cambria Math" w:hAnsi="Cambria Math" w:cstheme="minorHAnsi"/>
                  <w:color w:val="auto"/>
                  <w:szCs w:val="22"/>
                </w:rPr>
                <m:t>1</m:t>
              </m:r>
            </m:num>
            <m:den>
              <m:sSub>
                <m:sSubPr>
                  <m:ctrlPr>
                    <w:rPr>
                      <w:rFonts w:ascii="Cambria Math" w:hAnsi="Cambria Math" w:cstheme="minorHAnsi"/>
                      <w:color w:val="auto"/>
                      <w:szCs w:val="22"/>
                    </w:rPr>
                  </m:ctrlPr>
                </m:sSubPr>
                <m:e>
                  <m:r>
                    <m:rPr>
                      <m:sty m:val="p"/>
                    </m:rPr>
                    <w:rPr>
                      <w:rFonts w:ascii="Cambria Math" w:hAnsi="Cambria Math" w:cstheme="minorHAnsi"/>
                      <w:color w:val="auto"/>
                      <w:szCs w:val="22"/>
                    </w:rPr>
                    <m:t>k</m:t>
                  </m:r>
                </m:e>
                <m:sub>
                  <m:r>
                    <m:rPr>
                      <m:sty m:val="p"/>
                    </m:rPr>
                    <w:rPr>
                      <w:rFonts w:ascii="Cambria Math" w:hAnsi="Cambria Math" w:cstheme="minorHAnsi"/>
                      <w:color w:val="auto"/>
                      <w:szCs w:val="22"/>
                    </w:rPr>
                    <m:t>2</m:t>
                  </m:r>
                </m:sub>
              </m:sSub>
              <m:sSup>
                <m:sSupPr>
                  <m:ctrlPr>
                    <w:rPr>
                      <w:rFonts w:ascii="Cambria Math" w:hAnsi="Cambria Math" w:cstheme="minorHAnsi"/>
                      <w:color w:val="auto"/>
                      <w:szCs w:val="22"/>
                    </w:rPr>
                  </m:ctrlPr>
                </m:sSupPr>
                <m:e>
                  <m:sSub>
                    <m:sSubPr>
                      <m:ctrlPr>
                        <w:rPr>
                          <w:rFonts w:ascii="Cambria Math" w:hAnsi="Cambria Math" w:cstheme="minorHAnsi"/>
                          <w:color w:val="auto"/>
                          <w:szCs w:val="22"/>
                        </w:rPr>
                      </m:ctrlPr>
                    </m:sSubPr>
                    <m:e>
                      <m:r>
                        <m:rPr>
                          <m:sty m:val="p"/>
                        </m:rPr>
                        <w:rPr>
                          <w:rFonts w:ascii="Cambria Math" w:hAnsi="Cambria Math" w:cstheme="minorHAnsi"/>
                          <w:color w:val="auto"/>
                          <w:szCs w:val="22"/>
                        </w:rPr>
                        <m:t>q</m:t>
                      </m:r>
                    </m:e>
                    <m:sub>
                      <m:r>
                        <m:rPr>
                          <m:sty m:val="p"/>
                        </m:rPr>
                        <w:rPr>
                          <w:rFonts w:ascii="Cambria Math" w:hAnsi="Cambria Math" w:cstheme="minorHAnsi"/>
                          <w:color w:val="auto"/>
                          <w:szCs w:val="22"/>
                        </w:rPr>
                        <m:t>e</m:t>
                      </m:r>
                    </m:sub>
                  </m:sSub>
                </m:e>
                <m:sup>
                  <m:r>
                    <m:rPr>
                      <m:sty m:val="p"/>
                    </m:rPr>
                    <w:rPr>
                      <w:rFonts w:ascii="Cambria Math" w:hAnsi="Cambria Math" w:cstheme="minorHAnsi"/>
                      <w:color w:val="auto"/>
                      <w:szCs w:val="22"/>
                    </w:rPr>
                    <m:t>2</m:t>
                  </m:r>
                </m:sup>
              </m:sSup>
            </m:den>
          </m:f>
          <m:r>
            <m:rPr>
              <m:sty m:val="p"/>
            </m:rPr>
            <w:rPr>
              <w:rFonts w:ascii="Cambria Math" w:hAnsi="Cambria Math" w:cstheme="minorHAnsi"/>
              <w:color w:val="auto"/>
              <w:szCs w:val="22"/>
            </w:rPr>
            <m:t>+</m:t>
          </m:r>
          <m:f>
            <m:fPr>
              <m:ctrlPr>
                <w:rPr>
                  <w:rFonts w:ascii="Cambria Math" w:hAnsi="Cambria Math" w:cstheme="minorHAnsi"/>
                  <w:color w:val="auto"/>
                  <w:szCs w:val="22"/>
                </w:rPr>
              </m:ctrlPr>
            </m:fPr>
            <m:num>
              <m:r>
                <m:rPr>
                  <m:sty m:val="p"/>
                </m:rPr>
                <w:rPr>
                  <w:rFonts w:ascii="Cambria Math" w:hAnsi="Cambria Math" w:cstheme="minorHAnsi"/>
                  <w:color w:val="auto"/>
                  <w:szCs w:val="22"/>
                </w:rPr>
                <m:t>t</m:t>
              </m:r>
            </m:num>
            <m:den>
              <m:sSub>
                <m:sSubPr>
                  <m:ctrlPr>
                    <w:rPr>
                      <w:rFonts w:ascii="Cambria Math" w:hAnsi="Cambria Math" w:cstheme="minorHAnsi"/>
                      <w:color w:val="auto"/>
                      <w:szCs w:val="22"/>
                    </w:rPr>
                  </m:ctrlPr>
                </m:sSubPr>
                <m:e>
                  <m:r>
                    <m:rPr>
                      <m:sty m:val="p"/>
                    </m:rPr>
                    <w:rPr>
                      <w:rFonts w:ascii="Cambria Math" w:hAnsi="Cambria Math" w:cstheme="minorHAnsi"/>
                      <w:color w:val="auto"/>
                      <w:szCs w:val="22"/>
                    </w:rPr>
                    <m:t>q</m:t>
                  </m:r>
                </m:e>
                <m:sub>
                  <m:r>
                    <m:rPr>
                      <m:sty m:val="p"/>
                    </m:rPr>
                    <w:rPr>
                      <w:rFonts w:ascii="Cambria Math" w:hAnsi="Cambria Math" w:cstheme="minorHAnsi"/>
                      <w:color w:val="auto"/>
                      <w:szCs w:val="22"/>
                    </w:rPr>
                    <m:t>e</m:t>
                  </m:r>
                </m:sub>
              </m:sSub>
            </m:den>
          </m:f>
        </m:oMath>
      </m:oMathPara>
    </w:p>
    <w:p w14:paraId="7CBC338B" w14:textId="644B5305" w:rsidR="00F56EED" w:rsidRPr="00E70281" w:rsidRDefault="00F56EED" w:rsidP="00F56EED">
      <w:pPr>
        <w:pStyle w:val="Caption"/>
        <w:jc w:val="right"/>
        <w:rPr>
          <w:color w:val="auto"/>
        </w:rPr>
      </w:pPr>
      <w:r w:rsidRPr="00E70281">
        <w:rPr>
          <w:color w:val="auto"/>
        </w:rPr>
        <w:t xml:space="preserve">Equation </w:t>
      </w:r>
      <w:r w:rsidRPr="00E70281">
        <w:rPr>
          <w:color w:val="auto"/>
        </w:rPr>
        <w:fldChar w:fldCharType="begin"/>
      </w:r>
      <w:r w:rsidRPr="00E70281">
        <w:rPr>
          <w:color w:val="auto"/>
        </w:rPr>
        <w:instrText xml:space="preserve"> SEQ Equation \* ARABIC </w:instrText>
      </w:r>
      <w:r w:rsidRPr="00E70281">
        <w:rPr>
          <w:color w:val="auto"/>
        </w:rPr>
        <w:fldChar w:fldCharType="separate"/>
      </w:r>
      <w:r w:rsidR="00D37CAD" w:rsidRPr="00E70281">
        <w:rPr>
          <w:noProof/>
          <w:color w:val="auto"/>
        </w:rPr>
        <w:t>3</w:t>
      </w:r>
      <w:r w:rsidRPr="00E70281">
        <w:rPr>
          <w:color w:val="auto"/>
        </w:rPr>
        <w:fldChar w:fldCharType="end"/>
      </w:r>
    </w:p>
    <w:p w14:paraId="5B12642A" w14:textId="4183CB4A" w:rsidR="00F56EED" w:rsidRPr="00E70281" w:rsidRDefault="00DB0786" w:rsidP="00F56EED">
      <w:pPr>
        <w:rPr>
          <w:color w:val="auto"/>
        </w:rPr>
      </w:pPr>
      <w:r w:rsidRPr="00E70281">
        <w:rPr>
          <w:color w:val="auto"/>
        </w:rPr>
        <w:t>K</w:t>
      </w:r>
      <w:r w:rsidR="00F56EED" w:rsidRPr="00E70281">
        <w:rPr>
          <w:color w:val="auto"/>
        </w:rPr>
        <w:t xml:space="preserve">inetic profiles were plotted as </w:t>
      </w:r>
      <m:oMath>
        <m:f>
          <m:fPr>
            <m:ctrlPr>
              <w:rPr>
                <w:rFonts w:ascii="Cambria Math" w:hAnsi="Cambria Math"/>
                <w:color w:val="auto"/>
              </w:rPr>
            </m:ctrlPr>
          </m:fPr>
          <m:num>
            <m:r>
              <m:rPr>
                <m:sty m:val="p"/>
              </m:rPr>
              <w:rPr>
                <w:rFonts w:ascii="Cambria Math" w:hAnsi="Cambria Math"/>
                <w:color w:val="auto"/>
              </w:rPr>
              <m:t>t</m:t>
            </m:r>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den>
        </m:f>
      </m:oMath>
      <w:r w:rsidR="00F56EED" w:rsidRPr="00E70281">
        <w:rPr>
          <w:color w:val="auto"/>
        </w:rPr>
        <w:t xml:space="preserve"> </w:t>
      </w:r>
      <w:r w:rsidR="00C27225" w:rsidRPr="00E70281">
        <w:rPr>
          <w:color w:val="auto"/>
        </w:rPr>
        <w:t>as a function of</w:t>
      </w:r>
      <w:r w:rsidR="00F56EED" w:rsidRPr="00E70281">
        <w:rPr>
          <w:color w:val="auto"/>
        </w:rPr>
        <w:t xml:space="preserve"> t and the linear regression</w:t>
      </w:r>
      <w:r w:rsidR="00C27225" w:rsidRPr="00E70281">
        <w:rPr>
          <w:color w:val="auto"/>
        </w:rPr>
        <w:t xml:space="preserve"> was</w:t>
      </w:r>
      <w:r w:rsidR="00F56EED" w:rsidRPr="00E70281">
        <w:rPr>
          <w:color w:val="auto"/>
        </w:rPr>
        <w:t xml:space="preserve"> obtained using the LINEST function in</w:t>
      </w:r>
      <w:r w:rsidR="00B244CC" w:rsidRPr="00E70281">
        <w:rPr>
          <w:color w:val="auto"/>
        </w:rPr>
        <w:t xml:space="preserve"> </w:t>
      </w:r>
      <w:r w:rsidR="00B244CC" w:rsidRPr="00E70281">
        <w:rPr>
          <w:color w:val="FF0000"/>
        </w:rPr>
        <w:t>Microsoft</w:t>
      </w:r>
      <w:r w:rsidR="00F56EED" w:rsidRPr="00E70281">
        <w:rPr>
          <w:color w:val="FF0000"/>
        </w:rPr>
        <w:t xml:space="preserve"> </w:t>
      </w:r>
      <w:r w:rsidR="00F56EED" w:rsidRPr="00E70281">
        <w:rPr>
          <w:color w:val="auto"/>
        </w:rPr>
        <w:t>Excel</w:t>
      </w:r>
      <w:r w:rsidR="007E02BB" w:rsidRPr="00E70281">
        <w:rPr>
          <w:color w:val="auto"/>
        </w:rPr>
        <w:t xml:space="preserve"> (where the residual sum of squares between the data points and the linear regression is minimised).</w:t>
      </w:r>
      <w:r w:rsidR="00F56EED" w:rsidRPr="00E70281">
        <w:rPr>
          <w:color w:val="auto"/>
        </w:rPr>
        <w:t xml:space="preserve"> The equilibrium adsorption parameter q</w:t>
      </w:r>
      <w:r w:rsidR="00C27225" w:rsidRPr="00E70281">
        <w:rPr>
          <w:color w:val="auto"/>
          <w:vertAlign w:val="subscript"/>
        </w:rPr>
        <w:t>e</w:t>
      </w:r>
      <w:r w:rsidR="00F56EED" w:rsidRPr="00E70281">
        <w:rPr>
          <w:color w:val="auto"/>
        </w:rPr>
        <w:t xml:space="preserve"> was obtained via the relationship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m</m:t>
            </m:r>
          </m:den>
        </m:f>
      </m:oMath>
      <w:r w:rsidR="00F56EED" w:rsidRPr="00E70281">
        <w:rPr>
          <w:color w:val="auto"/>
        </w:rPr>
        <w:t xml:space="preserve"> where m is the slope of the linear regression, and k</w:t>
      </w:r>
      <w:r w:rsidR="00F56EED" w:rsidRPr="00E70281">
        <w:rPr>
          <w:color w:val="auto"/>
          <w:vertAlign w:val="subscript"/>
        </w:rPr>
        <w:t>2</w:t>
      </w:r>
      <w:r w:rsidR="00F56EED" w:rsidRPr="00E70281">
        <w:rPr>
          <w:color w:val="auto"/>
        </w:rPr>
        <w:t xml:space="preserve"> via </w:t>
      </w:r>
      <m:oMath>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2</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c∙</m:t>
            </m:r>
            <m:sSup>
              <m:sSupPr>
                <m:ctrlPr>
                  <w:rPr>
                    <w:rFonts w:ascii="Cambria Math" w:hAnsi="Cambria Math"/>
                    <w:color w:val="auto"/>
                  </w:rPr>
                </m:ctrlPr>
              </m:sSupPr>
              <m:e>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e>
              <m:sup>
                <m:r>
                  <m:rPr>
                    <m:sty m:val="p"/>
                  </m:rPr>
                  <w:rPr>
                    <w:rFonts w:ascii="Cambria Math" w:hAnsi="Cambria Math"/>
                    <w:color w:val="auto"/>
                  </w:rPr>
                  <m:t>2</m:t>
                </m:r>
              </m:sup>
            </m:sSup>
          </m:den>
        </m:f>
      </m:oMath>
      <w:r w:rsidR="00F56EED" w:rsidRPr="00E70281">
        <w:rPr>
          <w:color w:val="auto"/>
        </w:rPr>
        <w:t xml:space="preserve"> where c is the y-intercept. The initial rate of adsorption was then calculated through the simplification of </w:t>
      </w:r>
      <w:r w:rsidR="00F56EED" w:rsidRPr="00E70281">
        <w:rPr>
          <w:color w:val="auto"/>
        </w:rPr>
        <w:fldChar w:fldCharType="begin"/>
      </w:r>
      <w:r w:rsidR="00F56EED" w:rsidRPr="00E70281">
        <w:rPr>
          <w:color w:val="auto"/>
        </w:rPr>
        <w:instrText xml:space="preserve"> REF _Ref34128213 \h </w:instrText>
      </w:r>
      <w:r w:rsidR="00F56EED" w:rsidRPr="00E70281">
        <w:rPr>
          <w:color w:val="auto"/>
        </w:rPr>
      </w:r>
      <w:r w:rsidR="00F56EED" w:rsidRPr="00E70281">
        <w:rPr>
          <w:color w:val="auto"/>
        </w:rPr>
        <w:fldChar w:fldCharType="separate"/>
      </w:r>
      <w:r w:rsidR="00D37CAD" w:rsidRPr="00E70281">
        <w:rPr>
          <w:color w:val="auto"/>
        </w:rPr>
        <w:t xml:space="preserve">Equation </w:t>
      </w:r>
      <w:r w:rsidR="00D37CAD" w:rsidRPr="00E70281">
        <w:rPr>
          <w:noProof/>
          <w:color w:val="auto"/>
        </w:rPr>
        <w:t>1</w:t>
      </w:r>
      <w:r w:rsidR="00F56EED" w:rsidRPr="00E70281">
        <w:rPr>
          <w:color w:val="auto"/>
        </w:rPr>
        <w:fldChar w:fldCharType="end"/>
      </w:r>
      <w:r w:rsidR="00F56EED" w:rsidRPr="00E70281">
        <w:rPr>
          <w:color w:val="auto"/>
        </w:rPr>
        <w:t>:</w:t>
      </w:r>
    </w:p>
    <w:p w14:paraId="6B998515" w14:textId="578EDB6E" w:rsidR="00F56EED" w:rsidRPr="00E70281" w:rsidRDefault="00F56EED" w:rsidP="00F56EED">
      <w:pPr>
        <w:pStyle w:val="Caption"/>
        <w:jc w:val="center"/>
        <w:rPr>
          <w:rFonts w:cstheme="minorHAnsi"/>
          <w:i w:val="0"/>
          <w:color w:val="auto"/>
          <w:sz w:val="22"/>
          <w:szCs w:val="22"/>
        </w:rPr>
      </w:pPr>
      <w:r w:rsidRPr="00E70281">
        <w:rPr>
          <w:i w:val="0"/>
          <w:color w:val="auto"/>
          <w:sz w:val="22"/>
          <w:szCs w:val="22"/>
        </w:rPr>
        <w:lastRenderedPageBreak/>
        <w:t xml:space="preserve">Initial rate = </w:t>
      </w:r>
      <m:oMath>
        <m:f>
          <m:fPr>
            <m:ctrlPr>
              <w:rPr>
                <w:rFonts w:ascii="Cambria Math" w:hAnsi="Cambria Math" w:cstheme="minorHAnsi"/>
                <w:i w:val="0"/>
                <w:color w:val="auto"/>
                <w:sz w:val="22"/>
                <w:szCs w:val="22"/>
              </w:rPr>
            </m:ctrlPr>
          </m:fPr>
          <m:num>
            <m:sSub>
              <m:sSubPr>
                <m:ctrlPr>
                  <w:rPr>
                    <w:rFonts w:ascii="Cambria Math" w:hAnsi="Cambria Math" w:cstheme="minorHAnsi"/>
                    <w:i w:val="0"/>
                    <w:color w:val="auto"/>
                    <w:sz w:val="22"/>
                    <w:szCs w:val="22"/>
                  </w:rPr>
                </m:ctrlPr>
              </m:sSubPr>
              <m:e>
                <m:r>
                  <w:rPr>
                    <w:rFonts w:ascii="Cambria Math" w:hAnsi="Cambria Math" w:cstheme="minorHAnsi"/>
                    <w:color w:val="auto"/>
                    <w:sz w:val="22"/>
                    <w:szCs w:val="22"/>
                  </w:rPr>
                  <m:t>dq</m:t>
                </m:r>
              </m:e>
              <m:sub>
                <m:r>
                  <w:rPr>
                    <w:rFonts w:ascii="Cambria Math" w:hAnsi="Cambria Math" w:cstheme="minorHAnsi"/>
                    <w:color w:val="auto"/>
                    <w:sz w:val="22"/>
                    <w:szCs w:val="22"/>
                  </w:rPr>
                  <m:t>t=0</m:t>
                </m:r>
              </m:sub>
            </m:sSub>
          </m:num>
          <m:den>
            <m:r>
              <w:rPr>
                <w:rFonts w:ascii="Cambria Math" w:hAnsi="Cambria Math" w:cstheme="minorHAnsi"/>
                <w:color w:val="auto"/>
                <w:sz w:val="22"/>
                <w:szCs w:val="22"/>
              </w:rPr>
              <m:t>dt</m:t>
            </m:r>
          </m:den>
        </m:f>
        <m:r>
          <w:rPr>
            <w:rFonts w:ascii="Cambria Math" w:hAnsi="Cambria Math" w:cstheme="minorHAnsi"/>
            <w:color w:val="auto"/>
            <w:sz w:val="22"/>
            <w:szCs w:val="22"/>
          </w:rPr>
          <m:t xml:space="preserve">= </m:t>
        </m:r>
        <m:sSub>
          <m:sSubPr>
            <m:ctrlPr>
              <w:rPr>
                <w:rFonts w:ascii="Cambria Math" w:hAnsi="Cambria Math" w:cstheme="minorHAnsi"/>
                <w:i w:val="0"/>
                <w:color w:val="auto"/>
                <w:sz w:val="22"/>
                <w:szCs w:val="22"/>
              </w:rPr>
            </m:ctrlPr>
          </m:sSubPr>
          <m:e>
            <m:r>
              <w:rPr>
                <w:rFonts w:ascii="Cambria Math" w:hAnsi="Cambria Math" w:cstheme="minorHAnsi"/>
                <w:color w:val="auto"/>
                <w:sz w:val="22"/>
                <w:szCs w:val="22"/>
              </w:rPr>
              <m:t>k</m:t>
            </m:r>
          </m:e>
          <m:sub>
            <m:r>
              <w:rPr>
                <w:rFonts w:ascii="Cambria Math" w:hAnsi="Cambria Math" w:cstheme="minorHAnsi"/>
                <w:color w:val="auto"/>
                <w:sz w:val="22"/>
                <w:szCs w:val="22"/>
              </w:rPr>
              <m:t>2</m:t>
            </m:r>
          </m:sub>
        </m:sSub>
        <m:sSup>
          <m:sSupPr>
            <m:ctrlPr>
              <w:rPr>
                <w:rFonts w:ascii="Cambria Math" w:hAnsi="Cambria Math" w:cstheme="minorHAnsi"/>
                <w:i w:val="0"/>
                <w:color w:val="auto"/>
                <w:sz w:val="22"/>
                <w:szCs w:val="22"/>
              </w:rPr>
            </m:ctrlPr>
          </m:sSupPr>
          <m:e>
            <m:sSub>
              <m:sSubPr>
                <m:ctrlPr>
                  <w:rPr>
                    <w:rFonts w:ascii="Cambria Math" w:hAnsi="Cambria Math" w:cstheme="minorHAnsi"/>
                    <w:i w:val="0"/>
                    <w:color w:val="auto"/>
                    <w:sz w:val="22"/>
                    <w:szCs w:val="22"/>
                  </w:rPr>
                </m:ctrlPr>
              </m:sSubPr>
              <m:e>
                <m:r>
                  <w:rPr>
                    <w:rFonts w:ascii="Cambria Math" w:hAnsi="Cambria Math" w:cstheme="minorHAnsi"/>
                    <w:color w:val="auto"/>
                    <w:sz w:val="22"/>
                    <w:szCs w:val="22"/>
                  </w:rPr>
                  <m:t>q</m:t>
                </m:r>
              </m:e>
              <m:sub>
                <m:r>
                  <w:rPr>
                    <w:rFonts w:ascii="Cambria Math" w:hAnsi="Cambria Math" w:cstheme="minorHAnsi"/>
                    <w:color w:val="auto"/>
                    <w:sz w:val="22"/>
                    <w:szCs w:val="22"/>
                  </w:rPr>
                  <m:t>e</m:t>
                </m:r>
              </m:sub>
            </m:sSub>
          </m:e>
          <m:sup>
            <m:r>
              <w:rPr>
                <w:rFonts w:ascii="Cambria Math" w:hAnsi="Cambria Math" w:cstheme="minorHAnsi"/>
                <w:color w:val="auto"/>
                <w:sz w:val="22"/>
                <w:szCs w:val="22"/>
              </w:rPr>
              <m:t>2</m:t>
            </m:r>
          </m:sup>
        </m:sSup>
      </m:oMath>
    </w:p>
    <w:p w14:paraId="7B93710F" w14:textId="63D067B8" w:rsidR="00F56EED" w:rsidRPr="00E70281" w:rsidRDefault="00F56EED" w:rsidP="00F56EED">
      <w:pPr>
        <w:pStyle w:val="Caption"/>
        <w:jc w:val="right"/>
        <w:rPr>
          <w:noProof/>
          <w:color w:val="auto"/>
        </w:rPr>
      </w:pPr>
      <w:r w:rsidRPr="00E70281">
        <w:rPr>
          <w:color w:val="auto"/>
        </w:rPr>
        <w:t xml:space="preserve">Equation </w:t>
      </w:r>
      <w:r w:rsidRPr="00E70281">
        <w:rPr>
          <w:color w:val="auto"/>
        </w:rPr>
        <w:fldChar w:fldCharType="begin"/>
      </w:r>
      <w:r w:rsidRPr="00E70281">
        <w:rPr>
          <w:color w:val="auto"/>
        </w:rPr>
        <w:instrText xml:space="preserve"> SEQ Equation \* ARABIC </w:instrText>
      </w:r>
      <w:r w:rsidRPr="00E70281">
        <w:rPr>
          <w:color w:val="auto"/>
        </w:rPr>
        <w:fldChar w:fldCharType="separate"/>
      </w:r>
      <w:r w:rsidR="00D37CAD" w:rsidRPr="00E70281">
        <w:rPr>
          <w:noProof/>
          <w:color w:val="auto"/>
        </w:rPr>
        <w:t>4</w:t>
      </w:r>
      <w:r w:rsidRPr="00E70281">
        <w:rPr>
          <w:noProof/>
          <w:color w:val="auto"/>
        </w:rPr>
        <w:fldChar w:fldCharType="end"/>
      </w:r>
    </w:p>
    <w:p w14:paraId="62654528" w14:textId="0D1F9AC0" w:rsidR="00F56EED" w:rsidRPr="00E70281" w:rsidRDefault="00F56EED" w:rsidP="00F56EED">
      <w:pPr>
        <w:rPr>
          <w:color w:val="auto"/>
        </w:rPr>
      </w:pPr>
      <w:r w:rsidRPr="00E70281">
        <w:rPr>
          <w:color w:val="auto"/>
        </w:rPr>
        <w:t>Uncertainties in k</w:t>
      </w:r>
      <w:r w:rsidRPr="00E70281">
        <w:rPr>
          <w:color w:val="auto"/>
          <w:vertAlign w:val="subscript"/>
        </w:rPr>
        <w:t>2</w:t>
      </w:r>
      <w:r w:rsidRPr="00E70281">
        <w:rPr>
          <w:color w:val="auto"/>
        </w:rPr>
        <w:t>, q</w:t>
      </w:r>
      <w:r w:rsidRPr="00E70281">
        <w:rPr>
          <w:color w:val="auto"/>
          <w:vertAlign w:val="subscript"/>
        </w:rPr>
        <w:t>e</w:t>
      </w:r>
      <w:r w:rsidRPr="00E70281">
        <w:rPr>
          <w:color w:val="auto"/>
        </w:rPr>
        <w:t xml:space="preserve"> and the initial rate were calculated by</w:t>
      </w:r>
      <w:r w:rsidR="00407B13" w:rsidRPr="00E70281">
        <w:rPr>
          <w:color w:val="auto"/>
        </w:rPr>
        <w:t xml:space="preserve"> linear</w:t>
      </w:r>
      <w:r w:rsidRPr="00E70281">
        <w:rPr>
          <w:color w:val="auto"/>
        </w:rPr>
        <w:t xml:space="preserve"> propagation of the standard errors in m and c given by the LINEST function.</w:t>
      </w:r>
    </w:p>
    <w:p w14:paraId="621B0158" w14:textId="4733D0FE" w:rsidR="00F56EED" w:rsidRPr="00E70281" w:rsidRDefault="00F56EED" w:rsidP="00F56EED">
      <w:pPr>
        <w:rPr>
          <w:color w:val="auto"/>
        </w:rPr>
      </w:pPr>
      <w:r w:rsidRPr="00E70281">
        <w:rPr>
          <w:color w:val="auto"/>
        </w:rPr>
        <w:t>Finally, initial rates were calculated using non-linear PSO kinetics. Non-linear fitting of the PSO model to experimental data was achieved by using Microsoft Excel</w:t>
      </w:r>
      <w:r w:rsidR="007761E3" w:rsidRPr="00E70281">
        <w:rPr>
          <w:color w:val="auto"/>
        </w:rPr>
        <w:t>’s Solver function</w:t>
      </w:r>
      <w:r w:rsidRPr="00E70281">
        <w:rPr>
          <w:color w:val="auto"/>
        </w:rPr>
        <w:t xml:space="preserve"> to optimise k</w:t>
      </w:r>
      <w:r w:rsidRPr="00E70281">
        <w:rPr>
          <w:color w:val="auto"/>
          <w:vertAlign w:val="subscript"/>
        </w:rPr>
        <w:t>2</w:t>
      </w:r>
      <w:r w:rsidRPr="00E70281">
        <w:rPr>
          <w:color w:val="auto"/>
        </w:rPr>
        <w:t xml:space="preserve"> and q</w:t>
      </w:r>
      <w:r w:rsidRPr="00E70281">
        <w:rPr>
          <w:color w:val="auto"/>
          <w:vertAlign w:val="subscript"/>
        </w:rPr>
        <w:t>e</w:t>
      </w:r>
      <w:r w:rsidRPr="00E70281">
        <w:rPr>
          <w:color w:val="auto"/>
        </w:rPr>
        <w:t xml:space="preserve"> values</w:t>
      </w:r>
      <w:r w:rsidR="00C27225" w:rsidRPr="00E70281">
        <w:rPr>
          <w:color w:val="auto"/>
        </w:rPr>
        <w:t>,</w:t>
      </w:r>
      <w:r w:rsidRPr="00E70281">
        <w:rPr>
          <w:color w:val="auto"/>
        </w:rPr>
        <w:t xml:space="preserve"> </w:t>
      </w:r>
      <w:r w:rsidR="00C27225" w:rsidRPr="00E70281">
        <w:rPr>
          <w:color w:val="auto"/>
        </w:rPr>
        <w:t>minimising</w:t>
      </w:r>
      <w:r w:rsidRPr="00E70281">
        <w:rPr>
          <w:color w:val="auto"/>
        </w:rPr>
        <w:t xml:space="preserve"> the sum of squared residuals between the model and experiment. Uncertainties in k</w:t>
      </w:r>
      <w:r w:rsidRPr="00E70281">
        <w:rPr>
          <w:color w:val="auto"/>
          <w:vertAlign w:val="subscript"/>
        </w:rPr>
        <w:t>2</w:t>
      </w:r>
      <w:r w:rsidRPr="00E70281">
        <w:rPr>
          <w:color w:val="auto"/>
        </w:rPr>
        <w:t xml:space="preserve"> and q</w:t>
      </w:r>
      <w:r w:rsidRPr="00E70281">
        <w:rPr>
          <w:color w:val="auto"/>
          <w:vertAlign w:val="subscript"/>
        </w:rPr>
        <w:t>e</w:t>
      </w:r>
      <w:r w:rsidRPr="00E70281">
        <w:rPr>
          <w:color w:val="auto"/>
        </w:rPr>
        <w:t xml:space="preserve"> were calculated using a Monte-Carlo approach with 200 simulations as described by Hu et al. </w:t>
      </w:r>
      <w:r w:rsidRPr="00E70281">
        <w:rPr>
          <w:color w:val="auto"/>
        </w:rPr>
        <w:fldChar w:fldCharType="begin" w:fldLock="1"/>
      </w:r>
      <w:r w:rsidR="003776C0" w:rsidRPr="00E70281">
        <w:rPr>
          <w:color w:val="auto"/>
        </w:rPr>
        <w:instrText>ADDIN CSL_CITATION {"citationItems":[{"id":"ITEM-1","itemData":{"DOI":"10.1186/s40068-015-0031-4","ISSN":"2193-2697","abstract":"Background Nonlinear relationships are common in the environmental discipline. Spreadsheet packages such as Microsoft Excel come with an add-on for nonlinear regression, but parameter uncertainty estimates are not yet available. The purpose of this paper is to use Monte Carlo and bootstrap methods to estimate nonlinear parameter uncertainties with a Microsoft Excel spreadsheet. As an example, uncertainties of two parameters (α and n) for a soil water retention curve are estimated. Results The fitted parameters generally do not follow a normal distribution. Except for the upper limit of α using the bootstrap method, the lower and upper limits of α and n obtained by these two methods are slightly greater than those obtained using the SigmaPlot software which linearlizes the nonlinear model. Conclusions Since the linearization method is based on the assumption of normal distribution of parameter values, the Monte Carlo and bootstrap methods may be preferred to the linearization method.","author":[{"dropping-particle":"","family":"Hu","given":"Wei","non-dropping-particle":"","parse-names":false,"suffix":""},{"dropping-particle":"","family":"Xie","given":"Jing","non-dropping-particle":"","parse-names":false,"suffix":""},{"dropping-particle":"","family":"Chau","given":"Henry Wai","non-dropping-particle":"","parse-names":false,"suffix":""},{"dropping-particle":"","family":"Si","given":"Bing Cheng","non-dropping-particle":"","parse-names":false,"suffix":""}],"container-title":"Environmental Systems Research","id":"ITEM-1","issue":"1","issued":{"date-parts":[["2015"]]},"title":"Evaluation of parameter uncertainties in nonlinear regression using Microsoft Excel Spreadsheet","type":"article-journal","volume":"4"},"uris":["http://www.mendeley.com/documents/?uuid=08314e66-dfc8-4e3e-9ff2-7ff7c270bddc"]}],"mendeley":{"formattedCitation":"&lt;sup&gt;21&lt;/sup&gt;","plainTextFormattedCitation":"21","previouslyFormattedCitation":"&lt;sup&gt;21&lt;/sup&gt;"},"properties":{"noteIndex":0},"schema":"https://github.com/citation-style-language/schema/raw/master/csl-citation.json"}</w:instrText>
      </w:r>
      <w:r w:rsidRPr="00E70281">
        <w:rPr>
          <w:color w:val="auto"/>
        </w:rPr>
        <w:fldChar w:fldCharType="separate"/>
      </w:r>
      <w:r w:rsidR="00623D96" w:rsidRPr="00E70281">
        <w:rPr>
          <w:noProof/>
          <w:color w:val="auto"/>
          <w:vertAlign w:val="superscript"/>
        </w:rPr>
        <w:t>21</w:t>
      </w:r>
      <w:r w:rsidRPr="00E70281">
        <w:rPr>
          <w:color w:val="auto"/>
        </w:rPr>
        <w:fldChar w:fldCharType="end"/>
      </w:r>
      <w:r w:rsidRPr="00E70281">
        <w:rPr>
          <w:color w:val="auto"/>
        </w:rPr>
        <w:t xml:space="preserve">. </w:t>
      </w:r>
    </w:p>
    <w:p w14:paraId="410F89CD" w14:textId="542E6804" w:rsidR="00F56EED" w:rsidRPr="00E70281" w:rsidRDefault="00F56EED" w:rsidP="00F56EED">
      <w:pPr>
        <w:rPr>
          <w:color w:val="auto"/>
        </w:rPr>
      </w:pPr>
      <w:r w:rsidRPr="00E70281">
        <w:rPr>
          <w:color w:val="auto"/>
        </w:rPr>
        <w:t xml:space="preserve">For all literature sources, parameters were </w:t>
      </w:r>
      <w:r w:rsidR="00CD5017" w:rsidRPr="00E70281">
        <w:rPr>
          <w:color w:val="FF0000"/>
        </w:rPr>
        <w:t>converted</w:t>
      </w:r>
      <w:r w:rsidRPr="00E70281">
        <w:rPr>
          <w:color w:val="FF0000"/>
        </w:rPr>
        <w:t xml:space="preserve"> </w:t>
      </w:r>
      <w:r w:rsidRPr="00E70281">
        <w:rPr>
          <w:color w:val="auto"/>
        </w:rPr>
        <w:t>to the same units for ease of comparison: k</w:t>
      </w:r>
      <w:r w:rsidRPr="00E70281">
        <w:rPr>
          <w:color w:val="auto"/>
          <w:vertAlign w:val="subscript"/>
        </w:rPr>
        <w:t>2</w:t>
      </w:r>
      <w:r w:rsidRPr="00E70281">
        <w:rPr>
          <w:color w:val="auto"/>
        </w:rPr>
        <w:t xml:space="preserve"> (g mg</w:t>
      </w:r>
      <w:r w:rsidRPr="00E70281">
        <w:rPr>
          <w:color w:val="auto"/>
          <w:vertAlign w:val="superscript"/>
        </w:rPr>
        <w:t>-1</w:t>
      </w:r>
      <w:r w:rsidRPr="00E70281">
        <w:rPr>
          <w:color w:val="auto"/>
        </w:rPr>
        <w:t xml:space="preserve"> min</w:t>
      </w:r>
      <w:r w:rsidRPr="00E70281">
        <w:rPr>
          <w:color w:val="auto"/>
          <w:vertAlign w:val="superscript"/>
        </w:rPr>
        <w:t>-1</w:t>
      </w:r>
      <w:r w:rsidRPr="00E70281">
        <w:rPr>
          <w:color w:val="auto"/>
        </w:rPr>
        <w:t>); q</w:t>
      </w:r>
      <w:r w:rsidRPr="00E70281">
        <w:rPr>
          <w:color w:val="auto"/>
          <w:vertAlign w:val="subscript"/>
        </w:rPr>
        <w:t>e</w:t>
      </w:r>
      <w:r w:rsidRPr="00E70281">
        <w:rPr>
          <w:color w:val="auto"/>
        </w:rPr>
        <w:t xml:space="preserve"> (mg g</w:t>
      </w:r>
      <w:r w:rsidRPr="00E70281">
        <w:rPr>
          <w:color w:val="auto"/>
          <w:vertAlign w:val="superscript"/>
        </w:rPr>
        <w:t>-1</w:t>
      </w:r>
      <w:r w:rsidRPr="00E70281">
        <w:rPr>
          <w:color w:val="auto"/>
        </w:rPr>
        <w:t>); and the initial rate (mg g</w:t>
      </w:r>
      <w:r w:rsidRPr="00E70281">
        <w:rPr>
          <w:color w:val="auto"/>
          <w:vertAlign w:val="superscript"/>
        </w:rPr>
        <w:t>-1</w:t>
      </w:r>
      <w:r w:rsidRPr="00E70281">
        <w:rPr>
          <w:color w:val="auto"/>
        </w:rPr>
        <w:t xml:space="preserve"> min</w:t>
      </w:r>
      <w:r w:rsidRPr="00E70281">
        <w:rPr>
          <w:color w:val="auto"/>
          <w:vertAlign w:val="superscript"/>
        </w:rPr>
        <w:t>-1</w:t>
      </w:r>
      <w:r w:rsidRPr="00E70281">
        <w:rPr>
          <w:color w:val="auto"/>
        </w:rPr>
        <w:t xml:space="preserve">). </w:t>
      </w:r>
    </w:p>
    <w:p w14:paraId="1DAB8B9C" w14:textId="2518ABD1" w:rsidR="00CE40F7" w:rsidRPr="00E70281" w:rsidRDefault="00F56EED" w:rsidP="00F56EED">
      <w:pPr>
        <w:rPr>
          <w:color w:val="auto"/>
        </w:rPr>
      </w:pPr>
      <w:r w:rsidRPr="00E70281">
        <w:rPr>
          <w:color w:val="auto"/>
        </w:rPr>
        <w:t>The influence of the availability of early kinetic data on the accuracy and precision of initial rates calculated using these three approaches was evaluated as follows. Fourteen data sets containing early kinetic data were collected (defined as adsorption experiments containing data within</w:t>
      </w:r>
      <w:r w:rsidR="00407B13" w:rsidRPr="00E70281">
        <w:rPr>
          <w:color w:val="auto"/>
        </w:rPr>
        <w:t xml:space="preserve"> the range</w:t>
      </w:r>
      <w:r w:rsidRPr="00E70281">
        <w:rPr>
          <w:color w:val="auto"/>
        </w:rPr>
        <w:t xml:space="preserve"> </w:t>
      </w:r>
      <m:oMath>
        <m:r>
          <m:rPr>
            <m:sty m:val="p"/>
          </m:rPr>
          <w:rPr>
            <w:rFonts w:ascii="Cambria Math" w:hAnsi="Cambria Math"/>
            <w:color w:val="auto"/>
          </w:rPr>
          <m:t>0&lt;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m:rPr>
            <m:sty m:val="p"/>
          </m:rPr>
          <w:rPr>
            <w:rFonts w:ascii="Cambria Math" w:hAnsi="Cambria Math"/>
            <w:color w:val="auto"/>
          </w:rPr>
          <m:t>&lt;0.2</m:t>
        </m:r>
      </m:oMath>
      <w:r w:rsidRPr="00E70281">
        <w:rPr>
          <w:color w:val="auto"/>
        </w:rPr>
        <w:t xml:space="preserve">). Initial rates were then re-calculated as data points were </w:t>
      </w:r>
      <w:r w:rsidR="00407B13" w:rsidRPr="00E70281">
        <w:rPr>
          <w:color w:val="auto"/>
        </w:rPr>
        <w:t xml:space="preserve">consecutively removed </w:t>
      </w:r>
      <w:r w:rsidRPr="00E70281">
        <w:rPr>
          <w:color w:val="auto"/>
        </w:rPr>
        <w:t xml:space="preserve">from the earliest to the latest. A linear </w:t>
      </w:r>
      <w:r w:rsidR="00C27225" w:rsidRPr="00E70281">
        <w:rPr>
          <w:color w:val="auto"/>
        </w:rPr>
        <w:t>regression</w:t>
      </w:r>
      <w:r w:rsidRPr="00E70281">
        <w:rPr>
          <w:color w:val="auto"/>
        </w:rPr>
        <w:t xml:space="preserve"> between the</w:t>
      </w:r>
      <w:r w:rsidR="00C27225" w:rsidRPr="00E70281">
        <w:rPr>
          <w:color w:val="auto"/>
        </w:rPr>
        <w:t xml:space="preserve"> calculated initial rates and the</w:t>
      </w:r>
      <w:r w:rsidRPr="00E70281">
        <w:rPr>
          <w:color w:val="auto"/>
        </w:rPr>
        <w:t xml:space="preserve"> value of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oMath>
      <w:r w:rsidRPr="00E70281">
        <w:rPr>
          <w:color w:val="auto"/>
        </w:rPr>
        <w:t xml:space="preserve">  at the first</w:t>
      </w:r>
      <w:r w:rsidR="00C27225" w:rsidRPr="00E70281">
        <w:rPr>
          <w:color w:val="auto"/>
        </w:rPr>
        <w:t xml:space="preserve"> available</w:t>
      </w:r>
      <w:r w:rsidRPr="00E70281">
        <w:rPr>
          <w:color w:val="auto"/>
        </w:rPr>
        <w:t xml:space="preserve"> kinetic data </w:t>
      </w:r>
      <w:r w:rsidR="00CD5017" w:rsidRPr="00E70281">
        <w:rPr>
          <w:color w:val="FF0000"/>
        </w:rPr>
        <w:t xml:space="preserve">point </w:t>
      </w:r>
      <w:r w:rsidRPr="00E70281">
        <w:rPr>
          <w:color w:val="auto"/>
        </w:rPr>
        <w:t xml:space="preserve">was determined and extrapolated to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m:rPr>
            <m:sty m:val="p"/>
          </m:rPr>
          <w:rPr>
            <w:rFonts w:ascii="Cambria Math" w:hAnsi="Cambria Math"/>
            <w:color w:val="auto"/>
          </w:rPr>
          <m:t>=0</m:t>
        </m:r>
      </m:oMath>
      <w:r w:rsidRPr="00E70281">
        <w:rPr>
          <w:color w:val="auto"/>
        </w:rPr>
        <w:t xml:space="preserve"> to </w:t>
      </w:r>
      <w:r w:rsidR="00C27225" w:rsidRPr="00E70281">
        <w:rPr>
          <w:color w:val="auto"/>
        </w:rPr>
        <w:t>provide</w:t>
      </w:r>
      <w:r w:rsidRPr="00E70281">
        <w:rPr>
          <w:color w:val="auto"/>
        </w:rPr>
        <w:t xml:space="preserve"> a theoretical ‘true’ initial rate (</w:t>
      </w:r>
      <w:r w:rsidR="00C27225" w:rsidRPr="00E70281">
        <w:rPr>
          <w:color w:val="auto"/>
        </w:rPr>
        <w:t>representing</w:t>
      </w:r>
      <w:r w:rsidR="00B244CC" w:rsidRPr="00E70281">
        <w:rPr>
          <w:color w:val="auto"/>
        </w:rPr>
        <w:t xml:space="preserve"> </w:t>
      </w:r>
      <w:r w:rsidR="00B244CC" w:rsidRPr="00E70281">
        <w:rPr>
          <w:color w:val="FF0000"/>
        </w:rPr>
        <w:t>the case</w:t>
      </w:r>
      <w:r w:rsidR="00C27225" w:rsidRPr="00E70281">
        <w:rPr>
          <w:color w:val="auto"/>
        </w:rPr>
        <w:t xml:space="preserve"> if</w:t>
      </w:r>
      <w:r w:rsidRPr="00E70281">
        <w:rPr>
          <w:color w:val="auto"/>
        </w:rPr>
        <w:t xml:space="preserve"> kinetic data </w:t>
      </w:r>
      <w:r w:rsidR="00B244CC" w:rsidRPr="00E70281">
        <w:rPr>
          <w:color w:val="auto"/>
        </w:rPr>
        <w:t>were to</w:t>
      </w:r>
      <w:r w:rsidR="00C27225" w:rsidRPr="00E70281">
        <w:rPr>
          <w:color w:val="auto"/>
        </w:rPr>
        <w:t xml:space="preserve"> be </w:t>
      </w:r>
      <w:r w:rsidRPr="00E70281">
        <w:rPr>
          <w:color w:val="auto"/>
        </w:rPr>
        <w:t>collected within an infinitesimally small time period). This theoretical ‘true’ initial rate was</w:t>
      </w:r>
      <w:r w:rsidR="00F81864" w:rsidRPr="00E70281">
        <w:rPr>
          <w:color w:val="auto"/>
        </w:rPr>
        <w:t xml:space="preserve"> used as a reference value</w:t>
      </w:r>
      <w:r w:rsidRPr="00E70281">
        <w:rPr>
          <w:color w:val="auto"/>
        </w:rPr>
        <w:t xml:space="preserve"> to determine </w:t>
      </w:r>
      <w:r w:rsidR="00F81864" w:rsidRPr="00E70281">
        <w:rPr>
          <w:color w:val="auto"/>
        </w:rPr>
        <w:t>variation</w:t>
      </w:r>
      <w:r w:rsidRPr="00E70281">
        <w:rPr>
          <w:color w:val="auto"/>
        </w:rPr>
        <w:t xml:space="preserve"> in the calculated initial rate as a function of the availability of early kinetic data. A systematic error was calculated using the average error across all data sets and a random error was calculated as the standard deviation in the error across all data sets. </w:t>
      </w:r>
      <w:r w:rsidR="00CE40F7" w:rsidRPr="00E70281">
        <w:rPr>
          <w:color w:val="FF0000"/>
        </w:rPr>
        <w:t>The paired samples t-test was used to evaluate the significance of</w:t>
      </w:r>
      <w:r w:rsidR="008D1C30" w:rsidRPr="00E70281">
        <w:rPr>
          <w:color w:val="FF0000"/>
        </w:rPr>
        <w:t xml:space="preserve"> the</w:t>
      </w:r>
      <w:r w:rsidR="00CE40F7" w:rsidRPr="00E70281">
        <w:rPr>
          <w:color w:val="FF0000"/>
        </w:rPr>
        <w:t xml:space="preserve"> differences observed between the errors </w:t>
      </w:r>
      <w:r w:rsidR="00E0507F" w:rsidRPr="00E70281">
        <w:rPr>
          <w:color w:val="FF0000"/>
        </w:rPr>
        <w:t>given by</w:t>
      </w:r>
      <w:r w:rsidR="00CE40F7" w:rsidRPr="00E70281">
        <w:rPr>
          <w:color w:val="FF0000"/>
        </w:rPr>
        <w:t xml:space="preserve"> </w:t>
      </w:r>
      <w:r w:rsidR="00E0507F" w:rsidRPr="00E70281">
        <w:rPr>
          <w:color w:val="FF0000"/>
        </w:rPr>
        <w:t xml:space="preserve">each of </w:t>
      </w:r>
      <w:r w:rsidR="00CE40F7" w:rsidRPr="00E70281">
        <w:rPr>
          <w:color w:val="FF0000"/>
        </w:rPr>
        <w:t xml:space="preserve">the three </w:t>
      </w:r>
      <w:r w:rsidR="00E0507F" w:rsidRPr="00E70281">
        <w:rPr>
          <w:color w:val="FF0000"/>
        </w:rPr>
        <w:t xml:space="preserve">mathematical </w:t>
      </w:r>
      <w:r w:rsidR="00CE40F7" w:rsidRPr="00E70281">
        <w:rPr>
          <w:color w:val="FF0000"/>
        </w:rPr>
        <w:t xml:space="preserve">approaches </w:t>
      </w:r>
      <w:r w:rsidR="00E0507F" w:rsidRPr="00E70281">
        <w:rPr>
          <w:color w:val="FF0000"/>
        </w:rPr>
        <w:t xml:space="preserve">used </w:t>
      </w:r>
      <w:r w:rsidR="00CE40F7" w:rsidRPr="00E70281">
        <w:rPr>
          <w:color w:val="FF0000"/>
        </w:rPr>
        <w:t xml:space="preserve">for </w:t>
      </w:r>
      <w:r w:rsidR="00E0507F" w:rsidRPr="00E70281">
        <w:rPr>
          <w:color w:val="FF0000"/>
        </w:rPr>
        <w:t>calculating</w:t>
      </w:r>
      <w:r w:rsidR="00CE40F7" w:rsidRPr="00E70281">
        <w:rPr>
          <w:color w:val="FF0000"/>
        </w:rPr>
        <w:t xml:space="preserve"> initial rates.</w:t>
      </w:r>
    </w:p>
    <w:p w14:paraId="33B74358" w14:textId="3B217994" w:rsidR="00F56EED" w:rsidRPr="00E70281" w:rsidRDefault="00F56EED" w:rsidP="00F56EED">
      <w:pPr>
        <w:rPr>
          <w:color w:val="auto"/>
        </w:rPr>
      </w:pPr>
      <w:r w:rsidRPr="00E70281">
        <w:rPr>
          <w:color w:val="auto"/>
        </w:rPr>
        <w:t>After evaluating the three approaches</w:t>
      </w:r>
      <w:r w:rsidR="00DB0786" w:rsidRPr="00E70281">
        <w:rPr>
          <w:color w:val="auto"/>
        </w:rPr>
        <w:t xml:space="preserve"> (</w:t>
      </w:r>
      <w:r w:rsidR="00C27225" w:rsidRPr="00E70281">
        <w:rPr>
          <w:color w:val="auto"/>
        </w:rPr>
        <w:t xml:space="preserve">see </w:t>
      </w:r>
      <w:r w:rsidR="00DB0786" w:rsidRPr="00E70281">
        <w:rPr>
          <w:color w:val="auto"/>
        </w:rPr>
        <w:t>Results and Discussion)</w:t>
      </w:r>
      <w:r w:rsidRPr="00E70281">
        <w:rPr>
          <w:color w:val="auto"/>
        </w:rPr>
        <w:t xml:space="preserve">, non-linear PSO kinetics were used to determine initial rates in all subsequent </w:t>
      </w:r>
      <w:r w:rsidR="00C27225" w:rsidRPr="00E70281">
        <w:rPr>
          <w:color w:val="auto"/>
        </w:rPr>
        <w:t>calculations</w:t>
      </w:r>
      <w:r w:rsidRPr="00E70281">
        <w:rPr>
          <w:color w:val="auto"/>
        </w:rPr>
        <w:t>.</w:t>
      </w:r>
    </w:p>
    <w:p w14:paraId="189F4456" w14:textId="77777777" w:rsidR="00F56EED" w:rsidRPr="00E70281" w:rsidRDefault="00F56EED" w:rsidP="00F56EED">
      <w:pPr>
        <w:rPr>
          <w:color w:val="auto"/>
        </w:rPr>
      </w:pPr>
    </w:p>
    <w:p w14:paraId="46FB90BC" w14:textId="11050F96" w:rsidR="00F214B2" w:rsidRPr="00E70281" w:rsidRDefault="00F214B2" w:rsidP="00E830CC">
      <w:pPr>
        <w:pStyle w:val="Heading2"/>
      </w:pPr>
      <w:r w:rsidRPr="00E70281">
        <w:t>Determining the order of reaction</w:t>
      </w:r>
    </w:p>
    <w:p w14:paraId="3BEC6725" w14:textId="53927AF3" w:rsidR="00F214B2" w:rsidRPr="00E70281" w:rsidRDefault="00F214B2" w:rsidP="00F214B2">
      <w:pPr>
        <w:rPr>
          <w:color w:val="auto"/>
        </w:rPr>
      </w:pPr>
      <w:r w:rsidRPr="00E70281">
        <w:rPr>
          <w:color w:val="auto"/>
        </w:rPr>
        <w:t>The order of reaction</w:t>
      </w:r>
      <w:r w:rsidR="00E52063" w:rsidRPr="00E70281">
        <w:rPr>
          <w:color w:val="auto"/>
        </w:rPr>
        <w:t xml:space="preserve"> </w:t>
      </w:r>
      <w:r w:rsidR="00FA4D6C" w:rsidRPr="00E70281">
        <w:rPr>
          <w:color w:val="auto"/>
        </w:rPr>
        <w:t xml:space="preserve">with respect </w:t>
      </w:r>
      <w:r w:rsidR="00E52063" w:rsidRPr="00E70281">
        <w:rPr>
          <w:color w:val="auto"/>
        </w:rPr>
        <w:t xml:space="preserve">to </w:t>
      </w:r>
      <w:r w:rsidR="007761E3" w:rsidRPr="00E70281">
        <w:rPr>
          <w:color w:val="auto"/>
        </w:rPr>
        <w:t xml:space="preserve">the independent variables </w:t>
      </w:r>
      <w:r w:rsidR="00E52063" w:rsidRPr="00E70281">
        <w:rPr>
          <w:color w:val="auto"/>
        </w:rPr>
        <w:t>C</w:t>
      </w:r>
      <w:r w:rsidR="00E52063" w:rsidRPr="00E70281">
        <w:rPr>
          <w:color w:val="auto"/>
          <w:vertAlign w:val="subscript"/>
        </w:rPr>
        <w:t>0</w:t>
      </w:r>
      <w:r w:rsidR="00247BDD" w:rsidRPr="00E70281">
        <w:rPr>
          <w:color w:val="auto"/>
        </w:rPr>
        <w:t xml:space="preserve"> </w:t>
      </w:r>
      <w:r w:rsidR="007761E3" w:rsidRPr="00E70281">
        <w:rPr>
          <w:color w:val="auto"/>
        </w:rPr>
        <w:t>and</w:t>
      </w:r>
      <w:r w:rsidR="00E52063" w:rsidRPr="00E70281">
        <w:rPr>
          <w:color w:val="auto"/>
        </w:rPr>
        <w:t xml:space="preserve"> C</w:t>
      </w:r>
      <w:r w:rsidR="00E52063" w:rsidRPr="00E70281">
        <w:rPr>
          <w:color w:val="auto"/>
          <w:vertAlign w:val="subscript"/>
        </w:rPr>
        <w:t>s</w:t>
      </w:r>
      <w:r w:rsidR="0071701A" w:rsidRPr="00E70281">
        <w:rPr>
          <w:color w:val="auto"/>
        </w:rPr>
        <w:t xml:space="preserve"> </w:t>
      </w:r>
      <w:r w:rsidRPr="00E70281">
        <w:rPr>
          <w:color w:val="auto"/>
        </w:rPr>
        <w:t xml:space="preserve">was </w:t>
      </w:r>
      <w:r w:rsidR="00E372E1" w:rsidRPr="00E70281">
        <w:rPr>
          <w:color w:val="auto"/>
        </w:rPr>
        <w:t>calculated as</w:t>
      </w:r>
      <w:r w:rsidR="000B0364" w:rsidRPr="00E70281">
        <w:rPr>
          <w:color w:val="auto"/>
        </w:rPr>
        <w:t xml:space="preserve"> </w:t>
      </w:r>
      <w:r w:rsidRPr="00E70281">
        <w:rPr>
          <w:color w:val="auto"/>
        </w:rPr>
        <w:t xml:space="preserve">the </w:t>
      </w:r>
      <w:r w:rsidR="009F4993" w:rsidRPr="00E70281">
        <w:rPr>
          <w:color w:val="auto"/>
        </w:rPr>
        <w:t>slope</w:t>
      </w:r>
      <w:r w:rsidRPr="00E70281">
        <w:rPr>
          <w:color w:val="auto"/>
        </w:rPr>
        <w:t xml:space="preserve"> of log(initial rate) versus log(independent variable)</w:t>
      </w:r>
      <w:r w:rsidR="000B0364" w:rsidRPr="00E70281">
        <w:rPr>
          <w:color w:val="auto"/>
        </w:rPr>
        <w:t xml:space="preserve"> </w:t>
      </w:r>
      <w:r w:rsidR="000B0364" w:rsidRPr="00E70281">
        <w:rPr>
          <w:color w:val="auto"/>
        </w:rPr>
        <w:fldChar w:fldCharType="begin" w:fldLock="1"/>
      </w:r>
      <w:r w:rsidR="003776C0" w:rsidRPr="00E70281">
        <w:rPr>
          <w:color w:val="auto"/>
        </w:rPr>
        <w:instrText>ADDIN CSL_CITATION {"citationItems":[{"id":"ITEM-1","itemData":{"DOI":"10.1021/acs.jchemed.8b01036","ISSN":"19381328","abstract":"Copyright © 2019 American Chemical Society and Division of Chemical Education, Inc. Understanding the controls of the oxidation rate of iron (Fe) in oxygenated aquatic systems is fundamental for students of the Earth and Environmental Sciences as it defines the bioavailability of Fe, a trace metal essential for life. The laboratory experiment presented here was successfully developed and used during a third-year undergraduate lab course at Imperial College London for several years. It employs ultraviolet-visible (UV-vis) spectroscopy calibrated externally with 0 to 50 μM Fe2+ standards created in a 492 μM ferrozine and 0.43 M acetate matrix. The students conducted the oxidation experiments in stirred batch reactors at equilibrium with atmospheric oxygen. The solution contained 40.5 μM initial Fe2+ concentration and a 5.1 mM imidazole buffer. The pH was adjusted to values between 7.22 and 7.77. The students observed a pseudo-first-order reaction with respect to Fe2+ concentration. Plotting the logarithms of the apparent rate constants (k′) at different pH values leads to a gradient of 2.2 ± 0.2 min-1 pH-1, indicating a second-order reaction with respect to OH- concentration, in agreement with published literature. The oxidation reaction occurred rapidly (tens of seconds to tens of minutes) indicating that in oxygenated aquatic systems, Fe3+ will be the dominant oxidation state, significantly reducing the bioavailability of Fe. The simple laboratory experiment presented here allows the students to learn about kinetic parameters for a fundamental chemical reaction. It allows the students to explore the significant implications this has for aquatic ecosystems.","author":[{"dropping-particle":"","family":"Kirby","given":"M.E.","non-dropping-particle":"","parse-names":false,"suffix":""},{"dropping-particle":"","family":"Bullen","given":"J.C.","non-dropping-particle":"","parse-names":false,"suffix":""},{"dropping-particle":"","family":"Hanif","given":"M.D.","non-dropping-particle":"","parse-names":false,"suffix":""},{"dropping-particle":"","family":"Heiba","given":"H.F.","non-dropping-particle":"","parse-names":false,"suffix":""},{"dropping-particle":"","family":"Liu","given":"F.","non-dropping-particle":"","parse-names":false,"suffix":""},{"dropping-particle":"","family":"Northover","given":"G.H.R.","non-dropping-particle":"","parse-names":false,"suffix":""},{"dropping-particle":"","family":"Resongles","given":"E.","non-dropping-particle":"","parse-names":false,"suffix":""},{"dropping-particle":"","family":"Weiss","given":"D.J.","non-dropping-particle":"","parse-names":false,"suffix":""}],"container-title":"Journal of Chemical Education","id":"ITEM-1","issued":{"date-parts":[["2019"]]},"title":"Determining the Effect of pH on Iron Oxidation Kinetics in Aquatic Environments: Exploring a Fundamental Chemical Reaction to Grasp the Significant Ecosystem Implications of Iron Bioavailability","type":"article-journal"},"uris":["http://www.mendeley.com/documents/?uuid=2ec84f5c-fe27-34ec-bdce-a7ce9cb7a777"]}],"mendeley":{"formattedCitation":"&lt;sup&gt;22&lt;/sup&gt;","plainTextFormattedCitation":"22","previouslyFormattedCitation":"&lt;sup&gt;22&lt;/sup&gt;"},"properties":{"noteIndex":0},"schema":"https://github.com/citation-style-language/schema/raw/master/csl-citation.json"}</w:instrText>
      </w:r>
      <w:r w:rsidR="000B0364" w:rsidRPr="00E70281">
        <w:rPr>
          <w:color w:val="auto"/>
        </w:rPr>
        <w:fldChar w:fldCharType="separate"/>
      </w:r>
      <w:r w:rsidR="00623D96" w:rsidRPr="00E70281">
        <w:rPr>
          <w:noProof/>
          <w:color w:val="auto"/>
          <w:vertAlign w:val="superscript"/>
        </w:rPr>
        <w:t>22</w:t>
      </w:r>
      <w:r w:rsidR="000B0364" w:rsidRPr="00E70281">
        <w:rPr>
          <w:color w:val="auto"/>
        </w:rPr>
        <w:fldChar w:fldCharType="end"/>
      </w:r>
      <w:r w:rsidR="00E372E1" w:rsidRPr="00E70281">
        <w:rPr>
          <w:color w:val="auto"/>
        </w:rPr>
        <w:t>.</w:t>
      </w:r>
      <w:r w:rsidR="00247BDD" w:rsidRPr="00E70281">
        <w:rPr>
          <w:color w:val="auto"/>
        </w:rPr>
        <w:t xml:space="preserve"> The order of reaction was calculated for each data set</w:t>
      </w:r>
      <w:r w:rsidR="002F2888" w:rsidRPr="00E70281">
        <w:rPr>
          <w:color w:val="auto"/>
        </w:rPr>
        <w:t xml:space="preserve"> (kinetic experiments using the same adsorbate-adsorbent system within a single literature source),</w:t>
      </w:r>
      <w:r w:rsidR="00247BDD" w:rsidRPr="00E70281">
        <w:rPr>
          <w:color w:val="auto"/>
        </w:rPr>
        <w:t xml:space="preserve"> </w:t>
      </w:r>
      <w:r w:rsidR="002F2888" w:rsidRPr="00E70281">
        <w:rPr>
          <w:color w:val="auto"/>
        </w:rPr>
        <w:t>with e</w:t>
      </w:r>
      <w:r w:rsidR="00D07545" w:rsidRPr="00E70281">
        <w:rPr>
          <w:color w:val="auto"/>
        </w:rPr>
        <w:t>ach data point</w:t>
      </w:r>
      <w:r w:rsidR="00E372E1" w:rsidRPr="00E70281">
        <w:rPr>
          <w:color w:val="auto"/>
        </w:rPr>
        <w:t xml:space="preserve"> used </w:t>
      </w:r>
      <w:r w:rsidR="00664042" w:rsidRPr="00E70281">
        <w:rPr>
          <w:color w:val="auto"/>
        </w:rPr>
        <w:t>within the</w:t>
      </w:r>
      <w:r w:rsidR="00E372E1" w:rsidRPr="00E70281">
        <w:rPr>
          <w:color w:val="auto"/>
        </w:rPr>
        <w:t xml:space="preserve"> linear regression</w:t>
      </w:r>
      <w:r w:rsidR="002F2888" w:rsidRPr="00E70281">
        <w:rPr>
          <w:color w:val="auto"/>
        </w:rPr>
        <w:t xml:space="preserve"> representing</w:t>
      </w:r>
      <w:r w:rsidR="00D07545" w:rsidRPr="00E70281">
        <w:rPr>
          <w:color w:val="auto"/>
        </w:rPr>
        <w:t xml:space="preserve"> a single kinetic experiment</w:t>
      </w:r>
      <w:r w:rsidR="002F2888" w:rsidRPr="00E70281">
        <w:rPr>
          <w:color w:val="auto"/>
        </w:rPr>
        <w:t xml:space="preserve"> at a unique value of C</w:t>
      </w:r>
      <w:r w:rsidR="002F2888" w:rsidRPr="00E70281">
        <w:rPr>
          <w:color w:val="auto"/>
          <w:vertAlign w:val="subscript"/>
        </w:rPr>
        <w:t>0</w:t>
      </w:r>
      <w:r w:rsidR="002F2888" w:rsidRPr="00E70281">
        <w:rPr>
          <w:color w:val="auto"/>
        </w:rPr>
        <w:t xml:space="preserve"> or C</w:t>
      </w:r>
      <w:r w:rsidR="002F2888" w:rsidRPr="00E70281">
        <w:rPr>
          <w:color w:val="auto"/>
          <w:vertAlign w:val="subscript"/>
        </w:rPr>
        <w:t>s</w:t>
      </w:r>
      <w:r w:rsidRPr="00E70281">
        <w:rPr>
          <w:color w:val="auto"/>
        </w:rPr>
        <w:t>.</w:t>
      </w:r>
      <w:r w:rsidR="00B569F1" w:rsidRPr="00E70281">
        <w:rPr>
          <w:color w:val="auto"/>
        </w:rPr>
        <w:t xml:space="preserve"> This is represented by the equation:</w:t>
      </w:r>
    </w:p>
    <w:p w14:paraId="334129FA" w14:textId="6355C856" w:rsidR="001241B0" w:rsidRPr="00E70281" w:rsidRDefault="00665B4D" w:rsidP="00F214B2">
      <w:pPr>
        <w:rPr>
          <w:color w:val="auto"/>
        </w:rPr>
      </w:pPr>
      <m:oMathPara>
        <m:oMath>
          <m:r>
            <m:rPr>
              <m:sty m:val="p"/>
            </m:rPr>
            <w:rPr>
              <w:rFonts w:ascii="Cambria Math" w:hAnsi="Cambria Math"/>
              <w:color w:val="auto"/>
            </w:rPr>
            <m:t xml:space="preserve">order of reaction= </m:t>
          </m:r>
          <m:f>
            <m:fPr>
              <m:ctrlPr>
                <w:rPr>
                  <w:rFonts w:ascii="Cambria Math" w:hAnsi="Cambria Math"/>
                  <w:color w:val="auto"/>
                </w:rPr>
              </m:ctrlPr>
            </m:fPr>
            <m:num>
              <m:r>
                <m:rPr>
                  <m:sty m:val="p"/>
                </m:rPr>
                <w:rPr>
                  <w:rFonts w:ascii="Cambria Math" w:hAnsi="Cambria Math"/>
                  <w:color w:val="auto"/>
                </w:rPr>
                <m:t>∆log⁡(initial rate)</m:t>
              </m:r>
            </m:num>
            <m:den>
              <m:r>
                <m:rPr>
                  <m:sty m:val="p"/>
                </m:rPr>
                <w:rPr>
                  <w:rFonts w:ascii="Cambria Math" w:hAnsi="Cambria Math"/>
                  <w:color w:val="auto"/>
                </w:rPr>
                <m:t>∆log⁡(</m:t>
              </m:r>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0</m:t>
                  </m:r>
                </m:sub>
              </m:sSub>
              <m:r>
                <m:rPr>
                  <m:sty m:val="p"/>
                </m:rPr>
                <w:rPr>
                  <w:rFonts w:ascii="Cambria Math" w:hAnsi="Cambria Math"/>
                  <w:color w:val="auto"/>
                </w:rPr>
                <m:t xml:space="preserve"> or </m:t>
              </m:r>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s</m:t>
                  </m:r>
                </m:sub>
              </m:sSub>
              <m:r>
                <m:rPr>
                  <m:sty m:val="p"/>
                </m:rPr>
                <w:rPr>
                  <w:rFonts w:ascii="Cambria Math" w:hAnsi="Cambria Math"/>
                  <w:color w:val="auto"/>
                </w:rPr>
                <m:t>)</m:t>
              </m:r>
            </m:den>
          </m:f>
        </m:oMath>
      </m:oMathPara>
    </w:p>
    <w:p w14:paraId="05E0B29B" w14:textId="798B3A3C" w:rsidR="001241B0" w:rsidRPr="00E70281" w:rsidRDefault="001241B0" w:rsidP="001241B0">
      <w:pPr>
        <w:pStyle w:val="Caption"/>
        <w:jc w:val="right"/>
        <w:rPr>
          <w:color w:val="auto"/>
        </w:rPr>
      </w:pPr>
      <w:r w:rsidRPr="00E70281">
        <w:rPr>
          <w:color w:val="auto"/>
        </w:rPr>
        <w:t xml:space="preserve">Equation </w:t>
      </w:r>
      <w:r w:rsidR="000D57EB" w:rsidRPr="00E70281">
        <w:rPr>
          <w:color w:val="auto"/>
        </w:rPr>
        <w:fldChar w:fldCharType="begin"/>
      </w:r>
      <w:r w:rsidR="000D57EB" w:rsidRPr="00E70281">
        <w:rPr>
          <w:color w:val="auto"/>
        </w:rPr>
        <w:instrText xml:space="preserve"> SEQ Equation \* ARABIC </w:instrText>
      </w:r>
      <w:r w:rsidR="000D57EB" w:rsidRPr="00E70281">
        <w:rPr>
          <w:color w:val="auto"/>
        </w:rPr>
        <w:fldChar w:fldCharType="separate"/>
      </w:r>
      <w:r w:rsidR="00D37CAD" w:rsidRPr="00E70281">
        <w:rPr>
          <w:noProof/>
          <w:color w:val="auto"/>
        </w:rPr>
        <w:t>5</w:t>
      </w:r>
      <w:r w:rsidR="000D57EB" w:rsidRPr="00E70281">
        <w:rPr>
          <w:noProof/>
          <w:color w:val="auto"/>
        </w:rPr>
        <w:fldChar w:fldCharType="end"/>
      </w:r>
    </w:p>
    <w:p w14:paraId="6A8A2743" w14:textId="0337C9C2" w:rsidR="00E830CC" w:rsidRPr="00E70281" w:rsidRDefault="001A380F" w:rsidP="00B664A7">
      <w:pPr>
        <w:rPr>
          <w:color w:val="auto"/>
        </w:rPr>
      </w:pPr>
      <w:bookmarkStart w:id="11" w:name="_Hlk61257955"/>
      <w:r w:rsidRPr="00E70281">
        <w:rPr>
          <w:color w:val="auto"/>
        </w:rPr>
        <w:lastRenderedPageBreak/>
        <w:t>For each data set, t</w:t>
      </w:r>
      <w:r w:rsidR="0080789A" w:rsidRPr="00E70281">
        <w:rPr>
          <w:color w:val="auto"/>
        </w:rPr>
        <w:t xml:space="preserve">he order of reaction </w:t>
      </w:r>
      <w:r w:rsidRPr="00E70281">
        <w:rPr>
          <w:color w:val="auto"/>
        </w:rPr>
        <w:t xml:space="preserve">with respect to the independent variable </w:t>
      </w:r>
      <w:r w:rsidR="0080789A" w:rsidRPr="00E70281">
        <w:rPr>
          <w:color w:val="auto"/>
        </w:rPr>
        <w:t>was calculated using the LI</w:t>
      </w:r>
      <w:r w:rsidR="00F42547" w:rsidRPr="00E70281">
        <w:rPr>
          <w:color w:val="auto"/>
        </w:rPr>
        <w:t xml:space="preserve">NEST </w:t>
      </w:r>
      <w:r w:rsidR="007E02BB" w:rsidRPr="00E70281">
        <w:rPr>
          <w:color w:val="auto"/>
        </w:rPr>
        <w:t>function</w:t>
      </w:r>
      <w:r w:rsidR="00F42547" w:rsidRPr="00E70281">
        <w:rPr>
          <w:color w:val="auto"/>
        </w:rPr>
        <w:t xml:space="preserve"> in Microsoft Excel</w:t>
      </w:r>
      <w:r w:rsidR="007E02BB" w:rsidRPr="00E70281">
        <w:rPr>
          <w:color w:val="auto"/>
        </w:rPr>
        <w:t>.</w:t>
      </w:r>
      <w:r w:rsidR="0080789A" w:rsidRPr="00E70281">
        <w:rPr>
          <w:color w:val="auto"/>
        </w:rPr>
        <w:t xml:space="preserve"> </w:t>
      </w:r>
      <w:r w:rsidR="00F42547" w:rsidRPr="00E70281">
        <w:rPr>
          <w:color w:val="auto"/>
        </w:rPr>
        <w:t>T</w:t>
      </w:r>
      <w:r w:rsidR="0080789A" w:rsidRPr="00E70281">
        <w:rPr>
          <w:color w:val="auto"/>
        </w:rPr>
        <w:t xml:space="preserve">he </w:t>
      </w:r>
      <w:r w:rsidR="00665B4D" w:rsidRPr="00E70281">
        <w:rPr>
          <w:color w:val="FF0000"/>
        </w:rPr>
        <w:t>uncertainty in the order of reaction</w:t>
      </w:r>
      <w:r w:rsidR="0080789A" w:rsidRPr="00E70281">
        <w:rPr>
          <w:color w:val="FF0000"/>
        </w:rPr>
        <w:t xml:space="preserve"> </w:t>
      </w:r>
      <w:r w:rsidR="007761E3" w:rsidRPr="00E70281">
        <w:rPr>
          <w:color w:val="auto"/>
        </w:rPr>
        <w:t>for</w:t>
      </w:r>
      <w:r w:rsidR="0080789A" w:rsidRPr="00E70281">
        <w:rPr>
          <w:color w:val="auto"/>
        </w:rPr>
        <w:t xml:space="preserve"> each data set</w:t>
      </w:r>
      <w:r w:rsidR="00F42547" w:rsidRPr="00E70281">
        <w:rPr>
          <w:color w:val="auto"/>
        </w:rPr>
        <w:t xml:space="preserve"> was</w:t>
      </w:r>
      <w:r w:rsidR="0080789A" w:rsidRPr="00E70281">
        <w:rPr>
          <w:color w:val="auto"/>
        </w:rPr>
        <w:t xml:space="preserve"> </w:t>
      </w:r>
      <w:r w:rsidR="007761E3" w:rsidRPr="00E70281">
        <w:rPr>
          <w:color w:val="auto"/>
        </w:rPr>
        <w:t>specified</w:t>
      </w:r>
      <w:r w:rsidR="000B0364" w:rsidRPr="00E70281">
        <w:rPr>
          <w:color w:val="auto"/>
        </w:rPr>
        <w:t xml:space="preserve"> as the standard error of the slope. </w:t>
      </w:r>
      <w:bookmarkStart w:id="12" w:name="_Hlk58335587"/>
      <w:r w:rsidR="002F2888" w:rsidRPr="00E70281">
        <w:rPr>
          <w:color w:val="auto"/>
        </w:rPr>
        <w:t>An</w:t>
      </w:r>
      <w:r w:rsidR="000B0364" w:rsidRPr="00E70281">
        <w:rPr>
          <w:color w:val="auto"/>
        </w:rPr>
        <w:t xml:space="preserve"> average</w:t>
      </w:r>
      <w:r w:rsidR="00EF7812" w:rsidRPr="00E70281">
        <w:rPr>
          <w:color w:val="auto"/>
        </w:rPr>
        <w:t xml:space="preserve"> (mean, x̄)</w:t>
      </w:r>
      <w:r w:rsidR="000B0364" w:rsidRPr="00E70281">
        <w:rPr>
          <w:color w:val="auto"/>
        </w:rPr>
        <w:t xml:space="preserve"> order of reaction </w:t>
      </w:r>
      <w:r w:rsidR="007E02BB" w:rsidRPr="00E70281">
        <w:rPr>
          <w:color w:val="auto"/>
        </w:rPr>
        <w:t>representing</w:t>
      </w:r>
      <w:r w:rsidR="000B0364" w:rsidRPr="00E70281">
        <w:rPr>
          <w:color w:val="auto"/>
        </w:rPr>
        <w:t xml:space="preserve"> all data sets </w:t>
      </w:r>
      <w:r w:rsidR="002F2888" w:rsidRPr="00E70281">
        <w:rPr>
          <w:color w:val="auto"/>
        </w:rPr>
        <w:t>was calculated</w:t>
      </w:r>
      <w:r w:rsidR="000B0364" w:rsidRPr="00E70281">
        <w:rPr>
          <w:color w:val="auto"/>
        </w:rPr>
        <w:t xml:space="preserve">, </w:t>
      </w:r>
      <w:r w:rsidR="002F2888" w:rsidRPr="00E70281">
        <w:rPr>
          <w:color w:val="auto"/>
        </w:rPr>
        <w:t>with</w:t>
      </w:r>
      <w:r w:rsidR="00D50721" w:rsidRPr="00E70281">
        <w:rPr>
          <w:color w:val="auto"/>
        </w:rPr>
        <w:t xml:space="preserve"> </w:t>
      </w:r>
      <w:r w:rsidR="000B0364" w:rsidRPr="00E70281">
        <w:rPr>
          <w:color w:val="auto"/>
        </w:rPr>
        <w:t>errors reported as the standard deviation</w:t>
      </w:r>
      <w:bookmarkEnd w:id="12"/>
      <w:r w:rsidR="000B0364" w:rsidRPr="00E70281">
        <w:rPr>
          <w:color w:val="auto"/>
        </w:rPr>
        <w:t>.</w:t>
      </w:r>
      <w:r w:rsidR="001D2A85" w:rsidRPr="00E70281">
        <w:rPr>
          <w:color w:val="auto"/>
        </w:rPr>
        <w:t xml:space="preserve"> The dependencies</w:t>
      </w:r>
      <w:r w:rsidR="005340FA" w:rsidRPr="00E70281">
        <w:rPr>
          <w:color w:val="auto"/>
        </w:rPr>
        <w:t xml:space="preserve"> of k</w:t>
      </w:r>
      <w:r w:rsidR="005340FA" w:rsidRPr="00E70281">
        <w:rPr>
          <w:color w:val="auto"/>
          <w:vertAlign w:val="subscript"/>
        </w:rPr>
        <w:t>2</w:t>
      </w:r>
      <w:r w:rsidR="005340FA" w:rsidRPr="00E70281">
        <w:rPr>
          <w:color w:val="auto"/>
        </w:rPr>
        <w:t xml:space="preserve"> and k’ </w:t>
      </w:r>
      <w:r w:rsidR="001D2A85" w:rsidRPr="00E70281">
        <w:rPr>
          <w:color w:val="auto"/>
        </w:rPr>
        <w:t>up</w:t>
      </w:r>
      <w:r w:rsidR="005340FA" w:rsidRPr="00E70281">
        <w:rPr>
          <w:color w:val="auto"/>
        </w:rPr>
        <w:t>on C</w:t>
      </w:r>
      <w:r w:rsidR="005340FA" w:rsidRPr="00E70281">
        <w:rPr>
          <w:color w:val="auto"/>
          <w:vertAlign w:val="subscript"/>
        </w:rPr>
        <w:t>0</w:t>
      </w:r>
      <w:r w:rsidR="00247BDD" w:rsidRPr="00E70281">
        <w:rPr>
          <w:color w:val="auto"/>
        </w:rPr>
        <w:t xml:space="preserve"> and</w:t>
      </w:r>
      <w:r w:rsidR="005340FA" w:rsidRPr="00E70281">
        <w:rPr>
          <w:color w:val="auto"/>
        </w:rPr>
        <w:t xml:space="preserve"> C</w:t>
      </w:r>
      <w:r w:rsidR="005340FA" w:rsidRPr="00E70281">
        <w:rPr>
          <w:color w:val="auto"/>
          <w:vertAlign w:val="subscript"/>
        </w:rPr>
        <w:t>s</w:t>
      </w:r>
      <w:r w:rsidR="005340FA" w:rsidRPr="00E70281">
        <w:rPr>
          <w:color w:val="auto"/>
        </w:rPr>
        <w:t xml:space="preserve"> </w:t>
      </w:r>
      <w:r w:rsidR="001D2A85" w:rsidRPr="00E70281">
        <w:rPr>
          <w:color w:val="auto"/>
        </w:rPr>
        <w:t>were</w:t>
      </w:r>
      <w:r w:rsidR="005340FA" w:rsidRPr="00E70281">
        <w:rPr>
          <w:color w:val="auto"/>
        </w:rPr>
        <w:t xml:space="preserve"> determined </w:t>
      </w:r>
      <w:r w:rsidR="004D7729" w:rsidRPr="00E70281">
        <w:rPr>
          <w:color w:val="auto"/>
        </w:rPr>
        <w:t>using the same method</w:t>
      </w:r>
      <w:r w:rsidR="006F2D7A" w:rsidRPr="00E70281">
        <w:rPr>
          <w:color w:val="auto"/>
        </w:rPr>
        <w:t>,</w:t>
      </w:r>
      <w:r w:rsidR="007E02BB" w:rsidRPr="00E70281">
        <w:rPr>
          <w:color w:val="auto"/>
        </w:rPr>
        <w:t xml:space="preserve"> only</w:t>
      </w:r>
      <w:r w:rsidR="006F2D7A" w:rsidRPr="00E70281">
        <w:rPr>
          <w:color w:val="auto"/>
        </w:rPr>
        <w:t xml:space="preserve"> substituting </w:t>
      </w:r>
      <w:r w:rsidR="002F2888" w:rsidRPr="00E70281">
        <w:rPr>
          <w:color w:val="auto"/>
        </w:rPr>
        <w:t>the initial rate</w:t>
      </w:r>
      <w:r w:rsidR="006F2D7A" w:rsidRPr="00E70281">
        <w:rPr>
          <w:color w:val="auto"/>
        </w:rPr>
        <w:t xml:space="preserve"> </w:t>
      </w:r>
      <w:r w:rsidR="00E830CC" w:rsidRPr="00E70281">
        <w:rPr>
          <w:color w:val="auto"/>
        </w:rPr>
        <w:t>with</w:t>
      </w:r>
      <w:r w:rsidR="006F2D7A" w:rsidRPr="00E70281">
        <w:rPr>
          <w:color w:val="auto"/>
        </w:rPr>
        <w:t xml:space="preserve"> k</w:t>
      </w:r>
      <w:r w:rsidR="006F2D7A" w:rsidRPr="00E70281">
        <w:rPr>
          <w:color w:val="auto"/>
          <w:vertAlign w:val="subscript"/>
        </w:rPr>
        <w:t>2</w:t>
      </w:r>
      <w:r w:rsidR="006F2D7A" w:rsidRPr="00E70281">
        <w:rPr>
          <w:color w:val="auto"/>
        </w:rPr>
        <w:t xml:space="preserve"> or k’</w:t>
      </w:r>
      <w:r w:rsidR="004D7729" w:rsidRPr="00E70281">
        <w:rPr>
          <w:color w:val="auto"/>
        </w:rPr>
        <w:t>.</w:t>
      </w:r>
    </w:p>
    <w:bookmarkEnd w:id="11"/>
    <w:p w14:paraId="0B0171CD" w14:textId="7EC10D5B" w:rsidR="0080789A" w:rsidRPr="00E70281" w:rsidRDefault="0080789A" w:rsidP="00B664A7">
      <w:pPr>
        <w:rPr>
          <w:color w:val="auto"/>
        </w:rPr>
      </w:pPr>
    </w:p>
    <w:p w14:paraId="166380E4" w14:textId="4F7AD3FF" w:rsidR="00FF5DB0" w:rsidRPr="00E70281" w:rsidRDefault="00FF5DB0" w:rsidP="00E830CC">
      <w:pPr>
        <w:pStyle w:val="Heading2"/>
      </w:pPr>
      <w:r w:rsidRPr="00E70281">
        <w:t>Modelling</w:t>
      </w:r>
      <w:r w:rsidR="007C5E4C" w:rsidRPr="00E70281">
        <w:t xml:space="preserve"> the revised rate equation</w:t>
      </w:r>
    </w:p>
    <w:p w14:paraId="7255A504" w14:textId="10983F28" w:rsidR="00DA6854" w:rsidRPr="00E70281" w:rsidRDefault="00DA6854" w:rsidP="00FF5DB0">
      <w:pPr>
        <w:rPr>
          <w:color w:val="auto"/>
        </w:rPr>
      </w:pPr>
      <w:bookmarkStart w:id="13" w:name="_Hlk58319407"/>
      <w:bookmarkStart w:id="14" w:name="_Hlk61253786"/>
      <w:r w:rsidRPr="00E70281">
        <w:rPr>
          <w:color w:val="auto"/>
        </w:rPr>
        <w:t xml:space="preserve">Our final </w:t>
      </w:r>
      <w:r w:rsidR="007761E3" w:rsidRPr="00E70281">
        <w:rPr>
          <w:color w:val="auto"/>
        </w:rPr>
        <w:t xml:space="preserve">rate </w:t>
      </w:r>
      <w:r w:rsidRPr="00E70281">
        <w:rPr>
          <w:color w:val="auto"/>
        </w:rPr>
        <w:t>equation</w:t>
      </w:r>
      <w:r w:rsidR="007761E3" w:rsidRPr="00E70281">
        <w:rPr>
          <w:color w:val="auto"/>
        </w:rPr>
        <w:t>,</w:t>
      </w:r>
      <w:r w:rsidRPr="00E70281">
        <w:rPr>
          <w:color w:val="auto"/>
        </w:rPr>
        <w:t xml:space="preserve"> developed and derived in the Results and Discussion </w:t>
      </w:r>
      <w:r w:rsidR="00F81864" w:rsidRPr="00E70281">
        <w:rPr>
          <w:color w:val="auto"/>
        </w:rPr>
        <w:t>(</w:t>
      </w:r>
      <w:r w:rsidR="00F81864" w:rsidRPr="00E70281">
        <w:rPr>
          <w:color w:val="auto"/>
        </w:rPr>
        <w:fldChar w:fldCharType="begin"/>
      </w:r>
      <w:r w:rsidR="00F81864" w:rsidRPr="00E70281">
        <w:rPr>
          <w:color w:val="auto"/>
        </w:rPr>
        <w:instrText xml:space="preserve"> REF _Ref34162635 \h </w:instrText>
      </w:r>
      <w:r w:rsidR="00F81864" w:rsidRPr="00E70281">
        <w:rPr>
          <w:color w:val="auto"/>
        </w:rPr>
      </w:r>
      <w:r w:rsidR="00F81864" w:rsidRPr="00E70281">
        <w:rPr>
          <w:color w:val="auto"/>
        </w:rPr>
        <w:fldChar w:fldCharType="separate"/>
      </w:r>
      <w:r w:rsidR="00D37CAD" w:rsidRPr="00E70281">
        <w:rPr>
          <w:color w:val="auto"/>
        </w:rPr>
        <w:t xml:space="preserve">Equation </w:t>
      </w:r>
      <w:r w:rsidR="00D37CAD" w:rsidRPr="00E70281">
        <w:rPr>
          <w:noProof/>
          <w:color w:val="auto"/>
        </w:rPr>
        <w:t>9</w:t>
      </w:r>
      <w:r w:rsidR="00F81864" w:rsidRPr="00E70281">
        <w:rPr>
          <w:color w:val="auto"/>
        </w:rPr>
        <w:fldChar w:fldCharType="end"/>
      </w:r>
      <w:r w:rsidR="00F81864" w:rsidRPr="00E70281">
        <w:rPr>
          <w:color w:val="auto"/>
        </w:rPr>
        <w:t>, referred to as the rPSO)</w:t>
      </w:r>
      <w:r w:rsidR="007761E3" w:rsidRPr="00E70281">
        <w:rPr>
          <w:color w:val="auto"/>
        </w:rPr>
        <w:t>,</w:t>
      </w:r>
      <w:r w:rsidR="00F81864" w:rsidRPr="00E70281">
        <w:rPr>
          <w:color w:val="auto"/>
        </w:rPr>
        <w:t xml:space="preserve"> is:</w:t>
      </w:r>
    </w:p>
    <w:p w14:paraId="22933125" w14:textId="18B9FEDD" w:rsidR="00F81864" w:rsidRPr="00E70281" w:rsidRDefault="00474213" w:rsidP="00F81864">
      <w:pPr>
        <w:pStyle w:val="Caption"/>
        <w:ind w:left="360"/>
        <w:jc w:val="center"/>
        <w:rPr>
          <w:rFonts w:cstheme="minorHAnsi"/>
          <w:i w:val="0"/>
          <w:color w:val="auto"/>
        </w:rPr>
      </w:pPr>
      <m:oMathPara>
        <m:oMath>
          <m:f>
            <m:fPr>
              <m:ctrlPr>
                <w:rPr>
                  <w:rFonts w:ascii="Cambria Math" w:hAnsi="Cambria Math" w:cstheme="minorHAnsi"/>
                  <w:i w:val="0"/>
                  <w:color w:val="auto"/>
                  <w:sz w:val="22"/>
                </w:rPr>
              </m:ctrlPr>
            </m:fPr>
            <m:num>
              <m:r>
                <w:rPr>
                  <w:rFonts w:ascii="Cambria Math" w:hAnsi="Cambria Math" w:cstheme="minorHAnsi"/>
                  <w:color w:val="auto"/>
                  <w:sz w:val="22"/>
                </w:rPr>
                <m:t>d</m:t>
              </m:r>
              <m:sSub>
                <m:sSubPr>
                  <m:ctrlPr>
                    <w:rPr>
                      <w:rFonts w:ascii="Cambria Math" w:hAnsi="Cambria Math" w:cstheme="minorHAnsi"/>
                      <w:i w:val="0"/>
                      <w:color w:val="auto"/>
                      <w:sz w:val="22"/>
                    </w:rPr>
                  </m:ctrlPr>
                </m:sSubPr>
                <m:e>
                  <m:r>
                    <w:rPr>
                      <w:rFonts w:ascii="Cambria Math" w:hAnsi="Cambria Math" w:cstheme="minorHAnsi"/>
                      <w:color w:val="auto"/>
                      <w:sz w:val="22"/>
                    </w:rPr>
                    <m:t>q</m:t>
                  </m:r>
                </m:e>
                <m:sub>
                  <m:r>
                    <w:rPr>
                      <w:rFonts w:ascii="Cambria Math" w:hAnsi="Cambria Math" w:cstheme="minorHAnsi"/>
                      <w:color w:val="auto"/>
                      <w:sz w:val="22"/>
                    </w:rPr>
                    <m:t>t</m:t>
                  </m:r>
                </m:sub>
              </m:sSub>
            </m:num>
            <m:den>
              <m:r>
                <w:rPr>
                  <w:rFonts w:ascii="Cambria Math" w:hAnsi="Cambria Math" w:cstheme="minorHAnsi"/>
                  <w:color w:val="auto"/>
                  <w:sz w:val="22"/>
                </w:rPr>
                <m:t>dt</m:t>
              </m:r>
            </m:den>
          </m:f>
          <m:r>
            <w:rPr>
              <w:rFonts w:ascii="Cambria Math" w:hAnsi="Cambria Math" w:cstheme="minorHAnsi"/>
              <w:color w:val="auto"/>
              <w:sz w:val="22"/>
            </w:rPr>
            <m:t>= k'</m:t>
          </m:r>
          <m:sSub>
            <m:sSubPr>
              <m:ctrlPr>
                <w:rPr>
                  <w:rFonts w:ascii="Cambria Math" w:hAnsi="Cambria Math" w:cstheme="minorHAnsi"/>
                  <w:i w:val="0"/>
                  <w:color w:val="auto"/>
                  <w:sz w:val="22"/>
                </w:rPr>
              </m:ctrlPr>
            </m:sSubPr>
            <m:e>
              <m:r>
                <w:rPr>
                  <w:rFonts w:ascii="Cambria Math" w:hAnsi="Cambria Math" w:cstheme="minorHAnsi"/>
                  <w:color w:val="auto"/>
                  <w:sz w:val="22"/>
                </w:rPr>
                <m:t>C</m:t>
              </m:r>
            </m:e>
            <m:sub>
              <m:r>
                <w:rPr>
                  <w:rFonts w:ascii="Cambria Math" w:hAnsi="Cambria Math" w:cstheme="minorHAnsi"/>
                  <w:color w:val="auto"/>
                  <w:sz w:val="22"/>
                </w:rPr>
                <m:t>t</m:t>
              </m:r>
            </m:sub>
          </m:sSub>
          <m:sSup>
            <m:sSupPr>
              <m:ctrlPr>
                <w:rPr>
                  <w:rFonts w:ascii="Cambria Math" w:hAnsi="Cambria Math" w:cstheme="minorHAnsi"/>
                  <w:i w:val="0"/>
                  <w:color w:val="auto"/>
                  <w:sz w:val="22"/>
                </w:rPr>
              </m:ctrlPr>
            </m:sSupPr>
            <m:e>
              <m:d>
                <m:dPr>
                  <m:ctrlPr>
                    <w:rPr>
                      <w:rFonts w:ascii="Cambria Math" w:hAnsi="Cambria Math" w:cstheme="minorHAnsi"/>
                      <w:i w:val="0"/>
                      <w:color w:val="auto"/>
                      <w:sz w:val="22"/>
                    </w:rPr>
                  </m:ctrlPr>
                </m:dPr>
                <m:e>
                  <m:r>
                    <w:rPr>
                      <w:rFonts w:ascii="Cambria Math" w:hAnsi="Cambria Math" w:cstheme="minorHAnsi"/>
                      <w:color w:val="auto"/>
                      <w:sz w:val="22"/>
                    </w:rPr>
                    <m:t>1-</m:t>
                  </m:r>
                  <m:f>
                    <m:fPr>
                      <m:ctrlPr>
                        <w:rPr>
                          <w:rFonts w:ascii="Cambria Math" w:hAnsi="Cambria Math" w:cstheme="minorHAnsi"/>
                          <w:i w:val="0"/>
                          <w:color w:val="auto"/>
                          <w:sz w:val="22"/>
                        </w:rPr>
                      </m:ctrlPr>
                    </m:fPr>
                    <m:num>
                      <m:sSub>
                        <m:sSubPr>
                          <m:ctrlPr>
                            <w:rPr>
                              <w:rFonts w:ascii="Cambria Math" w:hAnsi="Cambria Math" w:cstheme="minorHAnsi"/>
                              <w:i w:val="0"/>
                              <w:color w:val="auto"/>
                              <w:sz w:val="22"/>
                            </w:rPr>
                          </m:ctrlPr>
                        </m:sSubPr>
                        <m:e>
                          <m:r>
                            <w:rPr>
                              <w:rFonts w:ascii="Cambria Math" w:hAnsi="Cambria Math" w:cstheme="minorHAnsi"/>
                              <w:color w:val="auto"/>
                              <w:sz w:val="22"/>
                            </w:rPr>
                            <m:t>q</m:t>
                          </m:r>
                        </m:e>
                        <m:sub>
                          <m:r>
                            <w:rPr>
                              <w:rFonts w:ascii="Cambria Math" w:hAnsi="Cambria Math" w:cstheme="minorHAnsi"/>
                              <w:color w:val="auto"/>
                              <w:sz w:val="22"/>
                            </w:rPr>
                            <m:t>t</m:t>
                          </m:r>
                        </m:sub>
                      </m:sSub>
                    </m:num>
                    <m:den>
                      <m:sSub>
                        <m:sSubPr>
                          <m:ctrlPr>
                            <w:rPr>
                              <w:rFonts w:ascii="Cambria Math" w:hAnsi="Cambria Math" w:cstheme="minorHAnsi"/>
                              <w:i w:val="0"/>
                              <w:color w:val="auto"/>
                              <w:sz w:val="22"/>
                            </w:rPr>
                          </m:ctrlPr>
                        </m:sSubPr>
                        <m:e>
                          <m:r>
                            <w:rPr>
                              <w:rFonts w:ascii="Cambria Math" w:hAnsi="Cambria Math" w:cstheme="minorHAnsi"/>
                              <w:color w:val="auto"/>
                              <w:sz w:val="22"/>
                            </w:rPr>
                            <m:t>q</m:t>
                          </m:r>
                        </m:e>
                        <m:sub>
                          <m:r>
                            <w:rPr>
                              <w:rFonts w:ascii="Cambria Math" w:hAnsi="Cambria Math" w:cstheme="minorHAnsi"/>
                              <w:color w:val="auto"/>
                              <w:sz w:val="22"/>
                            </w:rPr>
                            <m:t>e</m:t>
                          </m:r>
                        </m:sub>
                      </m:sSub>
                    </m:den>
                  </m:f>
                </m:e>
              </m:d>
            </m:e>
            <m:sup>
              <m:r>
                <w:rPr>
                  <w:rFonts w:ascii="Cambria Math" w:hAnsi="Cambria Math" w:cstheme="minorHAnsi"/>
                  <w:color w:val="auto"/>
                  <w:sz w:val="22"/>
                </w:rPr>
                <m:t>2</m:t>
              </m:r>
            </m:sup>
          </m:sSup>
        </m:oMath>
      </m:oMathPara>
    </w:p>
    <w:p w14:paraId="03D1155D" w14:textId="5C4FA396" w:rsidR="00F81864" w:rsidRPr="00E70281" w:rsidRDefault="00F81864" w:rsidP="00F81864">
      <w:pPr>
        <w:pStyle w:val="Caption"/>
        <w:jc w:val="right"/>
        <w:rPr>
          <w:noProof/>
          <w:color w:val="auto"/>
        </w:rPr>
      </w:pPr>
      <w:r w:rsidRPr="00E70281">
        <w:rPr>
          <w:color w:val="auto"/>
        </w:rPr>
        <w:t xml:space="preserve">Equation </w:t>
      </w:r>
      <w:r w:rsidRPr="00E70281">
        <w:rPr>
          <w:color w:val="auto"/>
        </w:rPr>
        <w:fldChar w:fldCharType="begin"/>
      </w:r>
      <w:r w:rsidRPr="00E70281">
        <w:rPr>
          <w:color w:val="auto"/>
        </w:rPr>
        <w:instrText xml:space="preserve"> SEQ Equation \* ARABIC </w:instrText>
      </w:r>
      <w:r w:rsidRPr="00E70281">
        <w:rPr>
          <w:color w:val="auto"/>
        </w:rPr>
        <w:fldChar w:fldCharType="separate"/>
      </w:r>
      <w:r w:rsidR="00D37CAD" w:rsidRPr="00E70281">
        <w:rPr>
          <w:noProof/>
          <w:color w:val="auto"/>
        </w:rPr>
        <w:t>6</w:t>
      </w:r>
      <w:r w:rsidRPr="00E70281">
        <w:rPr>
          <w:noProof/>
          <w:color w:val="auto"/>
        </w:rPr>
        <w:fldChar w:fldCharType="end"/>
      </w:r>
    </w:p>
    <w:p w14:paraId="207D89D1" w14:textId="177ED3A5" w:rsidR="00AD5AA4" w:rsidRPr="00E70281" w:rsidRDefault="00F81864" w:rsidP="00F81864">
      <w:pPr>
        <w:rPr>
          <w:color w:val="auto"/>
        </w:rPr>
      </w:pPr>
      <w:r w:rsidRPr="00E70281">
        <w:rPr>
          <w:color w:val="auto"/>
        </w:rPr>
        <w:t>where the rate constant k’ takes the units L g</w:t>
      </w:r>
      <w:r w:rsidRPr="00E70281">
        <w:rPr>
          <w:color w:val="auto"/>
          <w:vertAlign w:val="superscript"/>
        </w:rPr>
        <w:t>-1</w:t>
      </w:r>
      <w:r w:rsidRPr="00E70281">
        <w:rPr>
          <w:color w:val="auto"/>
        </w:rPr>
        <w:t xml:space="preserve"> min</w:t>
      </w:r>
      <w:r w:rsidRPr="00E70281">
        <w:rPr>
          <w:color w:val="auto"/>
          <w:vertAlign w:val="superscript"/>
        </w:rPr>
        <w:t>-1</w:t>
      </w:r>
      <w:r w:rsidRPr="00E70281">
        <w:rPr>
          <w:color w:val="auto"/>
        </w:rPr>
        <w:t>.</w:t>
      </w:r>
      <w:r w:rsidR="0008568D" w:rsidRPr="00E70281">
        <w:rPr>
          <w:color w:val="auto"/>
        </w:rPr>
        <w:t xml:space="preserve"> </w:t>
      </w:r>
      <w:bookmarkEnd w:id="13"/>
      <w:r w:rsidR="0071372D" w:rsidRPr="00E70281">
        <w:rPr>
          <w:color w:val="auto"/>
        </w:rPr>
        <w:t xml:space="preserve">As </w:t>
      </w:r>
      <w:r w:rsidR="004C3167" w:rsidRPr="00E70281">
        <w:rPr>
          <w:color w:val="auto"/>
        </w:rPr>
        <w:t>the rPSO</w:t>
      </w:r>
      <w:r w:rsidR="0071372D" w:rsidRPr="00E70281">
        <w:rPr>
          <w:color w:val="auto"/>
        </w:rPr>
        <w:t xml:space="preserve"> </w:t>
      </w:r>
      <w:r w:rsidR="00BD1D75" w:rsidRPr="00E70281">
        <w:rPr>
          <w:color w:val="auto"/>
        </w:rPr>
        <w:t xml:space="preserve">rate equation </w:t>
      </w:r>
      <w:r w:rsidR="004C3167" w:rsidRPr="00E70281">
        <w:rPr>
          <w:color w:val="auto"/>
        </w:rPr>
        <w:t>is</w:t>
      </w:r>
      <w:r w:rsidR="00BD1D75" w:rsidRPr="00E70281">
        <w:rPr>
          <w:color w:val="auto"/>
        </w:rPr>
        <w:t xml:space="preserve"> not easily </w:t>
      </w:r>
      <w:r w:rsidR="004C3167" w:rsidRPr="00E70281">
        <w:rPr>
          <w:color w:val="auto"/>
        </w:rPr>
        <w:t>integrated</w:t>
      </w:r>
      <w:r w:rsidR="00BD1D75" w:rsidRPr="00E70281">
        <w:rPr>
          <w:color w:val="auto"/>
        </w:rPr>
        <w:t xml:space="preserve">, </w:t>
      </w:r>
      <w:r w:rsidR="004C3167" w:rsidRPr="00E70281">
        <w:rPr>
          <w:color w:val="auto"/>
        </w:rPr>
        <w:t>experiments were</w:t>
      </w:r>
      <w:r w:rsidR="00BD1D75" w:rsidRPr="00E70281">
        <w:rPr>
          <w:color w:val="auto"/>
        </w:rPr>
        <w:t xml:space="preserve"> simulated using </w:t>
      </w:r>
      <w:r w:rsidR="00AD5AA4" w:rsidRPr="00E70281">
        <w:rPr>
          <w:color w:val="auto"/>
        </w:rPr>
        <w:t>Microsoft Excel</w:t>
      </w:r>
      <w:r w:rsidR="00F214B2" w:rsidRPr="00E70281">
        <w:rPr>
          <w:color w:val="auto"/>
        </w:rPr>
        <w:t xml:space="preserve">. </w:t>
      </w:r>
      <w:bookmarkEnd w:id="14"/>
      <w:r w:rsidR="00BD1D75" w:rsidRPr="00E70281">
        <w:rPr>
          <w:color w:val="auto"/>
        </w:rPr>
        <w:t>T</w:t>
      </w:r>
      <w:r w:rsidR="00F214B2" w:rsidRPr="00E70281">
        <w:rPr>
          <w:color w:val="auto"/>
        </w:rPr>
        <w:t>he quantity of</w:t>
      </w:r>
      <w:r w:rsidR="00FF726D" w:rsidRPr="00E70281">
        <w:rPr>
          <w:color w:val="auto"/>
        </w:rPr>
        <w:t xml:space="preserve"> adsorbate</w:t>
      </w:r>
      <w:r w:rsidR="00F214B2" w:rsidRPr="00E70281">
        <w:rPr>
          <w:color w:val="auto"/>
        </w:rPr>
        <w:t xml:space="preserve"> adsorbed at the n</w:t>
      </w:r>
      <w:r w:rsidR="00F214B2" w:rsidRPr="00E70281">
        <w:rPr>
          <w:color w:val="auto"/>
          <w:vertAlign w:val="superscript"/>
        </w:rPr>
        <w:t>th</w:t>
      </w:r>
      <w:r w:rsidR="00F214B2" w:rsidRPr="00E70281">
        <w:rPr>
          <w:color w:val="auto"/>
        </w:rPr>
        <w:t xml:space="preserve"> data point was calculated using the following formula:</w:t>
      </w:r>
      <w:r w:rsidR="00AD5AA4" w:rsidRPr="00E70281">
        <w:rPr>
          <w:color w:val="auto"/>
        </w:rPr>
        <w:t xml:space="preserve"> </w:t>
      </w:r>
    </w:p>
    <w:bookmarkStart w:id="15" w:name="_Hlk58852714"/>
    <w:bookmarkStart w:id="16" w:name="_Hlk58318998"/>
    <w:p w14:paraId="2C99AE52" w14:textId="00280DCF" w:rsidR="00311536" w:rsidRPr="00E70281" w:rsidRDefault="00474213" w:rsidP="00FF5DB0">
      <w:pPr>
        <w:rPr>
          <w:color w:val="auto"/>
        </w:rPr>
      </w:pPr>
      <m:oMathPara>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n-1</m:t>
              </m:r>
            </m:sub>
          </m:sSub>
          <m:r>
            <m:rPr>
              <m:sty m:val="p"/>
            </m:rPr>
            <w:rPr>
              <w:rFonts w:ascii="Cambria Math" w:hAnsi="Cambria Math"/>
              <w:color w:val="auto"/>
            </w:rPr>
            <m:t>+</m:t>
          </m:r>
          <m:d>
            <m:dPr>
              <m:ctrlPr>
                <w:rPr>
                  <w:rFonts w:ascii="Cambria Math" w:hAnsi="Cambria Math"/>
                  <w:color w:val="auto"/>
                </w:rPr>
              </m:ctrlPr>
            </m:dPr>
            <m:e>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n-1</m:t>
                  </m:r>
                </m:sub>
              </m:sSub>
              <m:r>
                <m:rPr>
                  <m:sty m:val="p"/>
                </m:rPr>
                <w:rPr>
                  <w:rFonts w:ascii="Cambria Math" w:hAnsi="Cambria Math"/>
                  <w:color w:val="auto"/>
                </w:rPr>
                <m:t>)∙</m:t>
              </m:r>
              <m:d>
                <m:dPr>
                  <m:ctrlPr>
                    <w:rPr>
                      <w:rFonts w:ascii="Cambria Math" w:hAnsi="Cambria Math"/>
                      <w:color w:val="auto"/>
                    </w:rPr>
                  </m:ctrlPr>
                </m:dPr>
                <m:e>
                  <m:r>
                    <m:rPr>
                      <m:sty m:val="p"/>
                    </m:rPr>
                    <w:rPr>
                      <w:rFonts w:ascii="Cambria Math" w:hAnsi="Cambria Math"/>
                      <w:color w:val="auto"/>
                    </w:rPr>
                    <m:t>k'</m:t>
                  </m:r>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t(n-1)</m:t>
                      </m:r>
                    </m:sub>
                  </m:sSub>
                  <m:sSup>
                    <m:sSupPr>
                      <m:ctrlPr>
                        <w:rPr>
                          <w:rFonts w:ascii="Cambria Math" w:hAnsi="Cambria Math"/>
                          <w:color w:val="auto"/>
                        </w:rPr>
                      </m:ctrlPr>
                    </m:sSupPr>
                    <m:e>
                      <m:d>
                        <m:dPr>
                          <m:ctrlPr>
                            <w:rPr>
                              <w:rFonts w:ascii="Cambria Math" w:hAnsi="Cambria Math"/>
                              <w:color w:val="auto"/>
                            </w:rPr>
                          </m:ctrlPr>
                        </m:dPr>
                        <m:e>
                          <m:r>
                            <m:rPr>
                              <m:sty m:val="p"/>
                            </m:rPr>
                            <w:rPr>
                              <w:rFonts w:ascii="Cambria Math" w:hAnsi="Cambria Math"/>
                              <w:color w:val="auto"/>
                            </w:rPr>
                            <m:t>1-</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n-1</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e>
                      </m:d>
                    </m:e>
                    <m:sup>
                      <m:r>
                        <m:rPr>
                          <m:sty m:val="p"/>
                        </m:rPr>
                        <w:rPr>
                          <w:rFonts w:ascii="Cambria Math" w:hAnsi="Cambria Math"/>
                          <w:color w:val="auto"/>
                        </w:rPr>
                        <m:t>2</m:t>
                      </m:r>
                    </m:sup>
                  </m:sSup>
                </m:e>
              </m:d>
            </m:e>
          </m:d>
        </m:oMath>
      </m:oMathPara>
      <w:bookmarkEnd w:id="15"/>
    </w:p>
    <w:p w14:paraId="66501C10" w14:textId="2B56C9FA" w:rsidR="00497460" w:rsidRPr="00E70281" w:rsidRDefault="00497460" w:rsidP="000B0364">
      <w:pPr>
        <w:pStyle w:val="Caption"/>
        <w:jc w:val="right"/>
        <w:rPr>
          <w:color w:val="auto"/>
        </w:rPr>
      </w:pPr>
      <w:r w:rsidRPr="00E70281">
        <w:rPr>
          <w:color w:val="auto"/>
        </w:rPr>
        <w:t xml:space="preserve">Equation </w:t>
      </w:r>
      <w:r w:rsidR="000D57EB" w:rsidRPr="00E70281">
        <w:rPr>
          <w:color w:val="auto"/>
        </w:rPr>
        <w:fldChar w:fldCharType="begin"/>
      </w:r>
      <w:r w:rsidR="000D57EB" w:rsidRPr="00E70281">
        <w:rPr>
          <w:color w:val="auto"/>
        </w:rPr>
        <w:instrText xml:space="preserve"> SEQ Equation \* ARABIC </w:instrText>
      </w:r>
      <w:r w:rsidR="000D57EB" w:rsidRPr="00E70281">
        <w:rPr>
          <w:color w:val="auto"/>
        </w:rPr>
        <w:fldChar w:fldCharType="separate"/>
      </w:r>
      <w:r w:rsidR="00D37CAD" w:rsidRPr="00E70281">
        <w:rPr>
          <w:noProof/>
          <w:color w:val="auto"/>
        </w:rPr>
        <w:t>7</w:t>
      </w:r>
      <w:r w:rsidR="000D57EB" w:rsidRPr="00E70281">
        <w:rPr>
          <w:noProof/>
          <w:color w:val="auto"/>
        </w:rPr>
        <w:fldChar w:fldCharType="end"/>
      </w:r>
    </w:p>
    <w:bookmarkEnd w:id="16"/>
    <w:p w14:paraId="17D36D1B" w14:textId="66D59989" w:rsidR="004515DE" w:rsidRPr="00E70281" w:rsidRDefault="00497460" w:rsidP="004515DE">
      <w:pPr>
        <w:rPr>
          <w:color w:val="auto"/>
        </w:rPr>
      </w:pPr>
      <w:r w:rsidRPr="00E70281">
        <w:rPr>
          <w:color w:val="auto"/>
        </w:rPr>
        <w:t>Th</w:t>
      </w:r>
      <w:r w:rsidR="00F214B2" w:rsidRPr="00E70281">
        <w:rPr>
          <w:color w:val="auto"/>
        </w:rPr>
        <w:t>e ti</w:t>
      </w:r>
      <w:r w:rsidR="008E3F50" w:rsidRPr="00E70281">
        <w:rPr>
          <w:color w:val="auto"/>
        </w:rPr>
        <w:t>me interval between data points,</w:t>
      </w:r>
      <w:r w:rsidR="00F214B2" w:rsidRPr="00E70281">
        <w:rPr>
          <w:color w:val="auto"/>
        </w:rPr>
        <w:t xml:space="preserve"> </w:t>
      </w:r>
      <m:oMath>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n-1</m:t>
            </m:r>
          </m:sub>
        </m:sSub>
        <m:r>
          <m:rPr>
            <m:sty m:val="p"/>
          </m:rPr>
          <w:rPr>
            <w:rFonts w:ascii="Cambria Math" w:hAnsi="Cambria Math"/>
            <w:color w:val="auto"/>
          </w:rPr>
          <m:t>)</m:t>
        </m:r>
      </m:oMath>
      <w:r w:rsidR="00F214B2" w:rsidRPr="00E70281">
        <w:rPr>
          <w:color w:val="auto"/>
        </w:rPr>
        <w:t xml:space="preserve"> or Δt</w:t>
      </w:r>
      <w:r w:rsidR="008E3F50" w:rsidRPr="00E70281">
        <w:rPr>
          <w:color w:val="auto"/>
        </w:rPr>
        <w:t>,</w:t>
      </w:r>
      <w:r w:rsidR="00F214B2" w:rsidRPr="00E70281">
        <w:rPr>
          <w:color w:val="auto"/>
        </w:rPr>
        <w:t xml:space="preserve"> was </w:t>
      </w:r>
      <w:r w:rsidR="007761E3" w:rsidRPr="00E70281">
        <w:rPr>
          <w:color w:val="auto"/>
        </w:rPr>
        <w:t>reduced</w:t>
      </w:r>
      <w:r w:rsidR="00F214B2" w:rsidRPr="00E70281">
        <w:rPr>
          <w:color w:val="auto"/>
        </w:rPr>
        <w:t xml:space="preserve"> until the magnitude of Δt had no </w:t>
      </w:r>
      <w:r w:rsidR="00E830CC" w:rsidRPr="00E70281">
        <w:rPr>
          <w:color w:val="auto"/>
        </w:rPr>
        <w:t>significant effect</w:t>
      </w:r>
      <w:r w:rsidR="00F214B2" w:rsidRPr="00E70281">
        <w:rPr>
          <w:color w:val="auto"/>
        </w:rPr>
        <w:t xml:space="preserve"> on the </w:t>
      </w:r>
      <w:r w:rsidR="00E830CC" w:rsidRPr="00E70281">
        <w:rPr>
          <w:color w:val="auto"/>
        </w:rPr>
        <w:t>results</w:t>
      </w:r>
      <w:r w:rsidR="00F214B2" w:rsidRPr="00E70281">
        <w:rPr>
          <w:color w:val="auto"/>
        </w:rPr>
        <w:t>.</w:t>
      </w:r>
      <w:r w:rsidR="00247BDD" w:rsidRPr="00E70281">
        <w:rPr>
          <w:color w:val="auto"/>
        </w:rPr>
        <w:t xml:space="preserve"> The</w:t>
      </w:r>
      <w:r w:rsidR="00F214B2" w:rsidRPr="00E70281">
        <w:rPr>
          <w:color w:val="auto"/>
        </w:rPr>
        <w:t xml:space="preserve"> </w:t>
      </w:r>
      <w:r w:rsidR="00E31693" w:rsidRPr="00E70281">
        <w:rPr>
          <w:color w:val="auto"/>
        </w:rPr>
        <w:t>rPSO parameters k’ and q</w:t>
      </w:r>
      <w:r w:rsidR="00E31693" w:rsidRPr="00E70281">
        <w:rPr>
          <w:color w:val="auto"/>
          <w:vertAlign w:val="subscript"/>
        </w:rPr>
        <w:t>e</w:t>
      </w:r>
      <w:r w:rsidR="00E31693" w:rsidRPr="00E70281">
        <w:rPr>
          <w:color w:val="auto"/>
        </w:rPr>
        <w:t xml:space="preserve"> were obtained by</w:t>
      </w:r>
      <w:r w:rsidR="007761E3" w:rsidRPr="00E70281">
        <w:rPr>
          <w:color w:val="auto"/>
        </w:rPr>
        <w:t xml:space="preserve"> non-linear fitting, using Microsoft Excel’s Solver function to minimise the sum</w:t>
      </w:r>
      <w:r w:rsidR="00E31693" w:rsidRPr="00E70281">
        <w:rPr>
          <w:color w:val="auto"/>
        </w:rPr>
        <w:t xml:space="preserve"> </w:t>
      </w:r>
      <w:r w:rsidR="007E02BB" w:rsidRPr="00E70281">
        <w:rPr>
          <w:color w:val="auto"/>
        </w:rPr>
        <w:t xml:space="preserve">of </w:t>
      </w:r>
      <w:r w:rsidR="00E31693" w:rsidRPr="00E70281">
        <w:rPr>
          <w:color w:val="auto"/>
        </w:rPr>
        <w:t>squared residuals between the model and experiment.</w:t>
      </w:r>
    </w:p>
    <w:p w14:paraId="3CDC0212" w14:textId="6656BA01" w:rsidR="00E830CC" w:rsidRPr="00E70281" w:rsidRDefault="00E830CC" w:rsidP="004515DE">
      <w:pPr>
        <w:rPr>
          <w:color w:val="auto"/>
        </w:rPr>
      </w:pPr>
    </w:p>
    <w:p w14:paraId="460EA245" w14:textId="39954D58" w:rsidR="00B758DA" w:rsidRPr="00E70281" w:rsidRDefault="00E830CC" w:rsidP="007E02BB">
      <w:pPr>
        <w:pStyle w:val="Heading2"/>
      </w:pPr>
      <w:r w:rsidRPr="00E70281">
        <w:t xml:space="preserve">Application studies </w:t>
      </w:r>
    </w:p>
    <w:p w14:paraId="18CBA92D" w14:textId="214B38F9" w:rsidR="009F4720" w:rsidRPr="00E70281" w:rsidRDefault="00B244CC" w:rsidP="00FF05DE">
      <w:pPr>
        <w:rPr>
          <w:color w:val="FF0000"/>
        </w:rPr>
      </w:pPr>
      <w:r w:rsidRPr="00E70281">
        <w:rPr>
          <w:color w:val="auto"/>
        </w:rPr>
        <w:t xml:space="preserve">In the first application study, </w:t>
      </w:r>
      <w:r w:rsidRPr="00E70281">
        <w:rPr>
          <w:color w:val="FF0000"/>
        </w:rPr>
        <w:t xml:space="preserve">i.e. </w:t>
      </w:r>
      <w:r w:rsidR="00E830CC" w:rsidRPr="00E70281">
        <w:rPr>
          <w:color w:val="auto"/>
        </w:rPr>
        <w:t>evaluat</w:t>
      </w:r>
      <w:r w:rsidR="00013FBB" w:rsidRPr="00E70281">
        <w:rPr>
          <w:color w:val="auto"/>
        </w:rPr>
        <w:t xml:space="preserve">ing the </w:t>
      </w:r>
      <w:r w:rsidR="00FF05DE" w:rsidRPr="00E70281">
        <w:rPr>
          <w:color w:val="auto"/>
        </w:rPr>
        <w:t>potential</w:t>
      </w:r>
      <w:r w:rsidR="00013FBB" w:rsidRPr="00E70281">
        <w:rPr>
          <w:color w:val="auto"/>
        </w:rPr>
        <w:t xml:space="preserve"> of the rPSO mo</w:t>
      </w:r>
      <w:r w:rsidRPr="00E70281">
        <w:rPr>
          <w:color w:val="auto"/>
        </w:rPr>
        <w:t>del for predictive applications</w:t>
      </w:r>
      <w:r w:rsidR="00E830CC" w:rsidRPr="00E70281">
        <w:rPr>
          <w:color w:val="auto"/>
        </w:rPr>
        <w:t xml:space="preserve">, 6 data sets were </w:t>
      </w:r>
      <w:r w:rsidR="007E02BB" w:rsidRPr="00E70281">
        <w:rPr>
          <w:color w:val="auto"/>
        </w:rPr>
        <w:t>used</w:t>
      </w:r>
      <w:r w:rsidR="00E830CC" w:rsidRPr="00E70281">
        <w:rPr>
          <w:color w:val="auto"/>
        </w:rPr>
        <w:t>: 3 where C</w:t>
      </w:r>
      <w:r w:rsidR="00E830CC" w:rsidRPr="00E70281">
        <w:rPr>
          <w:color w:val="auto"/>
          <w:vertAlign w:val="subscript"/>
        </w:rPr>
        <w:t>0</w:t>
      </w:r>
      <w:r w:rsidR="00E830CC" w:rsidRPr="00E70281">
        <w:rPr>
          <w:color w:val="auto"/>
        </w:rPr>
        <w:t xml:space="preserve"> was varied and 3 where C</w:t>
      </w:r>
      <w:r w:rsidR="00E830CC" w:rsidRPr="00E70281">
        <w:rPr>
          <w:color w:val="auto"/>
          <w:vertAlign w:val="subscript"/>
        </w:rPr>
        <w:t>s</w:t>
      </w:r>
      <w:r w:rsidR="00E830CC" w:rsidRPr="00E70281">
        <w:rPr>
          <w:color w:val="auto"/>
        </w:rPr>
        <w:t xml:space="preserve"> was varied. </w:t>
      </w:r>
      <w:r w:rsidR="007761E3" w:rsidRPr="00E70281">
        <w:rPr>
          <w:color w:val="auto"/>
        </w:rPr>
        <w:t xml:space="preserve">In the first step, </w:t>
      </w:r>
      <w:r w:rsidR="007E02BB" w:rsidRPr="00E70281">
        <w:rPr>
          <w:color w:val="auto"/>
        </w:rPr>
        <w:t>values of the</w:t>
      </w:r>
      <w:r w:rsidR="00032829" w:rsidRPr="00E70281">
        <w:rPr>
          <w:color w:val="auto"/>
        </w:rPr>
        <w:t xml:space="preserve"> equilibrium adsorption capacity (q</w:t>
      </w:r>
      <w:r w:rsidR="00032829" w:rsidRPr="00E70281">
        <w:rPr>
          <w:color w:val="auto"/>
          <w:vertAlign w:val="subscript"/>
        </w:rPr>
        <w:t>e</w:t>
      </w:r>
      <w:r w:rsidR="00032829" w:rsidRPr="00E70281">
        <w:rPr>
          <w:color w:val="auto"/>
        </w:rPr>
        <w:t xml:space="preserve">) </w:t>
      </w:r>
      <w:r w:rsidR="007E02BB" w:rsidRPr="00E70281">
        <w:rPr>
          <w:color w:val="auto"/>
        </w:rPr>
        <w:t xml:space="preserve">were obtained </w:t>
      </w:r>
      <w:r w:rsidR="00FF05DE" w:rsidRPr="00E70281">
        <w:rPr>
          <w:color w:val="auto"/>
        </w:rPr>
        <w:t>by fitting kinetic experiment</w:t>
      </w:r>
      <w:r w:rsidR="007761E3" w:rsidRPr="00E70281">
        <w:rPr>
          <w:color w:val="auto"/>
        </w:rPr>
        <w:t>s</w:t>
      </w:r>
      <w:r w:rsidR="00890640" w:rsidRPr="00E70281">
        <w:rPr>
          <w:color w:val="auto"/>
        </w:rPr>
        <w:t xml:space="preserve"> individually</w:t>
      </w:r>
      <w:r w:rsidR="00FF05DE" w:rsidRPr="00E70281">
        <w:rPr>
          <w:color w:val="auto"/>
        </w:rPr>
        <w:t xml:space="preserve"> </w:t>
      </w:r>
      <w:r w:rsidR="007E02BB" w:rsidRPr="00E70281">
        <w:rPr>
          <w:color w:val="auto"/>
        </w:rPr>
        <w:t>using</w:t>
      </w:r>
      <w:r w:rsidR="00FF05DE" w:rsidRPr="00E70281">
        <w:rPr>
          <w:color w:val="auto"/>
        </w:rPr>
        <w:t xml:space="preserve"> the PSO and rPSO model</w:t>
      </w:r>
      <w:r w:rsidR="00890640" w:rsidRPr="00E70281">
        <w:rPr>
          <w:color w:val="auto"/>
        </w:rPr>
        <w:t>s</w:t>
      </w:r>
      <w:r w:rsidR="007761E3" w:rsidRPr="00E70281">
        <w:rPr>
          <w:color w:val="auto"/>
        </w:rPr>
        <w:t xml:space="preserve"> (optimising the rate constant and q</w:t>
      </w:r>
      <w:r w:rsidR="007761E3" w:rsidRPr="00E70281">
        <w:rPr>
          <w:color w:val="auto"/>
          <w:vertAlign w:val="subscript"/>
        </w:rPr>
        <w:t>e</w:t>
      </w:r>
      <w:r w:rsidR="007761E3" w:rsidRPr="00E70281">
        <w:rPr>
          <w:color w:val="auto"/>
        </w:rPr>
        <w:t xml:space="preserve"> </w:t>
      </w:r>
      <w:r w:rsidR="007E02BB" w:rsidRPr="00E70281">
        <w:rPr>
          <w:color w:val="auto"/>
        </w:rPr>
        <w:t xml:space="preserve">simultaneously </w:t>
      </w:r>
      <w:r w:rsidR="007761E3" w:rsidRPr="00E70281">
        <w:rPr>
          <w:color w:val="auto"/>
        </w:rPr>
        <w:t>to minimise the sum of squared residuals)</w:t>
      </w:r>
      <w:r w:rsidR="00032829" w:rsidRPr="00E70281">
        <w:rPr>
          <w:color w:val="auto"/>
        </w:rPr>
        <w:t xml:space="preserve">. </w:t>
      </w:r>
      <w:r w:rsidR="005E5AAF" w:rsidRPr="00E70281">
        <w:rPr>
          <w:color w:val="FF0000"/>
        </w:rPr>
        <w:t xml:space="preserve">In the second step, </w:t>
      </w:r>
      <w:r w:rsidR="009F4720" w:rsidRPr="00E70281">
        <w:rPr>
          <w:color w:val="FF0000"/>
        </w:rPr>
        <w:t xml:space="preserve">the PSO and rPSO models were fit to </w:t>
      </w:r>
      <w:r w:rsidR="009F4720" w:rsidRPr="00E70281">
        <w:rPr>
          <w:color w:val="auto"/>
        </w:rPr>
        <w:t>all experiments within the given data set</w:t>
      </w:r>
      <w:r w:rsidR="009F4720" w:rsidRPr="00E70281">
        <w:rPr>
          <w:color w:val="auto"/>
        </w:rPr>
        <w:t xml:space="preserve"> </w:t>
      </w:r>
      <w:r w:rsidR="009F4720" w:rsidRPr="00E70281">
        <w:rPr>
          <w:color w:val="FF0000"/>
        </w:rPr>
        <w:t>simultaneously</w:t>
      </w:r>
      <w:r w:rsidR="009F4720" w:rsidRPr="00E70281">
        <w:rPr>
          <w:color w:val="auto"/>
        </w:rPr>
        <w:t>, i.e. experiments with the same adsorbate-adsorbent system but different C</w:t>
      </w:r>
      <w:r w:rsidR="009F4720" w:rsidRPr="00E70281">
        <w:rPr>
          <w:color w:val="auto"/>
          <w:vertAlign w:val="subscript"/>
        </w:rPr>
        <w:t>0</w:t>
      </w:r>
      <w:r w:rsidR="009F4720" w:rsidRPr="00E70281">
        <w:rPr>
          <w:color w:val="auto"/>
        </w:rPr>
        <w:t xml:space="preserve"> or C</w:t>
      </w:r>
      <w:r w:rsidR="009F4720" w:rsidRPr="00E70281">
        <w:rPr>
          <w:color w:val="auto"/>
          <w:vertAlign w:val="subscript"/>
        </w:rPr>
        <w:t>s</w:t>
      </w:r>
      <w:r w:rsidR="009F4720" w:rsidRPr="00E70281">
        <w:rPr>
          <w:color w:val="auto"/>
        </w:rPr>
        <w:t xml:space="preserve"> values</w:t>
      </w:r>
      <w:r w:rsidR="003D2A5B" w:rsidRPr="00E70281">
        <w:rPr>
          <w:color w:val="auto"/>
        </w:rPr>
        <w:t xml:space="preserve">. </w:t>
      </w:r>
      <w:r w:rsidR="003D2A5B" w:rsidRPr="00E70281">
        <w:rPr>
          <w:color w:val="FF0000"/>
        </w:rPr>
        <w:t>In this step,</w:t>
      </w:r>
      <w:r w:rsidR="009F4720" w:rsidRPr="00E70281">
        <w:rPr>
          <w:color w:val="FF0000"/>
        </w:rPr>
        <w:t xml:space="preserve"> a unique value of q</w:t>
      </w:r>
      <w:r w:rsidR="009F4720" w:rsidRPr="00E70281">
        <w:rPr>
          <w:color w:val="FF0000"/>
          <w:vertAlign w:val="subscript"/>
        </w:rPr>
        <w:t>e</w:t>
      </w:r>
      <w:r w:rsidR="009F4720" w:rsidRPr="00E70281">
        <w:rPr>
          <w:color w:val="FF0000"/>
        </w:rPr>
        <w:t xml:space="preserve"> </w:t>
      </w:r>
      <w:r w:rsidR="003D2A5B" w:rsidRPr="00E70281">
        <w:rPr>
          <w:color w:val="FF0000"/>
        </w:rPr>
        <w:t xml:space="preserve">was used </w:t>
      </w:r>
      <w:r w:rsidR="009F4720" w:rsidRPr="00E70281">
        <w:rPr>
          <w:color w:val="FF0000"/>
        </w:rPr>
        <w:t>for each experiment</w:t>
      </w:r>
      <w:r w:rsidR="009F4720" w:rsidRPr="00E70281">
        <w:rPr>
          <w:color w:val="auto"/>
        </w:rPr>
        <w:t xml:space="preserve"> </w:t>
      </w:r>
      <w:r w:rsidR="009F4720" w:rsidRPr="00E70281">
        <w:rPr>
          <w:color w:val="FF0000"/>
        </w:rPr>
        <w:t xml:space="preserve">but </w:t>
      </w:r>
      <w:r w:rsidR="009F4720" w:rsidRPr="00E70281">
        <w:rPr>
          <w:color w:val="auto"/>
        </w:rPr>
        <w:t xml:space="preserve">a single value of the rate constant </w:t>
      </w:r>
      <w:r w:rsidR="009F4720" w:rsidRPr="00E70281">
        <w:rPr>
          <w:color w:val="auto"/>
        </w:rPr>
        <w:t>(k</w:t>
      </w:r>
      <w:r w:rsidR="009F4720" w:rsidRPr="00E70281">
        <w:rPr>
          <w:color w:val="auto"/>
          <w:vertAlign w:val="subscript"/>
        </w:rPr>
        <w:t>2</w:t>
      </w:r>
      <w:r w:rsidR="009F4720" w:rsidRPr="00E70281">
        <w:rPr>
          <w:color w:val="auto"/>
        </w:rPr>
        <w:t xml:space="preserve"> or k’, depending upon the model) </w:t>
      </w:r>
      <w:r w:rsidR="003D2A5B" w:rsidRPr="00E70281">
        <w:rPr>
          <w:color w:val="FF0000"/>
        </w:rPr>
        <w:t xml:space="preserve">was </w:t>
      </w:r>
      <w:r w:rsidR="009F4720" w:rsidRPr="00E70281">
        <w:rPr>
          <w:color w:val="FF0000"/>
        </w:rPr>
        <w:t>shared between</w:t>
      </w:r>
      <w:r w:rsidR="009F4720" w:rsidRPr="00E70281">
        <w:rPr>
          <w:color w:val="FF0000"/>
        </w:rPr>
        <w:t xml:space="preserve"> all experiments</w:t>
      </w:r>
      <w:r w:rsidR="009F4720" w:rsidRPr="00E70281">
        <w:rPr>
          <w:color w:val="FF0000"/>
        </w:rPr>
        <w:t xml:space="preserve"> within the data set. </w:t>
      </w:r>
      <w:r w:rsidR="003D2A5B" w:rsidRPr="00E70281">
        <w:rPr>
          <w:color w:val="FF0000"/>
        </w:rPr>
        <w:t>Here</w:t>
      </w:r>
      <w:r w:rsidR="009F4720" w:rsidRPr="00E70281">
        <w:rPr>
          <w:color w:val="FF0000"/>
        </w:rPr>
        <w:t xml:space="preserve">, </w:t>
      </w:r>
      <w:r w:rsidR="009F4720" w:rsidRPr="00E70281">
        <w:rPr>
          <w:color w:val="FF0000"/>
        </w:rPr>
        <w:t>q</w:t>
      </w:r>
      <w:r w:rsidR="009F4720" w:rsidRPr="00E70281">
        <w:rPr>
          <w:color w:val="FF0000"/>
          <w:vertAlign w:val="subscript"/>
        </w:rPr>
        <w:t>e</w:t>
      </w:r>
      <w:r w:rsidR="009F4720" w:rsidRPr="00E70281">
        <w:rPr>
          <w:color w:val="FF0000"/>
        </w:rPr>
        <w:t xml:space="preserve"> was fixed to the values previously calculated </w:t>
      </w:r>
      <w:r w:rsidR="009F4720" w:rsidRPr="00E70281">
        <w:rPr>
          <w:color w:val="FF0000"/>
        </w:rPr>
        <w:t>and only</w:t>
      </w:r>
      <w:r w:rsidR="009F4720" w:rsidRPr="00E70281">
        <w:rPr>
          <w:color w:val="FF0000"/>
        </w:rPr>
        <w:t xml:space="preserve"> the rate constant was optimised.</w:t>
      </w:r>
    </w:p>
    <w:p w14:paraId="532494C9" w14:textId="186A62B6" w:rsidR="00455E47" w:rsidRPr="00E70281" w:rsidRDefault="00013FBB" w:rsidP="00890640">
      <w:pPr>
        <w:rPr>
          <w:color w:val="auto"/>
        </w:rPr>
      </w:pPr>
      <w:r w:rsidRPr="00E70281">
        <w:rPr>
          <w:color w:val="auto"/>
        </w:rPr>
        <w:t>I</w:t>
      </w:r>
      <w:r w:rsidR="00B244CC" w:rsidRPr="00E70281">
        <w:rPr>
          <w:color w:val="auto"/>
        </w:rPr>
        <w:t xml:space="preserve">n the second application study, </w:t>
      </w:r>
      <w:r w:rsidR="00B244CC" w:rsidRPr="00E70281">
        <w:rPr>
          <w:color w:val="FF0000"/>
        </w:rPr>
        <w:t xml:space="preserve">i.e. </w:t>
      </w:r>
      <w:r w:rsidRPr="00E70281">
        <w:rPr>
          <w:color w:val="auto"/>
        </w:rPr>
        <w:t>evaluating the potential of the rPSO rate constant k’ for</w:t>
      </w:r>
      <w:r w:rsidR="007E02BB" w:rsidRPr="00E70281">
        <w:rPr>
          <w:color w:val="auto"/>
        </w:rPr>
        <w:t xml:space="preserve"> more meaningful</w:t>
      </w:r>
      <w:r w:rsidRPr="00E70281">
        <w:rPr>
          <w:color w:val="auto"/>
        </w:rPr>
        <w:t xml:space="preserve"> </w:t>
      </w:r>
      <w:r w:rsidR="004410CF" w:rsidRPr="00E70281">
        <w:rPr>
          <w:color w:val="auto"/>
        </w:rPr>
        <w:t>comparisons</w:t>
      </w:r>
      <w:r w:rsidR="007E02BB" w:rsidRPr="00E70281">
        <w:rPr>
          <w:color w:val="auto"/>
        </w:rPr>
        <w:t xml:space="preserve"> across the literature</w:t>
      </w:r>
      <w:r w:rsidRPr="00E70281">
        <w:rPr>
          <w:color w:val="auto"/>
        </w:rPr>
        <w:t xml:space="preserve">, </w:t>
      </w:r>
      <w:r w:rsidR="00890640" w:rsidRPr="00E70281">
        <w:rPr>
          <w:color w:val="auto"/>
        </w:rPr>
        <w:t>18</w:t>
      </w:r>
      <w:r w:rsidRPr="00E70281">
        <w:rPr>
          <w:color w:val="auto"/>
        </w:rPr>
        <w:t xml:space="preserve"> </w:t>
      </w:r>
      <w:r w:rsidR="00890640" w:rsidRPr="00E70281">
        <w:rPr>
          <w:color w:val="auto"/>
        </w:rPr>
        <w:t>experiments</w:t>
      </w:r>
      <w:r w:rsidRPr="00E70281">
        <w:rPr>
          <w:color w:val="auto"/>
        </w:rPr>
        <w:t xml:space="preserve"> reporting the adsorption kinetics of inorganic arsenic onto iron oxide minerals were </w:t>
      </w:r>
      <w:r w:rsidR="007761E3" w:rsidRPr="00E70281">
        <w:rPr>
          <w:color w:val="auto"/>
        </w:rPr>
        <w:t>collated</w:t>
      </w:r>
      <w:r w:rsidRPr="00E70281">
        <w:rPr>
          <w:color w:val="auto"/>
        </w:rPr>
        <w:t xml:space="preserve">. Both As(V) and </w:t>
      </w:r>
      <w:proofErr w:type="gramStart"/>
      <w:r w:rsidRPr="00E70281">
        <w:rPr>
          <w:color w:val="auto"/>
        </w:rPr>
        <w:t>As</w:t>
      </w:r>
      <w:proofErr w:type="gramEnd"/>
      <w:r w:rsidRPr="00E70281">
        <w:rPr>
          <w:color w:val="auto"/>
        </w:rPr>
        <w:t xml:space="preserve">(III) experiments were </w:t>
      </w:r>
      <w:r w:rsidR="00890640" w:rsidRPr="00E70281">
        <w:rPr>
          <w:color w:val="auto"/>
        </w:rPr>
        <w:lastRenderedPageBreak/>
        <w:t>included</w:t>
      </w:r>
      <w:r w:rsidRPr="00E70281">
        <w:rPr>
          <w:color w:val="auto"/>
        </w:rPr>
        <w:t xml:space="preserve">, </w:t>
      </w:r>
      <w:r w:rsidR="00890640" w:rsidRPr="00E70281">
        <w:rPr>
          <w:color w:val="auto"/>
        </w:rPr>
        <w:t>since</w:t>
      </w:r>
      <w:r w:rsidRPr="00E70281">
        <w:rPr>
          <w:color w:val="auto"/>
        </w:rPr>
        <w:t xml:space="preserve"> no significant difference between the adsorption kinetics </w:t>
      </w:r>
      <w:r w:rsidR="00890640" w:rsidRPr="00E70281">
        <w:rPr>
          <w:color w:val="auto"/>
        </w:rPr>
        <w:t>was observed</w:t>
      </w:r>
      <w:r w:rsidRPr="00E70281">
        <w:rPr>
          <w:color w:val="auto"/>
        </w:rPr>
        <w:t xml:space="preserve">. A further </w:t>
      </w:r>
      <w:r w:rsidR="00890640" w:rsidRPr="00E70281">
        <w:rPr>
          <w:color w:val="auto"/>
        </w:rPr>
        <w:t>7</w:t>
      </w:r>
      <w:r w:rsidRPr="00E70281">
        <w:rPr>
          <w:color w:val="auto"/>
        </w:rPr>
        <w:t xml:space="preserve"> </w:t>
      </w:r>
      <w:r w:rsidR="00890640" w:rsidRPr="00E70281">
        <w:rPr>
          <w:color w:val="auto"/>
        </w:rPr>
        <w:t>experiments</w:t>
      </w:r>
      <w:r w:rsidRPr="00E70281">
        <w:rPr>
          <w:color w:val="auto"/>
        </w:rPr>
        <w:t xml:space="preserve"> reporting the adsorption of inorganic arsenic onto alumina (Al</w:t>
      </w:r>
      <w:r w:rsidRPr="00E70281">
        <w:rPr>
          <w:color w:val="auto"/>
          <w:vertAlign w:val="subscript"/>
        </w:rPr>
        <w:t>2</w:t>
      </w:r>
      <w:r w:rsidRPr="00E70281">
        <w:rPr>
          <w:color w:val="auto"/>
        </w:rPr>
        <w:t>O</w:t>
      </w:r>
      <w:r w:rsidRPr="00E70281">
        <w:rPr>
          <w:color w:val="auto"/>
          <w:vertAlign w:val="subscript"/>
        </w:rPr>
        <w:t>3</w:t>
      </w:r>
      <w:r w:rsidRPr="00E70281">
        <w:rPr>
          <w:color w:val="auto"/>
        </w:rPr>
        <w:t xml:space="preserve">) were collected for comparison. </w:t>
      </w:r>
      <w:r w:rsidR="00890640" w:rsidRPr="00E70281">
        <w:rPr>
          <w:color w:val="auto"/>
        </w:rPr>
        <w:t xml:space="preserve">The particle radius (r) was taken </w:t>
      </w:r>
      <w:r w:rsidR="007E02BB" w:rsidRPr="00E70281">
        <w:rPr>
          <w:color w:val="auto"/>
        </w:rPr>
        <w:t>as reported by each study</w:t>
      </w:r>
      <w:r w:rsidR="00890640" w:rsidRPr="00E70281">
        <w:rPr>
          <w:color w:val="auto"/>
        </w:rPr>
        <w:t>.</w:t>
      </w:r>
      <w:r w:rsidR="00455E47" w:rsidRPr="00E70281">
        <w:rPr>
          <w:color w:val="auto"/>
        </w:rPr>
        <w:br w:type="page"/>
      </w:r>
    </w:p>
    <w:p w14:paraId="09FB75BD" w14:textId="5D4FF290" w:rsidR="005C0EB2" w:rsidRPr="00E70281" w:rsidRDefault="00455E47" w:rsidP="00B041E3">
      <w:pPr>
        <w:pStyle w:val="Heading1"/>
        <w:numPr>
          <w:ilvl w:val="0"/>
          <w:numId w:val="0"/>
        </w:numPr>
        <w:ind w:left="360"/>
        <w:jc w:val="both"/>
        <w:rPr>
          <w:color w:val="auto"/>
        </w:rPr>
      </w:pPr>
      <w:r w:rsidRPr="00E70281">
        <w:rPr>
          <w:color w:val="auto"/>
        </w:rPr>
        <w:lastRenderedPageBreak/>
        <w:t>Results and Discussion</w:t>
      </w:r>
    </w:p>
    <w:p w14:paraId="509DB35B" w14:textId="24BD8047" w:rsidR="00A632C5" w:rsidRPr="00E70281" w:rsidRDefault="00A632C5" w:rsidP="005C0EB2">
      <w:pPr>
        <w:rPr>
          <w:color w:val="auto"/>
        </w:rPr>
      </w:pPr>
    </w:p>
    <w:p w14:paraId="4545CA06" w14:textId="0B068507" w:rsidR="0064324F" w:rsidRPr="00E70281" w:rsidRDefault="00F56149" w:rsidP="00E830CC">
      <w:pPr>
        <w:pStyle w:val="Heading2"/>
      </w:pPr>
      <w:r w:rsidRPr="00E70281">
        <w:t>Determination of the influence of experimental conditions (C</w:t>
      </w:r>
      <w:r w:rsidRPr="00E70281">
        <w:rPr>
          <w:vertAlign w:val="subscript"/>
        </w:rPr>
        <w:t>0</w:t>
      </w:r>
      <w:r w:rsidRPr="00E70281">
        <w:t xml:space="preserve"> and C</w:t>
      </w:r>
      <w:r w:rsidRPr="00E70281">
        <w:rPr>
          <w:vertAlign w:val="subscript"/>
        </w:rPr>
        <w:t>s</w:t>
      </w:r>
      <w:r w:rsidRPr="00E70281">
        <w:t>) on the initial rate of adsorption</w:t>
      </w:r>
    </w:p>
    <w:p w14:paraId="75FEEC11" w14:textId="77777777" w:rsidR="0064324F" w:rsidRPr="00E70281" w:rsidRDefault="0064324F" w:rsidP="005C0EB2">
      <w:pPr>
        <w:rPr>
          <w:color w:val="auto"/>
        </w:rPr>
      </w:pPr>
    </w:p>
    <w:p w14:paraId="25210015" w14:textId="2D3F40DC" w:rsidR="00157DB1" w:rsidRPr="00E70281" w:rsidRDefault="00CE67DE" w:rsidP="00FB5C08">
      <w:pPr>
        <w:pStyle w:val="Heading3"/>
        <w:numPr>
          <w:ilvl w:val="0"/>
          <w:numId w:val="0"/>
        </w:numPr>
        <w:ind w:left="1080"/>
        <w:rPr>
          <w:color w:val="auto"/>
        </w:rPr>
      </w:pPr>
      <w:r w:rsidRPr="00E70281">
        <w:rPr>
          <w:color w:val="auto"/>
        </w:rPr>
        <w:t>Quality control</w:t>
      </w:r>
      <w:r w:rsidR="00F56149" w:rsidRPr="00E70281">
        <w:rPr>
          <w:color w:val="auto"/>
        </w:rPr>
        <w:t>: The calculation of initial rates and setting criteria for the selection</w:t>
      </w:r>
      <w:r w:rsidRPr="00E70281">
        <w:rPr>
          <w:color w:val="auto"/>
        </w:rPr>
        <w:t xml:space="preserve"> of literature data sets</w:t>
      </w:r>
    </w:p>
    <w:p w14:paraId="6523FA7C" w14:textId="3AD8C94B" w:rsidR="007821FE" w:rsidRPr="00E70281" w:rsidRDefault="007821FE" w:rsidP="007821FE">
      <w:pPr>
        <w:rPr>
          <w:color w:val="auto"/>
        </w:rPr>
      </w:pPr>
      <w:bookmarkStart w:id="17" w:name="_Hlk61256647"/>
      <w:r w:rsidRPr="00E70281">
        <w:rPr>
          <w:color w:val="auto"/>
        </w:rPr>
        <w:t>Many</w:t>
      </w:r>
      <w:r w:rsidR="00F56149" w:rsidRPr="00E70281">
        <w:rPr>
          <w:color w:val="auto"/>
        </w:rPr>
        <w:t xml:space="preserve"> adsorption</w:t>
      </w:r>
      <w:r w:rsidRPr="00E70281">
        <w:rPr>
          <w:color w:val="auto"/>
        </w:rPr>
        <w:t xml:space="preserve"> experiments </w:t>
      </w:r>
      <w:r w:rsidR="00F56149" w:rsidRPr="00E70281">
        <w:rPr>
          <w:color w:val="auto"/>
        </w:rPr>
        <w:t xml:space="preserve">reported by the literature </w:t>
      </w:r>
      <w:r w:rsidR="00F56EED" w:rsidRPr="00E70281">
        <w:rPr>
          <w:color w:val="auto"/>
        </w:rPr>
        <w:t>begin their collection of kinetic data</w:t>
      </w:r>
      <w:r w:rsidRPr="00E70281">
        <w:rPr>
          <w:color w:val="auto"/>
        </w:rPr>
        <w:t xml:space="preserve"> at high values of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oMath>
      <w:r w:rsidRPr="00E70281">
        <w:rPr>
          <w:color w:val="auto"/>
        </w:rPr>
        <w:t>, where a significant proportion of the reaction has already been completed. This may be due to challenges in collecting samples quickly (especia</w:t>
      </w:r>
      <w:r w:rsidR="00F56149" w:rsidRPr="00E70281">
        <w:rPr>
          <w:color w:val="auto"/>
        </w:rPr>
        <w:t>lly when filtering is required)</w:t>
      </w:r>
      <w:r w:rsidR="00D0024C" w:rsidRPr="00E70281">
        <w:rPr>
          <w:color w:val="auto"/>
        </w:rPr>
        <w:t>,</w:t>
      </w:r>
      <w:r w:rsidRPr="00E70281">
        <w:rPr>
          <w:color w:val="auto"/>
        </w:rPr>
        <w:t xml:space="preserve"> given that many adsorption reactions reach equilibrium in the minutes timescale. Other </w:t>
      </w:r>
      <w:r w:rsidR="00F56149" w:rsidRPr="00E70281">
        <w:rPr>
          <w:color w:val="auto"/>
        </w:rPr>
        <w:t>possible reasons</w:t>
      </w:r>
      <w:r w:rsidRPr="00E70281">
        <w:rPr>
          <w:color w:val="auto"/>
        </w:rPr>
        <w:t xml:space="preserve"> include a lack of </w:t>
      </w:r>
      <w:r w:rsidR="007761E3" w:rsidRPr="00E70281">
        <w:rPr>
          <w:color w:val="auto"/>
        </w:rPr>
        <w:t>appreciation</w:t>
      </w:r>
      <w:r w:rsidRPr="00E70281">
        <w:rPr>
          <w:color w:val="auto"/>
        </w:rPr>
        <w:t xml:space="preserve"> over </w:t>
      </w:r>
      <w:r w:rsidR="00DB0786" w:rsidRPr="00E70281">
        <w:rPr>
          <w:color w:val="auto"/>
        </w:rPr>
        <w:t>the time-scale at which</w:t>
      </w:r>
      <w:r w:rsidRPr="00E70281">
        <w:rPr>
          <w:color w:val="auto"/>
        </w:rPr>
        <w:t xml:space="preserve"> adsorption kinetics </w:t>
      </w:r>
      <w:r w:rsidR="007761E3" w:rsidRPr="00E70281">
        <w:rPr>
          <w:color w:val="auto"/>
        </w:rPr>
        <w:t>are best</w:t>
      </w:r>
      <w:r w:rsidRPr="00E70281">
        <w:rPr>
          <w:color w:val="auto"/>
        </w:rPr>
        <w:t xml:space="preserve"> measured, with many papers fitting kinetic models </w:t>
      </w:r>
      <w:r w:rsidR="00D0024C" w:rsidRPr="00E70281">
        <w:rPr>
          <w:color w:val="FF0000"/>
        </w:rPr>
        <w:t>to data where</w:t>
      </w:r>
      <w:r w:rsidRPr="00E70281">
        <w:rPr>
          <w:color w:val="FF0000"/>
        </w:rPr>
        <w:t xml:space="preserve"> </w:t>
      </w:r>
      <w:r w:rsidRPr="00E70281">
        <w:rPr>
          <w:color w:val="auto"/>
        </w:rPr>
        <w:t xml:space="preserve">the </w:t>
      </w:r>
      <w:r w:rsidR="00F56149" w:rsidRPr="00E70281">
        <w:rPr>
          <w:color w:val="auto"/>
        </w:rPr>
        <w:t>reaction</w:t>
      </w:r>
      <w:r w:rsidRPr="00E70281">
        <w:rPr>
          <w:color w:val="auto"/>
        </w:rPr>
        <w:t xml:space="preserve"> has already plateaued and reached equilibrium. </w:t>
      </w:r>
    </w:p>
    <w:bookmarkEnd w:id="17"/>
    <w:p w14:paraId="304D56EB" w14:textId="3E07398E" w:rsidR="007821FE" w:rsidRPr="00E70281" w:rsidRDefault="007821FE" w:rsidP="00F56EED">
      <w:pPr>
        <w:rPr>
          <w:color w:val="auto"/>
        </w:rPr>
      </w:pPr>
      <w:r w:rsidRPr="00E70281">
        <w:rPr>
          <w:color w:val="auto"/>
        </w:rPr>
        <w:t>Whilst we chose to investigate the influence of C</w:t>
      </w:r>
      <w:r w:rsidRPr="00E70281">
        <w:rPr>
          <w:color w:val="auto"/>
          <w:vertAlign w:val="subscript"/>
        </w:rPr>
        <w:t>0</w:t>
      </w:r>
      <w:r w:rsidRPr="00E70281">
        <w:rPr>
          <w:color w:val="auto"/>
        </w:rPr>
        <w:t xml:space="preserve"> and C</w:t>
      </w:r>
      <w:r w:rsidRPr="00E70281">
        <w:rPr>
          <w:color w:val="auto"/>
          <w:vertAlign w:val="subscript"/>
        </w:rPr>
        <w:t>s</w:t>
      </w:r>
      <w:r w:rsidRPr="00E70281">
        <w:rPr>
          <w:color w:val="auto"/>
        </w:rPr>
        <w:t xml:space="preserve"> using the method of initial rates, the lack of </w:t>
      </w:r>
      <w:r w:rsidR="00F56149" w:rsidRPr="00E70281">
        <w:rPr>
          <w:color w:val="auto"/>
        </w:rPr>
        <w:t>literature reporting</w:t>
      </w:r>
      <w:r w:rsidR="00B244CC" w:rsidRPr="00E70281">
        <w:rPr>
          <w:color w:val="auto"/>
        </w:rPr>
        <w:t xml:space="preserve"> early stage kinetic data, </w:t>
      </w:r>
      <w:r w:rsidR="00DB0786" w:rsidRPr="00E70281">
        <w:rPr>
          <w:color w:val="FF0000"/>
        </w:rPr>
        <w:t>i.e.</w:t>
      </w:r>
      <w:r w:rsidR="00DB0786" w:rsidRPr="00E70281">
        <w:rPr>
          <w:color w:val="auto"/>
        </w:rPr>
        <w:t xml:space="preserve"> </w:t>
      </w:r>
      <w:r w:rsidRPr="00E70281">
        <w:rPr>
          <w:color w:val="auto"/>
        </w:rPr>
        <w:t xml:space="preserve">low values of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oMath>
      <w:r w:rsidR="00B244CC" w:rsidRPr="00E70281">
        <w:rPr>
          <w:color w:val="auto"/>
        </w:rPr>
        <w:t>,</w:t>
      </w:r>
      <w:r w:rsidRPr="00E70281">
        <w:rPr>
          <w:color w:val="auto"/>
        </w:rPr>
        <w:t xml:space="preserve"> is a challenge. </w:t>
      </w:r>
      <w:r w:rsidR="00F56EED" w:rsidRPr="00E70281">
        <w:rPr>
          <w:color w:val="auto"/>
        </w:rPr>
        <w:t xml:space="preserve">A popular approach to calculate initial rates </w:t>
      </w:r>
      <w:r w:rsidRPr="00E70281">
        <w:rPr>
          <w:color w:val="auto"/>
        </w:rPr>
        <w:t xml:space="preserve">is to determine </w:t>
      </w:r>
      <w:r w:rsidR="00F56EED" w:rsidRPr="00E70281">
        <w:rPr>
          <w:color w:val="auto"/>
        </w:rPr>
        <w:t xml:space="preserve">the slope of a line that is </w:t>
      </w:r>
      <w:r w:rsidRPr="00E70281">
        <w:rPr>
          <w:color w:val="auto"/>
        </w:rPr>
        <w:t>tangent to the e</w:t>
      </w:r>
      <w:r w:rsidR="00F56EED" w:rsidRPr="00E70281">
        <w:rPr>
          <w:color w:val="auto"/>
        </w:rPr>
        <w:t xml:space="preserve">xperimental data curve and </w:t>
      </w:r>
      <w:r w:rsidRPr="00E70281">
        <w:rPr>
          <w:color w:val="auto"/>
        </w:rPr>
        <w:t>passes through the origin at (0,0)</w:t>
      </w:r>
      <w:r w:rsidR="00F56149" w:rsidRPr="00E70281">
        <w:rPr>
          <w:color w:val="auto"/>
        </w:rPr>
        <w:t xml:space="preserve"> </w:t>
      </w:r>
      <w:r w:rsidR="00F56149" w:rsidRPr="00E70281">
        <w:rPr>
          <w:color w:val="auto"/>
        </w:rPr>
        <w:fldChar w:fldCharType="begin" w:fldLock="1"/>
      </w:r>
      <w:r w:rsidR="003776C0" w:rsidRPr="00E70281">
        <w:rPr>
          <w:color w:val="auto"/>
        </w:rPr>
        <w:instrText>ADDIN CSL_CITATION {"citationItems":[{"id":"ITEM-1","itemData":{"DOI":"10.1021/ed056pA260.1","ISBN":"9780199543373","ISSN":"03681874","PMID":"5882806","abstract":"Atkins' Physical Chemistry epitomises the benchmark of achievement for a chemistry degree throughout the world. Its broad coverage, concise explanations, and robust mathematical support are clearly presented in an engaging style to furnish students with a solid foundation in the subject. In this ninth edition the authors continue to refine their presentation of physical chemistry. The coverage of introductory topics is streamlined, and the addition of a new fundamentals chapter provides students with an overview of key principles on which the subject is based. The text includes increased coverage of computational chemistry and additional contextual examples of materials chemistry throughout, mirroring the current needs of today's students and lecturers. Mathematics remains an intrinsic yet challenging part of physical chemistry. Extensive mathematical support, including a 'Checklist of key equations' at the end of every chapter, and 'Mathematical background' sections containing worked examples and self-tests, empower students to overcome any barriers to understanding that grasping the mathematical content might present. These features help to ensure the reader can master the subject without a need to sacrifice the rigour and depth of the mathematical content. The pedagogical framework, which is a hallmark of the authors' writing, has been further strengthened. New 'Key points' provide summaries of the main take-home messages of each section and enable students to gain an overview of the topic before tackling it in depth; 'Brief illustrations' give a concise insight into how a particular mathematical concept is applied in practice, providing students with the opportunity to contextualise their learning. All these exciting new features and innovations are presented within a refreshed full colour text design, to stimulate and engage students yet further. The Online Resource Centre contains Living Graphs, illustrations from the book, and web links. An Instructor's Solutions Manual (free to adopters) and a Student's Solutions Manual are also available. Access to the Physical Chemistry eBook is also included with the purchase of the printed text. Offering enhanced functionality, including notetaking and highlighting, it also includes access to 'Explorations in Physical Chemistry', which contains interactive Excel worksheets and exercises related to the Living Graphs, allowing students to visualise, actively explore and test their understanding of the subject.","author":[{"dropping-particle":"","family":"Atkins","given":"Peter","non-dropping-particle":"","parse-names":false,"suffix":""},{"dropping-particle":"De","family":"Paula","given":"J","non-dropping-particle":"","parse-names":false,"suffix":""}],"container-title":"Chemistry","edition":"9","id":"ITEM-1","issued":{"date-parts":[["2009"]]},"number-of-pages":"783-827","publisher":"Oxford University Press","title":"Atkins' Physical Chemistry","type":"book"},"uris":["http://www.mendeley.com/documents/?uuid=861f1d6e-ded7-4223-a2bc-2572bd50d394"]}],"mendeley":{"formattedCitation":"&lt;sup&gt;20&lt;/sup&gt;","plainTextFormattedCitation":"20","previouslyFormattedCitation":"&lt;sup&gt;20&lt;/sup&gt;"},"properties":{"noteIndex":0},"schema":"https://github.com/citation-style-language/schema/raw/master/csl-citation.json"}</w:instrText>
      </w:r>
      <w:r w:rsidR="00F56149" w:rsidRPr="00E70281">
        <w:rPr>
          <w:color w:val="auto"/>
        </w:rPr>
        <w:fldChar w:fldCharType="separate"/>
      </w:r>
      <w:r w:rsidR="00623D96" w:rsidRPr="00E70281">
        <w:rPr>
          <w:noProof/>
          <w:color w:val="auto"/>
          <w:vertAlign w:val="superscript"/>
        </w:rPr>
        <w:t>20</w:t>
      </w:r>
      <w:r w:rsidR="00F56149" w:rsidRPr="00E70281">
        <w:rPr>
          <w:color w:val="auto"/>
        </w:rPr>
        <w:fldChar w:fldCharType="end"/>
      </w:r>
      <w:r w:rsidRPr="00E70281">
        <w:rPr>
          <w:color w:val="auto"/>
        </w:rPr>
        <w:t xml:space="preserve">. </w:t>
      </w:r>
      <w:r w:rsidR="00F56EED" w:rsidRPr="00E70281">
        <w:rPr>
          <w:color w:val="auto"/>
        </w:rPr>
        <w:t xml:space="preserve">However, the later the first kinetic data is collected, the </w:t>
      </w:r>
      <w:r w:rsidR="00F56149" w:rsidRPr="00E70281">
        <w:rPr>
          <w:color w:val="auto"/>
        </w:rPr>
        <w:t>shallower</w:t>
      </w:r>
      <w:r w:rsidR="00F56EED" w:rsidRPr="00E70281">
        <w:rPr>
          <w:color w:val="auto"/>
        </w:rPr>
        <w:t xml:space="preserve"> the slope will be, </w:t>
      </w:r>
      <w:r w:rsidR="00FD4DD7" w:rsidRPr="00E70281">
        <w:rPr>
          <w:color w:val="FF0000"/>
        </w:rPr>
        <w:t xml:space="preserve">therefore </w:t>
      </w:r>
      <w:r w:rsidR="00F56EED" w:rsidRPr="00E70281">
        <w:rPr>
          <w:color w:val="auto"/>
        </w:rPr>
        <w:t xml:space="preserve">creating a systematic underestimation </w:t>
      </w:r>
      <w:r w:rsidR="00F56149" w:rsidRPr="00E70281">
        <w:rPr>
          <w:color w:val="auto"/>
        </w:rPr>
        <w:t xml:space="preserve">of the </w:t>
      </w:r>
      <w:r w:rsidR="00F56EED" w:rsidRPr="00E70281">
        <w:rPr>
          <w:color w:val="auto"/>
        </w:rPr>
        <w:t>initial rate</w:t>
      </w:r>
      <w:r w:rsidR="003D587D" w:rsidRPr="00E70281">
        <w:rPr>
          <w:color w:val="auto"/>
        </w:rPr>
        <w:t xml:space="preserve">. </w:t>
      </w:r>
      <w:r w:rsidRPr="00E70281">
        <w:rPr>
          <w:color w:val="auto"/>
        </w:rPr>
        <w:t>Application of a kinet</w:t>
      </w:r>
      <w:r w:rsidR="00DB0786" w:rsidRPr="00E70281">
        <w:rPr>
          <w:color w:val="auto"/>
        </w:rPr>
        <w:t>ic adsorption model allows for the e</w:t>
      </w:r>
      <w:r w:rsidRPr="00E70281">
        <w:rPr>
          <w:color w:val="auto"/>
        </w:rPr>
        <w:t>xtrapolation of adsorption rates to t=0, however the accuracy of the calculated initial rates depend</w:t>
      </w:r>
      <w:r w:rsidR="00F56EED" w:rsidRPr="00E70281">
        <w:rPr>
          <w:color w:val="auto"/>
        </w:rPr>
        <w:t>s</w:t>
      </w:r>
      <w:r w:rsidRPr="00E70281">
        <w:rPr>
          <w:color w:val="auto"/>
        </w:rPr>
        <w:t xml:space="preserve"> </w:t>
      </w:r>
      <w:r w:rsidR="00F56EED" w:rsidRPr="00E70281">
        <w:rPr>
          <w:color w:val="auto"/>
        </w:rPr>
        <w:t>up</w:t>
      </w:r>
      <w:r w:rsidRPr="00E70281">
        <w:rPr>
          <w:color w:val="auto"/>
        </w:rPr>
        <w:t xml:space="preserve">on how closely the experimental data </w:t>
      </w:r>
      <w:r w:rsidR="00D0024C" w:rsidRPr="00E70281">
        <w:rPr>
          <w:color w:val="FF0000"/>
        </w:rPr>
        <w:t>follows</w:t>
      </w:r>
      <w:r w:rsidRPr="00E70281">
        <w:rPr>
          <w:color w:val="FF0000"/>
        </w:rPr>
        <w:t xml:space="preserve"> </w:t>
      </w:r>
      <w:r w:rsidRPr="00E70281">
        <w:rPr>
          <w:color w:val="auto"/>
        </w:rPr>
        <w:t xml:space="preserve">the </w:t>
      </w:r>
      <w:r w:rsidR="00D0024C" w:rsidRPr="00E70281">
        <w:rPr>
          <w:color w:val="FF0000"/>
        </w:rPr>
        <w:t>chosen</w:t>
      </w:r>
      <w:r w:rsidRPr="00E70281">
        <w:rPr>
          <w:color w:val="FF0000"/>
        </w:rPr>
        <w:t xml:space="preserve"> </w:t>
      </w:r>
      <w:r w:rsidRPr="00E70281">
        <w:rPr>
          <w:color w:val="auto"/>
        </w:rPr>
        <w:t xml:space="preserve">model. </w:t>
      </w:r>
    </w:p>
    <w:p w14:paraId="0D8BFD0E" w14:textId="0BBE4A26" w:rsidR="007821FE" w:rsidRPr="00E70281" w:rsidRDefault="00F56EED" w:rsidP="00D601A0">
      <w:pPr>
        <w:rPr>
          <w:color w:val="auto"/>
        </w:rPr>
      </w:pPr>
      <w:r w:rsidRPr="00E70281">
        <w:rPr>
          <w:color w:val="auto"/>
        </w:rPr>
        <w:t>We</w:t>
      </w:r>
      <w:r w:rsidR="007821FE" w:rsidRPr="00E70281">
        <w:rPr>
          <w:color w:val="auto"/>
        </w:rPr>
        <w:t xml:space="preserve"> therefore conducted a preliminary experiment to investigate how </w:t>
      </w:r>
      <w:r w:rsidRPr="00E70281">
        <w:rPr>
          <w:color w:val="auto"/>
        </w:rPr>
        <w:t>a limited</w:t>
      </w:r>
      <w:r w:rsidR="007821FE" w:rsidRPr="00E70281">
        <w:rPr>
          <w:color w:val="auto"/>
        </w:rPr>
        <w:t xml:space="preserve"> availability of early kinetic dat</w:t>
      </w:r>
      <w:r w:rsidRPr="00E70281">
        <w:rPr>
          <w:color w:val="auto"/>
        </w:rPr>
        <w:t xml:space="preserve">a would influence the accuracy </w:t>
      </w:r>
      <w:r w:rsidR="007821FE" w:rsidRPr="00E70281">
        <w:rPr>
          <w:color w:val="auto"/>
        </w:rPr>
        <w:t>and precision of initial rates calculated using</w:t>
      </w:r>
      <w:r w:rsidRPr="00E70281">
        <w:rPr>
          <w:color w:val="auto"/>
        </w:rPr>
        <w:t xml:space="preserve"> the initial slope </w:t>
      </w:r>
      <w:r w:rsidR="00F56149" w:rsidRPr="00E70281">
        <w:rPr>
          <w:color w:val="auto"/>
        </w:rPr>
        <w:t>or</w:t>
      </w:r>
      <w:r w:rsidRPr="00E70281">
        <w:rPr>
          <w:color w:val="auto"/>
        </w:rPr>
        <w:t xml:space="preserve"> using the</w:t>
      </w:r>
      <w:r w:rsidR="007821FE" w:rsidRPr="00E70281">
        <w:rPr>
          <w:color w:val="auto"/>
        </w:rPr>
        <w:t xml:space="preserve"> original PSO model</w:t>
      </w:r>
      <w:r w:rsidRPr="00E70281">
        <w:rPr>
          <w:color w:val="auto"/>
        </w:rPr>
        <w:t xml:space="preserve"> (given that the PSO model is known to approximately describe a wide range of adsorbate-adsorbent systems </w:t>
      </w:r>
      <w:r w:rsidRPr="00E70281">
        <w:rPr>
          <w:color w:val="auto"/>
        </w:rPr>
        <w:fldChar w:fldCharType="begin" w:fldLock="1"/>
      </w:r>
      <w:r w:rsidR="00AA2619" w:rsidRPr="00E70281">
        <w:rPr>
          <w:color w:val="auto"/>
        </w:rPr>
        <w:instrText>ADDIN CSL_CITATION {"citationItems":[{"id":"ITEM-1","itemData":{"DOI":"10.1016/j.jhazmat.2005.12.043","author":[{"dropping-particle":"","family":"Ho","given":"Yuh-shan","non-dropping-particle":"","parse-names":false,"suffix":""}],"container-title":"Journal of Hazardous Materials","id":"ITEM-1","issue":"April 2005","issued":{"date-parts":[["2006"]]},"page":"681-689","title":"Review of second-order models for adsorption systems","type":"article-journal","volume":"136"},"uris":["http://www.mendeley.com/documents/?uuid=95ba43b6-f877-4642-a8f9-8882e7882e6c"]}],"mendeley":{"formattedCitation":"&lt;sup&gt;12&lt;/sup&gt;","plainTextFormattedCitation":"12","previouslyFormattedCitation":"&lt;sup&gt;12&lt;/sup&gt;"},"properties":{"noteIndex":0},"schema":"https://github.com/citation-style-language/schema/raw/master/csl-citation.json"}</w:instrText>
      </w:r>
      <w:r w:rsidRPr="00E70281">
        <w:rPr>
          <w:color w:val="auto"/>
        </w:rPr>
        <w:fldChar w:fldCharType="separate"/>
      </w:r>
      <w:r w:rsidRPr="00E70281">
        <w:rPr>
          <w:noProof/>
          <w:color w:val="auto"/>
          <w:vertAlign w:val="superscript"/>
        </w:rPr>
        <w:t>12</w:t>
      </w:r>
      <w:r w:rsidRPr="00E70281">
        <w:rPr>
          <w:color w:val="auto"/>
        </w:rPr>
        <w:fldChar w:fldCharType="end"/>
      </w:r>
      <w:r w:rsidRPr="00E70281">
        <w:rPr>
          <w:color w:val="auto"/>
        </w:rPr>
        <w:t>)</w:t>
      </w:r>
      <w:r w:rsidR="007821FE" w:rsidRPr="00E70281">
        <w:rPr>
          <w:color w:val="auto"/>
        </w:rPr>
        <w:t xml:space="preserve">. These results were used to set </w:t>
      </w:r>
      <w:r w:rsidRPr="00E70281">
        <w:rPr>
          <w:color w:val="auto"/>
        </w:rPr>
        <w:t xml:space="preserve">quality control </w:t>
      </w:r>
      <w:r w:rsidR="007821FE" w:rsidRPr="00E70281">
        <w:rPr>
          <w:color w:val="auto"/>
        </w:rPr>
        <w:t xml:space="preserve">criteria for which data sets would be </w:t>
      </w:r>
      <w:r w:rsidR="00F56149" w:rsidRPr="00E70281">
        <w:rPr>
          <w:color w:val="auto"/>
        </w:rPr>
        <w:t xml:space="preserve">included </w:t>
      </w:r>
      <w:r w:rsidR="00D0024C" w:rsidRPr="00E70281">
        <w:rPr>
          <w:color w:val="FF0000"/>
        </w:rPr>
        <w:t>when investigating</w:t>
      </w:r>
      <w:r w:rsidR="007821FE" w:rsidRPr="00E70281">
        <w:rPr>
          <w:color w:val="FF0000"/>
        </w:rPr>
        <w:t xml:space="preserve"> </w:t>
      </w:r>
      <w:r w:rsidR="007821FE" w:rsidRPr="00E70281">
        <w:rPr>
          <w:color w:val="auto"/>
        </w:rPr>
        <w:t>the influence of C</w:t>
      </w:r>
      <w:r w:rsidR="007821FE" w:rsidRPr="00E70281">
        <w:rPr>
          <w:color w:val="auto"/>
          <w:vertAlign w:val="subscript"/>
        </w:rPr>
        <w:t>0</w:t>
      </w:r>
      <w:r w:rsidR="007821FE" w:rsidRPr="00E70281">
        <w:rPr>
          <w:color w:val="auto"/>
        </w:rPr>
        <w:t xml:space="preserve"> and C</w:t>
      </w:r>
      <w:r w:rsidR="007821FE" w:rsidRPr="00E70281">
        <w:rPr>
          <w:color w:val="auto"/>
          <w:vertAlign w:val="subscript"/>
        </w:rPr>
        <w:t>s</w:t>
      </w:r>
      <w:r w:rsidR="00F56149" w:rsidRPr="00E70281">
        <w:rPr>
          <w:color w:val="auto"/>
        </w:rPr>
        <w:t xml:space="preserve"> on adsorption kinetics.</w:t>
      </w:r>
    </w:p>
    <w:p w14:paraId="0147478F" w14:textId="2897057C" w:rsidR="0079177F" w:rsidRPr="00E70281" w:rsidRDefault="00F56149" w:rsidP="00D601A0">
      <w:pPr>
        <w:rPr>
          <w:color w:val="auto"/>
        </w:rPr>
      </w:pPr>
      <w:r w:rsidRPr="00E70281">
        <w:rPr>
          <w:color w:val="auto"/>
        </w:rPr>
        <w:t>The</w:t>
      </w:r>
      <w:r w:rsidR="004F65EB" w:rsidRPr="00E70281">
        <w:rPr>
          <w:color w:val="auto"/>
        </w:rPr>
        <w:t xml:space="preserve"> literature search </w:t>
      </w:r>
      <w:r w:rsidR="003926E8" w:rsidRPr="00E70281">
        <w:rPr>
          <w:color w:val="auto"/>
        </w:rPr>
        <w:t>identified</w:t>
      </w:r>
      <w:r w:rsidR="00FD6692" w:rsidRPr="00E70281">
        <w:rPr>
          <w:color w:val="auto"/>
        </w:rPr>
        <w:t xml:space="preserve"> </w:t>
      </w:r>
      <w:r w:rsidR="0091569B" w:rsidRPr="00E70281">
        <w:rPr>
          <w:color w:val="auto"/>
        </w:rPr>
        <w:t>fourteen</w:t>
      </w:r>
      <w:r w:rsidR="00FD6692" w:rsidRPr="00E70281">
        <w:rPr>
          <w:color w:val="auto"/>
        </w:rPr>
        <w:t xml:space="preserve"> data sets satisfying </w:t>
      </w:r>
      <w:r w:rsidRPr="00E70281">
        <w:rPr>
          <w:color w:val="auto"/>
        </w:rPr>
        <w:t>the</w:t>
      </w:r>
      <w:r w:rsidR="00FD6692" w:rsidRPr="00E70281">
        <w:rPr>
          <w:color w:val="auto"/>
        </w:rPr>
        <w:t xml:space="preserve"> criteria</w:t>
      </w:r>
      <w:r w:rsidRPr="00E70281">
        <w:rPr>
          <w:color w:val="auto"/>
        </w:rPr>
        <w:t xml:space="preserve"> that</w:t>
      </w:r>
      <w:r w:rsidR="004F65EB" w:rsidRPr="00E70281">
        <w:rPr>
          <w:color w:val="auto"/>
        </w:rPr>
        <w:t xml:space="preserve">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w:rPr>
            <w:rFonts w:ascii="Cambria Math" w:hAnsi="Cambria Math"/>
            <w:color w:val="auto"/>
          </w:rPr>
          <m:t>&lt;0.2</m:t>
        </m:r>
      </m:oMath>
      <w:r w:rsidR="004F65EB" w:rsidRPr="00E70281">
        <w:rPr>
          <w:color w:val="auto"/>
        </w:rPr>
        <w:t xml:space="preserve">, a relatively small </w:t>
      </w:r>
      <w:r w:rsidR="00A17EC1" w:rsidRPr="00E70281">
        <w:rPr>
          <w:color w:val="auto"/>
        </w:rPr>
        <w:t>number</w:t>
      </w:r>
      <w:r w:rsidR="004F65EB" w:rsidRPr="00E70281">
        <w:rPr>
          <w:color w:val="auto"/>
        </w:rPr>
        <w:t xml:space="preserve">, highlighting how most </w:t>
      </w:r>
      <w:r w:rsidR="00FD4DD7" w:rsidRPr="00E70281">
        <w:rPr>
          <w:color w:val="FF0000"/>
        </w:rPr>
        <w:t>studies</w:t>
      </w:r>
      <w:r w:rsidR="004F65EB" w:rsidRPr="00E70281">
        <w:rPr>
          <w:color w:val="FF0000"/>
        </w:rPr>
        <w:t xml:space="preserve"> </w:t>
      </w:r>
      <w:r w:rsidR="004F65EB" w:rsidRPr="00E70281">
        <w:rPr>
          <w:color w:val="auto"/>
        </w:rPr>
        <w:t xml:space="preserve">fail to </w:t>
      </w:r>
      <w:r w:rsidR="003926E8" w:rsidRPr="00E70281">
        <w:rPr>
          <w:color w:val="auto"/>
        </w:rPr>
        <w:t>collect</w:t>
      </w:r>
      <w:r w:rsidR="004F65EB" w:rsidRPr="00E70281">
        <w:rPr>
          <w:color w:val="auto"/>
        </w:rPr>
        <w:t xml:space="preserve"> early kinetic data</w:t>
      </w:r>
      <w:r w:rsidR="003F2782" w:rsidRPr="00E70281">
        <w:rPr>
          <w:color w:val="auto"/>
        </w:rPr>
        <w:t xml:space="preserve"> (SI Figure S1)</w:t>
      </w:r>
      <w:r w:rsidR="004F65EB" w:rsidRPr="00E70281">
        <w:rPr>
          <w:color w:val="auto"/>
        </w:rPr>
        <w:t>.</w:t>
      </w:r>
      <w:r w:rsidR="005F78A0" w:rsidRPr="00E70281">
        <w:rPr>
          <w:color w:val="auto"/>
        </w:rPr>
        <w:t xml:space="preserve"> </w:t>
      </w:r>
      <w:r w:rsidR="00B33890" w:rsidRPr="00E70281">
        <w:rPr>
          <w:color w:val="auto"/>
        </w:rPr>
        <w:t xml:space="preserve">Initial rates calculated from the </w:t>
      </w:r>
      <w:r w:rsidR="002716E3" w:rsidRPr="00E70281">
        <w:rPr>
          <w:color w:val="auto"/>
        </w:rPr>
        <w:t>slope between the origin and th</w:t>
      </w:r>
      <w:r w:rsidR="0043156E" w:rsidRPr="00E70281">
        <w:rPr>
          <w:color w:val="auto"/>
        </w:rPr>
        <w:t>e earliest available data point</w:t>
      </w:r>
      <w:r w:rsidR="002716E3" w:rsidRPr="00E70281">
        <w:rPr>
          <w:color w:val="auto"/>
        </w:rPr>
        <w:t xml:space="preserve"> </w:t>
      </w:r>
      <w:r w:rsidR="00AD2996" w:rsidRPr="00E70281">
        <w:rPr>
          <w:color w:val="auto"/>
        </w:rPr>
        <w:t>show the</w:t>
      </w:r>
      <w:r w:rsidR="001C124E" w:rsidRPr="00E70281">
        <w:rPr>
          <w:color w:val="auto"/>
        </w:rPr>
        <w:t xml:space="preserve"> </w:t>
      </w:r>
      <w:r w:rsidR="00B336DE" w:rsidRPr="00E70281">
        <w:rPr>
          <w:color w:val="auto"/>
        </w:rPr>
        <w:t>typical</w:t>
      </w:r>
      <w:r w:rsidR="002716E3" w:rsidRPr="00E70281">
        <w:rPr>
          <w:color w:val="auto"/>
        </w:rPr>
        <w:t xml:space="preserve"> s</w:t>
      </w:r>
      <w:r w:rsidR="00B33890" w:rsidRPr="00E70281">
        <w:rPr>
          <w:color w:val="auto"/>
        </w:rPr>
        <w:t>ystematic underestimation of initial rates when early kinetic data is missing (</w:t>
      </w:r>
      <w:r w:rsidR="00B33890" w:rsidRPr="00E70281">
        <w:rPr>
          <w:color w:val="auto"/>
        </w:rPr>
        <w:fldChar w:fldCharType="begin"/>
      </w:r>
      <w:r w:rsidR="00B33890" w:rsidRPr="00E70281">
        <w:rPr>
          <w:color w:val="auto"/>
        </w:rPr>
        <w:instrText xml:space="preserve"> REF _Ref58836628 \h </w:instrText>
      </w:r>
      <w:r w:rsidR="00B33890" w:rsidRPr="00E70281">
        <w:rPr>
          <w:color w:val="auto"/>
        </w:rPr>
      </w:r>
      <w:r w:rsidR="00B33890" w:rsidRPr="00E70281">
        <w:rPr>
          <w:color w:val="auto"/>
        </w:rPr>
        <w:fldChar w:fldCharType="separate"/>
      </w:r>
      <w:r w:rsidR="00D37CAD" w:rsidRPr="00E70281">
        <w:rPr>
          <w:color w:val="auto"/>
        </w:rPr>
        <w:t xml:space="preserve">Figure </w:t>
      </w:r>
      <w:r w:rsidR="00D37CAD" w:rsidRPr="00E70281">
        <w:rPr>
          <w:noProof/>
          <w:color w:val="auto"/>
        </w:rPr>
        <w:t>1</w:t>
      </w:r>
      <w:r w:rsidR="00B33890" w:rsidRPr="00E70281">
        <w:rPr>
          <w:color w:val="auto"/>
        </w:rPr>
        <w:fldChar w:fldCharType="end"/>
      </w:r>
      <w:r w:rsidR="00464BD7" w:rsidRPr="00E70281">
        <w:rPr>
          <w:color w:val="auto"/>
        </w:rPr>
        <w:t>a</w:t>
      </w:r>
      <w:r w:rsidR="0079177F" w:rsidRPr="00E70281">
        <w:rPr>
          <w:color w:val="auto"/>
        </w:rPr>
        <w:t>, with the solid line representing the average of all data sets</w:t>
      </w:r>
      <w:r w:rsidR="00B33890" w:rsidRPr="00E70281">
        <w:rPr>
          <w:color w:val="auto"/>
        </w:rPr>
        <w:t xml:space="preserve">). In contrast, </w:t>
      </w:r>
      <w:r w:rsidR="00B22842" w:rsidRPr="00E70281">
        <w:rPr>
          <w:color w:val="auto"/>
        </w:rPr>
        <w:t xml:space="preserve">when calculated using the PSO model, there </w:t>
      </w:r>
      <w:r w:rsidR="00AD2996" w:rsidRPr="00E70281">
        <w:rPr>
          <w:color w:val="auto"/>
        </w:rPr>
        <w:t>is</w:t>
      </w:r>
      <w:r w:rsidR="00B22842" w:rsidRPr="00E70281">
        <w:rPr>
          <w:color w:val="auto"/>
        </w:rPr>
        <w:t xml:space="preserve"> no systematic error in the calculation of initial rates when the </w:t>
      </w:r>
      <w:r w:rsidR="00AD2996" w:rsidRPr="00E70281">
        <w:rPr>
          <w:color w:val="auto"/>
        </w:rPr>
        <w:t>first kinetic data</w:t>
      </w:r>
      <w:r w:rsidR="00B22842" w:rsidRPr="00E70281">
        <w:rPr>
          <w:color w:val="auto"/>
        </w:rPr>
        <w:t xml:space="preserve"> </w:t>
      </w:r>
      <w:r w:rsidR="00AD2996" w:rsidRPr="00E70281">
        <w:rPr>
          <w:color w:val="auto"/>
        </w:rPr>
        <w:t xml:space="preserve">is collected </w:t>
      </w:r>
      <w:r w:rsidR="00FD7252" w:rsidRPr="00E70281">
        <w:rPr>
          <w:color w:val="FF0000"/>
        </w:rPr>
        <w:t>with</w:t>
      </w:r>
      <w:r w:rsidR="007761E3" w:rsidRPr="00E70281">
        <w:rPr>
          <w:color w:val="FF0000"/>
        </w:rPr>
        <w:t xml:space="preserve">in </w:t>
      </w:r>
      <w:r w:rsidR="007761E3" w:rsidRPr="00E70281">
        <w:rPr>
          <w:color w:val="auto"/>
        </w:rPr>
        <w:t>the range</w:t>
      </w:r>
      <w:r w:rsidR="00AD2996" w:rsidRPr="00E70281">
        <w:rPr>
          <w:color w:val="auto"/>
        </w:rPr>
        <w:t xml:space="preserve"> </w:t>
      </w:r>
      <m:oMath>
        <m:r>
          <w:rPr>
            <w:rFonts w:ascii="Cambria Math" w:hAnsi="Cambria Math"/>
            <w:color w:val="auto"/>
          </w:rPr>
          <m:t>0&lt;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w:rPr>
            <w:rFonts w:ascii="Cambria Math" w:hAnsi="Cambria Math"/>
            <w:color w:val="auto"/>
          </w:rPr>
          <m:t>&lt;0.7</m:t>
        </m:r>
      </m:oMath>
      <w:r w:rsidR="00464BD7" w:rsidRPr="00E70281">
        <w:rPr>
          <w:color w:val="auto"/>
        </w:rPr>
        <w:t xml:space="preserve"> (</w:t>
      </w:r>
      <w:r w:rsidR="00464BD7" w:rsidRPr="00E70281">
        <w:rPr>
          <w:color w:val="auto"/>
        </w:rPr>
        <w:fldChar w:fldCharType="begin"/>
      </w:r>
      <w:r w:rsidR="00464BD7" w:rsidRPr="00E70281">
        <w:rPr>
          <w:color w:val="auto"/>
        </w:rPr>
        <w:instrText xml:space="preserve"> REF _Ref58836628 \h </w:instrText>
      </w:r>
      <w:r w:rsidR="00464BD7" w:rsidRPr="00E70281">
        <w:rPr>
          <w:color w:val="auto"/>
        </w:rPr>
      </w:r>
      <w:r w:rsidR="00464BD7" w:rsidRPr="00E70281">
        <w:rPr>
          <w:color w:val="auto"/>
        </w:rPr>
        <w:fldChar w:fldCharType="separate"/>
      </w:r>
      <w:r w:rsidR="00D37CAD" w:rsidRPr="00E70281">
        <w:rPr>
          <w:color w:val="auto"/>
        </w:rPr>
        <w:t xml:space="preserve">Figure </w:t>
      </w:r>
      <w:r w:rsidR="00D37CAD" w:rsidRPr="00E70281">
        <w:rPr>
          <w:noProof/>
          <w:color w:val="auto"/>
        </w:rPr>
        <w:t>1</w:t>
      </w:r>
      <w:r w:rsidR="00464BD7" w:rsidRPr="00E70281">
        <w:rPr>
          <w:color w:val="auto"/>
        </w:rPr>
        <w:fldChar w:fldCharType="end"/>
      </w:r>
      <w:r w:rsidR="00464BD7" w:rsidRPr="00E70281">
        <w:rPr>
          <w:color w:val="auto"/>
        </w:rPr>
        <w:t>b,c)</w:t>
      </w:r>
      <w:r w:rsidR="00AD2996" w:rsidRPr="00E70281">
        <w:rPr>
          <w:color w:val="auto"/>
        </w:rPr>
        <w:t>.</w:t>
      </w:r>
      <w:r w:rsidR="00B22842" w:rsidRPr="00E70281">
        <w:rPr>
          <w:color w:val="auto"/>
        </w:rPr>
        <w:t xml:space="preserve"> </w:t>
      </w:r>
      <w:r w:rsidR="00850037" w:rsidRPr="00E70281">
        <w:rPr>
          <w:color w:val="auto"/>
        </w:rPr>
        <w:t>In all three approaches</w:t>
      </w:r>
      <w:r w:rsidR="0079177F" w:rsidRPr="00E70281">
        <w:rPr>
          <w:color w:val="auto"/>
        </w:rPr>
        <w:t>, significant variation between data sets</w:t>
      </w:r>
      <w:r w:rsidR="004410CF" w:rsidRPr="00E70281">
        <w:rPr>
          <w:color w:val="auto"/>
        </w:rPr>
        <w:t xml:space="preserve"> is observed</w:t>
      </w:r>
      <w:r w:rsidR="0079177F" w:rsidRPr="00E70281">
        <w:rPr>
          <w:color w:val="auto"/>
        </w:rPr>
        <w:t>, i.e. an error</w:t>
      </w:r>
      <w:r w:rsidR="007761E3" w:rsidRPr="00E70281">
        <w:rPr>
          <w:color w:val="auto"/>
        </w:rPr>
        <w:t xml:space="preserve"> in the initial rate</w:t>
      </w:r>
      <w:r w:rsidR="0079177F" w:rsidRPr="00E70281">
        <w:rPr>
          <w:color w:val="auto"/>
        </w:rPr>
        <w:t xml:space="preserve"> unique to each data set. This error (dashed lines representing one standard deviation) is approximately constant in the </w:t>
      </w:r>
      <w:r w:rsidR="00890640" w:rsidRPr="00E70281">
        <w:rPr>
          <w:color w:val="auto"/>
        </w:rPr>
        <w:t>initial slope</w:t>
      </w:r>
      <w:r w:rsidR="0079177F" w:rsidRPr="00E70281">
        <w:rPr>
          <w:color w:val="auto"/>
        </w:rPr>
        <w:t xml:space="preserve"> approach, being significant even when early kinetic data is available. In contrast, this error is insignificant </w:t>
      </w:r>
      <w:r w:rsidR="00F66A3E" w:rsidRPr="00E70281">
        <w:rPr>
          <w:color w:val="FF0000"/>
        </w:rPr>
        <w:t xml:space="preserve">when </w:t>
      </w:r>
      <w:r w:rsidR="0079177F" w:rsidRPr="00E70281">
        <w:rPr>
          <w:color w:val="auto"/>
        </w:rPr>
        <w:t xml:space="preserve">using early kinetic data and </w:t>
      </w:r>
      <w:r w:rsidRPr="00E70281">
        <w:rPr>
          <w:color w:val="auto"/>
        </w:rPr>
        <w:t>either of the</w:t>
      </w:r>
      <w:r w:rsidR="0079177F" w:rsidRPr="00E70281">
        <w:rPr>
          <w:color w:val="auto"/>
        </w:rPr>
        <w:t xml:space="preserve"> PSO approaches,</w:t>
      </w:r>
      <w:r w:rsidRPr="00E70281">
        <w:rPr>
          <w:color w:val="auto"/>
        </w:rPr>
        <w:t xml:space="preserve"> </w:t>
      </w:r>
      <w:r w:rsidR="00F66A3E" w:rsidRPr="00E70281">
        <w:rPr>
          <w:color w:val="FF0000"/>
        </w:rPr>
        <w:t>though</w:t>
      </w:r>
      <w:r w:rsidRPr="00E70281">
        <w:rPr>
          <w:color w:val="FF0000"/>
        </w:rPr>
        <w:t xml:space="preserve"> </w:t>
      </w:r>
      <w:r w:rsidRPr="00E70281">
        <w:rPr>
          <w:color w:val="auto"/>
        </w:rPr>
        <w:t>this error</w:t>
      </w:r>
      <w:r w:rsidR="0079177F" w:rsidRPr="00E70281">
        <w:rPr>
          <w:color w:val="auto"/>
        </w:rPr>
        <w:t xml:space="preserve"> </w:t>
      </w:r>
      <w:r w:rsidRPr="00E70281">
        <w:rPr>
          <w:color w:val="auto"/>
        </w:rPr>
        <w:t>increases</w:t>
      </w:r>
      <w:r w:rsidR="0079177F" w:rsidRPr="00E70281">
        <w:rPr>
          <w:color w:val="auto"/>
        </w:rPr>
        <w:t xml:space="preserve"> in magnitude as early data is sequentially removed.</w:t>
      </w:r>
    </w:p>
    <w:p w14:paraId="6955EFD7" w14:textId="22B685CC" w:rsidR="009A478C" w:rsidRPr="00E70281" w:rsidRDefault="0079177F" w:rsidP="00927734">
      <w:pPr>
        <w:rPr>
          <w:color w:val="auto"/>
        </w:rPr>
      </w:pPr>
      <w:r w:rsidRPr="00E70281">
        <w:rPr>
          <w:color w:val="auto"/>
        </w:rPr>
        <w:lastRenderedPageBreak/>
        <w:t>Additionally, the absolute values of the initial rates calculated using the earliest possible kinetic data</w:t>
      </w:r>
      <w:r w:rsidR="00890640" w:rsidRPr="00E70281">
        <w:rPr>
          <w:color w:val="auto"/>
        </w:rPr>
        <w:t xml:space="preserve"> </w:t>
      </w:r>
      <w:r w:rsidR="00F56149" w:rsidRPr="00E70281">
        <w:rPr>
          <w:color w:val="auto"/>
        </w:rPr>
        <w:t>were compared</w:t>
      </w:r>
      <w:r w:rsidR="00FD4DD7" w:rsidRPr="00E70281">
        <w:rPr>
          <w:color w:val="auto"/>
        </w:rPr>
        <w:t>,</w:t>
      </w:r>
      <w:r w:rsidR="00F56149" w:rsidRPr="00E70281">
        <w:rPr>
          <w:color w:val="auto"/>
        </w:rPr>
        <w:t xml:space="preserve"> </w:t>
      </w:r>
      <w:r w:rsidR="00890640" w:rsidRPr="00E70281">
        <w:rPr>
          <w:color w:val="auto"/>
        </w:rPr>
        <w:t>i.e. 14 initial rate calculations</w:t>
      </w:r>
      <w:r w:rsidRPr="00E70281">
        <w:rPr>
          <w:color w:val="auto"/>
        </w:rPr>
        <w:t xml:space="preserve">, with Student’s t-test indicating that </w:t>
      </w:r>
      <w:r w:rsidR="00927734" w:rsidRPr="00E70281">
        <w:rPr>
          <w:color w:val="auto"/>
        </w:rPr>
        <w:t>both linearised PSO kinetics and non-linear PSO kinetics tend to return an initial rate greater than that calculated using the initial slope (with p=0.87 and 0.97 respectively).</w:t>
      </w:r>
      <w:r w:rsidR="005C5CDD" w:rsidRPr="00E70281">
        <w:rPr>
          <w:color w:val="auto"/>
        </w:rPr>
        <w:t xml:space="preserve"> </w:t>
      </w:r>
      <w:r w:rsidR="0094274D" w:rsidRPr="00E70281">
        <w:rPr>
          <w:color w:val="auto"/>
        </w:rPr>
        <w:t>T</w:t>
      </w:r>
      <w:r w:rsidR="005C5CDD" w:rsidRPr="00E70281">
        <w:rPr>
          <w:color w:val="auto"/>
        </w:rPr>
        <w:t>he increase in initial rates calculated using non-linear PSO kinetics versus linearised PSO kinetic</w:t>
      </w:r>
      <w:r w:rsidR="001635DE" w:rsidRPr="00E70281">
        <w:rPr>
          <w:color w:val="auto"/>
        </w:rPr>
        <w:t xml:space="preserve">s </w:t>
      </w:r>
      <w:r w:rsidR="003926E8" w:rsidRPr="00E70281">
        <w:rPr>
          <w:color w:val="auto"/>
        </w:rPr>
        <w:t>is</w:t>
      </w:r>
      <w:r w:rsidR="001635DE" w:rsidRPr="00E70281">
        <w:rPr>
          <w:color w:val="auto"/>
        </w:rPr>
        <w:t xml:space="preserve"> not significant (p=0.33</w:t>
      </w:r>
      <w:r w:rsidR="0094274D" w:rsidRPr="00E70281">
        <w:rPr>
          <w:color w:val="auto"/>
        </w:rPr>
        <w:t xml:space="preserve"> using the 14 initial rate calculations</w:t>
      </w:r>
      <w:r w:rsidR="001635DE" w:rsidRPr="00E70281">
        <w:rPr>
          <w:color w:val="auto"/>
        </w:rPr>
        <w:t xml:space="preserve">). </w:t>
      </w:r>
      <w:r w:rsidR="0094274D" w:rsidRPr="00E70281">
        <w:rPr>
          <w:color w:val="auto"/>
        </w:rPr>
        <w:t>However, when c</w:t>
      </w:r>
      <w:r w:rsidR="001635DE" w:rsidRPr="00E70281">
        <w:rPr>
          <w:color w:val="auto"/>
        </w:rPr>
        <w:t xml:space="preserve">omparing </w:t>
      </w:r>
      <w:r w:rsidR="003A1E6C" w:rsidRPr="00E70281">
        <w:rPr>
          <w:color w:val="auto"/>
        </w:rPr>
        <w:t>the</w:t>
      </w:r>
      <w:r w:rsidR="001635DE" w:rsidRPr="00E70281">
        <w:rPr>
          <w:color w:val="auto"/>
        </w:rPr>
        <w:t xml:space="preserve"> calculated initial rate</w:t>
      </w:r>
      <w:r w:rsidR="003A1E6C" w:rsidRPr="00E70281">
        <w:rPr>
          <w:color w:val="auto"/>
        </w:rPr>
        <w:t>s</w:t>
      </w:r>
      <w:r w:rsidR="001635DE" w:rsidRPr="00E70281">
        <w:rPr>
          <w:color w:val="auto"/>
        </w:rPr>
        <w:t xml:space="preserve"> with all possible data cut-offs</w:t>
      </w:r>
      <w:r w:rsidR="00FD4DD7" w:rsidRPr="00E70281">
        <w:rPr>
          <w:color w:val="auto"/>
        </w:rPr>
        <w:t>,</w:t>
      </w:r>
      <w:r w:rsidR="003A1E6C" w:rsidRPr="00E70281">
        <w:rPr>
          <w:color w:val="auto"/>
        </w:rPr>
        <w:t xml:space="preserve"> </w:t>
      </w:r>
      <w:r w:rsidR="00890640" w:rsidRPr="00E70281">
        <w:rPr>
          <w:color w:val="auto"/>
        </w:rPr>
        <w:t xml:space="preserve">i.e. </w:t>
      </w:r>
      <w:r w:rsidR="003A1E6C" w:rsidRPr="00E70281">
        <w:rPr>
          <w:color w:val="auto"/>
        </w:rPr>
        <w:t xml:space="preserve">115 </w:t>
      </w:r>
      <w:r w:rsidR="00FD4DD7" w:rsidRPr="00E70281">
        <w:rPr>
          <w:color w:val="auto"/>
        </w:rPr>
        <w:t>initial rate calculations</w:t>
      </w:r>
      <w:r w:rsidR="001635DE" w:rsidRPr="00E70281">
        <w:rPr>
          <w:color w:val="auto"/>
        </w:rPr>
        <w:t xml:space="preserve"> </w:t>
      </w:r>
      <w:r w:rsidR="00FD4DD7" w:rsidRPr="00E70281">
        <w:rPr>
          <w:color w:val="auto"/>
        </w:rPr>
        <w:t>(</w:t>
      </w:r>
      <w:r w:rsidR="001635DE" w:rsidRPr="00E70281">
        <w:rPr>
          <w:color w:val="auto"/>
        </w:rPr>
        <w:fldChar w:fldCharType="begin"/>
      </w:r>
      <w:r w:rsidR="001635DE" w:rsidRPr="00E70281">
        <w:rPr>
          <w:color w:val="auto"/>
        </w:rPr>
        <w:instrText xml:space="preserve"> REF _Ref58836628 \h </w:instrText>
      </w:r>
      <w:r w:rsidR="001635DE" w:rsidRPr="00E70281">
        <w:rPr>
          <w:color w:val="auto"/>
        </w:rPr>
      </w:r>
      <w:r w:rsidR="001635DE" w:rsidRPr="00E70281">
        <w:rPr>
          <w:color w:val="auto"/>
        </w:rPr>
        <w:fldChar w:fldCharType="separate"/>
      </w:r>
      <w:r w:rsidR="00D37CAD" w:rsidRPr="00E70281">
        <w:rPr>
          <w:color w:val="auto"/>
        </w:rPr>
        <w:t xml:space="preserve">Figure </w:t>
      </w:r>
      <w:r w:rsidR="00D37CAD" w:rsidRPr="00E70281">
        <w:rPr>
          <w:noProof/>
          <w:color w:val="auto"/>
        </w:rPr>
        <w:t>1</w:t>
      </w:r>
      <w:r w:rsidR="001635DE" w:rsidRPr="00E70281">
        <w:rPr>
          <w:color w:val="auto"/>
        </w:rPr>
        <w:fldChar w:fldCharType="end"/>
      </w:r>
      <w:r w:rsidR="0094274D" w:rsidRPr="00E70281">
        <w:rPr>
          <w:color w:val="auto"/>
        </w:rPr>
        <w:t>d)</w:t>
      </w:r>
      <w:r w:rsidR="000B420D" w:rsidRPr="00E70281">
        <w:rPr>
          <w:color w:val="auto"/>
        </w:rPr>
        <w:t>,</w:t>
      </w:r>
      <w:r w:rsidR="001635DE" w:rsidRPr="00E70281">
        <w:rPr>
          <w:color w:val="auto"/>
        </w:rPr>
        <w:t xml:space="preserve"> the differences are more significant: non-linear PSO kinetics return greater initial rates than linearised PSO kinetics (p=1.00).</w:t>
      </w:r>
      <w:r w:rsidR="009A478C" w:rsidRPr="00E70281">
        <w:rPr>
          <w:color w:val="auto"/>
        </w:rPr>
        <w:t xml:space="preserve"> </w:t>
      </w:r>
      <w:r w:rsidR="00D86D00" w:rsidRPr="00E70281">
        <w:rPr>
          <w:color w:val="auto"/>
        </w:rPr>
        <w:t xml:space="preserve">This is due to the biased weighting of linearised PSO kinetics towards data at later times, with the slope of </w:t>
      </w:r>
      <m:oMath>
        <m:f>
          <m:fPr>
            <m:ctrlPr>
              <w:rPr>
                <w:rFonts w:ascii="Cambria Math" w:hAnsi="Cambria Math"/>
                <w:color w:val="FF0000"/>
              </w:rPr>
            </m:ctrlPr>
          </m:fPr>
          <m:num>
            <m:r>
              <m:rPr>
                <m:sty m:val="p"/>
              </m:rPr>
              <w:rPr>
                <w:rFonts w:ascii="Cambria Math" w:hAnsi="Cambria Math"/>
                <w:color w:val="FF0000"/>
              </w:rPr>
              <m:t>t</m:t>
            </m:r>
          </m:num>
          <m:den>
            <m:sSub>
              <m:sSubPr>
                <m:ctrlPr>
                  <w:rPr>
                    <w:rFonts w:ascii="Cambria Math" w:hAnsi="Cambria Math"/>
                    <w:color w:val="FF0000"/>
                  </w:rPr>
                </m:ctrlPr>
              </m:sSubPr>
              <m:e>
                <m:r>
                  <m:rPr>
                    <m:sty m:val="p"/>
                  </m:rPr>
                  <w:rPr>
                    <w:rFonts w:ascii="Cambria Math" w:hAnsi="Cambria Math"/>
                    <w:color w:val="FF0000"/>
                  </w:rPr>
                  <m:t>q</m:t>
                </m:r>
              </m:e>
              <m:sub>
                <m:r>
                  <m:rPr>
                    <m:sty m:val="p"/>
                  </m:rPr>
                  <w:rPr>
                    <w:rFonts w:ascii="Cambria Math" w:hAnsi="Cambria Math"/>
                    <w:color w:val="FF0000"/>
                  </w:rPr>
                  <m:t>t</m:t>
                </m:r>
              </m:sub>
            </m:sSub>
          </m:den>
        </m:f>
      </m:oMath>
      <w:r w:rsidR="00D86D00" w:rsidRPr="00E70281">
        <w:rPr>
          <w:color w:val="auto"/>
        </w:rPr>
        <w:t xml:space="preserve"> versus t increasing as equilibrium adsorption is approached, returning smaller values of q</w:t>
      </w:r>
      <w:r w:rsidR="00D86D00" w:rsidRPr="00E70281">
        <w:rPr>
          <w:color w:val="auto"/>
          <w:vertAlign w:val="subscript"/>
        </w:rPr>
        <w:t>e</w:t>
      </w:r>
      <w:r w:rsidR="00D86D00" w:rsidRPr="00E70281">
        <w:rPr>
          <w:color w:val="auto"/>
        </w:rPr>
        <w:t xml:space="preserve"> and thus </w:t>
      </w:r>
      <w:r w:rsidR="00890640" w:rsidRPr="00E70281">
        <w:rPr>
          <w:color w:val="auto"/>
        </w:rPr>
        <w:t>giving</w:t>
      </w:r>
      <w:r w:rsidR="00D86D00" w:rsidRPr="00E70281">
        <w:rPr>
          <w:color w:val="auto"/>
        </w:rPr>
        <w:t xml:space="preserve"> a smaller initial rate.</w:t>
      </w:r>
      <w:r w:rsidR="00CA68E9" w:rsidRPr="00E70281">
        <w:rPr>
          <w:color w:val="auto"/>
        </w:rPr>
        <w:t xml:space="preserve"> The difference between initial rates calculated using linearised and non-linear PSO kinetics was </w:t>
      </w:r>
      <w:r w:rsidR="0094274D" w:rsidRPr="00E70281">
        <w:rPr>
          <w:color w:val="auto"/>
        </w:rPr>
        <w:t xml:space="preserve">observed </w:t>
      </w:r>
      <w:r w:rsidR="00890640" w:rsidRPr="00E70281">
        <w:rPr>
          <w:color w:val="auto"/>
        </w:rPr>
        <w:t>despite</w:t>
      </w:r>
      <w:r w:rsidR="00CA68E9" w:rsidRPr="00E70281">
        <w:rPr>
          <w:color w:val="auto"/>
        </w:rPr>
        <w:t xml:space="preserve"> </w:t>
      </w:r>
      <w:r w:rsidR="00F5302D" w:rsidRPr="00E70281">
        <w:rPr>
          <w:color w:val="auto"/>
        </w:rPr>
        <w:t>equilibrium adsorption kinetic data from the original literature being excluded in our calculations.</w:t>
      </w:r>
    </w:p>
    <w:p w14:paraId="77251386" w14:textId="08D6FBB5" w:rsidR="0079177F" w:rsidRPr="00E70281" w:rsidRDefault="009A478C" w:rsidP="00D601A0">
      <w:pPr>
        <w:rPr>
          <w:color w:val="auto"/>
        </w:rPr>
      </w:pPr>
      <w:r w:rsidRPr="00E70281">
        <w:rPr>
          <w:color w:val="auto"/>
        </w:rPr>
        <w:t>Finally, we considered the uncertainties in the initial rates calculated using the two PSO approaches with varying availability of early kinetic data</w:t>
      </w:r>
      <w:r w:rsidR="0094274D" w:rsidRPr="00E70281">
        <w:rPr>
          <w:color w:val="auto"/>
        </w:rPr>
        <w:t xml:space="preserve"> (</w:t>
      </w:r>
      <w:r w:rsidR="0094274D" w:rsidRPr="00E70281">
        <w:rPr>
          <w:color w:val="auto"/>
        </w:rPr>
        <w:fldChar w:fldCharType="begin"/>
      </w:r>
      <w:r w:rsidR="0094274D" w:rsidRPr="00E70281">
        <w:rPr>
          <w:color w:val="auto"/>
        </w:rPr>
        <w:instrText xml:space="preserve"> REF _Ref58836628 \h </w:instrText>
      </w:r>
      <w:r w:rsidR="0094274D" w:rsidRPr="00E70281">
        <w:rPr>
          <w:color w:val="auto"/>
        </w:rPr>
      </w:r>
      <w:r w:rsidR="0094274D" w:rsidRPr="00E70281">
        <w:rPr>
          <w:color w:val="auto"/>
        </w:rPr>
        <w:fldChar w:fldCharType="separate"/>
      </w:r>
      <w:r w:rsidR="00D37CAD" w:rsidRPr="00E70281">
        <w:rPr>
          <w:color w:val="auto"/>
        </w:rPr>
        <w:t xml:space="preserve">Figure </w:t>
      </w:r>
      <w:r w:rsidR="00D37CAD" w:rsidRPr="00E70281">
        <w:rPr>
          <w:noProof/>
          <w:color w:val="auto"/>
        </w:rPr>
        <w:t>1</w:t>
      </w:r>
      <w:r w:rsidR="0094274D" w:rsidRPr="00E70281">
        <w:rPr>
          <w:color w:val="auto"/>
        </w:rPr>
        <w:fldChar w:fldCharType="end"/>
      </w:r>
      <w:r w:rsidR="0094274D" w:rsidRPr="00E70281">
        <w:rPr>
          <w:color w:val="auto"/>
        </w:rPr>
        <w:t>e)</w:t>
      </w:r>
      <w:r w:rsidRPr="00E70281">
        <w:rPr>
          <w:color w:val="auto"/>
        </w:rPr>
        <w:t xml:space="preserve">. The uncertainties </w:t>
      </w:r>
      <w:r w:rsidR="003926E8" w:rsidRPr="00E70281">
        <w:rPr>
          <w:color w:val="auto"/>
        </w:rPr>
        <w:t>in the initial rates calculated using</w:t>
      </w:r>
      <w:r w:rsidRPr="00E70281">
        <w:rPr>
          <w:color w:val="auto"/>
        </w:rPr>
        <w:t xml:space="preserve"> linearised PSO kinetics were calculated from the standard error in the linear regression fit to</w:t>
      </w:r>
      <w:r w:rsidR="007308D8" w:rsidRPr="00E70281">
        <w:rPr>
          <w:color w:val="auto"/>
        </w:rPr>
        <w:t xml:space="preserve"> </w:t>
      </w:r>
      <m:oMath>
        <m:f>
          <m:fPr>
            <m:ctrlPr>
              <w:rPr>
                <w:rFonts w:ascii="Cambria Math" w:hAnsi="Cambria Math"/>
                <w:color w:val="auto"/>
              </w:rPr>
            </m:ctrlPr>
          </m:fPr>
          <m:num>
            <m:r>
              <m:rPr>
                <m:sty m:val="p"/>
              </m:rPr>
              <w:rPr>
                <w:rFonts w:ascii="Cambria Math" w:hAnsi="Cambria Math"/>
                <w:color w:val="auto"/>
              </w:rPr>
              <m:t>t</m:t>
            </m:r>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den>
        </m:f>
      </m:oMath>
      <w:r w:rsidRPr="00E70281">
        <w:rPr>
          <w:color w:val="auto"/>
        </w:rPr>
        <w:t xml:space="preserve"> versus t, whilst the uncertainties in non-linear PSO kinetics were calculated using synthetic data and 200 Monte-Carlo simulations </w:t>
      </w:r>
      <w:r w:rsidRPr="00E70281">
        <w:rPr>
          <w:color w:val="auto"/>
        </w:rPr>
        <w:fldChar w:fldCharType="begin" w:fldLock="1"/>
      </w:r>
      <w:r w:rsidR="003776C0" w:rsidRPr="00E70281">
        <w:rPr>
          <w:color w:val="auto"/>
        </w:rPr>
        <w:instrText>ADDIN CSL_CITATION {"citationItems":[{"id":"ITEM-1","itemData":{"DOI":"10.1186/s40068-015-0031-4","ISSN":"2193-2697","abstract":"Background Nonlinear relationships are common in the environmental discipline. Spreadsheet packages such as Microsoft Excel come with an add-on for nonlinear regression, but parameter uncertainty estimates are not yet available. The purpose of this paper is to use Monte Carlo and bootstrap methods to estimate nonlinear parameter uncertainties with a Microsoft Excel spreadsheet. As an example, uncertainties of two parameters (α and n) for a soil water retention curve are estimated. Results The fitted parameters generally do not follow a normal distribution. Except for the upper limit of α using the bootstrap method, the lower and upper limits of α and n obtained by these two methods are slightly greater than those obtained using the SigmaPlot software which linearlizes the nonlinear model. Conclusions Since the linearization method is based on the assumption of normal distribution of parameter values, the Monte Carlo and bootstrap methods may be preferred to the linearization method.","author":[{"dropping-particle":"","family":"Hu","given":"Wei","non-dropping-particle":"","parse-names":false,"suffix":""},{"dropping-particle":"","family":"Xie","given":"Jing","non-dropping-particle":"","parse-names":false,"suffix":""},{"dropping-particle":"","family":"Chau","given":"Henry Wai","non-dropping-particle":"","parse-names":false,"suffix":""},{"dropping-particle":"","family":"Si","given":"Bing Cheng","non-dropping-particle":"","parse-names":false,"suffix":""}],"container-title":"Environmental Systems Research","id":"ITEM-1","issue":"1","issued":{"date-parts":[["2015"]]},"title":"Evaluation of parameter uncertainties in nonlinear regression using Microsoft Excel Spreadsheet","type":"article-journal","volume":"4"},"uris":["http://www.mendeley.com/documents/?uuid=08314e66-dfc8-4e3e-9ff2-7ff7c270bddc"]}],"mendeley":{"formattedCitation":"&lt;sup&gt;21&lt;/sup&gt;","plainTextFormattedCitation":"21","previouslyFormattedCitation":"&lt;sup&gt;21&lt;/sup&gt;"},"properties":{"noteIndex":0},"schema":"https://github.com/citation-style-language/schema/raw/master/csl-citation.json"}</w:instrText>
      </w:r>
      <w:r w:rsidRPr="00E70281">
        <w:rPr>
          <w:color w:val="auto"/>
        </w:rPr>
        <w:fldChar w:fldCharType="separate"/>
      </w:r>
      <w:r w:rsidR="00623D96" w:rsidRPr="00E70281">
        <w:rPr>
          <w:noProof/>
          <w:color w:val="auto"/>
          <w:vertAlign w:val="superscript"/>
        </w:rPr>
        <w:t>21</w:t>
      </w:r>
      <w:r w:rsidRPr="00E70281">
        <w:rPr>
          <w:color w:val="auto"/>
        </w:rPr>
        <w:fldChar w:fldCharType="end"/>
      </w:r>
      <w:r w:rsidRPr="00E70281">
        <w:rPr>
          <w:color w:val="auto"/>
        </w:rPr>
        <w:t>.</w:t>
      </w:r>
      <w:r w:rsidR="00576180" w:rsidRPr="00E70281">
        <w:rPr>
          <w:color w:val="auto"/>
        </w:rPr>
        <w:t xml:space="preserve"> Using linearised PSO kinetics, the propagated uncertainty in the</w:t>
      </w:r>
      <w:r w:rsidR="00D4168F" w:rsidRPr="00E70281">
        <w:rPr>
          <w:color w:val="auto"/>
        </w:rPr>
        <w:t xml:space="preserve"> </w:t>
      </w:r>
      <w:r w:rsidR="00D4168F" w:rsidRPr="00E70281">
        <w:rPr>
          <w:color w:val="FF0000"/>
        </w:rPr>
        <w:t>calculated</w:t>
      </w:r>
      <w:r w:rsidR="00576180" w:rsidRPr="00E70281">
        <w:rPr>
          <w:color w:val="FF0000"/>
        </w:rPr>
        <w:t xml:space="preserve"> </w:t>
      </w:r>
      <w:r w:rsidR="00576180" w:rsidRPr="00E70281">
        <w:rPr>
          <w:color w:val="auto"/>
        </w:rPr>
        <w:t>initial rate</w:t>
      </w:r>
      <w:r w:rsidR="00D4168F" w:rsidRPr="00E70281">
        <w:rPr>
          <w:color w:val="auto"/>
        </w:rPr>
        <w:t xml:space="preserve"> </w:t>
      </w:r>
      <w:r w:rsidR="00576180" w:rsidRPr="00E70281">
        <w:rPr>
          <w:color w:val="auto"/>
        </w:rPr>
        <w:t xml:space="preserve">increases exponentially as early kinetic data is removed. This is explained by </w:t>
      </w:r>
      <w:r w:rsidR="004410CF" w:rsidRPr="00E70281">
        <w:rPr>
          <w:color w:val="auto"/>
        </w:rPr>
        <w:t xml:space="preserve">how </w:t>
      </w:r>
      <w:r w:rsidR="00576180" w:rsidRPr="00E70281">
        <w:rPr>
          <w:color w:val="auto"/>
        </w:rPr>
        <w:t xml:space="preserve">late stage adsorption data </w:t>
      </w:r>
      <w:r w:rsidR="004410CF" w:rsidRPr="00E70281">
        <w:rPr>
          <w:color w:val="auto"/>
        </w:rPr>
        <w:t xml:space="preserve">is </w:t>
      </w:r>
      <w:r w:rsidR="00576180" w:rsidRPr="00E70281">
        <w:rPr>
          <w:color w:val="auto"/>
        </w:rPr>
        <w:t xml:space="preserve">weighted too heavily </w:t>
      </w:r>
      <w:r w:rsidR="004410CF" w:rsidRPr="00E70281">
        <w:rPr>
          <w:color w:val="auto"/>
        </w:rPr>
        <w:t>when fitting linearised</w:t>
      </w:r>
      <w:r w:rsidR="00576180" w:rsidRPr="00E70281">
        <w:rPr>
          <w:color w:val="auto"/>
        </w:rPr>
        <w:t xml:space="preserve"> PSO </w:t>
      </w:r>
      <w:r w:rsidR="004410CF" w:rsidRPr="00E70281">
        <w:rPr>
          <w:color w:val="auto"/>
        </w:rPr>
        <w:t>kinetics</w:t>
      </w:r>
      <w:r w:rsidR="000379B3" w:rsidRPr="00E70281">
        <w:rPr>
          <w:color w:val="auto"/>
        </w:rPr>
        <w:t xml:space="preserve"> </w:t>
      </w:r>
      <w:r w:rsidR="000379B3" w:rsidRPr="00E70281">
        <w:rPr>
          <w:color w:val="auto"/>
        </w:rPr>
        <w:fldChar w:fldCharType="begin" w:fldLock="1"/>
      </w:r>
      <w:r w:rsidR="00D02D2A" w:rsidRPr="00E70281">
        <w:rPr>
          <w:color w:val="auto"/>
        </w:rPr>
        <w:instrText>ADDIN CSL_CITATION {"citationItems":[{"id":"ITEM-1","itemData":{"DOI":"10.1016/j.cej.2016.04.079","ISSN":"13858947","abstract":"In most works in the current literature about liquid/solid adsorption kinetics, the respective abilities of pseudo-first order and pseudo-second kinetics for describing the data are compared. In nearly all cases, it is concluded that the latter surpasses the former. The aim of this work is to point out that more caution should be exercised in this comparison. Indeed, it appears that the method generally used is flawed and that it unfairly favors pseudo-second order kinetics. A different method is proposed to analyze experimental results. It is employed here to reexamine experimental data taken from the literature.","author":[{"dropping-particle":"","family":"Simonin","given":"Jean Pierre","non-dropping-particle":"","parse-names":false,"suffix":""}],"container-title":"Chemical Engineering Journal","id":"ITEM-1","issued":{"date-parts":[["2016"]]},"page":"254-263","publisher":"Elsevier B.V.","title":"On the comparison of pseudo-first order and pseudo-second order rate laws in the modeling of adsorption kinetics","type":"article-journal","volume":"300"},"uris":["http://www.mendeley.com/documents/?uuid=9ff183f8-c1b6-4134-ae25-3cd6b37f44df"]}],"mendeley":{"formattedCitation":"&lt;sup&gt;10&lt;/sup&gt;","plainTextFormattedCitation":"10","previouslyFormattedCitation":"&lt;sup&gt;10&lt;/sup&gt;"},"properties":{"noteIndex":0},"schema":"https://github.com/citation-style-language/schema/raw/master/csl-citation.json"}</w:instrText>
      </w:r>
      <w:r w:rsidR="000379B3" w:rsidRPr="00E70281">
        <w:rPr>
          <w:color w:val="auto"/>
        </w:rPr>
        <w:fldChar w:fldCharType="separate"/>
      </w:r>
      <w:r w:rsidR="0008043E" w:rsidRPr="00E70281">
        <w:rPr>
          <w:noProof/>
          <w:color w:val="auto"/>
          <w:vertAlign w:val="superscript"/>
        </w:rPr>
        <w:t>10</w:t>
      </w:r>
      <w:r w:rsidR="000379B3" w:rsidRPr="00E70281">
        <w:rPr>
          <w:color w:val="auto"/>
        </w:rPr>
        <w:fldChar w:fldCharType="end"/>
      </w:r>
      <w:r w:rsidR="004C6685" w:rsidRPr="00E70281">
        <w:rPr>
          <w:color w:val="auto"/>
        </w:rPr>
        <w:t>.</w:t>
      </w:r>
      <w:r w:rsidR="004410CF" w:rsidRPr="00E70281">
        <w:rPr>
          <w:color w:val="auto"/>
        </w:rPr>
        <w:t xml:space="preserve"> </w:t>
      </w:r>
      <w:r w:rsidR="00FB3FD5" w:rsidRPr="00E70281">
        <w:rPr>
          <w:color w:val="FF0000"/>
        </w:rPr>
        <w:t>At late stages</w:t>
      </w:r>
      <w:r w:rsidR="004C6685" w:rsidRPr="00E70281">
        <w:rPr>
          <w:color w:val="auto"/>
        </w:rPr>
        <w:t>,</w:t>
      </w:r>
      <w:r w:rsidR="004410CF" w:rsidRPr="00E70281">
        <w:rPr>
          <w:color w:val="auto"/>
        </w:rPr>
        <w:t xml:space="preserve"> differences </w:t>
      </w:r>
      <w:r w:rsidR="00BA15E9" w:rsidRPr="00E70281">
        <w:rPr>
          <w:color w:val="FF0000"/>
        </w:rPr>
        <w:t>between</w:t>
      </w:r>
      <w:r w:rsidR="004C6685" w:rsidRPr="00E70281">
        <w:rPr>
          <w:color w:val="FF0000"/>
        </w:rPr>
        <w:t xml:space="preserve"> the</w:t>
      </w:r>
      <w:r w:rsidR="004410CF" w:rsidRPr="00E70281">
        <w:rPr>
          <w:color w:val="FF0000"/>
        </w:rPr>
        <w:t xml:space="preserve"> </w:t>
      </w:r>
      <w:r w:rsidR="004410CF" w:rsidRPr="00E70281">
        <w:rPr>
          <w:color w:val="auto"/>
        </w:rPr>
        <w:t>q</w:t>
      </w:r>
      <w:r w:rsidR="004410CF" w:rsidRPr="00E70281">
        <w:rPr>
          <w:color w:val="auto"/>
          <w:vertAlign w:val="subscript"/>
        </w:rPr>
        <w:t>t</w:t>
      </w:r>
      <w:r w:rsidR="004410CF" w:rsidRPr="00E70281">
        <w:rPr>
          <w:color w:val="auto"/>
        </w:rPr>
        <w:t xml:space="preserve"> </w:t>
      </w:r>
      <w:r w:rsidR="00BA15E9" w:rsidRPr="00E70281">
        <w:rPr>
          <w:color w:val="FF0000"/>
        </w:rPr>
        <w:t xml:space="preserve">values of consecutive data points </w:t>
      </w:r>
      <w:r w:rsidR="004410CF" w:rsidRPr="00E70281">
        <w:rPr>
          <w:color w:val="auto"/>
        </w:rPr>
        <w:t xml:space="preserve">are </w:t>
      </w:r>
      <w:r w:rsidR="00BA15E9" w:rsidRPr="00E70281">
        <w:rPr>
          <w:color w:val="FF0000"/>
        </w:rPr>
        <w:t>small</w:t>
      </w:r>
      <w:r w:rsidR="004410CF" w:rsidRPr="00E70281">
        <w:rPr>
          <w:color w:val="FF0000"/>
        </w:rPr>
        <w:t xml:space="preserve"> </w:t>
      </w:r>
      <w:r w:rsidR="004410CF" w:rsidRPr="00E70281">
        <w:rPr>
          <w:color w:val="auto"/>
        </w:rPr>
        <w:t>relative to the measurement uncertainty</w:t>
      </w:r>
      <w:r w:rsidR="004C6685" w:rsidRPr="00E70281">
        <w:rPr>
          <w:color w:val="auto"/>
        </w:rPr>
        <w:t>,</w:t>
      </w:r>
      <w:r w:rsidR="0094274D" w:rsidRPr="00E70281">
        <w:rPr>
          <w:color w:val="auto"/>
        </w:rPr>
        <w:t xml:space="preserve"> </w:t>
      </w:r>
      <w:r w:rsidR="004C6685" w:rsidRPr="00E70281">
        <w:rPr>
          <w:color w:val="FF0000"/>
        </w:rPr>
        <w:t>increasing</w:t>
      </w:r>
      <w:r w:rsidR="0094274D" w:rsidRPr="00E70281">
        <w:rPr>
          <w:color w:val="FF0000"/>
        </w:rPr>
        <w:t xml:space="preserve"> </w:t>
      </w:r>
      <w:r w:rsidR="0094274D" w:rsidRPr="00E70281">
        <w:rPr>
          <w:color w:val="auto"/>
        </w:rPr>
        <w:t>the</w:t>
      </w:r>
      <w:r w:rsidR="00B336DE" w:rsidRPr="00E70281">
        <w:rPr>
          <w:color w:val="auto"/>
        </w:rPr>
        <w:t xml:space="preserve"> uncertainty </w:t>
      </w:r>
      <w:r w:rsidR="0094274D" w:rsidRPr="00E70281">
        <w:rPr>
          <w:color w:val="auto"/>
        </w:rPr>
        <w:t>of</w:t>
      </w:r>
      <w:r w:rsidR="00B336DE" w:rsidRPr="00E70281">
        <w:rPr>
          <w:color w:val="auto"/>
        </w:rPr>
        <w:t xml:space="preserve"> the linear regression</w:t>
      </w:r>
      <w:r w:rsidR="00576180" w:rsidRPr="00E70281">
        <w:rPr>
          <w:color w:val="auto"/>
        </w:rPr>
        <w:t>. At</w:t>
      </w:r>
      <w:r w:rsidR="00290DD4" w:rsidRPr="00E70281">
        <w:rPr>
          <w:color w:val="auto"/>
        </w:rPr>
        <w:t xml:space="preserve">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w:rPr>
            <w:rFonts w:ascii="Cambria Math" w:hAnsi="Cambria Math"/>
            <w:color w:val="auto"/>
          </w:rPr>
          <m:t>=0.6</m:t>
        </m:r>
      </m:oMath>
      <w:r w:rsidR="00576180" w:rsidRPr="00E70281">
        <w:rPr>
          <w:color w:val="auto"/>
        </w:rPr>
        <w:t>, the average uncertainty in the initial rates calculated using linearised PSO kinetics is 9.</w:t>
      </w:r>
      <w:r w:rsidR="00BE24AD" w:rsidRPr="00E70281">
        <w:rPr>
          <w:color w:val="auto"/>
        </w:rPr>
        <w:t>5</w:t>
      </w:r>
      <w:r w:rsidR="00576180" w:rsidRPr="00E70281">
        <w:rPr>
          <w:color w:val="auto"/>
        </w:rPr>
        <w:t>%. In contrast, the uncertainty in the initial rates calculated using non-linear PSO kinetics is essentially independent of the availability of early kinetic data, and at</w:t>
      </w:r>
      <w:r w:rsidR="007308D8" w:rsidRPr="00E70281">
        <w:rPr>
          <w:color w:val="auto"/>
        </w:rPr>
        <w:t xml:space="preserve">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w:rPr>
            <w:rFonts w:ascii="Cambria Math" w:hAnsi="Cambria Math"/>
            <w:color w:val="auto"/>
          </w:rPr>
          <m:t>=0.6</m:t>
        </m:r>
      </m:oMath>
      <w:r w:rsidR="00576180" w:rsidRPr="00E70281">
        <w:rPr>
          <w:color w:val="auto"/>
        </w:rPr>
        <w:t xml:space="preserve"> t</w:t>
      </w:r>
      <w:r w:rsidR="00BE24AD" w:rsidRPr="00E70281">
        <w:rPr>
          <w:color w:val="auto"/>
        </w:rPr>
        <w:t>he average uncertainty is only 5</w:t>
      </w:r>
      <w:r w:rsidR="00576180" w:rsidRPr="00E70281">
        <w:rPr>
          <w:color w:val="auto"/>
        </w:rPr>
        <w:t>.</w:t>
      </w:r>
      <w:r w:rsidR="00BE24AD" w:rsidRPr="00E70281">
        <w:rPr>
          <w:color w:val="auto"/>
        </w:rPr>
        <w:t>7</w:t>
      </w:r>
      <w:r w:rsidR="00576180" w:rsidRPr="00E70281">
        <w:rPr>
          <w:color w:val="auto"/>
        </w:rPr>
        <w:t xml:space="preserve">%. </w:t>
      </w:r>
      <w:r w:rsidRPr="00E70281">
        <w:rPr>
          <w:color w:val="auto"/>
        </w:rPr>
        <w:t xml:space="preserve"> </w:t>
      </w:r>
      <w:r w:rsidR="001635DE" w:rsidRPr="00E70281">
        <w:rPr>
          <w:color w:val="auto"/>
        </w:rPr>
        <w:t xml:space="preserve">  </w:t>
      </w:r>
      <w:r w:rsidR="005C5CDD" w:rsidRPr="00E70281">
        <w:rPr>
          <w:color w:val="auto"/>
        </w:rPr>
        <w:t xml:space="preserve">  </w:t>
      </w:r>
    </w:p>
    <w:p w14:paraId="272EE92C" w14:textId="734CE6A8" w:rsidR="0090273C" w:rsidRPr="00E70281" w:rsidRDefault="009A478C" w:rsidP="00FD75F3">
      <w:pPr>
        <w:rPr>
          <w:color w:val="auto"/>
        </w:rPr>
      </w:pPr>
      <w:r w:rsidRPr="00E70281">
        <w:rPr>
          <w:color w:val="auto"/>
        </w:rPr>
        <w:t xml:space="preserve">As highlighted </w:t>
      </w:r>
      <w:r w:rsidR="003926E8" w:rsidRPr="00E70281">
        <w:rPr>
          <w:color w:val="auto"/>
        </w:rPr>
        <w:t>here</w:t>
      </w:r>
      <w:r w:rsidRPr="00E70281">
        <w:rPr>
          <w:color w:val="auto"/>
        </w:rPr>
        <w:t>, ideally the data sets used to explore the influence of experimental parameters such as the adsorbate concentration (C</w:t>
      </w:r>
      <w:r w:rsidRPr="00E70281">
        <w:rPr>
          <w:color w:val="auto"/>
          <w:vertAlign w:val="subscript"/>
        </w:rPr>
        <w:t>0</w:t>
      </w:r>
      <w:r w:rsidRPr="00E70281">
        <w:rPr>
          <w:color w:val="auto"/>
        </w:rPr>
        <w:t>) and the adsorbent concentration (C</w:t>
      </w:r>
      <w:r w:rsidRPr="00E70281">
        <w:rPr>
          <w:color w:val="auto"/>
          <w:vertAlign w:val="subscript"/>
        </w:rPr>
        <w:t>s</w:t>
      </w:r>
      <w:r w:rsidRPr="00E70281">
        <w:rPr>
          <w:color w:val="auto"/>
        </w:rPr>
        <w:t xml:space="preserve">) should </w:t>
      </w:r>
      <w:r w:rsidR="003926E8" w:rsidRPr="00E70281">
        <w:rPr>
          <w:color w:val="auto"/>
        </w:rPr>
        <w:t>include</w:t>
      </w:r>
      <w:r w:rsidRPr="00E70281">
        <w:rPr>
          <w:color w:val="auto"/>
        </w:rPr>
        <w:t xml:space="preserve"> early kinetic data to reduce the uncertainty in the calculated initial rates. To provide a balance between the accuracy of our initial rate calculations and the </w:t>
      </w:r>
      <w:r w:rsidR="0094274D" w:rsidRPr="00E70281">
        <w:rPr>
          <w:color w:val="auto"/>
        </w:rPr>
        <w:t>collection</w:t>
      </w:r>
      <w:r w:rsidRPr="00E70281">
        <w:rPr>
          <w:color w:val="auto"/>
        </w:rPr>
        <w:t xml:space="preserve"> of </w:t>
      </w:r>
      <w:r w:rsidR="0094274D" w:rsidRPr="00E70281">
        <w:rPr>
          <w:color w:val="auto"/>
        </w:rPr>
        <w:t>a sufficient</w:t>
      </w:r>
      <w:r w:rsidRPr="00E70281">
        <w:rPr>
          <w:color w:val="auto"/>
        </w:rPr>
        <w:t xml:space="preserve"> </w:t>
      </w:r>
      <w:r w:rsidR="0094274D" w:rsidRPr="00E70281">
        <w:rPr>
          <w:color w:val="auto"/>
        </w:rPr>
        <w:t>quantity of data sets for</w:t>
      </w:r>
      <w:r w:rsidRPr="00E70281">
        <w:rPr>
          <w:color w:val="auto"/>
        </w:rPr>
        <w:t xml:space="preserve"> statistical analysis, we set </w:t>
      </w:r>
      <w:r w:rsidR="00B041E3" w:rsidRPr="00E70281">
        <w:rPr>
          <w:color w:val="auto"/>
        </w:rPr>
        <w:t>the criterion</w:t>
      </w:r>
      <w:r w:rsidRPr="00E70281">
        <w:rPr>
          <w:color w:val="auto"/>
        </w:rPr>
        <w:t xml:space="preserve"> that data sets</w:t>
      </w:r>
      <w:r w:rsidR="0094274D" w:rsidRPr="00E70281">
        <w:rPr>
          <w:color w:val="auto"/>
        </w:rPr>
        <w:t xml:space="preserve"> must</w:t>
      </w:r>
      <w:r w:rsidRPr="00E70281">
        <w:rPr>
          <w:color w:val="auto"/>
        </w:rPr>
        <w:t xml:space="preserve"> </w:t>
      </w:r>
      <w:r w:rsidR="0094274D" w:rsidRPr="00E70281">
        <w:rPr>
          <w:color w:val="auto"/>
        </w:rPr>
        <w:t>include</w:t>
      </w:r>
      <w:r w:rsidRPr="00E70281">
        <w:rPr>
          <w:color w:val="auto"/>
        </w:rPr>
        <w:t xml:space="preserve"> kinetic data with</w:t>
      </w:r>
      <w:r w:rsidR="005F5263" w:rsidRPr="00E70281">
        <w:rPr>
          <w:color w:val="auto"/>
        </w:rPr>
        <w:t xml:space="preserve">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w:rPr>
            <w:rFonts w:ascii="Cambria Math" w:hAnsi="Cambria Math"/>
            <w:color w:val="auto"/>
          </w:rPr>
          <m:t>&lt;0.6</m:t>
        </m:r>
      </m:oMath>
      <w:r w:rsidRPr="00E70281">
        <w:rPr>
          <w:color w:val="auto"/>
        </w:rPr>
        <w:t xml:space="preserve">. This boundary condition gives an average error in the calculated initial rate of -44 ±22 % for the </w:t>
      </w:r>
      <w:r w:rsidR="00890640" w:rsidRPr="00E70281">
        <w:rPr>
          <w:color w:val="auto"/>
        </w:rPr>
        <w:t>initial slope</w:t>
      </w:r>
      <w:r w:rsidRPr="00E70281">
        <w:rPr>
          <w:color w:val="auto"/>
        </w:rPr>
        <w:t xml:space="preserve"> approach, +17 ±38 % using linearised PSO kinetics, and only +3 ±27% for the non-linear PSO kinetics. </w:t>
      </w:r>
      <w:r w:rsidR="00890640" w:rsidRPr="00E70281">
        <w:rPr>
          <w:color w:val="auto"/>
        </w:rPr>
        <w:t xml:space="preserve">The results indicate that non-linear PSO kinetics are most appropriate for calculating initial rates, with an insignificant </w:t>
      </w:r>
      <w:r w:rsidRPr="00E70281">
        <w:rPr>
          <w:color w:val="auto"/>
        </w:rPr>
        <w:t>systematic error</w:t>
      </w:r>
      <w:r w:rsidR="00890640" w:rsidRPr="00E70281">
        <w:rPr>
          <w:color w:val="auto"/>
        </w:rPr>
        <w:t xml:space="preserve">. </w:t>
      </w:r>
      <w:r w:rsidR="0094274D" w:rsidRPr="00E70281">
        <w:rPr>
          <w:color w:val="auto"/>
        </w:rPr>
        <w:t>A</w:t>
      </w:r>
      <w:r w:rsidRPr="00E70281">
        <w:rPr>
          <w:color w:val="auto"/>
        </w:rPr>
        <w:t xml:space="preserve"> ~30% </w:t>
      </w:r>
      <w:r w:rsidR="0094274D" w:rsidRPr="00E70281">
        <w:rPr>
          <w:color w:val="auto"/>
        </w:rPr>
        <w:t>uncertainty</w:t>
      </w:r>
      <w:r w:rsidRPr="00E70281">
        <w:rPr>
          <w:color w:val="auto"/>
        </w:rPr>
        <w:t xml:space="preserve"> </w:t>
      </w:r>
      <w:r w:rsidR="0094274D" w:rsidRPr="00E70281">
        <w:rPr>
          <w:color w:val="auto"/>
        </w:rPr>
        <w:t xml:space="preserve">remains, </w:t>
      </w:r>
      <w:r w:rsidRPr="00E70281">
        <w:rPr>
          <w:color w:val="auto"/>
        </w:rPr>
        <w:t xml:space="preserve">associated with how closely the adsorption kinetics </w:t>
      </w:r>
      <w:r w:rsidR="00E7096A" w:rsidRPr="00E70281">
        <w:rPr>
          <w:color w:val="FF0000"/>
        </w:rPr>
        <w:t>follow</w:t>
      </w:r>
      <w:r w:rsidRPr="00E70281">
        <w:rPr>
          <w:color w:val="FF0000"/>
        </w:rPr>
        <w:t xml:space="preserve"> the </w:t>
      </w:r>
      <w:r w:rsidR="00E7096A" w:rsidRPr="00E70281">
        <w:rPr>
          <w:color w:val="FF0000"/>
        </w:rPr>
        <w:t xml:space="preserve">shape of the </w:t>
      </w:r>
      <w:r w:rsidRPr="00E70281">
        <w:rPr>
          <w:color w:val="auto"/>
        </w:rPr>
        <w:t xml:space="preserve">PSO </w:t>
      </w:r>
      <w:r w:rsidR="00E7096A" w:rsidRPr="00E70281">
        <w:rPr>
          <w:color w:val="FF0000"/>
        </w:rPr>
        <w:t>model</w:t>
      </w:r>
      <w:r w:rsidR="00890640" w:rsidRPr="00E70281">
        <w:rPr>
          <w:color w:val="FF0000"/>
        </w:rPr>
        <w:t xml:space="preserve"> </w:t>
      </w:r>
      <w:r w:rsidRPr="00E70281">
        <w:rPr>
          <w:color w:val="auto"/>
        </w:rPr>
        <w:t>(with deviations being both due to inaccurate measurement</w:t>
      </w:r>
      <w:r w:rsidR="00890640" w:rsidRPr="00E70281">
        <w:rPr>
          <w:color w:val="auto"/>
        </w:rPr>
        <w:t>s and real chemical mechanisms)</w:t>
      </w:r>
      <w:r w:rsidR="00576180" w:rsidRPr="00E70281">
        <w:rPr>
          <w:color w:val="auto"/>
        </w:rPr>
        <w:t xml:space="preserve">. </w:t>
      </w:r>
    </w:p>
    <w:p w14:paraId="6FFFF440" w14:textId="77777777" w:rsidR="00FA2B07" w:rsidRPr="00E70281" w:rsidRDefault="00576180" w:rsidP="00D601A0">
      <w:pPr>
        <w:rPr>
          <w:color w:val="auto"/>
        </w:rPr>
      </w:pPr>
      <w:bookmarkStart w:id="18" w:name="_Hlk61357211"/>
      <w:r w:rsidRPr="00E70281">
        <w:rPr>
          <w:color w:val="auto"/>
        </w:rPr>
        <w:t>By considering a literature source reporting two kinetic experiments only, with a different value of C</w:t>
      </w:r>
      <w:r w:rsidRPr="00E70281">
        <w:rPr>
          <w:color w:val="auto"/>
          <w:vertAlign w:val="subscript"/>
        </w:rPr>
        <w:t>0</w:t>
      </w:r>
      <w:r w:rsidRPr="00E70281">
        <w:rPr>
          <w:color w:val="auto"/>
        </w:rPr>
        <w:t xml:space="preserve"> or C</w:t>
      </w:r>
      <w:r w:rsidRPr="00E70281">
        <w:rPr>
          <w:color w:val="auto"/>
          <w:vertAlign w:val="subscript"/>
        </w:rPr>
        <w:t>s</w:t>
      </w:r>
      <w:r w:rsidRPr="00E70281">
        <w:rPr>
          <w:color w:val="auto"/>
        </w:rPr>
        <w:t xml:space="preserve"> in each, a 30% error in the initial rate of </w:t>
      </w:r>
      <w:r w:rsidR="0094274D" w:rsidRPr="00E70281">
        <w:rPr>
          <w:color w:val="auto"/>
        </w:rPr>
        <w:t>the first</w:t>
      </w:r>
      <w:r w:rsidRPr="00E70281">
        <w:rPr>
          <w:color w:val="auto"/>
        </w:rPr>
        <w:t xml:space="preserve"> experiment (as per the boundary condition of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w:rPr>
            <w:rFonts w:ascii="Cambria Math" w:hAnsi="Cambria Math"/>
            <w:color w:val="auto"/>
          </w:rPr>
          <m:t>&lt;0.6</m:t>
        </m:r>
      </m:oMath>
      <w:r w:rsidRPr="00E70281">
        <w:rPr>
          <w:color w:val="auto"/>
        </w:rPr>
        <w:t xml:space="preserve">) will confer an error of &lt;0.5 in the calculated reaction order. </w:t>
      </w:r>
    </w:p>
    <w:p w14:paraId="0AD5D2FE" w14:textId="71E54CD5" w:rsidR="0079177F" w:rsidRPr="00E70281" w:rsidRDefault="00FD75F3" w:rsidP="00D601A0">
      <w:pPr>
        <w:rPr>
          <w:color w:val="auto"/>
        </w:rPr>
      </w:pPr>
      <w:r w:rsidRPr="00E70281">
        <w:rPr>
          <w:color w:val="auto"/>
        </w:rPr>
        <w:lastRenderedPageBreak/>
        <w:t xml:space="preserve">In </w:t>
      </w:r>
      <w:r w:rsidR="00FA2B07" w:rsidRPr="00E70281">
        <w:rPr>
          <w:color w:val="FF0000"/>
        </w:rPr>
        <w:t>the present study</w:t>
      </w:r>
      <w:r w:rsidRPr="00E70281">
        <w:rPr>
          <w:color w:val="auto"/>
        </w:rPr>
        <w:t>, the average</w:t>
      </w:r>
      <w:r w:rsidR="00393199" w:rsidRPr="00E70281">
        <w:rPr>
          <w:color w:val="auto"/>
        </w:rPr>
        <w:t xml:space="preserve"> value of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oMath>
      <w:r w:rsidRPr="00E70281">
        <w:rPr>
          <w:color w:val="auto"/>
        </w:rPr>
        <w:t xml:space="preserve"> </w:t>
      </w:r>
      <w:r w:rsidR="00393199" w:rsidRPr="00E70281">
        <w:rPr>
          <w:color w:val="auto"/>
        </w:rPr>
        <w:t>in the first available kinetic data</w:t>
      </w:r>
      <w:r w:rsidR="005F62BF" w:rsidRPr="00E70281">
        <w:rPr>
          <w:color w:val="auto"/>
        </w:rPr>
        <w:t xml:space="preserve"> </w:t>
      </w:r>
      <w:r w:rsidR="004D2603" w:rsidRPr="00E70281">
        <w:rPr>
          <w:color w:val="FF0000"/>
        </w:rPr>
        <w:t>is</w:t>
      </w:r>
      <w:r w:rsidR="00393199" w:rsidRPr="00E70281">
        <w:rPr>
          <w:color w:val="auto"/>
        </w:rPr>
        <w:t xml:space="preserve"> 0.37 for experiments where C</w:t>
      </w:r>
      <w:r w:rsidR="00393199" w:rsidRPr="00E70281">
        <w:rPr>
          <w:color w:val="auto"/>
          <w:vertAlign w:val="subscript"/>
        </w:rPr>
        <w:t>0</w:t>
      </w:r>
      <w:r w:rsidR="00393199" w:rsidRPr="00E70281">
        <w:rPr>
          <w:color w:val="auto"/>
        </w:rPr>
        <w:t xml:space="preserve"> is varied, and 0.27 for experiments were C</w:t>
      </w:r>
      <w:r w:rsidR="00393199" w:rsidRPr="00E70281">
        <w:rPr>
          <w:color w:val="auto"/>
          <w:vertAlign w:val="subscript"/>
        </w:rPr>
        <w:t>s</w:t>
      </w:r>
      <w:r w:rsidR="00393199" w:rsidRPr="00E70281">
        <w:rPr>
          <w:color w:val="auto"/>
        </w:rPr>
        <w:t xml:space="preserve"> is varied</w:t>
      </w:r>
      <w:r w:rsidR="00EF11BE" w:rsidRPr="00E70281">
        <w:rPr>
          <w:color w:val="auto"/>
        </w:rPr>
        <w:t>,</w:t>
      </w:r>
      <w:r w:rsidR="00EF11BE" w:rsidRPr="00E70281">
        <w:rPr>
          <w:color w:val="FF0000"/>
        </w:rPr>
        <w:t xml:space="preserve"> </w:t>
      </w:r>
      <w:r w:rsidR="00EF11BE" w:rsidRPr="00E70281">
        <w:rPr>
          <w:color w:val="FF0000"/>
        </w:rPr>
        <w:t>indicating that the uncertainties in the calculated initial rates will be &lt;30%</w:t>
      </w:r>
      <w:r w:rsidR="00393199" w:rsidRPr="00E70281">
        <w:rPr>
          <w:color w:val="FF0000"/>
        </w:rPr>
        <w:t xml:space="preserve">. </w:t>
      </w:r>
      <w:r w:rsidR="0090273C" w:rsidRPr="00E70281">
        <w:rPr>
          <w:color w:val="auto"/>
        </w:rPr>
        <w:t>Furthermore</w:t>
      </w:r>
      <w:r w:rsidRPr="00E70281">
        <w:rPr>
          <w:color w:val="auto"/>
        </w:rPr>
        <w:t xml:space="preserve">, the number of kinetic experiments in </w:t>
      </w:r>
      <w:r w:rsidR="0094274D" w:rsidRPr="00E70281">
        <w:rPr>
          <w:color w:val="auto"/>
        </w:rPr>
        <w:t>each</w:t>
      </w:r>
      <w:r w:rsidR="00C358F6" w:rsidRPr="00E70281">
        <w:rPr>
          <w:color w:val="auto"/>
        </w:rPr>
        <w:t xml:space="preserve"> literature data set was </w:t>
      </w:r>
      <w:r w:rsidR="00C358F6" w:rsidRPr="00E70281">
        <w:rPr>
          <w:color w:val="FF0000"/>
        </w:rPr>
        <w:t>between 3 and 6</w:t>
      </w:r>
      <w:r w:rsidRPr="00E70281">
        <w:rPr>
          <w:color w:val="auto"/>
        </w:rPr>
        <w:t xml:space="preserve">. </w:t>
      </w:r>
      <w:bookmarkStart w:id="19" w:name="_Hlk61259426"/>
      <w:r w:rsidR="00576180" w:rsidRPr="00E70281">
        <w:rPr>
          <w:color w:val="auto"/>
        </w:rPr>
        <w:t>Under these conditions, the calculated orders of reaction will be accurate to the nearest integer value.</w:t>
      </w:r>
      <w:r w:rsidR="0096449A" w:rsidRPr="00E70281">
        <w:rPr>
          <w:color w:val="auto"/>
        </w:rPr>
        <w:t xml:space="preserve"> </w:t>
      </w:r>
      <w:r w:rsidR="0094274D" w:rsidRPr="00E70281">
        <w:rPr>
          <w:color w:val="auto"/>
        </w:rPr>
        <w:t>This</w:t>
      </w:r>
      <w:r w:rsidR="0096449A" w:rsidRPr="00E70281">
        <w:rPr>
          <w:color w:val="auto"/>
        </w:rPr>
        <w:t xml:space="preserve"> </w:t>
      </w:r>
      <w:r w:rsidR="004410CF" w:rsidRPr="00E70281">
        <w:rPr>
          <w:color w:val="auto"/>
        </w:rPr>
        <w:t>was deemed appropriate</w:t>
      </w:r>
      <w:r w:rsidR="0096449A" w:rsidRPr="00E70281">
        <w:rPr>
          <w:color w:val="auto"/>
        </w:rPr>
        <w:t xml:space="preserve"> for the purposes of developing </w:t>
      </w:r>
      <w:r w:rsidR="0094274D" w:rsidRPr="00E70281">
        <w:rPr>
          <w:color w:val="auto"/>
        </w:rPr>
        <w:t>the revised PSO</w:t>
      </w:r>
      <w:r w:rsidR="0096449A" w:rsidRPr="00E70281">
        <w:rPr>
          <w:color w:val="auto"/>
        </w:rPr>
        <w:t xml:space="preserve"> model, given that it is common practice for kinetic adsorption</w:t>
      </w:r>
      <w:r w:rsidR="0094274D" w:rsidRPr="00E70281">
        <w:rPr>
          <w:color w:val="auto"/>
        </w:rPr>
        <w:t xml:space="preserve"> models to use integer values</w:t>
      </w:r>
      <w:r w:rsidR="005A3F75" w:rsidRPr="00E70281">
        <w:rPr>
          <w:color w:val="auto"/>
        </w:rPr>
        <w:t xml:space="preserve"> for reaction orders, </w:t>
      </w:r>
      <w:r w:rsidR="00D363F6" w:rsidRPr="00E70281">
        <w:rPr>
          <w:color w:val="auto"/>
        </w:rPr>
        <w:t>e.g. the original PSO equation</w:t>
      </w:r>
      <w:r w:rsidR="0096449A" w:rsidRPr="00E70281">
        <w:rPr>
          <w:color w:val="auto"/>
        </w:rPr>
        <w:t xml:space="preserve"> and the p</w:t>
      </w:r>
      <w:r w:rsidR="0001230D">
        <w:rPr>
          <w:color w:val="auto"/>
        </w:rPr>
        <w:t>seudo-first order</w:t>
      </w:r>
      <w:r w:rsidR="0096449A" w:rsidRPr="00E70281">
        <w:rPr>
          <w:color w:val="auto"/>
        </w:rPr>
        <w:t xml:space="preserve"> kinetic model</w:t>
      </w:r>
      <w:r w:rsidR="0090273C" w:rsidRPr="00E70281">
        <w:rPr>
          <w:color w:val="auto"/>
        </w:rPr>
        <w:t xml:space="preserve"> </w:t>
      </w:r>
      <w:r w:rsidR="0090273C" w:rsidRPr="00E70281">
        <w:rPr>
          <w:color w:val="auto"/>
        </w:rPr>
        <w:fldChar w:fldCharType="begin" w:fldLock="1"/>
      </w:r>
      <w:r w:rsidR="0047341C" w:rsidRPr="00E70281">
        <w:rPr>
          <w:color w:val="auto"/>
        </w:rPr>
        <w:instrText>ADDIN CSL_CITATION {"citationItems":[{"id":"ITEM-1","itemData":{"DOI":"10.1016/S0032-9592(98)00112-5","ISSN":"13595113","abstract":"A literature review of the use of sorbents and biosorbents to treat polluted aqueous effluents containing dyes/organics or metal ions has been conducted. Over 70 systems have been reported since 1984 and over 43 of these reported the mechanism as being a pseudo-first order kinetic mechanism. Three sorption kinetic models are presented in this paper and have been used to test 11 of the literature systems previously reported as first order kinetics and one system previously reported as a second order process. In all 12 systems, the highest correlation coefficients were obtained for the pseudo- second order kinetic model.","author":[{"dropping-particle":"","family":"Ho","given":"Y S","non-dropping-particle":"","parse-names":false,"suffix":""},{"dropping-particle":"","family":"McKay","given":"G.","non-dropping-particle":"","parse-names":false,"suffix":""}],"container-title":"Process Biochemistry","id":"ITEM-1","issue":"5","issued":{"date-parts":[["1999"]]},"page":"451-465","title":"Pseudo-second order model for sorption processes","type":"article-journal","volume":"34"},"uris":["http://www.mendeley.com/documents/?uuid=1a9fc2b7-7b73-47e3-95f3-f7b4bc9c0c6f"]}],"mendeley":{"formattedCitation":"&lt;sup&gt;9&lt;/sup&gt;","plainTextFormattedCitation":"9","previouslyFormattedCitation":"&lt;sup&gt;9&lt;/sup&gt;"},"properties":{"noteIndex":0},"schema":"https://github.com/citation-style-language/schema/raw/master/csl-citation.json"}</w:instrText>
      </w:r>
      <w:r w:rsidR="0090273C" w:rsidRPr="00E70281">
        <w:rPr>
          <w:color w:val="auto"/>
        </w:rPr>
        <w:fldChar w:fldCharType="separate"/>
      </w:r>
      <w:r w:rsidR="0090273C" w:rsidRPr="00E70281">
        <w:rPr>
          <w:noProof/>
          <w:color w:val="auto"/>
          <w:vertAlign w:val="superscript"/>
        </w:rPr>
        <w:t>9</w:t>
      </w:r>
      <w:r w:rsidR="0090273C" w:rsidRPr="00E70281">
        <w:rPr>
          <w:color w:val="auto"/>
        </w:rPr>
        <w:fldChar w:fldCharType="end"/>
      </w:r>
      <w:r w:rsidR="0096449A" w:rsidRPr="00E70281">
        <w:rPr>
          <w:color w:val="auto"/>
        </w:rPr>
        <w:t>.</w:t>
      </w:r>
      <w:r w:rsidR="007761E3" w:rsidRPr="00E70281">
        <w:rPr>
          <w:color w:val="auto"/>
        </w:rPr>
        <w:t xml:space="preserve"> In principle</w:t>
      </w:r>
      <w:r w:rsidR="00D363F6" w:rsidRPr="00E70281">
        <w:rPr>
          <w:color w:val="auto"/>
        </w:rPr>
        <w:t xml:space="preserve"> </w:t>
      </w:r>
      <w:r w:rsidR="00D363F6" w:rsidRPr="00E70281">
        <w:rPr>
          <w:color w:val="FF0000"/>
        </w:rPr>
        <w:t>however</w:t>
      </w:r>
      <w:r w:rsidR="007761E3" w:rsidRPr="00E70281">
        <w:rPr>
          <w:color w:val="auto"/>
        </w:rPr>
        <w:t xml:space="preserve">, however a similar analysis could be made </w:t>
      </w:r>
      <w:r w:rsidR="00D363F6" w:rsidRPr="00E70281">
        <w:rPr>
          <w:color w:val="FF0000"/>
        </w:rPr>
        <w:t>using non-integer orders of reaction</w:t>
      </w:r>
      <w:r w:rsidR="007761E3" w:rsidRPr="00E70281">
        <w:rPr>
          <w:color w:val="auto"/>
        </w:rPr>
        <w:t>.</w:t>
      </w:r>
    </w:p>
    <w:bookmarkEnd w:id="19"/>
    <w:bookmarkEnd w:id="18"/>
    <w:p w14:paraId="5BB2A95C" w14:textId="755A1833" w:rsidR="00475FD7" w:rsidRPr="00E70281" w:rsidRDefault="00475FD7" w:rsidP="00D601A0">
      <w:pPr>
        <w:rPr>
          <w:color w:val="auto"/>
        </w:rPr>
      </w:pPr>
      <w:r w:rsidRPr="00E70281">
        <w:rPr>
          <w:color w:val="auto"/>
        </w:rPr>
        <w:t xml:space="preserve">Consequently, non-linear </w:t>
      </w:r>
      <w:r w:rsidR="003926E8" w:rsidRPr="00E70281">
        <w:rPr>
          <w:color w:val="auto"/>
        </w:rPr>
        <w:t xml:space="preserve">fitting of the </w:t>
      </w:r>
      <w:r w:rsidRPr="00E70281">
        <w:rPr>
          <w:color w:val="auto"/>
        </w:rPr>
        <w:t xml:space="preserve">PSO </w:t>
      </w:r>
      <w:r w:rsidR="003926E8" w:rsidRPr="00E70281">
        <w:rPr>
          <w:color w:val="auto"/>
        </w:rPr>
        <w:t>model</w:t>
      </w:r>
      <w:r w:rsidRPr="00E70281">
        <w:rPr>
          <w:color w:val="auto"/>
        </w:rPr>
        <w:t xml:space="preserve"> </w:t>
      </w:r>
      <w:r w:rsidR="003926E8" w:rsidRPr="00E70281">
        <w:rPr>
          <w:color w:val="auto"/>
        </w:rPr>
        <w:t>was</w:t>
      </w:r>
      <w:r w:rsidRPr="00E70281">
        <w:rPr>
          <w:color w:val="auto"/>
        </w:rPr>
        <w:t xml:space="preserve"> used to determine the initial rate of adsorption in each kinetic experiment in all subsequent work.</w:t>
      </w:r>
    </w:p>
    <w:p w14:paraId="10DDA7E6" w14:textId="70D40D38" w:rsidR="00EF55C9" w:rsidRPr="00E70281" w:rsidRDefault="00EF55C9">
      <w:pPr>
        <w:spacing w:after="200"/>
        <w:jc w:val="left"/>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1745"/>
        <w:gridCol w:w="960"/>
        <w:gridCol w:w="3539"/>
      </w:tblGrid>
      <w:tr w:rsidR="00D7701E" w:rsidRPr="00E70281" w14:paraId="46A6D0C8" w14:textId="77777777" w:rsidTr="00EF55C9">
        <w:trPr>
          <w:cantSplit/>
        </w:trPr>
        <w:tc>
          <w:tcPr>
            <w:tcW w:w="2770" w:type="dxa"/>
          </w:tcPr>
          <w:p w14:paraId="29B13356" w14:textId="56A9CA52" w:rsidR="003009B0" w:rsidRPr="00E70281" w:rsidRDefault="00464BD7" w:rsidP="002228EB">
            <w:pPr>
              <w:rPr>
                <w:color w:val="auto"/>
              </w:rPr>
            </w:pPr>
            <w:r w:rsidRPr="00E70281">
              <w:rPr>
                <w:color w:val="auto"/>
              </w:rPr>
              <w:t>(a)</w:t>
            </w:r>
            <w:r w:rsidR="002228EB" w:rsidRPr="00E70281">
              <w:rPr>
                <w:color w:val="auto"/>
              </w:rPr>
              <w:br/>
            </w:r>
            <w:r w:rsidR="003009B0" w:rsidRPr="00E70281">
              <w:rPr>
                <w:noProof/>
                <w:color w:val="auto"/>
              </w:rPr>
              <w:drawing>
                <wp:inline distT="0" distB="0" distL="0" distR="0" wp14:anchorId="026F426B" wp14:editId="7060BFAB">
                  <wp:extent cx="1632857" cy="2094905"/>
                  <wp:effectExtent l="0" t="0" r="571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2857" cy="2094905"/>
                          </a:xfrm>
                          <a:prstGeom prst="rect">
                            <a:avLst/>
                          </a:prstGeom>
                          <a:noFill/>
                        </pic:spPr>
                      </pic:pic>
                    </a:graphicData>
                  </a:graphic>
                </wp:inline>
              </w:drawing>
            </w:r>
          </w:p>
        </w:tc>
        <w:tc>
          <w:tcPr>
            <w:tcW w:w="2847" w:type="dxa"/>
            <w:gridSpan w:val="2"/>
          </w:tcPr>
          <w:p w14:paraId="0E0B3FE4" w14:textId="470CAB96" w:rsidR="003009B0" w:rsidRPr="00E70281" w:rsidRDefault="00464BD7" w:rsidP="002228EB">
            <w:pPr>
              <w:rPr>
                <w:color w:val="auto"/>
              </w:rPr>
            </w:pPr>
            <w:r w:rsidRPr="00E70281">
              <w:rPr>
                <w:color w:val="auto"/>
              </w:rPr>
              <w:t>(b)</w:t>
            </w:r>
            <w:r w:rsidR="002228EB" w:rsidRPr="00E70281">
              <w:rPr>
                <w:color w:val="auto"/>
              </w:rPr>
              <w:br/>
            </w:r>
            <w:r w:rsidR="003009B0" w:rsidRPr="00E70281">
              <w:rPr>
                <w:noProof/>
                <w:color w:val="auto"/>
              </w:rPr>
              <w:drawing>
                <wp:inline distT="0" distB="0" distL="0" distR="0" wp14:anchorId="42CFA9C0" wp14:editId="3772B6D6">
                  <wp:extent cx="1589315" cy="2074988"/>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150" cy="2085217"/>
                          </a:xfrm>
                          <a:prstGeom prst="rect">
                            <a:avLst/>
                          </a:prstGeom>
                          <a:noFill/>
                        </pic:spPr>
                      </pic:pic>
                    </a:graphicData>
                  </a:graphic>
                </wp:inline>
              </w:drawing>
            </w:r>
          </w:p>
        </w:tc>
        <w:tc>
          <w:tcPr>
            <w:tcW w:w="3409" w:type="dxa"/>
          </w:tcPr>
          <w:p w14:paraId="609EC98B" w14:textId="74337113" w:rsidR="003009B0" w:rsidRPr="00E70281" w:rsidRDefault="00464BD7" w:rsidP="002228EB">
            <w:pPr>
              <w:rPr>
                <w:color w:val="auto"/>
              </w:rPr>
            </w:pPr>
            <w:r w:rsidRPr="00E70281">
              <w:rPr>
                <w:color w:val="auto"/>
              </w:rPr>
              <w:t>(c)</w:t>
            </w:r>
            <w:r w:rsidR="002228EB" w:rsidRPr="00E70281">
              <w:rPr>
                <w:color w:val="auto"/>
              </w:rPr>
              <w:br/>
            </w:r>
            <w:r w:rsidR="003009B0" w:rsidRPr="00E70281">
              <w:rPr>
                <w:noProof/>
                <w:color w:val="auto"/>
              </w:rPr>
              <w:drawing>
                <wp:inline distT="0" distB="0" distL="0" distR="0" wp14:anchorId="25D6CB24" wp14:editId="5F2AAFB2">
                  <wp:extent cx="2122714" cy="208196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0234" cy="2089344"/>
                          </a:xfrm>
                          <a:prstGeom prst="rect">
                            <a:avLst/>
                          </a:prstGeom>
                          <a:noFill/>
                        </pic:spPr>
                      </pic:pic>
                    </a:graphicData>
                  </a:graphic>
                </wp:inline>
              </w:drawing>
            </w:r>
          </w:p>
        </w:tc>
      </w:tr>
      <w:tr w:rsidR="003009B0" w:rsidRPr="00E70281" w14:paraId="10D3D9DB" w14:textId="77777777" w:rsidTr="00EF55C9">
        <w:trPr>
          <w:cantSplit/>
        </w:trPr>
        <w:tc>
          <w:tcPr>
            <w:tcW w:w="4524" w:type="dxa"/>
            <w:gridSpan w:val="2"/>
          </w:tcPr>
          <w:p w14:paraId="2660686E" w14:textId="0B4736C8" w:rsidR="00E148AC" w:rsidRPr="00E70281" w:rsidRDefault="00464BD7" w:rsidP="002228EB">
            <w:pPr>
              <w:rPr>
                <w:color w:val="auto"/>
              </w:rPr>
            </w:pPr>
            <w:r w:rsidRPr="00E70281">
              <w:rPr>
                <w:color w:val="auto"/>
              </w:rPr>
              <w:t>(d)</w:t>
            </w:r>
            <w:r w:rsidR="002228EB" w:rsidRPr="00E70281">
              <w:rPr>
                <w:color w:val="auto"/>
              </w:rPr>
              <w:br/>
            </w:r>
            <w:r w:rsidR="00D7701E" w:rsidRPr="00E70281">
              <w:rPr>
                <w:noProof/>
                <w:color w:val="auto"/>
              </w:rPr>
              <w:drawing>
                <wp:inline distT="0" distB="0" distL="0" distR="0" wp14:anchorId="49866BA2" wp14:editId="7951A23B">
                  <wp:extent cx="2670547" cy="26368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l="3503" r="2267" b="3453"/>
                          <a:stretch/>
                        </pic:blipFill>
                        <pic:spPr bwMode="auto">
                          <a:xfrm>
                            <a:off x="0" y="0"/>
                            <a:ext cx="2685533" cy="2651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2" w:type="dxa"/>
            <w:gridSpan w:val="2"/>
          </w:tcPr>
          <w:p w14:paraId="333EF1ED" w14:textId="5ECB0487" w:rsidR="00E148AC" w:rsidRPr="00E70281" w:rsidRDefault="00464BD7" w:rsidP="002228EB">
            <w:pPr>
              <w:rPr>
                <w:color w:val="auto"/>
              </w:rPr>
            </w:pPr>
            <w:r w:rsidRPr="00E70281">
              <w:rPr>
                <w:color w:val="auto"/>
              </w:rPr>
              <w:t>(e)</w:t>
            </w:r>
            <w:r w:rsidR="002228EB" w:rsidRPr="00E70281">
              <w:rPr>
                <w:color w:val="auto"/>
              </w:rPr>
              <w:br/>
            </w:r>
            <w:r w:rsidR="00415205" w:rsidRPr="00E70281">
              <w:rPr>
                <w:noProof/>
                <w:color w:val="auto"/>
              </w:rPr>
              <w:drawing>
                <wp:inline distT="0" distB="0" distL="0" distR="0" wp14:anchorId="50771F03" wp14:editId="02293F70">
                  <wp:extent cx="2625766" cy="263652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l="4441" r="639" b="3911"/>
                          <a:stretch/>
                        </pic:blipFill>
                        <pic:spPr bwMode="auto">
                          <a:xfrm>
                            <a:off x="0" y="0"/>
                            <a:ext cx="2640658" cy="26514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55D17D" w14:textId="4D86BDA2" w:rsidR="001F4ED4" w:rsidRPr="00E70281" w:rsidRDefault="001F4ED4" w:rsidP="00732653">
      <w:pPr>
        <w:pStyle w:val="Caption"/>
        <w:rPr>
          <w:color w:val="auto"/>
        </w:rPr>
      </w:pPr>
      <w:bookmarkStart w:id="20" w:name="_Ref58836628"/>
      <w:r w:rsidRPr="00E70281">
        <w:rPr>
          <w:color w:val="auto"/>
        </w:rPr>
        <w:t xml:space="preserve">Figure </w:t>
      </w:r>
      <w:r w:rsidRPr="00E70281">
        <w:rPr>
          <w:color w:val="auto"/>
        </w:rPr>
        <w:fldChar w:fldCharType="begin"/>
      </w:r>
      <w:r w:rsidRPr="00E70281">
        <w:rPr>
          <w:color w:val="auto"/>
        </w:rPr>
        <w:instrText xml:space="preserve"> SEQ Figure \* ARABIC </w:instrText>
      </w:r>
      <w:r w:rsidRPr="00E70281">
        <w:rPr>
          <w:color w:val="auto"/>
        </w:rPr>
        <w:fldChar w:fldCharType="separate"/>
      </w:r>
      <w:r w:rsidR="00D37CAD" w:rsidRPr="00E70281">
        <w:rPr>
          <w:noProof/>
          <w:color w:val="auto"/>
        </w:rPr>
        <w:t>1</w:t>
      </w:r>
      <w:r w:rsidRPr="00E70281">
        <w:rPr>
          <w:color w:val="auto"/>
        </w:rPr>
        <w:fldChar w:fldCharType="end"/>
      </w:r>
      <w:bookmarkEnd w:id="20"/>
      <w:r w:rsidRPr="00E70281">
        <w:rPr>
          <w:color w:val="auto"/>
        </w:rPr>
        <w:t xml:space="preserve">: </w:t>
      </w:r>
      <w:r w:rsidR="004410CF" w:rsidRPr="00E70281">
        <w:rPr>
          <w:color w:val="auto"/>
        </w:rPr>
        <w:t xml:space="preserve">The influence of the limited availability of early kinetic data on the </w:t>
      </w:r>
      <w:r w:rsidR="0094274D" w:rsidRPr="00E70281">
        <w:rPr>
          <w:color w:val="auto"/>
        </w:rPr>
        <w:t>calculation</w:t>
      </w:r>
      <w:r w:rsidR="004410CF" w:rsidRPr="00E70281">
        <w:rPr>
          <w:color w:val="auto"/>
        </w:rPr>
        <w:t xml:space="preserve"> of initial rates of adsorption</w:t>
      </w:r>
      <w:r w:rsidR="003926E8" w:rsidRPr="00E70281">
        <w:rPr>
          <w:color w:val="auto"/>
        </w:rPr>
        <w:t>, assessed by the analysis of 14 literature sources</w:t>
      </w:r>
      <w:r w:rsidR="0091569B" w:rsidRPr="00E70281">
        <w:rPr>
          <w:color w:val="auto"/>
        </w:rPr>
        <w:t>.</w:t>
      </w:r>
      <w:r w:rsidR="00205890" w:rsidRPr="00E70281">
        <w:rPr>
          <w:color w:val="auto"/>
        </w:rPr>
        <w:t xml:space="preserve"> The influence of removing early kinetic data on the </w:t>
      </w:r>
      <w:r w:rsidR="0094274D" w:rsidRPr="00E70281">
        <w:rPr>
          <w:color w:val="auto"/>
        </w:rPr>
        <w:t>calculated</w:t>
      </w:r>
      <w:r w:rsidR="00205890" w:rsidRPr="00E70281">
        <w:rPr>
          <w:color w:val="auto"/>
        </w:rPr>
        <w:t xml:space="preserve"> initial rates</w:t>
      </w:r>
      <w:r w:rsidR="0094274D" w:rsidRPr="00E70281">
        <w:rPr>
          <w:color w:val="auto"/>
        </w:rPr>
        <w:t xml:space="preserve"> was assessed</w:t>
      </w:r>
      <w:r w:rsidR="00205890" w:rsidRPr="00E70281">
        <w:rPr>
          <w:color w:val="auto"/>
        </w:rPr>
        <w:t xml:space="preserve"> using (a) the initial slope, (b) linearised PSO kinetics, and (c) non-linear PSO kinetics. The theoretical </w:t>
      </w:r>
      <w:r w:rsidR="0094274D" w:rsidRPr="00E70281">
        <w:rPr>
          <w:color w:val="auto"/>
        </w:rPr>
        <w:t>‘</w:t>
      </w:r>
      <w:r w:rsidR="00205890" w:rsidRPr="00E70281">
        <w:rPr>
          <w:color w:val="auto"/>
        </w:rPr>
        <w:t>true</w:t>
      </w:r>
      <w:r w:rsidR="0094274D" w:rsidRPr="00E70281">
        <w:rPr>
          <w:color w:val="auto"/>
        </w:rPr>
        <w:t>’</w:t>
      </w:r>
      <w:r w:rsidR="00205890" w:rsidRPr="00E70281">
        <w:rPr>
          <w:color w:val="auto"/>
        </w:rPr>
        <w:t xml:space="preserve"> initial rate is given by </w:t>
      </w:r>
      <w:r w:rsidR="00205890" w:rsidRPr="00E70281">
        <w:rPr>
          <w:i w:val="0"/>
          <w:color w:val="auto"/>
        </w:rPr>
        <w:t>initial rate</w:t>
      </w:r>
      <w:r w:rsidR="00205890" w:rsidRPr="00E70281">
        <w:rPr>
          <w:i w:val="0"/>
          <w:color w:val="auto"/>
          <w:vertAlign w:val="subscript"/>
        </w:rPr>
        <w:t>0</w:t>
      </w:r>
      <w:r w:rsidR="00205890" w:rsidRPr="00E70281">
        <w:rPr>
          <w:i w:val="0"/>
          <w:color w:val="auto"/>
        </w:rPr>
        <w:t xml:space="preserve"> </w:t>
      </w:r>
      <w:r w:rsidR="00205890" w:rsidRPr="00E70281">
        <w:rPr>
          <w:color w:val="auto"/>
        </w:rPr>
        <w:t>and the initial rate calculated with the available data</w:t>
      </w:r>
      <w:r w:rsidR="00E70281" w:rsidRPr="00E70281">
        <w:rPr>
          <w:color w:val="auto"/>
        </w:rPr>
        <w:t xml:space="preserve"> </w:t>
      </w:r>
      <w:r w:rsidR="00E70281" w:rsidRPr="00E70281">
        <w:rPr>
          <w:color w:val="FF0000"/>
        </w:rPr>
        <w:t>is</w:t>
      </w:r>
      <w:r w:rsidR="00205890" w:rsidRPr="00E70281">
        <w:rPr>
          <w:color w:val="FF0000"/>
        </w:rPr>
        <w:t xml:space="preserve"> </w:t>
      </w:r>
      <w:r w:rsidR="00205890" w:rsidRPr="00E70281">
        <w:rPr>
          <w:color w:val="auto"/>
        </w:rPr>
        <w:t xml:space="preserve">given by </w:t>
      </w:r>
      <w:r w:rsidR="00205890" w:rsidRPr="00E70281">
        <w:rPr>
          <w:i w:val="0"/>
          <w:color w:val="auto"/>
        </w:rPr>
        <w:t xml:space="preserve">initial </w:t>
      </w:r>
      <w:proofErr w:type="spellStart"/>
      <w:r w:rsidR="00205890" w:rsidRPr="00E70281">
        <w:rPr>
          <w:i w:val="0"/>
          <w:color w:val="auto"/>
        </w:rPr>
        <w:t>rate</w:t>
      </w:r>
      <w:r w:rsidR="00205890" w:rsidRPr="00E70281">
        <w:rPr>
          <w:i w:val="0"/>
          <w:color w:val="auto"/>
          <w:vertAlign w:val="subscript"/>
        </w:rPr>
        <w:t>i</w:t>
      </w:r>
      <w:proofErr w:type="spellEnd"/>
      <w:r w:rsidR="00205890" w:rsidRPr="00E70281">
        <w:rPr>
          <w:color w:val="auto"/>
        </w:rPr>
        <w:t>. The solid black line represents the average of</w:t>
      </w:r>
      <w:r w:rsidR="0094274D" w:rsidRPr="00E70281">
        <w:rPr>
          <w:color w:val="auto"/>
        </w:rPr>
        <w:t xml:space="preserve"> the</w:t>
      </w:r>
      <w:r w:rsidR="00205890" w:rsidRPr="00E70281">
        <w:rPr>
          <w:color w:val="auto"/>
        </w:rPr>
        <w:t xml:space="preserve"> 14 data sets, whilst dotted lines indicate one standard deviation. </w:t>
      </w:r>
      <w:r w:rsidR="00EE0040" w:rsidRPr="00E70281">
        <w:rPr>
          <w:color w:val="auto"/>
        </w:rPr>
        <w:t>The three approaches are compared, assessing t</w:t>
      </w:r>
      <w:r w:rsidR="00205890" w:rsidRPr="00E70281">
        <w:rPr>
          <w:color w:val="auto"/>
        </w:rPr>
        <w:t>he influence of data availability on (d) the</w:t>
      </w:r>
      <w:r w:rsidR="00EE0040" w:rsidRPr="00E70281">
        <w:rPr>
          <w:color w:val="auto"/>
        </w:rPr>
        <w:t xml:space="preserve"> relative</w:t>
      </w:r>
      <w:r w:rsidR="00205890" w:rsidRPr="00E70281">
        <w:rPr>
          <w:color w:val="auto"/>
        </w:rPr>
        <w:t xml:space="preserve"> error in the</w:t>
      </w:r>
      <w:r w:rsidR="00E70281" w:rsidRPr="00E70281">
        <w:rPr>
          <w:color w:val="auto"/>
        </w:rPr>
        <w:t xml:space="preserve"> </w:t>
      </w:r>
      <w:r w:rsidR="00E70281" w:rsidRPr="00E70281">
        <w:rPr>
          <w:color w:val="FF0000"/>
        </w:rPr>
        <w:t>calculated</w:t>
      </w:r>
      <w:r w:rsidR="00205890" w:rsidRPr="00E70281">
        <w:rPr>
          <w:color w:val="FF0000"/>
        </w:rPr>
        <w:t xml:space="preserve"> </w:t>
      </w:r>
      <w:r w:rsidR="00205890" w:rsidRPr="00E70281">
        <w:rPr>
          <w:color w:val="auto"/>
        </w:rPr>
        <w:t xml:space="preserve">initial rate, and (e) the </w:t>
      </w:r>
      <w:r w:rsidR="00205890" w:rsidRPr="00E70281">
        <w:rPr>
          <w:color w:val="auto"/>
        </w:rPr>
        <w:lastRenderedPageBreak/>
        <w:t>uncertainty in the calculated initial rate.</w:t>
      </w:r>
      <w:r w:rsidR="00157DF5" w:rsidRPr="00E70281">
        <w:rPr>
          <w:color w:val="auto"/>
        </w:rPr>
        <w:t xml:space="preserve"> The horizontal error bars in (d) and (e) represent the size of the bins used for grouping data, whilst the vertical error bars indicate the standard deviation calculated between the 14 unique data sets. </w:t>
      </w:r>
      <w:r w:rsidR="003009B0" w:rsidRPr="00E70281">
        <w:rPr>
          <w:color w:val="auto"/>
        </w:rPr>
        <w:t xml:space="preserve">The data sets listed are in order: (1) Yang et al., 2019 </w:t>
      </w:r>
      <w:r w:rsidR="003009B0" w:rsidRPr="00E70281">
        <w:rPr>
          <w:color w:val="auto"/>
        </w:rPr>
        <w:fldChar w:fldCharType="begin" w:fldLock="1"/>
      </w:r>
      <w:r w:rsidR="003776C0" w:rsidRPr="00E70281">
        <w:rPr>
          <w:color w:val="auto"/>
        </w:rPr>
        <w:instrText>ADDIN CSL_CITATION {"citationItems":[{"id":"ITEM-1","itemData":{"DOI":"10.1021/acsomega.9b02347","ISSN":"24701343","abstract":"Mesoporous layered magnetic hybrid GFP2 composed of C3N3S3 polymers, Fe3O4 nanoparticles (Fe3O4 NPs), and graphene oxide with a mesoporous layered \"sandwich\"-like structure was successfully explored by in situ simple polymerization tactic for rapid removal of Pb2+ and Cd2+ from water. It shows good selectivity and high adsorption capacity (277.78 and 49.75 mg/g) for Pb2+ and Cd2+, respectively. It exhibits the fast adsorption kinetics (&gt;80% elimination efficiency in less than 30 min). The Langmuir isotherm model based on typical monomolecular layer adsorption fits better with the data of adsorption than the Freundlich isotherm model. The adsorption process of GFP2 for Pb2+ and Cd2+ can be explained well with the pseudo-second-order kinetics model. GFP2 is a kind of recyclable solid absorbent, which is an excellent candidate in the heavy metal wastewater treatment. More importantly, GFP2 was set with Fe3O4 NPs which makes it easily separable from wastewater with an extra magnet.","author":[{"dropping-particle":"","family":"Yang","given":"Hongjun","non-dropping-particle":"","parse-names":false,"suffix":""},{"dropping-particle":"","family":"Yu","given":"Hongwen","non-dropping-particle":"","parse-names":false,"suffix":""},{"dropping-particle":"","family":"Fang","given":"Jidun","non-dropping-particle":"","parse-names":false,"suffix":""},{"dropping-particle":"","family":"Sun","given":"Jingkuan","non-dropping-particle":"","parse-names":false,"suffix":""},{"dropping-particle":"","family":"Xia","given":"Jiangbao","non-dropping-particle":"","parse-names":false,"suffix":""},{"dropping-particle":"","family":"Xie","given":"Wenjun","non-dropping-particle":"","parse-names":false,"suffix":""},{"dropping-particle":"","family":"Wei","given":"Shoucai","non-dropping-particle":"","parse-names":false,"suffix":""},{"dropping-particle":"","family":"Cui","given":"Qian","non-dropping-particle":"","parse-names":false,"suffix":""},{"dropping-particle":"","family":"Sun","given":"Chunlong","non-dropping-particle":"","parse-names":false,"suffix":""},{"dropping-particle":"","family":"Wu","given":"Tao","non-dropping-particle":"","parse-names":false,"suffix":""}],"container-title":"ACS Omega","id":"ITEM-1","issue":"22","issued":{"date-parts":[["2019"]]},"page":"19683-19692","title":"Mesoporous Layered Graphene Oxide/Fe3O4/C3N3S3 Polymer Hybrids for Rapid Removal of Pb2+ and Cd2+ from Water","type":"article-journal","volume":"4"},"uris":["http://www.mendeley.com/documents/?uuid=b0b6c73a-dae8-437c-8665-e14e5a0f3b43"]}],"mendeley":{"formattedCitation":"&lt;sup&gt;23&lt;/sup&gt;","plainTextFormattedCitation":"23","previouslyFormattedCitation":"&lt;sup&gt;23&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23</w:t>
      </w:r>
      <w:r w:rsidR="003009B0" w:rsidRPr="00E70281">
        <w:rPr>
          <w:color w:val="auto"/>
        </w:rPr>
        <w:fldChar w:fldCharType="end"/>
      </w:r>
      <w:r w:rsidR="003009B0" w:rsidRPr="00E70281">
        <w:rPr>
          <w:color w:val="auto"/>
        </w:rPr>
        <w:t>, (</w:t>
      </w:r>
      <w:r w:rsidR="00C21021" w:rsidRPr="00E70281">
        <w:rPr>
          <w:color w:val="auto"/>
        </w:rPr>
        <w:t>2</w:t>
      </w:r>
      <w:r w:rsidR="003009B0" w:rsidRPr="00E70281">
        <w:rPr>
          <w:color w:val="auto"/>
        </w:rPr>
        <w:t xml:space="preserve">) Yang et al., 2001 </w:t>
      </w:r>
      <w:r w:rsidR="003009B0" w:rsidRPr="00E70281">
        <w:rPr>
          <w:color w:val="auto"/>
        </w:rPr>
        <w:fldChar w:fldCharType="begin" w:fldLock="1"/>
      </w:r>
      <w:r w:rsidR="003776C0" w:rsidRPr="00E70281">
        <w:rPr>
          <w:color w:val="auto"/>
        </w:rPr>
        <w:instrText>ADDIN CSL_CITATION {"citationItems":[{"id":"ITEM-1","itemData":{"DOI":"10.1016/S1385-8947(00)00233-3","ISSN":"13858947","abstract":"In this work, the branched pore diffusion model (BPDM) was applied to the single component adsorption of three reactive dyes on activated carbon in a batch stirred vessel. Results are in terms of theoretical concentration decay curves, characterised by the non-linear combination of four mass transfer parameters namely the external mass transfer coefficient kf, the solid diffusivity Ds, the micropore rate coefficient kb and the fraction micropores f. An 'improved' solution technique was presented where an optimising subroutine was employed to select 'best' combination of the mass transfer parameters. Compared to the existing methods, this yielded more accurate results over a longer period of adsorption and shorter computational time. Also, equilibrium was accurately described by the Fritz-Schlünder isotherm. Results showed that, over a wide range of system conditions, a single kf, kb and f value described each dye/carbon system; while Ds increased with the initial solution concentration, C0. Furthermore, Ds was mathematically related to the surface loading qs. This paper provides an in-sight into the relation between the sorbent surface, the solute properties and the adsorptive characterictics. © 2001 Elsevier Science B.V.","author":[{"dropping-particle":"","family":"Yang","given":"X. Y.","non-dropping-particle":"","parse-names":false,"suffix":""},{"dropping-particle":"","family":"Al-Duri","given":"B.","non-dropping-particle":"","parse-names":false,"suffix":""}],"container-title":"Chemical Engineering Journal","id":"ITEM-1","issue":"1","issued":{"date-parts":[["2001"]]},"page":"15-23","title":"Application of branched pore diffusion model in the adsorption of reactive dyes on activated carbon","type":"article-journal","volume":"83"},"uris":["http://www.mendeley.com/documents/?uuid=0a97e83c-e57d-4219-8218-f36d0609d83a"]}],"mendeley":{"formattedCitation":"&lt;sup&gt;24&lt;/sup&gt;","plainTextFormattedCitation":"24","previouslyFormattedCitation":"&lt;sup&gt;24&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24</w:t>
      </w:r>
      <w:r w:rsidR="003009B0" w:rsidRPr="00E70281">
        <w:rPr>
          <w:color w:val="auto"/>
        </w:rPr>
        <w:fldChar w:fldCharType="end"/>
      </w:r>
      <w:r w:rsidR="003009B0" w:rsidRPr="00E70281">
        <w:rPr>
          <w:color w:val="auto"/>
        </w:rPr>
        <w:t>, (</w:t>
      </w:r>
      <w:r w:rsidR="00C21021" w:rsidRPr="00E70281">
        <w:rPr>
          <w:color w:val="auto"/>
        </w:rPr>
        <w:t>3</w:t>
      </w:r>
      <w:r w:rsidR="003009B0" w:rsidRPr="00E70281">
        <w:rPr>
          <w:color w:val="auto"/>
        </w:rPr>
        <w:t xml:space="preserve"> and </w:t>
      </w:r>
      <w:r w:rsidR="00C21021" w:rsidRPr="00E70281">
        <w:rPr>
          <w:color w:val="auto"/>
        </w:rPr>
        <w:t>4</w:t>
      </w:r>
      <w:r w:rsidR="003009B0" w:rsidRPr="00E70281">
        <w:rPr>
          <w:color w:val="auto"/>
        </w:rPr>
        <w:t xml:space="preserve">) Liu and Shen, 2008 </w:t>
      </w:r>
      <w:r w:rsidR="003009B0" w:rsidRPr="00E70281">
        <w:rPr>
          <w:color w:val="auto"/>
        </w:rPr>
        <w:fldChar w:fldCharType="begin" w:fldLock="1"/>
      </w:r>
      <w:r w:rsidR="003776C0" w:rsidRPr="00E70281">
        <w:rPr>
          <w:color w:val="auto"/>
        </w:rPr>
        <w:instrText xml:space="preserve">ADDIN CSL_CITATION {"citationItems":[{"id":"ITEM-1","itemData":{"DOI":"10.1021/la801839b","ISSN":"07437463","abstract":"So far, the first- and second-order kinetic equations have been most frequently employed to interpret adsorption data obtained under various conditions, whereas the theoretical origins of these two equations still remain unknown. Using the Langmuir kinetics as a theoretical basis, this study showed that the Langmuir kinetics can be transformed to a polynomial expression of dθ/dt = k1(θe - θt) + k 2(θe - θ)2, a varying-order rate equation. The sufficient and necessary conditions for simplification of the Langmuir kinetics to the first- and second-order rate equations were put forward, which suggested that the relative magnitude of θe over k1/k2 governs the simplification of the Langmuir kinetics. In cases where k1/k2 is greater than θe or k1/k2 is very close to θe, adsorption kinetics would be reasonably described by the first-order rate equation, whereas the Langmuir kinetics would be reduced to the second-order equation only at k1/k2 </w:instrText>
      </w:r>
      <w:r w:rsidR="003776C0" w:rsidRPr="00E70281">
        <w:rPr>
          <w:rFonts w:ascii="Cambria Math" w:hAnsi="Cambria Math" w:cs="Cambria Math"/>
          <w:color w:val="auto"/>
        </w:rPr>
        <w:instrText>≪</w:instrText>
      </w:r>
      <w:r w:rsidR="003776C0" w:rsidRPr="00E70281">
        <w:rPr>
          <w:color w:val="auto"/>
        </w:rPr>
        <w:instrText xml:space="preserve"> </w:instrText>
      </w:r>
      <w:r w:rsidR="003776C0" w:rsidRPr="00E70281">
        <w:rPr>
          <w:rFonts w:ascii="Calibri" w:hAnsi="Calibri" w:cs="Calibri"/>
          <w:color w:val="auto"/>
        </w:rPr>
        <w:instrText>θ</w:instrText>
      </w:r>
      <w:r w:rsidR="003776C0" w:rsidRPr="00E70281">
        <w:rPr>
          <w:color w:val="auto"/>
        </w:rPr>
        <w:instrText xml:space="preserve">e. It was further demonstrated that both </w:instrText>
      </w:r>
      <w:r w:rsidR="003776C0" w:rsidRPr="00E70281">
        <w:rPr>
          <w:rFonts w:ascii="Calibri" w:hAnsi="Calibri" w:cs="Calibri"/>
          <w:color w:val="auto"/>
        </w:rPr>
        <w:instrText>θ</w:instrText>
      </w:r>
      <w:r w:rsidR="003776C0" w:rsidRPr="00E70281">
        <w:rPr>
          <w:color w:val="auto"/>
        </w:rPr>
        <w:instrText>e and k1/k2 are the function of initial adsorbate concentration (C0) at a given dosage of adsorbent, indicating that simplification of the Langmuir kinetics indeed is determined by C0. Detailed Co-depedent boundary conditions for simplifying the Langmuir kinetics were also established and were verified by experimental data. © 2008 American Chemical Society.","author":[{"dropping-particle":"","family":"Liu","given":"Yu","non-dropping-particle":"","parse-names":false,"suffix":""},{"dropping-particle":"","family":"Shen","given":"Liang","non-dropping-particle":"","parse-names":false,"suffix":""}],"container-title":"Langmuir","id":"ITEM-1","issue":"20","issued":{"date-parts":[["2008"]]},"page":"11625-11630","title":"From Langmuir kinetics to first- and second-order rate equations for adsorption","type":"article-journal","volume":"24"},"uris":["http://www.mendeley.com/documents/?uuid=050e9dd0-98cb-4f76-9de8-79cd98365026"]}],"mendeley":{"formattedCitation":"&lt;sup&gt;25&lt;/sup&gt;","plainTextFormattedCitation":"25","previouslyFormattedCitation":"&lt;sup&gt;25&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25</w:t>
      </w:r>
      <w:r w:rsidR="003009B0" w:rsidRPr="00E70281">
        <w:rPr>
          <w:color w:val="auto"/>
        </w:rPr>
        <w:fldChar w:fldCharType="end"/>
      </w:r>
      <w:r w:rsidR="003009B0" w:rsidRPr="00E70281">
        <w:rPr>
          <w:color w:val="auto"/>
        </w:rPr>
        <w:t>, (</w:t>
      </w:r>
      <w:r w:rsidR="00C21021" w:rsidRPr="00E70281">
        <w:rPr>
          <w:color w:val="auto"/>
        </w:rPr>
        <w:t>5</w:t>
      </w:r>
      <w:r w:rsidR="003009B0" w:rsidRPr="00E70281">
        <w:rPr>
          <w:color w:val="auto"/>
        </w:rPr>
        <w:t xml:space="preserve">) Zhu et al. 2016 </w:t>
      </w:r>
      <w:r w:rsidR="003009B0" w:rsidRPr="00E70281">
        <w:rPr>
          <w:color w:val="auto"/>
        </w:rPr>
        <w:fldChar w:fldCharType="begin" w:fldLock="1"/>
      </w:r>
      <w:r w:rsidR="003776C0" w:rsidRPr="00E70281">
        <w:rPr>
          <w:color w:val="auto"/>
        </w:rPr>
        <w:instrText>ADDIN CSL_CITATION {"citationItems":[{"id":"ITEM-1","itemData":{"DOI":"10.1016/j.cej.2016.07.087","ISSN":"13858947","abstract":"The adsorption kinetics of pyridine adsorption on Macronet adsorbents MN 200 and MN 500 from aqueous solution was investigated at various initial pyridine concentrations and temperatures. The Weber-Morris plots revealed the influence of both external film diffusion and intraparticle diffusion resistances. The two linear regions in Weber-Morris plots were attributed to macropore and micropore diffusion, respectively, which was associated to the bimodal pore size distribution of the adsorbents. New insights into the diffusion mechanisms were highlighted, with the proposed internal film diffusion resistance dominating into the macropore region, whereas homogeneous particle diffusion resistance describes diffusion in the micropore region. The importance of pore and surface diffusion in the micropores was noted in contributing to the observed diffusion kinetics. The pore diffusion coefficient was estimated from PFG (pulsed-field gradient) parameter and molecular diffusion coefficient of pyridine in bulk liquid. A greater contribution of the surface diffusion to the overall diffusion kinetics was found for MN 500 as inferred from a proposed calculation method, which agrees with its better adsorption performance. The overall findings highlight the effect of pore structure onto the diffusion mechanisms inside the pores and help to gain a better understanding into the adsorption kinetics of these Macronet adsorbents which are promising materials for the removal of N-heterocyclic compounds from waste water.","author":[{"dropping-particle":"","family":"Zhu","given":"Qingyu","non-dropping-particle":"","parse-names":false,"suffix":""},{"dropping-particle":"","family":"Moggridge","given":"Geoff D.","non-dropping-particle":"","parse-names":false,"suffix":""},{"dropping-particle":"","family":"D'Agostino","given":"Carmine","non-dropping-particle":"","parse-names":false,"suffix":""}],"container-title":"Chemical Engineering Journal","id":"ITEM-1","issued":{"date-parts":[["2016"]]},"page":"1223-1233","publisher":"Elsevier B.V.","title":"Adsorption of pyridine from aqueous solutions by polymeric adsorbents MN 200 and MN 500. Part 2: Kinetics and diffusion analysis","type":"article-journal","volume":"306"},"uris":["http://www.mendeley.com/documents/?uuid=7e60e5ad-37ba-4603-bc63-e0c0da892238"]}],"mendeley":{"formattedCitation":"&lt;sup&gt;26&lt;/sup&gt;","plainTextFormattedCitation":"26","previouslyFormattedCitation":"&lt;sup&gt;26&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26</w:t>
      </w:r>
      <w:r w:rsidR="003009B0" w:rsidRPr="00E70281">
        <w:rPr>
          <w:color w:val="auto"/>
        </w:rPr>
        <w:fldChar w:fldCharType="end"/>
      </w:r>
      <w:r w:rsidR="003009B0" w:rsidRPr="00E70281">
        <w:rPr>
          <w:color w:val="auto"/>
        </w:rPr>
        <w:t>, (</w:t>
      </w:r>
      <w:r w:rsidR="00C21021" w:rsidRPr="00E70281">
        <w:rPr>
          <w:color w:val="auto"/>
        </w:rPr>
        <w:t>6</w:t>
      </w:r>
      <w:r w:rsidR="003009B0" w:rsidRPr="00E70281">
        <w:rPr>
          <w:color w:val="auto"/>
        </w:rPr>
        <w:t xml:space="preserve">) Yang et al. 2019 </w:t>
      </w:r>
      <w:r w:rsidR="003009B0" w:rsidRPr="00E70281">
        <w:rPr>
          <w:color w:val="auto"/>
        </w:rPr>
        <w:fldChar w:fldCharType="begin" w:fldLock="1"/>
      </w:r>
      <w:r w:rsidR="003776C0" w:rsidRPr="00E70281">
        <w:rPr>
          <w:color w:val="auto"/>
        </w:rPr>
        <w:instrText>ADDIN CSL_CITATION {"citationItems":[{"id":"ITEM-1","itemData":{"DOI":"10.1088/2053-1591/ab5ff3","ISSN":"20531591","abstract":"The shiitake mushroom was treated by hydrothermal method to obtain a novel biosorbent. Scanning Electron Microscopy (SEM), Fourier Transform Infrared (FTIR) Spectroscopy and Brunauer-Emmett-Teller (BET) method have been used to characterize the physico-chemical properties of the novel biosorbent. Factors affecting the adsorption properties of Congo red onto biosorbent such as pH, dose, time and temperature were investigated respectively. The experimental data more suitable for the langmuir model than the Freundlich model. The maximum adsorption capacity of the biosorbent obtained by the Langmuir model at 293 K was 217.86 mg g-1. The kinetic study illustrated that the adsorption fit the pseudo-first-order model. Thermodynamic analysis indicated that the adsorption reaction was a spontaneous endothermic reaction.","author":[{"dropping-particle":"","family":"Yang","given":"Kai","non-dropping-particle":"","parse-names":false,"suffix":""},{"dropping-particle":"","family":"Li","given":"Yanhui","non-dropping-particle":"","parse-names":false,"suffix":""},{"dropping-particle":"","family":"Zheng","given":"Heng","non-dropping-particle":"","parse-names":false,"suffix":""},{"dropping-particle":"","family":"Luan","given":"Xinyu","non-dropping-particle":"","parse-names":false,"suffix":""},{"dropping-particle":"","family":"Li","given":"Hong","non-dropping-particle":"","parse-names":false,"suffix":""},{"dropping-particle":"","family":"Wang","given":"Yuqi","non-dropping-particle":"","parse-names":false,"suffix":""},{"dropping-particle":"","family":"Du","given":"Qiuju","non-dropping-particle":"","parse-names":false,"suffix":""},{"dropping-particle":"","family":"Sui","given":"Kunyan","non-dropping-particle":"","parse-names":false,"suffix":""},{"dropping-particle":"","family":"Li","given":"Hongliang","non-dropping-particle":"","parse-names":false,"suffix":""},{"dropping-particle":"","family":"Xia","given":"Yanzhi","non-dropping-particle":"","parse-names":false,"suffix":""}],"container-title":"Materials Research Express","id":"ITEM-1","issue":"1","issued":{"date-parts":[["2019"]]},"publisher":"IOP Publishing","title":"Adsorption of Congo red with hydrothermal treated shiitake mushroom","type":"article-journal","volume":"7"},"uris":["http://www.mendeley.com/documents/?uuid=7d3d836e-e198-47c9-8260-8f888d728fa5"]}],"mendeley":{"formattedCitation":"&lt;sup&gt;27&lt;/sup&gt;","plainTextFormattedCitation":"27","previouslyFormattedCitation":"&lt;sup&gt;27&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27</w:t>
      </w:r>
      <w:r w:rsidR="003009B0" w:rsidRPr="00E70281">
        <w:rPr>
          <w:color w:val="auto"/>
        </w:rPr>
        <w:fldChar w:fldCharType="end"/>
      </w:r>
      <w:r w:rsidR="003009B0" w:rsidRPr="00E70281">
        <w:rPr>
          <w:color w:val="auto"/>
        </w:rPr>
        <w:t>, (</w:t>
      </w:r>
      <w:r w:rsidR="00C21021" w:rsidRPr="00E70281">
        <w:rPr>
          <w:color w:val="auto"/>
        </w:rPr>
        <w:t>7</w:t>
      </w:r>
      <w:r w:rsidR="003009B0" w:rsidRPr="00E70281">
        <w:rPr>
          <w:color w:val="auto"/>
        </w:rPr>
        <w:t xml:space="preserve">) Yang et al. 2019 </w:t>
      </w:r>
      <w:r w:rsidR="003009B0" w:rsidRPr="00E70281">
        <w:rPr>
          <w:color w:val="auto"/>
        </w:rPr>
        <w:fldChar w:fldCharType="begin" w:fldLock="1"/>
      </w:r>
      <w:r w:rsidR="003776C0" w:rsidRPr="00E70281">
        <w:rPr>
          <w:color w:val="auto"/>
        </w:rPr>
        <w:instrText>ADDIN CSL_CITATION {"citationItems":[{"id":"ITEM-1","itemData":{"DOI":"10.1038/s41598-019-44165-8","ISSN":"20452322","PMID":"31118453","abstract":"The development of economical, low-maintenance, environmentally friendly and effective water filtration techniques can have far-reaching public health, social and economic benefits. In this research, a cost-effective La-modified granular ceramic material made of red art clay and recycled paper fiber was developed for the removal of two major anionic contaminants, As(V) (arsenate) and Cr(VI) (chromate). La modification temperature significantly impacted the resulting composition and properties of the adsorbents, and thus played a crucial role in the adsorbent performance. The La-modified ceramic materials were extensively characterized through scanning electron microscopy (SEM), Brunauer–Emmett–Teller (BET) surface area measurement, thermal gravimetric analysis (TGA), zeta potential measurements, and Fourier-transform infrared spectroscopy (FTIR) analysis. The characterization results suggested that surface coating by LaONO3-related compounds was critical for As(V) and Cr(VI) adsorption. At the modification temperature of 385 °C, the adsorption of As(V) and Cr(VI) reached maximum, which were 23 mg/g and 13 mg/g, respectively, under circumneutral conditions that are relevant to various aquatic systems. The adsorption kinetics and isotherm, the influence of pH, ionic strength and coexisting anions on As(V) and Cr(VI) adsorption were investigated to further understand both As(V) and Cr(VI) adsorption behavior. Findings from this research showed that La-modified ceramic material made of recycled paper waste represents a cost-effective adsorbent for anionic contaminant removal under environmentally relevant conditions.","author":[{"dropping-particle":"","family":"Yang","given":"Haiyan","non-dropping-particle":"","parse-names":false,"suffix":""},{"dropping-particle":"","family":"Wang","given":"Yin","non-dropping-particle":"","parse-names":false,"suffix":""},{"dropping-particle":"","family":"Bender","given":"John","non-dropping-particle":"","parse-names":false,"suffix":""},{"dropping-particle":"","family":"Xu","given":"Shangping","non-dropping-particle":"","parse-names":false,"suffix":""}],"container-title":"Scientific Reports","id":"ITEM-1","issue":"1","issued":{"date-parts":[["2019"]]},"page":"1-12","title":"Removal of Arsenate and Chromate by Lanthanum-modified Granular Ceramic Material: The Critical Role of Coating Temperature","type":"article-journal","volume":"9"},"uris":["http://www.mendeley.com/documents/?uuid=889283c5-a7a3-49c4-893d-0d3f4df7cceb"]}],"mendeley":{"formattedCitation":"&lt;sup&gt;28&lt;/sup&gt;","plainTextFormattedCitation":"28","previouslyFormattedCitation":"&lt;sup&gt;28&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28</w:t>
      </w:r>
      <w:r w:rsidR="003009B0" w:rsidRPr="00E70281">
        <w:rPr>
          <w:color w:val="auto"/>
        </w:rPr>
        <w:fldChar w:fldCharType="end"/>
      </w:r>
      <w:r w:rsidR="003009B0" w:rsidRPr="00E70281">
        <w:rPr>
          <w:color w:val="auto"/>
        </w:rPr>
        <w:t>, (</w:t>
      </w:r>
      <w:r w:rsidR="00C21021" w:rsidRPr="00E70281">
        <w:rPr>
          <w:color w:val="auto"/>
        </w:rPr>
        <w:t>8</w:t>
      </w:r>
      <w:r w:rsidR="003009B0" w:rsidRPr="00E70281">
        <w:rPr>
          <w:color w:val="auto"/>
        </w:rPr>
        <w:t xml:space="preserve">) Mohamed et al. 2007 </w:t>
      </w:r>
      <w:r w:rsidR="003009B0" w:rsidRPr="00E70281">
        <w:rPr>
          <w:color w:val="auto"/>
        </w:rPr>
        <w:fldChar w:fldCharType="begin" w:fldLock="1"/>
      </w:r>
      <w:r w:rsidR="003776C0" w:rsidRPr="00E70281">
        <w:rPr>
          <w:color w:val="auto"/>
        </w:rPr>
        <w:instrText>ADDIN CSL_CITATION {"citationItems":[{"id":"ITEM-1","itemData":{"ISBN":"0096655787915","ISSN":"09731245","abstract":"The marine brown algae Sargassum latifolium and Sargassum asperifolium, harvested from the coast of the red sea, were investigated for their biosorption performance in the removal of lead (II) from aqueous solutions. The pretreatment of the biomass was carded out by using (0.2M) CaCl2, NaCl, NH4Cl and (1N) HCl, the pretreatment with NH4Cl showed the best biosorption capacities for both algal species. The isotherm arid kinetic experiments were carried out at the pH 5.0 Isotherms experiments showed that the maximum capacities for lead uptake were 1.44 mmol/g and 1.47 mmol/g for Sargassum latifolium and Sargassum asperifolium respectively. The metal removal rates were rapid, with 90% of the total adsorption taking place within 15 min and 45 min for Sargassum latifolium and Sargassum asperifolium respectively. Comparison with commercial resin indicated that the activated algae Sargassum latifolium and Sargassum asperitolium could be used as an efficient biosorbents for treatment of wastewater contaminated with lead (II).","author":[{"dropping-particle":"","family":"Mohamed","given":"Sahera F.","non-dropping-particle":"","parse-names":false,"suffix":""},{"dropping-particle":"","family":"Al-Bakri","given":"Iman M.","non-dropping-particle":"","parse-names":false,"suffix":""},{"dropping-particle":"","family":"Sayed","given":"Osama H.","non-dropping-particle":"El","parse-names":false,"suffix":""}],"container-title":"Biosciences Biotechnology Research Asia","id":"ITEM-1","issue":"2","issued":{"date-parts":[["2007"]]},"page":"341-350","title":"Biosorption of lead (II) by pre-treated biomass of marine brown algae Sargassum latifolium and Sargassum asperifolium","type":"article-journal","volume":"4"},"uris":["http://www.mendeley.com/documents/?uuid=53efd276-3dd9-489f-bf8e-2df6f9545829"]}],"mendeley":{"formattedCitation":"&lt;sup&gt;29&lt;/sup&gt;","plainTextFormattedCitation":"29","previouslyFormattedCitation":"&lt;sup&gt;29&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29</w:t>
      </w:r>
      <w:r w:rsidR="003009B0" w:rsidRPr="00E70281">
        <w:rPr>
          <w:color w:val="auto"/>
        </w:rPr>
        <w:fldChar w:fldCharType="end"/>
      </w:r>
      <w:r w:rsidR="00C21021" w:rsidRPr="00E70281">
        <w:rPr>
          <w:color w:val="auto"/>
        </w:rPr>
        <w:t>, (9</w:t>
      </w:r>
      <w:r w:rsidR="003009B0" w:rsidRPr="00E70281">
        <w:rPr>
          <w:color w:val="auto"/>
        </w:rPr>
        <w:t xml:space="preserve">) </w:t>
      </w:r>
      <w:proofErr w:type="spellStart"/>
      <w:r w:rsidR="003009B0" w:rsidRPr="00E70281">
        <w:rPr>
          <w:color w:val="auto"/>
        </w:rPr>
        <w:t>Drenkova-tuhtan</w:t>
      </w:r>
      <w:proofErr w:type="spellEnd"/>
      <w:r w:rsidR="003009B0" w:rsidRPr="00E70281">
        <w:rPr>
          <w:color w:val="auto"/>
        </w:rPr>
        <w:t xml:space="preserve"> et al. 2015 </w:t>
      </w:r>
      <w:r w:rsidR="003009B0" w:rsidRPr="00E70281">
        <w:rPr>
          <w:color w:val="auto"/>
        </w:rPr>
        <w:fldChar w:fldCharType="begin" w:fldLock="1"/>
      </w:r>
      <w:r w:rsidR="003776C0" w:rsidRPr="00E70281">
        <w:rPr>
          <w:color w:val="auto"/>
        </w:rPr>
        <w:instrText>ADDIN CSL_CITATION {"citationItems":[{"id":"ITEM-1","itemData":{"DOI":"10.13140/RG.2.1.1260.8721","author":[{"dropping-particle":"","family":"Drenkova-tuhtan","given":"Asya","non-dropping-particle":"","parse-names":false,"suffix":""},{"dropping-particle":"","family":"Mandel","given":"Karl-sebastian","non-dropping-particle":"","parse-names":false,"suffix":""},{"dropping-particle":"","family":"Meyer","given":"Carsten","non-dropping-particle":"","parse-names":false,"suffix":""},{"dropping-particle":"","family":"Schneider","given":"Michael","non-dropping-particle":"","parse-names":false,"suffix":""}],"container-title":"IWA Specialist Conference on Nutrient Removal and Recovery: moving innovation into practice","id":"ITEM-1","issue":"May","issued":{"date-parts":[["2015"]]},"title":"Removal and recovery of phosphate from wastewater with reusable magnetically separable particles","type":"article-journal"},"uris":["http://www.mendeley.com/documents/?uuid=1c1090c3-11e8-41ae-b99c-1b5da4fb12c1"]}],"mendeley":{"formattedCitation":"&lt;sup&gt;30&lt;/sup&gt;","plainTextFormattedCitation":"30","previouslyFormattedCitation":"&lt;sup&gt;30&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30</w:t>
      </w:r>
      <w:r w:rsidR="003009B0" w:rsidRPr="00E70281">
        <w:rPr>
          <w:color w:val="auto"/>
        </w:rPr>
        <w:fldChar w:fldCharType="end"/>
      </w:r>
      <w:r w:rsidR="003009B0" w:rsidRPr="00E70281">
        <w:rPr>
          <w:color w:val="auto"/>
        </w:rPr>
        <w:t>,</w:t>
      </w:r>
      <w:r w:rsidR="00C21021" w:rsidRPr="00E70281">
        <w:rPr>
          <w:color w:val="auto"/>
        </w:rPr>
        <w:t xml:space="preserve"> (10)</w:t>
      </w:r>
      <w:r w:rsidR="003009B0" w:rsidRPr="00E70281">
        <w:rPr>
          <w:color w:val="auto"/>
        </w:rPr>
        <w:t xml:space="preserve">  Liu et al. 2016 </w:t>
      </w:r>
      <w:r w:rsidR="003009B0" w:rsidRPr="00E70281">
        <w:rPr>
          <w:color w:val="auto"/>
        </w:rPr>
        <w:fldChar w:fldCharType="begin" w:fldLock="1"/>
      </w:r>
      <w:r w:rsidR="003776C0" w:rsidRPr="00E70281">
        <w:rPr>
          <w:color w:val="auto"/>
        </w:rPr>
        <w:instrText>ADDIN CSL_CITATION {"citationItems":[{"id":"ITEM-1","itemData":{"DOI":"10.1155/2016/3069754","ISSN":"20909071","abstract":"The adsorption of Cr(III) or Cr(VI) in the absence and presence of Cu(II) onto kaolin was investigated under pH 2.0-7.0. Results indicated that the adsorption rate was not necessarily proportional to the adsorption capacity. The solutions' pH values played a key role in kaolin zeta potential (ζ), especially the hydrolysis behavior and saturation index of heavy metal ions. In the presence of Cu(II), q m i x C r (I I I) reached the maximum adsorption capacity of 0.73 mg·g-1 at pH 6.0, while the maximum adsorption capacity for the mixed Cr(VI) and Cu(II) system (q m i x C r (V I)) was observed at pH 2.0 (0.38 mg·g-1). Comparing the adsorption behaviors and mechanisms, we found that kaolin prefers to adsorb hydrolyzed products of Cr(III) instead of Cr3+ ion, while adsorption sites of kaolin surface were occupied primarily by Cu(II) through surface complexation, leading to Cu(II) inhibited Cr(VI) adsorption. Moreover, Cr(III) and Cr(VI) removal efficiency had a positive correlation with distribution coefficient K d. Cr(III) and Cr(VI) removal efficiency had a positive correlation with distribution coefficient K d and that of adsorption affinities of Cr(III) or Cr(VI) on kaolin was found to be K d Cr(III) &lt; K d Cr(III)-Cu(II) and K d Cr(VI) &gt; K d Cr(VI)-Cu(II).","author":[{"dropping-particle":"","family":"Liu","given":"Juanjuan","non-dropping-particle":"","parse-names":false,"suffix":""},{"dropping-particle":"","family":"Wu","given":"Xiaolong","non-dropping-particle":"","parse-names":false,"suffix":""},{"dropping-particle":"","family":"Hu","given":"Yandi","non-dropping-particle":"","parse-names":false,"suffix":""},{"dropping-particle":"","family":"Dai","given":"Chong","non-dropping-particle":"","parse-names":false,"suffix":""},{"dropping-particle":"","family":"Peng","given":"Qin","non-dropping-particle":"","parse-names":false,"suffix":""},{"dropping-particle":"","family":"Liang","given":"Dongli","non-dropping-particle":"","parse-names":false,"suffix":""}],"container-title":"Journal of Chemistry","id":"ITEM-1","issue":"Vi","issued":{"date-parts":[["2016"]]},"publisher":"Hindawi Publishing Corporation","title":"Effects of Cu(II) on the Adsorption Behaviors of Cr(III) and Cr(VI) onto Kaolin","type":"article-journal","volume":"2016"},"uris":["http://www.mendeley.com/documents/?uuid=e0d7820d-63fa-4bd4-8800-1a72418ede91"]}],"mendeley":{"formattedCitation":"&lt;sup&gt;31&lt;/sup&gt;","plainTextFormattedCitation":"31","previouslyFormattedCitation":"&lt;sup&gt;31&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31</w:t>
      </w:r>
      <w:r w:rsidR="003009B0" w:rsidRPr="00E70281">
        <w:rPr>
          <w:color w:val="auto"/>
        </w:rPr>
        <w:fldChar w:fldCharType="end"/>
      </w:r>
      <w:r w:rsidR="003009B0" w:rsidRPr="00E70281">
        <w:rPr>
          <w:color w:val="auto"/>
        </w:rPr>
        <w:t>, (1</w:t>
      </w:r>
      <w:r w:rsidR="00C21021" w:rsidRPr="00E70281">
        <w:rPr>
          <w:color w:val="auto"/>
        </w:rPr>
        <w:t>1</w:t>
      </w:r>
      <w:r w:rsidR="003009B0" w:rsidRPr="00E70281">
        <w:rPr>
          <w:color w:val="auto"/>
        </w:rPr>
        <w:t xml:space="preserve">) </w:t>
      </w:r>
      <w:proofErr w:type="spellStart"/>
      <w:r w:rsidR="003009B0" w:rsidRPr="00E70281">
        <w:rPr>
          <w:color w:val="auto"/>
        </w:rPr>
        <w:t>Ornek</w:t>
      </w:r>
      <w:proofErr w:type="spellEnd"/>
      <w:r w:rsidR="003009B0" w:rsidRPr="00E70281">
        <w:rPr>
          <w:color w:val="auto"/>
        </w:rPr>
        <w:t xml:space="preserve"> et al. 2007 </w:t>
      </w:r>
      <w:r w:rsidR="003009B0" w:rsidRPr="00E70281">
        <w:rPr>
          <w:color w:val="auto"/>
        </w:rPr>
        <w:fldChar w:fldCharType="begin" w:fldLock="1"/>
      </w:r>
      <w:r w:rsidR="003776C0" w:rsidRPr="00E70281">
        <w:rPr>
          <w:color w:val="auto"/>
        </w:rPr>
        <w:instrText>ADDIN CSL_CITATION {"citationItems":[{"id":"ITEM-1","itemData":{"DOI":"10.1016/j.bej.2007.04.011","ISSN":"1369703X","abstract":"The adsorption of lead onto formaldehyde or sulphuric acid treated acorn waste was studied using a batch sorber. The aim of this study was to understand the mechanisms that govern lead removal and find a suitable equilibrium isotherm and kinetic model for the lead removal in a batch reactor. The experimental isotherm data were analyzed using the Langmuir, Freundlich and Temkin equations. The equilibrium data fit well the Langmuir isotherm. The experimental data were analyzed using four adsorption kinetic models - the pseudo first- and second-order equations, intraparticle diffusion equation and the Elovich equation - to determine the best fit equation for the adsorption of lead ions onto formaldehyde or sulphuric acid treated acorn waste. The rate constants, equilibrium capacities and related correlation coefficients for each kinetic model were calculated and discussed. Also, predicted qt values from the kinetic equations were compared with the experimental data. Results show that the pseudo second-order equation provides the best correlation for the adsorption process, whereas the Elovich equation also fits the experimental data well. © 2007 Elsevier B.V. All rights reserved.","author":[{"dropping-particle":"","family":"Örnek","given":"Ahmet","non-dropping-particle":"","parse-names":false,"suffix":""},{"dropping-particle":"","family":"Özacar","given":"Mahmut","non-dropping-particle":"","parse-names":false,"suffix":""},{"dropping-particle":"","family":"Şengil","given":"I. Ayhan","non-dropping-particle":"","parse-names":false,"suffix":""}],"container-title":"Biochemical Engineering Journal","id":"ITEM-1","issue":"2","issued":{"date-parts":[["2007"]]},"page":"192-200","title":"Adsorption of lead onto formaldehyde or sulphuric acid treated acorn waste: Equilibrium and kinetic studies","type":"article-journal","volume":"37"},"uris":["http://www.mendeley.com/documents/?uuid=ee107298-b3ae-43a0-90e0-58f3a14acfb0"]}],"mendeley":{"formattedCitation":"&lt;sup&gt;32&lt;/sup&gt;","plainTextFormattedCitation":"32","previouslyFormattedCitation":"&lt;sup&gt;32&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32</w:t>
      </w:r>
      <w:r w:rsidR="003009B0" w:rsidRPr="00E70281">
        <w:rPr>
          <w:color w:val="auto"/>
        </w:rPr>
        <w:fldChar w:fldCharType="end"/>
      </w:r>
      <w:r w:rsidR="003009B0" w:rsidRPr="00E70281">
        <w:rPr>
          <w:color w:val="auto"/>
        </w:rPr>
        <w:t>, (1</w:t>
      </w:r>
      <w:r w:rsidR="00C21021" w:rsidRPr="00E70281">
        <w:rPr>
          <w:color w:val="auto"/>
        </w:rPr>
        <w:t>2</w:t>
      </w:r>
      <w:r w:rsidR="003009B0" w:rsidRPr="00E70281">
        <w:rPr>
          <w:color w:val="auto"/>
        </w:rPr>
        <w:t xml:space="preserve">) Zhan et al. 2018 </w:t>
      </w:r>
      <w:r w:rsidR="003009B0" w:rsidRPr="00E70281">
        <w:rPr>
          <w:color w:val="auto"/>
        </w:rPr>
        <w:fldChar w:fldCharType="begin" w:fldLock="1"/>
      </w:r>
      <w:r w:rsidR="003776C0" w:rsidRPr="00E70281">
        <w:rPr>
          <w:color w:val="auto"/>
        </w:rPr>
        <w:instrText>ADDIN CSL_CITATION {"citationItems":[{"id":"ITEM-1","itemData":{"DOI":"10.1039/c8ra02055h","ISSN":"20462069","abstract":"In this paper, crosslinked cellulose/sodium alginate (SA) was modified with polyethyleneimine (PEI) as an adsorbent (PEI-RCSA) for comparative and competitive adsorption of Cu(ii), Zn(ii), and Pb(ii) in single and binary aqueous solutions. FTIR, SEM, TGA and specific surface area analysis were used to characterize the structural characteristics of PEI-RCSA. The effects of initial pH of solutions, contact time and initial concentration of heavy metal ions on the adsorption capacity of PEI-RCSA were investigated. The experimental results revealed that the removal of metal ions on the PEI-RCSA was a pH-dependent process with the maximum adsorption capacity at the initial solution pH of 5-6. The adsorption kinetics were followed by a pseudo-second-order kinetics model, and the diffusion properties played a significant role in the control of the adsorption kinetics. Meanwhile, adsorption isotherms were successfully described by the Langmuir model in a single aqueous solution system. The maximum adsorption capacities of PEI-RCSA for Cu(ii), Zn(ii), and Pb(ii) in a single system were 177.1, 110.2 and 234.2 mg g-1, respectively. The binary-component system was better described with the Langmuir competitive isotherm model. The removal efficiencies didn't change significantly when three adsorption-desorption experimental cycles were conducted. All the above results indicated that PEI-RCSA has promising applications in the treatment of toxic metal pollution.","author":[{"dropping-particle":"","family":"Zhan","given":"Wei","non-dropping-particle":"","parse-names":false,"suffix":""},{"dropping-particle":"","family":"Xu","given":"Chuanhui","non-dropping-particle":"","parse-names":false,"suffix":""},{"dropping-particle":"","family":"Qian","given":"Guangfu","non-dropping-particle":"","parse-names":false,"suffix":""},{"dropping-particle":"","family":"Huang","given":"Guohuan","non-dropping-particle":"","parse-names":false,"suffix":""},{"dropping-particle":"","family":"Tang","given":"Xiuzhen","non-dropping-particle":"","parse-names":false,"suffix":""},{"dropping-particle":"","family":"Lin","given":"Baofeng","non-dropping-particle":"","parse-names":false,"suffix":""}],"container-title":"RSC Advances","id":"ITEM-1","issue":"33","issued":{"date-parts":[["2018"]]},"page":"18723-18733","publisher":"Royal Society of Chemistry","title":"Adsorption of Cu(ii), Zn(ii), and Pb(ii) from aqueous single and binary metal solutions by regenerated cellulose and sodium alginate chemically modified with polyethyleneimine","type":"article-journal","volume":"8"},"uris":["http://www.mendeley.com/documents/?uuid=4d36166a-70a9-42a6-9b54-bbf034dc4be9"]}],"mendeley":{"formattedCitation":"&lt;sup&gt;33&lt;/sup&gt;","plainTextFormattedCitation":"33","previouslyFormattedCitation":"&lt;sup&gt;33&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33</w:t>
      </w:r>
      <w:r w:rsidR="003009B0" w:rsidRPr="00E70281">
        <w:rPr>
          <w:color w:val="auto"/>
        </w:rPr>
        <w:fldChar w:fldCharType="end"/>
      </w:r>
      <w:r w:rsidR="003009B0" w:rsidRPr="00E70281">
        <w:rPr>
          <w:color w:val="auto"/>
        </w:rPr>
        <w:t>, (1</w:t>
      </w:r>
      <w:r w:rsidR="00C21021" w:rsidRPr="00E70281">
        <w:rPr>
          <w:color w:val="auto"/>
        </w:rPr>
        <w:t>3</w:t>
      </w:r>
      <w:r w:rsidR="003009B0" w:rsidRPr="00E70281">
        <w:rPr>
          <w:color w:val="auto"/>
        </w:rPr>
        <w:t xml:space="preserve">) Ai et al. 2020 </w:t>
      </w:r>
      <w:r w:rsidR="003009B0" w:rsidRPr="00E70281">
        <w:rPr>
          <w:color w:val="auto"/>
        </w:rPr>
        <w:fldChar w:fldCharType="begin" w:fldLock="1"/>
      </w:r>
      <w:r w:rsidR="003776C0" w:rsidRPr="00E70281">
        <w:rPr>
          <w:color w:val="auto"/>
        </w:rPr>
        <w:instrText>ADDIN CSL_CITATION {"citationItems":[{"id":"ITEM-1","itemData":{"DOI":"10.1039/d0ra02346a","ISSN":"20462069","abstract":"Single-component and competitive adsorption of tetracycline (TC) and Zn(ii) on an NH4Cl-induced magnetic ultra-fine buckwheat peel powder biochar (NH4Cl-BHP-char/Fe3O4) was investigated in batch experiments. NH4Cl-BHP-char/Fe3O4exhibited a large surface area of 1119.097 m2g−1and a total pore volume of 0.139 cm3g−1and was easily separated from aqueous solution using a magnet. Also, adsorption was endothermic, spontaneous, and highly pH-dependent. The optimum pH of the single-component adsorption of TC and Zn(ii) was 4.0 and 6.5, respectively, and the optimum pH of co-adsorption was 6.0. The kinetics studies showed the prepared biochar could be rapidly adsorbed within 60 min, and chemical adsorption was dominant. For single-component adsorption, the maximum adsorption capacities of TC and Zn(ii) were 106.38 and 151.52 mg g−1, respectively, and they underwent monolayer adsorption on the biochar surface. Moreover, for competitive adsorption, maximum TC and Zn(ii) adsorption capacities of 126.58 and 357.14 mg g−1were achieved. Both film diffusion and intra-particle diffusion were found to be significant processes to facilitate adsorption. TC and Zn(ii) promoted the adsorption of each other. The proposed biochar could be used repeatedly for at least four cycles. All these results demonstrated that developed NH4Cl-BHP-char/Fe3O4was regarded as a low-cost alternative adsorbent to remove the heavy metal ions and antibiotic pollutants from water or wastewater.","author":[{"dropping-particle":"","family":"Ai","given":"Tian","non-dropping-particle":"","parse-names":false,"suffix":""},{"dropping-particle":"","family":"Jiang","given":"Xiaojun","non-dropping-particle":"","parse-names":false,"suffix":""},{"dropping-particle":"","family":"Liu","given":"Qingyu","non-dropping-particle":"","parse-names":false,"suffix":""},{"dropping-particle":"","family":"Lv","given":"Linlin","non-dropping-particle":"","parse-names":false,"suffix":""},{"dropping-particle":"","family":"Dai","given":"Shujuan","non-dropping-particle":"","parse-names":false,"suffix":""}],"container-title":"RSC Advances","id":"ITEM-1","issue":"35","issued":{"date-parts":[["2020"]]},"page":"20427-20437","publisher":"Royal Society of Chemistry","title":"Single-component and competitive adsorption of tetracycline and Zn(ii) on an NH4Cl-induced magnetic ultra-fine buckwheat peel powder biochar from water: studies on the kinetics, isotherms, and mechanism","type":"article-journal","volume":"10"},"uris":["http://www.mendeley.com/documents/?uuid=aff8632e-fb3f-4cdd-85ea-62ee46002ca1"]}],"mendeley":{"formattedCitation":"&lt;sup&gt;34&lt;/sup&gt;","plainTextFormattedCitation":"34","previouslyFormattedCitation":"&lt;sup&gt;34&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34</w:t>
      </w:r>
      <w:r w:rsidR="003009B0" w:rsidRPr="00E70281">
        <w:rPr>
          <w:color w:val="auto"/>
        </w:rPr>
        <w:fldChar w:fldCharType="end"/>
      </w:r>
      <w:r w:rsidR="003009B0" w:rsidRPr="00E70281">
        <w:rPr>
          <w:color w:val="auto"/>
        </w:rPr>
        <w:t>, (1</w:t>
      </w:r>
      <w:r w:rsidR="00C21021" w:rsidRPr="00E70281">
        <w:rPr>
          <w:color w:val="auto"/>
        </w:rPr>
        <w:t>4</w:t>
      </w:r>
      <w:r w:rsidR="003009B0" w:rsidRPr="00E70281">
        <w:rPr>
          <w:color w:val="auto"/>
        </w:rPr>
        <w:t xml:space="preserve">) </w:t>
      </w:r>
      <w:proofErr w:type="spellStart"/>
      <w:r w:rsidR="003009B0" w:rsidRPr="00E70281">
        <w:rPr>
          <w:color w:val="auto"/>
        </w:rPr>
        <w:t>Nadiye-tabbiruka</w:t>
      </w:r>
      <w:proofErr w:type="spellEnd"/>
      <w:r w:rsidR="003009B0" w:rsidRPr="00E70281">
        <w:rPr>
          <w:color w:val="auto"/>
        </w:rPr>
        <w:t xml:space="preserve"> and </w:t>
      </w:r>
      <w:proofErr w:type="spellStart"/>
      <w:r w:rsidR="003009B0" w:rsidRPr="00E70281">
        <w:rPr>
          <w:color w:val="auto"/>
        </w:rPr>
        <w:t>Sejie</w:t>
      </w:r>
      <w:proofErr w:type="spellEnd"/>
      <w:r w:rsidR="003009B0" w:rsidRPr="00E70281">
        <w:rPr>
          <w:color w:val="auto"/>
        </w:rPr>
        <w:t xml:space="preserve"> 2019 </w:t>
      </w:r>
      <w:r w:rsidR="003009B0" w:rsidRPr="00E70281">
        <w:rPr>
          <w:color w:val="auto"/>
        </w:rPr>
        <w:fldChar w:fldCharType="begin" w:fldLock="1"/>
      </w:r>
      <w:r w:rsidR="003776C0" w:rsidRPr="00E70281">
        <w:rPr>
          <w:color w:val="auto"/>
        </w:rPr>
        <w:instrText>ADDIN CSL_CITATION {"citationItems":[{"id":"ITEM-1","itemData":{"DOI":"10.5923/j.nn.20190902.01","author":[{"dropping-particle":"","family":"Nadiye-tabbiruka","given":"Misael Silas","non-dropping-particle":"","parse-names":false,"suffix":""},{"dropping-particle":"","family":"Sejie","given":"Fortunate Phenyo","non-dropping-particle":"","parse-names":false,"suffix":""}],"id":"ITEM-1","issue":"2","issued":{"date-parts":[["2019"]]},"page":"37-43","title":"Preparation of Coal-Kaolinite Nano Composites and Investigation of Their Use to Remove Methyl Orange from Water","type":"article-journal","volume":"9"},"uris":["http://www.mendeley.com/documents/?uuid=1d5da18e-eaf9-4d67-a20a-382eb6ab71fc"]}],"mendeley":{"formattedCitation":"&lt;sup&gt;35&lt;/sup&gt;","plainTextFormattedCitation":"35","previouslyFormattedCitation":"&lt;sup&gt;35&lt;/sup&gt;"},"properties":{"noteIndex":0},"schema":"https://github.com/citation-style-language/schema/raw/master/csl-citation.json"}</w:instrText>
      </w:r>
      <w:r w:rsidR="003009B0" w:rsidRPr="00E70281">
        <w:rPr>
          <w:color w:val="auto"/>
        </w:rPr>
        <w:fldChar w:fldCharType="separate"/>
      </w:r>
      <w:r w:rsidR="00623D96" w:rsidRPr="00E70281">
        <w:rPr>
          <w:i w:val="0"/>
          <w:noProof/>
          <w:color w:val="auto"/>
          <w:vertAlign w:val="superscript"/>
        </w:rPr>
        <w:t>35</w:t>
      </w:r>
      <w:r w:rsidR="003009B0" w:rsidRPr="00E70281">
        <w:rPr>
          <w:color w:val="auto"/>
        </w:rPr>
        <w:fldChar w:fldCharType="end"/>
      </w:r>
      <w:r w:rsidR="003009B0" w:rsidRPr="00E70281">
        <w:rPr>
          <w:color w:val="auto"/>
        </w:rPr>
        <w:t>.</w:t>
      </w:r>
    </w:p>
    <w:p w14:paraId="3BC60B98" w14:textId="77777777" w:rsidR="00216A6F" w:rsidRPr="00E70281" w:rsidRDefault="00216A6F">
      <w:pPr>
        <w:spacing w:after="200"/>
        <w:jc w:val="left"/>
        <w:rPr>
          <w:color w:val="auto"/>
        </w:rPr>
      </w:pPr>
    </w:p>
    <w:p w14:paraId="41972633" w14:textId="0D1EEBB6" w:rsidR="00AC2093" w:rsidRPr="00E70281" w:rsidRDefault="006F13AF" w:rsidP="0064324F">
      <w:pPr>
        <w:pStyle w:val="Heading3"/>
        <w:numPr>
          <w:ilvl w:val="0"/>
          <w:numId w:val="0"/>
        </w:numPr>
        <w:ind w:left="1080"/>
        <w:rPr>
          <w:color w:val="auto"/>
          <w:vertAlign w:val="subscript"/>
        </w:rPr>
      </w:pPr>
      <w:bookmarkStart w:id="21" w:name="_Ref33700552"/>
      <w:bookmarkStart w:id="22" w:name="_Hlk61358233"/>
      <w:r w:rsidRPr="00E70281">
        <w:rPr>
          <w:color w:val="auto"/>
        </w:rPr>
        <w:t>Determining the i</w:t>
      </w:r>
      <w:r w:rsidR="00AC2093" w:rsidRPr="00E70281">
        <w:rPr>
          <w:color w:val="auto"/>
        </w:rPr>
        <w:t>nfluence of C</w:t>
      </w:r>
      <w:r w:rsidR="00AC2093" w:rsidRPr="00E70281">
        <w:rPr>
          <w:color w:val="auto"/>
          <w:vertAlign w:val="subscript"/>
        </w:rPr>
        <w:t>0</w:t>
      </w:r>
      <w:r w:rsidR="00AC2093" w:rsidRPr="00E70281">
        <w:rPr>
          <w:color w:val="auto"/>
        </w:rPr>
        <w:t xml:space="preserve"> and C</w:t>
      </w:r>
      <w:r w:rsidR="00AC2093" w:rsidRPr="00E70281">
        <w:rPr>
          <w:color w:val="auto"/>
          <w:vertAlign w:val="subscript"/>
        </w:rPr>
        <w:t>s</w:t>
      </w:r>
      <w:r w:rsidR="00AC2093" w:rsidRPr="00E70281">
        <w:rPr>
          <w:color w:val="auto"/>
        </w:rPr>
        <w:t xml:space="preserve"> upon </w:t>
      </w:r>
      <w:bookmarkEnd w:id="21"/>
      <w:r w:rsidR="00EE0040" w:rsidRPr="00E70281">
        <w:rPr>
          <w:color w:val="auto"/>
        </w:rPr>
        <w:t>the rate of adsorption</w:t>
      </w:r>
      <w:r w:rsidR="00DF0309" w:rsidRPr="00E70281">
        <w:rPr>
          <w:color w:val="auto"/>
        </w:rPr>
        <w:t xml:space="preserve"> </w:t>
      </w:r>
      <w:r w:rsidR="00B1470F" w:rsidRPr="00E70281">
        <w:rPr>
          <w:color w:val="auto"/>
        </w:rPr>
        <w:t xml:space="preserve">and </w:t>
      </w:r>
      <w:r w:rsidR="00EE0040" w:rsidRPr="00E70281">
        <w:rPr>
          <w:color w:val="auto"/>
        </w:rPr>
        <w:t xml:space="preserve">the PSO </w:t>
      </w:r>
      <w:r w:rsidR="00B1470F" w:rsidRPr="00E70281">
        <w:rPr>
          <w:color w:val="auto"/>
        </w:rPr>
        <w:t>rate constant k</w:t>
      </w:r>
      <w:r w:rsidR="00B1470F" w:rsidRPr="00E70281">
        <w:rPr>
          <w:color w:val="auto"/>
          <w:vertAlign w:val="subscript"/>
        </w:rPr>
        <w:t>2</w:t>
      </w:r>
    </w:p>
    <w:p w14:paraId="17056D93" w14:textId="28E9B04B" w:rsidR="00C92F8A" w:rsidRPr="00E70281" w:rsidRDefault="005A1280" w:rsidP="004515DE">
      <w:pPr>
        <w:rPr>
          <w:color w:val="auto"/>
        </w:rPr>
      </w:pPr>
      <w:bookmarkStart w:id="23" w:name="_Hlk61358155"/>
      <w:bookmarkStart w:id="24" w:name="_Hlk61259605"/>
      <w:bookmarkEnd w:id="22"/>
      <w:r w:rsidRPr="00E70281">
        <w:rPr>
          <w:color w:val="auto"/>
        </w:rPr>
        <w:t>The influence of C</w:t>
      </w:r>
      <w:r w:rsidRPr="00E70281">
        <w:rPr>
          <w:color w:val="auto"/>
          <w:vertAlign w:val="subscript"/>
        </w:rPr>
        <w:t>0</w:t>
      </w:r>
      <w:r w:rsidRPr="00E70281">
        <w:rPr>
          <w:color w:val="auto"/>
        </w:rPr>
        <w:t xml:space="preserve"> and C</w:t>
      </w:r>
      <w:r w:rsidRPr="00E70281">
        <w:rPr>
          <w:color w:val="auto"/>
          <w:vertAlign w:val="subscript"/>
        </w:rPr>
        <w:t>s</w:t>
      </w:r>
      <w:r w:rsidRPr="00E70281">
        <w:rPr>
          <w:color w:val="auto"/>
        </w:rPr>
        <w:t xml:space="preserve"> upon the initial rate of adsorption (calculated as the rate at t=0 using </w:t>
      </w:r>
      <w:r w:rsidR="003540D0" w:rsidRPr="00E70281">
        <w:rPr>
          <w:color w:val="auto"/>
        </w:rPr>
        <w:t>non-linear</w:t>
      </w:r>
      <w:r w:rsidRPr="00E70281">
        <w:rPr>
          <w:color w:val="auto"/>
        </w:rPr>
        <w:t xml:space="preserve"> PSO </w:t>
      </w:r>
      <w:r w:rsidR="003540D0" w:rsidRPr="00E70281">
        <w:rPr>
          <w:color w:val="auto"/>
        </w:rPr>
        <w:t>kinetics</w:t>
      </w:r>
      <w:r w:rsidRPr="00E70281">
        <w:rPr>
          <w:color w:val="auto"/>
        </w:rPr>
        <w:t xml:space="preserve">) is presented in </w:t>
      </w:r>
      <w:r w:rsidRPr="00E70281">
        <w:rPr>
          <w:color w:val="auto"/>
        </w:rPr>
        <w:fldChar w:fldCharType="begin"/>
      </w:r>
      <w:r w:rsidRPr="00E70281">
        <w:rPr>
          <w:color w:val="auto"/>
        </w:rPr>
        <w:instrText xml:space="preserve"> REF _Ref30766058 \h </w:instrText>
      </w:r>
      <w:r w:rsidRPr="00E70281">
        <w:rPr>
          <w:color w:val="auto"/>
        </w:rPr>
      </w:r>
      <w:r w:rsidRPr="00E70281">
        <w:rPr>
          <w:color w:val="auto"/>
        </w:rPr>
        <w:fldChar w:fldCharType="separate"/>
      </w:r>
      <w:r w:rsidR="00D37CAD" w:rsidRPr="00E70281">
        <w:rPr>
          <w:color w:val="auto"/>
        </w:rPr>
        <w:t xml:space="preserve">Figure </w:t>
      </w:r>
      <w:r w:rsidR="00D37CAD" w:rsidRPr="00E70281">
        <w:rPr>
          <w:i/>
          <w:iCs/>
          <w:noProof/>
          <w:color w:val="auto"/>
        </w:rPr>
        <w:t>2</w:t>
      </w:r>
      <w:r w:rsidRPr="00E70281">
        <w:rPr>
          <w:color w:val="auto"/>
        </w:rPr>
        <w:fldChar w:fldCharType="end"/>
      </w:r>
      <w:r w:rsidRPr="00E70281">
        <w:rPr>
          <w:color w:val="auto"/>
        </w:rPr>
        <w:t xml:space="preserve">. </w:t>
      </w:r>
      <w:r w:rsidR="003540D0" w:rsidRPr="00E70281">
        <w:rPr>
          <w:color w:val="auto"/>
        </w:rPr>
        <w:t>For each data set, t</w:t>
      </w:r>
      <w:r w:rsidRPr="00E70281">
        <w:rPr>
          <w:color w:val="auto"/>
        </w:rPr>
        <w:t>he order of reaction</w:t>
      </w:r>
      <w:r w:rsidR="003540D0" w:rsidRPr="00E70281">
        <w:rPr>
          <w:color w:val="auto"/>
        </w:rPr>
        <w:t xml:space="preserve"> was determined from the slope of </w:t>
      </w:r>
      <w:proofErr w:type="gramStart"/>
      <w:r w:rsidR="003540D0" w:rsidRPr="00E70281">
        <w:rPr>
          <w:color w:val="auto"/>
        </w:rPr>
        <w:t>log(</w:t>
      </w:r>
      <w:proofErr w:type="gramEnd"/>
      <w:r w:rsidR="003540D0" w:rsidRPr="00E70281">
        <w:rPr>
          <w:color w:val="auto"/>
        </w:rPr>
        <w:t>initial rate) versus log(</w:t>
      </w:r>
      <w:r w:rsidR="0014364B" w:rsidRPr="00E70281">
        <w:rPr>
          <w:color w:val="auto"/>
        </w:rPr>
        <w:t>C</w:t>
      </w:r>
      <w:r w:rsidR="0014364B" w:rsidRPr="00E70281">
        <w:rPr>
          <w:color w:val="auto"/>
          <w:vertAlign w:val="subscript"/>
        </w:rPr>
        <w:t>0</w:t>
      </w:r>
      <w:r w:rsidR="003540D0" w:rsidRPr="00E70281">
        <w:rPr>
          <w:color w:val="auto"/>
        </w:rPr>
        <w:t>)</w:t>
      </w:r>
      <w:r w:rsidR="0014364B" w:rsidRPr="00E70281">
        <w:rPr>
          <w:color w:val="auto"/>
        </w:rPr>
        <w:t xml:space="preserve"> or log(C</w:t>
      </w:r>
      <w:r w:rsidR="0014364B" w:rsidRPr="00E70281">
        <w:rPr>
          <w:color w:val="auto"/>
          <w:vertAlign w:val="subscript"/>
        </w:rPr>
        <w:t>s</w:t>
      </w:r>
      <w:r w:rsidR="0014364B" w:rsidRPr="00E70281">
        <w:rPr>
          <w:color w:val="auto"/>
        </w:rPr>
        <w:t>)</w:t>
      </w:r>
      <w:r w:rsidR="003540D0" w:rsidRPr="00E70281">
        <w:rPr>
          <w:color w:val="auto"/>
        </w:rPr>
        <w:t xml:space="preserve"> (</w:t>
      </w:r>
      <w:r w:rsidR="003540D0" w:rsidRPr="00E70281">
        <w:rPr>
          <w:color w:val="auto"/>
        </w:rPr>
        <w:fldChar w:fldCharType="begin"/>
      </w:r>
      <w:r w:rsidR="003540D0" w:rsidRPr="00E70281">
        <w:rPr>
          <w:color w:val="auto"/>
        </w:rPr>
        <w:instrText xml:space="preserve"> REF _Ref30766058 \h </w:instrText>
      </w:r>
      <w:r w:rsidR="003540D0" w:rsidRPr="00E70281">
        <w:rPr>
          <w:color w:val="auto"/>
        </w:rPr>
      </w:r>
      <w:r w:rsidR="003540D0" w:rsidRPr="00E70281">
        <w:rPr>
          <w:color w:val="auto"/>
        </w:rPr>
        <w:fldChar w:fldCharType="separate"/>
      </w:r>
      <w:r w:rsidR="00D37CAD" w:rsidRPr="00E70281">
        <w:rPr>
          <w:color w:val="auto"/>
        </w:rPr>
        <w:t xml:space="preserve">Figure </w:t>
      </w:r>
      <w:r w:rsidR="00D37CAD" w:rsidRPr="00E70281">
        <w:rPr>
          <w:i/>
          <w:iCs/>
          <w:noProof/>
          <w:color w:val="auto"/>
        </w:rPr>
        <w:t>2</w:t>
      </w:r>
      <w:r w:rsidR="003540D0" w:rsidRPr="00E70281">
        <w:rPr>
          <w:color w:val="auto"/>
        </w:rPr>
        <w:fldChar w:fldCharType="end"/>
      </w:r>
      <w:r w:rsidR="003540D0" w:rsidRPr="00E70281">
        <w:rPr>
          <w:color w:val="auto"/>
        </w:rPr>
        <w:t xml:space="preserve">a,b). </w:t>
      </w:r>
      <w:bookmarkStart w:id="25" w:name="_Hlk61259455"/>
      <w:r w:rsidR="003540D0" w:rsidRPr="00E70281">
        <w:rPr>
          <w:color w:val="auto"/>
        </w:rPr>
        <w:t>Based upon the evaluation of uncertainties in the initial rates calculated using non-linear PSO kinetics (</w:t>
      </w:r>
      <w:r w:rsidR="005A3F75" w:rsidRPr="00E70281">
        <w:rPr>
          <w:color w:val="FF0000"/>
        </w:rPr>
        <w:t>see</w:t>
      </w:r>
      <w:r w:rsidR="00C271C1" w:rsidRPr="00E70281">
        <w:rPr>
          <w:color w:val="FF0000"/>
        </w:rPr>
        <w:t xml:space="preserve"> </w:t>
      </w:r>
      <w:r w:rsidR="00C271C1" w:rsidRPr="00E70281">
        <w:rPr>
          <w:color w:val="auto"/>
        </w:rPr>
        <w:t>previous section</w:t>
      </w:r>
      <w:r w:rsidR="003540D0" w:rsidRPr="00E70281">
        <w:rPr>
          <w:color w:val="auto"/>
        </w:rPr>
        <w:t xml:space="preserve">), the reaction orders </w:t>
      </w:r>
      <w:r w:rsidR="003926E8" w:rsidRPr="00E70281">
        <w:rPr>
          <w:color w:val="auto"/>
        </w:rPr>
        <w:t xml:space="preserve">are </w:t>
      </w:r>
      <w:r w:rsidR="003540D0" w:rsidRPr="00E70281">
        <w:rPr>
          <w:color w:val="auto"/>
        </w:rPr>
        <w:t>accurate to the nearest in</w:t>
      </w:r>
      <w:r w:rsidR="0014364B" w:rsidRPr="00E70281">
        <w:rPr>
          <w:color w:val="auto"/>
        </w:rPr>
        <w:t xml:space="preserve">teger value. </w:t>
      </w:r>
      <w:bookmarkEnd w:id="25"/>
      <w:r w:rsidR="0014364B" w:rsidRPr="00E70281">
        <w:rPr>
          <w:color w:val="auto"/>
        </w:rPr>
        <w:t>The data sets tend</w:t>
      </w:r>
      <w:r w:rsidR="003540D0" w:rsidRPr="00E70281">
        <w:rPr>
          <w:color w:val="auto"/>
        </w:rPr>
        <w:t xml:space="preserve"> to show a first-order dependency of initial rate upon the initial adsorbate concentration (C</w:t>
      </w:r>
      <w:r w:rsidR="003540D0" w:rsidRPr="00E70281">
        <w:rPr>
          <w:color w:val="auto"/>
          <w:vertAlign w:val="subscript"/>
        </w:rPr>
        <w:t>0</w:t>
      </w:r>
      <w:r w:rsidR="003540D0" w:rsidRPr="00E70281">
        <w:rPr>
          <w:color w:val="auto"/>
        </w:rPr>
        <w:t>) (</w:t>
      </w:r>
      <w:r w:rsidR="003540D0" w:rsidRPr="00E70281">
        <w:rPr>
          <w:color w:val="auto"/>
        </w:rPr>
        <w:fldChar w:fldCharType="begin"/>
      </w:r>
      <w:r w:rsidR="003540D0" w:rsidRPr="00E70281">
        <w:rPr>
          <w:color w:val="auto"/>
        </w:rPr>
        <w:instrText xml:space="preserve"> REF _Ref30766058 \h </w:instrText>
      </w:r>
      <w:r w:rsidR="003540D0" w:rsidRPr="00E70281">
        <w:rPr>
          <w:color w:val="auto"/>
        </w:rPr>
      </w:r>
      <w:r w:rsidR="003540D0" w:rsidRPr="00E70281">
        <w:rPr>
          <w:color w:val="auto"/>
        </w:rPr>
        <w:fldChar w:fldCharType="separate"/>
      </w:r>
      <w:r w:rsidR="00D37CAD" w:rsidRPr="00E70281">
        <w:rPr>
          <w:color w:val="auto"/>
        </w:rPr>
        <w:t xml:space="preserve">Figure </w:t>
      </w:r>
      <w:r w:rsidR="00D37CAD" w:rsidRPr="00E70281">
        <w:rPr>
          <w:i/>
          <w:iCs/>
          <w:noProof/>
          <w:color w:val="auto"/>
        </w:rPr>
        <w:t>2</w:t>
      </w:r>
      <w:r w:rsidR="003540D0" w:rsidRPr="00E70281">
        <w:rPr>
          <w:color w:val="auto"/>
        </w:rPr>
        <w:fldChar w:fldCharType="end"/>
      </w:r>
      <w:r w:rsidR="003540D0" w:rsidRPr="00E70281">
        <w:rPr>
          <w:color w:val="auto"/>
        </w:rPr>
        <w:t xml:space="preserve">c), with an average </w:t>
      </w:r>
      <w:r w:rsidR="00F01362" w:rsidRPr="00E70281">
        <w:rPr>
          <w:color w:val="auto"/>
        </w:rPr>
        <w:t>dependency</w:t>
      </w:r>
      <w:r w:rsidR="00200D69" w:rsidRPr="00E70281">
        <w:rPr>
          <w:color w:val="auto"/>
        </w:rPr>
        <w:t xml:space="preserve"> </w:t>
      </w:r>
      <w:r w:rsidR="003540D0" w:rsidRPr="00E70281">
        <w:rPr>
          <w:color w:val="auto"/>
        </w:rPr>
        <w:t>a</w:t>
      </w:r>
      <w:r w:rsidR="00EE0040" w:rsidRPr="00E70281">
        <w:rPr>
          <w:color w:val="auto"/>
        </w:rPr>
        <w:t>nd standard deviation of 0.80 ±</w:t>
      </w:r>
      <w:r w:rsidR="003540D0" w:rsidRPr="00E70281">
        <w:rPr>
          <w:color w:val="auto"/>
        </w:rPr>
        <w:t>0.38, and a median value of 0.67.</w:t>
      </w:r>
      <w:r w:rsidR="005731A5" w:rsidRPr="00E70281">
        <w:rPr>
          <w:color w:val="auto"/>
        </w:rPr>
        <w:t xml:space="preserve"> </w:t>
      </w:r>
      <w:r w:rsidR="00DF34BE" w:rsidRPr="00E70281">
        <w:rPr>
          <w:color w:val="auto"/>
        </w:rPr>
        <w:t xml:space="preserve">Of the 9 data sets, 7 were closest to first-order dependency, </w:t>
      </w:r>
      <w:r w:rsidR="00D90260" w:rsidRPr="00D90260">
        <w:rPr>
          <w:color w:val="FF0000"/>
        </w:rPr>
        <w:t>whilst</w:t>
      </w:r>
      <w:r w:rsidR="00DF34BE" w:rsidRPr="00D90260">
        <w:rPr>
          <w:color w:val="FF0000"/>
        </w:rPr>
        <w:t xml:space="preserve"> </w:t>
      </w:r>
      <w:r w:rsidR="00DF34BE" w:rsidRPr="00E70281">
        <w:rPr>
          <w:color w:val="auto"/>
        </w:rPr>
        <w:t xml:space="preserve">2 </w:t>
      </w:r>
      <w:r w:rsidR="00C271C1" w:rsidRPr="00E70281">
        <w:rPr>
          <w:color w:val="auto"/>
        </w:rPr>
        <w:t>were</w:t>
      </w:r>
      <w:r w:rsidR="00DF34BE" w:rsidRPr="00E70281">
        <w:rPr>
          <w:color w:val="auto"/>
        </w:rPr>
        <w:t xml:space="preserve"> closer to zero-order dependency.</w:t>
      </w:r>
      <w:r w:rsidR="00FB6A3A" w:rsidRPr="00E70281">
        <w:rPr>
          <w:color w:val="auto"/>
        </w:rPr>
        <w:t xml:space="preserve"> The sum of normal distributions </w:t>
      </w:r>
      <w:r w:rsidR="00EE0040" w:rsidRPr="00E70281">
        <w:rPr>
          <w:color w:val="auto"/>
        </w:rPr>
        <w:t>representing</w:t>
      </w:r>
      <w:r w:rsidR="00FB6A3A" w:rsidRPr="00E70281">
        <w:rPr>
          <w:color w:val="auto"/>
        </w:rPr>
        <w:t xml:space="preserve"> the reaction order</w:t>
      </w:r>
      <w:r w:rsidR="00EE0040" w:rsidRPr="00E70281">
        <w:rPr>
          <w:color w:val="auto"/>
        </w:rPr>
        <w:t>s</w:t>
      </w:r>
      <w:r w:rsidR="00FB6A3A" w:rsidRPr="00E70281">
        <w:rPr>
          <w:color w:val="auto"/>
        </w:rPr>
        <w:t xml:space="preserve"> and uncertaint</w:t>
      </w:r>
      <w:r w:rsidR="00EE0040" w:rsidRPr="00E70281">
        <w:rPr>
          <w:color w:val="auto"/>
        </w:rPr>
        <w:t>ies</w:t>
      </w:r>
      <w:r w:rsidR="00FB6A3A" w:rsidRPr="00E70281">
        <w:rPr>
          <w:color w:val="auto"/>
        </w:rPr>
        <w:t xml:space="preserve"> </w:t>
      </w:r>
      <w:r w:rsidR="00EE0040" w:rsidRPr="00E70281">
        <w:rPr>
          <w:color w:val="auto"/>
        </w:rPr>
        <w:t>calculated</w:t>
      </w:r>
      <w:r w:rsidR="00FB6A3A" w:rsidRPr="00E70281">
        <w:rPr>
          <w:color w:val="auto"/>
        </w:rPr>
        <w:t xml:space="preserve"> for each data set was approximated by a single normal distribution. (However, a larger number of data sets </w:t>
      </w:r>
      <w:r w:rsidR="00F01362" w:rsidRPr="00E70281">
        <w:rPr>
          <w:color w:val="auto"/>
        </w:rPr>
        <w:t>are</w:t>
      </w:r>
      <w:r w:rsidR="00FB6A3A" w:rsidRPr="00E70281">
        <w:rPr>
          <w:color w:val="auto"/>
        </w:rPr>
        <w:t xml:space="preserve"> </w:t>
      </w:r>
      <w:r w:rsidR="00F01362" w:rsidRPr="00E70281">
        <w:rPr>
          <w:color w:val="auto"/>
        </w:rPr>
        <w:t>needed</w:t>
      </w:r>
      <w:r w:rsidR="00FB6A3A" w:rsidRPr="00E70281">
        <w:rPr>
          <w:color w:val="auto"/>
        </w:rPr>
        <w:t xml:space="preserve"> to </w:t>
      </w:r>
      <w:r w:rsidR="005A3F75" w:rsidRPr="00E70281">
        <w:rPr>
          <w:color w:val="FF0000"/>
        </w:rPr>
        <w:t>confirm</w:t>
      </w:r>
      <w:r w:rsidR="00FB6A3A" w:rsidRPr="00E70281">
        <w:rPr>
          <w:color w:val="FF0000"/>
        </w:rPr>
        <w:t xml:space="preserve"> </w:t>
      </w:r>
      <w:r w:rsidR="00FB6A3A" w:rsidRPr="00E70281">
        <w:rPr>
          <w:color w:val="auto"/>
        </w:rPr>
        <w:t xml:space="preserve">this). </w:t>
      </w:r>
      <w:bookmarkStart w:id="26" w:name="_Hlk61255752"/>
      <w:r w:rsidR="00C92F8A" w:rsidRPr="00E70281">
        <w:rPr>
          <w:color w:val="auto"/>
        </w:rPr>
        <w:t xml:space="preserve">Based upon the standard deviation and assuming a normal distribution in the results, the relationship between </w:t>
      </w:r>
      <w:r w:rsidR="00EE0040" w:rsidRPr="00E70281">
        <w:rPr>
          <w:color w:val="auto"/>
        </w:rPr>
        <w:t>the initial rate and</w:t>
      </w:r>
      <w:r w:rsidR="00C92F8A" w:rsidRPr="00E70281">
        <w:rPr>
          <w:color w:val="auto"/>
        </w:rPr>
        <w:t xml:space="preserve"> C</w:t>
      </w:r>
      <w:r w:rsidR="00C92F8A" w:rsidRPr="00E70281">
        <w:rPr>
          <w:color w:val="auto"/>
          <w:vertAlign w:val="subscript"/>
        </w:rPr>
        <w:t>0</w:t>
      </w:r>
      <w:r w:rsidR="00C92F8A" w:rsidRPr="00E70281">
        <w:rPr>
          <w:color w:val="auto"/>
        </w:rPr>
        <w:t xml:space="preserve"> is first-order with a 90% confidence interval (1.65 standard deviations).</w:t>
      </w:r>
      <w:r w:rsidR="00FB6A3A" w:rsidRPr="00E70281">
        <w:rPr>
          <w:color w:val="auto"/>
        </w:rPr>
        <w:t xml:space="preserve"> This is intuitive for both diffusion and adsorption-controlled mechanisms, as twice as much adsorbate should lead to twice as much adsorbate flux from </w:t>
      </w:r>
      <w:r w:rsidR="00D90260" w:rsidRPr="00D90260">
        <w:rPr>
          <w:color w:val="FF0000"/>
        </w:rPr>
        <w:t>the</w:t>
      </w:r>
      <w:r w:rsidR="00D520D9">
        <w:rPr>
          <w:color w:val="FF0000"/>
        </w:rPr>
        <w:t xml:space="preserve"> surface of the</w:t>
      </w:r>
      <w:r w:rsidR="00D90260" w:rsidRPr="00D90260">
        <w:rPr>
          <w:color w:val="FF0000"/>
        </w:rPr>
        <w:t xml:space="preserve"> </w:t>
      </w:r>
      <w:r w:rsidR="00FB6A3A" w:rsidRPr="00E70281">
        <w:rPr>
          <w:color w:val="auto"/>
        </w:rPr>
        <w:t xml:space="preserve">adsorbent </w:t>
      </w:r>
      <w:r w:rsidR="00D520D9">
        <w:rPr>
          <w:color w:val="auto"/>
        </w:rPr>
        <w:t>i</w:t>
      </w:r>
      <w:r w:rsidR="00FB6A3A" w:rsidRPr="00E70281">
        <w:rPr>
          <w:color w:val="auto"/>
        </w:rPr>
        <w:t xml:space="preserve">nto </w:t>
      </w:r>
      <w:r w:rsidR="00D520D9">
        <w:rPr>
          <w:color w:val="FF0000"/>
        </w:rPr>
        <w:t>its</w:t>
      </w:r>
      <w:r w:rsidR="00D90260" w:rsidRPr="00D90260">
        <w:rPr>
          <w:color w:val="FF0000"/>
        </w:rPr>
        <w:t xml:space="preserve"> </w:t>
      </w:r>
      <w:r w:rsidR="00FB6A3A" w:rsidRPr="00E70281">
        <w:rPr>
          <w:color w:val="auto"/>
        </w:rPr>
        <w:t>pores, and collisions with the adsorbent surface should be twice as frequent</w:t>
      </w:r>
      <w:r w:rsidR="004562D9" w:rsidRPr="00E70281">
        <w:rPr>
          <w:color w:val="auto"/>
        </w:rPr>
        <w:t xml:space="preserve"> </w:t>
      </w:r>
      <w:r w:rsidR="004562D9" w:rsidRPr="00E70281">
        <w:rPr>
          <w:color w:val="auto"/>
        </w:rPr>
        <w:fldChar w:fldCharType="begin" w:fldLock="1"/>
      </w:r>
      <w:r w:rsidR="003776C0" w:rsidRPr="00E70281">
        <w:rPr>
          <w:color w:val="auto"/>
        </w:rPr>
        <w:instrText>ADDIN CSL_CITATION {"citationItems":[{"id":"ITEM-1","itemData":{"DOI":"10.1016/j.cherd.2016.02.006","ISSN":"0263-8762","author":[{"dropping-particle":"","family":"Largitte","given":"L","non-dropping-particle":"","parse-names":false,"suffix":""},{"dropping-particle":"","family":"Pasquier","given":"R","non-dropping-particle":"","parse-names":false,"suffix":""}],"container-title":"Chemical Engineering Research and Design","id":"ITEM-1","issued":{"date-parts":[["2016"]]},"page":"495-504","publisher":"Institution of Chemical Engineers","title":"A review of the kinetics adsorption models and their application to the adsorption of lead by an activated carbon","type":"article-journal","volume":"109"},"uris":["http://www.mendeley.com/documents/?uuid=4c0dfe73-2e3d-4de3-80be-382b545898eb"]}],"mendeley":{"formattedCitation":"&lt;sup&gt;36&lt;/sup&gt;","plainTextFormattedCitation":"36","previouslyFormattedCitation":"&lt;sup&gt;36&lt;/sup&gt;"},"properties":{"noteIndex":0},"schema":"https://github.com/citation-style-language/schema/raw/master/csl-citation.json"}</w:instrText>
      </w:r>
      <w:r w:rsidR="004562D9" w:rsidRPr="00E70281">
        <w:rPr>
          <w:color w:val="auto"/>
        </w:rPr>
        <w:fldChar w:fldCharType="separate"/>
      </w:r>
      <w:r w:rsidR="00623D96" w:rsidRPr="00E70281">
        <w:rPr>
          <w:noProof/>
          <w:color w:val="auto"/>
          <w:vertAlign w:val="superscript"/>
        </w:rPr>
        <w:t>36</w:t>
      </w:r>
      <w:r w:rsidR="004562D9" w:rsidRPr="00E70281">
        <w:rPr>
          <w:color w:val="auto"/>
        </w:rPr>
        <w:fldChar w:fldCharType="end"/>
      </w:r>
      <w:r w:rsidR="004562D9" w:rsidRPr="00E70281">
        <w:rPr>
          <w:color w:val="auto"/>
        </w:rPr>
        <w:t xml:space="preserve"> </w:t>
      </w:r>
      <w:r w:rsidR="004562D9" w:rsidRPr="00E70281">
        <w:rPr>
          <w:color w:val="auto"/>
        </w:rPr>
        <w:fldChar w:fldCharType="begin" w:fldLock="1"/>
      </w:r>
      <w:r w:rsidR="00D02D2A" w:rsidRPr="00E70281">
        <w:rPr>
          <w:color w:val="auto"/>
        </w:rPr>
        <w:instrText>ADDIN CSL_CITATION {"citationItems":[{"id":"ITEM-1","itemData":{"DOI":"10.1016/S0032-9592(98)00112-5","ISSN":"13595113","abstract":"A literature review of the use of sorbents and biosorbents to treat polluted aqueous effluents containing dyes/organics or metal ions has been conducted. Over 70 systems have been reported since 1984 and over 43 of these reported the mechanism as being a pseudo-first order kinetic mechanism. Three sorption kinetic models are presented in this paper and have been used to test 11 of the literature systems previously reported as first order kinetics and one system previously reported as a second order process. In all 12 systems, the highest correlation coefficients were obtained for the pseudo- second order kinetic model.","author":[{"dropping-particle":"","family":"Ho","given":"Y S","non-dropping-particle":"","parse-names":false,"suffix":""},{"dropping-particle":"","family":"McKay","given":"G.","non-dropping-particle":"","parse-names":false,"suffix":""}],"container-title":"Process Biochemistry","id":"ITEM-1","issue":"5","issued":{"date-parts":[["1999"]]},"page":"451-465","title":"Pseudo-second order model for sorption processes","type":"article-journal","volume":"34"},"uris":["http://www.mendeley.com/documents/?uuid=1a9fc2b7-7b73-47e3-95f3-f7b4bc9c0c6f"]}],"mendeley":{"formattedCitation":"&lt;sup&gt;9&lt;/sup&gt;","plainTextFormattedCitation":"9","previouslyFormattedCitation":"&lt;sup&gt;9&lt;/sup&gt;"},"properties":{"noteIndex":0},"schema":"https://github.com/citation-style-language/schema/raw/master/csl-citation.json"}</w:instrText>
      </w:r>
      <w:r w:rsidR="004562D9" w:rsidRPr="00E70281">
        <w:rPr>
          <w:color w:val="auto"/>
        </w:rPr>
        <w:fldChar w:fldCharType="separate"/>
      </w:r>
      <w:r w:rsidR="0008043E" w:rsidRPr="00E70281">
        <w:rPr>
          <w:noProof/>
          <w:color w:val="auto"/>
          <w:vertAlign w:val="superscript"/>
        </w:rPr>
        <w:t>9</w:t>
      </w:r>
      <w:r w:rsidR="004562D9" w:rsidRPr="00E70281">
        <w:rPr>
          <w:color w:val="auto"/>
        </w:rPr>
        <w:fldChar w:fldCharType="end"/>
      </w:r>
      <w:r w:rsidR="00FB6A3A" w:rsidRPr="00E70281">
        <w:rPr>
          <w:color w:val="auto"/>
        </w:rPr>
        <w:t xml:space="preserve">. </w:t>
      </w:r>
    </w:p>
    <w:bookmarkEnd w:id="26"/>
    <w:bookmarkEnd w:id="23"/>
    <w:p w14:paraId="308A4909" w14:textId="546A6202" w:rsidR="00FE2195" w:rsidRPr="00E70281" w:rsidRDefault="00DF34BE" w:rsidP="004515DE">
      <w:pPr>
        <w:rPr>
          <w:color w:val="auto"/>
        </w:rPr>
      </w:pPr>
      <w:r w:rsidRPr="00E70281">
        <w:rPr>
          <w:color w:val="auto"/>
        </w:rPr>
        <w:t>A first-order dependency</w:t>
      </w:r>
      <w:r w:rsidR="00255ED9" w:rsidRPr="00E70281">
        <w:rPr>
          <w:color w:val="auto"/>
        </w:rPr>
        <w:t xml:space="preserve"> of initial rates (</w:t>
      </w:r>
      <w:r w:rsidR="00E9284B" w:rsidRPr="00E70281">
        <w:rPr>
          <w:color w:val="auto"/>
        </w:rPr>
        <w:t xml:space="preserve">normalised to </w:t>
      </w:r>
      <w:r w:rsidR="00255ED9" w:rsidRPr="00E70281">
        <w:rPr>
          <w:color w:val="auto"/>
        </w:rPr>
        <w:t>mg L</w:t>
      </w:r>
      <w:r w:rsidR="00255ED9" w:rsidRPr="00E70281">
        <w:rPr>
          <w:color w:val="auto"/>
          <w:vertAlign w:val="superscript"/>
        </w:rPr>
        <w:t>-1</w:t>
      </w:r>
      <w:r w:rsidR="00255ED9" w:rsidRPr="00E70281">
        <w:rPr>
          <w:color w:val="auto"/>
        </w:rPr>
        <w:t xml:space="preserve"> min</w:t>
      </w:r>
      <w:r w:rsidR="00255ED9" w:rsidRPr="00E70281">
        <w:rPr>
          <w:color w:val="auto"/>
          <w:vertAlign w:val="superscript"/>
        </w:rPr>
        <w:t>-1</w:t>
      </w:r>
      <w:r w:rsidR="00255ED9" w:rsidRPr="00E70281">
        <w:rPr>
          <w:color w:val="auto"/>
        </w:rPr>
        <w:t>)</w:t>
      </w:r>
      <w:r w:rsidRPr="00E70281">
        <w:rPr>
          <w:color w:val="auto"/>
        </w:rPr>
        <w:t xml:space="preserve"> with respect to the adsorbent concentration (C</w:t>
      </w:r>
      <w:r w:rsidRPr="00E70281">
        <w:rPr>
          <w:color w:val="auto"/>
          <w:vertAlign w:val="subscript"/>
        </w:rPr>
        <w:t>s</w:t>
      </w:r>
      <w:r w:rsidR="00477D6A" w:rsidRPr="00E70281">
        <w:rPr>
          <w:color w:val="auto"/>
        </w:rPr>
        <w:t xml:space="preserve">) </w:t>
      </w:r>
      <w:r w:rsidR="003926E8" w:rsidRPr="00E70281">
        <w:rPr>
          <w:color w:val="auto"/>
        </w:rPr>
        <w:t>is</w:t>
      </w:r>
      <w:r w:rsidR="00477D6A" w:rsidRPr="00E70281">
        <w:rPr>
          <w:color w:val="auto"/>
        </w:rPr>
        <w:t xml:space="preserve"> also </w:t>
      </w:r>
      <w:r w:rsidR="003926E8" w:rsidRPr="00E70281">
        <w:rPr>
          <w:color w:val="auto"/>
        </w:rPr>
        <w:t>observed</w:t>
      </w:r>
      <w:r w:rsidR="005731A5" w:rsidRPr="00E70281">
        <w:rPr>
          <w:color w:val="auto"/>
        </w:rPr>
        <w:t xml:space="preserve"> </w:t>
      </w:r>
      <w:r w:rsidRPr="00E70281">
        <w:rPr>
          <w:color w:val="auto"/>
        </w:rPr>
        <w:t>(</w:t>
      </w:r>
      <w:r w:rsidRPr="00E70281">
        <w:rPr>
          <w:color w:val="auto"/>
        </w:rPr>
        <w:fldChar w:fldCharType="begin"/>
      </w:r>
      <w:r w:rsidRPr="00E70281">
        <w:rPr>
          <w:color w:val="auto"/>
        </w:rPr>
        <w:instrText xml:space="preserve"> REF _Ref30766058 \h </w:instrText>
      </w:r>
      <w:r w:rsidRPr="00E70281">
        <w:rPr>
          <w:color w:val="auto"/>
        </w:rPr>
      </w:r>
      <w:r w:rsidRPr="00E70281">
        <w:rPr>
          <w:color w:val="auto"/>
        </w:rPr>
        <w:fldChar w:fldCharType="separate"/>
      </w:r>
      <w:r w:rsidR="00D37CAD" w:rsidRPr="00E70281">
        <w:rPr>
          <w:color w:val="auto"/>
        </w:rPr>
        <w:t xml:space="preserve">Figure </w:t>
      </w:r>
      <w:r w:rsidR="00D37CAD" w:rsidRPr="00E70281">
        <w:rPr>
          <w:i/>
          <w:iCs/>
          <w:noProof/>
          <w:color w:val="auto"/>
        </w:rPr>
        <w:t>2</w:t>
      </w:r>
      <w:r w:rsidRPr="00E70281">
        <w:rPr>
          <w:color w:val="auto"/>
        </w:rPr>
        <w:fldChar w:fldCharType="end"/>
      </w:r>
      <w:r w:rsidRPr="00E70281">
        <w:rPr>
          <w:color w:val="auto"/>
        </w:rPr>
        <w:t>d), albeit with a wider distribution of resu</w:t>
      </w:r>
      <w:r w:rsidR="00EE0040" w:rsidRPr="00E70281">
        <w:rPr>
          <w:color w:val="auto"/>
        </w:rPr>
        <w:t>lts: an average value of 1.11 ±</w:t>
      </w:r>
      <w:r w:rsidRPr="00E70281">
        <w:rPr>
          <w:color w:val="auto"/>
        </w:rPr>
        <w:t>0.33 and a median of 1.07. Of the 8 data sets, 6 were closest to first-order dependency, with 1 data set closer to zero-order and another closer to second-order.</w:t>
      </w:r>
      <w:r w:rsidR="00C92F8A" w:rsidRPr="00E70281">
        <w:rPr>
          <w:color w:val="auto"/>
        </w:rPr>
        <w:t xml:space="preserve"> </w:t>
      </w:r>
      <w:bookmarkStart w:id="27" w:name="_Hlk61255781"/>
      <w:r w:rsidR="00C92F8A" w:rsidRPr="00E70281">
        <w:rPr>
          <w:color w:val="auto"/>
        </w:rPr>
        <w:t xml:space="preserve">Based upon the standard deviation and assuming a normal distribution in the results, the relationship between </w:t>
      </w:r>
      <w:r w:rsidR="00EE0040" w:rsidRPr="00E70281">
        <w:rPr>
          <w:color w:val="auto"/>
        </w:rPr>
        <w:t>the initial rate and</w:t>
      </w:r>
      <w:r w:rsidR="00C92F8A" w:rsidRPr="00E70281">
        <w:rPr>
          <w:color w:val="auto"/>
        </w:rPr>
        <w:t xml:space="preserve"> C</w:t>
      </w:r>
      <w:r w:rsidR="00C92F8A" w:rsidRPr="00E70281">
        <w:rPr>
          <w:color w:val="auto"/>
          <w:vertAlign w:val="subscript"/>
        </w:rPr>
        <w:t>s</w:t>
      </w:r>
      <w:r w:rsidR="00C92F8A" w:rsidRPr="00E70281">
        <w:rPr>
          <w:color w:val="auto"/>
        </w:rPr>
        <w:t xml:space="preserve"> is also first-order with a 90% confidence interval (1.65 standard deviations).</w:t>
      </w:r>
      <w:r w:rsidR="00FB6A3A" w:rsidRPr="00E70281">
        <w:rPr>
          <w:color w:val="auto"/>
        </w:rPr>
        <w:t xml:space="preserve"> This is </w:t>
      </w:r>
      <w:r w:rsidR="003926E8" w:rsidRPr="00E70281">
        <w:rPr>
          <w:color w:val="auto"/>
        </w:rPr>
        <w:t>again</w:t>
      </w:r>
      <w:r w:rsidR="00FB6A3A" w:rsidRPr="00E70281">
        <w:rPr>
          <w:color w:val="auto"/>
        </w:rPr>
        <w:t xml:space="preserve"> intuitive for both diffusion and adsorption-controlled mechanisms, as when C</w:t>
      </w:r>
      <w:r w:rsidR="00FB6A3A" w:rsidRPr="00E70281">
        <w:rPr>
          <w:color w:val="auto"/>
          <w:vertAlign w:val="subscript"/>
        </w:rPr>
        <w:t>s</w:t>
      </w:r>
      <w:r w:rsidR="00F71767" w:rsidRPr="00E70281">
        <w:rPr>
          <w:color w:val="auto"/>
        </w:rPr>
        <w:t xml:space="preserve"> is doubled</w:t>
      </w:r>
      <w:r w:rsidR="00FB6A3A" w:rsidRPr="00E70281">
        <w:rPr>
          <w:color w:val="auto"/>
        </w:rPr>
        <w:t xml:space="preserve"> the tota</w:t>
      </w:r>
      <w:r w:rsidR="004562D9" w:rsidRPr="00E70281">
        <w:rPr>
          <w:color w:val="auto"/>
        </w:rPr>
        <w:t>l surface area</w:t>
      </w:r>
      <w:r w:rsidR="00DF6502" w:rsidRPr="00E70281">
        <w:rPr>
          <w:color w:val="auto"/>
        </w:rPr>
        <w:t xml:space="preserve"> available to</w:t>
      </w:r>
      <w:r w:rsidR="00D90260">
        <w:rPr>
          <w:color w:val="auto"/>
        </w:rPr>
        <w:t xml:space="preserve"> </w:t>
      </w:r>
      <w:r w:rsidR="00D90260" w:rsidRPr="00D90260">
        <w:rPr>
          <w:color w:val="FF0000"/>
        </w:rPr>
        <w:t>the</w:t>
      </w:r>
      <w:r w:rsidR="00DF6502" w:rsidRPr="00D90260">
        <w:rPr>
          <w:color w:val="FF0000"/>
        </w:rPr>
        <w:t xml:space="preserve"> </w:t>
      </w:r>
      <w:r w:rsidR="00DF6502" w:rsidRPr="00E70281">
        <w:rPr>
          <w:color w:val="auto"/>
        </w:rPr>
        <w:t>solution (m</w:t>
      </w:r>
      <w:r w:rsidR="00DF6502" w:rsidRPr="00E70281">
        <w:rPr>
          <w:color w:val="auto"/>
          <w:vertAlign w:val="superscript"/>
        </w:rPr>
        <w:t>2</w:t>
      </w:r>
      <w:r w:rsidR="00DF6502" w:rsidRPr="00E70281">
        <w:rPr>
          <w:color w:val="auto"/>
        </w:rPr>
        <w:t xml:space="preserve"> L</w:t>
      </w:r>
      <w:r w:rsidR="00DF6502" w:rsidRPr="00E70281">
        <w:rPr>
          <w:color w:val="auto"/>
          <w:vertAlign w:val="superscript"/>
        </w:rPr>
        <w:t>-1</w:t>
      </w:r>
      <w:r w:rsidR="00DF6502" w:rsidRPr="00E70281">
        <w:rPr>
          <w:color w:val="auto"/>
        </w:rPr>
        <w:t>)</w:t>
      </w:r>
      <w:r w:rsidR="004562D9" w:rsidRPr="00E70281">
        <w:rPr>
          <w:color w:val="auto"/>
        </w:rPr>
        <w:t xml:space="preserve"> is doubled, t</w:t>
      </w:r>
      <w:r w:rsidR="00FB6A3A" w:rsidRPr="00E70281">
        <w:rPr>
          <w:color w:val="auto"/>
        </w:rPr>
        <w:t xml:space="preserve">he overall flux of adsorbate entering adsorbent pores is doubled, </w:t>
      </w:r>
      <w:r w:rsidR="00F71767" w:rsidRPr="00E70281">
        <w:rPr>
          <w:color w:val="auto"/>
        </w:rPr>
        <w:t xml:space="preserve">and </w:t>
      </w:r>
      <w:r w:rsidR="00FB6A3A" w:rsidRPr="00E70281">
        <w:rPr>
          <w:color w:val="auto"/>
        </w:rPr>
        <w:t>the rate of collisions between adsorbate and</w:t>
      </w:r>
      <w:r w:rsidR="004457CF">
        <w:rPr>
          <w:color w:val="auto"/>
        </w:rPr>
        <w:t xml:space="preserve"> </w:t>
      </w:r>
      <w:r w:rsidR="004457CF" w:rsidRPr="004457CF">
        <w:rPr>
          <w:color w:val="FF0000"/>
        </w:rPr>
        <w:t>the</w:t>
      </w:r>
      <w:r w:rsidR="00FB6A3A" w:rsidRPr="004457CF">
        <w:rPr>
          <w:color w:val="FF0000"/>
        </w:rPr>
        <w:t xml:space="preserve"> </w:t>
      </w:r>
      <w:r w:rsidR="00DF6502" w:rsidRPr="00E70281">
        <w:rPr>
          <w:color w:val="auto"/>
        </w:rPr>
        <w:t xml:space="preserve">total </w:t>
      </w:r>
      <w:r w:rsidR="00FB6A3A" w:rsidRPr="00E70281">
        <w:rPr>
          <w:color w:val="auto"/>
        </w:rPr>
        <w:t>adsorbent surface</w:t>
      </w:r>
      <w:r w:rsidR="00DF6502" w:rsidRPr="00E70281">
        <w:rPr>
          <w:color w:val="auto"/>
        </w:rPr>
        <w:t xml:space="preserve"> </w:t>
      </w:r>
      <w:r w:rsidR="00FB6A3A" w:rsidRPr="00E70281">
        <w:rPr>
          <w:color w:val="auto"/>
        </w:rPr>
        <w:t xml:space="preserve">is also doubled. </w:t>
      </w:r>
      <w:bookmarkEnd w:id="27"/>
      <w:r w:rsidR="00FB6A3A" w:rsidRPr="00E70281">
        <w:rPr>
          <w:color w:val="auto"/>
        </w:rPr>
        <w:t>When normalised to mass (mg g</w:t>
      </w:r>
      <w:r w:rsidR="00FB6A3A" w:rsidRPr="00E70281">
        <w:rPr>
          <w:color w:val="auto"/>
          <w:vertAlign w:val="superscript"/>
        </w:rPr>
        <w:t>-1</w:t>
      </w:r>
      <w:r w:rsidR="00FB6A3A" w:rsidRPr="00E70281">
        <w:rPr>
          <w:color w:val="auto"/>
        </w:rPr>
        <w:t xml:space="preserve"> min</w:t>
      </w:r>
      <w:r w:rsidR="00FB6A3A" w:rsidRPr="00E70281">
        <w:rPr>
          <w:color w:val="auto"/>
          <w:vertAlign w:val="superscript"/>
        </w:rPr>
        <w:t>-1</w:t>
      </w:r>
      <w:r w:rsidR="00FB6A3A" w:rsidRPr="00E70281">
        <w:rPr>
          <w:color w:val="auto"/>
        </w:rPr>
        <w:t xml:space="preserve">) the initial rate </w:t>
      </w:r>
      <w:r w:rsidR="003926E8" w:rsidRPr="00E70281">
        <w:rPr>
          <w:color w:val="auto"/>
        </w:rPr>
        <w:t>is</w:t>
      </w:r>
      <w:r w:rsidR="00FB6A3A" w:rsidRPr="00E70281">
        <w:rPr>
          <w:color w:val="auto"/>
        </w:rPr>
        <w:t xml:space="preserve"> zero-order with respect to C</w:t>
      </w:r>
      <w:r w:rsidR="00FB6A3A" w:rsidRPr="00E70281">
        <w:rPr>
          <w:color w:val="auto"/>
          <w:vertAlign w:val="subscript"/>
        </w:rPr>
        <w:t>s</w:t>
      </w:r>
      <w:r w:rsidR="00FB6A3A" w:rsidRPr="00E70281">
        <w:rPr>
          <w:color w:val="auto"/>
        </w:rPr>
        <w:t xml:space="preserve">, as expected. </w:t>
      </w:r>
    </w:p>
    <w:bookmarkEnd w:id="24"/>
    <w:p w14:paraId="603DDDEA" w14:textId="77777777" w:rsidR="00DF34BE" w:rsidRPr="00E70281" w:rsidRDefault="00DF34BE" w:rsidP="004515DE">
      <w:pPr>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538"/>
      </w:tblGrid>
      <w:tr w:rsidR="001046B5" w:rsidRPr="00E70281" w14:paraId="527C6E3F" w14:textId="77777777" w:rsidTr="002228EB">
        <w:trPr>
          <w:cantSplit/>
          <w:trHeight w:val="4536"/>
        </w:trPr>
        <w:tc>
          <w:tcPr>
            <w:tcW w:w="4503" w:type="dxa"/>
          </w:tcPr>
          <w:p w14:paraId="18509DD4" w14:textId="0F902E40" w:rsidR="00FE2195" w:rsidRPr="00E70281" w:rsidRDefault="00FE2195" w:rsidP="002228EB">
            <w:pPr>
              <w:rPr>
                <w:color w:val="auto"/>
              </w:rPr>
            </w:pPr>
            <w:r w:rsidRPr="00E70281">
              <w:rPr>
                <w:color w:val="auto"/>
              </w:rPr>
              <w:lastRenderedPageBreak/>
              <w:t>(a)</w:t>
            </w:r>
            <w:r w:rsidR="002228EB" w:rsidRPr="00E70281">
              <w:rPr>
                <w:color w:val="auto"/>
              </w:rPr>
              <w:br/>
            </w:r>
            <w:r w:rsidRPr="00E70281">
              <w:rPr>
                <w:noProof/>
                <w:color w:val="auto"/>
              </w:rPr>
              <w:drawing>
                <wp:inline distT="0" distB="0" distL="0" distR="0" wp14:anchorId="0C06737A" wp14:editId="4BC5CC20">
                  <wp:extent cx="2640965" cy="266877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3683" r="39619" b="2979"/>
                          <a:stretch/>
                        </pic:blipFill>
                        <pic:spPr bwMode="auto">
                          <a:xfrm>
                            <a:off x="0" y="0"/>
                            <a:ext cx="2679831" cy="27080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3" w:type="dxa"/>
          </w:tcPr>
          <w:p w14:paraId="67C382C3" w14:textId="6BF570E8" w:rsidR="00FE2195" w:rsidRPr="00E70281" w:rsidRDefault="00FE2195" w:rsidP="002228EB">
            <w:pPr>
              <w:rPr>
                <w:color w:val="auto"/>
              </w:rPr>
            </w:pPr>
            <w:r w:rsidRPr="00E70281">
              <w:rPr>
                <w:color w:val="auto"/>
              </w:rPr>
              <w:t>(b)</w:t>
            </w:r>
            <w:r w:rsidR="002228EB" w:rsidRPr="00E70281">
              <w:rPr>
                <w:color w:val="auto"/>
              </w:rPr>
              <w:br/>
            </w:r>
            <w:r w:rsidRPr="00E70281">
              <w:rPr>
                <w:noProof/>
                <w:color w:val="auto"/>
              </w:rPr>
              <w:drawing>
                <wp:inline distT="0" distB="0" distL="0" distR="0" wp14:anchorId="0EA4F71B" wp14:editId="2D9BD15F">
                  <wp:extent cx="2720161" cy="2721934"/>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4386" r="38639" b="2629"/>
                          <a:stretch/>
                        </pic:blipFill>
                        <pic:spPr bwMode="auto">
                          <a:xfrm>
                            <a:off x="0" y="0"/>
                            <a:ext cx="2765407" cy="27672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46B5" w:rsidRPr="00E70281" w14:paraId="2F7905D7" w14:textId="77777777" w:rsidTr="00477D6A">
        <w:trPr>
          <w:cantSplit/>
        </w:trPr>
        <w:tc>
          <w:tcPr>
            <w:tcW w:w="4503" w:type="dxa"/>
          </w:tcPr>
          <w:p w14:paraId="0A9E46F3" w14:textId="4CAC1ED9" w:rsidR="00FE2195" w:rsidRPr="00E70281" w:rsidRDefault="00FE2195" w:rsidP="002228EB">
            <w:pPr>
              <w:spacing w:after="200"/>
              <w:jc w:val="left"/>
              <w:rPr>
                <w:color w:val="auto"/>
              </w:rPr>
            </w:pPr>
            <w:r w:rsidRPr="00E70281">
              <w:rPr>
                <w:color w:val="auto"/>
              </w:rPr>
              <w:t>(c)</w:t>
            </w:r>
            <w:r w:rsidR="002228EB" w:rsidRPr="00E70281">
              <w:rPr>
                <w:color w:val="auto"/>
              </w:rPr>
              <w:br/>
            </w:r>
            <w:r w:rsidRPr="00E70281">
              <w:rPr>
                <w:noProof/>
                <w:color w:val="auto"/>
              </w:rPr>
              <w:drawing>
                <wp:inline distT="0" distB="0" distL="0" distR="0" wp14:anchorId="3A146212" wp14:editId="15722C0F">
                  <wp:extent cx="2688040" cy="256244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944" t="1659" r="25" b="4346"/>
                          <a:stretch/>
                        </pic:blipFill>
                        <pic:spPr bwMode="auto">
                          <a:xfrm>
                            <a:off x="0" y="0"/>
                            <a:ext cx="2714035" cy="2587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3" w:type="dxa"/>
          </w:tcPr>
          <w:p w14:paraId="75148681" w14:textId="4CA32B3B" w:rsidR="00FE2195" w:rsidRPr="00E70281" w:rsidRDefault="00FE2195" w:rsidP="002228EB">
            <w:pPr>
              <w:spacing w:after="200"/>
              <w:jc w:val="left"/>
              <w:rPr>
                <w:color w:val="auto"/>
              </w:rPr>
            </w:pPr>
            <w:r w:rsidRPr="00E70281">
              <w:rPr>
                <w:color w:val="auto"/>
              </w:rPr>
              <w:t>(d)</w:t>
            </w:r>
            <w:r w:rsidR="002228EB" w:rsidRPr="00E70281">
              <w:rPr>
                <w:color w:val="auto"/>
              </w:rPr>
              <w:br/>
            </w:r>
            <w:r w:rsidRPr="00E70281">
              <w:rPr>
                <w:noProof/>
                <w:color w:val="auto"/>
              </w:rPr>
              <w:drawing>
                <wp:inline distT="0" distB="0" distL="0" distR="0" wp14:anchorId="1179A30E" wp14:editId="2CC3A1C4">
                  <wp:extent cx="2745069" cy="25730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5618" t="1948" r="1" b="3768"/>
                          <a:stretch/>
                        </pic:blipFill>
                        <pic:spPr bwMode="auto">
                          <a:xfrm>
                            <a:off x="0" y="0"/>
                            <a:ext cx="2761005" cy="25880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166CC6" w14:textId="233D23A9" w:rsidR="00FB6A3A" w:rsidRPr="00E70281" w:rsidRDefault="002F2EA1" w:rsidP="00EE0040">
      <w:pPr>
        <w:pStyle w:val="Caption"/>
        <w:jc w:val="left"/>
        <w:rPr>
          <w:color w:val="auto"/>
        </w:rPr>
      </w:pPr>
      <w:bookmarkStart w:id="28" w:name="_Ref30766058"/>
      <w:r w:rsidRPr="00E70281">
        <w:rPr>
          <w:color w:val="auto"/>
        </w:rPr>
        <w:t xml:space="preserve">Figure </w:t>
      </w:r>
      <w:r w:rsidRPr="00E70281">
        <w:rPr>
          <w:color w:val="auto"/>
        </w:rPr>
        <w:fldChar w:fldCharType="begin"/>
      </w:r>
      <w:r w:rsidRPr="00E70281">
        <w:rPr>
          <w:i w:val="0"/>
          <w:iCs w:val="0"/>
          <w:color w:val="auto"/>
        </w:rPr>
        <w:instrText xml:space="preserve"> SEQ Figure \* ARABIC </w:instrText>
      </w:r>
      <w:r w:rsidRPr="00E70281">
        <w:rPr>
          <w:color w:val="auto"/>
        </w:rPr>
        <w:fldChar w:fldCharType="separate"/>
      </w:r>
      <w:r w:rsidR="00D37CAD" w:rsidRPr="00E70281">
        <w:rPr>
          <w:i w:val="0"/>
          <w:iCs w:val="0"/>
          <w:noProof/>
          <w:color w:val="auto"/>
        </w:rPr>
        <w:t>2</w:t>
      </w:r>
      <w:r w:rsidRPr="00E70281">
        <w:rPr>
          <w:noProof/>
          <w:color w:val="auto"/>
        </w:rPr>
        <w:fldChar w:fldCharType="end"/>
      </w:r>
      <w:bookmarkEnd w:id="28"/>
      <w:r w:rsidRPr="00E70281">
        <w:rPr>
          <w:color w:val="auto"/>
        </w:rPr>
        <w:t xml:space="preserve">: </w:t>
      </w:r>
      <w:r w:rsidR="004E362F" w:rsidRPr="00E70281">
        <w:rPr>
          <w:color w:val="auto"/>
        </w:rPr>
        <w:t xml:space="preserve">Determining the influence of </w:t>
      </w:r>
      <w:r w:rsidR="00EE0040" w:rsidRPr="00E70281">
        <w:rPr>
          <w:color w:val="auto"/>
        </w:rPr>
        <w:t xml:space="preserve">initial </w:t>
      </w:r>
      <w:r w:rsidR="004E362F" w:rsidRPr="00E70281">
        <w:rPr>
          <w:color w:val="auto"/>
        </w:rPr>
        <w:t>adsorbate</w:t>
      </w:r>
      <w:r w:rsidR="00EE0040" w:rsidRPr="00E70281">
        <w:rPr>
          <w:color w:val="auto"/>
        </w:rPr>
        <w:t xml:space="preserve"> concentration (C</w:t>
      </w:r>
      <w:r w:rsidR="00EE0040" w:rsidRPr="00E70281">
        <w:rPr>
          <w:color w:val="auto"/>
          <w:vertAlign w:val="subscript"/>
        </w:rPr>
        <w:t>0</w:t>
      </w:r>
      <w:r w:rsidR="00EE0040" w:rsidRPr="00E70281">
        <w:rPr>
          <w:color w:val="auto"/>
        </w:rPr>
        <w:t>)</w:t>
      </w:r>
      <w:r w:rsidR="004E362F" w:rsidRPr="00E70281">
        <w:rPr>
          <w:color w:val="auto"/>
        </w:rPr>
        <w:t xml:space="preserve"> and adsorbent concentration</w:t>
      </w:r>
      <w:r w:rsidR="00EE0040" w:rsidRPr="00E70281">
        <w:rPr>
          <w:color w:val="auto"/>
        </w:rPr>
        <w:t xml:space="preserve"> (C</w:t>
      </w:r>
      <w:r w:rsidR="00EE0040" w:rsidRPr="00E70281">
        <w:rPr>
          <w:color w:val="auto"/>
          <w:vertAlign w:val="subscript"/>
        </w:rPr>
        <w:t>s</w:t>
      </w:r>
      <w:r w:rsidR="00EE0040" w:rsidRPr="00E70281">
        <w:rPr>
          <w:color w:val="auto"/>
        </w:rPr>
        <w:t>)</w:t>
      </w:r>
      <w:r w:rsidR="004E362F" w:rsidRPr="00E70281">
        <w:rPr>
          <w:color w:val="auto"/>
        </w:rPr>
        <w:t xml:space="preserve"> on the initial rate of adsorption using literature data sets. </w:t>
      </w:r>
      <w:r w:rsidR="00EE0040" w:rsidRPr="00E70281">
        <w:rPr>
          <w:color w:val="auto"/>
        </w:rPr>
        <w:t xml:space="preserve">The order of reaction was determined from the slope of </w:t>
      </w:r>
      <w:proofErr w:type="gramStart"/>
      <w:r w:rsidR="00EE0040" w:rsidRPr="00E70281">
        <w:rPr>
          <w:color w:val="auto"/>
        </w:rPr>
        <w:t>log(</w:t>
      </w:r>
      <w:proofErr w:type="gramEnd"/>
      <w:r w:rsidR="00EE0040" w:rsidRPr="00E70281">
        <w:rPr>
          <w:color w:val="auto"/>
        </w:rPr>
        <w:t>initial rate) as a function of (a) log(C</w:t>
      </w:r>
      <w:r w:rsidR="00EE0040" w:rsidRPr="00E70281">
        <w:rPr>
          <w:color w:val="auto"/>
          <w:vertAlign w:val="subscript"/>
        </w:rPr>
        <w:t>0</w:t>
      </w:r>
      <w:r w:rsidR="00EE0040" w:rsidRPr="00E70281">
        <w:rPr>
          <w:color w:val="auto"/>
        </w:rPr>
        <w:t>) and (b) log(C</w:t>
      </w:r>
      <w:r w:rsidR="00EE0040" w:rsidRPr="00E70281">
        <w:rPr>
          <w:color w:val="auto"/>
          <w:vertAlign w:val="subscript"/>
        </w:rPr>
        <w:t>s</w:t>
      </w:r>
      <w:r w:rsidR="00EE0040" w:rsidRPr="00E70281">
        <w:rPr>
          <w:color w:val="auto"/>
        </w:rPr>
        <w:t>), with each data point representing a single kinetic experiment (with unique values of C</w:t>
      </w:r>
      <w:r w:rsidR="00EE0040" w:rsidRPr="00E70281">
        <w:rPr>
          <w:color w:val="auto"/>
          <w:vertAlign w:val="subscript"/>
        </w:rPr>
        <w:t>0</w:t>
      </w:r>
      <w:r w:rsidR="00EE0040" w:rsidRPr="00E70281">
        <w:rPr>
          <w:color w:val="auto"/>
        </w:rPr>
        <w:t xml:space="preserve"> and C</w:t>
      </w:r>
      <w:r w:rsidR="00EE0040" w:rsidRPr="00E70281">
        <w:rPr>
          <w:color w:val="auto"/>
          <w:vertAlign w:val="subscript"/>
        </w:rPr>
        <w:t>s</w:t>
      </w:r>
      <w:r w:rsidR="00EE0040" w:rsidRPr="00E70281">
        <w:rPr>
          <w:color w:val="auto"/>
        </w:rPr>
        <w:t xml:space="preserve">). </w:t>
      </w:r>
      <w:r w:rsidR="004E362F" w:rsidRPr="00E70281">
        <w:rPr>
          <w:color w:val="auto"/>
        </w:rPr>
        <w:t>All experiments in a given data set (one literature paper, where all experimental conditions except for either C</w:t>
      </w:r>
      <w:r w:rsidR="004E362F" w:rsidRPr="00E70281">
        <w:rPr>
          <w:color w:val="auto"/>
          <w:vertAlign w:val="subscript"/>
        </w:rPr>
        <w:t>0</w:t>
      </w:r>
      <w:r w:rsidR="004E362F" w:rsidRPr="00E70281">
        <w:rPr>
          <w:color w:val="auto"/>
        </w:rPr>
        <w:t xml:space="preserve"> or C</w:t>
      </w:r>
      <w:r w:rsidR="004E362F" w:rsidRPr="00E70281">
        <w:rPr>
          <w:color w:val="auto"/>
          <w:vertAlign w:val="subscript"/>
        </w:rPr>
        <w:t>s</w:t>
      </w:r>
      <w:r w:rsidR="004E362F" w:rsidRPr="00E70281">
        <w:rPr>
          <w:color w:val="auto"/>
        </w:rPr>
        <w:t xml:space="preserve"> are constant) are grouped by colour and symbol, with oxyanions in red, metal cations in b</w:t>
      </w:r>
      <w:r w:rsidR="00255ED9" w:rsidRPr="00E70281">
        <w:rPr>
          <w:color w:val="auto"/>
        </w:rPr>
        <w:t>lue, and organic dyes in yellow (</w:t>
      </w:r>
      <w:r w:rsidR="009004E8" w:rsidRPr="00E70281">
        <w:rPr>
          <w:color w:val="auto"/>
        </w:rPr>
        <w:t xml:space="preserve">a legend referencing the literature sources is presented in </w:t>
      </w:r>
      <w:r w:rsidR="003F2782" w:rsidRPr="00E70281">
        <w:rPr>
          <w:color w:val="auto"/>
        </w:rPr>
        <w:t>SI Figure S2</w:t>
      </w:r>
      <w:r w:rsidR="00255ED9" w:rsidRPr="00E70281">
        <w:rPr>
          <w:color w:val="auto"/>
        </w:rPr>
        <w:t>).</w:t>
      </w:r>
      <w:r w:rsidR="004E362F" w:rsidRPr="00E70281">
        <w:rPr>
          <w:color w:val="auto"/>
        </w:rPr>
        <w:t xml:space="preserve"> </w:t>
      </w:r>
      <w:r w:rsidR="00EE0040" w:rsidRPr="00E70281">
        <w:rPr>
          <w:color w:val="auto"/>
        </w:rPr>
        <w:t>U</w:t>
      </w:r>
      <w:r w:rsidR="004E362F" w:rsidRPr="00E70281">
        <w:rPr>
          <w:color w:val="auto"/>
        </w:rPr>
        <w:t>ncertaint</w:t>
      </w:r>
      <w:r w:rsidR="00EE0040" w:rsidRPr="00E70281">
        <w:rPr>
          <w:color w:val="auto"/>
        </w:rPr>
        <w:t>ies were</w:t>
      </w:r>
      <w:r w:rsidR="004E362F" w:rsidRPr="00E70281">
        <w:rPr>
          <w:color w:val="auto"/>
        </w:rPr>
        <w:t xml:space="preserve"> calculated from the standard error in the slope. The results are </w:t>
      </w:r>
      <w:r w:rsidR="00EE0040" w:rsidRPr="00E70281">
        <w:rPr>
          <w:color w:val="auto"/>
        </w:rPr>
        <w:t>alternatively presented</w:t>
      </w:r>
      <w:r w:rsidR="004E362F" w:rsidRPr="00E70281">
        <w:rPr>
          <w:color w:val="auto"/>
        </w:rPr>
        <w:t xml:space="preserve"> using normal distributions with the mean given by the slope and the standard deviation given by the standard error of the slope</w:t>
      </w:r>
      <w:r w:rsidR="00EE0040" w:rsidRPr="00E70281">
        <w:rPr>
          <w:color w:val="auto"/>
        </w:rPr>
        <w:t xml:space="preserve"> (c and d)</w:t>
      </w:r>
      <w:r w:rsidR="004E362F" w:rsidRPr="00E70281">
        <w:rPr>
          <w:color w:val="auto"/>
        </w:rPr>
        <w:t>.</w:t>
      </w:r>
      <w:r w:rsidR="00056059" w:rsidRPr="00E70281">
        <w:rPr>
          <w:color w:val="auto"/>
        </w:rPr>
        <w:t xml:space="preserve"> </w:t>
      </w:r>
      <w:r w:rsidR="00EE0040" w:rsidRPr="00E70281">
        <w:rPr>
          <w:color w:val="auto"/>
        </w:rPr>
        <w:t>Here, e</w:t>
      </w:r>
      <w:r w:rsidR="004E362F" w:rsidRPr="00E70281">
        <w:rPr>
          <w:color w:val="auto"/>
        </w:rPr>
        <w:t>ach data set is represented by a dotted line, and the sum of all data sets given by the dashed line. Solid</w:t>
      </w:r>
      <w:r w:rsidR="00056059" w:rsidRPr="00E70281">
        <w:rPr>
          <w:color w:val="auto"/>
        </w:rPr>
        <w:t xml:space="preserve"> black</w:t>
      </w:r>
      <w:r w:rsidR="004E362F" w:rsidRPr="00E70281">
        <w:rPr>
          <w:color w:val="auto"/>
        </w:rPr>
        <w:t xml:space="preserve"> lines represent the normal distribution obtained by the average of all data sets. </w:t>
      </w:r>
    </w:p>
    <w:p w14:paraId="2004AC96" w14:textId="1ED5A390" w:rsidR="00BB6B2A" w:rsidRPr="00E70281" w:rsidRDefault="00BB6B2A">
      <w:pPr>
        <w:spacing w:after="200"/>
        <w:jc w:val="left"/>
        <w:rPr>
          <w:color w:val="auto"/>
        </w:rPr>
      </w:pPr>
    </w:p>
    <w:p w14:paraId="54F6574E" w14:textId="6A21BA9C" w:rsidR="002D5DCD" w:rsidRPr="00E70281" w:rsidRDefault="00194E83" w:rsidP="00F71767">
      <w:pPr>
        <w:rPr>
          <w:color w:val="auto"/>
        </w:rPr>
      </w:pPr>
      <w:r w:rsidRPr="00E70281">
        <w:rPr>
          <w:color w:val="auto"/>
        </w:rPr>
        <w:t>For both predictive modelling and the comparison of adsorption kinetics between literature sources, it is necessary that rate constant</w:t>
      </w:r>
      <w:r w:rsidR="00AA4B29" w:rsidRPr="00E70281">
        <w:rPr>
          <w:color w:val="auto"/>
        </w:rPr>
        <w:t>s</w:t>
      </w:r>
      <w:r w:rsidRPr="00E70281">
        <w:rPr>
          <w:color w:val="auto"/>
        </w:rPr>
        <w:t xml:space="preserve"> </w:t>
      </w:r>
      <w:r w:rsidR="00AA4B29" w:rsidRPr="00E70281">
        <w:rPr>
          <w:color w:val="auto"/>
        </w:rPr>
        <w:t>are</w:t>
      </w:r>
      <w:r w:rsidRPr="00E70281">
        <w:rPr>
          <w:color w:val="auto"/>
        </w:rPr>
        <w:t xml:space="preserve"> not affected by the experimental conditions. </w:t>
      </w:r>
      <w:r w:rsidR="00AC2093" w:rsidRPr="00E70281">
        <w:rPr>
          <w:color w:val="auto"/>
        </w:rPr>
        <w:t>Whilst adsorption kinetics are</w:t>
      </w:r>
      <w:r w:rsidR="00606CA7" w:rsidRPr="00E70281">
        <w:rPr>
          <w:color w:val="auto"/>
        </w:rPr>
        <w:t xml:space="preserve"> typically</w:t>
      </w:r>
      <w:r w:rsidR="00AC2093" w:rsidRPr="00E70281">
        <w:rPr>
          <w:color w:val="auto"/>
        </w:rPr>
        <w:t xml:space="preserve"> first</w:t>
      </w:r>
      <w:r w:rsidR="002F2EA1" w:rsidRPr="00E70281">
        <w:rPr>
          <w:color w:val="auto"/>
        </w:rPr>
        <w:t>-</w:t>
      </w:r>
      <w:r w:rsidR="00AC2093" w:rsidRPr="00E70281">
        <w:rPr>
          <w:color w:val="auto"/>
        </w:rPr>
        <w:t>order with respect to C</w:t>
      </w:r>
      <w:r w:rsidR="00AC2093" w:rsidRPr="00E70281">
        <w:rPr>
          <w:color w:val="auto"/>
          <w:vertAlign w:val="subscript"/>
        </w:rPr>
        <w:t>0</w:t>
      </w:r>
      <w:r w:rsidR="000B5EBF" w:rsidRPr="00E70281">
        <w:rPr>
          <w:color w:val="auto"/>
        </w:rPr>
        <w:t xml:space="preserve">, </w:t>
      </w:r>
      <w:r w:rsidR="00175A85" w:rsidRPr="00E70281">
        <w:rPr>
          <w:color w:val="auto"/>
        </w:rPr>
        <w:t>the</w:t>
      </w:r>
      <w:r w:rsidR="00AC2093" w:rsidRPr="00E70281">
        <w:rPr>
          <w:color w:val="auto"/>
        </w:rPr>
        <w:t xml:space="preserve"> </w:t>
      </w:r>
      <w:r w:rsidR="00942459" w:rsidRPr="00E70281">
        <w:rPr>
          <w:color w:val="auto"/>
        </w:rPr>
        <w:t>PSO</w:t>
      </w:r>
      <w:r w:rsidR="00AC2093" w:rsidRPr="00E70281">
        <w:rPr>
          <w:color w:val="auto"/>
        </w:rPr>
        <w:t xml:space="preserve"> rate constant k</w:t>
      </w:r>
      <w:r w:rsidR="00AC2093" w:rsidRPr="00E70281">
        <w:rPr>
          <w:color w:val="auto"/>
          <w:vertAlign w:val="subscript"/>
        </w:rPr>
        <w:t>2</w:t>
      </w:r>
      <w:r w:rsidR="00AC2093" w:rsidRPr="00E70281">
        <w:rPr>
          <w:color w:val="auto"/>
        </w:rPr>
        <w:t xml:space="preserve"> is</w:t>
      </w:r>
      <w:r w:rsidR="002F2EA1" w:rsidRPr="00E70281">
        <w:rPr>
          <w:color w:val="auto"/>
        </w:rPr>
        <w:t xml:space="preserve"> </w:t>
      </w:r>
      <w:r w:rsidR="00AC2093" w:rsidRPr="00E70281">
        <w:rPr>
          <w:color w:val="auto"/>
        </w:rPr>
        <w:t xml:space="preserve">inversely proportional to </w:t>
      </w:r>
      <w:r w:rsidR="00175A85" w:rsidRPr="00E70281">
        <w:rPr>
          <w:color w:val="auto"/>
        </w:rPr>
        <w:t>C</w:t>
      </w:r>
      <w:r w:rsidR="00175A85" w:rsidRPr="00E70281">
        <w:rPr>
          <w:color w:val="auto"/>
          <w:vertAlign w:val="subscript"/>
        </w:rPr>
        <w:t>0</w:t>
      </w:r>
      <w:r w:rsidR="00AC2093" w:rsidRPr="00E70281">
        <w:rPr>
          <w:color w:val="auto"/>
        </w:rPr>
        <w:t xml:space="preserve"> </w:t>
      </w:r>
      <w:r w:rsidR="00F71767" w:rsidRPr="00E70281">
        <w:rPr>
          <w:color w:val="auto"/>
        </w:rPr>
        <w:t>(</w:t>
      </w:r>
      <w:r w:rsidR="003D587D" w:rsidRPr="00E70281">
        <w:rPr>
          <w:color w:val="auto"/>
        </w:rPr>
        <w:fldChar w:fldCharType="begin"/>
      </w:r>
      <w:r w:rsidR="003D587D" w:rsidRPr="00E70281">
        <w:rPr>
          <w:color w:val="auto"/>
        </w:rPr>
        <w:instrText xml:space="preserve"> REF _Ref60665222 \h </w:instrText>
      </w:r>
      <w:r w:rsidR="003D587D" w:rsidRPr="00E70281">
        <w:rPr>
          <w:color w:val="auto"/>
        </w:rPr>
      </w:r>
      <w:r w:rsidR="003D587D" w:rsidRPr="00E70281">
        <w:rPr>
          <w:color w:val="auto"/>
        </w:rPr>
        <w:fldChar w:fldCharType="separate"/>
      </w:r>
      <w:r w:rsidR="003D587D" w:rsidRPr="00E70281">
        <w:rPr>
          <w:color w:val="auto"/>
        </w:rPr>
        <w:t xml:space="preserve">Figure </w:t>
      </w:r>
      <w:r w:rsidR="003D587D" w:rsidRPr="00E70281">
        <w:rPr>
          <w:noProof/>
          <w:color w:val="auto"/>
        </w:rPr>
        <w:t>3</w:t>
      </w:r>
      <w:r w:rsidR="003D587D" w:rsidRPr="00E70281">
        <w:rPr>
          <w:color w:val="auto"/>
        </w:rPr>
        <w:fldChar w:fldCharType="end"/>
      </w:r>
      <w:r w:rsidR="00F71767" w:rsidRPr="00E70281">
        <w:rPr>
          <w:color w:val="auto"/>
        </w:rPr>
        <w:t>a). Consequently, whilst doubling the initial adsorbate concentration typically increases the initial rate of adsorption by a factor of two, counter-intuitively the PSO rate constant k</w:t>
      </w:r>
      <w:r w:rsidR="00F71767" w:rsidRPr="00E70281">
        <w:rPr>
          <w:color w:val="auto"/>
          <w:vertAlign w:val="subscript"/>
        </w:rPr>
        <w:t>2</w:t>
      </w:r>
      <w:r w:rsidR="00F71767" w:rsidRPr="00E70281">
        <w:rPr>
          <w:color w:val="auto"/>
        </w:rPr>
        <w:t xml:space="preserve"> will </w:t>
      </w:r>
      <w:r w:rsidR="00F71767" w:rsidRPr="00E70281">
        <w:rPr>
          <w:color w:val="auto"/>
        </w:rPr>
        <w:lastRenderedPageBreak/>
        <w:t>decrease by a factor of two. The average slope of log(k</w:t>
      </w:r>
      <w:r w:rsidR="00F71767" w:rsidRPr="00E70281">
        <w:rPr>
          <w:color w:val="auto"/>
          <w:vertAlign w:val="subscript"/>
        </w:rPr>
        <w:t>2</w:t>
      </w:r>
      <w:r w:rsidR="00F71767" w:rsidRPr="00E70281">
        <w:rPr>
          <w:color w:val="auto"/>
        </w:rPr>
        <w:t>) versus log(C</w:t>
      </w:r>
      <w:r w:rsidR="00F71767" w:rsidRPr="00E70281">
        <w:rPr>
          <w:color w:val="auto"/>
          <w:vertAlign w:val="subscript"/>
        </w:rPr>
        <w:t>0</w:t>
      </w:r>
      <w:r w:rsidR="00F71767" w:rsidRPr="00E70281">
        <w:rPr>
          <w:color w:val="auto"/>
        </w:rPr>
        <w:t xml:space="preserve">) </w:t>
      </w:r>
      <w:r w:rsidR="003926E8" w:rsidRPr="00E70281">
        <w:rPr>
          <w:color w:val="auto"/>
        </w:rPr>
        <w:t>is</w:t>
      </w:r>
      <w:r w:rsidR="00E9284B" w:rsidRPr="00E70281">
        <w:rPr>
          <w:color w:val="auto"/>
        </w:rPr>
        <w:t xml:space="preserve"> -0.73±0.46</w:t>
      </w:r>
      <w:r w:rsidR="00F71767" w:rsidRPr="00E70281">
        <w:rPr>
          <w:color w:val="auto"/>
        </w:rPr>
        <w:t xml:space="preserve">. </w:t>
      </w:r>
      <w:r w:rsidR="00AC2093" w:rsidRPr="00E70281">
        <w:rPr>
          <w:color w:val="auto"/>
        </w:rPr>
        <w:t>The inverse relationship between k</w:t>
      </w:r>
      <w:r w:rsidR="00AC2093" w:rsidRPr="00E70281">
        <w:rPr>
          <w:color w:val="auto"/>
          <w:vertAlign w:val="subscript"/>
        </w:rPr>
        <w:t>2</w:t>
      </w:r>
      <w:r w:rsidR="00AC2093" w:rsidRPr="00E70281">
        <w:rPr>
          <w:color w:val="auto"/>
        </w:rPr>
        <w:t xml:space="preserve"> and C</w:t>
      </w:r>
      <w:r w:rsidR="00AC2093" w:rsidRPr="00E70281">
        <w:rPr>
          <w:color w:val="auto"/>
          <w:vertAlign w:val="subscript"/>
        </w:rPr>
        <w:t>0</w:t>
      </w:r>
      <w:r w:rsidR="00AC2093" w:rsidRPr="00E70281">
        <w:rPr>
          <w:color w:val="auto"/>
        </w:rPr>
        <w:t xml:space="preserve"> </w:t>
      </w:r>
      <w:r w:rsidR="008449C5" w:rsidRPr="00E70281">
        <w:rPr>
          <w:color w:val="auto"/>
        </w:rPr>
        <w:t>is explained by</w:t>
      </w:r>
      <w:r w:rsidR="00AC2093" w:rsidRPr="00E70281">
        <w:rPr>
          <w:color w:val="auto"/>
        </w:rPr>
        <w:t xml:space="preserve"> the</w:t>
      </w:r>
      <w:r w:rsidR="00722A68" w:rsidRPr="00E70281">
        <w:rPr>
          <w:color w:val="auto"/>
        </w:rPr>
        <w:t xml:space="preserve"> second</w:t>
      </w:r>
      <w:r w:rsidR="00AA4B29" w:rsidRPr="00E70281">
        <w:rPr>
          <w:color w:val="auto"/>
        </w:rPr>
        <w:t>-</w:t>
      </w:r>
      <w:r w:rsidR="00722A68" w:rsidRPr="00E70281">
        <w:rPr>
          <w:color w:val="auto"/>
        </w:rPr>
        <w:t>order</w:t>
      </w:r>
      <w:r w:rsidR="00AC2093" w:rsidRPr="00E70281">
        <w:rPr>
          <w:color w:val="auto"/>
        </w:rPr>
        <w:t xml:space="preserve"> dependence of </w:t>
      </w:r>
      <w:r w:rsidR="00056059" w:rsidRPr="00E70281">
        <w:rPr>
          <w:color w:val="auto"/>
        </w:rPr>
        <w:t xml:space="preserve">the </w:t>
      </w:r>
      <w:r w:rsidR="00942459" w:rsidRPr="00E70281">
        <w:rPr>
          <w:color w:val="auto"/>
        </w:rPr>
        <w:t>PSO</w:t>
      </w:r>
      <w:r w:rsidR="00056059" w:rsidRPr="00E70281">
        <w:rPr>
          <w:color w:val="auto"/>
        </w:rPr>
        <w:t xml:space="preserve"> model</w:t>
      </w:r>
      <w:r w:rsidR="00722A68" w:rsidRPr="00E70281">
        <w:rPr>
          <w:color w:val="auto"/>
        </w:rPr>
        <w:t xml:space="preserve"> </w:t>
      </w:r>
      <w:r w:rsidR="00056059" w:rsidRPr="00E70281">
        <w:rPr>
          <w:color w:val="auto"/>
        </w:rPr>
        <w:t>up</w:t>
      </w:r>
      <w:r w:rsidR="00722A68" w:rsidRPr="00E70281">
        <w:rPr>
          <w:color w:val="auto"/>
        </w:rPr>
        <w:t xml:space="preserve">on </w:t>
      </w:r>
      <w:r w:rsidR="00AC2093" w:rsidRPr="00E70281">
        <w:rPr>
          <w:color w:val="auto"/>
        </w:rPr>
        <w:t xml:space="preserve">the </w:t>
      </w:r>
      <w:r w:rsidR="00AC2093" w:rsidRPr="00E70281">
        <w:rPr>
          <w:b/>
          <w:color w:val="auto"/>
        </w:rPr>
        <w:t>absolute</w:t>
      </w:r>
      <w:r w:rsidR="00AC2093" w:rsidRPr="00E70281">
        <w:rPr>
          <w:color w:val="auto"/>
        </w:rPr>
        <w:t xml:space="preserve"> concentration of available </w:t>
      </w:r>
      <w:r w:rsidR="00056059" w:rsidRPr="00E70281">
        <w:rPr>
          <w:color w:val="auto"/>
        </w:rPr>
        <w:t>adsorption capacity remaining</w:t>
      </w:r>
      <w:r w:rsidR="00AA4B29" w:rsidRPr="00E70281">
        <w:rPr>
          <w:color w:val="auto"/>
        </w:rPr>
        <w:t xml:space="preserve"> through the term</w:t>
      </w:r>
      <w:r w:rsidR="00722A68" w:rsidRPr="00E70281">
        <w:rPr>
          <w:color w:val="auto"/>
        </w:rPr>
        <w:t xml:space="preserve"> (q</w:t>
      </w:r>
      <w:r w:rsidR="00722A68" w:rsidRPr="00E70281">
        <w:rPr>
          <w:color w:val="auto"/>
          <w:vertAlign w:val="subscript"/>
        </w:rPr>
        <w:t>e</w:t>
      </w:r>
      <w:r w:rsidR="00722A68" w:rsidRPr="00E70281">
        <w:rPr>
          <w:color w:val="auto"/>
        </w:rPr>
        <w:t>-q</w:t>
      </w:r>
      <w:r w:rsidR="00722A68" w:rsidRPr="00E70281">
        <w:rPr>
          <w:color w:val="auto"/>
          <w:vertAlign w:val="subscript"/>
        </w:rPr>
        <w:t>t</w:t>
      </w:r>
      <w:r w:rsidR="00722A68" w:rsidRPr="00E70281">
        <w:rPr>
          <w:color w:val="auto"/>
        </w:rPr>
        <w:t>)</w:t>
      </w:r>
      <w:r w:rsidR="00AA4B29" w:rsidRPr="00E70281">
        <w:rPr>
          <w:color w:val="auto"/>
          <w:vertAlign w:val="superscript"/>
        </w:rPr>
        <w:t>2</w:t>
      </w:r>
      <w:r w:rsidR="00056059" w:rsidRPr="00E70281">
        <w:rPr>
          <w:color w:val="auto"/>
        </w:rPr>
        <w:t>.</w:t>
      </w:r>
      <w:r w:rsidR="00EA346E" w:rsidRPr="00E70281">
        <w:rPr>
          <w:color w:val="auto"/>
        </w:rPr>
        <w:t xml:space="preserve"> </w:t>
      </w:r>
      <w:r w:rsidR="00E9284B" w:rsidRPr="00E70281">
        <w:rPr>
          <w:color w:val="auto"/>
        </w:rPr>
        <w:t>I</w:t>
      </w:r>
      <w:r w:rsidR="00EA346E" w:rsidRPr="00E70281">
        <w:rPr>
          <w:color w:val="auto"/>
        </w:rPr>
        <w:t>n cases where the adsorbent is unsaturated, increasing C</w:t>
      </w:r>
      <w:r w:rsidR="00EA346E" w:rsidRPr="00E70281">
        <w:rPr>
          <w:color w:val="auto"/>
          <w:vertAlign w:val="subscript"/>
        </w:rPr>
        <w:t>0</w:t>
      </w:r>
      <w:r w:rsidR="00EA346E" w:rsidRPr="00E70281">
        <w:rPr>
          <w:color w:val="auto"/>
        </w:rPr>
        <w:t xml:space="preserve"> by a factor of two will approximately double q</w:t>
      </w:r>
      <w:r w:rsidR="00EA346E" w:rsidRPr="00E70281">
        <w:rPr>
          <w:color w:val="auto"/>
          <w:vertAlign w:val="subscript"/>
        </w:rPr>
        <w:t>e</w:t>
      </w:r>
      <w:r w:rsidR="00EA346E" w:rsidRPr="00E70281">
        <w:rPr>
          <w:color w:val="auto"/>
        </w:rPr>
        <w:t>. The parameter (q</w:t>
      </w:r>
      <w:r w:rsidR="00EA346E" w:rsidRPr="00E70281">
        <w:rPr>
          <w:color w:val="auto"/>
          <w:vertAlign w:val="subscript"/>
        </w:rPr>
        <w:t>e</w:t>
      </w:r>
      <w:r w:rsidR="00EA346E" w:rsidRPr="00E70281">
        <w:rPr>
          <w:color w:val="auto"/>
        </w:rPr>
        <w:t>-q</w:t>
      </w:r>
      <w:r w:rsidR="00EA346E" w:rsidRPr="00E70281">
        <w:rPr>
          <w:color w:val="auto"/>
          <w:vertAlign w:val="subscript"/>
        </w:rPr>
        <w:t>t</w:t>
      </w:r>
      <w:r w:rsidR="00EA346E" w:rsidRPr="00E70281">
        <w:rPr>
          <w:color w:val="auto"/>
        </w:rPr>
        <w:t>)</w:t>
      </w:r>
      <w:r w:rsidR="00EA346E" w:rsidRPr="00E70281">
        <w:rPr>
          <w:color w:val="auto"/>
          <w:vertAlign w:val="superscript"/>
        </w:rPr>
        <w:t>2</w:t>
      </w:r>
      <w:r w:rsidR="00EA346E" w:rsidRPr="00E70281">
        <w:rPr>
          <w:color w:val="auto"/>
        </w:rPr>
        <w:t xml:space="preserve"> at t=0 will increase by a factor of four, and consequently k</w:t>
      </w:r>
      <w:r w:rsidR="00EA346E" w:rsidRPr="00E70281">
        <w:rPr>
          <w:color w:val="auto"/>
          <w:vertAlign w:val="subscript"/>
        </w:rPr>
        <w:t>2</w:t>
      </w:r>
      <w:r w:rsidR="00056059" w:rsidRPr="00E70281">
        <w:rPr>
          <w:color w:val="auto"/>
        </w:rPr>
        <w:t xml:space="preserve"> must decrease by a factor of two</w:t>
      </w:r>
      <w:r w:rsidR="00EA346E" w:rsidRPr="00E70281">
        <w:rPr>
          <w:color w:val="auto"/>
        </w:rPr>
        <w:t xml:space="preserve"> to achieve the doubling of initial rates</w:t>
      </w:r>
      <w:r w:rsidR="00782815">
        <w:rPr>
          <w:color w:val="auto"/>
        </w:rPr>
        <w:t xml:space="preserve"> </w:t>
      </w:r>
      <w:r w:rsidR="00782815" w:rsidRPr="00782815">
        <w:rPr>
          <w:color w:val="FF0000"/>
        </w:rPr>
        <w:t>that is observed (</w:t>
      </w:r>
      <w:r w:rsidR="00782815" w:rsidRPr="00782815">
        <w:rPr>
          <w:color w:val="FF0000"/>
        </w:rPr>
        <w:fldChar w:fldCharType="begin"/>
      </w:r>
      <w:r w:rsidR="00782815" w:rsidRPr="00782815">
        <w:rPr>
          <w:color w:val="FF0000"/>
        </w:rPr>
        <w:instrText xml:space="preserve"> REF _Ref30766058 \h </w:instrText>
      </w:r>
      <w:r w:rsidR="00782815" w:rsidRPr="00782815">
        <w:rPr>
          <w:color w:val="FF0000"/>
        </w:rPr>
      </w:r>
      <w:r w:rsidR="00782815" w:rsidRPr="00782815">
        <w:rPr>
          <w:color w:val="FF0000"/>
        </w:rPr>
        <w:fldChar w:fldCharType="separate"/>
      </w:r>
      <w:r w:rsidR="00782815" w:rsidRPr="00782815">
        <w:rPr>
          <w:color w:val="FF0000"/>
        </w:rPr>
        <w:t xml:space="preserve">Figure </w:t>
      </w:r>
      <w:r w:rsidR="00782815" w:rsidRPr="00782815">
        <w:rPr>
          <w:i/>
          <w:iCs/>
          <w:noProof/>
          <w:color w:val="FF0000"/>
        </w:rPr>
        <w:t>2</w:t>
      </w:r>
      <w:r w:rsidR="00782815" w:rsidRPr="00782815">
        <w:rPr>
          <w:color w:val="FF0000"/>
        </w:rPr>
        <w:fldChar w:fldCharType="end"/>
      </w:r>
      <w:r w:rsidR="00782815" w:rsidRPr="00782815">
        <w:rPr>
          <w:color w:val="FF0000"/>
        </w:rPr>
        <w:t>a)</w:t>
      </w:r>
      <w:r w:rsidR="00EA346E" w:rsidRPr="00E70281">
        <w:rPr>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046B5" w:rsidRPr="00E70281" w14:paraId="00436DCE" w14:textId="77777777" w:rsidTr="001E1A93">
        <w:tc>
          <w:tcPr>
            <w:tcW w:w="4508" w:type="dxa"/>
          </w:tcPr>
          <w:p w14:paraId="65F0E598" w14:textId="08E72DAB" w:rsidR="00E72E06" w:rsidRPr="00E70281" w:rsidRDefault="00E72E06" w:rsidP="002228EB">
            <w:pPr>
              <w:rPr>
                <w:color w:val="auto"/>
              </w:rPr>
            </w:pPr>
            <w:r w:rsidRPr="00E70281">
              <w:rPr>
                <w:color w:val="auto"/>
              </w:rPr>
              <w:t>(a)</w:t>
            </w:r>
            <w:r w:rsidR="002228EB" w:rsidRPr="00E70281">
              <w:rPr>
                <w:color w:val="auto"/>
              </w:rPr>
              <w:br/>
            </w:r>
            <w:r w:rsidRPr="00E70281">
              <w:rPr>
                <w:noProof/>
                <w:color w:val="auto"/>
              </w:rPr>
              <w:drawing>
                <wp:inline distT="0" distB="0" distL="0" distR="0" wp14:anchorId="5DD3F565" wp14:editId="2CE2CB21">
                  <wp:extent cx="2679405" cy="2692142"/>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3323" t="-1" r="39504" b="2874"/>
                          <a:stretch/>
                        </pic:blipFill>
                        <pic:spPr bwMode="auto">
                          <a:xfrm>
                            <a:off x="0" y="0"/>
                            <a:ext cx="2691948" cy="2704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65A4D9C6" w14:textId="0BA1F006" w:rsidR="00E72E06" w:rsidRPr="00E70281" w:rsidRDefault="00E72E06" w:rsidP="002228EB">
            <w:pPr>
              <w:rPr>
                <w:color w:val="auto"/>
              </w:rPr>
            </w:pPr>
            <w:r w:rsidRPr="00E70281">
              <w:rPr>
                <w:color w:val="auto"/>
              </w:rPr>
              <w:t>(b)</w:t>
            </w:r>
            <w:r w:rsidR="002228EB" w:rsidRPr="00E70281">
              <w:rPr>
                <w:color w:val="auto"/>
              </w:rPr>
              <w:br/>
            </w:r>
            <w:r w:rsidRPr="00E70281">
              <w:rPr>
                <w:noProof/>
                <w:color w:val="auto"/>
              </w:rPr>
              <w:drawing>
                <wp:inline distT="0" distB="0" distL="0" distR="0" wp14:anchorId="307CE0BA" wp14:editId="10A73C86">
                  <wp:extent cx="2700273" cy="269176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3785" r="39246" b="3096"/>
                          <a:stretch/>
                        </pic:blipFill>
                        <pic:spPr bwMode="auto">
                          <a:xfrm>
                            <a:off x="0" y="0"/>
                            <a:ext cx="2715520" cy="27069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0FB415" w14:textId="7F8C3885" w:rsidR="00E72E06" w:rsidRPr="00E70281" w:rsidRDefault="00E72E06" w:rsidP="00E72E06">
      <w:pPr>
        <w:pStyle w:val="Caption"/>
        <w:rPr>
          <w:color w:val="auto"/>
        </w:rPr>
      </w:pPr>
      <w:bookmarkStart w:id="29" w:name="_Ref60665222"/>
      <w:r w:rsidRPr="00E70281">
        <w:rPr>
          <w:color w:val="auto"/>
        </w:rPr>
        <w:t xml:space="preserve">Figure </w:t>
      </w:r>
      <w:r w:rsidRPr="00E70281">
        <w:rPr>
          <w:color w:val="auto"/>
        </w:rPr>
        <w:fldChar w:fldCharType="begin"/>
      </w:r>
      <w:r w:rsidRPr="00E70281">
        <w:rPr>
          <w:color w:val="auto"/>
        </w:rPr>
        <w:instrText xml:space="preserve"> SEQ Figure \* ARABIC </w:instrText>
      </w:r>
      <w:r w:rsidRPr="00E70281">
        <w:rPr>
          <w:color w:val="auto"/>
        </w:rPr>
        <w:fldChar w:fldCharType="separate"/>
      </w:r>
      <w:r w:rsidR="00D37CAD" w:rsidRPr="00E70281">
        <w:rPr>
          <w:noProof/>
          <w:color w:val="auto"/>
        </w:rPr>
        <w:t>3</w:t>
      </w:r>
      <w:r w:rsidRPr="00E70281">
        <w:rPr>
          <w:color w:val="auto"/>
        </w:rPr>
        <w:fldChar w:fldCharType="end"/>
      </w:r>
      <w:bookmarkEnd w:id="29"/>
      <w:r w:rsidRPr="00E70281">
        <w:rPr>
          <w:color w:val="auto"/>
        </w:rPr>
        <w:t xml:space="preserve">: </w:t>
      </w:r>
      <w:r w:rsidR="00E62F28" w:rsidRPr="00E70281">
        <w:rPr>
          <w:color w:val="auto"/>
        </w:rPr>
        <w:t xml:space="preserve">Dependence </w:t>
      </w:r>
      <w:r w:rsidRPr="00E70281">
        <w:rPr>
          <w:color w:val="auto"/>
        </w:rPr>
        <w:t>of the p</w:t>
      </w:r>
      <w:r w:rsidR="0001230D">
        <w:rPr>
          <w:color w:val="auto"/>
        </w:rPr>
        <w:t>seudo-second order</w:t>
      </w:r>
      <w:r w:rsidR="00056059" w:rsidRPr="00E70281">
        <w:rPr>
          <w:color w:val="auto"/>
        </w:rPr>
        <w:t xml:space="preserve"> (PSO) rate constant</w:t>
      </w:r>
      <w:r w:rsidRPr="00E70281">
        <w:rPr>
          <w:color w:val="auto"/>
        </w:rPr>
        <w:t xml:space="preserve"> k</w:t>
      </w:r>
      <w:r w:rsidRPr="00E70281">
        <w:rPr>
          <w:color w:val="auto"/>
          <w:vertAlign w:val="subscript"/>
        </w:rPr>
        <w:t>2</w:t>
      </w:r>
      <w:r w:rsidR="00E62F28" w:rsidRPr="00E70281">
        <w:rPr>
          <w:color w:val="auto"/>
        </w:rPr>
        <w:t xml:space="preserve"> upon (a) initial adsorbate concentration (C</w:t>
      </w:r>
      <w:r w:rsidR="00E62F28" w:rsidRPr="00E70281">
        <w:rPr>
          <w:color w:val="auto"/>
          <w:vertAlign w:val="subscript"/>
        </w:rPr>
        <w:t>0</w:t>
      </w:r>
      <w:r w:rsidR="00E62F28" w:rsidRPr="00E70281">
        <w:rPr>
          <w:color w:val="auto"/>
        </w:rPr>
        <w:t>), and (b) adsorbent concentration (C</w:t>
      </w:r>
      <w:r w:rsidR="00E62F28" w:rsidRPr="00E70281">
        <w:rPr>
          <w:color w:val="auto"/>
          <w:vertAlign w:val="subscript"/>
        </w:rPr>
        <w:t>s</w:t>
      </w:r>
      <w:r w:rsidR="00E62F28" w:rsidRPr="00E70281">
        <w:rPr>
          <w:color w:val="auto"/>
        </w:rPr>
        <w:t xml:space="preserve">). The data is presented as described in </w:t>
      </w:r>
      <w:r w:rsidR="00E62F28" w:rsidRPr="00E70281">
        <w:rPr>
          <w:color w:val="auto"/>
        </w:rPr>
        <w:fldChar w:fldCharType="begin"/>
      </w:r>
      <w:r w:rsidR="00E62F28" w:rsidRPr="00E70281">
        <w:rPr>
          <w:color w:val="auto"/>
        </w:rPr>
        <w:instrText xml:space="preserve"> REF _Ref30766058 \h </w:instrText>
      </w:r>
      <w:r w:rsidR="00E62F28" w:rsidRPr="00E70281">
        <w:rPr>
          <w:color w:val="auto"/>
        </w:rPr>
      </w:r>
      <w:r w:rsidR="00E62F28" w:rsidRPr="00E70281">
        <w:rPr>
          <w:color w:val="auto"/>
        </w:rPr>
        <w:fldChar w:fldCharType="separate"/>
      </w:r>
      <w:r w:rsidR="00D37CAD" w:rsidRPr="00E70281">
        <w:rPr>
          <w:color w:val="auto"/>
        </w:rPr>
        <w:t xml:space="preserve">Figure </w:t>
      </w:r>
      <w:r w:rsidR="00D37CAD" w:rsidRPr="00E70281">
        <w:rPr>
          <w:i w:val="0"/>
          <w:iCs w:val="0"/>
          <w:noProof/>
          <w:color w:val="auto"/>
        </w:rPr>
        <w:t>2</w:t>
      </w:r>
      <w:r w:rsidR="00E62F28" w:rsidRPr="00E70281">
        <w:rPr>
          <w:color w:val="auto"/>
        </w:rPr>
        <w:fldChar w:fldCharType="end"/>
      </w:r>
      <w:r w:rsidR="00035912" w:rsidRPr="00E70281">
        <w:rPr>
          <w:color w:val="auto"/>
        </w:rPr>
        <w:t xml:space="preserve">, with </w:t>
      </w:r>
      <w:r w:rsidR="009004E8" w:rsidRPr="00E70281">
        <w:rPr>
          <w:color w:val="auto"/>
        </w:rPr>
        <w:t xml:space="preserve">a legend referencing the literature sources presented in </w:t>
      </w:r>
      <w:r w:rsidR="00056059" w:rsidRPr="00E70281">
        <w:rPr>
          <w:color w:val="auto"/>
        </w:rPr>
        <w:t>SI Figure S2</w:t>
      </w:r>
      <w:r w:rsidR="009004E8" w:rsidRPr="00E70281">
        <w:rPr>
          <w:color w:val="auto"/>
        </w:rPr>
        <w:t>.</w:t>
      </w:r>
    </w:p>
    <w:p w14:paraId="741CDCA8" w14:textId="58E274CC" w:rsidR="00E9284B" w:rsidRPr="00E70281" w:rsidRDefault="00E9284B" w:rsidP="003C6C2E">
      <w:pPr>
        <w:rPr>
          <w:color w:val="auto"/>
        </w:rPr>
      </w:pPr>
    </w:p>
    <w:p w14:paraId="32BD7F47" w14:textId="044E791B" w:rsidR="009F67CB" w:rsidRPr="00E70281" w:rsidRDefault="00E9284B" w:rsidP="00044370">
      <w:pPr>
        <w:rPr>
          <w:color w:val="auto"/>
        </w:rPr>
      </w:pPr>
      <w:r w:rsidRPr="00E70281">
        <w:rPr>
          <w:color w:val="auto"/>
        </w:rPr>
        <w:t>In contrast, a positive relationship between C</w:t>
      </w:r>
      <w:r w:rsidRPr="00E70281">
        <w:rPr>
          <w:color w:val="auto"/>
          <w:vertAlign w:val="subscript"/>
        </w:rPr>
        <w:t>s</w:t>
      </w:r>
      <w:r w:rsidRPr="00E70281">
        <w:rPr>
          <w:color w:val="auto"/>
        </w:rPr>
        <w:t xml:space="preserve"> and k</w:t>
      </w:r>
      <w:r w:rsidRPr="00E70281">
        <w:rPr>
          <w:color w:val="auto"/>
          <w:vertAlign w:val="subscript"/>
        </w:rPr>
        <w:t>2</w:t>
      </w:r>
      <w:r w:rsidRPr="00E70281">
        <w:rPr>
          <w:color w:val="auto"/>
        </w:rPr>
        <w:t xml:space="preserve"> is observed, with an average dependency of </w:t>
      </w:r>
      <w:r w:rsidR="00044370" w:rsidRPr="00E70281">
        <w:rPr>
          <w:color w:val="auto"/>
        </w:rPr>
        <w:t>1.57</w:t>
      </w:r>
      <w:r w:rsidR="001A3631" w:rsidRPr="00E70281">
        <w:rPr>
          <w:color w:val="auto"/>
        </w:rPr>
        <w:t>±0.</w:t>
      </w:r>
      <w:r w:rsidR="00044370" w:rsidRPr="00E70281">
        <w:rPr>
          <w:color w:val="auto"/>
        </w:rPr>
        <w:t>85</w:t>
      </w:r>
      <w:r w:rsidR="004C63A6" w:rsidRPr="00E70281">
        <w:rPr>
          <w:color w:val="auto"/>
        </w:rPr>
        <w:t xml:space="preserve"> (</w:t>
      </w:r>
      <w:r w:rsidR="003D587D" w:rsidRPr="00E70281">
        <w:rPr>
          <w:color w:val="auto"/>
        </w:rPr>
        <w:fldChar w:fldCharType="begin"/>
      </w:r>
      <w:r w:rsidR="003D587D" w:rsidRPr="00E70281">
        <w:rPr>
          <w:color w:val="auto"/>
        </w:rPr>
        <w:instrText xml:space="preserve"> REF _Ref60665222 \h </w:instrText>
      </w:r>
      <w:r w:rsidR="003D587D" w:rsidRPr="00E70281">
        <w:rPr>
          <w:color w:val="auto"/>
        </w:rPr>
      </w:r>
      <w:r w:rsidR="003D587D" w:rsidRPr="00E70281">
        <w:rPr>
          <w:color w:val="auto"/>
        </w:rPr>
        <w:fldChar w:fldCharType="separate"/>
      </w:r>
      <w:r w:rsidR="003D587D" w:rsidRPr="00E70281">
        <w:rPr>
          <w:color w:val="auto"/>
        </w:rPr>
        <w:t xml:space="preserve">Figure </w:t>
      </w:r>
      <w:r w:rsidR="003D587D" w:rsidRPr="00E70281">
        <w:rPr>
          <w:noProof/>
          <w:color w:val="auto"/>
        </w:rPr>
        <w:t>3</w:t>
      </w:r>
      <w:r w:rsidR="003D587D" w:rsidRPr="00E70281">
        <w:rPr>
          <w:color w:val="auto"/>
        </w:rPr>
        <w:fldChar w:fldCharType="end"/>
      </w:r>
      <w:r w:rsidR="004C63A6" w:rsidRPr="00E70281">
        <w:rPr>
          <w:color w:val="auto"/>
        </w:rPr>
        <w:t>b)</w:t>
      </w:r>
      <w:r w:rsidR="00044370" w:rsidRPr="00E70281">
        <w:rPr>
          <w:color w:val="auto"/>
        </w:rPr>
        <w:t>. (</w:t>
      </w:r>
      <w:r w:rsidR="004C63A6" w:rsidRPr="00E70281">
        <w:rPr>
          <w:color w:val="auto"/>
        </w:rPr>
        <w:t>F</w:t>
      </w:r>
      <w:r w:rsidR="008917DB" w:rsidRPr="00E70281">
        <w:rPr>
          <w:color w:val="auto"/>
        </w:rPr>
        <w:t>irst and second-order dependencies between k</w:t>
      </w:r>
      <w:r w:rsidR="008917DB" w:rsidRPr="00E70281">
        <w:rPr>
          <w:color w:val="auto"/>
          <w:vertAlign w:val="subscript"/>
        </w:rPr>
        <w:t>2</w:t>
      </w:r>
      <w:r w:rsidR="008917DB" w:rsidRPr="00E70281">
        <w:rPr>
          <w:color w:val="auto"/>
        </w:rPr>
        <w:t xml:space="preserve"> and C</w:t>
      </w:r>
      <w:r w:rsidR="008917DB" w:rsidRPr="00E70281">
        <w:rPr>
          <w:color w:val="auto"/>
          <w:vertAlign w:val="subscript"/>
        </w:rPr>
        <w:t>s</w:t>
      </w:r>
      <w:r w:rsidR="008917DB" w:rsidRPr="00E70281">
        <w:rPr>
          <w:color w:val="auto"/>
        </w:rPr>
        <w:t xml:space="preserve"> are </w:t>
      </w:r>
      <w:r w:rsidR="004C63A6" w:rsidRPr="00E70281">
        <w:rPr>
          <w:color w:val="auto"/>
        </w:rPr>
        <w:t>both</w:t>
      </w:r>
      <w:r w:rsidR="008917DB" w:rsidRPr="00E70281">
        <w:rPr>
          <w:color w:val="auto"/>
        </w:rPr>
        <w:t xml:space="preserve"> included within the standard deviation</w:t>
      </w:r>
      <w:r w:rsidR="00044370" w:rsidRPr="00E70281">
        <w:rPr>
          <w:color w:val="auto"/>
        </w:rPr>
        <w:t>)</w:t>
      </w:r>
      <w:r w:rsidR="006C72B5" w:rsidRPr="00E70281">
        <w:rPr>
          <w:color w:val="auto"/>
        </w:rPr>
        <w:t>.</w:t>
      </w:r>
      <w:r w:rsidR="00044370" w:rsidRPr="00E70281">
        <w:rPr>
          <w:color w:val="auto"/>
        </w:rPr>
        <w:t xml:space="preserve"> This is explained by how when C</w:t>
      </w:r>
      <w:r w:rsidR="00044370" w:rsidRPr="00E70281">
        <w:rPr>
          <w:color w:val="auto"/>
          <w:vertAlign w:val="subscript"/>
        </w:rPr>
        <w:t>s</w:t>
      </w:r>
      <w:r w:rsidR="00044370" w:rsidRPr="00E70281">
        <w:rPr>
          <w:color w:val="auto"/>
        </w:rPr>
        <w:t xml:space="preserve"> is doubled, q</w:t>
      </w:r>
      <w:r w:rsidR="00044370" w:rsidRPr="00E70281">
        <w:rPr>
          <w:color w:val="auto"/>
          <w:vertAlign w:val="subscript"/>
        </w:rPr>
        <w:t>e</w:t>
      </w:r>
      <w:r w:rsidR="00044370" w:rsidRPr="00E70281">
        <w:rPr>
          <w:color w:val="auto"/>
        </w:rPr>
        <w:t xml:space="preserve"> will decrease by a factor </w:t>
      </w:r>
      <w:r w:rsidR="004C63A6" w:rsidRPr="00E70281">
        <w:rPr>
          <w:color w:val="auto"/>
        </w:rPr>
        <w:t xml:space="preserve">of </w:t>
      </w:r>
      <w:r w:rsidR="00044370" w:rsidRPr="00E70281">
        <w:rPr>
          <w:color w:val="auto"/>
        </w:rPr>
        <w:t>between 0 and 2: zero when the adsorbate is in excess and q</w:t>
      </w:r>
      <w:r w:rsidR="00044370" w:rsidRPr="00E70281">
        <w:rPr>
          <w:color w:val="auto"/>
          <w:vertAlign w:val="subscript"/>
        </w:rPr>
        <w:t>e</w:t>
      </w:r>
      <w:r w:rsidR="00044370" w:rsidRPr="00E70281">
        <w:rPr>
          <w:color w:val="auto"/>
        </w:rPr>
        <w:t xml:space="preserve"> is insignificant compared to C</w:t>
      </w:r>
      <w:r w:rsidR="00044370" w:rsidRPr="00E70281">
        <w:rPr>
          <w:color w:val="auto"/>
          <w:vertAlign w:val="subscript"/>
        </w:rPr>
        <w:t>0</w:t>
      </w:r>
      <w:r w:rsidR="00044370" w:rsidRPr="00E70281">
        <w:rPr>
          <w:color w:val="auto"/>
        </w:rPr>
        <w:t>, and two when the adsorbent is in excess and q</w:t>
      </w:r>
      <w:r w:rsidR="00044370" w:rsidRPr="00E70281">
        <w:rPr>
          <w:color w:val="auto"/>
          <w:vertAlign w:val="subscript"/>
        </w:rPr>
        <w:t>e</w:t>
      </w:r>
      <w:r w:rsidR="00044370" w:rsidRPr="00E70281">
        <w:rPr>
          <w:color w:val="auto"/>
        </w:rPr>
        <w:t xml:space="preserve"> is large relative to C</w:t>
      </w:r>
      <w:r w:rsidR="00044370" w:rsidRPr="00E70281">
        <w:rPr>
          <w:color w:val="auto"/>
          <w:vertAlign w:val="subscript"/>
        </w:rPr>
        <w:t>0</w:t>
      </w:r>
      <w:r w:rsidR="00044370" w:rsidRPr="00E70281">
        <w:rPr>
          <w:color w:val="auto"/>
        </w:rPr>
        <w:t xml:space="preserve">. </w:t>
      </w:r>
      <w:r w:rsidR="004C63A6" w:rsidRPr="00E70281">
        <w:rPr>
          <w:color w:val="auto"/>
        </w:rPr>
        <w:t>Consequently, a</w:t>
      </w:r>
      <w:r w:rsidR="00044370" w:rsidRPr="00E70281">
        <w:rPr>
          <w:color w:val="auto"/>
        </w:rPr>
        <w:t>s C</w:t>
      </w:r>
      <w:r w:rsidR="00044370" w:rsidRPr="00E70281">
        <w:rPr>
          <w:color w:val="auto"/>
          <w:vertAlign w:val="subscript"/>
        </w:rPr>
        <w:t>s</w:t>
      </w:r>
      <w:r w:rsidR="00044370" w:rsidRPr="00E70281">
        <w:rPr>
          <w:color w:val="auto"/>
        </w:rPr>
        <w:t xml:space="preserve"> increases, (q</w:t>
      </w:r>
      <w:r w:rsidR="00044370" w:rsidRPr="00E70281">
        <w:rPr>
          <w:color w:val="auto"/>
          <w:vertAlign w:val="subscript"/>
        </w:rPr>
        <w:t>e</w:t>
      </w:r>
      <w:r w:rsidR="00044370" w:rsidRPr="00E70281">
        <w:rPr>
          <w:color w:val="auto"/>
        </w:rPr>
        <w:t>-q</w:t>
      </w:r>
      <w:r w:rsidR="00044370" w:rsidRPr="00E70281">
        <w:rPr>
          <w:color w:val="auto"/>
          <w:vertAlign w:val="subscript"/>
        </w:rPr>
        <w:t>t</w:t>
      </w:r>
      <w:r w:rsidR="00044370" w:rsidRPr="00E70281">
        <w:rPr>
          <w:color w:val="auto"/>
        </w:rPr>
        <w:t>)</w:t>
      </w:r>
      <w:r w:rsidR="00044370" w:rsidRPr="00E70281">
        <w:rPr>
          <w:color w:val="auto"/>
          <w:vertAlign w:val="superscript"/>
        </w:rPr>
        <w:t>2</w:t>
      </w:r>
      <w:r w:rsidR="00044370" w:rsidRPr="00E70281">
        <w:rPr>
          <w:color w:val="auto"/>
        </w:rPr>
        <w:t xml:space="preserve"> decreases with a zero-to-second-order dependency, and</w:t>
      </w:r>
      <w:r w:rsidR="004C63A6" w:rsidRPr="00E70281">
        <w:rPr>
          <w:color w:val="auto"/>
        </w:rPr>
        <w:t xml:space="preserve"> </w:t>
      </w:r>
      <w:r w:rsidR="00044370" w:rsidRPr="00E70281">
        <w:rPr>
          <w:color w:val="auto"/>
        </w:rPr>
        <w:t>to achieve the zero-order relationship between C</w:t>
      </w:r>
      <w:r w:rsidR="00044370" w:rsidRPr="00E70281">
        <w:rPr>
          <w:color w:val="auto"/>
          <w:vertAlign w:val="subscript"/>
        </w:rPr>
        <w:t>0</w:t>
      </w:r>
      <w:r w:rsidR="00044370" w:rsidRPr="00E70281">
        <w:rPr>
          <w:color w:val="auto"/>
        </w:rPr>
        <w:t xml:space="preserve"> and initial rates (</w:t>
      </w:r>
      <w:r w:rsidR="00A03B2B" w:rsidRPr="00A03B2B">
        <w:rPr>
          <w:color w:val="FF0000"/>
        </w:rPr>
        <w:t xml:space="preserve">with the </w:t>
      </w:r>
      <w:proofErr w:type="gramStart"/>
      <w:r w:rsidR="00A03B2B" w:rsidRPr="00A03B2B">
        <w:rPr>
          <w:color w:val="FF0000"/>
        </w:rPr>
        <w:t>units</w:t>
      </w:r>
      <w:proofErr w:type="gramEnd"/>
      <w:r w:rsidR="00A03B2B" w:rsidRPr="00A03B2B">
        <w:rPr>
          <w:color w:val="FF0000"/>
        </w:rPr>
        <w:t xml:space="preserve"> </w:t>
      </w:r>
      <w:r w:rsidR="00044370" w:rsidRPr="00E70281">
        <w:rPr>
          <w:color w:val="auto"/>
        </w:rPr>
        <w:t>mg g</w:t>
      </w:r>
      <w:r w:rsidR="00044370" w:rsidRPr="00E70281">
        <w:rPr>
          <w:color w:val="auto"/>
          <w:vertAlign w:val="superscript"/>
        </w:rPr>
        <w:t>-1</w:t>
      </w:r>
      <w:r w:rsidR="00044370" w:rsidRPr="00E70281">
        <w:rPr>
          <w:color w:val="auto"/>
        </w:rPr>
        <w:t xml:space="preserve"> min</w:t>
      </w:r>
      <w:r w:rsidR="00044370" w:rsidRPr="00E70281">
        <w:rPr>
          <w:color w:val="auto"/>
          <w:vertAlign w:val="superscript"/>
        </w:rPr>
        <w:t>-1</w:t>
      </w:r>
      <w:r w:rsidR="00044370" w:rsidRPr="00E70281">
        <w:rPr>
          <w:color w:val="auto"/>
        </w:rPr>
        <w:t>), k</w:t>
      </w:r>
      <w:r w:rsidR="00044370" w:rsidRPr="00E70281">
        <w:rPr>
          <w:color w:val="auto"/>
          <w:vertAlign w:val="subscript"/>
        </w:rPr>
        <w:t>2</w:t>
      </w:r>
      <w:r w:rsidR="00044370" w:rsidRPr="00E70281">
        <w:rPr>
          <w:color w:val="auto"/>
        </w:rPr>
        <w:t xml:space="preserve"> must increase with a dependency</w:t>
      </w:r>
      <w:r w:rsidR="004C63A6" w:rsidRPr="00E70281">
        <w:rPr>
          <w:color w:val="auto"/>
        </w:rPr>
        <w:t xml:space="preserve"> that is</w:t>
      </w:r>
      <w:r w:rsidR="00044370" w:rsidRPr="00E70281">
        <w:rPr>
          <w:color w:val="auto"/>
        </w:rPr>
        <w:t xml:space="preserve"> between zero and second-order.</w:t>
      </w:r>
    </w:p>
    <w:p w14:paraId="1B17FF7A" w14:textId="13A20468" w:rsidR="00573DBC" w:rsidRPr="00E70281" w:rsidRDefault="00573DBC">
      <w:pPr>
        <w:spacing w:after="200"/>
        <w:jc w:val="left"/>
        <w:rPr>
          <w:color w:val="auto"/>
        </w:rPr>
      </w:pPr>
      <w:r w:rsidRPr="00E70281">
        <w:rPr>
          <w:color w:val="auto"/>
        </w:rPr>
        <w:br w:type="page"/>
      </w:r>
    </w:p>
    <w:p w14:paraId="7800574D" w14:textId="4934CC95" w:rsidR="008C5289" w:rsidRPr="00E70281" w:rsidRDefault="00934A28" w:rsidP="00E830CC">
      <w:pPr>
        <w:pStyle w:val="Heading2"/>
        <w:rPr>
          <w:vertAlign w:val="subscript"/>
        </w:rPr>
      </w:pPr>
      <w:bookmarkStart w:id="30" w:name="_Ref21543652"/>
      <w:r w:rsidRPr="00E70281">
        <w:lastRenderedPageBreak/>
        <w:t>Revision of the p</w:t>
      </w:r>
      <w:r w:rsidR="0001230D">
        <w:t>seudo-second order</w:t>
      </w:r>
      <w:r w:rsidRPr="00E70281">
        <w:t xml:space="preserve"> (PSO) </w:t>
      </w:r>
      <w:r w:rsidR="004C63A6" w:rsidRPr="00E70281">
        <w:t xml:space="preserve">rate </w:t>
      </w:r>
      <w:r w:rsidRPr="00E70281">
        <w:t>equation</w:t>
      </w:r>
      <w:r w:rsidR="007236CE" w:rsidRPr="00E70281">
        <w:t xml:space="preserve"> to account for changes in adsorbate (C</w:t>
      </w:r>
      <w:r w:rsidR="007236CE" w:rsidRPr="00E70281">
        <w:rPr>
          <w:vertAlign w:val="subscript"/>
        </w:rPr>
        <w:t>0</w:t>
      </w:r>
      <w:r w:rsidR="007236CE" w:rsidRPr="00E70281">
        <w:t>) and adsorbent (C</w:t>
      </w:r>
      <w:r w:rsidR="007236CE" w:rsidRPr="00E70281">
        <w:rPr>
          <w:vertAlign w:val="subscript"/>
        </w:rPr>
        <w:t>s</w:t>
      </w:r>
      <w:r w:rsidR="007236CE" w:rsidRPr="00E70281">
        <w:t>) concentrations</w:t>
      </w:r>
      <w:r w:rsidRPr="00E70281">
        <w:t xml:space="preserve"> </w:t>
      </w:r>
    </w:p>
    <w:p w14:paraId="734CBFAD" w14:textId="0292FEB5" w:rsidR="008017B7" w:rsidRPr="00E70281" w:rsidRDefault="008017B7" w:rsidP="00B1470F">
      <w:pPr>
        <w:rPr>
          <w:color w:val="auto"/>
        </w:rPr>
      </w:pPr>
    </w:p>
    <w:p w14:paraId="5C420C0A" w14:textId="43CDFF35" w:rsidR="007940EA" w:rsidRPr="00E70281" w:rsidRDefault="007940EA" w:rsidP="007940EA">
      <w:pPr>
        <w:pStyle w:val="Heading3"/>
        <w:numPr>
          <w:ilvl w:val="0"/>
          <w:numId w:val="0"/>
        </w:numPr>
        <w:ind w:left="1080"/>
        <w:rPr>
          <w:color w:val="auto"/>
        </w:rPr>
      </w:pPr>
      <w:bookmarkStart w:id="31" w:name="_Hlk61358258"/>
      <w:r w:rsidRPr="00E70281">
        <w:rPr>
          <w:color w:val="auto"/>
        </w:rPr>
        <w:t>Modification of the PSO rate equation</w:t>
      </w:r>
    </w:p>
    <w:bookmarkEnd w:id="31"/>
    <w:p w14:paraId="2853657D" w14:textId="0216916B" w:rsidR="00353973" w:rsidRPr="00E70281" w:rsidRDefault="005A0F9A" w:rsidP="00B14B99">
      <w:pPr>
        <w:rPr>
          <w:color w:val="auto"/>
        </w:rPr>
      </w:pPr>
      <w:r w:rsidRPr="00E70281">
        <w:rPr>
          <w:color w:val="auto"/>
        </w:rPr>
        <w:t>In t</w:t>
      </w:r>
      <w:r w:rsidR="00BD2089" w:rsidRPr="00E70281">
        <w:rPr>
          <w:color w:val="auto"/>
        </w:rPr>
        <w:t>h</w:t>
      </w:r>
      <w:r w:rsidRPr="00E70281">
        <w:rPr>
          <w:color w:val="auto"/>
        </w:rPr>
        <w:t>is section, we</w:t>
      </w:r>
      <w:r w:rsidR="00B14B99" w:rsidRPr="00E70281">
        <w:rPr>
          <w:color w:val="auto"/>
        </w:rPr>
        <w:t xml:space="preserve"> </w:t>
      </w:r>
      <w:r w:rsidR="003926E8" w:rsidRPr="00E70281">
        <w:rPr>
          <w:color w:val="auto"/>
        </w:rPr>
        <w:t>modify</w:t>
      </w:r>
      <w:r w:rsidR="00B14B99" w:rsidRPr="00E70281">
        <w:rPr>
          <w:color w:val="auto"/>
        </w:rPr>
        <w:t xml:space="preserve"> the original PSO</w:t>
      </w:r>
      <w:r w:rsidR="00C1555E" w:rsidRPr="00E70281">
        <w:rPr>
          <w:color w:val="auto"/>
        </w:rPr>
        <w:t xml:space="preserve"> rate</w:t>
      </w:r>
      <w:r w:rsidR="00B14B99" w:rsidRPr="00E70281">
        <w:rPr>
          <w:color w:val="auto"/>
        </w:rPr>
        <w:t xml:space="preserve"> equation to include the</w:t>
      </w:r>
      <w:r w:rsidRPr="00E70281">
        <w:rPr>
          <w:color w:val="auto"/>
        </w:rPr>
        <w:t xml:space="preserve"> appropriate</w:t>
      </w:r>
      <w:r w:rsidR="00B14B99" w:rsidRPr="00E70281">
        <w:rPr>
          <w:color w:val="auto"/>
        </w:rPr>
        <w:t xml:space="preserve"> sensitivity towards C</w:t>
      </w:r>
      <w:r w:rsidR="00B14B99" w:rsidRPr="00E70281">
        <w:rPr>
          <w:color w:val="auto"/>
          <w:vertAlign w:val="subscript"/>
        </w:rPr>
        <w:t>0</w:t>
      </w:r>
      <w:r w:rsidR="00B14B99" w:rsidRPr="00E70281">
        <w:rPr>
          <w:color w:val="auto"/>
        </w:rPr>
        <w:t xml:space="preserve"> and C</w:t>
      </w:r>
      <w:r w:rsidR="00B14B99" w:rsidRPr="00E70281">
        <w:rPr>
          <w:color w:val="auto"/>
          <w:vertAlign w:val="subscript"/>
        </w:rPr>
        <w:t>s</w:t>
      </w:r>
      <w:r w:rsidR="00C1555E" w:rsidRPr="00E70281">
        <w:rPr>
          <w:color w:val="auto"/>
        </w:rPr>
        <w:t>,</w:t>
      </w:r>
      <w:r w:rsidR="00B14B99" w:rsidRPr="00E70281">
        <w:rPr>
          <w:color w:val="auto"/>
        </w:rPr>
        <w:t xml:space="preserve"> </w:t>
      </w:r>
      <w:r w:rsidRPr="00E70281">
        <w:rPr>
          <w:color w:val="auto"/>
        </w:rPr>
        <w:t>meeting the aims of</w:t>
      </w:r>
      <w:r w:rsidR="00B14B99" w:rsidRPr="00E70281">
        <w:rPr>
          <w:color w:val="auto"/>
        </w:rPr>
        <w:t xml:space="preserve"> (a) improving the predictive capacity of this model, and (b) normalis</w:t>
      </w:r>
      <w:r w:rsidR="00C1555E" w:rsidRPr="00E70281">
        <w:rPr>
          <w:color w:val="auto"/>
        </w:rPr>
        <w:t>ing</w:t>
      </w:r>
      <w:r w:rsidR="00B14B99" w:rsidRPr="00E70281">
        <w:rPr>
          <w:color w:val="auto"/>
        </w:rPr>
        <w:t xml:space="preserve"> rate constants for better comparison </w:t>
      </w:r>
      <w:r w:rsidR="00C1555E" w:rsidRPr="00E70281">
        <w:rPr>
          <w:color w:val="auto"/>
        </w:rPr>
        <w:t>across</w:t>
      </w:r>
      <w:r w:rsidR="00B14B99" w:rsidRPr="00E70281">
        <w:rPr>
          <w:color w:val="auto"/>
        </w:rPr>
        <w:t xml:space="preserve"> the literature</w:t>
      </w:r>
      <w:r w:rsidRPr="00E70281">
        <w:rPr>
          <w:color w:val="auto"/>
        </w:rPr>
        <w:t>.</w:t>
      </w:r>
      <w:r w:rsidR="00B14B99" w:rsidRPr="00E70281">
        <w:rPr>
          <w:color w:val="auto"/>
        </w:rPr>
        <w:t xml:space="preserve"> </w:t>
      </w:r>
    </w:p>
    <w:p w14:paraId="1B1A57BF" w14:textId="1D9119D8" w:rsidR="00121854" w:rsidRPr="00E70281" w:rsidRDefault="00121854" w:rsidP="00121854">
      <w:pPr>
        <w:rPr>
          <w:color w:val="FF0000"/>
        </w:rPr>
      </w:pPr>
      <w:bookmarkStart w:id="32" w:name="_Hlk61256168"/>
      <w:bookmarkStart w:id="33" w:name="_Hlk61257796"/>
      <w:r w:rsidRPr="00E70281">
        <w:rPr>
          <w:color w:val="FF0000"/>
        </w:rPr>
        <w:t xml:space="preserve">Firstly, for a given concentration of adsorbent, the </w:t>
      </w:r>
      <w:r w:rsidR="0017378C" w:rsidRPr="00E70281">
        <w:rPr>
          <w:color w:val="FF0000"/>
        </w:rPr>
        <w:t xml:space="preserve">total </w:t>
      </w:r>
      <w:r w:rsidRPr="00E70281">
        <w:rPr>
          <w:color w:val="FF0000"/>
        </w:rPr>
        <w:t>concentration of adsorption surface sites is constant regardless of the value of C</w:t>
      </w:r>
      <w:r w:rsidRPr="00E70281">
        <w:rPr>
          <w:color w:val="FF0000"/>
          <w:vertAlign w:val="subscript"/>
        </w:rPr>
        <w:t>0</w:t>
      </w:r>
      <w:r w:rsidR="0017378C" w:rsidRPr="00E70281">
        <w:rPr>
          <w:color w:val="FF0000"/>
        </w:rPr>
        <w:t>.</w:t>
      </w:r>
      <w:r w:rsidRPr="00E70281">
        <w:rPr>
          <w:color w:val="FF0000"/>
        </w:rPr>
        <w:t xml:space="preserve"> </w:t>
      </w:r>
      <w:r w:rsidR="0017378C" w:rsidRPr="00E70281">
        <w:rPr>
          <w:color w:val="FF0000"/>
        </w:rPr>
        <w:t>T</w:t>
      </w:r>
      <w:r w:rsidRPr="00E70281">
        <w:rPr>
          <w:color w:val="FF0000"/>
        </w:rPr>
        <w:t>he term within the rate equation</w:t>
      </w:r>
      <w:r w:rsidR="0017378C" w:rsidRPr="00E70281">
        <w:rPr>
          <w:color w:val="FF0000"/>
        </w:rPr>
        <w:t xml:space="preserve"> used to represent</w:t>
      </w:r>
      <w:r w:rsidRPr="00E70281">
        <w:rPr>
          <w:color w:val="FF0000"/>
        </w:rPr>
        <w:t xml:space="preserve"> the contribution of adsorption surface site availability towards the rate of reaction should therefore be independent of C</w:t>
      </w:r>
      <w:r w:rsidRPr="00E70281">
        <w:rPr>
          <w:color w:val="FF0000"/>
          <w:vertAlign w:val="subscript"/>
        </w:rPr>
        <w:t>0</w:t>
      </w:r>
      <w:r w:rsidRPr="00E70281">
        <w:rPr>
          <w:color w:val="FF0000"/>
        </w:rPr>
        <w:t xml:space="preserve">. The original PSO rate equation contains a second-order dependence upon the </w:t>
      </w:r>
      <w:r w:rsidRPr="00E70281">
        <w:rPr>
          <w:b/>
          <w:color w:val="FF0000"/>
        </w:rPr>
        <w:t>absolute amount</w:t>
      </w:r>
      <w:r w:rsidRPr="00E70281">
        <w:rPr>
          <w:color w:val="FF0000"/>
        </w:rPr>
        <w:t xml:space="preserve"> of adsorption capacity remaining, (q</w:t>
      </w:r>
      <w:r w:rsidRPr="00E70281">
        <w:rPr>
          <w:color w:val="FF0000"/>
          <w:vertAlign w:val="subscript"/>
        </w:rPr>
        <w:t>e</w:t>
      </w:r>
      <w:r w:rsidRPr="00E70281">
        <w:rPr>
          <w:color w:val="FF0000"/>
        </w:rPr>
        <w:t>-q</w:t>
      </w:r>
      <w:r w:rsidRPr="00E70281">
        <w:rPr>
          <w:color w:val="FF0000"/>
          <w:vertAlign w:val="subscript"/>
        </w:rPr>
        <w:t>t</w:t>
      </w:r>
      <w:r w:rsidRPr="00E70281">
        <w:rPr>
          <w:color w:val="FF0000"/>
        </w:rPr>
        <w:t>)</w:t>
      </w:r>
      <w:r w:rsidRPr="00E70281">
        <w:rPr>
          <w:color w:val="FF0000"/>
          <w:vertAlign w:val="superscript"/>
        </w:rPr>
        <w:t>2</w:t>
      </w:r>
      <w:r w:rsidRPr="00E70281">
        <w:rPr>
          <w:color w:val="FF0000"/>
        </w:rPr>
        <w:t>, which gives the inverse relationship between the rate constant and C</w:t>
      </w:r>
      <w:r w:rsidRPr="00E70281">
        <w:rPr>
          <w:color w:val="FF0000"/>
          <w:vertAlign w:val="subscript"/>
        </w:rPr>
        <w:t>0</w:t>
      </w:r>
      <w:r w:rsidR="0017378C" w:rsidRPr="00E70281">
        <w:rPr>
          <w:color w:val="FF0000"/>
        </w:rPr>
        <w:t xml:space="preserve"> demonstrated in </w:t>
      </w:r>
      <w:r w:rsidR="0017378C" w:rsidRPr="00E70281">
        <w:rPr>
          <w:color w:val="FF0000"/>
        </w:rPr>
        <w:fldChar w:fldCharType="begin"/>
      </w:r>
      <w:r w:rsidR="0017378C" w:rsidRPr="00E70281">
        <w:rPr>
          <w:color w:val="FF0000"/>
        </w:rPr>
        <w:instrText xml:space="preserve"> REF _Ref60665222 \h </w:instrText>
      </w:r>
      <w:r w:rsidR="0017378C" w:rsidRPr="00E70281">
        <w:rPr>
          <w:color w:val="FF0000"/>
        </w:rPr>
      </w:r>
      <w:r w:rsidR="0017378C" w:rsidRPr="00E70281">
        <w:rPr>
          <w:color w:val="FF0000"/>
        </w:rPr>
        <w:fldChar w:fldCharType="separate"/>
      </w:r>
      <w:r w:rsidR="0017378C" w:rsidRPr="00E70281">
        <w:rPr>
          <w:color w:val="FF0000"/>
        </w:rPr>
        <w:t xml:space="preserve">Figure </w:t>
      </w:r>
      <w:r w:rsidR="0017378C" w:rsidRPr="00E70281">
        <w:rPr>
          <w:noProof/>
          <w:color w:val="FF0000"/>
        </w:rPr>
        <w:t>3</w:t>
      </w:r>
      <w:r w:rsidR="0017378C" w:rsidRPr="00E70281">
        <w:rPr>
          <w:color w:val="FF0000"/>
        </w:rPr>
        <w:fldChar w:fldCharType="end"/>
      </w:r>
      <w:r w:rsidR="0017378C" w:rsidRPr="00E70281">
        <w:rPr>
          <w:color w:val="FF0000"/>
        </w:rPr>
        <w:t>a</w:t>
      </w:r>
      <w:r w:rsidRPr="00E70281">
        <w:rPr>
          <w:color w:val="FF0000"/>
        </w:rPr>
        <w:t xml:space="preserve">. This term can be replaced with a second-order dependence upon the </w:t>
      </w:r>
      <w:r w:rsidRPr="00E70281">
        <w:rPr>
          <w:b/>
          <w:color w:val="FF0000"/>
        </w:rPr>
        <w:t>relative amount</w:t>
      </w:r>
      <w:r w:rsidRPr="00E70281">
        <w:rPr>
          <w:color w:val="FF0000"/>
        </w:rPr>
        <w:t xml:space="preserve"> of adsorption capacity remaining, </w:t>
      </w:r>
      <m:oMath>
        <m:sSup>
          <m:sSupPr>
            <m:ctrlPr>
              <w:rPr>
                <w:rFonts w:ascii="Cambria Math" w:hAnsi="Cambria Math"/>
                <w:color w:val="FF0000"/>
              </w:rPr>
            </m:ctrlPr>
          </m:sSupPr>
          <m:e>
            <m:d>
              <m:dPr>
                <m:ctrlPr>
                  <w:rPr>
                    <w:rFonts w:ascii="Cambria Math" w:hAnsi="Cambria Math"/>
                    <w:color w:val="FF0000"/>
                  </w:rPr>
                </m:ctrlPr>
              </m:dPr>
              <m:e>
                <m:r>
                  <m:rPr>
                    <m:sty m:val="p"/>
                  </m:rPr>
                  <w:rPr>
                    <w:rFonts w:ascii="Cambria Math" w:hAnsi="Cambria Math"/>
                    <w:color w:val="FF0000"/>
                  </w:rPr>
                  <m:t>1-</m:t>
                </m:r>
                <m:f>
                  <m:fPr>
                    <m:ctrlPr>
                      <w:rPr>
                        <w:rFonts w:ascii="Cambria Math" w:hAnsi="Cambria Math"/>
                        <w:color w:val="FF0000"/>
                      </w:rPr>
                    </m:ctrlPr>
                  </m:fPr>
                  <m:num>
                    <m:sSub>
                      <m:sSubPr>
                        <m:ctrlPr>
                          <w:rPr>
                            <w:rFonts w:ascii="Cambria Math" w:hAnsi="Cambria Math"/>
                            <w:color w:val="FF0000"/>
                          </w:rPr>
                        </m:ctrlPr>
                      </m:sSubPr>
                      <m:e>
                        <m:r>
                          <m:rPr>
                            <m:sty m:val="p"/>
                          </m:rPr>
                          <w:rPr>
                            <w:rFonts w:ascii="Cambria Math" w:hAnsi="Cambria Math"/>
                            <w:color w:val="FF0000"/>
                          </w:rPr>
                          <m:t>q</m:t>
                        </m:r>
                      </m:e>
                      <m:sub>
                        <m:r>
                          <m:rPr>
                            <m:sty m:val="p"/>
                          </m:rPr>
                          <w:rPr>
                            <w:rFonts w:ascii="Cambria Math" w:hAnsi="Cambria Math"/>
                            <w:color w:val="FF0000"/>
                          </w:rPr>
                          <m:t>t</m:t>
                        </m:r>
                      </m:sub>
                    </m:sSub>
                  </m:num>
                  <m:den>
                    <m:sSub>
                      <m:sSubPr>
                        <m:ctrlPr>
                          <w:rPr>
                            <w:rFonts w:ascii="Cambria Math" w:hAnsi="Cambria Math"/>
                            <w:color w:val="FF0000"/>
                          </w:rPr>
                        </m:ctrlPr>
                      </m:sSubPr>
                      <m:e>
                        <m:r>
                          <m:rPr>
                            <m:sty m:val="p"/>
                          </m:rPr>
                          <w:rPr>
                            <w:rFonts w:ascii="Cambria Math" w:hAnsi="Cambria Math"/>
                            <w:color w:val="FF0000"/>
                          </w:rPr>
                          <m:t>q</m:t>
                        </m:r>
                      </m:e>
                      <m:sub>
                        <m:r>
                          <m:rPr>
                            <m:sty m:val="p"/>
                          </m:rPr>
                          <w:rPr>
                            <w:rFonts w:ascii="Cambria Math" w:hAnsi="Cambria Math"/>
                            <w:color w:val="FF0000"/>
                          </w:rPr>
                          <m:t>e</m:t>
                        </m:r>
                      </m:sub>
                    </m:sSub>
                  </m:den>
                </m:f>
              </m:e>
            </m:d>
          </m:e>
          <m:sup>
            <m:r>
              <m:rPr>
                <m:sty m:val="p"/>
              </m:rPr>
              <w:rPr>
                <w:rFonts w:ascii="Cambria Math" w:hAnsi="Cambria Math"/>
                <w:color w:val="FF0000"/>
              </w:rPr>
              <m:t>2</m:t>
            </m:r>
          </m:sup>
        </m:sSup>
      </m:oMath>
      <w:r w:rsidRPr="00E70281">
        <w:rPr>
          <w:color w:val="FF0000"/>
        </w:rPr>
        <w:t xml:space="preserve"> , which will return a value of 1 at time t=0</w:t>
      </w:r>
      <w:r w:rsidR="00756607" w:rsidRPr="00E70281">
        <w:rPr>
          <w:color w:val="FF0000"/>
        </w:rPr>
        <w:t>, independent of C</w:t>
      </w:r>
      <w:r w:rsidR="00756607" w:rsidRPr="00E70281">
        <w:rPr>
          <w:color w:val="FF0000"/>
          <w:vertAlign w:val="subscript"/>
        </w:rPr>
        <w:t>0</w:t>
      </w:r>
      <w:r w:rsidRPr="00E70281">
        <w:rPr>
          <w:color w:val="FF0000"/>
        </w:rPr>
        <w:t>. This term therefore describes the contribution of adsorption surface site availability towards the rate of adsorption more appropriately than the original PSO term (q</w:t>
      </w:r>
      <w:r w:rsidRPr="00E70281">
        <w:rPr>
          <w:color w:val="FF0000"/>
          <w:vertAlign w:val="subscript"/>
        </w:rPr>
        <w:t>e</w:t>
      </w:r>
      <w:r w:rsidRPr="00E70281">
        <w:rPr>
          <w:color w:val="FF0000"/>
        </w:rPr>
        <w:t>-q</w:t>
      </w:r>
      <w:r w:rsidRPr="00E70281">
        <w:rPr>
          <w:color w:val="FF0000"/>
          <w:vertAlign w:val="subscript"/>
        </w:rPr>
        <w:t>t</w:t>
      </w:r>
      <w:r w:rsidRPr="00E70281">
        <w:rPr>
          <w:color w:val="FF0000"/>
        </w:rPr>
        <w:t>)</w:t>
      </w:r>
      <w:r w:rsidRPr="00E70281">
        <w:rPr>
          <w:color w:val="FF0000"/>
          <w:vertAlign w:val="superscript"/>
        </w:rPr>
        <w:t>2</w:t>
      </w:r>
      <w:r w:rsidRPr="00E70281">
        <w:rPr>
          <w:color w:val="FF0000"/>
        </w:rPr>
        <w:t xml:space="preserve">. </w:t>
      </w:r>
      <w:r w:rsidR="00CC5187" w:rsidRPr="00E70281">
        <w:rPr>
          <w:color w:val="FF0000"/>
        </w:rPr>
        <w:t xml:space="preserve">Here, </w:t>
      </w:r>
      <m:oMath>
        <m:f>
          <m:fPr>
            <m:ctrlPr>
              <w:rPr>
                <w:rFonts w:ascii="Cambria Math" w:hAnsi="Cambria Math" w:cs="Times New Roman"/>
                <w:color w:val="FF0000"/>
                <w:sz w:val="24"/>
              </w:rPr>
            </m:ctrlPr>
          </m:fPr>
          <m:num>
            <m:sSub>
              <m:sSubPr>
                <m:ctrlPr>
                  <w:rPr>
                    <w:rFonts w:ascii="Cambria Math" w:hAnsi="Cambria Math" w:cs="Times New Roman"/>
                    <w:color w:val="FF0000"/>
                    <w:sz w:val="24"/>
                  </w:rPr>
                </m:ctrlPr>
              </m:sSubPr>
              <m:e>
                <m:r>
                  <m:rPr>
                    <m:sty m:val="p"/>
                  </m:rPr>
                  <w:rPr>
                    <w:rFonts w:ascii="Cambria Math" w:hAnsi="Cambria Math"/>
                    <w:color w:val="FF0000"/>
                  </w:rPr>
                  <m:t>q</m:t>
                </m:r>
              </m:e>
              <m:sub>
                <m:r>
                  <m:rPr>
                    <m:sty m:val="p"/>
                  </m:rPr>
                  <w:rPr>
                    <w:rFonts w:ascii="Cambria Math" w:hAnsi="Cambria Math"/>
                    <w:color w:val="FF0000"/>
                  </w:rPr>
                  <m:t>t</m:t>
                </m:r>
              </m:sub>
            </m:sSub>
          </m:num>
          <m:den>
            <m:sSub>
              <m:sSubPr>
                <m:ctrlPr>
                  <w:rPr>
                    <w:rFonts w:ascii="Cambria Math" w:hAnsi="Cambria Math" w:cs="Times New Roman"/>
                    <w:color w:val="FF0000"/>
                    <w:sz w:val="24"/>
                  </w:rPr>
                </m:ctrlPr>
              </m:sSubPr>
              <m:e>
                <m:r>
                  <m:rPr>
                    <m:sty m:val="p"/>
                  </m:rPr>
                  <w:rPr>
                    <w:rFonts w:ascii="Cambria Math" w:hAnsi="Cambria Math"/>
                    <w:color w:val="FF0000"/>
                  </w:rPr>
                  <m:t>q</m:t>
                </m:r>
              </m:e>
              <m:sub>
                <m:r>
                  <m:rPr>
                    <m:sty m:val="p"/>
                  </m:rPr>
                  <w:rPr>
                    <w:rFonts w:ascii="Cambria Math" w:hAnsi="Cambria Math"/>
                    <w:color w:val="FF0000"/>
                  </w:rPr>
                  <m:t>e</m:t>
                </m:r>
              </m:sub>
            </m:sSub>
          </m:den>
        </m:f>
      </m:oMath>
      <w:r w:rsidR="00CC5187" w:rsidRPr="00E70281">
        <w:rPr>
          <w:color w:val="FF0000"/>
        </w:rPr>
        <w:t xml:space="preserve"> is the same as the parameter θ used in the Langmuir adsorption isotherm model </w:t>
      </w:r>
      <w:r w:rsidR="00CC5187" w:rsidRPr="00E70281">
        <w:rPr>
          <w:color w:val="FF0000"/>
        </w:rPr>
        <w:fldChar w:fldCharType="begin" w:fldLock="1"/>
      </w:r>
      <w:r w:rsidR="00CC5187" w:rsidRPr="00E70281">
        <w:rPr>
          <w:color w:val="FF0000"/>
        </w:rPr>
        <w:instrText>ADDIN CSL_CITATION {"citationItems":[{"id":"ITEM-1","itemData":{"DOI":"10.1021/ed056pA260.1","ISBN":"9780199543373","ISSN":"03681874","PMID":"5882806","abstract":"Atkins' Physical Chemistry epitomises the benchmark of achievement for a chemistry degree throughout the world. Its broad coverage, concise explanations, and robust mathematical support are clearly presented in an engaging style to furnish students with a solid foundation in the subject. In this ninth edition the authors continue to refine their presentation of physical chemistry. The coverage of introductory topics is streamlined, and the addition of a new fundamentals chapter provides students with an overview of key principles on which the subject is based. The text includes increased coverage of computational chemistry and additional contextual examples of materials chemistry throughout, mirroring the current needs of today's students and lecturers. Mathematics remains an intrinsic yet challenging part of physical chemistry. Extensive mathematical support, including a 'Checklist of key equations' at the end of every chapter, and 'Mathematical background' sections containing worked examples and self-tests, empower students to overcome any barriers to understanding that grasping the mathematical content might present. These features help to ensure the reader can master the subject without a need to sacrifice the rigour and depth of the mathematical content. The pedagogical framework, which is a hallmark of the authors' writing, has been further strengthened. New 'Key points' provide summaries of the main take-home messages of each section and enable students to gain an overview of the topic before tackling it in depth; 'Brief illustrations' give a concise insight into how a particular mathematical concept is applied in practice, providing students with the opportunity to contextualise their learning. All these exciting new features and innovations are presented within a refreshed full colour text design, to stimulate and engage students yet further. The Online Resource Centre contains Living Graphs, illustrations from the book, and web links. An Instructor's Solutions Manual (free to adopters) and a Student's Solutions Manual are also available. Access to the Physical Chemistry eBook is also included with the purchase of the printed text. Offering enhanced functionality, including notetaking and highlighting, it also includes access to 'Explorations in Physical Chemistry', which contains interactive Excel worksheets and exercises related to the Living Graphs, allowing students to visualise, actively explore and test their understanding of the subject.","author":[{"dropping-particle":"","family":"Atkins","given":"Peter","non-dropping-particle":"","parse-names":false,"suffix":""},{"dropping-particle":"De","family":"Paula","given":"J","non-dropping-particle":"","parse-names":false,"suffix":""}],"container-title":"Chemistry","edition":"9","id":"ITEM-1","issued":{"date-parts":[["2009"]]},"number-of-pages":"783-827","publisher":"Oxford University Press","title":"Atkins' Physical Chemistry","type":"book"},"uris":["http://www.mendeley.com/documents/?uuid=861f1d6e-ded7-4223-a2bc-2572bd50d394"]}],"mendeley":{"formattedCitation":"&lt;sup&gt;20&lt;/sup&gt;","plainTextFormattedCitation":"20","previouslyFormattedCitation":"&lt;sup&gt;20&lt;/sup&gt;"},"properties":{"noteIndex":0},"schema":"https://github.com/citation-style-language/schema/raw/master/csl-citation.json"}</w:instrText>
      </w:r>
      <w:r w:rsidR="00CC5187" w:rsidRPr="00E70281">
        <w:rPr>
          <w:color w:val="FF0000"/>
        </w:rPr>
        <w:fldChar w:fldCharType="separate"/>
      </w:r>
      <w:r w:rsidR="00CC5187" w:rsidRPr="00E70281">
        <w:rPr>
          <w:noProof/>
          <w:color w:val="FF0000"/>
          <w:vertAlign w:val="superscript"/>
        </w:rPr>
        <w:t>20</w:t>
      </w:r>
      <w:r w:rsidR="00CC5187" w:rsidRPr="00E70281">
        <w:rPr>
          <w:color w:val="FF0000"/>
        </w:rPr>
        <w:fldChar w:fldCharType="end"/>
      </w:r>
      <w:r w:rsidR="00CC5187" w:rsidRPr="00E70281">
        <w:rPr>
          <w:color w:val="FF0000"/>
        </w:rPr>
        <w:t xml:space="preserve">. </w:t>
      </w:r>
      <w:r w:rsidRPr="00E70281">
        <w:rPr>
          <w:color w:val="FF0000"/>
        </w:rPr>
        <w:t xml:space="preserve">This modification of </w:t>
      </w:r>
      <w:r w:rsidRPr="00E70281">
        <w:rPr>
          <w:color w:val="FF0000"/>
        </w:rPr>
        <w:fldChar w:fldCharType="begin"/>
      </w:r>
      <w:r w:rsidRPr="00E70281">
        <w:rPr>
          <w:color w:val="FF0000"/>
        </w:rPr>
        <w:instrText xml:space="preserve"> REF _Ref34128213 \h </w:instrText>
      </w:r>
      <w:r w:rsidRPr="00E70281">
        <w:rPr>
          <w:color w:val="FF0000"/>
        </w:rPr>
      </w:r>
      <w:r w:rsidRPr="00E70281">
        <w:rPr>
          <w:color w:val="FF0000"/>
        </w:rPr>
        <w:fldChar w:fldCharType="separate"/>
      </w:r>
      <w:r w:rsidRPr="00E70281">
        <w:rPr>
          <w:color w:val="FF0000"/>
        </w:rPr>
        <w:t xml:space="preserve">Equation </w:t>
      </w:r>
      <w:r w:rsidRPr="00E70281">
        <w:rPr>
          <w:noProof/>
          <w:color w:val="FF0000"/>
        </w:rPr>
        <w:t>1</w:t>
      </w:r>
      <w:r w:rsidRPr="00E70281">
        <w:rPr>
          <w:color w:val="FF0000"/>
        </w:rPr>
        <w:fldChar w:fldCharType="end"/>
      </w:r>
      <w:r w:rsidRPr="00E70281">
        <w:rPr>
          <w:color w:val="FF0000"/>
        </w:rPr>
        <w:t xml:space="preserve"> gives the following:</w:t>
      </w:r>
    </w:p>
    <w:bookmarkEnd w:id="32"/>
    <w:p w14:paraId="3A149FA9" w14:textId="097E67B0" w:rsidR="007B6CFF" w:rsidRPr="00E70281" w:rsidRDefault="00474213" w:rsidP="00335349">
      <w:pPr>
        <w:pStyle w:val="Caption"/>
        <w:ind w:left="360"/>
        <w:jc w:val="center"/>
        <w:rPr>
          <w:rFonts w:cstheme="minorHAnsi"/>
          <w:i w:val="0"/>
          <w:color w:val="auto"/>
          <w:sz w:val="24"/>
          <w:szCs w:val="24"/>
        </w:rPr>
      </w:pPr>
      <m:oMath>
        <m:f>
          <m:fPr>
            <m:ctrlPr>
              <w:rPr>
                <w:rFonts w:ascii="Cambria Math" w:hAnsi="Cambria Math" w:cstheme="minorHAnsi"/>
                <w:i w:val="0"/>
                <w:color w:val="auto"/>
                <w:sz w:val="22"/>
                <w:szCs w:val="24"/>
              </w:rPr>
            </m:ctrlPr>
          </m:fPr>
          <m:num>
            <m:r>
              <w:rPr>
                <w:rFonts w:ascii="Cambria Math" w:hAnsi="Cambria Math" w:cstheme="minorHAnsi"/>
                <w:color w:val="auto"/>
                <w:sz w:val="22"/>
                <w:szCs w:val="24"/>
              </w:rPr>
              <m:t>d</m:t>
            </m:r>
            <m:sSub>
              <m:sSubPr>
                <m:ctrlPr>
                  <w:rPr>
                    <w:rFonts w:ascii="Cambria Math" w:hAnsi="Cambria Math" w:cstheme="minorHAnsi"/>
                    <w:i w:val="0"/>
                    <w:color w:val="auto"/>
                    <w:sz w:val="22"/>
                    <w:szCs w:val="24"/>
                  </w:rPr>
                </m:ctrlPr>
              </m:sSubPr>
              <m:e>
                <m:r>
                  <w:rPr>
                    <w:rFonts w:ascii="Cambria Math" w:hAnsi="Cambria Math" w:cstheme="minorHAnsi"/>
                    <w:color w:val="auto"/>
                    <w:sz w:val="22"/>
                    <w:szCs w:val="24"/>
                  </w:rPr>
                  <m:t>q</m:t>
                </m:r>
              </m:e>
              <m:sub>
                <m:r>
                  <w:rPr>
                    <w:rFonts w:ascii="Cambria Math" w:hAnsi="Cambria Math" w:cstheme="minorHAnsi"/>
                    <w:color w:val="auto"/>
                    <w:sz w:val="22"/>
                    <w:szCs w:val="24"/>
                  </w:rPr>
                  <m:t>t</m:t>
                </m:r>
              </m:sub>
            </m:sSub>
          </m:num>
          <m:den>
            <m:r>
              <w:rPr>
                <w:rFonts w:ascii="Cambria Math" w:hAnsi="Cambria Math" w:cstheme="minorHAnsi"/>
                <w:color w:val="auto"/>
                <w:sz w:val="22"/>
                <w:szCs w:val="24"/>
              </w:rPr>
              <m:t>dt</m:t>
            </m:r>
          </m:den>
        </m:f>
        <m:r>
          <w:rPr>
            <w:rFonts w:ascii="Cambria Math" w:hAnsi="Cambria Math" w:cstheme="minorHAnsi"/>
            <w:color w:val="auto"/>
            <w:sz w:val="22"/>
            <w:szCs w:val="24"/>
          </w:rPr>
          <m:t>= k''</m:t>
        </m:r>
        <m:sSup>
          <m:sSupPr>
            <m:ctrlPr>
              <w:rPr>
                <w:rFonts w:ascii="Cambria Math" w:hAnsi="Cambria Math" w:cstheme="minorHAnsi"/>
                <w:i w:val="0"/>
                <w:color w:val="auto"/>
                <w:sz w:val="22"/>
                <w:szCs w:val="24"/>
              </w:rPr>
            </m:ctrlPr>
          </m:sSupPr>
          <m:e>
            <m:d>
              <m:dPr>
                <m:ctrlPr>
                  <w:rPr>
                    <w:rFonts w:ascii="Cambria Math" w:hAnsi="Cambria Math" w:cstheme="minorHAnsi"/>
                    <w:i w:val="0"/>
                    <w:color w:val="auto"/>
                    <w:sz w:val="22"/>
                    <w:szCs w:val="24"/>
                  </w:rPr>
                </m:ctrlPr>
              </m:dPr>
              <m:e>
                <m:r>
                  <w:rPr>
                    <w:rFonts w:ascii="Cambria Math" w:hAnsi="Cambria Math" w:cstheme="minorHAnsi"/>
                    <w:color w:val="auto"/>
                    <w:sz w:val="22"/>
                    <w:szCs w:val="24"/>
                  </w:rPr>
                  <m:t>1-</m:t>
                </m:r>
                <m:f>
                  <m:fPr>
                    <m:ctrlPr>
                      <w:rPr>
                        <w:rFonts w:ascii="Cambria Math" w:hAnsi="Cambria Math" w:cstheme="minorHAnsi"/>
                        <w:i w:val="0"/>
                        <w:color w:val="auto"/>
                        <w:sz w:val="22"/>
                        <w:szCs w:val="24"/>
                      </w:rPr>
                    </m:ctrlPr>
                  </m:fPr>
                  <m:num>
                    <m:sSub>
                      <m:sSubPr>
                        <m:ctrlPr>
                          <w:rPr>
                            <w:rFonts w:ascii="Cambria Math" w:hAnsi="Cambria Math" w:cstheme="minorHAnsi"/>
                            <w:i w:val="0"/>
                            <w:color w:val="auto"/>
                            <w:sz w:val="22"/>
                            <w:szCs w:val="24"/>
                          </w:rPr>
                        </m:ctrlPr>
                      </m:sSubPr>
                      <m:e>
                        <m:r>
                          <w:rPr>
                            <w:rFonts w:ascii="Cambria Math" w:hAnsi="Cambria Math" w:cstheme="minorHAnsi"/>
                            <w:color w:val="auto"/>
                            <w:sz w:val="22"/>
                            <w:szCs w:val="24"/>
                          </w:rPr>
                          <m:t>q</m:t>
                        </m:r>
                      </m:e>
                      <m:sub>
                        <m:r>
                          <w:rPr>
                            <w:rFonts w:ascii="Cambria Math" w:hAnsi="Cambria Math" w:cstheme="minorHAnsi"/>
                            <w:color w:val="auto"/>
                            <w:sz w:val="22"/>
                            <w:szCs w:val="24"/>
                          </w:rPr>
                          <m:t>t</m:t>
                        </m:r>
                      </m:sub>
                    </m:sSub>
                  </m:num>
                  <m:den>
                    <m:sSub>
                      <m:sSubPr>
                        <m:ctrlPr>
                          <w:rPr>
                            <w:rFonts w:ascii="Cambria Math" w:hAnsi="Cambria Math" w:cstheme="minorHAnsi"/>
                            <w:i w:val="0"/>
                            <w:color w:val="auto"/>
                            <w:sz w:val="22"/>
                            <w:szCs w:val="24"/>
                          </w:rPr>
                        </m:ctrlPr>
                      </m:sSubPr>
                      <m:e>
                        <m:r>
                          <w:rPr>
                            <w:rFonts w:ascii="Cambria Math" w:hAnsi="Cambria Math" w:cstheme="minorHAnsi"/>
                            <w:color w:val="auto"/>
                            <w:sz w:val="22"/>
                            <w:szCs w:val="24"/>
                          </w:rPr>
                          <m:t>q</m:t>
                        </m:r>
                      </m:e>
                      <m:sub>
                        <m:r>
                          <w:rPr>
                            <w:rFonts w:ascii="Cambria Math" w:hAnsi="Cambria Math" w:cstheme="minorHAnsi"/>
                            <w:color w:val="auto"/>
                            <w:sz w:val="22"/>
                            <w:szCs w:val="24"/>
                          </w:rPr>
                          <m:t>e</m:t>
                        </m:r>
                      </m:sub>
                    </m:sSub>
                  </m:den>
                </m:f>
              </m:e>
            </m:d>
          </m:e>
          <m:sup>
            <m:r>
              <w:rPr>
                <w:rFonts w:ascii="Cambria Math" w:hAnsi="Cambria Math" w:cstheme="minorHAnsi"/>
                <w:color w:val="auto"/>
                <w:sz w:val="22"/>
                <w:szCs w:val="24"/>
              </w:rPr>
              <m:t>2</m:t>
            </m:r>
          </m:sup>
        </m:sSup>
      </m:oMath>
      <w:r w:rsidR="00B64942" w:rsidRPr="00E70281">
        <w:rPr>
          <w:rFonts w:cstheme="minorHAnsi"/>
          <w:i w:val="0"/>
          <w:color w:val="auto"/>
          <w:sz w:val="22"/>
          <w:szCs w:val="24"/>
        </w:rPr>
        <w:t xml:space="preserve">     </w:t>
      </w:r>
    </w:p>
    <w:p w14:paraId="4BA3D1DF" w14:textId="72B860B0" w:rsidR="00376909" w:rsidRPr="00E70281" w:rsidRDefault="007B6CFF" w:rsidP="0009422F">
      <w:pPr>
        <w:pStyle w:val="Caption"/>
        <w:ind w:left="360"/>
        <w:jc w:val="right"/>
        <w:rPr>
          <w:color w:val="auto"/>
        </w:rPr>
      </w:pPr>
      <w:bookmarkStart w:id="34" w:name="_Ref34136259"/>
      <w:r w:rsidRPr="00E70281">
        <w:rPr>
          <w:color w:val="auto"/>
        </w:rPr>
        <w:t xml:space="preserve">Equation </w:t>
      </w:r>
      <w:r w:rsidR="000D57EB" w:rsidRPr="00E70281">
        <w:rPr>
          <w:color w:val="auto"/>
        </w:rPr>
        <w:fldChar w:fldCharType="begin"/>
      </w:r>
      <w:r w:rsidR="000D57EB" w:rsidRPr="00E70281">
        <w:rPr>
          <w:color w:val="auto"/>
        </w:rPr>
        <w:instrText xml:space="preserve"> SEQ Equation \* ARABIC </w:instrText>
      </w:r>
      <w:r w:rsidR="000D57EB" w:rsidRPr="00E70281">
        <w:rPr>
          <w:color w:val="auto"/>
        </w:rPr>
        <w:fldChar w:fldCharType="separate"/>
      </w:r>
      <w:r w:rsidR="00D37CAD" w:rsidRPr="00E70281">
        <w:rPr>
          <w:noProof/>
          <w:color w:val="auto"/>
        </w:rPr>
        <w:t>8</w:t>
      </w:r>
      <w:r w:rsidR="000D57EB" w:rsidRPr="00E70281">
        <w:rPr>
          <w:noProof/>
          <w:color w:val="auto"/>
        </w:rPr>
        <w:fldChar w:fldCharType="end"/>
      </w:r>
      <w:bookmarkEnd w:id="34"/>
    </w:p>
    <w:p w14:paraId="6AD01459" w14:textId="6DC4AF27" w:rsidR="00E34425" w:rsidRPr="00E70281" w:rsidRDefault="008C5289" w:rsidP="00470E49">
      <w:pPr>
        <w:rPr>
          <w:color w:val="auto"/>
        </w:rPr>
      </w:pPr>
      <w:r w:rsidRPr="00E70281">
        <w:rPr>
          <w:color w:val="auto"/>
        </w:rPr>
        <w:t>w</w:t>
      </w:r>
      <w:r w:rsidR="00376909" w:rsidRPr="00E70281">
        <w:rPr>
          <w:color w:val="auto"/>
        </w:rPr>
        <w:t xml:space="preserve">here </w:t>
      </w:r>
      <m:oMath>
        <m:sSup>
          <m:sSupPr>
            <m:ctrlPr>
              <w:rPr>
                <w:rFonts w:ascii="Cambria Math" w:hAnsi="Cambria Math" w:cstheme="minorHAnsi"/>
                <w:color w:val="FF0000"/>
              </w:rPr>
            </m:ctrlPr>
          </m:sSupPr>
          <m:e>
            <m:r>
              <m:rPr>
                <m:sty m:val="p"/>
              </m:rPr>
              <w:rPr>
                <w:rFonts w:ascii="Cambria Math" w:hAnsi="Cambria Math" w:cstheme="minorHAnsi"/>
                <w:color w:val="FF0000"/>
              </w:rPr>
              <m:t>k</m:t>
            </m:r>
          </m:e>
          <m:sup>
            <m:r>
              <m:rPr>
                <m:sty m:val="p"/>
              </m:rPr>
              <w:rPr>
                <w:rFonts w:ascii="Cambria Math" w:hAnsi="Cambria Math" w:cstheme="minorHAnsi"/>
                <w:color w:val="FF0000"/>
              </w:rPr>
              <m:t>''</m:t>
            </m:r>
          </m:sup>
        </m:sSup>
        <m:r>
          <m:rPr>
            <m:sty m:val="p"/>
          </m:rPr>
          <w:rPr>
            <w:rFonts w:ascii="Cambria Math" w:hAnsi="Cambria Math" w:cstheme="minorHAnsi"/>
            <w:color w:val="FF0000"/>
          </w:rPr>
          <m:t>=</m:t>
        </m:r>
        <m:r>
          <m:rPr>
            <m:sty m:val="p"/>
          </m:rPr>
          <w:rPr>
            <w:rFonts w:ascii="Cambria Math" w:hAnsi="Cambria Math"/>
            <w:color w:val="FF0000"/>
          </w:rPr>
          <m:t xml:space="preserve"> </m:t>
        </m:r>
        <m:sSub>
          <m:sSubPr>
            <m:ctrlPr>
              <w:rPr>
                <w:rFonts w:ascii="Cambria Math" w:hAnsi="Cambria Math" w:cstheme="minorHAnsi"/>
                <w:color w:val="FF0000"/>
              </w:rPr>
            </m:ctrlPr>
          </m:sSubPr>
          <m:e>
            <m:r>
              <m:rPr>
                <m:sty m:val="p"/>
              </m:rPr>
              <w:rPr>
                <w:rFonts w:ascii="Cambria Math" w:hAnsi="Cambria Math" w:cstheme="minorHAnsi"/>
                <w:color w:val="FF0000"/>
              </w:rPr>
              <m:t>k</m:t>
            </m:r>
          </m:e>
          <m:sub>
            <m:r>
              <m:rPr>
                <m:sty m:val="p"/>
              </m:rPr>
              <w:rPr>
                <w:rFonts w:ascii="Cambria Math" w:hAnsi="Cambria Math" w:cstheme="minorHAnsi"/>
                <w:color w:val="FF0000"/>
              </w:rPr>
              <m:t>2</m:t>
            </m:r>
          </m:sub>
        </m:sSub>
        <m:sSup>
          <m:sSupPr>
            <m:ctrlPr>
              <w:rPr>
                <w:rFonts w:ascii="Cambria Math" w:hAnsi="Cambria Math" w:cstheme="minorHAnsi"/>
                <w:i/>
                <w:color w:val="FF0000"/>
              </w:rPr>
            </m:ctrlPr>
          </m:sSupPr>
          <m:e>
            <m:sSub>
              <m:sSubPr>
                <m:ctrlPr>
                  <w:rPr>
                    <w:rFonts w:ascii="Cambria Math" w:hAnsi="Cambria Math" w:cstheme="minorHAnsi"/>
                    <w:color w:val="FF0000"/>
                  </w:rPr>
                </m:ctrlPr>
              </m:sSubPr>
              <m:e>
                <m:r>
                  <m:rPr>
                    <m:sty m:val="p"/>
                  </m:rPr>
                  <w:rPr>
                    <w:rFonts w:ascii="Cambria Math" w:hAnsi="Cambria Math" w:cstheme="minorHAnsi"/>
                    <w:color w:val="FF0000"/>
                  </w:rPr>
                  <m:t>q</m:t>
                </m:r>
              </m:e>
              <m:sub>
                <m:r>
                  <m:rPr>
                    <m:sty m:val="p"/>
                  </m:rPr>
                  <w:rPr>
                    <w:rFonts w:ascii="Cambria Math" w:hAnsi="Cambria Math" w:cstheme="minorHAnsi"/>
                    <w:color w:val="FF0000"/>
                  </w:rPr>
                  <m:t>e</m:t>
                </m:r>
              </m:sub>
            </m:sSub>
          </m:e>
          <m:sup>
            <m:r>
              <w:rPr>
                <w:rFonts w:ascii="Cambria Math" w:hAnsi="Cambria Math" w:cstheme="minorHAnsi"/>
                <w:color w:val="FF0000"/>
              </w:rPr>
              <m:t>2</m:t>
            </m:r>
          </m:sup>
        </m:sSup>
      </m:oMath>
      <w:r w:rsidR="00060C89" w:rsidRPr="00E70281">
        <w:rPr>
          <w:rFonts w:cstheme="minorHAnsi"/>
          <w:color w:val="auto"/>
        </w:rPr>
        <w:t xml:space="preserve">. </w:t>
      </w:r>
    </w:p>
    <w:p w14:paraId="1E313DA6" w14:textId="7621D248" w:rsidR="00EB728B" w:rsidRPr="00E70281" w:rsidRDefault="007B3788" w:rsidP="00470E49">
      <w:pPr>
        <w:rPr>
          <w:color w:val="auto"/>
        </w:rPr>
      </w:pPr>
      <w:bookmarkStart w:id="35" w:name="_Hlk61256188"/>
      <w:bookmarkStart w:id="36" w:name="_Hlk61257823"/>
      <w:bookmarkEnd w:id="33"/>
      <w:r w:rsidRPr="00E70281">
        <w:rPr>
          <w:color w:val="auto"/>
        </w:rPr>
        <w:t>The first-</w:t>
      </w:r>
      <w:r w:rsidR="00376909" w:rsidRPr="00E70281">
        <w:rPr>
          <w:color w:val="auto"/>
        </w:rPr>
        <w:t xml:space="preserve">order dependence of </w:t>
      </w:r>
      <w:r w:rsidR="004C63A6" w:rsidRPr="00E70281">
        <w:rPr>
          <w:color w:val="auto"/>
        </w:rPr>
        <w:t xml:space="preserve">the reaction </w:t>
      </w:r>
      <w:r w:rsidR="00376909" w:rsidRPr="00E70281">
        <w:rPr>
          <w:color w:val="auto"/>
        </w:rPr>
        <w:t>rate upon the</w:t>
      </w:r>
      <w:r w:rsidR="00FF726D" w:rsidRPr="00E70281">
        <w:rPr>
          <w:color w:val="auto"/>
        </w:rPr>
        <w:t xml:space="preserve"> adsorbate</w:t>
      </w:r>
      <w:r w:rsidR="00376909" w:rsidRPr="00E70281">
        <w:rPr>
          <w:color w:val="auto"/>
        </w:rPr>
        <w:t xml:space="preserve"> concentration</w:t>
      </w:r>
      <w:r w:rsidR="00AA4F58" w:rsidRPr="00E70281">
        <w:rPr>
          <w:color w:val="auto"/>
        </w:rPr>
        <w:t xml:space="preserve"> observed experimentally</w:t>
      </w:r>
      <w:r w:rsidR="000C053F" w:rsidRPr="00E70281">
        <w:rPr>
          <w:color w:val="auto"/>
        </w:rPr>
        <w:t xml:space="preserve"> (</w:t>
      </w:r>
      <w:r w:rsidR="00F81864" w:rsidRPr="00E70281">
        <w:rPr>
          <w:color w:val="auto"/>
        </w:rPr>
        <w:fldChar w:fldCharType="begin"/>
      </w:r>
      <w:r w:rsidR="00F81864" w:rsidRPr="00E70281">
        <w:rPr>
          <w:color w:val="auto"/>
        </w:rPr>
        <w:instrText xml:space="preserve"> REF _Ref30766058 \h </w:instrText>
      </w:r>
      <w:r w:rsidR="00F81864" w:rsidRPr="00E70281">
        <w:rPr>
          <w:color w:val="auto"/>
        </w:rPr>
      </w:r>
      <w:r w:rsidR="00F81864" w:rsidRPr="00E70281">
        <w:rPr>
          <w:color w:val="auto"/>
        </w:rPr>
        <w:fldChar w:fldCharType="separate"/>
      </w:r>
      <w:r w:rsidR="00D37CAD" w:rsidRPr="00E70281">
        <w:rPr>
          <w:color w:val="auto"/>
        </w:rPr>
        <w:t xml:space="preserve">Figure </w:t>
      </w:r>
      <w:r w:rsidR="00D37CAD" w:rsidRPr="00E70281">
        <w:rPr>
          <w:i/>
          <w:iCs/>
          <w:noProof/>
          <w:color w:val="auto"/>
        </w:rPr>
        <w:t>2</w:t>
      </w:r>
      <w:r w:rsidR="00F81864" w:rsidRPr="00E70281">
        <w:rPr>
          <w:color w:val="auto"/>
        </w:rPr>
        <w:fldChar w:fldCharType="end"/>
      </w:r>
      <w:r w:rsidR="00F81864" w:rsidRPr="00E70281">
        <w:rPr>
          <w:color w:val="auto"/>
        </w:rPr>
        <w:t>c</w:t>
      </w:r>
      <w:r w:rsidR="000C053F" w:rsidRPr="00E70281">
        <w:rPr>
          <w:color w:val="auto"/>
        </w:rPr>
        <w:t>)</w:t>
      </w:r>
      <w:r w:rsidR="00376909" w:rsidRPr="00E70281">
        <w:rPr>
          <w:color w:val="auto"/>
        </w:rPr>
        <w:t xml:space="preserve"> </w:t>
      </w:r>
      <w:r w:rsidR="00491CAF" w:rsidRPr="00E70281">
        <w:rPr>
          <w:color w:val="auto"/>
        </w:rPr>
        <w:t>is then</w:t>
      </w:r>
      <w:r w:rsidR="00376909" w:rsidRPr="00E70281">
        <w:rPr>
          <w:color w:val="auto"/>
        </w:rPr>
        <w:t xml:space="preserve"> defined</w:t>
      </w:r>
      <w:bookmarkEnd w:id="35"/>
      <w:r w:rsidR="000C053F" w:rsidRPr="00E70281">
        <w:rPr>
          <w:color w:val="auto"/>
        </w:rPr>
        <w:t xml:space="preserve"> within the rate equation</w:t>
      </w:r>
      <w:r w:rsidR="00376909" w:rsidRPr="00E70281">
        <w:rPr>
          <w:color w:val="auto"/>
        </w:rPr>
        <w:t>, giving</w:t>
      </w:r>
      <w:r w:rsidR="00614FE7" w:rsidRPr="00E70281">
        <w:rPr>
          <w:color w:val="auto"/>
        </w:rPr>
        <w:t>:</w:t>
      </w:r>
    </w:p>
    <w:bookmarkStart w:id="37" w:name="_Hlk58852696"/>
    <w:p w14:paraId="762835AE" w14:textId="55E9153E" w:rsidR="007B6CFF" w:rsidRPr="00E70281" w:rsidRDefault="00474213" w:rsidP="00947E50">
      <w:pPr>
        <w:pStyle w:val="Caption"/>
        <w:ind w:left="360"/>
        <w:jc w:val="center"/>
        <w:rPr>
          <w:rFonts w:cstheme="minorHAnsi"/>
          <w:i w:val="0"/>
          <w:color w:val="auto"/>
        </w:rPr>
      </w:pPr>
      <m:oMathPara>
        <m:oMath>
          <m:f>
            <m:fPr>
              <m:ctrlPr>
                <w:rPr>
                  <w:rFonts w:ascii="Cambria Math" w:hAnsi="Cambria Math" w:cstheme="minorHAnsi"/>
                  <w:i w:val="0"/>
                  <w:color w:val="auto"/>
                  <w:sz w:val="22"/>
                </w:rPr>
              </m:ctrlPr>
            </m:fPr>
            <m:num>
              <m:r>
                <w:rPr>
                  <w:rFonts w:ascii="Cambria Math" w:hAnsi="Cambria Math" w:cstheme="minorHAnsi"/>
                  <w:color w:val="auto"/>
                  <w:sz w:val="22"/>
                </w:rPr>
                <m:t>d</m:t>
              </m:r>
              <m:sSub>
                <m:sSubPr>
                  <m:ctrlPr>
                    <w:rPr>
                      <w:rFonts w:ascii="Cambria Math" w:hAnsi="Cambria Math" w:cstheme="minorHAnsi"/>
                      <w:i w:val="0"/>
                      <w:color w:val="auto"/>
                      <w:sz w:val="22"/>
                    </w:rPr>
                  </m:ctrlPr>
                </m:sSubPr>
                <m:e>
                  <m:r>
                    <w:rPr>
                      <w:rFonts w:ascii="Cambria Math" w:hAnsi="Cambria Math" w:cstheme="minorHAnsi"/>
                      <w:color w:val="auto"/>
                      <w:sz w:val="22"/>
                    </w:rPr>
                    <m:t>q</m:t>
                  </m:r>
                </m:e>
                <m:sub>
                  <m:r>
                    <w:rPr>
                      <w:rFonts w:ascii="Cambria Math" w:hAnsi="Cambria Math" w:cstheme="minorHAnsi"/>
                      <w:color w:val="auto"/>
                      <w:sz w:val="22"/>
                    </w:rPr>
                    <m:t>t</m:t>
                  </m:r>
                </m:sub>
              </m:sSub>
            </m:num>
            <m:den>
              <m:r>
                <w:rPr>
                  <w:rFonts w:ascii="Cambria Math" w:hAnsi="Cambria Math" w:cstheme="minorHAnsi"/>
                  <w:color w:val="auto"/>
                  <w:sz w:val="22"/>
                </w:rPr>
                <m:t>dt</m:t>
              </m:r>
            </m:den>
          </m:f>
          <m:r>
            <w:rPr>
              <w:rFonts w:ascii="Cambria Math" w:hAnsi="Cambria Math" w:cstheme="minorHAnsi"/>
              <w:color w:val="auto"/>
              <w:sz w:val="22"/>
            </w:rPr>
            <m:t>= k'</m:t>
          </m:r>
          <m:sSub>
            <m:sSubPr>
              <m:ctrlPr>
                <w:rPr>
                  <w:rFonts w:ascii="Cambria Math" w:hAnsi="Cambria Math" w:cstheme="minorHAnsi"/>
                  <w:i w:val="0"/>
                  <w:color w:val="auto"/>
                  <w:sz w:val="22"/>
                </w:rPr>
              </m:ctrlPr>
            </m:sSubPr>
            <m:e>
              <m:r>
                <w:rPr>
                  <w:rFonts w:ascii="Cambria Math" w:hAnsi="Cambria Math" w:cstheme="minorHAnsi"/>
                  <w:color w:val="auto"/>
                  <w:sz w:val="22"/>
                </w:rPr>
                <m:t>C</m:t>
              </m:r>
            </m:e>
            <m:sub>
              <m:r>
                <w:rPr>
                  <w:rFonts w:ascii="Cambria Math" w:hAnsi="Cambria Math" w:cstheme="minorHAnsi"/>
                  <w:color w:val="auto"/>
                  <w:sz w:val="22"/>
                </w:rPr>
                <m:t>t</m:t>
              </m:r>
            </m:sub>
          </m:sSub>
          <m:sSup>
            <m:sSupPr>
              <m:ctrlPr>
                <w:rPr>
                  <w:rFonts w:ascii="Cambria Math" w:hAnsi="Cambria Math" w:cstheme="minorHAnsi"/>
                  <w:i w:val="0"/>
                  <w:color w:val="auto"/>
                  <w:sz w:val="22"/>
                </w:rPr>
              </m:ctrlPr>
            </m:sSupPr>
            <m:e>
              <m:d>
                <m:dPr>
                  <m:ctrlPr>
                    <w:rPr>
                      <w:rFonts w:ascii="Cambria Math" w:hAnsi="Cambria Math" w:cstheme="minorHAnsi"/>
                      <w:i w:val="0"/>
                      <w:color w:val="auto"/>
                      <w:sz w:val="22"/>
                    </w:rPr>
                  </m:ctrlPr>
                </m:dPr>
                <m:e>
                  <m:r>
                    <w:rPr>
                      <w:rFonts w:ascii="Cambria Math" w:hAnsi="Cambria Math" w:cstheme="minorHAnsi"/>
                      <w:color w:val="auto"/>
                      <w:sz w:val="22"/>
                    </w:rPr>
                    <m:t>1-</m:t>
                  </m:r>
                  <m:f>
                    <m:fPr>
                      <m:ctrlPr>
                        <w:rPr>
                          <w:rFonts w:ascii="Cambria Math" w:hAnsi="Cambria Math" w:cstheme="minorHAnsi"/>
                          <w:i w:val="0"/>
                          <w:color w:val="auto"/>
                          <w:sz w:val="22"/>
                        </w:rPr>
                      </m:ctrlPr>
                    </m:fPr>
                    <m:num>
                      <m:sSub>
                        <m:sSubPr>
                          <m:ctrlPr>
                            <w:rPr>
                              <w:rFonts w:ascii="Cambria Math" w:hAnsi="Cambria Math" w:cstheme="minorHAnsi"/>
                              <w:i w:val="0"/>
                              <w:color w:val="auto"/>
                              <w:sz w:val="22"/>
                            </w:rPr>
                          </m:ctrlPr>
                        </m:sSubPr>
                        <m:e>
                          <m:r>
                            <w:rPr>
                              <w:rFonts w:ascii="Cambria Math" w:hAnsi="Cambria Math" w:cstheme="minorHAnsi"/>
                              <w:color w:val="auto"/>
                              <w:sz w:val="22"/>
                            </w:rPr>
                            <m:t>q</m:t>
                          </m:r>
                        </m:e>
                        <m:sub>
                          <m:r>
                            <w:rPr>
                              <w:rFonts w:ascii="Cambria Math" w:hAnsi="Cambria Math" w:cstheme="minorHAnsi"/>
                              <w:color w:val="auto"/>
                              <w:sz w:val="22"/>
                            </w:rPr>
                            <m:t>t</m:t>
                          </m:r>
                        </m:sub>
                      </m:sSub>
                    </m:num>
                    <m:den>
                      <m:sSub>
                        <m:sSubPr>
                          <m:ctrlPr>
                            <w:rPr>
                              <w:rFonts w:ascii="Cambria Math" w:hAnsi="Cambria Math" w:cstheme="minorHAnsi"/>
                              <w:i w:val="0"/>
                              <w:color w:val="auto"/>
                              <w:sz w:val="22"/>
                            </w:rPr>
                          </m:ctrlPr>
                        </m:sSubPr>
                        <m:e>
                          <m:r>
                            <w:rPr>
                              <w:rFonts w:ascii="Cambria Math" w:hAnsi="Cambria Math" w:cstheme="minorHAnsi"/>
                              <w:color w:val="auto"/>
                              <w:sz w:val="22"/>
                            </w:rPr>
                            <m:t>q</m:t>
                          </m:r>
                        </m:e>
                        <m:sub>
                          <m:r>
                            <w:rPr>
                              <w:rFonts w:ascii="Cambria Math" w:hAnsi="Cambria Math" w:cstheme="minorHAnsi"/>
                              <w:color w:val="auto"/>
                              <w:sz w:val="22"/>
                            </w:rPr>
                            <m:t>e</m:t>
                          </m:r>
                        </m:sub>
                      </m:sSub>
                    </m:den>
                  </m:f>
                </m:e>
              </m:d>
            </m:e>
            <m:sup>
              <m:r>
                <w:rPr>
                  <w:rFonts w:ascii="Cambria Math" w:hAnsi="Cambria Math" w:cstheme="minorHAnsi"/>
                  <w:color w:val="auto"/>
                  <w:sz w:val="22"/>
                </w:rPr>
                <m:t>2</m:t>
              </m:r>
            </m:sup>
          </m:sSup>
        </m:oMath>
      </m:oMathPara>
      <w:bookmarkEnd w:id="37"/>
    </w:p>
    <w:p w14:paraId="2E768C1A" w14:textId="30741B95" w:rsidR="00376909" w:rsidRPr="00E70281" w:rsidRDefault="007B6CFF" w:rsidP="0009422F">
      <w:pPr>
        <w:pStyle w:val="Caption"/>
        <w:jc w:val="right"/>
        <w:rPr>
          <w:noProof/>
          <w:color w:val="auto"/>
        </w:rPr>
      </w:pPr>
      <w:bookmarkStart w:id="38" w:name="_Ref34162635"/>
      <w:r w:rsidRPr="00E70281">
        <w:rPr>
          <w:color w:val="auto"/>
        </w:rPr>
        <w:t xml:space="preserve">Equation </w:t>
      </w:r>
      <w:r w:rsidR="000D57EB" w:rsidRPr="00E70281">
        <w:rPr>
          <w:color w:val="auto"/>
        </w:rPr>
        <w:fldChar w:fldCharType="begin"/>
      </w:r>
      <w:r w:rsidR="000D57EB" w:rsidRPr="00E70281">
        <w:rPr>
          <w:color w:val="auto"/>
        </w:rPr>
        <w:instrText xml:space="preserve"> SEQ Equation \* ARABIC </w:instrText>
      </w:r>
      <w:r w:rsidR="000D57EB" w:rsidRPr="00E70281">
        <w:rPr>
          <w:color w:val="auto"/>
        </w:rPr>
        <w:fldChar w:fldCharType="separate"/>
      </w:r>
      <w:r w:rsidR="00D37CAD" w:rsidRPr="00E70281">
        <w:rPr>
          <w:noProof/>
          <w:color w:val="auto"/>
        </w:rPr>
        <w:t>9</w:t>
      </w:r>
      <w:r w:rsidR="000D57EB" w:rsidRPr="00E70281">
        <w:rPr>
          <w:noProof/>
          <w:color w:val="auto"/>
        </w:rPr>
        <w:fldChar w:fldCharType="end"/>
      </w:r>
      <w:bookmarkEnd w:id="38"/>
    </w:p>
    <w:p w14:paraId="48470B57" w14:textId="551B5D47" w:rsidR="00D458FA" w:rsidRPr="00E70281" w:rsidRDefault="008C5289" w:rsidP="00376909">
      <w:pPr>
        <w:rPr>
          <w:color w:val="auto"/>
        </w:rPr>
      </w:pPr>
      <w:r w:rsidRPr="00E70281">
        <w:rPr>
          <w:color w:val="auto"/>
        </w:rPr>
        <w:t>w</w:t>
      </w:r>
      <w:r w:rsidR="00376909" w:rsidRPr="00E70281">
        <w:rPr>
          <w:color w:val="auto"/>
        </w:rPr>
        <w:t xml:space="preserve">here </w:t>
      </w:r>
      <m:oMath>
        <m:sSup>
          <m:sSupPr>
            <m:ctrlPr>
              <w:rPr>
                <w:rFonts w:ascii="Cambria Math" w:hAnsi="Cambria Math" w:cstheme="minorHAnsi"/>
                <w:color w:val="auto"/>
                <w:szCs w:val="22"/>
              </w:rPr>
            </m:ctrlPr>
          </m:sSupPr>
          <m:e>
            <m:r>
              <m:rPr>
                <m:sty m:val="p"/>
              </m:rPr>
              <w:rPr>
                <w:rFonts w:ascii="Cambria Math" w:hAnsi="Cambria Math" w:cstheme="minorHAnsi"/>
                <w:color w:val="auto"/>
                <w:szCs w:val="22"/>
              </w:rPr>
              <m:t>k</m:t>
            </m:r>
          </m:e>
          <m:sup>
            <m:r>
              <m:rPr>
                <m:sty m:val="p"/>
              </m:rPr>
              <w:rPr>
                <w:rFonts w:ascii="Cambria Math" w:hAnsi="Cambria Math" w:cstheme="minorHAnsi"/>
                <w:color w:val="auto"/>
                <w:szCs w:val="22"/>
              </w:rPr>
              <m:t>'</m:t>
            </m:r>
          </m:sup>
        </m:sSup>
        <m:r>
          <m:rPr>
            <m:sty m:val="p"/>
          </m:rPr>
          <w:rPr>
            <w:rFonts w:ascii="Cambria Math" w:hAnsi="Cambria Math" w:cstheme="minorHAnsi"/>
            <w:color w:val="auto"/>
            <w:szCs w:val="22"/>
          </w:rPr>
          <m:t>=</m:t>
        </m:r>
        <m:r>
          <m:rPr>
            <m:sty m:val="p"/>
          </m:rPr>
          <w:rPr>
            <w:rFonts w:ascii="Cambria Math" w:hAnsi="Cambria Math"/>
            <w:color w:val="auto"/>
            <w:szCs w:val="22"/>
          </w:rPr>
          <m:t xml:space="preserve"> </m:t>
        </m:r>
        <m:f>
          <m:fPr>
            <m:ctrlPr>
              <w:rPr>
                <w:rFonts w:ascii="Cambria Math" w:hAnsi="Cambria Math"/>
                <w:color w:val="auto"/>
                <w:szCs w:val="22"/>
              </w:rPr>
            </m:ctrlPr>
          </m:fPr>
          <m:num>
            <m:sSub>
              <m:sSubPr>
                <m:ctrlPr>
                  <w:rPr>
                    <w:rFonts w:ascii="Cambria Math" w:hAnsi="Cambria Math" w:cstheme="minorHAnsi"/>
                    <w:color w:val="auto"/>
                    <w:szCs w:val="22"/>
                  </w:rPr>
                </m:ctrlPr>
              </m:sSubPr>
              <m:e>
                <m:r>
                  <m:rPr>
                    <m:sty m:val="p"/>
                  </m:rPr>
                  <w:rPr>
                    <w:rFonts w:ascii="Cambria Math" w:hAnsi="Cambria Math" w:cstheme="minorHAnsi"/>
                    <w:color w:val="auto"/>
                    <w:szCs w:val="22"/>
                  </w:rPr>
                  <m:t>k</m:t>
                </m:r>
              </m:e>
              <m:sub>
                <m:r>
                  <m:rPr>
                    <m:sty m:val="p"/>
                  </m:rPr>
                  <w:rPr>
                    <w:rFonts w:ascii="Cambria Math" w:hAnsi="Cambria Math" w:cstheme="minorHAnsi"/>
                    <w:color w:val="auto"/>
                    <w:szCs w:val="22"/>
                  </w:rPr>
                  <m:t>2</m:t>
                </m:r>
              </m:sub>
            </m:sSub>
            <m:sSup>
              <m:sSupPr>
                <m:ctrlPr>
                  <w:rPr>
                    <w:rFonts w:ascii="Cambria Math" w:hAnsi="Cambria Math" w:cstheme="minorHAnsi"/>
                    <w:i/>
                    <w:color w:val="auto"/>
                    <w:szCs w:val="22"/>
                  </w:rPr>
                </m:ctrlPr>
              </m:sSupPr>
              <m:e>
                <m:sSub>
                  <m:sSubPr>
                    <m:ctrlPr>
                      <w:rPr>
                        <w:rFonts w:ascii="Cambria Math" w:hAnsi="Cambria Math" w:cstheme="minorHAnsi"/>
                        <w:color w:val="auto"/>
                        <w:szCs w:val="22"/>
                      </w:rPr>
                    </m:ctrlPr>
                  </m:sSubPr>
                  <m:e>
                    <m:r>
                      <m:rPr>
                        <m:sty m:val="p"/>
                      </m:rPr>
                      <w:rPr>
                        <w:rFonts w:ascii="Cambria Math" w:hAnsi="Cambria Math" w:cstheme="minorHAnsi"/>
                        <w:color w:val="auto"/>
                        <w:szCs w:val="22"/>
                      </w:rPr>
                      <m:t>q</m:t>
                    </m:r>
                  </m:e>
                  <m:sub>
                    <m:r>
                      <m:rPr>
                        <m:sty m:val="p"/>
                      </m:rPr>
                      <w:rPr>
                        <w:rFonts w:ascii="Cambria Math" w:hAnsi="Cambria Math" w:cstheme="minorHAnsi"/>
                        <w:color w:val="auto"/>
                        <w:szCs w:val="22"/>
                      </w:rPr>
                      <m:t>e</m:t>
                    </m:r>
                  </m:sub>
                </m:sSub>
              </m:e>
              <m:sup>
                <m:r>
                  <w:rPr>
                    <w:rFonts w:ascii="Cambria Math" w:hAnsi="Cambria Math" w:cstheme="minorHAnsi"/>
                    <w:color w:val="auto"/>
                    <w:szCs w:val="22"/>
                  </w:rPr>
                  <m:t>2</m:t>
                </m:r>
              </m:sup>
            </m:sSup>
          </m:num>
          <m:den>
            <m:sSub>
              <m:sSubPr>
                <m:ctrlPr>
                  <w:rPr>
                    <w:rFonts w:ascii="Cambria Math" w:hAnsi="Cambria Math"/>
                    <w:color w:val="auto"/>
                    <w:szCs w:val="22"/>
                  </w:rPr>
                </m:ctrlPr>
              </m:sSubPr>
              <m:e>
                <m:r>
                  <m:rPr>
                    <m:sty m:val="p"/>
                  </m:rPr>
                  <w:rPr>
                    <w:rFonts w:ascii="Cambria Math" w:hAnsi="Cambria Math"/>
                    <w:color w:val="auto"/>
                    <w:szCs w:val="22"/>
                  </w:rPr>
                  <m:t>C</m:t>
                </m:r>
              </m:e>
              <m:sub>
                <m:r>
                  <m:rPr>
                    <m:sty m:val="p"/>
                  </m:rPr>
                  <w:rPr>
                    <w:rFonts w:ascii="Cambria Math" w:hAnsi="Cambria Math"/>
                    <w:color w:val="auto"/>
                    <w:szCs w:val="22"/>
                  </w:rPr>
                  <m:t>0</m:t>
                </m:r>
              </m:sub>
            </m:sSub>
          </m:den>
        </m:f>
      </m:oMath>
      <w:r w:rsidR="007B3788" w:rsidRPr="00E70281">
        <w:rPr>
          <w:color w:val="auto"/>
          <w:szCs w:val="22"/>
        </w:rPr>
        <w:t xml:space="preserve">. </w:t>
      </w:r>
      <w:bookmarkEnd w:id="36"/>
      <w:r w:rsidR="00AB7834" w:rsidRPr="00E70281">
        <w:rPr>
          <w:color w:val="auto"/>
        </w:rPr>
        <w:t>The rate constant k’ takes the units</w:t>
      </w:r>
      <w:r w:rsidR="0099763F" w:rsidRPr="00E70281">
        <w:rPr>
          <w:color w:val="auto"/>
        </w:rPr>
        <w:t xml:space="preserve"> </w:t>
      </w:r>
      <w:r w:rsidR="0099763F" w:rsidRPr="00AB1DEC">
        <w:rPr>
          <w:color w:val="auto"/>
        </w:rPr>
        <w:t>L g</w:t>
      </w:r>
      <w:r w:rsidR="0099763F" w:rsidRPr="00AB1DEC">
        <w:rPr>
          <w:color w:val="auto"/>
          <w:vertAlign w:val="superscript"/>
        </w:rPr>
        <w:t>-1</w:t>
      </w:r>
      <w:r w:rsidR="0099763F" w:rsidRPr="00AB1DEC">
        <w:rPr>
          <w:color w:val="auto"/>
        </w:rPr>
        <w:t xml:space="preserve"> min</w:t>
      </w:r>
      <w:r w:rsidR="0099763F" w:rsidRPr="00AB1DEC">
        <w:rPr>
          <w:color w:val="auto"/>
          <w:vertAlign w:val="superscript"/>
        </w:rPr>
        <w:t>-1</w:t>
      </w:r>
      <w:r w:rsidR="0099763F" w:rsidRPr="00AB1DEC">
        <w:rPr>
          <w:color w:val="auto"/>
        </w:rPr>
        <w:t>.</w:t>
      </w:r>
      <w:r w:rsidR="007B3788" w:rsidRPr="00E70281">
        <w:rPr>
          <w:color w:val="auto"/>
        </w:rPr>
        <w:t xml:space="preserve"> </w:t>
      </w:r>
    </w:p>
    <w:p w14:paraId="6338C7B8" w14:textId="0C893DD3" w:rsidR="00BD780A" w:rsidRPr="00E70281" w:rsidRDefault="007940EA" w:rsidP="00470E49">
      <w:pPr>
        <w:rPr>
          <w:rFonts w:cstheme="minorHAnsi"/>
          <w:color w:val="auto"/>
        </w:rPr>
      </w:pPr>
      <w:r w:rsidRPr="00E70281">
        <w:rPr>
          <w:color w:val="auto"/>
        </w:rPr>
        <w:t xml:space="preserve">The </w:t>
      </w:r>
      <w:r w:rsidR="00B65FED" w:rsidRPr="00E70281">
        <w:rPr>
          <w:color w:val="auto"/>
        </w:rPr>
        <w:t xml:space="preserve">initial </w:t>
      </w:r>
      <w:r w:rsidRPr="00E70281">
        <w:rPr>
          <w:color w:val="auto"/>
        </w:rPr>
        <w:t>rate of adsorption tends to be zero-order</w:t>
      </w:r>
      <w:r w:rsidR="00BD2089" w:rsidRPr="00E70281">
        <w:rPr>
          <w:color w:val="auto"/>
        </w:rPr>
        <w:t xml:space="preserve"> with respect to C</w:t>
      </w:r>
      <w:r w:rsidR="00BD2089" w:rsidRPr="00E70281">
        <w:rPr>
          <w:color w:val="auto"/>
          <w:vertAlign w:val="subscript"/>
        </w:rPr>
        <w:t>s</w:t>
      </w:r>
      <w:r w:rsidRPr="00E70281">
        <w:rPr>
          <w:color w:val="auto"/>
        </w:rPr>
        <w:t xml:space="preserve"> (</w:t>
      </w:r>
      <w:r w:rsidR="00BD2089" w:rsidRPr="00E70281">
        <w:rPr>
          <w:color w:val="auto"/>
        </w:rPr>
        <w:t xml:space="preserve">when normalised to adsorbent mass with the </w:t>
      </w:r>
      <w:proofErr w:type="gramStart"/>
      <w:r w:rsidR="00BD2089" w:rsidRPr="00E70281">
        <w:rPr>
          <w:color w:val="auto"/>
        </w:rPr>
        <w:t>units</w:t>
      </w:r>
      <w:proofErr w:type="gramEnd"/>
      <w:r w:rsidR="00BD2089" w:rsidRPr="00E70281">
        <w:rPr>
          <w:color w:val="auto"/>
        </w:rPr>
        <w:t xml:space="preserve"> </w:t>
      </w:r>
      <w:r w:rsidRPr="00E70281">
        <w:rPr>
          <w:color w:val="auto"/>
        </w:rPr>
        <w:t>mg g</w:t>
      </w:r>
      <w:r w:rsidRPr="00E70281">
        <w:rPr>
          <w:color w:val="auto"/>
          <w:vertAlign w:val="superscript"/>
        </w:rPr>
        <w:t>-1</w:t>
      </w:r>
      <w:r w:rsidRPr="00E70281">
        <w:rPr>
          <w:color w:val="auto"/>
        </w:rPr>
        <w:t xml:space="preserve"> min</w:t>
      </w:r>
      <w:r w:rsidRPr="00E70281">
        <w:rPr>
          <w:color w:val="auto"/>
          <w:vertAlign w:val="superscript"/>
        </w:rPr>
        <w:t>-1</w:t>
      </w:r>
      <w:r w:rsidRPr="00E70281">
        <w:rPr>
          <w:color w:val="auto"/>
        </w:rPr>
        <w:t xml:space="preserve">). </w:t>
      </w:r>
      <w:r w:rsidR="00B65FED" w:rsidRPr="00E70281">
        <w:rPr>
          <w:color w:val="auto"/>
        </w:rPr>
        <w:t>The original PSO model gives an initial rate that varies with changes in C</w:t>
      </w:r>
      <w:r w:rsidR="00B65FED" w:rsidRPr="00E70281">
        <w:rPr>
          <w:color w:val="auto"/>
          <w:vertAlign w:val="subscript"/>
        </w:rPr>
        <w:t>s</w:t>
      </w:r>
      <w:r w:rsidR="00B65FED" w:rsidRPr="00E70281">
        <w:rPr>
          <w:color w:val="auto"/>
        </w:rPr>
        <w:t xml:space="preserve"> due to its second-order dependence upon the absolute adsorption capacity remaining</w:t>
      </w:r>
      <w:r w:rsidR="00AB1DEC">
        <w:rPr>
          <w:color w:val="auto"/>
        </w:rPr>
        <w:t xml:space="preserve">, </w:t>
      </w:r>
      <w:r w:rsidR="00AB1DEC" w:rsidRPr="00AB1DEC">
        <w:rPr>
          <w:color w:val="FF0000"/>
        </w:rPr>
        <w:t>through the term</w:t>
      </w:r>
      <w:r w:rsidR="00B65FED" w:rsidRPr="00AB1DEC">
        <w:rPr>
          <w:color w:val="FF0000"/>
        </w:rPr>
        <w:t xml:space="preserve"> </w:t>
      </w:r>
      <w:r w:rsidR="00B65FED" w:rsidRPr="00E70281">
        <w:rPr>
          <w:color w:val="auto"/>
        </w:rPr>
        <w:t>(q</w:t>
      </w:r>
      <w:r w:rsidR="00B65FED" w:rsidRPr="00E70281">
        <w:rPr>
          <w:color w:val="auto"/>
          <w:vertAlign w:val="subscript"/>
        </w:rPr>
        <w:t>e</w:t>
      </w:r>
      <w:r w:rsidR="00B65FED" w:rsidRPr="00E70281">
        <w:rPr>
          <w:color w:val="auto"/>
        </w:rPr>
        <w:t>-q</w:t>
      </w:r>
      <w:r w:rsidR="00B65FED" w:rsidRPr="00E70281">
        <w:rPr>
          <w:color w:val="auto"/>
          <w:vertAlign w:val="subscript"/>
        </w:rPr>
        <w:t>t</w:t>
      </w:r>
      <w:r w:rsidR="00B65FED" w:rsidRPr="00E70281">
        <w:rPr>
          <w:color w:val="auto"/>
        </w:rPr>
        <w:t>)</w:t>
      </w:r>
      <w:r w:rsidR="00B65FED" w:rsidRPr="00E70281">
        <w:rPr>
          <w:color w:val="auto"/>
          <w:vertAlign w:val="superscript"/>
        </w:rPr>
        <w:t>2</w:t>
      </w:r>
      <w:r w:rsidR="00AB1DEC">
        <w:rPr>
          <w:color w:val="auto"/>
        </w:rPr>
        <w:t>,</w:t>
      </w:r>
      <w:r w:rsidR="00B65FED" w:rsidRPr="00E70281">
        <w:rPr>
          <w:color w:val="auto"/>
        </w:rPr>
        <w:t xml:space="preserve"> and the decrease in q</w:t>
      </w:r>
      <w:r w:rsidR="00B65FED" w:rsidRPr="00E70281">
        <w:rPr>
          <w:color w:val="auto"/>
          <w:vertAlign w:val="subscript"/>
        </w:rPr>
        <w:t>e</w:t>
      </w:r>
      <w:r w:rsidR="00B65FED" w:rsidRPr="00E70281">
        <w:rPr>
          <w:color w:val="auto"/>
        </w:rPr>
        <w:t xml:space="preserve"> with increasing C</w:t>
      </w:r>
      <w:r w:rsidR="00B65FED" w:rsidRPr="00E70281">
        <w:rPr>
          <w:color w:val="auto"/>
          <w:vertAlign w:val="subscript"/>
        </w:rPr>
        <w:t>s</w:t>
      </w:r>
      <w:r w:rsidR="00B65FED" w:rsidRPr="00E70281">
        <w:rPr>
          <w:color w:val="auto"/>
        </w:rPr>
        <w:t>. In contrast, since the rPSO</w:t>
      </w:r>
      <w:r w:rsidR="00AB1DEC">
        <w:rPr>
          <w:color w:val="auto"/>
        </w:rPr>
        <w:t xml:space="preserve"> </w:t>
      </w:r>
      <w:r w:rsidR="00AB1DEC" w:rsidRPr="00AB1DEC">
        <w:rPr>
          <w:color w:val="FF0000"/>
        </w:rPr>
        <w:t>equation</w:t>
      </w:r>
      <w:r w:rsidR="00B65FED" w:rsidRPr="00AB1DEC">
        <w:rPr>
          <w:color w:val="FF0000"/>
        </w:rPr>
        <w:t xml:space="preserve"> </w:t>
      </w:r>
      <w:r w:rsidR="00B65FED" w:rsidRPr="00E70281">
        <w:rPr>
          <w:color w:val="auto"/>
        </w:rPr>
        <w:t xml:space="preserve">depends </w:t>
      </w:r>
      <w:r w:rsidR="00AB1DEC" w:rsidRPr="00AB1DEC">
        <w:rPr>
          <w:color w:val="FF0000"/>
        </w:rPr>
        <w:t>up</w:t>
      </w:r>
      <w:r w:rsidR="00B65FED" w:rsidRPr="00AB1DEC">
        <w:rPr>
          <w:color w:val="FF0000"/>
        </w:rPr>
        <w:t xml:space="preserve">on </w:t>
      </w:r>
      <w:r w:rsidR="00B65FED" w:rsidRPr="00E70281">
        <w:rPr>
          <w:color w:val="auto"/>
        </w:rPr>
        <w:t xml:space="preserve">the relative adsorption capacity remaining through the term </w:t>
      </w:r>
      <m:oMath>
        <m:sSup>
          <m:sSupPr>
            <m:ctrlPr>
              <w:rPr>
                <w:rFonts w:ascii="Cambria Math" w:hAnsi="Cambria Math"/>
                <w:color w:val="auto"/>
              </w:rPr>
            </m:ctrlPr>
          </m:sSupPr>
          <m:e>
            <m:d>
              <m:dPr>
                <m:ctrlPr>
                  <w:rPr>
                    <w:rFonts w:ascii="Cambria Math" w:hAnsi="Cambria Math"/>
                    <w:color w:val="auto"/>
                  </w:rPr>
                </m:ctrlPr>
              </m:dPr>
              <m:e>
                <m:r>
                  <m:rPr>
                    <m:sty m:val="p"/>
                  </m:rPr>
                  <w:rPr>
                    <w:rFonts w:ascii="Cambria Math" w:hAnsi="Cambria Math"/>
                    <w:color w:val="auto"/>
                  </w:rPr>
                  <m:t>1-</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e>
            </m:d>
          </m:e>
          <m:sup>
            <m:r>
              <m:rPr>
                <m:sty m:val="p"/>
              </m:rPr>
              <w:rPr>
                <w:rFonts w:ascii="Cambria Math" w:hAnsi="Cambria Math"/>
                <w:color w:val="auto"/>
              </w:rPr>
              <m:t>2</m:t>
            </m:r>
          </m:sup>
        </m:sSup>
      </m:oMath>
      <w:r w:rsidR="00B65FED" w:rsidRPr="00E70281">
        <w:rPr>
          <w:color w:val="auto"/>
        </w:rPr>
        <w:t xml:space="preserve">, this rate equation </w:t>
      </w:r>
      <w:r w:rsidR="00AB1DEC" w:rsidRPr="00AB1DEC">
        <w:rPr>
          <w:color w:val="FF0000"/>
        </w:rPr>
        <w:t>gives</w:t>
      </w:r>
      <w:r w:rsidR="00B65FED" w:rsidRPr="00AB1DEC">
        <w:rPr>
          <w:color w:val="FF0000"/>
        </w:rPr>
        <w:t xml:space="preserve"> </w:t>
      </w:r>
      <w:r w:rsidR="00B65FED" w:rsidRPr="00E70281">
        <w:rPr>
          <w:color w:val="auto"/>
        </w:rPr>
        <w:t>the zero-order dependenc</w:t>
      </w:r>
      <w:r w:rsidR="00AB1DEC">
        <w:rPr>
          <w:color w:val="auto"/>
        </w:rPr>
        <w:t xml:space="preserve">e </w:t>
      </w:r>
      <w:r w:rsidR="00AB1DEC" w:rsidRPr="00AB1DEC">
        <w:rPr>
          <w:color w:val="FF0000"/>
        </w:rPr>
        <w:t>of initial rates</w:t>
      </w:r>
      <w:r w:rsidR="00B65FED" w:rsidRPr="00AB1DEC">
        <w:rPr>
          <w:color w:val="FF0000"/>
        </w:rPr>
        <w:t xml:space="preserve"> </w:t>
      </w:r>
      <w:r w:rsidR="00AB1DEC" w:rsidRPr="00AB1DEC">
        <w:rPr>
          <w:color w:val="FF0000"/>
        </w:rPr>
        <w:t>upon</w:t>
      </w:r>
      <w:r w:rsidR="00B65FED" w:rsidRPr="00AB1DEC">
        <w:rPr>
          <w:color w:val="FF0000"/>
        </w:rPr>
        <w:t xml:space="preserve"> </w:t>
      </w:r>
      <w:r w:rsidR="00B65FED" w:rsidRPr="00E70281">
        <w:rPr>
          <w:color w:val="auto"/>
        </w:rPr>
        <w:t>C</w:t>
      </w:r>
      <w:r w:rsidR="00B65FED" w:rsidRPr="00E70281">
        <w:rPr>
          <w:color w:val="auto"/>
          <w:vertAlign w:val="subscript"/>
        </w:rPr>
        <w:t>s</w:t>
      </w:r>
      <w:r w:rsidR="00B65FED" w:rsidRPr="00E70281">
        <w:rPr>
          <w:color w:val="auto"/>
        </w:rPr>
        <w:t xml:space="preserve"> </w:t>
      </w:r>
      <w:r w:rsidR="00AB1DEC" w:rsidRPr="00AB1DEC">
        <w:rPr>
          <w:color w:val="FF0000"/>
        </w:rPr>
        <w:t xml:space="preserve">that is </w:t>
      </w:r>
      <w:r w:rsidR="00B65FED" w:rsidRPr="00E70281">
        <w:rPr>
          <w:color w:val="auto"/>
        </w:rPr>
        <w:t xml:space="preserve">identified from analysis of the literature. </w:t>
      </w:r>
      <w:r w:rsidR="0001746D" w:rsidRPr="00E70281">
        <w:rPr>
          <w:color w:val="auto"/>
        </w:rPr>
        <w:t xml:space="preserve">The rPSO rate constant k’ is therefore theoretically independent </w:t>
      </w:r>
      <w:r w:rsidR="00193F6A" w:rsidRPr="00E70281">
        <w:rPr>
          <w:color w:val="auto"/>
        </w:rPr>
        <w:t>of</w:t>
      </w:r>
      <w:r w:rsidR="0001746D" w:rsidRPr="00E70281">
        <w:rPr>
          <w:color w:val="auto"/>
        </w:rPr>
        <w:t xml:space="preserve"> changes in C</w:t>
      </w:r>
      <w:r w:rsidR="0001746D" w:rsidRPr="00E70281">
        <w:rPr>
          <w:color w:val="auto"/>
          <w:vertAlign w:val="subscript"/>
        </w:rPr>
        <w:t>s</w:t>
      </w:r>
      <w:r w:rsidR="0001746D" w:rsidRPr="00E70281">
        <w:rPr>
          <w:color w:val="auto"/>
        </w:rPr>
        <w:t>, unlike the original PSO rate constant k</w:t>
      </w:r>
      <w:r w:rsidR="0001746D" w:rsidRPr="00E70281">
        <w:rPr>
          <w:color w:val="auto"/>
          <w:vertAlign w:val="subscript"/>
        </w:rPr>
        <w:t>2</w:t>
      </w:r>
      <w:r w:rsidR="0001746D" w:rsidRPr="00E70281">
        <w:rPr>
          <w:color w:val="auto"/>
        </w:rPr>
        <w:t xml:space="preserve">. The rPSO model </w:t>
      </w:r>
      <w:r w:rsidR="005A0026" w:rsidRPr="00E70281">
        <w:rPr>
          <w:color w:val="auto"/>
        </w:rPr>
        <w:t xml:space="preserve">is similar to the </w:t>
      </w:r>
      <w:r w:rsidR="00BD780A" w:rsidRPr="00E70281">
        <w:rPr>
          <w:rFonts w:cstheme="minorHAnsi"/>
          <w:color w:val="auto"/>
        </w:rPr>
        <w:t xml:space="preserve">adsorption-only form of the kinetic </w:t>
      </w:r>
      <w:r w:rsidR="00BD780A" w:rsidRPr="00E70281">
        <w:rPr>
          <w:rFonts w:cstheme="minorHAnsi"/>
          <w:color w:val="auto"/>
        </w:rPr>
        <w:lastRenderedPageBreak/>
        <w:t>Langmuir model (kLm), which at</w:t>
      </w:r>
      <w:r w:rsidR="00AB1DEC">
        <w:rPr>
          <w:rFonts w:cstheme="minorHAnsi"/>
          <w:color w:val="auto"/>
        </w:rPr>
        <w:t xml:space="preserve"> high surface coverage is first-</w:t>
      </w:r>
      <w:r w:rsidR="00BD780A" w:rsidRPr="00E70281">
        <w:rPr>
          <w:rFonts w:cstheme="minorHAnsi"/>
          <w:color w:val="auto"/>
        </w:rPr>
        <w:t>order with respect to C</w:t>
      </w:r>
      <w:r w:rsidR="00BD780A" w:rsidRPr="00E70281">
        <w:rPr>
          <w:rFonts w:cstheme="minorHAnsi"/>
          <w:color w:val="auto"/>
          <w:vertAlign w:val="subscript"/>
        </w:rPr>
        <w:t>t</w:t>
      </w:r>
      <w:r w:rsidR="00AB1DEC">
        <w:rPr>
          <w:rFonts w:cstheme="minorHAnsi"/>
          <w:color w:val="auto"/>
        </w:rPr>
        <w:t xml:space="preserve"> and second-</w:t>
      </w:r>
      <w:r w:rsidR="00BD780A" w:rsidRPr="00E70281">
        <w:rPr>
          <w:rFonts w:cstheme="minorHAnsi"/>
          <w:color w:val="auto"/>
        </w:rPr>
        <w:t xml:space="preserve">order to </w:t>
      </w:r>
      <m:oMath>
        <m:r>
          <m:rPr>
            <m:sty m:val="p"/>
          </m:rPr>
          <w:rPr>
            <w:rFonts w:ascii="Cambria Math" w:hAnsi="Cambria Math" w:cstheme="minorHAnsi"/>
            <w:color w:val="auto"/>
          </w:rPr>
          <m:t>(1-</m:t>
        </m:r>
        <m:f>
          <m:fPr>
            <m:ctrlPr>
              <w:rPr>
                <w:rFonts w:ascii="Cambria Math" w:hAnsi="Cambria Math" w:cstheme="minorHAnsi"/>
                <w:color w:val="auto"/>
              </w:rPr>
            </m:ctrlPr>
          </m:fPr>
          <m:num>
            <m:sSub>
              <m:sSubPr>
                <m:ctrlPr>
                  <w:rPr>
                    <w:rFonts w:ascii="Cambria Math" w:hAnsi="Cambria Math" w:cstheme="minorHAnsi"/>
                    <w:color w:val="auto"/>
                  </w:rPr>
                </m:ctrlPr>
              </m:sSubPr>
              <m:e>
                <m:r>
                  <m:rPr>
                    <m:sty m:val="p"/>
                  </m:rPr>
                  <w:rPr>
                    <w:rFonts w:ascii="Cambria Math" w:hAnsi="Cambria Math" w:cstheme="minorHAnsi"/>
                    <w:color w:val="auto"/>
                  </w:rPr>
                  <m:t>q</m:t>
                </m:r>
              </m:e>
              <m:sub>
                <m:r>
                  <m:rPr>
                    <m:sty m:val="p"/>
                  </m:rPr>
                  <w:rPr>
                    <w:rFonts w:ascii="Cambria Math" w:hAnsi="Cambria Math" w:cstheme="minorHAnsi"/>
                    <w:color w:val="auto"/>
                  </w:rPr>
                  <m:t>t</m:t>
                </m:r>
              </m:sub>
            </m:sSub>
          </m:num>
          <m:den>
            <m:sSub>
              <m:sSubPr>
                <m:ctrlPr>
                  <w:rPr>
                    <w:rFonts w:ascii="Cambria Math" w:hAnsi="Cambria Math" w:cstheme="minorHAnsi"/>
                    <w:color w:val="auto"/>
                  </w:rPr>
                </m:ctrlPr>
              </m:sSubPr>
              <m:e>
                <m:r>
                  <m:rPr>
                    <m:sty m:val="p"/>
                  </m:rPr>
                  <w:rPr>
                    <w:rFonts w:ascii="Cambria Math" w:hAnsi="Cambria Math" w:cstheme="minorHAnsi"/>
                    <w:color w:val="auto"/>
                  </w:rPr>
                  <m:t>q</m:t>
                </m:r>
              </m:e>
              <m:sub>
                <m:r>
                  <m:rPr>
                    <m:sty m:val="p"/>
                  </m:rPr>
                  <w:rPr>
                    <w:rFonts w:ascii="Cambria Math" w:hAnsi="Cambria Math" w:cstheme="minorHAnsi"/>
                    <w:color w:val="auto"/>
                  </w:rPr>
                  <m:t>e</m:t>
                </m:r>
              </m:sub>
            </m:sSub>
          </m:den>
        </m:f>
      </m:oMath>
      <w:r w:rsidR="00BD780A" w:rsidRPr="00E70281">
        <w:rPr>
          <w:rFonts w:cstheme="minorHAnsi"/>
          <w:color w:val="auto"/>
        </w:rPr>
        <w:t xml:space="preserve">) </w:t>
      </w:r>
      <w:r w:rsidR="00BD780A" w:rsidRPr="00E70281">
        <w:rPr>
          <w:rFonts w:cstheme="minorHAnsi"/>
          <w:color w:val="auto"/>
        </w:rPr>
        <w:fldChar w:fldCharType="begin" w:fldLock="1"/>
      </w:r>
      <w:r w:rsidR="003776C0" w:rsidRPr="00E70281">
        <w:rPr>
          <w:rFonts w:cstheme="minorHAnsi"/>
          <w:color w:val="auto"/>
        </w:rPr>
        <w:instrText>ADDIN CSL_CITATION {"citationItems":[{"id":"ITEM-1","itemData":{"DOI":"10.1016/j.jcis.2004.03.048","ISSN":"00219797","PMID":"15219428","abstract":"The kinetics of sorption from a solution onto an adsorbent has been explored theoretically. The general analytical solution was obtained for two cases. It has been shown that at high initial concentration of solute (sorbate) the general equation converts to a pseudo-first-order model and at lower initial concentration of solute it converts to a pseudo-second-order model. In other words, the sorption process obeys pseudo-first-order kinetics at high initial concentration of solute, while it obeys pseudo-second-order kinetics model at lower initial concentration of solute. The theoretical results (derived equations) show that the observed rate constants of pseudo-first-order and pseudo-second-order models are combinations of adsorption and desorption rate constants and also initial concentration of solute. The obtained theoretical equations are used to correlate experimental data for sorption kinetics of some solutes on various sorbents. The predictions of the theory are in excellent agreement with the experimental data. © 2004 Elsevier Inc. All rights reserved.","author":[{"dropping-particle":"","family":"Azizian","given":"Saeid","non-dropping-particle":"","parse-names":false,"suffix":""}],"container-title":"Journal of Colloid and Interface Science","id":"ITEM-1","issue":"1","issued":{"date-parts":[["2004"]]},"page":"47-52","title":"Kinetic models of sorption: A theoretical analysis","type":"article-journal","volume":"276"},"uris":["http://www.mendeley.com/documents/?uuid=52ebd907-986f-443e-b3f2-f7c7a36beb46"]}],"mendeley":{"formattedCitation":"&lt;sup&gt;37&lt;/sup&gt;","plainTextFormattedCitation":"37","previouslyFormattedCitation":"&lt;sup&gt;37&lt;/sup&gt;"},"properties":{"noteIndex":0},"schema":"https://github.com/citation-style-language/schema/raw/master/csl-citation.json"}</w:instrText>
      </w:r>
      <w:r w:rsidR="00BD780A" w:rsidRPr="00E70281">
        <w:rPr>
          <w:rFonts w:cstheme="minorHAnsi"/>
          <w:color w:val="auto"/>
        </w:rPr>
        <w:fldChar w:fldCharType="separate"/>
      </w:r>
      <w:r w:rsidR="00623D96" w:rsidRPr="00E70281">
        <w:rPr>
          <w:rFonts w:cstheme="minorHAnsi"/>
          <w:noProof/>
          <w:color w:val="auto"/>
          <w:vertAlign w:val="superscript"/>
        </w:rPr>
        <w:t>37</w:t>
      </w:r>
      <w:r w:rsidR="00BD780A" w:rsidRPr="00E70281">
        <w:rPr>
          <w:rFonts w:cstheme="minorHAnsi"/>
          <w:color w:val="auto"/>
        </w:rPr>
        <w:fldChar w:fldCharType="end"/>
      </w:r>
      <w:r w:rsidR="00BD780A" w:rsidRPr="00E70281">
        <w:rPr>
          <w:rFonts w:cstheme="minorHAnsi"/>
          <w:color w:val="auto"/>
        </w:rPr>
        <w:t xml:space="preserve"> </w:t>
      </w:r>
      <w:r w:rsidR="00BD780A" w:rsidRPr="00E70281">
        <w:rPr>
          <w:rFonts w:cstheme="minorHAnsi"/>
          <w:color w:val="auto"/>
        </w:rPr>
        <w:fldChar w:fldCharType="begin" w:fldLock="1"/>
      </w:r>
      <w:r w:rsidR="003776C0" w:rsidRPr="00E70281">
        <w:rPr>
          <w:rFonts w:cstheme="minorHAnsi"/>
          <w:color w:val="auto"/>
        </w:rPr>
        <w:instrText>ADDIN CSL_CITATION {"citationItems":[{"id":"ITEM-1","itemData":{"DOI":"10.1021/la1010049","ISBN":"9788322727171","ISSN":"07437463","abstract":"In the article, a new integrated kinetic Langmuir equation (IKL) is derived. The IKL equation is a simple and easy to analyze but complete analytical solution of the kinetic Langmuir model. The IKL is compared with the nth-order, mixed 1,2-order, and multiexponential kinetic equations. The impact of both equilibrium coverage θ eq and relative equilibrium uptake u eq on kinetics is explained.Anewly introduced Langmuir batch equilibrium factor f eq that is the product of both parameters θ equ eq is used to determine the general kinetic behavior. The analysis of the IKL equation allows us to understand fully the Langmuir kinetics and explains its relation with respect to the empirical pseudo-first-order (PFO, i.e., Lagergren), pseudo-second-order (PSO), and mixed 1,2-order kinetic equations, and it shows the conditions of their possible application based on the Langmuir model. The dependence of the initial adsorption rate on the system properties is analyzed and compared to the earlier published approximate equations. © 2010 American Chemical Society.","author":[{"dropping-particle":"","family":"Marczewski","given":"Adam W.","non-dropping-particle":"","parse-names":false,"suffix":""}],"container-title":"Langmuir","id":"ITEM-1","issue":"19","issued":{"date-parts":[["2010"]]},"page":"15229-15238","title":"Analysis of kinetic langmuir model. Part I: Integrated kinetic langmuir equation (IKL): A new complete analytical solution of the langmuir rate equation","type":"article-journal","volume":"26"},"uris":["http://www.mendeley.com/documents/?uuid=cb42dbf9-023a-43d8-ab4b-76f756068152"]}],"mendeley":{"formattedCitation":"&lt;sup&gt;38&lt;/sup&gt;","plainTextFormattedCitation":"38","previouslyFormattedCitation":"&lt;sup&gt;38&lt;/sup&gt;"},"properties":{"noteIndex":0},"schema":"https://github.com/citation-style-language/schema/raw/master/csl-citation.json"}</w:instrText>
      </w:r>
      <w:r w:rsidR="00BD780A" w:rsidRPr="00E70281">
        <w:rPr>
          <w:rFonts w:cstheme="minorHAnsi"/>
          <w:color w:val="auto"/>
        </w:rPr>
        <w:fldChar w:fldCharType="separate"/>
      </w:r>
      <w:r w:rsidR="00623D96" w:rsidRPr="00E70281">
        <w:rPr>
          <w:rFonts w:cstheme="minorHAnsi"/>
          <w:noProof/>
          <w:color w:val="auto"/>
          <w:vertAlign w:val="superscript"/>
        </w:rPr>
        <w:t>38</w:t>
      </w:r>
      <w:r w:rsidR="00BD780A" w:rsidRPr="00E70281">
        <w:rPr>
          <w:rFonts w:cstheme="minorHAnsi"/>
          <w:color w:val="auto"/>
        </w:rPr>
        <w:fldChar w:fldCharType="end"/>
      </w:r>
      <w:r w:rsidR="001D1797" w:rsidRPr="00E70281">
        <w:rPr>
          <w:rFonts w:cstheme="minorHAnsi"/>
          <w:color w:val="auto"/>
        </w:rPr>
        <w:t>.</w:t>
      </w:r>
    </w:p>
    <w:p w14:paraId="3978BC3C" w14:textId="77777777" w:rsidR="006971A6" w:rsidRPr="00E70281" w:rsidRDefault="006971A6" w:rsidP="00470E49">
      <w:pPr>
        <w:rPr>
          <w:rFonts w:cstheme="minorHAnsi"/>
          <w:color w:val="auto"/>
        </w:rPr>
      </w:pPr>
    </w:p>
    <w:p w14:paraId="1D1419BA" w14:textId="2DC89883" w:rsidR="007940EA" w:rsidRPr="00E70281" w:rsidRDefault="007940EA" w:rsidP="007940EA">
      <w:pPr>
        <w:pStyle w:val="Heading3"/>
        <w:numPr>
          <w:ilvl w:val="0"/>
          <w:numId w:val="0"/>
        </w:numPr>
        <w:ind w:left="1080"/>
        <w:rPr>
          <w:color w:val="auto"/>
        </w:rPr>
      </w:pPr>
      <w:r w:rsidRPr="00E70281">
        <w:rPr>
          <w:color w:val="auto"/>
        </w:rPr>
        <w:t>Validation of the rPSO rate equation</w:t>
      </w:r>
    </w:p>
    <w:p w14:paraId="7AD1CC43" w14:textId="7382659A" w:rsidR="0088522D" w:rsidRPr="00E70281" w:rsidRDefault="0001746D" w:rsidP="00C47F81">
      <w:pPr>
        <w:rPr>
          <w:rFonts w:ascii="Calibri" w:eastAsia="Times New Roman" w:hAnsi="Calibri" w:cs="Calibri"/>
          <w:color w:val="auto"/>
          <w:szCs w:val="22"/>
          <w:lang w:eastAsia="en-GB"/>
        </w:rPr>
      </w:pPr>
      <w:bookmarkStart w:id="39" w:name="_Hlk61357906"/>
      <w:r w:rsidRPr="00E70281">
        <w:rPr>
          <w:rFonts w:cstheme="minorHAnsi"/>
          <w:color w:val="auto"/>
        </w:rPr>
        <w:t>The removal of experimental conditionality</w:t>
      </w:r>
      <w:r w:rsidR="00AB1DEC">
        <w:rPr>
          <w:rFonts w:cstheme="minorHAnsi"/>
          <w:color w:val="auto"/>
        </w:rPr>
        <w:t xml:space="preserve">, </w:t>
      </w:r>
      <w:r w:rsidR="00193F6A" w:rsidRPr="00E70281">
        <w:rPr>
          <w:rFonts w:cstheme="minorHAnsi"/>
          <w:color w:val="auto"/>
        </w:rPr>
        <w:t xml:space="preserve">i.e. </w:t>
      </w:r>
      <w:r w:rsidR="00B65FED" w:rsidRPr="00E70281">
        <w:rPr>
          <w:rFonts w:cstheme="minorHAnsi"/>
          <w:color w:val="auto"/>
        </w:rPr>
        <w:t xml:space="preserve">the </w:t>
      </w:r>
      <w:r w:rsidR="00193F6A" w:rsidRPr="00E70281">
        <w:rPr>
          <w:rFonts w:cstheme="minorHAnsi"/>
          <w:color w:val="auto"/>
        </w:rPr>
        <w:t>dependency upon C</w:t>
      </w:r>
      <w:r w:rsidR="00193F6A" w:rsidRPr="00E70281">
        <w:rPr>
          <w:rFonts w:cstheme="minorHAnsi"/>
          <w:color w:val="auto"/>
          <w:vertAlign w:val="subscript"/>
        </w:rPr>
        <w:t>0</w:t>
      </w:r>
      <w:r w:rsidR="00193F6A" w:rsidRPr="00E70281">
        <w:rPr>
          <w:rFonts w:cstheme="minorHAnsi"/>
          <w:color w:val="auto"/>
        </w:rPr>
        <w:t xml:space="preserve"> and C</w:t>
      </w:r>
      <w:r w:rsidR="00193F6A" w:rsidRPr="00E70281">
        <w:rPr>
          <w:rFonts w:cstheme="minorHAnsi"/>
          <w:color w:val="auto"/>
          <w:vertAlign w:val="subscript"/>
        </w:rPr>
        <w:t>s</w:t>
      </w:r>
      <w:r w:rsidR="00AB1DEC">
        <w:rPr>
          <w:rFonts w:cstheme="minorHAnsi"/>
          <w:color w:val="auto"/>
        </w:rPr>
        <w:t>,</w:t>
      </w:r>
      <w:r w:rsidRPr="00E70281">
        <w:rPr>
          <w:rFonts w:cstheme="minorHAnsi"/>
          <w:color w:val="auto"/>
        </w:rPr>
        <w:t xml:space="preserve"> from the r</w:t>
      </w:r>
      <w:r w:rsidR="00B65FED" w:rsidRPr="00E70281">
        <w:rPr>
          <w:rFonts w:cstheme="minorHAnsi"/>
          <w:color w:val="auto"/>
        </w:rPr>
        <w:t>evised model</w:t>
      </w:r>
      <w:r w:rsidRPr="00E70281">
        <w:rPr>
          <w:rFonts w:cstheme="minorHAnsi"/>
          <w:color w:val="auto"/>
        </w:rPr>
        <w:t xml:space="preserve"> was verified using experimental data</w:t>
      </w:r>
      <w:r w:rsidR="00861337" w:rsidRPr="00E70281">
        <w:rPr>
          <w:rFonts w:cstheme="minorHAnsi"/>
          <w:color w:val="auto"/>
        </w:rPr>
        <w:t xml:space="preserve"> from the literature</w:t>
      </w:r>
      <w:r w:rsidRPr="00E70281">
        <w:rPr>
          <w:rFonts w:cstheme="minorHAnsi"/>
          <w:color w:val="auto"/>
        </w:rPr>
        <w:t xml:space="preserve">. </w:t>
      </w:r>
      <w:r w:rsidR="008B6658" w:rsidRPr="00E70281">
        <w:rPr>
          <w:rFonts w:cstheme="minorHAnsi"/>
          <w:color w:val="auto"/>
        </w:rPr>
        <w:t>The ideal rate constant is unaffected by the experimental conditions, and</w:t>
      </w:r>
      <w:r w:rsidR="00B65FED" w:rsidRPr="00E70281">
        <w:rPr>
          <w:rFonts w:cstheme="minorHAnsi"/>
          <w:color w:val="auto"/>
        </w:rPr>
        <w:t xml:space="preserve"> subsequently the dependency of the rate constant</w:t>
      </w:r>
      <w:r w:rsidR="008B6658" w:rsidRPr="00E70281">
        <w:rPr>
          <w:rFonts w:cstheme="minorHAnsi"/>
          <w:color w:val="auto"/>
        </w:rPr>
        <w:t xml:space="preserve"> </w:t>
      </w:r>
      <w:r w:rsidR="00B65FED" w:rsidRPr="00E70281">
        <w:rPr>
          <w:rFonts w:cstheme="minorHAnsi"/>
          <w:color w:val="auto"/>
        </w:rPr>
        <w:t>with respect to C</w:t>
      </w:r>
      <w:r w:rsidR="00B65FED" w:rsidRPr="00E70281">
        <w:rPr>
          <w:rFonts w:cstheme="minorHAnsi"/>
          <w:color w:val="auto"/>
          <w:vertAlign w:val="subscript"/>
        </w:rPr>
        <w:t>0</w:t>
      </w:r>
      <w:r w:rsidR="00B65FED" w:rsidRPr="00E70281">
        <w:rPr>
          <w:rFonts w:cstheme="minorHAnsi"/>
          <w:color w:val="auto"/>
        </w:rPr>
        <w:t xml:space="preserve"> and C</w:t>
      </w:r>
      <w:r w:rsidR="00B65FED" w:rsidRPr="00E70281">
        <w:rPr>
          <w:rFonts w:cstheme="minorHAnsi"/>
          <w:color w:val="auto"/>
          <w:vertAlign w:val="subscript"/>
        </w:rPr>
        <w:t>s</w:t>
      </w:r>
      <w:r w:rsidR="00B65FED" w:rsidRPr="00E70281">
        <w:rPr>
          <w:rFonts w:cstheme="minorHAnsi"/>
          <w:color w:val="auto"/>
        </w:rPr>
        <w:t xml:space="preserve"> should be zero. These dependencies were calculated from the slope of </w:t>
      </w:r>
      <w:proofErr w:type="gramStart"/>
      <w:r w:rsidR="008B6658" w:rsidRPr="00E70281">
        <w:rPr>
          <w:rFonts w:cstheme="minorHAnsi"/>
          <w:color w:val="auto"/>
        </w:rPr>
        <w:t>log(</w:t>
      </w:r>
      <w:proofErr w:type="gramEnd"/>
      <w:r w:rsidR="008B6658" w:rsidRPr="00E70281">
        <w:rPr>
          <w:rFonts w:cstheme="minorHAnsi"/>
          <w:color w:val="auto"/>
        </w:rPr>
        <w:t>rate constant) versus log(C</w:t>
      </w:r>
      <w:r w:rsidR="008B6658" w:rsidRPr="00E70281">
        <w:rPr>
          <w:rFonts w:cstheme="minorHAnsi"/>
          <w:color w:val="auto"/>
          <w:vertAlign w:val="subscript"/>
        </w:rPr>
        <w:t>0</w:t>
      </w:r>
      <w:r w:rsidR="008B6658" w:rsidRPr="00E70281">
        <w:rPr>
          <w:rFonts w:cstheme="minorHAnsi"/>
          <w:color w:val="auto"/>
        </w:rPr>
        <w:t>) or log(C</w:t>
      </w:r>
      <w:r w:rsidR="008B6658" w:rsidRPr="00E70281">
        <w:rPr>
          <w:rFonts w:cstheme="minorHAnsi"/>
          <w:color w:val="auto"/>
          <w:vertAlign w:val="subscript"/>
        </w:rPr>
        <w:t>s</w:t>
      </w:r>
      <w:r w:rsidR="008B6658" w:rsidRPr="00E70281">
        <w:rPr>
          <w:rFonts w:cstheme="minorHAnsi"/>
          <w:color w:val="auto"/>
        </w:rPr>
        <w:t xml:space="preserve">). </w:t>
      </w:r>
      <w:bookmarkStart w:id="40" w:name="_Hlk61258578"/>
      <w:r w:rsidR="008B6658" w:rsidRPr="00E70281">
        <w:rPr>
          <w:rFonts w:cstheme="minorHAnsi"/>
          <w:color w:val="auto"/>
        </w:rPr>
        <w:t xml:space="preserve">As highlighted by </w:t>
      </w:r>
      <w:r w:rsidR="008B6658" w:rsidRPr="00E70281">
        <w:rPr>
          <w:rFonts w:cstheme="minorHAnsi"/>
          <w:color w:val="auto"/>
        </w:rPr>
        <w:fldChar w:fldCharType="begin"/>
      </w:r>
      <w:r w:rsidR="008B6658" w:rsidRPr="00E70281">
        <w:rPr>
          <w:rFonts w:cstheme="minorHAnsi"/>
          <w:color w:val="auto"/>
        </w:rPr>
        <w:instrText xml:space="preserve"> REF _Ref30765843 \h </w:instrText>
      </w:r>
      <w:r w:rsidR="008B6658" w:rsidRPr="00E70281">
        <w:rPr>
          <w:rFonts w:cstheme="minorHAnsi"/>
          <w:color w:val="auto"/>
        </w:rPr>
      </w:r>
      <w:r w:rsidR="008B6658" w:rsidRPr="00E70281">
        <w:rPr>
          <w:rFonts w:cstheme="minorHAnsi"/>
          <w:color w:val="auto"/>
        </w:rPr>
        <w:fldChar w:fldCharType="separate"/>
      </w:r>
      <w:r w:rsidR="00D37CAD" w:rsidRPr="00E70281">
        <w:rPr>
          <w:color w:val="auto"/>
        </w:rPr>
        <w:t xml:space="preserve">Figure </w:t>
      </w:r>
      <w:r w:rsidR="00D37CAD" w:rsidRPr="00E70281">
        <w:rPr>
          <w:noProof/>
          <w:color w:val="auto"/>
        </w:rPr>
        <w:t>4</w:t>
      </w:r>
      <w:r w:rsidR="008B6658" w:rsidRPr="00E70281">
        <w:rPr>
          <w:rFonts w:cstheme="minorHAnsi"/>
          <w:color w:val="auto"/>
        </w:rPr>
        <w:fldChar w:fldCharType="end"/>
      </w:r>
      <w:r w:rsidR="008B6658" w:rsidRPr="00E70281">
        <w:rPr>
          <w:rFonts w:cstheme="minorHAnsi"/>
          <w:color w:val="auto"/>
        </w:rPr>
        <w:t>a, the original PSO rate constant k</w:t>
      </w:r>
      <w:r w:rsidR="008B6658" w:rsidRPr="00E70281">
        <w:rPr>
          <w:rFonts w:cstheme="minorHAnsi"/>
          <w:color w:val="auto"/>
          <w:vertAlign w:val="subscript"/>
        </w:rPr>
        <w:t>2</w:t>
      </w:r>
      <w:r w:rsidR="008B6658" w:rsidRPr="00E70281">
        <w:rPr>
          <w:rFonts w:cstheme="minorHAnsi"/>
          <w:color w:val="auto"/>
        </w:rPr>
        <w:t xml:space="preserve"> is strongly dependent upon the experimental conditions, being inversely proportional to C</w:t>
      </w:r>
      <w:r w:rsidR="008B6658" w:rsidRPr="00E70281">
        <w:rPr>
          <w:rFonts w:cstheme="minorHAnsi"/>
          <w:color w:val="auto"/>
          <w:vertAlign w:val="subscript"/>
        </w:rPr>
        <w:t>0</w:t>
      </w:r>
      <w:r w:rsidR="008B6658" w:rsidRPr="00E70281">
        <w:rPr>
          <w:rFonts w:cstheme="minorHAnsi"/>
          <w:color w:val="auto"/>
        </w:rPr>
        <w:t xml:space="preserve"> and second-order with respect to C</w:t>
      </w:r>
      <w:r w:rsidR="008B6658" w:rsidRPr="00E70281">
        <w:rPr>
          <w:rFonts w:cstheme="minorHAnsi"/>
          <w:color w:val="auto"/>
          <w:vertAlign w:val="subscript"/>
        </w:rPr>
        <w:t>s</w:t>
      </w:r>
      <w:r w:rsidR="008B6658" w:rsidRPr="00E70281">
        <w:rPr>
          <w:rFonts w:cstheme="minorHAnsi"/>
          <w:color w:val="auto"/>
        </w:rPr>
        <w:t>. The average C</w:t>
      </w:r>
      <w:r w:rsidR="008B6658" w:rsidRPr="00E70281">
        <w:rPr>
          <w:rFonts w:cstheme="minorHAnsi"/>
          <w:color w:val="auto"/>
          <w:vertAlign w:val="subscript"/>
        </w:rPr>
        <w:t>0</w:t>
      </w:r>
      <w:r w:rsidR="008B6658" w:rsidRPr="00E70281">
        <w:rPr>
          <w:rFonts w:cstheme="minorHAnsi"/>
          <w:color w:val="auto"/>
        </w:rPr>
        <w:t xml:space="preserve"> dependency is </w:t>
      </w:r>
      <w:r w:rsidR="00B8477B" w:rsidRPr="00E70281">
        <w:rPr>
          <w:rFonts w:cstheme="minorHAnsi"/>
          <w:color w:val="auto"/>
        </w:rPr>
        <w:t>-0.73±0.46</w:t>
      </w:r>
      <w:r w:rsidR="008B6658" w:rsidRPr="00E70281">
        <w:rPr>
          <w:rFonts w:cstheme="minorHAnsi"/>
          <w:color w:val="auto"/>
        </w:rPr>
        <w:t>, and the average C</w:t>
      </w:r>
      <w:r w:rsidR="008B6658" w:rsidRPr="00E70281">
        <w:rPr>
          <w:rFonts w:cstheme="minorHAnsi"/>
          <w:color w:val="auto"/>
          <w:vertAlign w:val="subscript"/>
        </w:rPr>
        <w:t>s</w:t>
      </w:r>
      <w:r w:rsidR="008B6658" w:rsidRPr="00E70281">
        <w:rPr>
          <w:rFonts w:cstheme="minorHAnsi"/>
          <w:color w:val="auto"/>
        </w:rPr>
        <w:t xml:space="preserve"> dependency is </w:t>
      </w:r>
      <w:r w:rsidR="00B8477B" w:rsidRPr="00E70281">
        <w:rPr>
          <w:rFonts w:cstheme="minorHAnsi"/>
          <w:color w:val="auto"/>
        </w:rPr>
        <w:t>1.57±0.79</w:t>
      </w:r>
      <w:r w:rsidR="00AB1DEC">
        <w:rPr>
          <w:rFonts w:cstheme="minorHAnsi"/>
          <w:color w:val="auto"/>
        </w:rPr>
        <w:t xml:space="preserve">. </w:t>
      </w:r>
      <w:r w:rsidR="008B6658" w:rsidRPr="00E70281">
        <w:rPr>
          <w:rFonts w:cstheme="minorHAnsi"/>
          <w:color w:val="auto"/>
        </w:rPr>
        <w:t>In contrast, k’ is approximately zero-order with respect to both experimental variables. Furthermore, the dependencies of k’ upon C</w:t>
      </w:r>
      <w:r w:rsidR="008B6658" w:rsidRPr="00E70281">
        <w:rPr>
          <w:rFonts w:cstheme="minorHAnsi"/>
          <w:color w:val="auto"/>
          <w:vertAlign w:val="subscript"/>
        </w:rPr>
        <w:t>0</w:t>
      </w:r>
      <w:r w:rsidR="008B6658" w:rsidRPr="00E70281">
        <w:rPr>
          <w:rFonts w:cstheme="minorHAnsi"/>
          <w:color w:val="auto"/>
        </w:rPr>
        <w:t xml:space="preserve"> and C</w:t>
      </w:r>
      <w:r w:rsidR="008B6658" w:rsidRPr="00E70281">
        <w:rPr>
          <w:rFonts w:cstheme="minorHAnsi"/>
          <w:color w:val="auto"/>
          <w:vertAlign w:val="subscript"/>
        </w:rPr>
        <w:t>s</w:t>
      </w:r>
      <w:r w:rsidR="008B6658" w:rsidRPr="00E70281">
        <w:rPr>
          <w:rFonts w:cstheme="minorHAnsi"/>
          <w:color w:val="auto"/>
        </w:rPr>
        <w:t xml:space="preserve"> vary less (</w:t>
      </w:r>
      <w:r w:rsidR="00B8477B" w:rsidRPr="00E70281">
        <w:rPr>
          <w:rFonts w:cstheme="minorHAnsi"/>
          <w:color w:val="auto"/>
        </w:rPr>
        <w:t xml:space="preserve">there is </w:t>
      </w:r>
      <w:r w:rsidR="008B6658" w:rsidRPr="00E70281">
        <w:rPr>
          <w:rFonts w:cstheme="minorHAnsi"/>
          <w:color w:val="auto"/>
        </w:rPr>
        <w:t>less scattering) than k</w:t>
      </w:r>
      <w:r w:rsidR="008B6658" w:rsidRPr="00E70281">
        <w:rPr>
          <w:rFonts w:cstheme="minorHAnsi"/>
          <w:color w:val="auto"/>
          <w:vertAlign w:val="subscript"/>
        </w:rPr>
        <w:t>2</w:t>
      </w:r>
      <w:r w:rsidR="008B6658" w:rsidRPr="00E70281">
        <w:rPr>
          <w:rFonts w:cstheme="minorHAnsi"/>
          <w:color w:val="auto"/>
        </w:rPr>
        <w:t>. The average C</w:t>
      </w:r>
      <w:r w:rsidR="008B6658" w:rsidRPr="00E70281">
        <w:rPr>
          <w:rFonts w:cstheme="minorHAnsi"/>
          <w:color w:val="auto"/>
          <w:vertAlign w:val="subscript"/>
        </w:rPr>
        <w:t>0</w:t>
      </w:r>
      <w:r w:rsidR="008B6658" w:rsidRPr="00E70281">
        <w:rPr>
          <w:rFonts w:cstheme="minorHAnsi"/>
          <w:color w:val="auto"/>
        </w:rPr>
        <w:t xml:space="preserve"> dependency is </w:t>
      </w:r>
      <w:r w:rsidR="00B8477B" w:rsidRPr="00E70281">
        <w:rPr>
          <w:rFonts w:cstheme="minorHAnsi"/>
          <w:color w:val="auto"/>
        </w:rPr>
        <w:t>-0.20±0.38</w:t>
      </w:r>
      <w:r w:rsidR="008B6658" w:rsidRPr="00E70281">
        <w:rPr>
          <w:rFonts w:cstheme="minorHAnsi"/>
          <w:color w:val="auto"/>
        </w:rPr>
        <w:t xml:space="preserve"> and the average C</w:t>
      </w:r>
      <w:r w:rsidR="008B6658" w:rsidRPr="00E70281">
        <w:rPr>
          <w:rFonts w:cstheme="minorHAnsi"/>
          <w:color w:val="auto"/>
          <w:vertAlign w:val="subscript"/>
        </w:rPr>
        <w:t>s</w:t>
      </w:r>
      <w:r w:rsidR="008B6658" w:rsidRPr="00E70281">
        <w:rPr>
          <w:rFonts w:cstheme="minorHAnsi"/>
          <w:color w:val="auto"/>
        </w:rPr>
        <w:t xml:space="preserve"> dependency is </w:t>
      </w:r>
      <w:r w:rsidR="00B8477B" w:rsidRPr="00E70281">
        <w:rPr>
          <w:rFonts w:cstheme="minorHAnsi"/>
          <w:color w:val="auto"/>
        </w:rPr>
        <w:t>0.10±0.45</w:t>
      </w:r>
      <w:r w:rsidR="008B6658" w:rsidRPr="00E70281">
        <w:rPr>
          <w:rFonts w:cstheme="minorHAnsi"/>
          <w:color w:val="auto"/>
        </w:rPr>
        <w:t xml:space="preserve">. </w:t>
      </w:r>
      <w:r w:rsidR="003A0F1C" w:rsidRPr="00E70281">
        <w:rPr>
          <w:rFonts w:ascii="Calibri" w:eastAsia="Times New Roman" w:hAnsi="Calibri" w:cs="Calibri"/>
          <w:color w:val="auto"/>
          <w:szCs w:val="22"/>
          <w:lang w:eastAsia="en-GB"/>
        </w:rPr>
        <w:t xml:space="preserve">These results </w:t>
      </w:r>
      <w:r w:rsidR="008B6658" w:rsidRPr="00E70281">
        <w:rPr>
          <w:rFonts w:ascii="Calibri" w:eastAsia="Times New Roman" w:hAnsi="Calibri" w:cs="Calibri"/>
          <w:color w:val="auto"/>
          <w:szCs w:val="22"/>
          <w:lang w:eastAsia="en-GB"/>
        </w:rPr>
        <w:t>demonstrate</w:t>
      </w:r>
      <w:r w:rsidR="003A0F1C" w:rsidRPr="00E70281">
        <w:rPr>
          <w:rFonts w:ascii="Calibri" w:eastAsia="Times New Roman" w:hAnsi="Calibri" w:cs="Calibri"/>
          <w:color w:val="auto"/>
          <w:szCs w:val="22"/>
          <w:lang w:eastAsia="en-GB"/>
        </w:rPr>
        <w:t xml:space="preserve"> that </w:t>
      </w:r>
      <w:r w:rsidR="00ED1253" w:rsidRPr="00E70281">
        <w:rPr>
          <w:rFonts w:ascii="Calibri" w:eastAsia="Times New Roman" w:hAnsi="Calibri" w:cs="Calibri"/>
          <w:color w:val="auto"/>
          <w:szCs w:val="22"/>
          <w:lang w:eastAsia="en-GB"/>
        </w:rPr>
        <w:t xml:space="preserve">the new </w:t>
      </w:r>
      <w:r w:rsidR="003A0F1C" w:rsidRPr="00E70281">
        <w:rPr>
          <w:rFonts w:ascii="Calibri" w:eastAsia="Times New Roman" w:hAnsi="Calibri" w:cs="Calibri"/>
          <w:color w:val="auto"/>
          <w:szCs w:val="22"/>
          <w:lang w:eastAsia="en-GB"/>
        </w:rPr>
        <w:t>rate constant k’ is less conditional than k</w:t>
      </w:r>
      <w:r w:rsidR="003A0F1C" w:rsidRPr="00E70281">
        <w:rPr>
          <w:rFonts w:ascii="Calibri" w:eastAsia="Times New Roman" w:hAnsi="Calibri" w:cs="Calibri"/>
          <w:color w:val="auto"/>
          <w:szCs w:val="22"/>
          <w:vertAlign w:val="subscript"/>
          <w:lang w:eastAsia="en-GB"/>
        </w:rPr>
        <w:t>2</w:t>
      </w:r>
      <w:r w:rsidR="003A0F1C" w:rsidRPr="00E70281">
        <w:rPr>
          <w:rFonts w:ascii="Calibri" w:eastAsia="Times New Roman" w:hAnsi="Calibri" w:cs="Calibri"/>
          <w:color w:val="auto"/>
          <w:szCs w:val="22"/>
          <w:lang w:eastAsia="en-GB"/>
        </w:rPr>
        <w:t>, and that the dependency of adsorption kinetics upon C</w:t>
      </w:r>
      <w:r w:rsidR="003A0F1C" w:rsidRPr="00E70281">
        <w:rPr>
          <w:rFonts w:ascii="Calibri" w:eastAsia="Times New Roman" w:hAnsi="Calibri" w:cs="Calibri"/>
          <w:color w:val="auto"/>
          <w:szCs w:val="22"/>
          <w:vertAlign w:val="subscript"/>
          <w:lang w:eastAsia="en-GB"/>
        </w:rPr>
        <w:t>0</w:t>
      </w:r>
      <w:r w:rsidR="003A0F1C" w:rsidRPr="00E70281">
        <w:rPr>
          <w:rFonts w:ascii="Calibri" w:eastAsia="Times New Roman" w:hAnsi="Calibri" w:cs="Calibri"/>
          <w:color w:val="auto"/>
          <w:szCs w:val="22"/>
          <w:lang w:eastAsia="en-GB"/>
        </w:rPr>
        <w:t xml:space="preserve"> and C</w:t>
      </w:r>
      <w:r w:rsidR="003A0F1C" w:rsidRPr="00E70281">
        <w:rPr>
          <w:rFonts w:ascii="Calibri" w:eastAsia="Times New Roman" w:hAnsi="Calibri" w:cs="Calibri"/>
          <w:color w:val="auto"/>
          <w:szCs w:val="22"/>
          <w:vertAlign w:val="subscript"/>
          <w:lang w:eastAsia="en-GB"/>
        </w:rPr>
        <w:t>s</w:t>
      </w:r>
      <w:r w:rsidR="003A0F1C" w:rsidRPr="00E70281">
        <w:rPr>
          <w:rFonts w:ascii="Calibri" w:eastAsia="Times New Roman" w:hAnsi="Calibri" w:cs="Calibri"/>
          <w:color w:val="auto"/>
          <w:szCs w:val="22"/>
          <w:lang w:eastAsia="en-GB"/>
        </w:rPr>
        <w:t xml:space="preserve"> </w:t>
      </w:r>
      <w:r w:rsidR="00491CAF" w:rsidRPr="00E70281">
        <w:rPr>
          <w:rFonts w:ascii="Calibri" w:eastAsia="Times New Roman" w:hAnsi="Calibri" w:cs="Calibri"/>
          <w:color w:val="auto"/>
          <w:szCs w:val="22"/>
          <w:lang w:eastAsia="en-GB"/>
        </w:rPr>
        <w:t>is</w:t>
      </w:r>
      <w:r w:rsidR="003A0F1C" w:rsidRPr="00E70281">
        <w:rPr>
          <w:rFonts w:ascii="Calibri" w:eastAsia="Times New Roman" w:hAnsi="Calibri" w:cs="Calibri"/>
          <w:color w:val="auto"/>
          <w:szCs w:val="22"/>
          <w:lang w:eastAsia="en-GB"/>
        </w:rPr>
        <w:t xml:space="preserve"> captured by the new </w:t>
      </w:r>
      <w:r w:rsidR="00B65FED" w:rsidRPr="00E70281">
        <w:rPr>
          <w:rFonts w:ascii="Calibri" w:eastAsia="Times New Roman" w:hAnsi="Calibri" w:cs="Calibri"/>
          <w:color w:val="auto"/>
          <w:szCs w:val="22"/>
          <w:lang w:eastAsia="en-GB"/>
        </w:rPr>
        <w:t>model</w:t>
      </w:r>
      <w:r w:rsidR="003A0F1C" w:rsidRPr="00E70281">
        <w:rPr>
          <w:rFonts w:ascii="Calibri" w:eastAsia="Times New Roman" w:hAnsi="Calibri" w:cs="Calibri"/>
          <w:color w:val="auto"/>
          <w:szCs w:val="22"/>
          <w:lang w:eastAsia="en-GB"/>
        </w:rPr>
        <w:t>.</w:t>
      </w:r>
      <w:bookmarkEnd w:id="40"/>
    </w:p>
    <w:bookmarkEnd w:id="39"/>
    <w:p w14:paraId="075967AF" w14:textId="7634C38B" w:rsidR="00966062" w:rsidRPr="00E70281" w:rsidRDefault="001E1A93" w:rsidP="00B65FED">
      <w:pPr>
        <w:rPr>
          <w:rFonts w:ascii="Calibri" w:eastAsia="Times New Roman" w:hAnsi="Calibri" w:cs="Calibri"/>
          <w:color w:val="auto"/>
          <w:szCs w:val="22"/>
          <w:lang w:eastAsia="en-GB"/>
        </w:rPr>
      </w:pPr>
      <w:r w:rsidRPr="00E70281">
        <w:rPr>
          <w:rFonts w:ascii="Calibri" w:eastAsia="Times New Roman" w:hAnsi="Calibri" w:cs="Calibri"/>
          <w:color w:val="auto"/>
          <w:szCs w:val="22"/>
          <w:lang w:eastAsia="en-GB"/>
        </w:rPr>
        <w:t>When the adsorbate is in excess (q</w:t>
      </w:r>
      <w:r w:rsidRPr="00E70281">
        <w:rPr>
          <w:rFonts w:ascii="Calibri" w:eastAsia="Times New Roman" w:hAnsi="Calibri" w:cs="Calibri"/>
          <w:color w:val="auto"/>
          <w:szCs w:val="22"/>
          <w:vertAlign w:val="subscript"/>
          <w:lang w:eastAsia="en-GB"/>
        </w:rPr>
        <w:t>e</w:t>
      </w:r>
      <w:r w:rsidRPr="00E70281">
        <w:rPr>
          <w:rFonts w:ascii="Calibri" w:eastAsia="Times New Roman" w:hAnsi="Calibri" w:cs="Calibri"/>
          <w:color w:val="auto"/>
          <w:szCs w:val="22"/>
          <w:lang w:eastAsia="en-GB"/>
        </w:rPr>
        <w:t>&lt;C</w:t>
      </w:r>
      <w:r w:rsidRPr="00E70281">
        <w:rPr>
          <w:rFonts w:ascii="Calibri" w:eastAsia="Times New Roman" w:hAnsi="Calibri" w:cs="Calibri"/>
          <w:color w:val="auto"/>
          <w:szCs w:val="22"/>
          <w:vertAlign w:val="subscript"/>
          <w:lang w:eastAsia="en-GB"/>
        </w:rPr>
        <w:t>0</w:t>
      </w:r>
      <w:r w:rsidRPr="00E70281">
        <w:rPr>
          <w:rFonts w:ascii="Calibri" w:eastAsia="Times New Roman" w:hAnsi="Calibri" w:cs="Calibri"/>
          <w:color w:val="auto"/>
          <w:szCs w:val="22"/>
          <w:lang w:eastAsia="en-GB"/>
        </w:rPr>
        <w:t xml:space="preserve">) the </w:t>
      </w:r>
      <w:r w:rsidR="00114768" w:rsidRPr="00E70281">
        <w:rPr>
          <w:rFonts w:ascii="Calibri" w:eastAsia="Times New Roman" w:hAnsi="Calibri" w:cs="Calibri"/>
          <w:color w:val="auto"/>
          <w:szCs w:val="22"/>
          <w:lang w:eastAsia="en-GB"/>
        </w:rPr>
        <w:t>r</w:t>
      </w:r>
      <w:r w:rsidRPr="00E70281">
        <w:rPr>
          <w:rFonts w:ascii="Calibri" w:eastAsia="Times New Roman" w:hAnsi="Calibri" w:cs="Calibri"/>
          <w:color w:val="auto"/>
          <w:szCs w:val="22"/>
          <w:lang w:eastAsia="en-GB"/>
        </w:rPr>
        <w:t xml:space="preserve">PSO </w:t>
      </w:r>
      <w:r w:rsidR="00114768" w:rsidRPr="00E70281">
        <w:rPr>
          <w:rFonts w:ascii="Calibri" w:eastAsia="Times New Roman" w:hAnsi="Calibri" w:cs="Calibri"/>
          <w:color w:val="auto"/>
          <w:szCs w:val="22"/>
          <w:lang w:eastAsia="en-GB"/>
        </w:rPr>
        <w:t>model</w:t>
      </w:r>
      <w:r w:rsidRPr="00E70281">
        <w:rPr>
          <w:rFonts w:ascii="Calibri" w:eastAsia="Times New Roman" w:hAnsi="Calibri" w:cs="Calibri"/>
          <w:color w:val="auto"/>
          <w:szCs w:val="22"/>
          <w:lang w:eastAsia="en-GB"/>
        </w:rPr>
        <w:t xml:space="preserve"> approximates the form of the original PSO model. At higher q</w:t>
      </w:r>
      <w:r w:rsidRPr="00E70281">
        <w:rPr>
          <w:rFonts w:ascii="Calibri" w:eastAsia="Times New Roman" w:hAnsi="Calibri" w:cs="Calibri"/>
          <w:color w:val="auto"/>
          <w:szCs w:val="22"/>
          <w:vertAlign w:val="subscript"/>
          <w:lang w:eastAsia="en-GB"/>
        </w:rPr>
        <w:t>e</w:t>
      </w:r>
      <w:r w:rsidRPr="00E70281">
        <w:rPr>
          <w:rFonts w:ascii="Calibri" w:eastAsia="Times New Roman" w:hAnsi="Calibri" w:cs="Calibri"/>
          <w:color w:val="auto"/>
          <w:szCs w:val="22"/>
          <w:lang w:eastAsia="en-GB"/>
        </w:rPr>
        <w:t xml:space="preserve"> </w:t>
      </w:r>
      <w:r w:rsidR="002B2934" w:rsidRPr="00E70281">
        <w:rPr>
          <w:rFonts w:ascii="Calibri" w:eastAsia="Times New Roman" w:hAnsi="Calibri" w:cs="Calibri"/>
          <w:color w:val="FF0000"/>
          <w:szCs w:val="22"/>
          <w:lang w:eastAsia="en-GB"/>
        </w:rPr>
        <w:t xml:space="preserve">values </w:t>
      </w:r>
      <w:r w:rsidRPr="00E70281">
        <w:rPr>
          <w:rFonts w:ascii="Calibri" w:eastAsia="Times New Roman" w:hAnsi="Calibri" w:cs="Calibri"/>
          <w:color w:val="auto"/>
          <w:szCs w:val="22"/>
          <w:lang w:eastAsia="en-GB"/>
        </w:rPr>
        <w:t>relative to C</w:t>
      </w:r>
      <w:r w:rsidRPr="00E70281">
        <w:rPr>
          <w:rFonts w:ascii="Calibri" w:eastAsia="Times New Roman" w:hAnsi="Calibri" w:cs="Calibri"/>
          <w:color w:val="auto"/>
          <w:szCs w:val="22"/>
          <w:vertAlign w:val="subscript"/>
          <w:lang w:eastAsia="en-GB"/>
        </w:rPr>
        <w:t>0</w:t>
      </w:r>
      <w:r w:rsidRPr="00E70281">
        <w:rPr>
          <w:rFonts w:ascii="Calibri" w:eastAsia="Times New Roman" w:hAnsi="Calibri" w:cs="Calibri"/>
          <w:color w:val="auto"/>
          <w:szCs w:val="22"/>
          <w:lang w:eastAsia="en-GB"/>
        </w:rPr>
        <w:t xml:space="preserve">, the </w:t>
      </w:r>
      <w:r w:rsidR="00B65FED" w:rsidRPr="00E70281">
        <w:rPr>
          <w:rFonts w:ascii="Calibri" w:eastAsia="Times New Roman" w:hAnsi="Calibri" w:cs="Calibri"/>
          <w:color w:val="auto"/>
          <w:szCs w:val="22"/>
          <w:lang w:eastAsia="en-GB"/>
        </w:rPr>
        <w:t>graphical form of the two models deviates</w:t>
      </w:r>
      <w:r w:rsidR="000634F4">
        <w:rPr>
          <w:rFonts w:ascii="Calibri" w:eastAsia="Times New Roman" w:hAnsi="Calibri" w:cs="Calibri"/>
          <w:color w:val="auto"/>
          <w:szCs w:val="22"/>
          <w:lang w:eastAsia="en-GB"/>
        </w:rPr>
        <w:t>,</w:t>
      </w:r>
      <w:r w:rsidRPr="00E70281">
        <w:rPr>
          <w:rFonts w:ascii="Calibri" w:eastAsia="Times New Roman" w:hAnsi="Calibri" w:cs="Calibri"/>
          <w:color w:val="auto"/>
          <w:szCs w:val="22"/>
          <w:lang w:eastAsia="en-GB"/>
        </w:rPr>
        <w:t xml:space="preserve"> </w:t>
      </w:r>
      <w:r w:rsidR="000634F4" w:rsidRPr="000634F4">
        <w:rPr>
          <w:rFonts w:ascii="Calibri" w:eastAsia="Times New Roman" w:hAnsi="Calibri" w:cs="Calibri"/>
          <w:color w:val="FF0000"/>
          <w:szCs w:val="22"/>
          <w:lang w:eastAsia="en-GB"/>
        </w:rPr>
        <w:t>with reaction rates decreasing more rapidly in the</w:t>
      </w:r>
      <w:r w:rsidRPr="000634F4">
        <w:rPr>
          <w:rFonts w:ascii="Calibri" w:eastAsia="Times New Roman" w:hAnsi="Calibri" w:cs="Calibri"/>
          <w:color w:val="FF0000"/>
          <w:szCs w:val="22"/>
          <w:lang w:eastAsia="en-GB"/>
        </w:rPr>
        <w:t xml:space="preserve"> </w:t>
      </w:r>
      <w:r w:rsidR="00B65FED" w:rsidRPr="000634F4">
        <w:rPr>
          <w:rFonts w:ascii="Calibri" w:eastAsia="Times New Roman" w:hAnsi="Calibri" w:cs="Calibri"/>
          <w:color w:val="FF0000"/>
          <w:szCs w:val="22"/>
          <w:lang w:eastAsia="en-GB"/>
        </w:rPr>
        <w:t xml:space="preserve">rPSO </w:t>
      </w:r>
      <w:r w:rsidR="000634F4" w:rsidRPr="000634F4">
        <w:rPr>
          <w:rFonts w:ascii="Calibri" w:eastAsia="Times New Roman" w:hAnsi="Calibri" w:cs="Calibri"/>
          <w:color w:val="FF0000"/>
          <w:szCs w:val="22"/>
          <w:lang w:eastAsia="en-GB"/>
        </w:rPr>
        <w:t>model</w:t>
      </w:r>
      <w:r w:rsidR="00FB44EC" w:rsidRPr="000634F4">
        <w:rPr>
          <w:rFonts w:ascii="Calibri" w:eastAsia="Times New Roman" w:hAnsi="Calibri" w:cs="Calibri"/>
          <w:color w:val="FF0000"/>
          <w:szCs w:val="22"/>
          <w:lang w:eastAsia="en-GB"/>
        </w:rPr>
        <w:t xml:space="preserve"> </w:t>
      </w:r>
      <w:r w:rsidR="00FB44EC" w:rsidRPr="00FB44EC">
        <w:rPr>
          <w:rFonts w:ascii="Calibri" w:eastAsia="Times New Roman" w:hAnsi="Calibri" w:cs="Calibri"/>
          <w:color w:val="FF0000"/>
          <w:szCs w:val="22"/>
          <w:lang w:eastAsia="en-GB"/>
        </w:rPr>
        <w:t>due to the parameter C</w:t>
      </w:r>
      <w:r w:rsidR="00FB44EC" w:rsidRPr="00FB44EC">
        <w:rPr>
          <w:rFonts w:ascii="Calibri" w:eastAsia="Times New Roman" w:hAnsi="Calibri" w:cs="Calibri"/>
          <w:color w:val="FF0000"/>
          <w:szCs w:val="22"/>
          <w:vertAlign w:val="subscript"/>
          <w:lang w:eastAsia="en-GB"/>
        </w:rPr>
        <w:t>t</w:t>
      </w:r>
      <w:r w:rsidR="00FB44EC" w:rsidRPr="00FB44EC">
        <w:rPr>
          <w:rFonts w:ascii="Calibri" w:eastAsia="Times New Roman" w:hAnsi="Calibri" w:cs="Calibri"/>
          <w:color w:val="FF0000"/>
          <w:szCs w:val="22"/>
          <w:lang w:eastAsia="en-GB"/>
        </w:rPr>
        <w:t xml:space="preserve"> decreasing</w:t>
      </w:r>
      <w:r w:rsidR="00B65FED" w:rsidRPr="00FB44EC">
        <w:rPr>
          <w:rFonts w:ascii="Calibri" w:eastAsia="Times New Roman" w:hAnsi="Calibri" w:cs="Calibri"/>
          <w:color w:val="FF0000"/>
          <w:szCs w:val="22"/>
          <w:lang w:eastAsia="en-GB"/>
        </w:rPr>
        <w:t xml:space="preserve"> </w:t>
      </w:r>
      <w:r w:rsidR="00FB44EC" w:rsidRPr="00FB44EC">
        <w:rPr>
          <w:rFonts w:ascii="Calibri" w:eastAsia="Times New Roman" w:hAnsi="Calibri" w:cs="Calibri"/>
          <w:color w:val="FF0000"/>
          <w:szCs w:val="22"/>
          <w:lang w:eastAsia="en-GB"/>
        </w:rPr>
        <w:t>with</w:t>
      </w:r>
      <w:r w:rsidR="00B65FED" w:rsidRPr="00FB44EC">
        <w:rPr>
          <w:rFonts w:ascii="Calibri" w:eastAsia="Times New Roman" w:hAnsi="Calibri" w:cs="Calibri"/>
          <w:color w:val="FF0000"/>
          <w:szCs w:val="22"/>
          <w:lang w:eastAsia="en-GB"/>
        </w:rPr>
        <w:t xml:space="preserve"> </w:t>
      </w:r>
      <w:r w:rsidR="00B65FED" w:rsidRPr="00E70281">
        <w:rPr>
          <w:rFonts w:ascii="Calibri" w:eastAsia="Times New Roman" w:hAnsi="Calibri" w:cs="Calibri"/>
          <w:color w:val="auto"/>
          <w:szCs w:val="22"/>
          <w:lang w:eastAsia="en-GB"/>
        </w:rPr>
        <w:t xml:space="preserve">consumption of the </w:t>
      </w:r>
      <w:r w:rsidR="00FB44EC" w:rsidRPr="00FB44EC">
        <w:rPr>
          <w:rFonts w:ascii="Calibri" w:eastAsia="Times New Roman" w:hAnsi="Calibri" w:cs="Calibri"/>
          <w:color w:val="FF0000"/>
          <w:szCs w:val="22"/>
          <w:lang w:eastAsia="en-GB"/>
        </w:rPr>
        <w:t>adsorbate</w:t>
      </w:r>
      <w:r w:rsidR="00B65FED" w:rsidRPr="00E70281">
        <w:rPr>
          <w:rFonts w:ascii="Calibri" w:eastAsia="Times New Roman" w:hAnsi="Calibri" w:cs="Calibri"/>
          <w:color w:val="auto"/>
          <w:szCs w:val="22"/>
          <w:lang w:eastAsia="en-GB"/>
        </w:rPr>
        <w:t>. (However, this effect is logical, given that at low C</w:t>
      </w:r>
      <w:r w:rsidR="00B65FED" w:rsidRPr="00E70281">
        <w:rPr>
          <w:rFonts w:ascii="Calibri" w:eastAsia="Times New Roman" w:hAnsi="Calibri" w:cs="Calibri"/>
          <w:color w:val="auto"/>
          <w:szCs w:val="22"/>
          <w:vertAlign w:val="subscript"/>
          <w:lang w:eastAsia="en-GB"/>
        </w:rPr>
        <w:t>t</w:t>
      </w:r>
      <w:r w:rsidR="00B65FED" w:rsidRPr="00E70281">
        <w:rPr>
          <w:rFonts w:ascii="Calibri" w:eastAsia="Times New Roman" w:hAnsi="Calibri" w:cs="Calibri"/>
          <w:color w:val="auto"/>
          <w:szCs w:val="22"/>
          <w:lang w:eastAsia="en-GB"/>
        </w:rPr>
        <w:t xml:space="preserve"> values, the rate of adsorption will be limited by the availability of adsorbate). </w:t>
      </w:r>
      <w:r w:rsidR="009E6E66" w:rsidRPr="00E70281">
        <w:rPr>
          <w:rFonts w:ascii="Calibri" w:eastAsia="Times New Roman" w:hAnsi="Calibri" w:cs="Calibri"/>
          <w:color w:val="auto"/>
          <w:szCs w:val="22"/>
          <w:lang w:eastAsia="en-GB"/>
        </w:rPr>
        <w:t>Ther</w:t>
      </w:r>
      <w:r w:rsidR="004C55C6" w:rsidRPr="00E70281">
        <w:rPr>
          <w:rFonts w:ascii="Calibri" w:eastAsia="Times New Roman" w:hAnsi="Calibri" w:cs="Calibri"/>
          <w:color w:val="auto"/>
          <w:szCs w:val="22"/>
          <w:lang w:eastAsia="en-GB"/>
        </w:rPr>
        <w:t>e</w:t>
      </w:r>
      <w:r w:rsidR="009E6E66" w:rsidRPr="00E70281">
        <w:rPr>
          <w:rFonts w:ascii="Calibri" w:eastAsia="Times New Roman" w:hAnsi="Calibri" w:cs="Calibri"/>
          <w:color w:val="auto"/>
          <w:szCs w:val="22"/>
          <w:lang w:eastAsia="en-GB"/>
        </w:rPr>
        <w:t>fore</w:t>
      </w:r>
      <w:r w:rsidRPr="00E70281">
        <w:rPr>
          <w:rFonts w:ascii="Calibri" w:eastAsia="Times New Roman" w:hAnsi="Calibri" w:cs="Calibri"/>
          <w:color w:val="auto"/>
          <w:szCs w:val="22"/>
          <w:lang w:eastAsia="en-GB"/>
        </w:rPr>
        <w:t>, rate constants for the rPSO</w:t>
      </w:r>
      <w:r w:rsidR="00C64406">
        <w:rPr>
          <w:rFonts w:ascii="Calibri" w:eastAsia="Times New Roman" w:hAnsi="Calibri" w:cs="Calibri"/>
          <w:color w:val="auto"/>
          <w:szCs w:val="22"/>
          <w:lang w:eastAsia="en-GB"/>
        </w:rPr>
        <w:t xml:space="preserve"> </w:t>
      </w:r>
      <w:r w:rsidR="00C64406" w:rsidRPr="00C64406">
        <w:rPr>
          <w:rFonts w:ascii="Calibri" w:eastAsia="Times New Roman" w:hAnsi="Calibri" w:cs="Calibri"/>
          <w:color w:val="FF0000"/>
          <w:szCs w:val="22"/>
          <w:lang w:eastAsia="en-GB"/>
        </w:rPr>
        <w:t>model</w:t>
      </w:r>
      <w:r w:rsidRPr="00C64406">
        <w:rPr>
          <w:rFonts w:ascii="Calibri" w:eastAsia="Times New Roman" w:hAnsi="Calibri" w:cs="Calibri"/>
          <w:color w:val="FF0000"/>
          <w:szCs w:val="22"/>
          <w:lang w:eastAsia="en-GB"/>
        </w:rPr>
        <w:t xml:space="preserve"> </w:t>
      </w:r>
      <w:r w:rsidRPr="00E70281">
        <w:rPr>
          <w:rFonts w:ascii="Calibri" w:eastAsia="Times New Roman" w:hAnsi="Calibri" w:cs="Calibri"/>
          <w:color w:val="auto"/>
          <w:szCs w:val="22"/>
          <w:lang w:eastAsia="en-GB"/>
        </w:rPr>
        <w:t>(k’) can be readily calculated from PSO parameters k</w:t>
      </w:r>
      <w:r w:rsidRPr="00E70281">
        <w:rPr>
          <w:rFonts w:ascii="Calibri" w:eastAsia="Times New Roman" w:hAnsi="Calibri" w:cs="Calibri"/>
          <w:color w:val="auto"/>
          <w:szCs w:val="22"/>
          <w:vertAlign w:val="subscript"/>
          <w:lang w:eastAsia="en-GB"/>
        </w:rPr>
        <w:t>2</w:t>
      </w:r>
      <w:r w:rsidRPr="00E70281">
        <w:rPr>
          <w:rFonts w:ascii="Calibri" w:eastAsia="Times New Roman" w:hAnsi="Calibri" w:cs="Calibri"/>
          <w:color w:val="auto"/>
          <w:szCs w:val="22"/>
          <w:lang w:eastAsia="en-GB"/>
        </w:rPr>
        <w:t xml:space="preserve"> and q</w:t>
      </w:r>
      <w:r w:rsidRPr="00E70281">
        <w:rPr>
          <w:rFonts w:ascii="Calibri" w:eastAsia="Times New Roman" w:hAnsi="Calibri" w:cs="Calibri"/>
          <w:color w:val="auto"/>
          <w:szCs w:val="22"/>
          <w:vertAlign w:val="subscript"/>
          <w:lang w:eastAsia="en-GB"/>
        </w:rPr>
        <w:t>e</w:t>
      </w:r>
      <w:r w:rsidRPr="00E70281">
        <w:rPr>
          <w:rFonts w:ascii="Calibri" w:eastAsia="Times New Roman" w:hAnsi="Calibri" w:cs="Calibri"/>
          <w:color w:val="auto"/>
          <w:szCs w:val="22"/>
          <w:lang w:eastAsia="en-GB"/>
        </w:rPr>
        <w:t xml:space="preserve"> when the adsorbate is in excess, using the formula</w:t>
      </w:r>
      <w:r w:rsidR="006971A6" w:rsidRPr="00E70281">
        <w:rPr>
          <w:rFonts w:ascii="Calibri" w:eastAsia="Times New Roman" w:hAnsi="Calibri" w:cs="Calibri"/>
          <w:color w:val="auto"/>
          <w:szCs w:val="22"/>
          <w:lang w:eastAsia="en-GB"/>
        </w:rPr>
        <w:t xml:space="preserve"> </w:t>
      </w:r>
      <m:oMath>
        <m:sSup>
          <m:sSupPr>
            <m:ctrlPr>
              <w:rPr>
                <w:rFonts w:ascii="Cambria Math" w:hAnsi="Cambria Math" w:cstheme="minorHAnsi"/>
                <w:color w:val="FF0000"/>
                <w:szCs w:val="22"/>
              </w:rPr>
            </m:ctrlPr>
          </m:sSupPr>
          <m:e>
            <m:r>
              <m:rPr>
                <m:sty m:val="p"/>
              </m:rPr>
              <w:rPr>
                <w:rFonts w:ascii="Cambria Math" w:hAnsi="Cambria Math" w:cstheme="minorHAnsi"/>
                <w:color w:val="FF0000"/>
                <w:szCs w:val="22"/>
              </w:rPr>
              <m:t>k</m:t>
            </m:r>
          </m:e>
          <m:sup>
            <m:r>
              <m:rPr>
                <m:sty m:val="p"/>
              </m:rPr>
              <w:rPr>
                <w:rFonts w:ascii="Cambria Math" w:hAnsi="Cambria Math" w:cstheme="minorHAnsi"/>
                <w:color w:val="FF0000"/>
                <w:szCs w:val="22"/>
              </w:rPr>
              <m:t>'</m:t>
            </m:r>
          </m:sup>
        </m:sSup>
        <m:r>
          <m:rPr>
            <m:sty m:val="p"/>
          </m:rPr>
          <w:rPr>
            <w:rFonts w:ascii="Cambria Math" w:hAnsi="Cambria Math" w:cstheme="minorHAnsi"/>
            <w:color w:val="FF0000"/>
            <w:szCs w:val="22"/>
          </w:rPr>
          <m:t>=</m:t>
        </m:r>
        <m:r>
          <m:rPr>
            <m:sty m:val="p"/>
          </m:rPr>
          <w:rPr>
            <w:rFonts w:ascii="Cambria Math" w:hAnsi="Cambria Math"/>
            <w:color w:val="FF0000"/>
            <w:szCs w:val="22"/>
          </w:rPr>
          <m:t xml:space="preserve"> </m:t>
        </m:r>
        <m:f>
          <m:fPr>
            <m:ctrlPr>
              <w:rPr>
                <w:rFonts w:ascii="Cambria Math" w:hAnsi="Cambria Math"/>
                <w:color w:val="FF0000"/>
                <w:szCs w:val="22"/>
              </w:rPr>
            </m:ctrlPr>
          </m:fPr>
          <m:num>
            <m:sSub>
              <m:sSubPr>
                <m:ctrlPr>
                  <w:rPr>
                    <w:rFonts w:ascii="Cambria Math" w:hAnsi="Cambria Math" w:cstheme="minorHAnsi"/>
                    <w:color w:val="FF0000"/>
                    <w:szCs w:val="22"/>
                  </w:rPr>
                </m:ctrlPr>
              </m:sSubPr>
              <m:e>
                <m:r>
                  <m:rPr>
                    <m:sty m:val="p"/>
                  </m:rPr>
                  <w:rPr>
                    <w:rFonts w:ascii="Cambria Math" w:hAnsi="Cambria Math" w:cstheme="minorHAnsi"/>
                    <w:color w:val="FF0000"/>
                    <w:szCs w:val="22"/>
                  </w:rPr>
                  <m:t>k</m:t>
                </m:r>
              </m:e>
              <m:sub>
                <m:r>
                  <m:rPr>
                    <m:sty m:val="p"/>
                  </m:rPr>
                  <w:rPr>
                    <w:rFonts w:ascii="Cambria Math" w:hAnsi="Cambria Math" w:cstheme="minorHAnsi"/>
                    <w:color w:val="FF0000"/>
                    <w:szCs w:val="22"/>
                  </w:rPr>
                  <m:t>2</m:t>
                </m:r>
              </m:sub>
            </m:sSub>
            <m:sSup>
              <m:sSupPr>
                <m:ctrlPr>
                  <w:rPr>
                    <w:rFonts w:ascii="Cambria Math" w:hAnsi="Cambria Math" w:cstheme="minorHAnsi"/>
                    <w:i/>
                    <w:color w:val="FF0000"/>
                    <w:szCs w:val="22"/>
                  </w:rPr>
                </m:ctrlPr>
              </m:sSupPr>
              <m:e>
                <m:sSub>
                  <m:sSubPr>
                    <m:ctrlPr>
                      <w:rPr>
                        <w:rFonts w:ascii="Cambria Math" w:hAnsi="Cambria Math" w:cstheme="minorHAnsi"/>
                        <w:color w:val="FF0000"/>
                        <w:szCs w:val="22"/>
                      </w:rPr>
                    </m:ctrlPr>
                  </m:sSubPr>
                  <m:e>
                    <m:r>
                      <m:rPr>
                        <m:sty m:val="p"/>
                      </m:rPr>
                      <w:rPr>
                        <w:rFonts w:ascii="Cambria Math" w:hAnsi="Cambria Math" w:cstheme="minorHAnsi"/>
                        <w:color w:val="FF0000"/>
                        <w:szCs w:val="22"/>
                      </w:rPr>
                      <m:t>q</m:t>
                    </m:r>
                  </m:e>
                  <m:sub>
                    <m:r>
                      <m:rPr>
                        <m:sty m:val="p"/>
                      </m:rPr>
                      <w:rPr>
                        <w:rFonts w:ascii="Cambria Math" w:hAnsi="Cambria Math" w:cstheme="minorHAnsi"/>
                        <w:color w:val="FF0000"/>
                        <w:szCs w:val="22"/>
                      </w:rPr>
                      <m:t>e</m:t>
                    </m:r>
                  </m:sub>
                </m:sSub>
              </m:e>
              <m:sup>
                <m:r>
                  <w:rPr>
                    <w:rFonts w:ascii="Cambria Math" w:hAnsi="Cambria Math" w:cstheme="minorHAnsi"/>
                    <w:color w:val="FF0000"/>
                    <w:szCs w:val="22"/>
                  </w:rPr>
                  <m:t>2</m:t>
                </m:r>
              </m:sup>
            </m:sSup>
          </m:num>
          <m:den>
            <m:sSub>
              <m:sSubPr>
                <m:ctrlPr>
                  <w:rPr>
                    <w:rFonts w:ascii="Cambria Math" w:hAnsi="Cambria Math"/>
                    <w:color w:val="FF0000"/>
                    <w:szCs w:val="22"/>
                  </w:rPr>
                </m:ctrlPr>
              </m:sSubPr>
              <m:e>
                <m:r>
                  <m:rPr>
                    <m:sty m:val="p"/>
                  </m:rPr>
                  <w:rPr>
                    <w:rFonts w:ascii="Cambria Math" w:hAnsi="Cambria Math"/>
                    <w:color w:val="FF0000"/>
                    <w:szCs w:val="22"/>
                  </w:rPr>
                  <m:t>C</m:t>
                </m:r>
              </m:e>
              <m:sub>
                <m:r>
                  <m:rPr>
                    <m:sty m:val="p"/>
                  </m:rPr>
                  <w:rPr>
                    <w:rFonts w:ascii="Cambria Math" w:hAnsi="Cambria Math"/>
                    <w:color w:val="FF0000"/>
                    <w:szCs w:val="22"/>
                  </w:rPr>
                  <m:t>0</m:t>
                </m:r>
              </m:sub>
            </m:sSub>
          </m:den>
        </m:f>
      </m:oMath>
      <w:r w:rsidRPr="00E70281">
        <w:rPr>
          <w:rFonts w:ascii="Calibri" w:eastAsia="Times New Roman" w:hAnsi="Calibri" w:cs="Calibri"/>
          <w:color w:val="auto"/>
          <w:szCs w:val="22"/>
          <w:lang w:eastAsia="en-GB"/>
        </w:rPr>
        <w:t xml:space="preserve">. When the adsorbent removes </w:t>
      </w:r>
      <w:proofErr w:type="gramStart"/>
      <w:r w:rsidRPr="00E70281">
        <w:rPr>
          <w:rFonts w:ascii="Calibri" w:eastAsia="Times New Roman" w:hAnsi="Calibri" w:cs="Calibri"/>
          <w:color w:val="auto"/>
          <w:szCs w:val="22"/>
          <w:lang w:eastAsia="en-GB"/>
        </w:rPr>
        <w:t>the majority of</w:t>
      </w:r>
      <w:proofErr w:type="gramEnd"/>
      <w:r w:rsidRPr="00E70281">
        <w:rPr>
          <w:rFonts w:ascii="Calibri" w:eastAsia="Times New Roman" w:hAnsi="Calibri" w:cs="Calibri"/>
          <w:color w:val="auto"/>
          <w:szCs w:val="22"/>
          <w:lang w:eastAsia="en-GB"/>
        </w:rPr>
        <w:t xml:space="preserve"> the adsorbate, however, the </w:t>
      </w:r>
      <w:r w:rsidR="005621DC" w:rsidRPr="00E70281">
        <w:rPr>
          <w:rFonts w:ascii="Calibri" w:eastAsia="Times New Roman" w:hAnsi="Calibri" w:cs="Calibri"/>
          <w:color w:val="auto"/>
          <w:szCs w:val="22"/>
          <w:lang w:eastAsia="en-GB"/>
        </w:rPr>
        <w:t xml:space="preserve">rPSO </w:t>
      </w:r>
      <w:r w:rsidRPr="00E70281">
        <w:rPr>
          <w:rFonts w:ascii="Calibri" w:eastAsia="Times New Roman" w:hAnsi="Calibri" w:cs="Calibri"/>
          <w:color w:val="auto"/>
          <w:szCs w:val="22"/>
          <w:lang w:eastAsia="en-GB"/>
        </w:rPr>
        <w:t>model will require re-fitting</w:t>
      </w:r>
      <w:r w:rsidR="005621DC" w:rsidRPr="00E70281">
        <w:rPr>
          <w:rFonts w:ascii="Calibri" w:eastAsia="Times New Roman" w:hAnsi="Calibri" w:cs="Calibri"/>
          <w:color w:val="auto"/>
          <w:szCs w:val="22"/>
          <w:lang w:eastAsia="en-GB"/>
        </w:rPr>
        <w:t xml:space="preserve"> due to increasing </w:t>
      </w:r>
      <w:r w:rsidR="005621DC" w:rsidRPr="009B7570">
        <w:rPr>
          <w:rFonts w:ascii="Calibri" w:eastAsia="Times New Roman" w:hAnsi="Calibri" w:cs="Calibri"/>
          <w:color w:val="FF0000"/>
          <w:szCs w:val="22"/>
          <w:lang w:eastAsia="en-GB"/>
        </w:rPr>
        <w:t>difference</w:t>
      </w:r>
      <w:r w:rsidR="009B7570" w:rsidRPr="009B7570">
        <w:rPr>
          <w:rFonts w:ascii="Calibri" w:eastAsia="Times New Roman" w:hAnsi="Calibri" w:cs="Calibri"/>
          <w:color w:val="FF0000"/>
          <w:szCs w:val="22"/>
          <w:lang w:eastAsia="en-GB"/>
        </w:rPr>
        <w:t>s</w:t>
      </w:r>
      <w:r w:rsidR="005621DC" w:rsidRPr="009B7570">
        <w:rPr>
          <w:rFonts w:ascii="Calibri" w:eastAsia="Times New Roman" w:hAnsi="Calibri" w:cs="Calibri"/>
          <w:color w:val="FF0000"/>
          <w:szCs w:val="22"/>
          <w:lang w:eastAsia="en-GB"/>
        </w:rPr>
        <w:t xml:space="preserve"> </w:t>
      </w:r>
      <w:r w:rsidR="005621DC" w:rsidRPr="00E70281">
        <w:rPr>
          <w:rFonts w:ascii="Calibri" w:eastAsia="Times New Roman" w:hAnsi="Calibri" w:cs="Calibri"/>
          <w:color w:val="auto"/>
          <w:szCs w:val="22"/>
          <w:lang w:eastAsia="en-GB"/>
        </w:rPr>
        <w:t>in the graphical form of the PSO and rPSO models</w:t>
      </w:r>
      <w:r w:rsidRPr="00E70281">
        <w:rPr>
          <w:rFonts w:ascii="Calibri" w:eastAsia="Times New Roman" w:hAnsi="Calibri" w:cs="Calibri"/>
          <w:color w:val="auto"/>
          <w:szCs w:val="22"/>
          <w:lang w:eastAsia="en-GB"/>
        </w:rPr>
        <w:t>.</w:t>
      </w:r>
    </w:p>
    <w:p w14:paraId="5A545C9A" w14:textId="4D3D657C" w:rsidR="0088522D" w:rsidRPr="00E70281" w:rsidRDefault="0088522D" w:rsidP="00C47F81">
      <w:pPr>
        <w:rPr>
          <w:rFonts w:ascii="Calibri" w:eastAsia="Times New Roman" w:hAnsi="Calibri" w:cs="Calibri"/>
          <w:color w:val="auto"/>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046B5" w:rsidRPr="00E70281" w14:paraId="51D903CF" w14:textId="77777777" w:rsidTr="00E47557">
        <w:trPr>
          <w:cantSplit/>
        </w:trPr>
        <w:tc>
          <w:tcPr>
            <w:tcW w:w="4508" w:type="dxa"/>
          </w:tcPr>
          <w:p w14:paraId="46BE49C8" w14:textId="3855D3AE" w:rsidR="000C7840" w:rsidRPr="00E70281" w:rsidRDefault="000C7840" w:rsidP="002228EB">
            <w:pPr>
              <w:rPr>
                <w:rFonts w:ascii="Calibri" w:eastAsia="Times New Roman" w:hAnsi="Calibri" w:cs="Calibri"/>
                <w:color w:val="auto"/>
                <w:szCs w:val="22"/>
                <w:lang w:eastAsia="en-GB"/>
              </w:rPr>
            </w:pPr>
            <w:r w:rsidRPr="00E70281">
              <w:rPr>
                <w:rFonts w:ascii="Calibri" w:eastAsia="Times New Roman" w:hAnsi="Calibri" w:cs="Calibri"/>
                <w:color w:val="auto"/>
                <w:szCs w:val="22"/>
                <w:lang w:eastAsia="en-GB"/>
              </w:rPr>
              <w:t>(a)</w:t>
            </w:r>
            <w:r w:rsidR="002228EB" w:rsidRPr="00E70281">
              <w:rPr>
                <w:rFonts w:ascii="Calibri" w:eastAsia="Times New Roman" w:hAnsi="Calibri" w:cs="Calibri"/>
                <w:color w:val="auto"/>
                <w:szCs w:val="22"/>
                <w:lang w:eastAsia="en-GB"/>
              </w:rPr>
              <w:br/>
            </w:r>
            <w:r w:rsidR="003F099F" w:rsidRPr="00E70281">
              <w:rPr>
                <w:rFonts w:ascii="Calibri" w:eastAsia="Times New Roman" w:hAnsi="Calibri" w:cs="Calibri"/>
                <w:noProof/>
                <w:color w:val="auto"/>
                <w:szCs w:val="22"/>
                <w:lang w:eastAsia="en-GB"/>
              </w:rPr>
              <w:drawing>
                <wp:inline distT="0" distB="0" distL="0" distR="0" wp14:anchorId="766331E3" wp14:editId="19189D5B">
                  <wp:extent cx="2567697" cy="2753832"/>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6330" r="1"/>
                          <a:stretch/>
                        </pic:blipFill>
                        <pic:spPr bwMode="auto">
                          <a:xfrm>
                            <a:off x="0" y="0"/>
                            <a:ext cx="2576162" cy="2762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0D214ECF" w14:textId="48C90C05" w:rsidR="000C7840" w:rsidRPr="00E70281" w:rsidRDefault="000C7840" w:rsidP="002228EB">
            <w:pPr>
              <w:rPr>
                <w:rFonts w:ascii="Calibri" w:eastAsia="Times New Roman" w:hAnsi="Calibri" w:cs="Calibri"/>
                <w:color w:val="auto"/>
                <w:szCs w:val="22"/>
                <w:lang w:eastAsia="en-GB"/>
              </w:rPr>
            </w:pPr>
            <w:r w:rsidRPr="00E70281">
              <w:rPr>
                <w:rFonts w:ascii="Calibri" w:eastAsia="Times New Roman" w:hAnsi="Calibri" w:cs="Calibri"/>
                <w:color w:val="auto"/>
                <w:szCs w:val="22"/>
                <w:lang w:eastAsia="en-GB"/>
              </w:rPr>
              <w:t>(b)</w:t>
            </w:r>
            <w:r w:rsidR="002228EB" w:rsidRPr="00E70281">
              <w:rPr>
                <w:rFonts w:ascii="Calibri" w:eastAsia="Times New Roman" w:hAnsi="Calibri" w:cs="Calibri"/>
                <w:color w:val="auto"/>
                <w:szCs w:val="22"/>
                <w:lang w:eastAsia="en-GB"/>
              </w:rPr>
              <w:br/>
            </w:r>
            <w:r w:rsidR="005621DC" w:rsidRPr="00E70281">
              <w:rPr>
                <w:rFonts w:ascii="Calibri" w:eastAsia="Times New Roman" w:hAnsi="Calibri" w:cs="Calibri"/>
                <w:noProof/>
                <w:color w:val="auto"/>
                <w:szCs w:val="22"/>
                <w:lang w:eastAsia="en-GB"/>
              </w:rPr>
              <w:drawing>
                <wp:inline distT="0" distB="0" distL="0" distR="0" wp14:anchorId="35FE460E" wp14:editId="66B050B1">
                  <wp:extent cx="2723668" cy="2530549"/>
                  <wp:effectExtent l="0" t="0" r="63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3552" b="2920"/>
                          <a:stretch/>
                        </pic:blipFill>
                        <pic:spPr bwMode="auto">
                          <a:xfrm>
                            <a:off x="0" y="0"/>
                            <a:ext cx="2735641" cy="25416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D80F38" w14:textId="180C98DF" w:rsidR="007A02C0" w:rsidRPr="00E70281" w:rsidRDefault="00573DBC" w:rsidP="00573DBC">
      <w:pPr>
        <w:pStyle w:val="Caption"/>
        <w:rPr>
          <w:color w:val="auto"/>
        </w:rPr>
      </w:pPr>
      <w:bookmarkStart w:id="41" w:name="_Ref30765843"/>
      <w:r w:rsidRPr="00E70281">
        <w:rPr>
          <w:color w:val="auto"/>
        </w:rPr>
        <w:lastRenderedPageBreak/>
        <w:t xml:space="preserve">Figure </w:t>
      </w:r>
      <w:r w:rsidR="000D57EB" w:rsidRPr="00E70281">
        <w:rPr>
          <w:color w:val="auto"/>
        </w:rPr>
        <w:fldChar w:fldCharType="begin"/>
      </w:r>
      <w:r w:rsidR="000D57EB" w:rsidRPr="00E70281">
        <w:rPr>
          <w:color w:val="auto"/>
        </w:rPr>
        <w:instrText xml:space="preserve"> SEQ Figure \* ARABIC </w:instrText>
      </w:r>
      <w:r w:rsidR="000D57EB" w:rsidRPr="00E70281">
        <w:rPr>
          <w:color w:val="auto"/>
        </w:rPr>
        <w:fldChar w:fldCharType="separate"/>
      </w:r>
      <w:r w:rsidR="00D37CAD" w:rsidRPr="00E70281">
        <w:rPr>
          <w:noProof/>
          <w:color w:val="auto"/>
        </w:rPr>
        <w:t>4</w:t>
      </w:r>
      <w:r w:rsidR="000D57EB" w:rsidRPr="00E70281">
        <w:rPr>
          <w:noProof/>
          <w:color w:val="auto"/>
        </w:rPr>
        <w:fldChar w:fldCharType="end"/>
      </w:r>
      <w:bookmarkEnd w:id="41"/>
      <w:r w:rsidRPr="00E70281">
        <w:rPr>
          <w:color w:val="auto"/>
        </w:rPr>
        <w:t xml:space="preserve">: </w:t>
      </w:r>
      <w:r w:rsidR="00B65FED" w:rsidRPr="00E70281">
        <w:rPr>
          <w:color w:val="auto"/>
        </w:rPr>
        <w:t>Verifying that experimental conditionality (with respect to C</w:t>
      </w:r>
      <w:r w:rsidR="00B65FED" w:rsidRPr="00E70281">
        <w:rPr>
          <w:color w:val="auto"/>
          <w:vertAlign w:val="subscript"/>
        </w:rPr>
        <w:t>0</w:t>
      </w:r>
      <w:r w:rsidR="00B65FED" w:rsidRPr="00E70281">
        <w:rPr>
          <w:color w:val="auto"/>
        </w:rPr>
        <w:t xml:space="preserve"> and C</w:t>
      </w:r>
      <w:r w:rsidR="00B65FED" w:rsidRPr="00E70281">
        <w:rPr>
          <w:color w:val="auto"/>
          <w:vertAlign w:val="subscript"/>
        </w:rPr>
        <w:t>s</w:t>
      </w:r>
      <w:r w:rsidR="00B65FED" w:rsidRPr="00E70281">
        <w:rPr>
          <w:color w:val="auto"/>
        </w:rPr>
        <w:t>) is decreased in the rPSO model versus the original PSO model.</w:t>
      </w:r>
      <w:r w:rsidR="00B8477B" w:rsidRPr="00E70281">
        <w:rPr>
          <w:color w:val="auto"/>
        </w:rPr>
        <w:t xml:space="preserve"> (a) The dependencies</w:t>
      </w:r>
      <w:r w:rsidR="007A02C0" w:rsidRPr="00E70281">
        <w:rPr>
          <w:color w:val="auto"/>
        </w:rPr>
        <w:t xml:space="preserve"> of the original PSO rate constant k</w:t>
      </w:r>
      <w:r w:rsidR="007A02C0" w:rsidRPr="00E70281">
        <w:rPr>
          <w:color w:val="auto"/>
          <w:vertAlign w:val="subscript"/>
        </w:rPr>
        <w:t>2</w:t>
      </w:r>
      <w:r w:rsidR="007A02C0" w:rsidRPr="00E70281">
        <w:rPr>
          <w:color w:val="auto"/>
        </w:rPr>
        <w:t xml:space="preserve"> and the rPSO rate constant k’ upon C</w:t>
      </w:r>
      <w:r w:rsidR="007A02C0" w:rsidRPr="00E70281">
        <w:rPr>
          <w:color w:val="auto"/>
          <w:vertAlign w:val="subscript"/>
        </w:rPr>
        <w:t>0</w:t>
      </w:r>
      <w:r w:rsidR="007A02C0" w:rsidRPr="00E70281">
        <w:rPr>
          <w:color w:val="auto"/>
        </w:rPr>
        <w:t xml:space="preserve"> and C</w:t>
      </w:r>
      <w:r w:rsidR="007A02C0" w:rsidRPr="00E70281">
        <w:rPr>
          <w:color w:val="auto"/>
          <w:vertAlign w:val="subscript"/>
        </w:rPr>
        <w:t>s</w:t>
      </w:r>
      <w:r w:rsidR="007A02C0" w:rsidRPr="00E70281">
        <w:rPr>
          <w:color w:val="auto"/>
        </w:rPr>
        <w:t xml:space="preserve"> were calculated from the slope of log plots, as per </w:t>
      </w:r>
      <w:r w:rsidR="007A02C0" w:rsidRPr="00E70281">
        <w:rPr>
          <w:color w:val="auto"/>
        </w:rPr>
        <w:fldChar w:fldCharType="begin"/>
      </w:r>
      <w:r w:rsidR="007A02C0" w:rsidRPr="00E70281">
        <w:rPr>
          <w:color w:val="auto"/>
        </w:rPr>
        <w:instrText xml:space="preserve"> REF _Ref60665222 \h </w:instrText>
      </w:r>
      <w:r w:rsidR="007A02C0" w:rsidRPr="00E70281">
        <w:rPr>
          <w:color w:val="auto"/>
        </w:rPr>
      </w:r>
      <w:r w:rsidR="007A02C0" w:rsidRPr="00E70281">
        <w:rPr>
          <w:color w:val="auto"/>
        </w:rPr>
        <w:fldChar w:fldCharType="separate"/>
      </w:r>
      <w:r w:rsidR="00D37CAD" w:rsidRPr="00E70281">
        <w:rPr>
          <w:color w:val="auto"/>
        </w:rPr>
        <w:t xml:space="preserve">Figure </w:t>
      </w:r>
      <w:r w:rsidR="00D37CAD" w:rsidRPr="00E70281">
        <w:rPr>
          <w:noProof/>
          <w:color w:val="auto"/>
        </w:rPr>
        <w:t>3</w:t>
      </w:r>
      <w:r w:rsidR="007A02C0" w:rsidRPr="00E70281">
        <w:rPr>
          <w:color w:val="auto"/>
        </w:rPr>
        <w:fldChar w:fldCharType="end"/>
      </w:r>
      <w:r w:rsidR="007A02C0" w:rsidRPr="00E70281">
        <w:rPr>
          <w:color w:val="auto"/>
        </w:rPr>
        <w:t>, with the ideal rate constant giving a reaction order or ‘dependency’ of zero.</w:t>
      </w:r>
      <w:r w:rsidR="00822457" w:rsidRPr="00E70281">
        <w:rPr>
          <w:color w:val="auto"/>
        </w:rPr>
        <w:t xml:space="preserve"> The data is shown as normal distributions with the mean and standard deviation set equal to the slope and standard error of the slope in the log plots</w:t>
      </w:r>
      <w:r w:rsidR="00B65FED" w:rsidRPr="00E70281">
        <w:rPr>
          <w:color w:val="auto"/>
        </w:rPr>
        <w:t xml:space="preserve"> (with 9 data sets for C</w:t>
      </w:r>
      <w:r w:rsidR="00B65FED" w:rsidRPr="00E70281">
        <w:rPr>
          <w:color w:val="auto"/>
          <w:vertAlign w:val="subscript"/>
        </w:rPr>
        <w:t>0</w:t>
      </w:r>
      <w:r w:rsidR="00B65FED" w:rsidRPr="00E70281">
        <w:rPr>
          <w:color w:val="auto"/>
        </w:rPr>
        <w:t xml:space="preserve"> and 8 for C</w:t>
      </w:r>
      <w:r w:rsidR="00B65FED" w:rsidRPr="00E70281">
        <w:rPr>
          <w:color w:val="auto"/>
          <w:vertAlign w:val="subscript"/>
        </w:rPr>
        <w:t>s</w:t>
      </w:r>
      <w:r w:rsidR="00B65FED" w:rsidRPr="00E70281">
        <w:rPr>
          <w:color w:val="auto"/>
        </w:rPr>
        <w:t>)</w:t>
      </w:r>
      <w:r w:rsidR="00822457" w:rsidRPr="00E70281">
        <w:rPr>
          <w:color w:val="auto"/>
        </w:rPr>
        <w:t>.</w:t>
      </w:r>
      <w:r w:rsidR="00CA3D47" w:rsidRPr="00E70281">
        <w:rPr>
          <w:color w:val="auto"/>
        </w:rPr>
        <w:t xml:space="preserve"> These values are</w:t>
      </w:r>
      <w:r w:rsidR="00B65FED" w:rsidRPr="00E70281">
        <w:rPr>
          <w:color w:val="auto"/>
        </w:rPr>
        <w:t xml:space="preserve">: </w:t>
      </w:r>
      <w:r w:rsidR="00CA3D47" w:rsidRPr="00E70281">
        <w:rPr>
          <w:color w:val="auto"/>
        </w:rPr>
        <w:t>-0.73±0.46</w:t>
      </w:r>
      <w:r w:rsidR="00B65FED" w:rsidRPr="00E70281">
        <w:rPr>
          <w:color w:val="auto"/>
        </w:rPr>
        <w:t xml:space="preserve"> for k</w:t>
      </w:r>
      <w:r w:rsidR="00B65FED" w:rsidRPr="00E70281">
        <w:rPr>
          <w:color w:val="auto"/>
          <w:vertAlign w:val="subscript"/>
        </w:rPr>
        <w:t>2</w:t>
      </w:r>
      <w:r w:rsidR="00B65FED" w:rsidRPr="00E70281">
        <w:rPr>
          <w:color w:val="auto"/>
        </w:rPr>
        <w:t xml:space="preserve"> and C</w:t>
      </w:r>
      <w:r w:rsidR="00B65FED" w:rsidRPr="00E70281">
        <w:rPr>
          <w:color w:val="auto"/>
          <w:vertAlign w:val="subscript"/>
        </w:rPr>
        <w:t>0</w:t>
      </w:r>
      <w:r w:rsidR="00CA3D47" w:rsidRPr="00E70281">
        <w:rPr>
          <w:color w:val="auto"/>
        </w:rPr>
        <w:t>; 1.57±0.79</w:t>
      </w:r>
      <w:r w:rsidR="00B65FED" w:rsidRPr="00E70281">
        <w:rPr>
          <w:color w:val="auto"/>
        </w:rPr>
        <w:t xml:space="preserve"> for k</w:t>
      </w:r>
      <w:r w:rsidR="00B65FED" w:rsidRPr="00E70281">
        <w:rPr>
          <w:color w:val="auto"/>
          <w:vertAlign w:val="subscript"/>
        </w:rPr>
        <w:t>2</w:t>
      </w:r>
      <w:r w:rsidR="00B65FED" w:rsidRPr="00E70281">
        <w:rPr>
          <w:color w:val="auto"/>
        </w:rPr>
        <w:t xml:space="preserve"> and C</w:t>
      </w:r>
      <w:r w:rsidR="00B65FED" w:rsidRPr="00E70281">
        <w:rPr>
          <w:color w:val="auto"/>
          <w:vertAlign w:val="subscript"/>
        </w:rPr>
        <w:t>s</w:t>
      </w:r>
      <w:r w:rsidR="00CA3D47" w:rsidRPr="00E70281">
        <w:rPr>
          <w:color w:val="auto"/>
        </w:rPr>
        <w:t>; -0.20±0.38</w:t>
      </w:r>
      <w:r w:rsidR="00B65FED" w:rsidRPr="00E70281">
        <w:rPr>
          <w:color w:val="auto"/>
        </w:rPr>
        <w:t xml:space="preserve"> for k’ and C</w:t>
      </w:r>
      <w:r w:rsidR="00B65FED" w:rsidRPr="00E70281">
        <w:rPr>
          <w:color w:val="auto"/>
          <w:vertAlign w:val="subscript"/>
        </w:rPr>
        <w:t>0</w:t>
      </w:r>
      <w:r w:rsidR="00CA3D47" w:rsidRPr="00E70281">
        <w:rPr>
          <w:color w:val="auto"/>
        </w:rPr>
        <w:t>; 0.10±0.45</w:t>
      </w:r>
      <w:r w:rsidR="00B65FED" w:rsidRPr="00E70281">
        <w:rPr>
          <w:color w:val="auto"/>
        </w:rPr>
        <w:t xml:space="preserve"> for k’ and C</w:t>
      </w:r>
      <w:r w:rsidR="00B65FED" w:rsidRPr="00E70281">
        <w:rPr>
          <w:color w:val="auto"/>
          <w:vertAlign w:val="subscript"/>
        </w:rPr>
        <w:t>s</w:t>
      </w:r>
      <w:r w:rsidR="00CA3D47" w:rsidRPr="00E70281">
        <w:rPr>
          <w:color w:val="auto"/>
        </w:rPr>
        <w:t xml:space="preserve">. </w:t>
      </w:r>
      <w:r w:rsidR="00822457" w:rsidRPr="00E70281">
        <w:rPr>
          <w:color w:val="auto"/>
        </w:rPr>
        <w:t xml:space="preserve"> </w:t>
      </w:r>
      <w:r w:rsidR="007A02C0" w:rsidRPr="00E70281">
        <w:rPr>
          <w:color w:val="auto"/>
        </w:rPr>
        <w:t xml:space="preserve">(b) A comparison of the </w:t>
      </w:r>
      <w:r w:rsidR="007A02C0" w:rsidRPr="005E494F">
        <w:rPr>
          <w:color w:val="FF0000"/>
        </w:rPr>
        <w:t>form</w:t>
      </w:r>
      <w:r w:rsidR="005E494F" w:rsidRPr="005E494F">
        <w:rPr>
          <w:color w:val="FF0000"/>
        </w:rPr>
        <w:t>s</w:t>
      </w:r>
      <w:r w:rsidR="007A02C0" w:rsidRPr="005E494F">
        <w:rPr>
          <w:color w:val="FF0000"/>
        </w:rPr>
        <w:t xml:space="preserve"> </w:t>
      </w:r>
      <w:r w:rsidR="007A02C0" w:rsidRPr="00E70281">
        <w:rPr>
          <w:color w:val="auto"/>
        </w:rPr>
        <w:t>of the</w:t>
      </w:r>
      <w:r w:rsidR="007A02C0" w:rsidRPr="005E494F">
        <w:rPr>
          <w:color w:val="FF0000"/>
        </w:rPr>
        <w:t xml:space="preserve"> original PSO </w:t>
      </w:r>
      <w:r w:rsidR="005E494F" w:rsidRPr="005E494F">
        <w:rPr>
          <w:color w:val="FF0000"/>
        </w:rPr>
        <w:t>and</w:t>
      </w:r>
      <w:r w:rsidR="007A02C0" w:rsidRPr="005E494F">
        <w:rPr>
          <w:color w:val="FF0000"/>
        </w:rPr>
        <w:t xml:space="preserve"> rPSO </w:t>
      </w:r>
      <w:r w:rsidR="005E494F" w:rsidRPr="005E494F">
        <w:rPr>
          <w:color w:val="FF0000"/>
        </w:rPr>
        <w:t>models</w:t>
      </w:r>
      <w:r w:rsidR="007A02C0" w:rsidRPr="00E70281">
        <w:rPr>
          <w:color w:val="auto"/>
        </w:rPr>
        <w:t>, with different</w:t>
      </w:r>
      <w:r w:rsidR="001E74A8" w:rsidRPr="00E70281">
        <w:rPr>
          <w:color w:val="auto"/>
        </w:rPr>
        <w:t xml:space="preserve"> </w:t>
      </w:r>
      <m:oMath>
        <m:f>
          <m:fPr>
            <m:ctrlPr>
              <w:rPr>
                <w:rFonts w:ascii="Cambria Math" w:hAnsi="Cambria Math"/>
                <w:color w:val="auto"/>
              </w:rPr>
            </m:ctrlPr>
          </m:fPr>
          <m:num>
            <m:sSub>
              <m:sSubPr>
                <m:ctrlPr>
                  <w:rPr>
                    <w:rFonts w:ascii="Cambria Math" w:hAnsi="Cambria Math"/>
                    <w:color w:val="auto"/>
                  </w:rPr>
                </m:ctrlPr>
              </m:sSubPr>
              <m:e>
                <m:r>
                  <w:rPr>
                    <w:rFonts w:ascii="Cambria Math" w:hAnsi="Cambria Math"/>
                    <w:color w:val="auto"/>
                  </w:rPr>
                  <m:t>C</m:t>
                </m:r>
              </m:e>
              <m:sub>
                <m:r>
                  <w:rPr>
                    <w:rFonts w:ascii="Cambria Math" w:hAnsi="Cambria Math"/>
                    <w:color w:val="auto"/>
                  </w:rPr>
                  <m:t>0</m:t>
                </m:r>
              </m:sub>
            </m:sSub>
          </m:num>
          <m:den>
            <m:sSub>
              <m:sSubPr>
                <m:ctrlPr>
                  <w:rPr>
                    <w:rFonts w:ascii="Cambria Math" w:hAnsi="Cambria Math"/>
                    <w:color w:val="auto"/>
                  </w:rPr>
                </m:ctrlPr>
              </m:sSubPr>
              <m:e>
                <m:r>
                  <w:rPr>
                    <w:rFonts w:ascii="Cambria Math" w:hAnsi="Cambria Math"/>
                    <w:color w:val="auto"/>
                  </w:rPr>
                  <m:t>q</m:t>
                </m:r>
              </m:e>
              <m:sub>
                <m:r>
                  <w:rPr>
                    <w:rFonts w:ascii="Cambria Math" w:hAnsi="Cambria Math"/>
                    <w:color w:val="auto"/>
                  </w:rPr>
                  <m:t>e</m:t>
                </m:r>
              </m:sub>
            </m:sSub>
          </m:den>
        </m:f>
      </m:oMath>
      <w:r w:rsidR="007A02C0" w:rsidRPr="00E70281">
        <w:rPr>
          <w:color w:val="auto"/>
        </w:rPr>
        <w:t xml:space="preserve"> ratios</w:t>
      </w:r>
      <w:r w:rsidR="00B65FED" w:rsidRPr="00E70281">
        <w:rPr>
          <w:color w:val="auto"/>
        </w:rPr>
        <w:t xml:space="preserve"> (with C</w:t>
      </w:r>
      <w:r w:rsidR="00B65FED" w:rsidRPr="00E70281">
        <w:rPr>
          <w:color w:val="auto"/>
          <w:vertAlign w:val="subscript"/>
        </w:rPr>
        <w:t>s</w:t>
      </w:r>
      <w:r w:rsidR="00B65FED" w:rsidRPr="00E70281">
        <w:rPr>
          <w:color w:val="auto"/>
        </w:rPr>
        <w:t>=1 g L</w:t>
      </w:r>
      <w:r w:rsidR="00B65FED" w:rsidRPr="00E70281">
        <w:rPr>
          <w:color w:val="auto"/>
          <w:vertAlign w:val="superscript"/>
        </w:rPr>
        <w:t>-1</w:t>
      </w:r>
      <w:r w:rsidR="00B65FED" w:rsidRPr="00E70281">
        <w:rPr>
          <w:color w:val="auto"/>
        </w:rPr>
        <w:t>)</w:t>
      </w:r>
      <w:r w:rsidR="007A02C0" w:rsidRPr="00E70281">
        <w:rPr>
          <w:color w:val="auto"/>
        </w:rPr>
        <w:t xml:space="preserve">. The original PSO model is presented in blue and the rPSO model in red, with </w:t>
      </w:r>
      <m:oMath>
        <m:f>
          <m:fPr>
            <m:ctrlPr>
              <w:rPr>
                <w:rFonts w:ascii="Cambria Math" w:hAnsi="Cambria Math"/>
                <w:color w:val="auto"/>
              </w:rPr>
            </m:ctrlPr>
          </m:fPr>
          <m:num>
            <m:sSub>
              <m:sSubPr>
                <m:ctrlPr>
                  <w:rPr>
                    <w:rFonts w:ascii="Cambria Math" w:hAnsi="Cambria Math"/>
                    <w:color w:val="auto"/>
                  </w:rPr>
                </m:ctrlPr>
              </m:sSubPr>
              <m:e>
                <m:r>
                  <w:rPr>
                    <w:rFonts w:ascii="Cambria Math" w:hAnsi="Cambria Math"/>
                    <w:color w:val="auto"/>
                  </w:rPr>
                  <m:t>C</m:t>
                </m:r>
              </m:e>
              <m:sub>
                <m:r>
                  <w:rPr>
                    <w:rFonts w:ascii="Cambria Math" w:hAnsi="Cambria Math"/>
                    <w:color w:val="auto"/>
                  </w:rPr>
                  <m:t>0</m:t>
                </m:r>
              </m:sub>
            </m:sSub>
          </m:num>
          <m:den>
            <m:sSub>
              <m:sSubPr>
                <m:ctrlPr>
                  <w:rPr>
                    <w:rFonts w:ascii="Cambria Math" w:hAnsi="Cambria Math"/>
                    <w:color w:val="auto"/>
                  </w:rPr>
                </m:ctrlPr>
              </m:sSubPr>
              <m:e>
                <m:r>
                  <w:rPr>
                    <w:rFonts w:ascii="Cambria Math" w:hAnsi="Cambria Math"/>
                    <w:color w:val="auto"/>
                  </w:rPr>
                  <m:t>q</m:t>
                </m:r>
              </m:e>
              <m:sub>
                <m:r>
                  <w:rPr>
                    <w:rFonts w:ascii="Cambria Math" w:hAnsi="Cambria Math"/>
                    <w:color w:val="auto"/>
                  </w:rPr>
                  <m:t>e</m:t>
                </m:r>
              </m:sub>
            </m:sSub>
          </m:den>
        </m:f>
      </m:oMath>
      <w:r w:rsidR="007A02C0" w:rsidRPr="00E70281">
        <w:rPr>
          <w:color w:val="auto"/>
        </w:rPr>
        <w:t xml:space="preserve"> equal to </w:t>
      </w:r>
      <w:r w:rsidR="005621DC" w:rsidRPr="00E70281">
        <w:rPr>
          <w:color w:val="auto"/>
        </w:rPr>
        <w:t>1</w:t>
      </w:r>
      <w:r w:rsidR="007A02C0" w:rsidRPr="00E70281">
        <w:rPr>
          <w:color w:val="auto"/>
        </w:rPr>
        <w:t xml:space="preserve"> (</w:t>
      </w:r>
      <w:r w:rsidR="005621DC" w:rsidRPr="00E70281">
        <w:rPr>
          <w:color w:val="auto"/>
        </w:rPr>
        <w:t>dotted lines), 2 (dashed lines), and 5</w:t>
      </w:r>
      <w:r w:rsidR="007A02C0" w:rsidRPr="00E70281">
        <w:rPr>
          <w:color w:val="auto"/>
        </w:rPr>
        <w:t xml:space="preserve"> (</w:t>
      </w:r>
      <w:r w:rsidR="005621DC" w:rsidRPr="00E70281">
        <w:rPr>
          <w:color w:val="auto"/>
        </w:rPr>
        <w:t>solid</w:t>
      </w:r>
      <w:r w:rsidR="007A02C0" w:rsidRPr="00E70281">
        <w:rPr>
          <w:color w:val="auto"/>
        </w:rPr>
        <w:t xml:space="preserve"> lines).</w:t>
      </w:r>
    </w:p>
    <w:p w14:paraId="3F0FB003" w14:textId="77777777" w:rsidR="00B65FED" w:rsidRPr="00E70281" w:rsidRDefault="00B65FED" w:rsidP="00B65FED"/>
    <w:p w14:paraId="7165087F" w14:textId="02C61903" w:rsidR="006F13AF" w:rsidRPr="00E70281" w:rsidRDefault="006F13AF" w:rsidP="00E830CC">
      <w:pPr>
        <w:pStyle w:val="Heading2"/>
      </w:pPr>
      <w:r w:rsidRPr="00E70281">
        <w:t>Example applications</w:t>
      </w:r>
    </w:p>
    <w:p w14:paraId="3C056AE8" w14:textId="77777777" w:rsidR="006F13AF" w:rsidRPr="00E70281" w:rsidRDefault="006F13AF" w:rsidP="006F13AF">
      <w:pPr>
        <w:rPr>
          <w:color w:val="auto"/>
        </w:rPr>
      </w:pPr>
    </w:p>
    <w:p w14:paraId="7E2B825D" w14:textId="542E60C6" w:rsidR="000B7211" w:rsidRPr="00E70281" w:rsidRDefault="00343C54" w:rsidP="006F13AF">
      <w:pPr>
        <w:pStyle w:val="Heading3"/>
        <w:numPr>
          <w:ilvl w:val="0"/>
          <w:numId w:val="0"/>
        </w:numPr>
        <w:ind w:left="1080"/>
        <w:rPr>
          <w:color w:val="auto"/>
        </w:rPr>
      </w:pPr>
      <w:r w:rsidRPr="00E70281">
        <w:rPr>
          <w:color w:val="auto"/>
        </w:rPr>
        <w:t xml:space="preserve">Application 1: </w:t>
      </w:r>
      <w:r w:rsidR="009B72AD" w:rsidRPr="009B72AD">
        <w:rPr>
          <w:color w:val="FF0000"/>
        </w:rPr>
        <w:t>Improved</w:t>
      </w:r>
      <w:r w:rsidR="00962BB3" w:rsidRPr="009B72AD">
        <w:rPr>
          <w:color w:val="FF0000"/>
        </w:rPr>
        <w:t xml:space="preserve"> </w:t>
      </w:r>
      <w:r w:rsidR="00962BB3" w:rsidRPr="00E70281">
        <w:rPr>
          <w:color w:val="auto"/>
        </w:rPr>
        <w:t>pre</w:t>
      </w:r>
      <w:r w:rsidR="00404BA9">
        <w:rPr>
          <w:color w:val="auto"/>
        </w:rPr>
        <w:t xml:space="preserve">dictive </w:t>
      </w:r>
      <w:r w:rsidR="00404BA9" w:rsidRPr="00404BA9">
        <w:rPr>
          <w:color w:val="FF0000"/>
        </w:rPr>
        <w:t>capabilities</w:t>
      </w:r>
      <w:r w:rsidR="00962BB3" w:rsidRPr="00404BA9">
        <w:rPr>
          <w:color w:val="FF0000"/>
        </w:rPr>
        <w:t xml:space="preserve"> </w:t>
      </w:r>
      <w:r w:rsidR="009B72AD" w:rsidRPr="009B72AD">
        <w:rPr>
          <w:color w:val="FF0000"/>
        </w:rPr>
        <w:t>using</w:t>
      </w:r>
      <w:r w:rsidR="00962BB3" w:rsidRPr="009B72AD">
        <w:rPr>
          <w:color w:val="FF0000"/>
        </w:rPr>
        <w:t xml:space="preserve"> </w:t>
      </w:r>
      <w:r w:rsidR="00962BB3" w:rsidRPr="00E70281">
        <w:rPr>
          <w:color w:val="auto"/>
        </w:rPr>
        <w:t>the revised PSO model</w:t>
      </w:r>
    </w:p>
    <w:p w14:paraId="777F4FEB" w14:textId="35B2B35F" w:rsidR="00861337" w:rsidRPr="00E70281" w:rsidRDefault="00522448" w:rsidP="0037106F">
      <w:pPr>
        <w:rPr>
          <w:color w:val="auto"/>
        </w:rPr>
      </w:pPr>
      <w:r w:rsidRPr="00E70281">
        <w:rPr>
          <w:color w:val="auto"/>
        </w:rPr>
        <w:t xml:space="preserve">The first </w:t>
      </w:r>
      <w:r w:rsidR="00114768" w:rsidRPr="00E70281">
        <w:rPr>
          <w:color w:val="auto"/>
        </w:rPr>
        <w:t>objective</w:t>
      </w:r>
      <w:r w:rsidRPr="00E70281">
        <w:rPr>
          <w:color w:val="auto"/>
        </w:rPr>
        <w:t xml:space="preserve"> of this work was to provide a simple modification of the popular PSO model to introduce predictive capabilities, for the purpose of engineering studies </w:t>
      </w:r>
      <w:r w:rsidRPr="00E70281">
        <w:rPr>
          <w:color w:val="auto"/>
        </w:rPr>
        <w:fldChar w:fldCharType="begin" w:fldLock="1"/>
      </w:r>
      <w:r w:rsidR="003776C0" w:rsidRPr="00E70281">
        <w:rPr>
          <w:color w:val="auto"/>
        </w:rPr>
        <w:instrText>ADDIN CSL_CITATION {"citationItems":[{"id":"ITEM-1","itemData":{"DOI":"10.1016/j.jece.2020.104033","abstract":"TiO2–Fe2O3 composites show great promise for the removal of arsenic(III) from drinking water: this single material combines the photocatalytic capabilities of TiO2 for the oxidation of arsenite (i.e. As(III)) with the high adsorption capacity of iron oxides towards the arsenate (i.e. As(V)) subsequently produced. To design an effective treatment, it is necessary to balance high sorbent concentrations, providing long filter lifetimes, with low photocatalyst concentrations, to achieve effective penetration of light into the system. In this work, we construct a predictive model using experimentally determined As(III) adsorption isotherms and kinetics to estimate arsenic treatment plant lifetimes. We considered sorbent loading, treatment time, and batch treatment versus continuous-flow. Our model indicated that batch treatment is more efficient than continuous-flow at low sorbent concentrations (&lt; 100 g L−1), and therefore more appropriate for the photocatalyst-sorbent system. However, with &lt; 100 g L−1 sorbent, media should be replaced several times per year to maintain effective treatment. In contrast, slurries of &gt; 100 g L−1 sorbent could operate for an entire year without media replacement. This work highlights the important implications of sorbent concentration when we consider the multifunctional photocatalysts-sorbent system, and highlights the need for further experimental work to design efficient arsenic treatment plants.","author":[{"dropping-particle":"","family":"Bullen","given":"Jay C.","non-dropping-particle":"","parse-names":false,"suffix":""},{"dropping-particle":"","family":"Lapinee","given":"Chaipat","non-dropping-particle":"","parse-names":false,"suffix":""},{"dropping-particle":"","family":"Salaün","given":"Pascal","non-dropping-particle":"","parse-names":false,"suffix":""},{"dropping-particle":"","family":"Vilar","given":"Ramon","non-dropping-particle":"","parse-names":false,"suffix":""},{"dropping-particle":"","family":"Weiss","given":"Dominik J.","non-dropping-particle":"","parse-names":false,"suffix":""}],"container-title":"Journal of Environmental Chemical Engineering","id":"ITEM-1","issue":"5","issued":{"date-parts":[["2020"]]},"title":"On the application of photocatalyst-sorbent composite materials for arsenic(III) remediation: Insights from kinetic adsorption modelling","type":"article-journal","volume":"8"},"uris":["http://www.mendeley.com/documents/?uuid=a73cb3b1-8f50-419a-a478-0973d5ac102f"]}],"mendeley":{"formattedCitation":"&lt;sup&gt;39&lt;/sup&gt;","plainTextFormattedCitation":"39","previouslyFormattedCitation":"&lt;sup&gt;39&lt;/sup&gt;"},"properties":{"noteIndex":0},"schema":"https://github.com/citation-style-language/schema/raw/master/csl-citation.json"}</w:instrText>
      </w:r>
      <w:r w:rsidRPr="00E70281">
        <w:rPr>
          <w:color w:val="auto"/>
        </w:rPr>
        <w:fldChar w:fldCharType="separate"/>
      </w:r>
      <w:r w:rsidR="00623D96" w:rsidRPr="00E70281">
        <w:rPr>
          <w:noProof/>
          <w:color w:val="auto"/>
          <w:vertAlign w:val="superscript"/>
        </w:rPr>
        <w:t>39</w:t>
      </w:r>
      <w:r w:rsidRPr="00E70281">
        <w:rPr>
          <w:color w:val="auto"/>
        </w:rPr>
        <w:fldChar w:fldCharType="end"/>
      </w:r>
      <w:r w:rsidRPr="00E70281">
        <w:rPr>
          <w:color w:val="auto"/>
        </w:rPr>
        <w:t xml:space="preserve">. </w:t>
      </w:r>
      <w:r w:rsidR="00415626" w:rsidRPr="00E70281">
        <w:rPr>
          <w:color w:val="auto"/>
        </w:rPr>
        <w:t xml:space="preserve">If the kinetic model is to be used to predict adsorption performance under different conditions, then it is essential that the model parameters obtained experimentally </w:t>
      </w:r>
      <w:r w:rsidR="006A633B" w:rsidRPr="00E70281">
        <w:rPr>
          <w:color w:val="auto"/>
        </w:rPr>
        <w:t>are valid in a range of scenarios</w:t>
      </w:r>
      <w:r w:rsidR="00871AC4" w:rsidRPr="00E70281">
        <w:rPr>
          <w:color w:val="auto"/>
        </w:rPr>
        <w:t xml:space="preserve">. </w:t>
      </w:r>
      <w:r w:rsidR="00114768" w:rsidRPr="00E70281">
        <w:rPr>
          <w:color w:val="auto"/>
        </w:rPr>
        <w:t>Consequently, we evaluate</w:t>
      </w:r>
      <w:r w:rsidR="006A633B" w:rsidRPr="00E70281">
        <w:rPr>
          <w:color w:val="auto"/>
        </w:rPr>
        <w:t>d</w:t>
      </w:r>
      <w:r w:rsidR="00731516" w:rsidRPr="00E70281">
        <w:rPr>
          <w:color w:val="auto"/>
        </w:rPr>
        <w:t xml:space="preserve"> </w:t>
      </w:r>
      <w:r w:rsidR="006A633B" w:rsidRPr="00E70281">
        <w:rPr>
          <w:color w:val="auto"/>
        </w:rPr>
        <w:t>whether</w:t>
      </w:r>
      <w:r w:rsidR="00731516" w:rsidRPr="00E70281">
        <w:rPr>
          <w:color w:val="auto"/>
        </w:rPr>
        <w:t xml:space="preserve"> the rPSO model would provide a better fit to exper</w:t>
      </w:r>
      <w:r w:rsidR="00111C7A" w:rsidRPr="00E70281">
        <w:rPr>
          <w:color w:val="auto"/>
        </w:rPr>
        <w:t xml:space="preserve">imental data </w:t>
      </w:r>
      <w:r w:rsidR="006A633B" w:rsidRPr="00E70281">
        <w:rPr>
          <w:color w:val="auto"/>
        </w:rPr>
        <w:t>compared against</w:t>
      </w:r>
      <w:r w:rsidR="00111C7A" w:rsidRPr="00E70281">
        <w:rPr>
          <w:color w:val="auto"/>
        </w:rPr>
        <w:t xml:space="preserve"> the PSO model</w:t>
      </w:r>
      <w:r w:rsidR="006A633B" w:rsidRPr="00E70281">
        <w:rPr>
          <w:color w:val="auto"/>
        </w:rPr>
        <w:t>,</w:t>
      </w:r>
      <w:r w:rsidR="00731516" w:rsidRPr="00E70281">
        <w:rPr>
          <w:color w:val="auto"/>
        </w:rPr>
        <w:t xml:space="preserve"> if a single rate constant is used to model multiple experiments with different values of C</w:t>
      </w:r>
      <w:r w:rsidR="00731516" w:rsidRPr="00E70281">
        <w:rPr>
          <w:color w:val="auto"/>
          <w:vertAlign w:val="subscript"/>
        </w:rPr>
        <w:t>0</w:t>
      </w:r>
      <w:r w:rsidR="00731516" w:rsidRPr="00E70281">
        <w:rPr>
          <w:color w:val="auto"/>
        </w:rPr>
        <w:t xml:space="preserve"> and C</w:t>
      </w:r>
      <w:r w:rsidR="00731516" w:rsidRPr="00E70281">
        <w:rPr>
          <w:color w:val="auto"/>
          <w:vertAlign w:val="subscript"/>
        </w:rPr>
        <w:t>s</w:t>
      </w:r>
      <w:r w:rsidR="00731516" w:rsidRPr="00E70281">
        <w:rPr>
          <w:color w:val="auto"/>
        </w:rPr>
        <w:t>.</w:t>
      </w:r>
      <w:r w:rsidR="0037106F" w:rsidRPr="00E70281">
        <w:rPr>
          <w:color w:val="auto"/>
        </w:rPr>
        <w:t xml:space="preserve"> </w:t>
      </w:r>
    </w:p>
    <w:p w14:paraId="0A4F8177" w14:textId="442A398E" w:rsidR="00A604F9" w:rsidRPr="00E70281" w:rsidRDefault="00861337" w:rsidP="0037106F">
      <w:pPr>
        <w:rPr>
          <w:color w:val="FF0000"/>
        </w:rPr>
      </w:pPr>
      <w:r w:rsidRPr="00E70281">
        <w:rPr>
          <w:color w:val="auto"/>
        </w:rPr>
        <w:t>The original PSO model tends to systematic</w:t>
      </w:r>
      <w:r w:rsidR="00193F6A" w:rsidRPr="00E70281">
        <w:rPr>
          <w:color w:val="auto"/>
        </w:rPr>
        <w:t>ally overestimate</w:t>
      </w:r>
      <w:r w:rsidRPr="00E70281">
        <w:rPr>
          <w:color w:val="auto"/>
        </w:rPr>
        <w:t xml:space="preserve"> q</w:t>
      </w:r>
      <w:r w:rsidRPr="00E70281">
        <w:rPr>
          <w:color w:val="auto"/>
          <w:vertAlign w:val="subscript"/>
        </w:rPr>
        <w:t>t</w:t>
      </w:r>
      <w:r w:rsidRPr="00E70281">
        <w:rPr>
          <w:color w:val="auto"/>
        </w:rPr>
        <w:t xml:space="preserve"> for experiments with high C</w:t>
      </w:r>
      <w:r w:rsidRPr="00E70281">
        <w:rPr>
          <w:color w:val="auto"/>
          <w:vertAlign w:val="subscript"/>
        </w:rPr>
        <w:t>0</w:t>
      </w:r>
      <w:r w:rsidRPr="00E70281">
        <w:rPr>
          <w:color w:val="auto"/>
          <w:vertAlign w:val="subscript"/>
        </w:rPr>
        <w:softHyphen/>
      </w:r>
      <w:r w:rsidRPr="00E70281">
        <w:rPr>
          <w:color w:val="auto"/>
        </w:rPr>
        <w:t xml:space="preserve"> or low C</w:t>
      </w:r>
      <w:r w:rsidRPr="00E70281">
        <w:rPr>
          <w:color w:val="auto"/>
          <w:vertAlign w:val="subscript"/>
        </w:rPr>
        <w:t>s</w:t>
      </w:r>
      <w:r w:rsidRPr="00E70281">
        <w:rPr>
          <w:color w:val="auto"/>
        </w:rPr>
        <w:t xml:space="preserve"> values and </w:t>
      </w:r>
      <w:r w:rsidR="00193F6A" w:rsidRPr="00E70281">
        <w:rPr>
          <w:color w:val="auto"/>
        </w:rPr>
        <w:t>systematically underestimate q</w:t>
      </w:r>
      <w:r w:rsidR="00193F6A" w:rsidRPr="00E70281">
        <w:rPr>
          <w:color w:val="auto"/>
          <w:vertAlign w:val="subscript"/>
        </w:rPr>
        <w:t>t</w:t>
      </w:r>
      <w:r w:rsidRPr="00E70281">
        <w:rPr>
          <w:color w:val="auto"/>
        </w:rPr>
        <w:t xml:space="preserve"> </w:t>
      </w:r>
      <w:r w:rsidR="00193F6A" w:rsidRPr="00E70281">
        <w:rPr>
          <w:color w:val="auto"/>
        </w:rPr>
        <w:t xml:space="preserve">for </w:t>
      </w:r>
      <w:r w:rsidRPr="00E70281">
        <w:rPr>
          <w:color w:val="auto"/>
        </w:rPr>
        <w:t>experiments with low C</w:t>
      </w:r>
      <w:r w:rsidRPr="00E70281">
        <w:rPr>
          <w:color w:val="auto"/>
          <w:vertAlign w:val="subscript"/>
        </w:rPr>
        <w:t>0</w:t>
      </w:r>
      <w:r w:rsidRPr="00E70281">
        <w:rPr>
          <w:color w:val="auto"/>
        </w:rPr>
        <w:t xml:space="preserve"> or high C</w:t>
      </w:r>
      <w:r w:rsidRPr="00E70281">
        <w:rPr>
          <w:color w:val="auto"/>
          <w:vertAlign w:val="subscript"/>
        </w:rPr>
        <w:t>s</w:t>
      </w:r>
      <w:r w:rsidRPr="00E70281">
        <w:rPr>
          <w:color w:val="auto"/>
        </w:rPr>
        <w:t xml:space="preserve"> </w:t>
      </w:r>
      <w:r w:rsidR="006A633B" w:rsidRPr="00E70281">
        <w:rPr>
          <w:color w:val="auto"/>
        </w:rPr>
        <w:t xml:space="preserve">values </w:t>
      </w:r>
      <w:r w:rsidRPr="00E70281">
        <w:rPr>
          <w:color w:val="auto"/>
        </w:rPr>
        <w:t>(</w:t>
      </w:r>
      <w:r w:rsidRPr="00E70281">
        <w:rPr>
          <w:color w:val="auto"/>
        </w:rPr>
        <w:fldChar w:fldCharType="begin"/>
      </w:r>
      <w:r w:rsidRPr="00E70281">
        <w:rPr>
          <w:color w:val="auto"/>
        </w:rPr>
        <w:instrText xml:space="preserve"> REF _Ref61179771 \h </w:instrText>
      </w:r>
      <w:r w:rsidRPr="00E70281">
        <w:rPr>
          <w:color w:val="auto"/>
        </w:rPr>
      </w:r>
      <w:r w:rsidRPr="00E70281">
        <w:rPr>
          <w:color w:val="auto"/>
        </w:rPr>
        <w:fldChar w:fldCharType="separate"/>
      </w:r>
      <w:r w:rsidR="00D37CAD" w:rsidRPr="00E70281">
        <w:rPr>
          <w:color w:val="auto"/>
        </w:rPr>
        <w:t xml:space="preserve">Figure </w:t>
      </w:r>
      <w:r w:rsidR="00D37CAD" w:rsidRPr="00E70281">
        <w:rPr>
          <w:noProof/>
          <w:color w:val="auto"/>
        </w:rPr>
        <w:t>5</w:t>
      </w:r>
      <w:r w:rsidRPr="00E70281">
        <w:rPr>
          <w:color w:val="auto"/>
        </w:rPr>
        <w:fldChar w:fldCharType="end"/>
      </w:r>
      <w:r w:rsidRPr="00E70281">
        <w:rPr>
          <w:color w:val="auto"/>
        </w:rPr>
        <w:t xml:space="preserve">). This is due to the </w:t>
      </w:r>
      <w:r w:rsidR="00111C7A" w:rsidRPr="00E70281">
        <w:rPr>
          <w:color w:val="auto"/>
        </w:rPr>
        <w:t>negative</w:t>
      </w:r>
      <w:r w:rsidRPr="00E70281">
        <w:rPr>
          <w:color w:val="auto"/>
        </w:rPr>
        <w:t xml:space="preserve"> and </w:t>
      </w:r>
      <w:r w:rsidR="00111C7A" w:rsidRPr="00E70281">
        <w:rPr>
          <w:color w:val="auto"/>
        </w:rPr>
        <w:t>positive</w:t>
      </w:r>
      <w:r w:rsidRPr="00E70281">
        <w:rPr>
          <w:color w:val="auto"/>
        </w:rPr>
        <w:t xml:space="preserve"> relationships between k</w:t>
      </w:r>
      <w:r w:rsidRPr="00E70281">
        <w:rPr>
          <w:color w:val="auto"/>
          <w:vertAlign w:val="subscript"/>
        </w:rPr>
        <w:t>2</w:t>
      </w:r>
      <w:r w:rsidRPr="00E70281">
        <w:rPr>
          <w:color w:val="auto"/>
        </w:rPr>
        <w:t xml:space="preserve"> and C</w:t>
      </w:r>
      <w:r w:rsidRPr="00E70281">
        <w:rPr>
          <w:color w:val="auto"/>
          <w:vertAlign w:val="subscript"/>
        </w:rPr>
        <w:t>0</w:t>
      </w:r>
      <w:r w:rsidRPr="00E70281">
        <w:rPr>
          <w:color w:val="auto"/>
        </w:rPr>
        <w:t xml:space="preserve"> and C</w:t>
      </w:r>
      <w:r w:rsidRPr="00E70281">
        <w:rPr>
          <w:color w:val="auto"/>
          <w:vertAlign w:val="subscript"/>
        </w:rPr>
        <w:t>s</w:t>
      </w:r>
      <w:r w:rsidRPr="00E70281">
        <w:rPr>
          <w:color w:val="auto"/>
        </w:rPr>
        <w:t xml:space="preserve"> respectively as previously discussed</w:t>
      </w:r>
      <w:r w:rsidR="00111C7A" w:rsidRPr="00E70281">
        <w:rPr>
          <w:color w:val="auto"/>
        </w:rPr>
        <w:t xml:space="preserve">, </w:t>
      </w:r>
      <w:r w:rsidR="006A633B" w:rsidRPr="00E70281">
        <w:rPr>
          <w:color w:val="auto"/>
        </w:rPr>
        <w:t>with this relationship being</w:t>
      </w:r>
      <w:r w:rsidR="00111C7A" w:rsidRPr="00E70281">
        <w:rPr>
          <w:color w:val="auto"/>
        </w:rPr>
        <w:t xml:space="preserve"> denied when a single value of k</w:t>
      </w:r>
      <w:r w:rsidR="00111C7A" w:rsidRPr="00E70281">
        <w:rPr>
          <w:color w:val="auto"/>
          <w:vertAlign w:val="subscript"/>
        </w:rPr>
        <w:t>2</w:t>
      </w:r>
      <w:r w:rsidR="00111C7A" w:rsidRPr="00E70281">
        <w:rPr>
          <w:color w:val="auto"/>
        </w:rPr>
        <w:t xml:space="preserve"> is used to model all experiments</w:t>
      </w:r>
      <w:r w:rsidRPr="00E70281">
        <w:rPr>
          <w:color w:val="auto"/>
        </w:rPr>
        <w:t xml:space="preserve">. </w:t>
      </w:r>
      <w:bookmarkStart w:id="42" w:name="_Hlk61258873"/>
      <w:bookmarkStart w:id="43" w:name="_Hlk63432990"/>
      <w:r w:rsidRPr="00E70281">
        <w:rPr>
          <w:color w:val="auto"/>
        </w:rPr>
        <w:t xml:space="preserve">The rPSO model </w:t>
      </w:r>
      <w:r w:rsidR="00945BA7" w:rsidRPr="00E70281">
        <w:rPr>
          <w:color w:val="FF0000"/>
        </w:rPr>
        <w:t>gives</w:t>
      </w:r>
      <w:r w:rsidRPr="00E70281">
        <w:rPr>
          <w:color w:val="FF0000"/>
        </w:rPr>
        <w:t xml:space="preserve"> </w:t>
      </w:r>
      <w:r w:rsidRPr="00E70281">
        <w:rPr>
          <w:color w:val="auto"/>
        </w:rPr>
        <w:t>a better fit to experimental data (</w:t>
      </w:r>
      <w:r w:rsidR="00193F6A" w:rsidRPr="00E70281">
        <w:rPr>
          <w:color w:val="auto"/>
        </w:rPr>
        <w:t>i.e. a smaller</w:t>
      </w:r>
      <w:r w:rsidRPr="00E70281">
        <w:rPr>
          <w:color w:val="auto"/>
        </w:rPr>
        <w:t xml:space="preserve"> sum of squared residuals) in 5 of the 6 data sets tested</w:t>
      </w:r>
      <w:r w:rsidR="000B2499" w:rsidRPr="00E70281">
        <w:rPr>
          <w:color w:val="auto"/>
        </w:rPr>
        <w:t xml:space="preserve"> </w:t>
      </w:r>
      <w:r w:rsidR="000B2499" w:rsidRPr="00E70281">
        <w:rPr>
          <w:color w:val="FF0000"/>
        </w:rPr>
        <w:t xml:space="preserve">(all panels in </w:t>
      </w:r>
      <w:r w:rsidR="000B2499" w:rsidRPr="00E70281">
        <w:rPr>
          <w:color w:val="FF0000"/>
        </w:rPr>
        <w:fldChar w:fldCharType="begin"/>
      </w:r>
      <w:r w:rsidR="000B2499" w:rsidRPr="00E70281">
        <w:rPr>
          <w:color w:val="FF0000"/>
        </w:rPr>
        <w:instrText xml:space="preserve"> REF _Ref61179771 \h </w:instrText>
      </w:r>
      <w:r w:rsidR="000B2499" w:rsidRPr="00E70281">
        <w:rPr>
          <w:color w:val="FF0000"/>
        </w:rPr>
      </w:r>
      <w:r w:rsidR="000B2499" w:rsidRPr="00E70281">
        <w:rPr>
          <w:color w:val="FF0000"/>
        </w:rPr>
        <w:fldChar w:fldCharType="separate"/>
      </w:r>
      <w:r w:rsidR="000B2499" w:rsidRPr="00E70281">
        <w:rPr>
          <w:color w:val="FF0000"/>
        </w:rPr>
        <w:t xml:space="preserve">Figure </w:t>
      </w:r>
      <w:r w:rsidR="000B2499" w:rsidRPr="00E70281">
        <w:rPr>
          <w:noProof/>
          <w:color w:val="FF0000"/>
        </w:rPr>
        <w:t>5</w:t>
      </w:r>
      <w:r w:rsidR="000B2499" w:rsidRPr="00E70281">
        <w:rPr>
          <w:color w:val="FF0000"/>
        </w:rPr>
        <w:fldChar w:fldCharType="end"/>
      </w:r>
      <w:r w:rsidR="000B2499" w:rsidRPr="00E70281">
        <w:rPr>
          <w:color w:val="FF0000"/>
        </w:rPr>
        <w:t xml:space="preserve"> except d)</w:t>
      </w:r>
      <w:r w:rsidR="00CC19A3">
        <w:rPr>
          <w:color w:val="FF0000"/>
        </w:rPr>
        <w:t>.</w:t>
      </w:r>
      <w:r w:rsidRPr="00E70281">
        <w:rPr>
          <w:color w:val="FF0000"/>
        </w:rPr>
        <w:t xml:space="preserve"> </w:t>
      </w:r>
      <w:r w:rsidR="00CC19A3" w:rsidRPr="00CC19A3">
        <w:rPr>
          <w:color w:val="FF0000"/>
        </w:rPr>
        <w:t>T</w:t>
      </w:r>
      <w:r w:rsidR="00A604F9" w:rsidRPr="00CC19A3">
        <w:rPr>
          <w:color w:val="FF0000"/>
        </w:rPr>
        <w:t xml:space="preserve">he </w:t>
      </w:r>
      <w:r w:rsidR="00A604F9" w:rsidRPr="00E70281">
        <w:rPr>
          <w:color w:val="FF0000"/>
        </w:rPr>
        <w:t xml:space="preserve">median </w:t>
      </w:r>
      <w:r w:rsidR="002D69F5" w:rsidRPr="00E70281">
        <w:rPr>
          <w:color w:val="FF0000"/>
        </w:rPr>
        <w:t>value of</w:t>
      </w:r>
      <w:r w:rsidR="00A604F9" w:rsidRPr="00E70281">
        <w:rPr>
          <w:color w:val="FF0000"/>
        </w:rPr>
        <w:t xml:space="preserve"> </w:t>
      </w:r>
      <w:r w:rsidR="00A604F9" w:rsidRPr="00E70281">
        <w:rPr>
          <w:color w:val="auto"/>
        </w:rPr>
        <w:t>the sum of squared residuals</w:t>
      </w:r>
      <w:r w:rsidR="00560560" w:rsidRPr="00E70281">
        <w:rPr>
          <w:color w:val="auto"/>
        </w:rPr>
        <w:t xml:space="preserve"> </w:t>
      </w:r>
      <w:r w:rsidR="00560560" w:rsidRPr="00E70281">
        <w:rPr>
          <w:color w:val="FF0000"/>
        </w:rPr>
        <w:t>decreased by 66%</w:t>
      </w:r>
      <w:r w:rsidR="0037106F" w:rsidRPr="00E70281">
        <w:rPr>
          <w:color w:val="FF0000"/>
        </w:rPr>
        <w:t xml:space="preserve"> when changing from the PSO</w:t>
      </w:r>
      <w:r w:rsidR="00CC19A3">
        <w:rPr>
          <w:color w:val="FF0000"/>
        </w:rPr>
        <w:t xml:space="preserve"> model</w:t>
      </w:r>
      <w:r w:rsidR="0037106F" w:rsidRPr="00E70281">
        <w:rPr>
          <w:color w:val="FF0000"/>
        </w:rPr>
        <w:t xml:space="preserve"> to</w:t>
      </w:r>
      <w:r w:rsidR="00885CA9" w:rsidRPr="00E70281">
        <w:rPr>
          <w:color w:val="FF0000"/>
        </w:rPr>
        <w:t xml:space="preserve"> the</w:t>
      </w:r>
      <w:r w:rsidR="0037106F" w:rsidRPr="00E70281">
        <w:rPr>
          <w:color w:val="FF0000"/>
        </w:rPr>
        <w:t xml:space="preserve"> rPSO model</w:t>
      </w:r>
      <w:bookmarkEnd w:id="42"/>
      <w:r w:rsidR="00560560" w:rsidRPr="00E70281">
        <w:rPr>
          <w:color w:val="FF0000"/>
        </w:rPr>
        <w:t>.</w:t>
      </w:r>
    </w:p>
    <w:bookmarkEnd w:id="43"/>
    <w:p w14:paraId="37C3CB09" w14:textId="6EF78133" w:rsidR="00D07FF8" w:rsidRPr="00E70281" w:rsidRDefault="00D07FF8">
      <w:pPr>
        <w:spacing w:after="200"/>
        <w:jc w:val="left"/>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8"/>
      </w:tblGrid>
      <w:tr w:rsidR="002900BA" w:rsidRPr="00E70281" w14:paraId="57CB4F88" w14:textId="77777777" w:rsidTr="00E45B3C">
        <w:trPr>
          <w:cantSplit/>
        </w:trPr>
        <w:tc>
          <w:tcPr>
            <w:tcW w:w="4508" w:type="dxa"/>
          </w:tcPr>
          <w:p w14:paraId="76878BB9" w14:textId="5AA592AE" w:rsidR="002900BA" w:rsidRPr="00E70281" w:rsidRDefault="002900BA" w:rsidP="00876396">
            <w:pPr>
              <w:rPr>
                <w:color w:val="auto"/>
              </w:rPr>
            </w:pPr>
            <w:r w:rsidRPr="00E70281">
              <w:rPr>
                <w:color w:val="auto"/>
              </w:rPr>
              <w:t>(a)</w:t>
            </w:r>
            <w:r w:rsidR="00876396" w:rsidRPr="00E70281">
              <w:rPr>
                <w:color w:val="auto"/>
              </w:rPr>
              <w:br/>
            </w:r>
            <w:r w:rsidR="00E45B3C" w:rsidRPr="00E70281">
              <w:rPr>
                <w:noProof/>
                <w:color w:val="auto"/>
              </w:rPr>
              <w:drawing>
                <wp:inline distT="0" distB="0" distL="0" distR="0" wp14:anchorId="20B16A4F" wp14:editId="19C02024">
                  <wp:extent cx="2583712" cy="257221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2798" r="3251" b="3101"/>
                          <a:stretch/>
                        </pic:blipFill>
                        <pic:spPr bwMode="auto">
                          <a:xfrm>
                            <a:off x="0" y="0"/>
                            <a:ext cx="2597146" cy="2585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8" w:type="dxa"/>
          </w:tcPr>
          <w:p w14:paraId="49082048" w14:textId="19E41FFC" w:rsidR="002900BA" w:rsidRPr="00E70281" w:rsidRDefault="002900BA" w:rsidP="00876396">
            <w:pPr>
              <w:rPr>
                <w:color w:val="auto"/>
              </w:rPr>
            </w:pPr>
            <w:r w:rsidRPr="00E70281">
              <w:rPr>
                <w:color w:val="auto"/>
              </w:rPr>
              <w:t>(b)</w:t>
            </w:r>
            <w:r w:rsidR="00876396" w:rsidRPr="00E70281">
              <w:rPr>
                <w:color w:val="auto"/>
              </w:rPr>
              <w:br/>
            </w:r>
            <w:r w:rsidR="008D1DFF" w:rsidRPr="00E70281">
              <w:rPr>
                <w:noProof/>
                <w:color w:val="auto"/>
              </w:rPr>
              <w:drawing>
                <wp:inline distT="0" distB="0" distL="0" distR="0" wp14:anchorId="6D00ACB1" wp14:editId="5016DBA9">
                  <wp:extent cx="2690037" cy="253110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4631" b="4053"/>
                          <a:stretch/>
                        </pic:blipFill>
                        <pic:spPr bwMode="auto">
                          <a:xfrm>
                            <a:off x="0" y="0"/>
                            <a:ext cx="2704439" cy="25446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00BA" w:rsidRPr="00E70281" w14:paraId="555A06CE" w14:textId="77777777" w:rsidTr="001B6AC8">
        <w:trPr>
          <w:cantSplit/>
        </w:trPr>
        <w:tc>
          <w:tcPr>
            <w:tcW w:w="4508" w:type="dxa"/>
          </w:tcPr>
          <w:p w14:paraId="2DB70B65" w14:textId="64FE1ADF" w:rsidR="002900BA" w:rsidRPr="00E70281" w:rsidRDefault="002900BA" w:rsidP="00876396">
            <w:pPr>
              <w:rPr>
                <w:color w:val="auto"/>
              </w:rPr>
            </w:pPr>
            <w:r w:rsidRPr="00E70281">
              <w:rPr>
                <w:color w:val="auto"/>
              </w:rPr>
              <w:lastRenderedPageBreak/>
              <w:t>(</w:t>
            </w:r>
            <w:r w:rsidR="00611A98" w:rsidRPr="00E70281">
              <w:rPr>
                <w:color w:val="auto"/>
              </w:rPr>
              <w:t>c</w:t>
            </w:r>
            <w:r w:rsidRPr="00E70281">
              <w:rPr>
                <w:color w:val="auto"/>
              </w:rPr>
              <w:t>)</w:t>
            </w:r>
            <w:r w:rsidR="00876396" w:rsidRPr="00E70281">
              <w:rPr>
                <w:color w:val="auto"/>
              </w:rPr>
              <w:br/>
            </w:r>
            <w:r w:rsidR="001B6AC8" w:rsidRPr="00E70281">
              <w:rPr>
                <w:noProof/>
                <w:color w:val="auto"/>
              </w:rPr>
              <w:drawing>
                <wp:inline distT="0" distB="0" distL="0" distR="0" wp14:anchorId="153BE757" wp14:editId="21585B65">
                  <wp:extent cx="2658140" cy="257391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3574" b="3410"/>
                          <a:stretch/>
                        </pic:blipFill>
                        <pic:spPr bwMode="auto">
                          <a:xfrm>
                            <a:off x="0" y="0"/>
                            <a:ext cx="2669483" cy="2584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8" w:type="dxa"/>
          </w:tcPr>
          <w:p w14:paraId="623CE640" w14:textId="27213454" w:rsidR="002900BA" w:rsidRPr="00E70281" w:rsidRDefault="00611A98" w:rsidP="00876396">
            <w:pPr>
              <w:rPr>
                <w:color w:val="auto"/>
              </w:rPr>
            </w:pPr>
            <w:r w:rsidRPr="00E70281">
              <w:rPr>
                <w:color w:val="auto"/>
              </w:rPr>
              <w:t>(d</w:t>
            </w:r>
            <w:r w:rsidR="002900BA" w:rsidRPr="00E70281">
              <w:rPr>
                <w:color w:val="auto"/>
              </w:rPr>
              <w:t>)</w:t>
            </w:r>
            <w:r w:rsidR="00876396" w:rsidRPr="00E70281">
              <w:rPr>
                <w:color w:val="auto"/>
              </w:rPr>
              <w:br/>
            </w:r>
            <w:r w:rsidR="001B6AC8" w:rsidRPr="00E70281">
              <w:rPr>
                <w:noProof/>
                <w:color w:val="auto"/>
              </w:rPr>
              <w:drawing>
                <wp:inline distT="0" distB="0" distL="0" distR="0" wp14:anchorId="4ADFF38A" wp14:editId="002A7C19">
                  <wp:extent cx="2646780" cy="257365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3972" b="3244"/>
                          <a:stretch/>
                        </pic:blipFill>
                        <pic:spPr bwMode="auto">
                          <a:xfrm>
                            <a:off x="0" y="0"/>
                            <a:ext cx="2658159" cy="2584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00BA" w:rsidRPr="00E70281" w14:paraId="77E273EE" w14:textId="77777777" w:rsidTr="001B6AC8">
        <w:trPr>
          <w:cantSplit/>
        </w:trPr>
        <w:tc>
          <w:tcPr>
            <w:tcW w:w="4508" w:type="dxa"/>
          </w:tcPr>
          <w:p w14:paraId="79C3F9B4" w14:textId="1355EAE4" w:rsidR="002900BA" w:rsidRPr="00E70281" w:rsidRDefault="00611A98" w:rsidP="00876396">
            <w:pPr>
              <w:rPr>
                <w:color w:val="auto"/>
              </w:rPr>
            </w:pPr>
            <w:r w:rsidRPr="00E70281">
              <w:rPr>
                <w:color w:val="auto"/>
              </w:rPr>
              <w:t>(e</w:t>
            </w:r>
            <w:r w:rsidR="002900BA" w:rsidRPr="00E70281">
              <w:rPr>
                <w:color w:val="auto"/>
              </w:rPr>
              <w:t>)</w:t>
            </w:r>
            <w:r w:rsidR="00876396" w:rsidRPr="00E70281">
              <w:rPr>
                <w:color w:val="auto"/>
              </w:rPr>
              <w:br/>
            </w:r>
            <w:r w:rsidR="008E2D48" w:rsidRPr="00E70281">
              <w:rPr>
                <w:noProof/>
                <w:color w:val="auto"/>
              </w:rPr>
              <w:drawing>
                <wp:inline distT="0" distB="0" distL="0" distR="0" wp14:anchorId="750493BF" wp14:editId="366DB85B">
                  <wp:extent cx="2636875" cy="25566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2871" b="4273"/>
                          <a:stretch/>
                        </pic:blipFill>
                        <pic:spPr bwMode="auto">
                          <a:xfrm>
                            <a:off x="0" y="0"/>
                            <a:ext cx="2654211" cy="2573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8" w:type="dxa"/>
          </w:tcPr>
          <w:p w14:paraId="6E4F6BAB" w14:textId="239BCC1E" w:rsidR="002900BA" w:rsidRPr="00E70281" w:rsidRDefault="002900BA" w:rsidP="00876396">
            <w:pPr>
              <w:rPr>
                <w:color w:val="auto"/>
              </w:rPr>
            </w:pPr>
            <w:r w:rsidRPr="00E70281">
              <w:rPr>
                <w:color w:val="auto"/>
              </w:rPr>
              <w:t>(</w:t>
            </w:r>
            <w:r w:rsidR="00611A98" w:rsidRPr="00E70281">
              <w:rPr>
                <w:color w:val="auto"/>
              </w:rPr>
              <w:t>f</w:t>
            </w:r>
            <w:r w:rsidRPr="00E70281">
              <w:rPr>
                <w:color w:val="auto"/>
              </w:rPr>
              <w:t>)</w:t>
            </w:r>
            <w:r w:rsidR="00876396" w:rsidRPr="00E70281">
              <w:rPr>
                <w:color w:val="auto"/>
              </w:rPr>
              <w:br/>
            </w:r>
            <w:r w:rsidR="001B6AC8" w:rsidRPr="00E70281">
              <w:rPr>
                <w:noProof/>
                <w:color w:val="auto"/>
              </w:rPr>
              <w:drawing>
                <wp:inline distT="0" distB="0" distL="0" distR="0" wp14:anchorId="0438CC80" wp14:editId="07F6D97F">
                  <wp:extent cx="2619801" cy="25411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3992" b="3841"/>
                          <a:stretch/>
                        </pic:blipFill>
                        <pic:spPr bwMode="auto">
                          <a:xfrm>
                            <a:off x="0" y="0"/>
                            <a:ext cx="2628011" cy="254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19F9D4" w14:textId="112CFC31" w:rsidR="001B6AC8" w:rsidRPr="00E70281" w:rsidRDefault="002900BA" w:rsidP="00D07FF8">
      <w:pPr>
        <w:pStyle w:val="Caption"/>
        <w:rPr>
          <w:color w:val="auto"/>
        </w:rPr>
      </w:pPr>
      <w:bookmarkStart w:id="44" w:name="_Ref61179771"/>
      <w:r w:rsidRPr="00E70281">
        <w:rPr>
          <w:color w:val="auto"/>
        </w:rPr>
        <w:t xml:space="preserve">Figure </w:t>
      </w:r>
      <w:r w:rsidRPr="00E70281">
        <w:rPr>
          <w:color w:val="auto"/>
        </w:rPr>
        <w:fldChar w:fldCharType="begin"/>
      </w:r>
      <w:r w:rsidRPr="00E70281">
        <w:rPr>
          <w:color w:val="auto"/>
        </w:rPr>
        <w:instrText xml:space="preserve"> SEQ Figure \* ARABIC </w:instrText>
      </w:r>
      <w:r w:rsidRPr="00E70281">
        <w:rPr>
          <w:color w:val="auto"/>
        </w:rPr>
        <w:fldChar w:fldCharType="separate"/>
      </w:r>
      <w:r w:rsidR="00D37CAD" w:rsidRPr="00E70281">
        <w:rPr>
          <w:noProof/>
          <w:color w:val="auto"/>
        </w:rPr>
        <w:t>5</w:t>
      </w:r>
      <w:r w:rsidRPr="00E70281">
        <w:rPr>
          <w:color w:val="auto"/>
        </w:rPr>
        <w:fldChar w:fldCharType="end"/>
      </w:r>
      <w:bookmarkEnd w:id="44"/>
      <w:r w:rsidRPr="00E70281">
        <w:rPr>
          <w:color w:val="auto"/>
        </w:rPr>
        <w:t xml:space="preserve">: </w:t>
      </w:r>
      <w:r w:rsidR="00C26839" w:rsidRPr="00E70281">
        <w:rPr>
          <w:color w:val="auto"/>
        </w:rPr>
        <w:t xml:space="preserve">Application study 1: </w:t>
      </w:r>
      <w:r w:rsidR="00CC19A3" w:rsidRPr="00CC19A3">
        <w:rPr>
          <w:color w:val="FF0000"/>
        </w:rPr>
        <w:t>Using</w:t>
      </w:r>
      <w:r w:rsidR="002221CF" w:rsidRPr="00CC19A3">
        <w:rPr>
          <w:color w:val="FF0000"/>
        </w:rPr>
        <w:t xml:space="preserve"> </w:t>
      </w:r>
      <w:r w:rsidR="002221CF" w:rsidRPr="00E70281">
        <w:rPr>
          <w:color w:val="auto"/>
        </w:rPr>
        <w:t xml:space="preserve">the revised PSO (rPSO) model </w:t>
      </w:r>
      <w:r w:rsidR="00885CA9" w:rsidRPr="00E70281">
        <w:rPr>
          <w:color w:val="auto"/>
        </w:rPr>
        <w:t xml:space="preserve">(solid lines) </w:t>
      </w:r>
      <w:r w:rsidR="002221CF" w:rsidRPr="00E70281">
        <w:rPr>
          <w:color w:val="auto"/>
        </w:rPr>
        <w:t>to describe multiple experiments with a single rate constant</w:t>
      </w:r>
      <w:r w:rsidR="00885CA9" w:rsidRPr="00E70281">
        <w:rPr>
          <w:color w:val="auto"/>
        </w:rPr>
        <w:t>, compared against the original PSO model (dotted lines). (</w:t>
      </w:r>
      <w:proofErr w:type="spellStart"/>
      <w:proofErr w:type="gramStart"/>
      <w:r w:rsidR="00885CA9" w:rsidRPr="00E70281">
        <w:rPr>
          <w:color w:val="auto"/>
        </w:rPr>
        <w:t>a,b</w:t>
      </w:r>
      <w:proofErr w:type="gramEnd"/>
      <w:r w:rsidR="00885CA9" w:rsidRPr="00E70281">
        <w:rPr>
          <w:color w:val="auto"/>
        </w:rPr>
        <w:t>,c</w:t>
      </w:r>
      <w:proofErr w:type="spellEnd"/>
      <w:r w:rsidR="00885CA9" w:rsidRPr="00E70281">
        <w:rPr>
          <w:color w:val="auto"/>
        </w:rPr>
        <w:t xml:space="preserve">) present </w:t>
      </w:r>
      <w:r w:rsidR="00731516" w:rsidRPr="00E70281">
        <w:rPr>
          <w:color w:val="auto"/>
        </w:rPr>
        <w:t>3 experiments where C</w:t>
      </w:r>
      <w:r w:rsidR="00731516" w:rsidRPr="00E70281">
        <w:rPr>
          <w:color w:val="auto"/>
          <w:vertAlign w:val="subscript"/>
        </w:rPr>
        <w:t>0</w:t>
      </w:r>
      <w:r w:rsidR="00731516" w:rsidRPr="00E70281">
        <w:rPr>
          <w:color w:val="auto"/>
        </w:rPr>
        <w:t xml:space="preserve"> is varied</w:t>
      </w:r>
      <w:r w:rsidR="00885CA9" w:rsidRPr="00E70281">
        <w:rPr>
          <w:color w:val="auto"/>
        </w:rPr>
        <w:t>, and (</w:t>
      </w:r>
      <w:proofErr w:type="spellStart"/>
      <w:r w:rsidR="00885CA9" w:rsidRPr="00E70281">
        <w:rPr>
          <w:color w:val="auto"/>
        </w:rPr>
        <w:t>d,e,f</w:t>
      </w:r>
      <w:proofErr w:type="spellEnd"/>
      <w:r w:rsidR="00885CA9" w:rsidRPr="00E70281">
        <w:rPr>
          <w:color w:val="auto"/>
        </w:rPr>
        <w:t xml:space="preserve">) present </w:t>
      </w:r>
      <w:r w:rsidR="00731516" w:rsidRPr="00E70281">
        <w:rPr>
          <w:color w:val="auto"/>
        </w:rPr>
        <w:t>3 experiments where C</w:t>
      </w:r>
      <w:r w:rsidR="00731516" w:rsidRPr="00E70281">
        <w:rPr>
          <w:color w:val="auto"/>
          <w:vertAlign w:val="subscript"/>
        </w:rPr>
        <w:t>s</w:t>
      </w:r>
      <w:r w:rsidR="00731516" w:rsidRPr="00E70281">
        <w:rPr>
          <w:color w:val="auto"/>
        </w:rPr>
        <w:t xml:space="preserve"> is varied.</w:t>
      </w:r>
      <w:r w:rsidR="00D07FF8" w:rsidRPr="00E70281">
        <w:rPr>
          <w:color w:val="auto"/>
        </w:rPr>
        <w:t xml:space="preserve"> </w:t>
      </w:r>
      <w:r w:rsidR="001B6AC8" w:rsidRPr="00E70281">
        <w:rPr>
          <w:color w:val="auto"/>
        </w:rPr>
        <w:t xml:space="preserve">Experimental data was </w:t>
      </w:r>
      <w:r w:rsidR="00B91457" w:rsidRPr="00B91457">
        <w:rPr>
          <w:color w:val="FF0000"/>
        </w:rPr>
        <w:t>collected</w:t>
      </w:r>
      <w:r w:rsidR="001B6AC8" w:rsidRPr="00B91457">
        <w:rPr>
          <w:color w:val="FF0000"/>
        </w:rPr>
        <w:t xml:space="preserve"> </w:t>
      </w:r>
      <w:r w:rsidR="001B6AC8" w:rsidRPr="00E70281">
        <w:rPr>
          <w:color w:val="auto"/>
        </w:rPr>
        <w:t xml:space="preserve">from Manna et al. (2003) </w:t>
      </w:r>
      <w:r w:rsidR="001B6AC8" w:rsidRPr="00E70281">
        <w:rPr>
          <w:color w:val="auto"/>
        </w:rPr>
        <w:fldChar w:fldCharType="begin" w:fldLock="1"/>
      </w:r>
      <w:r w:rsidR="003776C0" w:rsidRPr="00E70281">
        <w:rPr>
          <w:color w:val="auto"/>
        </w:rPr>
        <w:instrText>ADDIN CSL_CITATION {"citationItems":[{"id":"ITEM-1","itemData":{"DOI":"10.2166/wqrj.2003.013","ISSN":"12013080","abstract":"Synthesis of crystalline hydrous ferric oxide (CHFO), a modified iron-based adsorbent, and its arsenic sorption behaviour have been reported. Here, the effects of pH with variation of arsenic concentrations, contact time, pre-drying of CHFO, competition of some other anions and regeneration of arsenic-saturated CHFO are conducted by batch method. The sorption of As(V) is highly dependent on the concentration and pH of the experimental system, while that for As(III) is pH insensitive. As(III) is found to require less contact time to attain equilibrium than that of arsenic(V). Pre-drying of CHFO in the temperature range of 200 to 300°C is found to be effective in removing both As(III) and As(V). Adsorption kinetics follow the first-order Lagergren model. The equilibrium data conform to the Langmuir isotherm. Evaluated Langmuir constants and equilibrium parameter (RL) indicate that CHFO is a better As(III) adsorbent under experimental conditions. Sulphate, phosphate and bicarbonate compete poorly with As(III) sorption. A field test using CHFO-packed fixed-bed column is reported. Effluent water bed volumes of 14,000, 11,000 and 9000 BV (arsenic ≤ 0.01 mg L-1) were obtained in the first, second and third cycle of operation from a groundwater sample (arsenic content: 320-400 μg L-1). Regeneration of the exhausted column was achieved with up to 80 to 85% efficiency using 3 BV of 5 M NaOH solution recycled through the column five times. Arsenic was recovered as As2S3 from the regenerates, to avoid recycling of arsenic into the environment.","author":[{"dropping-particle":"","family":"Manna","given":"Biswa Ranjan","non-dropping-particle":"","parse-names":false,"suffix":""},{"dropping-particle":"","family":"Dey","given":"Soumen","non-dropping-particle":"","parse-names":false,"suffix":""},{"dropping-particle":"","family":"Debnath","given":"Sushanta","non-dropping-particle":"","parse-names":false,"suffix":""},{"dropping-particle":"","family":"Ghosh","given":"Uday Chand","non-dropping-particle":"","parse-names":false,"suffix":""}],"container-title":"Water Quality Research Journal of Canada","id":"ITEM-1","issue":"1","issued":{"date-parts":[["2003"]]},"page":"193-210","title":"Removal of arsenic from groundwater using crystalline hydrous ferric oxide (CHFO)","type":"article-journal","volume":"38"},"uris":["http://www.mendeley.com/documents/?uuid=741bb118-502e-42b2-a76a-096025aa5107"]}],"mendeley":{"formattedCitation":"&lt;sup&gt;40&lt;/sup&gt;","plainTextFormattedCitation":"40","previouslyFormattedCitation":"&lt;sup&gt;40&lt;/sup&gt;"},"properties":{"noteIndex":0},"schema":"https://github.com/citation-style-language/schema/raw/master/csl-citation.json"}</w:instrText>
      </w:r>
      <w:r w:rsidR="001B6AC8" w:rsidRPr="00E70281">
        <w:rPr>
          <w:color w:val="auto"/>
        </w:rPr>
        <w:fldChar w:fldCharType="separate"/>
      </w:r>
      <w:r w:rsidR="00623D96" w:rsidRPr="00E70281">
        <w:rPr>
          <w:i w:val="0"/>
          <w:noProof/>
          <w:color w:val="auto"/>
          <w:vertAlign w:val="superscript"/>
        </w:rPr>
        <w:t>40</w:t>
      </w:r>
      <w:r w:rsidR="001B6AC8" w:rsidRPr="00E70281">
        <w:rPr>
          <w:color w:val="auto"/>
        </w:rPr>
        <w:fldChar w:fldCharType="end"/>
      </w:r>
      <w:r w:rsidR="001B6AC8" w:rsidRPr="00E70281">
        <w:rPr>
          <w:color w:val="auto"/>
        </w:rPr>
        <w:t xml:space="preserve">, Singh et al. (1996) </w:t>
      </w:r>
      <w:r w:rsidR="001B6AC8" w:rsidRPr="00E70281">
        <w:rPr>
          <w:color w:val="auto"/>
        </w:rPr>
        <w:fldChar w:fldCharType="begin" w:fldLock="1"/>
      </w:r>
      <w:r w:rsidR="003776C0" w:rsidRPr="00E70281">
        <w:rPr>
          <w:color w:val="auto"/>
        </w:rPr>
        <w:instrText>ADDIN CSL_CITATION {"citationItems":[{"id":"ITEM-1","itemData":{"DOI":"10.1016/0927-7757(95)03468-4","ISSN":"09277757","abstract":"Unconventional adsorbents like hematite and feldspar have been employed for the removal of AS(V) from aqueous system. The effect of important parameters like solute concentration, detention time, pH, temperature, agitation rate and particle size of the adsorbent has been addressed. The process of uptake follows first-order kinetics and the data fit the Langmuir isotherm. Mass-transfer coefficients and diffusion coefficients have also been determined to study the dynamics of transport. The pH of the system has been found to play a key role in the uptake. The maximum removal was found to be 100% with hematite and 97% with feldspar under optimum conditions at 13.35 μmol L-1 arsenic concentration. The data were subjected to multiple-regression analysis and a model has been developed to predict the uptake capacity of the adsorbents under given boundary conditions.","author":[{"dropping-particle":"","family":"Singh","given":"D. B.","non-dropping-particle":"","parse-names":false,"suffix":""},{"dropping-particle":"","family":"Prasad","given":"G.","non-dropping-particle":"","parse-names":false,"suffix":""},{"dropping-particle":"","family":"Rupainwar","given":"D. C.","non-dropping-particle":"","parse-names":false,"suffix":""}],"container-title":"Colloids and Surfaces A: Physicochemical and Engineering Aspects","id":"ITEM-1","issue":"1-2","issued":{"date-parts":[["1996"]]},"page":"49-56","title":"Adsorption technique for the treatment of As(V)-rich effluents","type":"article-journal","volume":"111"},"uris":["http://www.mendeley.com/documents/?uuid=4404eecf-fb92-4f2f-8a1a-6a61134adc1d"]}],"mendeley":{"formattedCitation":"&lt;sup&gt;41&lt;/sup&gt;","plainTextFormattedCitation":"41","previouslyFormattedCitation":"&lt;sup&gt;41&lt;/sup&gt;"},"properties":{"noteIndex":0},"schema":"https://github.com/citation-style-language/schema/raw/master/csl-citation.json"}</w:instrText>
      </w:r>
      <w:r w:rsidR="001B6AC8" w:rsidRPr="00E70281">
        <w:rPr>
          <w:color w:val="auto"/>
        </w:rPr>
        <w:fldChar w:fldCharType="separate"/>
      </w:r>
      <w:r w:rsidR="00623D96" w:rsidRPr="00E70281">
        <w:rPr>
          <w:i w:val="0"/>
          <w:noProof/>
          <w:color w:val="auto"/>
          <w:vertAlign w:val="superscript"/>
        </w:rPr>
        <w:t>41</w:t>
      </w:r>
      <w:r w:rsidR="001B6AC8" w:rsidRPr="00E70281">
        <w:rPr>
          <w:color w:val="auto"/>
        </w:rPr>
        <w:fldChar w:fldCharType="end"/>
      </w:r>
      <w:r w:rsidR="001B6AC8" w:rsidRPr="00E70281">
        <w:rPr>
          <w:color w:val="auto"/>
        </w:rPr>
        <w:t xml:space="preserve">, </w:t>
      </w:r>
      <w:proofErr w:type="spellStart"/>
      <w:r w:rsidR="001B6AC8" w:rsidRPr="00E70281">
        <w:rPr>
          <w:color w:val="auto"/>
        </w:rPr>
        <w:t>Mezenner</w:t>
      </w:r>
      <w:proofErr w:type="spellEnd"/>
      <w:r w:rsidR="001B6AC8" w:rsidRPr="00E70281">
        <w:rPr>
          <w:color w:val="auto"/>
        </w:rPr>
        <w:t xml:space="preserve"> and </w:t>
      </w:r>
      <w:proofErr w:type="spellStart"/>
      <w:r w:rsidR="001B6AC8" w:rsidRPr="00E70281">
        <w:rPr>
          <w:color w:val="auto"/>
        </w:rPr>
        <w:t>Bensmaili</w:t>
      </w:r>
      <w:proofErr w:type="spellEnd"/>
      <w:r w:rsidR="001B6AC8" w:rsidRPr="00E70281">
        <w:rPr>
          <w:color w:val="auto"/>
        </w:rPr>
        <w:t xml:space="preserve"> (2009) </w:t>
      </w:r>
      <w:r w:rsidR="001B6AC8" w:rsidRPr="00E70281">
        <w:rPr>
          <w:color w:val="auto"/>
        </w:rPr>
        <w:fldChar w:fldCharType="begin" w:fldLock="1"/>
      </w:r>
      <w:r w:rsidR="003776C0" w:rsidRPr="00E70281">
        <w:rPr>
          <w:color w:val="auto"/>
        </w:rPr>
        <w:instrText>ADDIN CSL_CITATION {"citationItems":[{"id":"ITEM-1","itemData":{"DOI":"10.1016/j.cej.2008.06.024","ISSN":"13858947","abstract":"This study explored the feasibility of using waste iron hydroxide-eggshell as adsorbent for the removal of phosphate under different experimental conditions. In our experiments, the batch sorption is studied with respect to solute concentration (2.8-110 mg/L), contact time, adsorbent dose (2.5-20 g/L) and solution temperature (20-45 °C). The Langmuir, Freundlich, and Langmuir-Freundlich adsorption models were applied to experimental equilibrium data at different solution temperatures and the isotherm constants were calculated using linear regression analysis. A comparison of kinetic models applied to the adsorption of phosphate onto iron hydroxide-eggshell was evaluated for the pseudo-second-order, Elovich, intra-particle diffusion and Bangham's kinetics models. The experimental data fitted very well the pseudo-second-order kinetic model and also followed by intra-particle diffusion model up to 5 min, whereas diffusion is not only the rate-controlling step. The results show that the sorption capacity increases with an increase in solution temperature from 20 to 45 °C at the initial phosphate solution concentration of 27 mg/L. The thermodynamics parameters were evaluated. The positive value of ΔH° (81.84 kJ/mol) indicated that the adsorption of phosphate onto iron hydroxide-eggshell was endothermic, which result was supported by the increasing adsorption of phosphate with temperature. The positive value of ΔS° (0.282 kJ/mol) reflects good affinity of phosphate ions towards the waste iron hydroxide-eggshell. The results have established good potentiality for the waste iron hydroxide-eggshell particles to be used as a sorbent for the removal of phosphorus from wastewater. © 2008 Elsevier B.V. All rights reserved.","author":[{"dropping-particle":"","family":"Mezenner","given":"N. Yeddou","non-dropping-particle":"","parse-names":false,"suffix":""},{"dropping-particle":"","family":"Bensmaili","given":"A.","non-dropping-particle":"","parse-names":false,"suffix":""}],"container-title":"Chemical Engineering Journal","id":"ITEM-1","issue":"2-3","issued":{"date-parts":[["2009"]]},"page":"87-96","title":"Kinetics and thermodynamic study of phosphate adsorption on iron hydroxide-eggshell waste","type":"article-journal","volume":"147"},"uris":["http://www.mendeley.com/documents/?uuid=e6693a72-7f93-44f5-bd98-3de107f92b47"]}],"mendeley":{"formattedCitation":"&lt;sup&gt;42&lt;/sup&gt;","plainTextFormattedCitation":"42","previouslyFormattedCitation":"&lt;sup&gt;42&lt;/sup&gt;"},"properties":{"noteIndex":0},"schema":"https://github.com/citation-style-language/schema/raw/master/csl-citation.json"}</w:instrText>
      </w:r>
      <w:r w:rsidR="001B6AC8" w:rsidRPr="00E70281">
        <w:rPr>
          <w:color w:val="auto"/>
        </w:rPr>
        <w:fldChar w:fldCharType="separate"/>
      </w:r>
      <w:r w:rsidR="00623D96" w:rsidRPr="00E70281">
        <w:rPr>
          <w:i w:val="0"/>
          <w:noProof/>
          <w:color w:val="auto"/>
          <w:vertAlign w:val="superscript"/>
        </w:rPr>
        <w:t>42</w:t>
      </w:r>
      <w:r w:rsidR="001B6AC8" w:rsidRPr="00E70281">
        <w:rPr>
          <w:color w:val="auto"/>
        </w:rPr>
        <w:fldChar w:fldCharType="end"/>
      </w:r>
      <w:r w:rsidR="001B6AC8" w:rsidRPr="00E70281">
        <w:rPr>
          <w:color w:val="auto"/>
        </w:rPr>
        <w:t xml:space="preserve">, Debnath et al. (2017) </w:t>
      </w:r>
      <w:r w:rsidR="008E2D48" w:rsidRPr="00E70281">
        <w:rPr>
          <w:color w:val="auto"/>
        </w:rPr>
        <w:fldChar w:fldCharType="begin" w:fldLock="1"/>
      </w:r>
      <w:r w:rsidR="003776C0" w:rsidRPr="00E70281">
        <w:rPr>
          <w:color w:val="auto"/>
        </w:rPr>
        <w:instrText>ADDIN CSL_CITATION {"citationItems":[{"id":"ITEM-1","itemData":{"DOI":"10.1080/24701556.2017.1357581","ISSN":"24701564","abstract":"Facile additive-free synthesis of hematite nanoparticles via a chemical co-precipitation technique is reported for adsorptive removal of Cr(VI) from aqueous media, and adsorption capacity as much as 43.05 mg/g at solution pH 2.0 is observed. Langmuir isotherm model was fitted nicely with adsorption experimental data, whereas kinetic studies reveal that both surface adsorption and intra-particle diffusion are involved in the adsorption mechanism. Thermodynamic studies established the favorability, spontaneity, and exothermic nature of the adsorption process. Regeneration studies revealed the stability of the adsorbent up to three consecutive cycles, indicating it as a potential adsorbent for Cr(VI)-contaminated wastewater remediation.","author":[{"dropping-particle":"","family":"Debnath","given":"A.","non-dropping-particle":"","parse-names":false,"suffix":""},{"dropping-particle":"","family":"Bera","given":"A.","non-dropping-particle":"","parse-names":false,"suffix":""},{"dropping-particle":"","family":"Chattopadhyay","given":"K. K.","non-dropping-particle":"","parse-names":false,"suffix":""},{"dropping-particle":"","family":"Saha","given":"B.","non-dropping-particle":"","parse-names":false,"suffix":""}],"container-title":"Inorganic and Nano-Metal Chemistry","id":"ITEM-1","issue":"12","issued":{"date-parts":[["2017"]]},"page":"1605-1613","publisher":"Taylor &amp; Francis","title":"Facile additive-free synthesis of hematite nanoparticles for enhanced adsorption of hexavalent chromium from aqueous media: Kinetic, isotherm, and thermodynamic study","type":"article-journal","volume":"47"},"uris":["http://www.mendeley.com/documents/?uuid=0c18fb7a-abc2-43a9-a593-ca090747b5e2"]}],"mendeley":{"formattedCitation":"&lt;sup&gt;43&lt;/sup&gt;","plainTextFormattedCitation":"43","previouslyFormattedCitation":"&lt;sup&gt;43&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43</w:t>
      </w:r>
      <w:r w:rsidR="008E2D48" w:rsidRPr="00E70281">
        <w:rPr>
          <w:color w:val="auto"/>
        </w:rPr>
        <w:fldChar w:fldCharType="end"/>
      </w:r>
      <w:r w:rsidR="008E2D48" w:rsidRPr="00E70281">
        <w:rPr>
          <w:color w:val="auto"/>
        </w:rPr>
        <w:t xml:space="preserve">, </w:t>
      </w:r>
      <w:r w:rsidR="001B6AC8" w:rsidRPr="00E70281">
        <w:rPr>
          <w:color w:val="auto"/>
        </w:rPr>
        <w:t xml:space="preserve"> </w:t>
      </w:r>
      <w:proofErr w:type="spellStart"/>
      <w:r w:rsidR="008E2D48" w:rsidRPr="00E70281">
        <w:rPr>
          <w:color w:val="auto"/>
        </w:rPr>
        <w:t>Lazaridis</w:t>
      </w:r>
      <w:proofErr w:type="spellEnd"/>
      <w:r w:rsidR="008E2D48" w:rsidRPr="00E70281">
        <w:rPr>
          <w:color w:val="auto"/>
        </w:rPr>
        <w:t xml:space="preserve"> et al. (2004) </w:t>
      </w:r>
      <w:r w:rsidR="008E2D48" w:rsidRPr="00E70281">
        <w:rPr>
          <w:color w:val="auto"/>
        </w:rPr>
        <w:fldChar w:fldCharType="begin" w:fldLock="1"/>
      </w:r>
      <w:r w:rsidR="003776C0" w:rsidRPr="00E70281">
        <w:rPr>
          <w:color w:val="auto"/>
        </w:rPr>
        <w:instrText xml:space="preserve">ADDIN CSL_CITATION {"citationItems":[{"id":"ITEM-1","itemData":{"DOI":"10.1021/ie030735n","ISSN":"08885885","abstract":"In this study, the sorptive removal of hexavalent chromium from aqueous solutions by Mg-Al-CO3 hydrotalcite was investigated in a batch mode. The influence of solution pH, conditioning duration, initial chromium concentration, sorbent concentration, sorbent particle size, and temperature was tested at sorption kinetic runs. The influence of eluant concentration and volume was tested at desorption kinetic runs. Desorption experiments showed that the loaded material can be fully regenerated and reused. Four kinetic models have been evaluated if they fit the experimental data: the pseudo-first-order, a modified second-order, and two ion-exchange models. It showed that the second-order model could best describe the sorption and desorption kinetics. The Freundlich isotherm was used to fit equilibrium experiments. Hydrotalcite presented a sorption capacity of </w:instrText>
      </w:r>
      <w:r w:rsidR="003776C0" w:rsidRPr="00E70281">
        <w:rPr>
          <w:rFonts w:ascii="Cambria Math" w:hAnsi="Cambria Math" w:cs="Cambria Math"/>
          <w:color w:val="auto"/>
        </w:rPr>
        <w:instrText>∼</w:instrText>
      </w:r>
      <w:r w:rsidR="003776C0" w:rsidRPr="00E70281">
        <w:rPr>
          <w:color w:val="auto"/>
        </w:rPr>
        <w:instrText xml:space="preserve">17 mg Cr/g under the studied conditions. The calculated activation energy for the studied process was 24 </w:instrText>
      </w:r>
      <w:r w:rsidR="003776C0" w:rsidRPr="00E70281">
        <w:rPr>
          <w:rFonts w:ascii="Calibri" w:hAnsi="Calibri" w:cs="Calibri"/>
          <w:color w:val="auto"/>
        </w:rPr>
        <w:instrText>±</w:instrText>
      </w:r>
      <w:r w:rsidR="003776C0" w:rsidRPr="00E70281">
        <w:rPr>
          <w:color w:val="auto"/>
        </w:rPr>
        <w:instrText xml:space="preserve"> 2 kJ/mol.","author":[{"dropping-particle":"","family":"Lazaridis","given":"N. K.","non-dropping-particle":"","parse-names":false,"suffix":""},{"dropping-particle":"","family":"Pandi","given":"T. A.","non-dropping-particle":"","parse-names":false,"suffix":""},{"dropping-particle":"","family":"Matis","given":"K. A.","non-dropping-particle":"","parse-names":false,"suffix":""}],"container-title":"Industrial and Engineering Chemistry Research","id":"ITEM-1","issue":"9","issued":{"date-parts":[["2004"]]},"page":"2209-2215","title":"Chromium(VI) Removal from Aqueous Solutions by Mg-Al-CO3 Hydrotalcite: Sorption-Desorption Kinetic and Equilibrium Studies","type":"article-journal","volume":"43"},"uris":["http://www.mendeley.com/documents/?uuid=fdcd9ae6-1d24-455e-8e4a-e6d0c9b15ff3"]}],"mendeley":{"formattedCitation":"&lt;sup&gt;44&lt;/sup&gt;","plainTextFormattedCitation":"44","previouslyFormattedCitation":"&lt;sup&gt;44&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44</w:t>
      </w:r>
      <w:r w:rsidR="008E2D48" w:rsidRPr="00E70281">
        <w:rPr>
          <w:color w:val="auto"/>
        </w:rPr>
        <w:fldChar w:fldCharType="end"/>
      </w:r>
      <w:r w:rsidR="008E2D48" w:rsidRPr="00E70281">
        <w:rPr>
          <w:color w:val="auto"/>
        </w:rPr>
        <w:t xml:space="preserve">, and Shipley et al. (2013) </w:t>
      </w:r>
      <w:r w:rsidR="008E2D48" w:rsidRPr="00E70281">
        <w:rPr>
          <w:color w:val="auto"/>
        </w:rPr>
        <w:fldChar w:fldCharType="begin" w:fldLock="1"/>
      </w:r>
      <w:r w:rsidR="003776C0" w:rsidRPr="00E70281">
        <w:rPr>
          <w:color w:val="auto"/>
        </w:rPr>
        <w:instrText>ADDIN CSL_CITATION {"citationItems":[{"id":"ITEM-1","itemData":{"DOI":"10.1007/s11356-012-0984-z","ISSN":"09441344","abstract":"Nanoparticles offer the potential to improve environmental treatment technologies due to their unique properties. Adsorption of metal ions (Pb(II), Cd(II), Cu(II), Zn(II)) to nanohematite was examined as a function of sorbent concentration, pH, temperature, and exhaustion. Adsorption experiments were conducted with 0. 05, 0. 1, and 0. 5 g/L nanoparticles in a pH 8 solution and in spiked San Antonio tap water. The adsorption data showed the ability of nanohematite to remove Pb, Cd, Cu, and Zn species from solution with adsorption increasing as the nanoparticle concentration increased. At 0. 5 g/L nanohematite, 100 % Pb species adsorbed, 94 % Cd species adsorbed, 89 % Cu species adsorbed and 100 % Zn species adsorbed. Adsorption kinetics for all metals tested was described by a pseudo second-order rate equation with lead having the fastest rate of adsorption. The effect of temperature on adsorption showed that Pb(II), Cu(II), and Cd(II) underwent an endothermic reaction, while Zn(II) underwent an exothermic reaction. The nanoparticles were able to simultaneously remove multiple metals species (Zn, Cd, Pb, and Cu) from both a pH 8 solution and spiked San Antonio tap water. Exhaustion experiments showed that at pH 8, exhaustion did not occur for the nanoparticles but adsorption does decrease for Cd, Cu, and Zn species but not Pb species. The strong adsorption coupled with the ability to simultaneously remove multiple metal ions offers a potential remediation method for the removal of metals from water. © 2012 Springer-Verlag.","author":[{"dropping-particle":"","family":"Shipley","given":"Heather J.","non-dropping-particle":"","parse-names":false,"suffix":""},{"dropping-particle":"","family":"Engates","given":"Karen E.","non-dropping-particle":"","parse-names":false,"suffix":""},{"dropping-particle":"","family":"Grover","given":"Valerie A.","non-dropping-particle":"","parse-names":false,"suffix":""}],"container-title":"Environmental Science and Pollution Research","id":"ITEM-1","issue":"3","issued":{"date-parts":[["2013"]]},"page":"1727-1736","title":"Removal of Pb(II), Cd(II), Cu(II), and Zn(II) by hematite nanoparticles: Effect of sorbent concentration, pH, temperature, and exhaustion","type":"article-journal","volume":"20"},"uris":["http://www.mendeley.com/documents/?uuid=f9ef2c68-e859-448c-bd49-5ae929df4af6"]}],"mendeley":{"formattedCitation":"&lt;sup&gt;45&lt;/sup&gt;","plainTextFormattedCitation":"45","previouslyFormattedCitation":"&lt;sup&gt;45&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45</w:t>
      </w:r>
      <w:r w:rsidR="008E2D48" w:rsidRPr="00E70281">
        <w:rPr>
          <w:color w:val="auto"/>
        </w:rPr>
        <w:fldChar w:fldCharType="end"/>
      </w:r>
      <w:r w:rsidR="008E2D48" w:rsidRPr="00E70281">
        <w:rPr>
          <w:color w:val="auto"/>
        </w:rPr>
        <w:t xml:space="preserve">. </w:t>
      </w:r>
    </w:p>
    <w:p w14:paraId="461997D3" w14:textId="1C2F41AA" w:rsidR="00F0240C" w:rsidRPr="00E70281" w:rsidRDefault="00F0240C" w:rsidP="00F0240C">
      <w:pPr>
        <w:rPr>
          <w:color w:val="auto"/>
        </w:rPr>
      </w:pPr>
    </w:p>
    <w:p w14:paraId="29C4DCBA" w14:textId="6E97A8E5" w:rsidR="002900BA" w:rsidRPr="00E70281" w:rsidRDefault="00D07FF8" w:rsidP="002900BA">
      <w:pPr>
        <w:rPr>
          <w:color w:val="auto"/>
        </w:rPr>
      </w:pPr>
      <w:bookmarkStart w:id="45" w:name="_Hlk61258900"/>
      <w:bookmarkStart w:id="46" w:name="_Hlk61357999"/>
      <w:r w:rsidRPr="00E70281">
        <w:rPr>
          <w:color w:val="auto"/>
        </w:rPr>
        <w:t>The average relative error of q</w:t>
      </w:r>
      <w:r w:rsidRPr="00E70281">
        <w:rPr>
          <w:color w:val="auto"/>
          <w:vertAlign w:val="subscript"/>
        </w:rPr>
        <w:t>t</w:t>
      </w:r>
      <w:r w:rsidRPr="00E70281">
        <w:rPr>
          <w:color w:val="auto"/>
        </w:rPr>
        <w:t xml:space="preserve"> calculated by the rPSO</w:t>
      </w:r>
      <w:r w:rsidR="00D16566">
        <w:rPr>
          <w:color w:val="auto"/>
        </w:rPr>
        <w:t xml:space="preserve"> </w:t>
      </w:r>
      <w:r w:rsidR="00D16566" w:rsidRPr="00D16566">
        <w:rPr>
          <w:color w:val="FF0000"/>
        </w:rPr>
        <w:t>model</w:t>
      </w:r>
      <w:r w:rsidRPr="00D16566">
        <w:rPr>
          <w:color w:val="FF0000"/>
        </w:rPr>
        <w:t xml:space="preserve"> </w:t>
      </w:r>
      <w:r w:rsidR="00114768" w:rsidRPr="00E70281">
        <w:rPr>
          <w:color w:val="auto"/>
        </w:rPr>
        <w:t>is</w:t>
      </w:r>
      <w:r w:rsidRPr="00E70281">
        <w:rPr>
          <w:color w:val="auto"/>
        </w:rPr>
        <w:t xml:space="preserve"> just 1±17%, versus </w:t>
      </w:r>
      <w:r w:rsidR="002B63D7" w:rsidRPr="00E70281">
        <w:rPr>
          <w:color w:val="auto"/>
        </w:rPr>
        <w:t>-</w:t>
      </w:r>
      <w:r w:rsidRPr="00E70281">
        <w:rPr>
          <w:color w:val="auto"/>
        </w:rPr>
        <w:t>11±27% for the original PSO model (</w:t>
      </w:r>
      <w:r w:rsidR="00CF719F" w:rsidRPr="00E70281">
        <w:rPr>
          <w:color w:val="auto"/>
          <w:highlight w:val="yellow"/>
        </w:rPr>
        <w:fldChar w:fldCharType="begin"/>
      </w:r>
      <w:r w:rsidR="00CF719F" w:rsidRPr="00E70281">
        <w:rPr>
          <w:color w:val="auto"/>
        </w:rPr>
        <w:instrText xml:space="preserve"> REF _Ref61351939 \h </w:instrText>
      </w:r>
      <w:r w:rsidR="00CF719F" w:rsidRPr="00E70281">
        <w:rPr>
          <w:color w:val="auto"/>
          <w:highlight w:val="yellow"/>
        </w:rPr>
      </w:r>
      <w:r w:rsidR="00CF719F" w:rsidRPr="00E70281">
        <w:rPr>
          <w:color w:val="auto"/>
          <w:highlight w:val="yellow"/>
        </w:rPr>
        <w:fldChar w:fldCharType="separate"/>
      </w:r>
      <w:r w:rsidR="00D37CAD" w:rsidRPr="00E70281">
        <w:rPr>
          <w:color w:val="auto"/>
        </w:rPr>
        <w:t xml:space="preserve">Figure </w:t>
      </w:r>
      <w:r w:rsidR="00D37CAD" w:rsidRPr="00E70281">
        <w:rPr>
          <w:noProof/>
          <w:color w:val="auto"/>
        </w:rPr>
        <w:t>6</w:t>
      </w:r>
      <w:r w:rsidR="00CF719F" w:rsidRPr="00E70281">
        <w:rPr>
          <w:color w:val="auto"/>
          <w:highlight w:val="yellow"/>
        </w:rPr>
        <w:fldChar w:fldCharType="end"/>
      </w:r>
      <w:r w:rsidR="00CF719F" w:rsidRPr="00E70281">
        <w:rPr>
          <w:color w:val="auto"/>
        </w:rPr>
        <w:t>a</w:t>
      </w:r>
      <w:r w:rsidRPr="00E70281">
        <w:rPr>
          <w:color w:val="auto"/>
        </w:rPr>
        <w:t>), indicating that the rPSO</w:t>
      </w:r>
      <w:r w:rsidR="00885CA9" w:rsidRPr="00E70281">
        <w:rPr>
          <w:color w:val="auto"/>
        </w:rPr>
        <w:t xml:space="preserve"> model</w:t>
      </w:r>
      <w:r w:rsidRPr="00E70281">
        <w:rPr>
          <w:color w:val="auto"/>
        </w:rPr>
        <w:t xml:space="preserve"> provides </w:t>
      </w:r>
      <w:commentRangeStart w:id="47"/>
      <w:commentRangeStart w:id="48"/>
      <w:r w:rsidRPr="00E70281">
        <w:rPr>
          <w:color w:val="auto"/>
        </w:rPr>
        <w:t>greater a</w:t>
      </w:r>
      <w:commentRangeEnd w:id="47"/>
      <w:r w:rsidR="002B2934" w:rsidRPr="00E70281">
        <w:rPr>
          <w:rStyle w:val="CommentReference"/>
        </w:rPr>
        <w:commentReference w:id="47"/>
      </w:r>
      <w:commentRangeEnd w:id="48"/>
      <w:r w:rsidR="00D16566">
        <w:rPr>
          <w:rStyle w:val="CommentReference"/>
        </w:rPr>
        <w:commentReference w:id="48"/>
      </w:r>
      <w:r w:rsidRPr="00E70281">
        <w:rPr>
          <w:color w:val="auto"/>
        </w:rPr>
        <w:t>ccuracy when modelling adsorption kinetics with changing values of C</w:t>
      </w:r>
      <w:r w:rsidRPr="00E70281">
        <w:rPr>
          <w:color w:val="auto"/>
          <w:vertAlign w:val="subscript"/>
        </w:rPr>
        <w:t>0</w:t>
      </w:r>
      <w:r w:rsidRPr="00E70281">
        <w:rPr>
          <w:color w:val="auto"/>
        </w:rPr>
        <w:t xml:space="preserve"> and C</w:t>
      </w:r>
      <w:r w:rsidRPr="00E70281">
        <w:rPr>
          <w:color w:val="auto"/>
          <w:vertAlign w:val="subscript"/>
        </w:rPr>
        <w:t>s</w:t>
      </w:r>
      <w:r w:rsidRPr="00E70281">
        <w:rPr>
          <w:color w:val="auto"/>
        </w:rPr>
        <w:t xml:space="preserve"> </w:t>
      </w:r>
      <w:r w:rsidR="00885CA9" w:rsidRPr="00E70281">
        <w:rPr>
          <w:color w:val="auto"/>
        </w:rPr>
        <w:t>using</w:t>
      </w:r>
      <w:r w:rsidRPr="00E70281">
        <w:rPr>
          <w:color w:val="auto"/>
        </w:rPr>
        <w:t xml:space="preserve"> a single rate constant</w:t>
      </w:r>
      <w:r w:rsidR="002B63D7" w:rsidRPr="00E70281">
        <w:rPr>
          <w:color w:val="auto"/>
        </w:rPr>
        <w:t>.</w:t>
      </w:r>
      <w:r w:rsidR="00114768" w:rsidRPr="00E70281">
        <w:rPr>
          <w:color w:val="auto"/>
        </w:rPr>
        <w:t xml:space="preserve"> Furthermore,</w:t>
      </w:r>
      <w:r w:rsidR="00885CA9" w:rsidRPr="00E70281">
        <w:rPr>
          <w:color w:val="auto"/>
        </w:rPr>
        <w:t xml:space="preserve"> </w:t>
      </w:r>
      <w:r w:rsidR="00885CA9" w:rsidRPr="003B1008">
        <w:rPr>
          <w:color w:val="FF0000"/>
        </w:rPr>
        <w:t>t</w:t>
      </w:r>
      <w:r w:rsidRPr="003B1008">
        <w:rPr>
          <w:color w:val="FF0000"/>
        </w:rPr>
        <w:t>he</w:t>
      </w:r>
      <w:r w:rsidR="003B1008" w:rsidRPr="003B1008">
        <w:rPr>
          <w:color w:val="FF0000"/>
        </w:rPr>
        <w:t xml:space="preserve"> cross-calibration curve of</w:t>
      </w:r>
      <w:r w:rsidR="00A605A4">
        <w:rPr>
          <w:color w:val="FF0000"/>
        </w:rPr>
        <w:t xml:space="preserve"> q</w:t>
      </w:r>
      <w:r w:rsidR="00A605A4">
        <w:rPr>
          <w:color w:val="FF0000"/>
        </w:rPr>
        <w:softHyphen/>
      </w:r>
      <w:r w:rsidR="00A605A4">
        <w:rPr>
          <w:color w:val="FF0000"/>
          <w:vertAlign w:val="subscript"/>
        </w:rPr>
        <w:t>t</w:t>
      </w:r>
      <w:r w:rsidR="00A605A4">
        <w:rPr>
          <w:color w:val="FF0000"/>
        </w:rPr>
        <w:t xml:space="preserve"> values</w:t>
      </w:r>
      <w:r w:rsidR="003B1008" w:rsidRPr="003B1008">
        <w:rPr>
          <w:color w:val="FF0000"/>
        </w:rPr>
        <w:t xml:space="preserve"> </w:t>
      </w:r>
      <w:r w:rsidR="00A605A4">
        <w:rPr>
          <w:color w:val="FF0000"/>
        </w:rPr>
        <w:t>(</w:t>
      </w:r>
      <w:r w:rsidR="003B1008" w:rsidRPr="003B1008">
        <w:rPr>
          <w:color w:val="FF0000"/>
        </w:rPr>
        <w:t>model</w:t>
      </w:r>
      <w:r w:rsidR="00922E15">
        <w:rPr>
          <w:color w:val="FF0000"/>
        </w:rPr>
        <w:t>ling</w:t>
      </w:r>
      <w:r w:rsidR="003B1008" w:rsidRPr="003B1008">
        <w:rPr>
          <w:color w:val="FF0000"/>
        </w:rPr>
        <w:t xml:space="preserve"> versus experiment</w:t>
      </w:r>
      <w:r w:rsidR="00A605A4">
        <w:rPr>
          <w:color w:val="FF0000"/>
        </w:rPr>
        <w:t>)</w:t>
      </w:r>
      <w:r w:rsidR="00922E15">
        <w:rPr>
          <w:color w:val="FF0000"/>
        </w:rPr>
        <w:t xml:space="preserve"> </w:t>
      </w:r>
      <w:r w:rsidR="003B1008" w:rsidRPr="003B1008">
        <w:rPr>
          <w:color w:val="FF0000"/>
        </w:rPr>
        <w:t>is significantly closer</w:t>
      </w:r>
      <w:r w:rsidR="007B3ABF">
        <w:rPr>
          <w:color w:val="FF0000"/>
        </w:rPr>
        <w:t xml:space="preserve"> to the ideal one-to-one line</w:t>
      </w:r>
      <w:r w:rsidR="003B1008" w:rsidRPr="003B1008">
        <w:rPr>
          <w:color w:val="FF0000"/>
        </w:rPr>
        <w:t xml:space="preserve"> </w:t>
      </w:r>
      <w:r w:rsidR="00AF20BD">
        <w:rPr>
          <w:color w:val="FF0000"/>
        </w:rPr>
        <w:t>when using</w:t>
      </w:r>
      <w:r w:rsidR="003B1008" w:rsidRPr="007B3ABF">
        <w:t xml:space="preserve"> </w:t>
      </w:r>
      <w:r w:rsidR="007B3ABF" w:rsidRPr="007B3ABF">
        <w:t>t</w:t>
      </w:r>
      <w:r w:rsidRPr="007B3ABF">
        <w:t xml:space="preserve">he </w:t>
      </w:r>
      <w:r w:rsidRPr="00E70281">
        <w:rPr>
          <w:color w:val="auto"/>
        </w:rPr>
        <w:t>rPSO model, with an R</w:t>
      </w:r>
      <w:r w:rsidRPr="00E70281">
        <w:rPr>
          <w:color w:val="auto"/>
          <w:vertAlign w:val="superscript"/>
        </w:rPr>
        <w:t>2</w:t>
      </w:r>
      <w:r w:rsidRPr="00E70281">
        <w:rPr>
          <w:color w:val="auto"/>
        </w:rPr>
        <w:t xml:space="preserve"> value of </w:t>
      </w:r>
      <w:r w:rsidRPr="00D16566">
        <w:rPr>
          <w:color w:val="FF0000"/>
        </w:rPr>
        <w:t>0.99</w:t>
      </w:r>
      <w:r w:rsidR="00D16566" w:rsidRPr="00D16566">
        <w:rPr>
          <w:color w:val="FF0000"/>
        </w:rPr>
        <w:t>9</w:t>
      </w:r>
      <w:r w:rsidRPr="00D16566">
        <w:rPr>
          <w:color w:val="FF0000"/>
        </w:rPr>
        <w:t xml:space="preserve">9 </w:t>
      </w:r>
      <w:r w:rsidRPr="00E70281">
        <w:rPr>
          <w:color w:val="auto"/>
        </w:rPr>
        <w:t>versus just 0.9217 for the original PSO model (</w:t>
      </w:r>
      <w:r w:rsidR="00CF719F" w:rsidRPr="00E70281">
        <w:rPr>
          <w:color w:val="auto"/>
          <w:highlight w:val="yellow"/>
        </w:rPr>
        <w:fldChar w:fldCharType="begin"/>
      </w:r>
      <w:r w:rsidR="00CF719F" w:rsidRPr="00E70281">
        <w:rPr>
          <w:color w:val="auto"/>
        </w:rPr>
        <w:instrText xml:space="preserve"> REF _Ref61351939 \h </w:instrText>
      </w:r>
      <w:r w:rsidR="00CF719F" w:rsidRPr="00E70281">
        <w:rPr>
          <w:color w:val="auto"/>
          <w:highlight w:val="yellow"/>
        </w:rPr>
      </w:r>
      <w:r w:rsidR="00CF719F" w:rsidRPr="00E70281">
        <w:rPr>
          <w:color w:val="auto"/>
          <w:highlight w:val="yellow"/>
        </w:rPr>
        <w:fldChar w:fldCharType="separate"/>
      </w:r>
      <w:r w:rsidR="00D37CAD" w:rsidRPr="00E70281">
        <w:rPr>
          <w:color w:val="auto"/>
        </w:rPr>
        <w:t xml:space="preserve">Figure </w:t>
      </w:r>
      <w:r w:rsidR="00D37CAD" w:rsidRPr="00E70281">
        <w:rPr>
          <w:noProof/>
          <w:color w:val="auto"/>
        </w:rPr>
        <w:t>6</w:t>
      </w:r>
      <w:r w:rsidR="00CF719F" w:rsidRPr="00E70281">
        <w:rPr>
          <w:color w:val="auto"/>
          <w:highlight w:val="yellow"/>
        </w:rPr>
        <w:fldChar w:fldCharType="end"/>
      </w:r>
      <w:r w:rsidR="00CF719F" w:rsidRPr="00E70281">
        <w:rPr>
          <w:color w:val="auto"/>
        </w:rPr>
        <w:t>b</w:t>
      </w:r>
      <w:r w:rsidRPr="00E70281">
        <w:rPr>
          <w:color w:val="auto"/>
        </w:rPr>
        <w:t xml:space="preserve">). </w:t>
      </w:r>
      <w:r w:rsidR="00861337" w:rsidRPr="00E70281">
        <w:rPr>
          <w:color w:val="auto"/>
        </w:rPr>
        <w:t xml:space="preserve">Considering </w:t>
      </w:r>
      <w:r w:rsidRPr="00E70281">
        <w:rPr>
          <w:color w:val="auto"/>
        </w:rPr>
        <w:t>each experimental data series in turn, the typical slope of the calibration curve was</w:t>
      </w:r>
      <w:r w:rsidR="005A33D5">
        <w:rPr>
          <w:color w:val="auto"/>
        </w:rPr>
        <w:t xml:space="preserve"> </w:t>
      </w:r>
      <w:r w:rsidRPr="00E70281">
        <w:rPr>
          <w:color w:val="auto"/>
        </w:rPr>
        <w:t xml:space="preserve">closer to one, with less scattering, in the rPSO model (a slope of 0.99±0.11) </w:t>
      </w:r>
      <w:r w:rsidR="00885CA9" w:rsidRPr="00E70281">
        <w:rPr>
          <w:color w:val="auto"/>
        </w:rPr>
        <w:t>compared against</w:t>
      </w:r>
      <w:r w:rsidRPr="00E70281">
        <w:rPr>
          <w:color w:val="auto"/>
        </w:rPr>
        <w:t xml:space="preserve"> the original PSO model (with a slope of 1.23±0.35) (</w:t>
      </w:r>
      <w:r w:rsidR="00CF719F" w:rsidRPr="00E70281">
        <w:rPr>
          <w:color w:val="auto"/>
          <w:highlight w:val="yellow"/>
        </w:rPr>
        <w:fldChar w:fldCharType="begin"/>
      </w:r>
      <w:r w:rsidR="00CF719F" w:rsidRPr="00E70281">
        <w:rPr>
          <w:color w:val="auto"/>
        </w:rPr>
        <w:instrText xml:space="preserve"> REF _Ref61351939 \h </w:instrText>
      </w:r>
      <w:r w:rsidR="00CF719F" w:rsidRPr="00E70281">
        <w:rPr>
          <w:color w:val="auto"/>
          <w:highlight w:val="yellow"/>
        </w:rPr>
      </w:r>
      <w:r w:rsidR="00CF719F" w:rsidRPr="00E70281">
        <w:rPr>
          <w:color w:val="auto"/>
          <w:highlight w:val="yellow"/>
        </w:rPr>
        <w:fldChar w:fldCharType="separate"/>
      </w:r>
      <w:r w:rsidR="00D37CAD" w:rsidRPr="00E70281">
        <w:rPr>
          <w:color w:val="auto"/>
        </w:rPr>
        <w:t xml:space="preserve">Figure </w:t>
      </w:r>
      <w:r w:rsidR="00D37CAD" w:rsidRPr="00E70281">
        <w:rPr>
          <w:noProof/>
          <w:color w:val="auto"/>
        </w:rPr>
        <w:t>6</w:t>
      </w:r>
      <w:r w:rsidR="00CF719F" w:rsidRPr="00E70281">
        <w:rPr>
          <w:color w:val="auto"/>
          <w:highlight w:val="yellow"/>
        </w:rPr>
        <w:fldChar w:fldCharType="end"/>
      </w:r>
      <w:r w:rsidR="00CF719F" w:rsidRPr="00E70281">
        <w:rPr>
          <w:color w:val="auto"/>
        </w:rPr>
        <w:t>c</w:t>
      </w:r>
      <w:r w:rsidRPr="00E70281">
        <w:rPr>
          <w:color w:val="auto"/>
        </w:rPr>
        <w:t>).</w:t>
      </w:r>
      <w:r w:rsidR="00A746A1" w:rsidRPr="00E70281">
        <w:rPr>
          <w:color w:val="auto"/>
        </w:rPr>
        <w:t xml:space="preserve"> </w:t>
      </w:r>
      <w:bookmarkEnd w:id="45"/>
    </w:p>
    <w:bookmarkEnd w:id="46"/>
    <w:tbl>
      <w:tblPr>
        <w:tblStyle w:val="TableGrid"/>
        <w:tblW w:w="0" w:type="auto"/>
        <w:tblLook w:val="04A0" w:firstRow="1" w:lastRow="0" w:firstColumn="1" w:lastColumn="0" w:noHBand="0" w:noVBand="1"/>
      </w:tblPr>
      <w:tblGrid>
        <w:gridCol w:w="2267"/>
        <w:gridCol w:w="2301"/>
        <w:gridCol w:w="2301"/>
        <w:gridCol w:w="2157"/>
      </w:tblGrid>
      <w:tr w:rsidR="00F34217" w:rsidRPr="00E70281" w14:paraId="248DBB47" w14:textId="77777777" w:rsidTr="00E23F26">
        <w:trPr>
          <w:cantSplit/>
        </w:trPr>
        <w:tc>
          <w:tcPr>
            <w:tcW w:w="2309" w:type="dxa"/>
            <w:tcBorders>
              <w:top w:val="nil"/>
              <w:left w:val="nil"/>
              <w:bottom w:val="nil"/>
              <w:right w:val="nil"/>
            </w:tcBorders>
          </w:tcPr>
          <w:p w14:paraId="56FAE4CB" w14:textId="77777777" w:rsidR="00F34217" w:rsidRPr="00E70281" w:rsidRDefault="00F34217" w:rsidP="002900BA">
            <w:pPr>
              <w:rPr>
                <w:color w:val="auto"/>
              </w:rPr>
            </w:pPr>
          </w:p>
        </w:tc>
        <w:tc>
          <w:tcPr>
            <w:tcW w:w="4398" w:type="dxa"/>
            <w:gridSpan w:val="2"/>
            <w:tcBorders>
              <w:top w:val="nil"/>
              <w:left w:val="nil"/>
              <w:bottom w:val="nil"/>
              <w:right w:val="nil"/>
            </w:tcBorders>
          </w:tcPr>
          <w:p w14:paraId="72282798" w14:textId="10A658CD" w:rsidR="00F34217" w:rsidRPr="00E70281" w:rsidRDefault="00F34217" w:rsidP="00876396">
            <w:pPr>
              <w:rPr>
                <w:color w:val="auto"/>
              </w:rPr>
            </w:pPr>
            <w:r w:rsidRPr="00E70281">
              <w:rPr>
                <w:color w:val="auto"/>
              </w:rPr>
              <w:t>(a)</w:t>
            </w:r>
            <w:r w:rsidR="00876396" w:rsidRPr="00E70281">
              <w:rPr>
                <w:color w:val="auto"/>
              </w:rPr>
              <w:br/>
            </w:r>
            <w:r w:rsidR="00CA3D47" w:rsidRPr="00E70281">
              <w:rPr>
                <w:noProof/>
                <w:color w:val="auto"/>
              </w:rPr>
              <w:drawing>
                <wp:inline distT="0" distB="0" distL="0" distR="0" wp14:anchorId="7240B4DC" wp14:editId="1CDDD07F">
                  <wp:extent cx="2785282" cy="23513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1909" t="1605" r="1751" b="2709"/>
                          <a:stretch/>
                        </pic:blipFill>
                        <pic:spPr bwMode="auto">
                          <a:xfrm>
                            <a:off x="0" y="0"/>
                            <a:ext cx="2805687" cy="2368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9" w:type="dxa"/>
            <w:tcBorders>
              <w:top w:val="nil"/>
              <w:left w:val="nil"/>
              <w:bottom w:val="nil"/>
              <w:right w:val="nil"/>
            </w:tcBorders>
          </w:tcPr>
          <w:p w14:paraId="0983E8FC" w14:textId="77777777" w:rsidR="00F34217" w:rsidRPr="00E70281" w:rsidRDefault="00F34217" w:rsidP="002900BA">
            <w:pPr>
              <w:rPr>
                <w:color w:val="auto"/>
              </w:rPr>
            </w:pPr>
          </w:p>
        </w:tc>
      </w:tr>
      <w:tr w:rsidR="00F34217" w:rsidRPr="00E70281" w14:paraId="0C930337" w14:textId="77777777" w:rsidTr="00E23F26">
        <w:trPr>
          <w:cantSplit/>
        </w:trPr>
        <w:tc>
          <w:tcPr>
            <w:tcW w:w="4508" w:type="dxa"/>
            <w:gridSpan w:val="2"/>
            <w:tcBorders>
              <w:top w:val="nil"/>
              <w:left w:val="nil"/>
              <w:bottom w:val="nil"/>
              <w:right w:val="nil"/>
            </w:tcBorders>
          </w:tcPr>
          <w:p w14:paraId="199F4D88" w14:textId="2872F992" w:rsidR="002900BA" w:rsidRPr="00E70281" w:rsidRDefault="00A67173" w:rsidP="00876396">
            <w:pPr>
              <w:rPr>
                <w:color w:val="auto"/>
              </w:rPr>
            </w:pPr>
            <w:r w:rsidRPr="00E70281">
              <w:rPr>
                <w:color w:val="auto"/>
              </w:rPr>
              <w:t>(b</w:t>
            </w:r>
            <w:r w:rsidR="002900BA" w:rsidRPr="00E70281">
              <w:rPr>
                <w:color w:val="auto"/>
              </w:rPr>
              <w:t>)</w:t>
            </w:r>
            <w:r w:rsidR="00876396" w:rsidRPr="00E70281">
              <w:rPr>
                <w:color w:val="auto"/>
              </w:rPr>
              <w:br/>
            </w:r>
            <w:r w:rsidR="00087DD4" w:rsidRPr="00E70281">
              <w:rPr>
                <w:noProof/>
                <w:color w:val="auto"/>
              </w:rPr>
              <w:drawing>
                <wp:inline distT="0" distB="0" distL="0" distR="0" wp14:anchorId="7D25350C" wp14:editId="66DAFDE0">
                  <wp:extent cx="2725555" cy="2861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3802" r="4540"/>
                          <a:stretch/>
                        </pic:blipFill>
                        <pic:spPr bwMode="auto">
                          <a:xfrm>
                            <a:off x="0" y="0"/>
                            <a:ext cx="2755882" cy="28937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gridSpan w:val="2"/>
            <w:tcBorders>
              <w:top w:val="nil"/>
              <w:left w:val="nil"/>
              <w:bottom w:val="nil"/>
              <w:right w:val="nil"/>
            </w:tcBorders>
          </w:tcPr>
          <w:p w14:paraId="0F6E111B" w14:textId="18925DF8" w:rsidR="002900BA" w:rsidRPr="00E70281" w:rsidRDefault="00A67173" w:rsidP="00876396">
            <w:pPr>
              <w:rPr>
                <w:color w:val="auto"/>
              </w:rPr>
            </w:pPr>
            <w:r w:rsidRPr="00E70281">
              <w:rPr>
                <w:color w:val="auto"/>
              </w:rPr>
              <w:t>(c)</w:t>
            </w:r>
            <w:r w:rsidR="00876396" w:rsidRPr="00E70281">
              <w:rPr>
                <w:color w:val="auto"/>
              </w:rPr>
              <w:br/>
            </w:r>
            <w:r w:rsidR="00822457" w:rsidRPr="00E70281">
              <w:rPr>
                <w:noProof/>
                <w:color w:val="auto"/>
              </w:rPr>
              <w:drawing>
                <wp:inline distT="0" distB="0" distL="0" distR="0" wp14:anchorId="5E51510A" wp14:editId="4F0135A7">
                  <wp:extent cx="2553808" cy="304008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9781" cy="3071001"/>
                          </a:xfrm>
                          <a:prstGeom prst="rect">
                            <a:avLst/>
                          </a:prstGeom>
                          <a:noFill/>
                        </pic:spPr>
                      </pic:pic>
                    </a:graphicData>
                  </a:graphic>
                </wp:inline>
              </w:drawing>
            </w:r>
          </w:p>
        </w:tc>
      </w:tr>
    </w:tbl>
    <w:p w14:paraId="190F8280" w14:textId="357DEACE" w:rsidR="00847565" w:rsidRPr="00E70281" w:rsidRDefault="002900BA" w:rsidP="00323583">
      <w:pPr>
        <w:pStyle w:val="Caption"/>
        <w:rPr>
          <w:color w:val="auto"/>
        </w:rPr>
      </w:pPr>
      <w:bookmarkStart w:id="49" w:name="_Ref61351939"/>
      <w:r w:rsidRPr="00E70281">
        <w:rPr>
          <w:color w:val="auto"/>
        </w:rPr>
        <w:t xml:space="preserve">Figure </w:t>
      </w:r>
      <w:r w:rsidRPr="00E70281">
        <w:rPr>
          <w:color w:val="auto"/>
        </w:rPr>
        <w:fldChar w:fldCharType="begin"/>
      </w:r>
      <w:r w:rsidRPr="00E70281">
        <w:rPr>
          <w:color w:val="auto"/>
        </w:rPr>
        <w:instrText xml:space="preserve"> SEQ Figure \* ARABIC </w:instrText>
      </w:r>
      <w:r w:rsidRPr="00E70281">
        <w:rPr>
          <w:color w:val="auto"/>
        </w:rPr>
        <w:fldChar w:fldCharType="separate"/>
      </w:r>
      <w:r w:rsidR="00D37CAD" w:rsidRPr="00E70281">
        <w:rPr>
          <w:noProof/>
          <w:color w:val="auto"/>
        </w:rPr>
        <w:t>6</w:t>
      </w:r>
      <w:r w:rsidRPr="00E70281">
        <w:rPr>
          <w:color w:val="auto"/>
        </w:rPr>
        <w:fldChar w:fldCharType="end"/>
      </w:r>
      <w:bookmarkEnd w:id="49"/>
      <w:r w:rsidRPr="00E70281">
        <w:rPr>
          <w:color w:val="auto"/>
        </w:rPr>
        <w:t xml:space="preserve">: </w:t>
      </w:r>
      <w:bookmarkStart w:id="50" w:name="_Hlk61592322"/>
      <w:r w:rsidR="002221CF" w:rsidRPr="00E70281">
        <w:rPr>
          <w:color w:val="auto"/>
        </w:rPr>
        <w:t xml:space="preserve">Application study 1: </w:t>
      </w:r>
      <w:r w:rsidR="00C26839" w:rsidRPr="00E70281">
        <w:rPr>
          <w:color w:val="auto"/>
        </w:rPr>
        <w:t>C</w:t>
      </w:r>
      <w:r w:rsidR="002221CF" w:rsidRPr="00E70281">
        <w:rPr>
          <w:color w:val="auto"/>
        </w:rPr>
        <w:t xml:space="preserve">ross-calibration of the </w:t>
      </w:r>
      <w:r w:rsidR="00885CA9" w:rsidRPr="00E70281">
        <w:rPr>
          <w:color w:val="auto"/>
        </w:rPr>
        <w:t>r</w:t>
      </w:r>
      <w:r w:rsidR="002221CF" w:rsidRPr="00E70281">
        <w:rPr>
          <w:color w:val="auto"/>
        </w:rPr>
        <w:t>PSO model against experimental data</w:t>
      </w:r>
      <w:r w:rsidR="00822457" w:rsidRPr="00E70281">
        <w:rPr>
          <w:color w:val="auto"/>
        </w:rPr>
        <w:t xml:space="preserve"> </w:t>
      </w:r>
      <w:bookmarkStart w:id="51" w:name="_Hlk61592366"/>
      <w:r w:rsidR="00822457" w:rsidRPr="00E70281">
        <w:rPr>
          <w:color w:val="auto"/>
        </w:rPr>
        <w:t>(6 literature sources, 22 experiments and 198 data points)</w:t>
      </w:r>
      <w:r w:rsidR="001E195F" w:rsidRPr="00E70281">
        <w:rPr>
          <w:color w:val="auto"/>
        </w:rPr>
        <w:t>.</w:t>
      </w:r>
      <w:bookmarkEnd w:id="51"/>
      <w:r w:rsidR="00822457" w:rsidRPr="00E70281">
        <w:rPr>
          <w:color w:val="auto"/>
        </w:rPr>
        <w:t xml:space="preserve"> (a) </w:t>
      </w:r>
      <w:r w:rsidR="00847565" w:rsidRPr="00E70281">
        <w:rPr>
          <w:color w:val="auto"/>
        </w:rPr>
        <w:t>Box and whisker plot presenting t</w:t>
      </w:r>
      <w:r w:rsidR="00822457" w:rsidRPr="00E70281">
        <w:rPr>
          <w:color w:val="auto"/>
        </w:rPr>
        <w:t>he relative error of q</w:t>
      </w:r>
      <w:r w:rsidR="00822457" w:rsidRPr="00E70281">
        <w:rPr>
          <w:color w:val="auto"/>
          <w:vertAlign w:val="subscript"/>
        </w:rPr>
        <w:t>t</w:t>
      </w:r>
      <w:r w:rsidR="00822457" w:rsidRPr="00E70281">
        <w:rPr>
          <w:color w:val="auto"/>
        </w:rPr>
        <w:t xml:space="preserve"> calculated via the original PSO model and the rPSO</w:t>
      </w:r>
      <w:bookmarkEnd w:id="50"/>
      <w:r w:rsidR="00885CA9" w:rsidRPr="00E70281">
        <w:rPr>
          <w:color w:val="auto"/>
        </w:rPr>
        <w:t xml:space="preserve"> model</w:t>
      </w:r>
      <w:r w:rsidR="00847565" w:rsidRPr="00E70281">
        <w:rPr>
          <w:color w:val="auto"/>
        </w:rPr>
        <w:t xml:space="preserve">. The boxes highlight the 25%, 50% (median) and 75% percentiles, whilst the whiskers represent the minima and maxima excluding ‘outlier’ data points, defined as those </w:t>
      </w:r>
      <w:r w:rsidR="00323583" w:rsidRPr="00E70281">
        <w:rPr>
          <w:color w:val="auto"/>
        </w:rPr>
        <w:t>greater than the top of the box plus</w:t>
      </w:r>
      <w:r w:rsidR="00847565" w:rsidRPr="00E70281">
        <w:rPr>
          <w:color w:val="auto"/>
        </w:rPr>
        <w:t xml:space="preserve"> 1.5 times the interquartile range, </w:t>
      </w:r>
      <w:r w:rsidR="00323583" w:rsidRPr="00E70281">
        <w:rPr>
          <w:color w:val="auto"/>
        </w:rPr>
        <w:t>or less than the bottom of the box minus 1.5 times the interquartile range</w:t>
      </w:r>
      <w:r w:rsidR="00822457" w:rsidRPr="00E70281">
        <w:rPr>
          <w:color w:val="auto"/>
        </w:rPr>
        <w:t>.</w:t>
      </w:r>
      <w:r w:rsidR="001E195F" w:rsidRPr="00E70281">
        <w:rPr>
          <w:color w:val="auto"/>
        </w:rPr>
        <w:t xml:space="preserve"> </w:t>
      </w:r>
      <w:r w:rsidR="00822457" w:rsidRPr="00E70281">
        <w:rPr>
          <w:color w:val="auto"/>
        </w:rPr>
        <w:t xml:space="preserve">(b) Cross-calibration plot highlighting the goodness of fit against the one-to-one line. </w:t>
      </w:r>
      <w:bookmarkStart w:id="52" w:name="_Hlk61592349"/>
      <w:r w:rsidR="00822457" w:rsidRPr="00E70281">
        <w:rPr>
          <w:color w:val="auto"/>
        </w:rPr>
        <w:t>Open shapes indicate q</w:t>
      </w:r>
      <w:r w:rsidR="00822457" w:rsidRPr="00E70281">
        <w:rPr>
          <w:color w:val="auto"/>
          <w:vertAlign w:val="subscript"/>
        </w:rPr>
        <w:t>t</w:t>
      </w:r>
      <w:r w:rsidR="00822457" w:rsidRPr="00E70281">
        <w:rPr>
          <w:color w:val="auto"/>
        </w:rPr>
        <w:t xml:space="preserve"> values calculated using the original PSO model, whilst filled shapes indicate the rPSO model.</w:t>
      </w:r>
      <w:r w:rsidR="00885CA9" w:rsidRPr="00E70281">
        <w:rPr>
          <w:color w:val="auto"/>
        </w:rPr>
        <w:t xml:space="preserve"> Values of R</w:t>
      </w:r>
      <w:r w:rsidR="00885CA9" w:rsidRPr="00E70281">
        <w:rPr>
          <w:color w:val="auto"/>
          <w:vertAlign w:val="superscript"/>
        </w:rPr>
        <w:t>2</w:t>
      </w:r>
      <w:r w:rsidR="00885CA9" w:rsidRPr="00E70281">
        <w:rPr>
          <w:color w:val="auto"/>
        </w:rPr>
        <w:t xml:space="preserve"> indicate the goodness of fit against the ideal one-to-one line.</w:t>
      </w:r>
      <w:r w:rsidR="00822457" w:rsidRPr="00E70281">
        <w:rPr>
          <w:color w:val="auto"/>
        </w:rPr>
        <w:t xml:space="preserve"> (c) Comparison of the cross-calibration slopes with each model and each data set</w:t>
      </w:r>
      <w:r w:rsidR="002221CF" w:rsidRPr="00E70281">
        <w:rPr>
          <w:color w:val="auto"/>
        </w:rPr>
        <w:t>.</w:t>
      </w:r>
      <w:r w:rsidR="00E4723D" w:rsidRPr="00E70281">
        <w:rPr>
          <w:color w:val="auto"/>
        </w:rPr>
        <w:t xml:space="preserve"> </w:t>
      </w:r>
      <w:r w:rsidR="008E2D48" w:rsidRPr="00E70281">
        <w:rPr>
          <w:color w:val="auto"/>
        </w:rPr>
        <w:t xml:space="preserve">Literature sources are denoted as As(III)/HFO </w:t>
      </w:r>
      <w:r w:rsidR="008E2D48" w:rsidRPr="00E70281">
        <w:rPr>
          <w:color w:val="auto"/>
        </w:rPr>
        <w:fldChar w:fldCharType="begin" w:fldLock="1"/>
      </w:r>
      <w:r w:rsidR="003776C0" w:rsidRPr="00E70281">
        <w:rPr>
          <w:color w:val="auto"/>
        </w:rPr>
        <w:instrText>ADDIN CSL_CITATION {"citationItems":[{"id":"ITEM-1","itemData":{"DOI":"10.2166/wqrj.2003.013","ISSN":"12013080","abstract":"Synthesis of crystalline hydrous ferric oxide (CHFO), a modified iron-based adsorbent, and its arsenic sorption behaviour have been reported. Here, the effects of pH with variation of arsenic concentrations, contact time, pre-drying of CHFO, competition of some other anions and regeneration of arsenic-saturated CHFO are conducted by batch method. The sorption of As(V) is highly dependent on the concentration and pH of the experimental system, while that for As(III) is pH insensitive. As(III) is found to require less contact time to attain equilibrium than that of arsenic(V). Pre-drying of CHFO in the temperature range of 200 to 300°C is found to be effective in removing both As(III) and As(V). Adsorption kinetics follow the first-order Lagergren model. The equilibrium data conform to the Langmuir isotherm. Evaluated Langmuir constants and equilibrium parameter (RL) indicate that CHFO is a better As(III) adsorbent under experimental conditions. Sulphate, phosphate and bicarbonate compete poorly with As(III) sorption. A field test using CHFO-packed fixed-bed column is reported. Effluent water bed volumes of 14,000, 11,000 and 9000 BV (arsenic ≤ 0.01 mg L-1) were obtained in the first, second and third cycle of operation from a groundwater sample (arsenic content: 320-400 μg L-1). Regeneration of the exhausted column was achieved with up to 80 to 85% efficiency using 3 BV of 5 M NaOH solution recycled through the column five times. Arsenic was recovered as As2S3 from the regenerates, to avoid recycling of arsenic into the environment.","author":[{"dropping-particle":"","family":"Manna","given":"Biswa Ranjan","non-dropping-particle":"","parse-names":false,"suffix":""},{"dropping-particle":"","family":"Dey","given":"Soumen","non-dropping-particle":"","parse-names":false,"suffix":""},{"dropping-particle":"","family":"Debnath","given":"Sushanta","non-dropping-particle":"","parse-names":false,"suffix":""},{"dropping-particle":"","family":"Ghosh","given":"Uday Chand","non-dropping-particle":"","parse-names":false,"suffix":""}],"container-title":"Water Quality Research Journal of Canada","id":"ITEM-1","issue":"1","issued":{"date-parts":[["2003"]]},"page":"193-210","title":"Removal of arsenic from groundwater using crystalline hydrous ferric oxide (CHFO)","type":"article-journal","volume":"38"},"uris":["http://www.mendeley.com/documents/?uuid=741bb118-502e-42b2-a76a-096025aa5107"]}],"mendeley":{"formattedCitation":"&lt;sup&gt;40&lt;/sup&gt;","plainTextFormattedCitation":"40","previouslyFormattedCitation":"&lt;sup&gt;40&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40</w:t>
      </w:r>
      <w:r w:rsidR="008E2D48" w:rsidRPr="00E70281">
        <w:rPr>
          <w:color w:val="auto"/>
        </w:rPr>
        <w:fldChar w:fldCharType="end"/>
      </w:r>
      <w:r w:rsidR="008E2D48" w:rsidRPr="00E70281">
        <w:rPr>
          <w:color w:val="auto"/>
        </w:rPr>
        <w:t xml:space="preserve"> (</w:t>
      </w:r>
      <w:r w:rsidR="00A67173" w:rsidRPr="00E70281">
        <w:rPr>
          <w:color w:val="auto"/>
        </w:rPr>
        <w:t>dark blue</w:t>
      </w:r>
      <w:r w:rsidR="008E2D48" w:rsidRPr="00E70281">
        <w:rPr>
          <w:color w:val="auto"/>
        </w:rPr>
        <w:t xml:space="preserve"> squares), As(V)/Fe</w:t>
      </w:r>
      <w:r w:rsidR="008E2D48" w:rsidRPr="00E70281">
        <w:rPr>
          <w:color w:val="auto"/>
          <w:vertAlign w:val="subscript"/>
        </w:rPr>
        <w:t>2</w:t>
      </w:r>
      <w:r w:rsidR="008E2D48" w:rsidRPr="00E70281">
        <w:rPr>
          <w:color w:val="auto"/>
        </w:rPr>
        <w:t>O</w:t>
      </w:r>
      <w:r w:rsidR="008E2D48" w:rsidRPr="00E70281">
        <w:rPr>
          <w:color w:val="auto"/>
          <w:vertAlign w:val="subscript"/>
        </w:rPr>
        <w:t>3</w:t>
      </w:r>
      <w:r w:rsidR="008E2D48" w:rsidRPr="00E70281">
        <w:rPr>
          <w:color w:val="auto"/>
        </w:rPr>
        <w:t xml:space="preserve"> </w:t>
      </w:r>
      <w:r w:rsidR="008E2D48" w:rsidRPr="00E70281">
        <w:rPr>
          <w:color w:val="auto"/>
        </w:rPr>
        <w:fldChar w:fldCharType="begin" w:fldLock="1"/>
      </w:r>
      <w:r w:rsidR="003776C0" w:rsidRPr="00E70281">
        <w:rPr>
          <w:color w:val="auto"/>
        </w:rPr>
        <w:instrText>ADDIN CSL_CITATION {"citationItems":[{"id":"ITEM-1","itemData":{"DOI":"10.1016/0927-7757(95)03468-4","ISSN":"09277757","abstract":"Unconventional adsorbents like hematite and feldspar have been employed for the removal of AS(V) from aqueous system. The effect of important parameters like solute concentration, detention time, pH, temperature, agitation rate and particle size of the adsorbent has been addressed. The process of uptake follows first-order kinetics and the data fit the Langmuir isotherm. Mass-transfer coefficients and diffusion coefficients have also been determined to study the dynamics of transport. The pH of the system has been found to play a key role in the uptake. The maximum removal was found to be 100% with hematite and 97% with feldspar under optimum conditions at 13.35 μmol L-1 arsenic concentration. The data were subjected to multiple-regression analysis and a model has been developed to predict the uptake capacity of the adsorbents under given boundary conditions.","author":[{"dropping-particle":"","family":"Singh","given":"D. B.","non-dropping-particle":"","parse-names":false,"suffix":""},{"dropping-particle":"","family":"Prasad","given":"G.","non-dropping-particle":"","parse-names":false,"suffix":""},{"dropping-particle":"","family":"Rupainwar","given":"D. C.","non-dropping-particle":"","parse-names":false,"suffix":""}],"container-title":"Colloids and Surfaces A: Physicochemical and Engineering Aspects","id":"ITEM-1","issue":"1-2","issued":{"date-parts":[["1996"]]},"page":"49-56","title":"Adsorption technique for the treatment of As(V)-rich effluents","type":"article-journal","volume":"111"},"uris":["http://www.mendeley.com/documents/?uuid=4404eecf-fb92-4f2f-8a1a-6a61134adc1d"]}],"mendeley":{"formattedCitation":"&lt;sup&gt;41&lt;/sup&gt;","plainTextFormattedCitation":"41","previouslyFormattedCitation":"&lt;sup&gt;41&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41</w:t>
      </w:r>
      <w:r w:rsidR="008E2D48" w:rsidRPr="00E70281">
        <w:rPr>
          <w:color w:val="auto"/>
        </w:rPr>
        <w:fldChar w:fldCharType="end"/>
      </w:r>
      <w:r w:rsidR="008E2D48" w:rsidRPr="00E70281">
        <w:rPr>
          <w:color w:val="auto"/>
        </w:rPr>
        <w:t xml:space="preserve"> (</w:t>
      </w:r>
      <w:r w:rsidR="00A67173" w:rsidRPr="00E70281">
        <w:rPr>
          <w:color w:val="auto"/>
        </w:rPr>
        <w:t>light blue</w:t>
      </w:r>
      <w:r w:rsidR="008E2D48" w:rsidRPr="00E70281">
        <w:rPr>
          <w:color w:val="auto"/>
        </w:rPr>
        <w:t xml:space="preserve"> circles), HPO</w:t>
      </w:r>
      <w:r w:rsidR="008E2D48" w:rsidRPr="00E70281">
        <w:rPr>
          <w:color w:val="auto"/>
          <w:vertAlign w:val="subscript"/>
        </w:rPr>
        <w:t>4</w:t>
      </w:r>
      <w:r w:rsidR="008E2D48" w:rsidRPr="00E70281">
        <w:rPr>
          <w:color w:val="auto"/>
          <w:vertAlign w:val="superscript"/>
        </w:rPr>
        <w:t>2-</w:t>
      </w:r>
      <w:r w:rsidR="008E2D48" w:rsidRPr="00E70281">
        <w:rPr>
          <w:color w:val="auto"/>
        </w:rPr>
        <w:t xml:space="preserve">/iron hydroxide </w:t>
      </w:r>
      <w:r w:rsidR="008E2D48" w:rsidRPr="00E70281">
        <w:rPr>
          <w:color w:val="auto"/>
        </w:rPr>
        <w:fldChar w:fldCharType="begin" w:fldLock="1"/>
      </w:r>
      <w:r w:rsidR="003776C0" w:rsidRPr="00E70281">
        <w:rPr>
          <w:color w:val="auto"/>
        </w:rPr>
        <w:instrText>ADDIN CSL_CITATION {"citationItems":[{"id":"ITEM-1","itemData":{"DOI":"10.1016/j.cej.2008.06.024","ISSN":"13858947","abstract":"This study explored the feasibility of using waste iron hydroxide-eggshell as adsorbent for the removal of phosphate under different experimental conditions. In our experiments, the batch sorption is studied with respect to solute concentration (2.8-110 mg/L), contact time, adsorbent dose (2.5-20 g/L) and solution temperature (20-45 °C). The Langmuir, Freundlich, and Langmuir-Freundlich adsorption models were applied to experimental equilibrium data at different solution temperatures and the isotherm constants were calculated using linear regression analysis. A comparison of kinetic models applied to the adsorption of phosphate onto iron hydroxide-eggshell was evaluated for the pseudo-second-order, Elovich, intra-particle diffusion and Bangham's kinetics models. The experimental data fitted very well the pseudo-second-order kinetic model and also followed by intra-particle diffusion model up to 5 min, whereas diffusion is not only the rate-controlling step. The results show that the sorption capacity increases with an increase in solution temperature from 20 to 45 °C at the initial phosphate solution concentration of 27 mg/L. The thermodynamics parameters were evaluated. The positive value of ΔH° (81.84 kJ/mol) indicated that the adsorption of phosphate onto iron hydroxide-eggshell was endothermic, which result was supported by the increasing adsorption of phosphate with temperature. The positive value of ΔS° (0.282 kJ/mol) reflects good affinity of phosphate ions towards the waste iron hydroxide-eggshell. The results have established good potentiality for the waste iron hydroxide-eggshell particles to be used as a sorbent for the removal of phosphorus from wastewater. © 2008 Elsevier B.V. All rights reserved.","author":[{"dropping-particle":"","family":"Mezenner","given":"N. Yeddou","non-dropping-particle":"","parse-names":false,"suffix":""},{"dropping-particle":"","family":"Bensmaili","given":"A.","non-dropping-particle":"","parse-names":false,"suffix":""}],"container-title":"Chemical Engineering Journal","id":"ITEM-1","issue":"2-3","issued":{"date-parts":[["2009"]]},"page":"87-96","title":"Kinetics and thermodynamic study of phosphate adsorption on iron hydroxide-eggshell waste","type":"article-journal","volume":"147"},"uris":["http://www.mendeley.com/documents/?uuid=e6693a72-7f93-44f5-bd98-3de107f92b47"]}],"mendeley":{"formattedCitation":"&lt;sup&gt;42&lt;/sup&gt;","plainTextFormattedCitation":"42","previouslyFormattedCitation":"&lt;sup&gt;42&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42</w:t>
      </w:r>
      <w:r w:rsidR="008E2D48" w:rsidRPr="00E70281">
        <w:rPr>
          <w:color w:val="auto"/>
        </w:rPr>
        <w:fldChar w:fldCharType="end"/>
      </w:r>
      <w:r w:rsidR="00A67173" w:rsidRPr="00E70281">
        <w:rPr>
          <w:color w:val="auto"/>
        </w:rPr>
        <w:t xml:space="preserve"> (dark green diamonds)</w:t>
      </w:r>
      <w:r w:rsidR="008E2D48" w:rsidRPr="00E70281">
        <w:rPr>
          <w:color w:val="auto"/>
        </w:rPr>
        <w:t>, Cr(VI)/Fe</w:t>
      </w:r>
      <w:r w:rsidR="008E2D48" w:rsidRPr="00E70281">
        <w:rPr>
          <w:color w:val="auto"/>
          <w:vertAlign w:val="subscript"/>
        </w:rPr>
        <w:t>2</w:t>
      </w:r>
      <w:r w:rsidR="008E2D48" w:rsidRPr="00E70281">
        <w:rPr>
          <w:color w:val="auto"/>
        </w:rPr>
        <w:t>O</w:t>
      </w:r>
      <w:r w:rsidR="008E2D48" w:rsidRPr="00E70281">
        <w:rPr>
          <w:color w:val="auto"/>
          <w:vertAlign w:val="subscript"/>
        </w:rPr>
        <w:t>3</w:t>
      </w:r>
      <w:r w:rsidR="008E2D48" w:rsidRPr="00E70281">
        <w:rPr>
          <w:color w:val="auto"/>
        </w:rPr>
        <w:t xml:space="preserve"> </w:t>
      </w:r>
      <w:r w:rsidR="008E2D48" w:rsidRPr="00E70281">
        <w:rPr>
          <w:color w:val="auto"/>
        </w:rPr>
        <w:fldChar w:fldCharType="begin" w:fldLock="1"/>
      </w:r>
      <w:r w:rsidR="003776C0" w:rsidRPr="00E70281">
        <w:rPr>
          <w:color w:val="auto"/>
        </w:rPr>
        <w:instrText>ADDIN CSL_CITATION {"citationItems":[{"id":"ITEM-1","itemData":{"DOI":"10.1080/24701556.2017.1357581","ISSN":"24701564","abstract":"Facile additive-free synthesis of hematite nanoparticles via a chemical co-precipitation technique is reported for adsorptive removal of Cr(VI) from aqueous media, and adsorption capacity as much as 43.05 mg/g at solution pH 2.0 is observed. Langmuir isotherm model was fitted nicely with adsorption experimental data, whereas kinetic studies reveal that both surface adsorption and intra-particle diffusion are involved in the adsorption mechanism. Thermodynamic studies established the favorability, spontaneity, and exothermic nature of the adsorption process. Regeneration studies revealed the stability of the adsorbent up to three consecutive cycles, indicating it as a potential adsorbent for Cr(VI)-contaminated wastewater remediation.","author":[{"dropping-particle":"","family":"Debnath","given":"A.","non-dropping-particle":"","parse-names":false,"suffix":""},{"dropping-particle":"","family":"Bera","given":"A.","non-dropping-particle":"","parse-names":false,"suffix":""},{"dropping-particle":"","family":"Chattopadhyay","given":"K. K.","non-dropping-particle":"","parse-names":false,"suffix":""},{"dropping-particle":"","family":"Saha","given":"B.","non-dropping-particle":"","parse-names":false,"suffix":""}],"container-title":"Inorganic and Nano-Metal Chemistry","id":"ITEM-1","issue":"12","issued":{"date-parts":[["2017"]]},"page":"1605-1613","publisher":"Taylor &amp; Francis","title":"Facile additive-free synthesis of hematite nanoparticles for enhanced adsorption of hexavalent chromium from aqueous media: Kinetic, isotherm, and thermodynamic study","type":"article-journal","volume":"47"},"uris":["http://www.mendeley.com/documents/?uuid=0c18fb7a-abc2-43a9-a593-ca090747b5e2"]}],"mendeley":{"formattedCitation":"&lt;sup&gt;43&lt;/sup&gt;","plainTextFormattedCitation":"43","previouslyFormattedCitation":"&lt;sup&gt;43&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43</w:t>
      </w:r>
      <w:r w:rsidR="008E2D48" w:rsidRPr="00E70281">
        <w:rPr>
          <w:color w:val="auto"/>
        </w:rPr>
        <w:fldChar w:fldCharType="end"/>
      </w:r>
      <w:r w:rsidR="00A67173" w:rsidRPr="00E70281">
        <w:rPr>
          <w:color w:val="auto"/>
        </w:rPr>
        <w:t xml:space="preserve"> (light green triangles)</w:t>
      </w:r>
      <w:r w:rsidR="008E2D48" w:rsidRPr="00E70281">
        <w:rPr>
          <w:color w:val="auto"/>
        </w:rPr>
        <w:t>,  Cr(VI)/Mg-Al-CO</w:t>
      </w:r>
      <w:r w:rsidR="008E2D48" w:rsidRPr="00E70281">
        <w:rPr>
          <w:color w:val="auto"/>
          <w:vertAlign w:val="subscript"/>
        </w:rPr>
        <w:t>3</w:t>
      </w:r>
      <w:r w:rsidR="008E2D48" w:rsidRPr="00E70281">
        <w:rPr>
          <w:color w:val="auto"/>
        </w:rPr>
        <w:t xml:space="preserve"> </w:t>
      </w:r>
      <w:r w:rsidR="008E2D48" w:rsidRPr="00E70281">
        <w:rPr>
          <w:color w:val="auto"/>
        </w:rPr>
        <w:fldChar w:fldCharType="begin" w:fldLock="1"/>
      </w:r>
      <w:r w:rsidR="003776C0" w:rsidRPr="00E70281">
        <w:rPr>
          <w:color w:val="auto"/>
        </w:rPr>
        <w:instrText xml:space="preserve">ADDIN CSL_CITATION {"citationItems":[{"id":"ITEM-1","itemData":{"DOI":"10.1021/ie030735n","ISSN":"08885885","abstract":"In this study, the sorptive removal of hexavalent chromium from aqueous solutions by Mg-Al-CO3 hydrotalcite was investigated in a batch mode. The influence of solution pH, conditioning duration, initial chromium concentration, sorbent concentration, sorbent particle size, and temperature was tested at sorption kinetic runs. The influence of eluant concentration and volume was tested at desorption kinetic runs. Desorption experiments showed that the loaded material can be fully regenerated and reused. Four kinetic models have been evaluated if they fit the experimental data: the pseudo-first-order, a modified second-order, and two ion-exchange models. It showed that the second-order model could best describe the sorption and desorption kinetics. The Freundlich isotherm was used to fit equilibrium experiments. Hydrotalcite presented a sorption capacity of </w:instrText>
      </w:r>
      <w:r w:rsidR="003776C0" w:rsidRPr="00E70281">
        <w:rPr>
          <w:rFonts w:ascii="Cambria Math" w:hAnsi="Cambria Math" w:cs="Cambria Math"/>
          <w:color w:val="auto"/>
        </w:rPr>
        <w:instrText>∼</w:instrText>
      </w:r>
      <w:r w:rsidR="003776C0" w:rsidRPr="00E70281">
        <w:rPr>
          <w:color w:val="auto"/>
        </w:rPr>
        <w:instrText xml:space="preserve">17 mg Cr/g under the studied conditions. The calculated activation energy for the studied process was 24 </w:instrText>
      </w:r>
      <w:r w:rsidR="003776C0" w:rsidRPr="00E70281">
        <w:rPr>
          <w:rFonts w:ascii="Calibri" w:hAnsi="Calibri" w:cs="Calibri"/>
          <w:color w:val="auto"/>
        </w:rPr>
        <w:instrText>±</w:instrText>
      </w:r>
      <w:r w:rsidR="003776C0" w:rsidRPr="00E70281">
        <w:rPr>
          <w:color w:val="auto"/>
        </w:rPr>
        <w:instrText xml:space="preserve"> 2 kJ/mol.","author":[{"dropping-particle":"","family":"Lazaridis","given":"N. K.","non-dropping-particle":"","parse-names":false,"suffix":""},{"dropping-particle":"","family":"Pandi","given":"T. A.","non-dropping-particle":"","parse-names":false,"suffix":""},{"dropping-particle":"","family":"Matis","given":"K. A.","non-dropping-particle":"","parse-names":false,"suffix":""}],"container-title":"Industrial and Engineering Chemistry Research","id":"ITEM-1","issue":"9","issued":{"date-parts":[["2004"]]},"page":"2209-2215","title":"Chromium(VI) Removal from Aqueous Solutions by Mg-Al-CO3 Hydrotalcite: Sorption-Desorption Kinetic and Equilibrium Studies","type":"article-journal","volume":"43"},"uris":["http://www.mendeley.com/documents/?uuid=fdcd9ae6-1d24-455e-8e4a-e6d0c9b15ff3"]}],"mendeley":{"formattedCitation":"&lt;sup&gt;44&lt;/sup&gt;","plainTextFormattedCitation":"44","previouslyFormattedCitation":"&lt;sup&gt;44&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44</w:t>
      </w:r>
      <w:r w:rsidR="008E2D48" w:rsidRPr="00E70281">
        <w:rPr>
          <w:color w:val="auto"/>
        </w:rPr>
        <w:fldChar w:fldCharType="end"/>
      </w:r>
      <w:r w:rsidR="00A67173" w:rsidRPr="00E70281">
        <w:rPr>
          <w:color w:val="auto"/>
        </w:rPr>
        <w:t xml:space="preserve"> (orange squares)</w:t>
      </w:r>
      <w:r w:rsidR="008E2D48" w:rsidRPr="00E70281">
        <w:rPr>
          <w:color w:val="auto"/>
        </w:rPr>
        <w:t>, and Cd(II)/Fe</w:t>
      </w:r>
      <w:r w:rsidR="008E2D48" w:rsidRPr="00E70281">
        <w:rPr>
          <w:color w:val="auto"/>
          <w:vertAlign w:val="subscript"/>
        </w:rPr>
        <w:t>2</w:t>
      </w:r>
      <w:r w:rsidR="008E2D48" w:rsidRPr="00E70281">
        <w:rPr>
          <w:color w:val="auto"/>
        </w:rPr>
        <w:t>O</w:t>
      </w:r>
      <w:r w:rsidR="008E2D48" w:rsidRPr="00E70281">
        <w:rPr>
          <w:color w:val="auto"/>
          <w:vertAlign w:val="subscript"/>
        </w:rPr>
        <w:t>3</w:t>
      </w:r>
      <w:r w:rsidR="008E2D48" w:rsidRPr="00E70281">
        <w:rPr>
          <w:color w:val="auto"/>
        </w:rPr>
        <w:t xml:space="preserve"> </w:t>
      </w:r>
      <w:r w:rsidR="008E2D48" w:rsidRPr="00E70281">
        <w:rPr>
          <w:color w:val="auto"/>
        </w:rPr>
        <w:fldChar w:fldCharType="begin" w:fldLock="1"/>
      </w:r>
      <w:r w:rsidR="003776C0" w:rsidRPr="00E70281">
        <w:rPr>
          <w:color w:val="auto"/>
        </w:rPr>
        <w:instrText>ADDIN CSL_CITATION {"citationItems":[{"id":"ITEM-1","itemData":{"DOI":"10.1007/s11356-012-0984-z","ISSN":"09441344","abstract":"Nanoparticles offer the potential to improve environmental treatment technologies due to their unique properties. Adsorption of metal ions (Pb(II), Cd(II), Cu(II), Zn(II)) to nanohematite was examined as a function of sorbent concentration, pH, temperature, and exhaustion. Adsorption experiments were conducted with 0. 05, 0. 1, and 0. 5 g/L nanoparticles in a pH 8 solution and in spiked San Antonio tap water. The adsorption data showed the ability of nanohematite to remove Pb, Cd, Cu, and Zn species from solution with adsorption increasing as the nanoparticle concentration increased. At 0. 5 g/L nanohematite, 100 % Pb species adsorbed, 94 % Cd species adsorbed, 89 % Cu species adsorbed and 100 % Zn species adsorbed. Adsorption kinetics for all metals tested was described by a pseudo second-order rate equation with lead having the fastest rate of adsorption. The effect of temperature on adsorption showed that Pb(II), Cu(II), and Cd(II) underwent an endothermic reaction, while Zn(II) underwent an exothermic reaction. The nanoparticles were able to simultaneously remove multiple metals species (Zn, Cd, Pb, and Cu) from both a pH 8 solution and spiked San Antonio tap water. Exhaustion experiments showed that at pH 8, exhaustion did not occur for the nanoparticles but adsorption does decrease for Cd, Cu, and Zn species but not Pb species. The strong adsorption coupled with the ability to simultaneously remove multiple metal ions offers a potential remediation method for the removal of metals from water. © 2012 Springer-Verlag.","author":[{"dropping-particle":"","family":"Shipley","given":"Heather J.","non-dropping-particle":"","parse-names":false,"suffix":""},{"dropping-particle":"","family":"Engates","given":"Karen E.","non-dropping-particle":"","parse-names":false,"suffix":""},{"dropping-particle":"","family":"Grover","given":"Valerie A.","non-dropping-particle":"","parse-names":false,"suffix":""}],"container-title":"Environmental Science and Pollution Research","id":"ITEM-1","issue":"3","issued":{"date-parts":[["2013"]]},"page":"1727-1736","title":"Removal of Pb(II), Cd(II), Cu(II), and Zn(II) by hematite nanoparticles: Effect of sorbent concentration, pH, temperature, and exhaustion","type":"article-journal","volume":"20"},"uris":["http://www.mendeley.com/documents/?uuid=f9ef2c68-e859-448c-bd49-5ae929df4af6"]}],"mendeley":{"formattedCitation":"&lt;sup&gt;45&lt;/sup&gt;","plainTextFormattedCitation":"45","previouslyFormattedCitation":"&lt;sup&gt;45&lt;/sup&gt;"},"properties":{"noteIndex":0},"schema":"https://github.com/citation-style-language/schema/raw/master/csl-citation.json"}</w:instrText>
      </w:r>
      <w:r w:rsidR="008E2D48" w:rsidRPr="00E70281">
        <w:rPr>
          <w:color w:val="auto"/>
        </w:rPr>
        <w:fldChar w:fldCharType="separate"/>
      </w:r>
      <w:r w:rsidR="00623D96" w:rsidRPr="00E70281">
        <w:rPr>
          <w:i w:val="0"/>
          <w:noProof/>
          <w:color w:val="auto"/>
          <w:vertAlign w:val="superscript"/>
        </w:rPr>
        <w:t>45</w:t>
      </w:r>
      <w:r w:rsidR="008E2D48" w:rsidRPr="00E70281">
        <w:rPr>
          <w:color w:val="auto"/>
        </w:rPr>
        <w:fldChar w:fldCharType="end"/>
      </w:r>
      <w:r w:rsidR="00A67173" w:rsidRPr="00E70281">
        <w:rPr>
          <w:color w:val="auto"/>
        </w:rPr>
        <w:t xml:space="preserve"> (red circles)</w:t>
      </w:r>
      <w:r w:rsidR="008E2D48" w:rsidRPr="00E70281">
        <w:rPr>
          <w:color w:val="auto"/>
        </w:rPr>
        <w:t>.</w:t>
      </w:r>
      <w:r w:rsidR="002221CF" w:rsidRPr="00E70281">
        <w:rPr>
          <w:color w:val="auto"/>
        </w:rPr>
        <w:t xml:space="preserve"> </w:t>
      </w:r>
      <w:r w:rsidR="003F2782" w:rsidRPr="00E70281">
        <w:rPr>
          <w:color w:val="auto"/>
        </w:rPr>
        <w:t>Further results are presented in SI Figure S3.</w:t>
      </w:r>
    </w:p>
    <w:bookmarkEnd w:id="52"/>
    <w:p w14:paraId="7B7E11F1" w14:textId="77777777" w:rsidR="00743026" w:rsidRPr="00E70281" w:rsidRDefault="00743026" w:rsidP="00743026"/>
    <w:p w14:paraId="32919DB7" w14:textId="2EAF8200" w:rsidR="00087DD4" w:rsidRPr="00E70281" w:rsidRDefault="005B2D52" w:rsidP="002B2934">
      <w:pPr>
        <w:spacing w:after="200"/>
        <w:rPr>
          <w:color w:val="auto"/>
        </w:rPr>
      </w:pPr>
      <w:r w:rsidRPr="00E70281">
        <w:rPr>
          <w:color w:val="auto"/>
        </w:rPr>
        <w:t xml:space="preserve">Whilst the rPSO rate constant k’ </w:t>
      </w:r>
      <w:r w:rsidR="001E195F" w:rsidRPr="00E70281">
        <w:rPr>
          <w:color w:val="auto"/>
        </w:rPr>
        <w:t>appears to</w:t>
      </w:r>
      <w:r w:rsidRPr="00E70281">
        <w:rPr>
          <w:color w:val="auto"/>
        </w:rPr>
        <w:t xml:space="preserve"> be more stable to changes in experimental conditions than the PSO rate constant k</w:t>
      </w:r>
      <w:r w:rsidRPr="00E70281">
        <w:rPr>
          <w:color w:val="auto"/>
          <w:vertAlign w:val="subscript"/>
        </w:rPr>
        <w:t>2</w:t>
      </w:r>
      <w:r w:rsidRPr="00E70281">
        <w:rPr>
          <w:color w:val="auto"/>
        </w:rPr>
        <w:t>, the parameter q</w:t>
      </w:r>
      <w:r w:rsidRPr="00E70281">
        <w:rPr>
          <w:color w:val="auto"/>
          <w:vertAlign w:val="subscript"/>
        </w:rPr>
        <w:t>e</w:t>
      </w:r>
      <w:r w:rsidRPr="00E70281">
        <w:rPr>
          <w:color w:val="auto"/>
        </w:rPr>
        <w:t xml:space="preserve"> is conditional, depending upon C</w:t>
      </w:r>
      <w:r w:rsidRPr="00E70281">
        <w:rPr>
          <w:color w:val="auto"/>
          <w:vertAlign w:val="subscript"/>
        </w:rPr>
        <w:t>0</w:t>
      </w:r>
      <w:r w:rsidRPr="00E70281">
        <w:rPr>
          <w:color w:val="auto"/>
        </w:rPr>
        <w:t xml:space="preserve"> and C</w:t>
      </w:r>
      <w:r w:rsidRPr="00E70281">
        <w:rPr>
          <w:color w:val="auto"/>
          <w:vertAlign w:val="subscript"/>
        </w:rPr>
        <w:t>s</w:t>
      </w:r>
      <w:r w:rsidRPr="00E70281">
        <w:rPr>
          <w:color w:val="auto"/>
        </w:rPr>
        <w:t>. For predictive modelling, this limitation can be rectified by</w:t>
      </w:r>
      <w:r w:rsidR="00885CA9" w:rsidRPr="00E70281">
        <w:rPr>
          <w:color w:val="auto"/>
        </w:rPr>
        <w:t xml:space="preserve"> using an adsorption isotherm to predict q</w:t>
      </w:r>
      <w:r w:rsidR="00885CA9" w:rsidRPr="00E70281">
        <w:rPr>
          <w:color w:val="auto"/>
          <w:vertAlign w:val="subscript"/>
        </w:rPr>
        <w:t>e</w:t>
      </w:r>
      <w:r w:rsidR="00885CA9" w:rsidRPr="00E70281">
        <w:rPr>
          <w:color w:val="auto"/>
        </w:rPr>
        <w:t xml:space="preserve"> (</w:t>
      </w:r>
      <w:r w:rsidRPr="00E70281">
        <w:rPr>
          <w:color w:val="auto"/>
        </w:rPr>
        <w:t xml:space="preserve">such as the Langmuir or Freundlich model </w:t>
      </w:r>
      <w:r w:rsidRPr="00E70281">
        <w:rPr>
          <w:rFonts w:cstheme="minorHAnsi"/>
          <w:color w:val="auto"/>
        </w:rPr>
        <w:fldChar w:fldCharType="begin" w:fldLock="1"/>
      </w:r>
      <w:r w:rsidR="003776C0" w:rsidRPr="00E70281">
        <w:rPr>
          <w:rFonts w:cstheme="minorHAnsi"/>
          <w:color w:val="auto"/>
        </w:rPr>
        <w:instrText>ADDIN CSL_CITATION {"citationItems":[{"id":"ITEM-1","itemData":{"DOI":"10.1155/2017/3039817","ISSN":"20909071","abstract":"The need to design low-cost adsorbents for the detoxification of industrial effluents has been a growing concern for most environmental researchers. So modelling of experimental data from adsorption processes is a very important means of predicting the mechanisms of various adsorption systems. Therefore, this paper presents an overall review of the applications of adsorption isotherms, the use of linear regression analysis, nonlinear regression analysis, and error functions for optimum adsorption data analysis.","author":[{"dropping-particle":"","family":"Ayawei","given":"Nimibofa","non-dropping-particle":"","parse-names":false,"suffix":""},{"dropping-particle":"","family":"Ebelegi","given":"Augustus Newton","non-dropping-particle":"","parse-names":false,"suffix":""},{"dropping-particle":"","family":"Wankasi","given":"Donbebe","non-dropping-particle":"","parse-names":false,"suffix":""}],"container-title":"Journal of Chemistry","id":"ITEM-1","issued":{"date-parts":[["2017"]]},"title":"Modelling and Interpretation of Adsorption Isotherms","type":"article-journal","volume":"2017"},"uris":["http://www.mendeley.com/documents/?uuid=88d0caeb-c142-4c06-ac0a-56bf2c187b67"]}],"mendeley":{"formattedCitation":"&lt;sup&gt;46&lt;/sup&gt;","plainTextFormattedCitation":"46","previouslyFormattedCitation":"&lt;sup&gt;46&lt;/sup&gt;"},"properties":{"noteIndex":0},"schema":"https://github.com/citation-style-language/schema/raw/master/csl-citation.json"}</w:instrText>
      </w:r>
      <w:r w:rsidRPr="00E70281">
        <w:rPr>
          <w:rFonts w:cstheme="minorHAnsi"/>
          <w:color w:val="auto"/>
        </w:rPr>
        <w:fldChar w:fldCharType="separate"/>
      </w:r>
      <w:r w:rsidR="00623D96" w:rsidRPr="00E70281">
        <w:rPr>
          <w:rFonts w:cstheme="minorHAnsi"/>
          <w:noProof/>
          <w:color w:val="auto"/>
          <w:vertAlign w:val="superscript"/>
        </w:rPr>
        <w:t>46</w:t>
      </w:r>
      <w:r w:rsidRPr="00E70281">
        <w:rPr>
          <w:rFonts w:cstheme="minorHAnsi"/>
          <w:color w:val="auto"/>
        </w:rPr>
        <w:fldChar w:fldCharType="end"/>
      </w:r>
      <w:r w:rsidR="00885CA9" w:rsidRPr="00E70281">
        <w:rPr>
          <w:rFonts w:cstheme="minorHAnsi"/>
          <w:color w:val="auto"/>
        </w:rPr>
        <w:t>)</w:t>
      </w:r>
      <w:r w:rsidRPr="00E70281">
        <w:rPr>
          <w:color w:val="auto"/>
        </w:rPr>
        <w:t xml:space="preserve">. </w:t>
      </w:r>
      <w:r w:rsidR="00114768" w:rsidRPr="00E70281">
        <w:rPr>
          <w:color w:val="auto"/>
        </w:rPr>
        <w:t>Though</w:t>
      </w:r>
      <w:r w:rsidRPr="00E70281">
        <w:rPr>
          <w:color w:val="auto"/>
        </w:rPr>
        <w:t xml:space="preserve"> a single value of q</w:t>
      </w:r>
      <w:r w:rsidRPr="00E70281">
        <w:rPr>
          <w:color w:val="auto"/>
          <w:vertAlign w:val="subscript"/>
        </w:rPr>
        <w:t>e</w:t>
      </w:r>
      <w:r w:rsidRPr="00E70281">
        <w:rPr>
          <w:color w:val="auto"/>
        </w:rPr>
        <w:t xml:space="preserve"> can be determined for the entirety of </w:t>
      </w:r>
      <w:r w:rsidRPr="00E70281">
        <w:rPr>
          <w:color w:val="auto"/>
        </w:rPr>
        <w:lastRenderedPageBreak/>
        <w:t>each experiment, in sce</w:t>
      </w:r>
      <w:r w:rsidR="00114768" w:rsidRPr="00E70281">
        <w:rPr>
          <w:color w:val="auto"/>
        </w:rPr>
        <w:t>narios such as a column reactor</w:t>
      </w:r>
      <w:r w:rsidRPr="00E70281">
        <w:rPr>
          <w:color w:val="auto"/>
        </w:rPr>
        <w:t xml:space="preserve"> the equilibrium ad</w:t>
      </w:r>
      <w:r w:rsidR="00743026" w:rsidRPr="00E70281">
        <w:rPr>
          <w:color w:val="auto"/>
        </w:rPr>
        <w:t>sorbate concentration parameter</w:t>
      </w:r>
      <w:r w:rsidRPr="00E70281">
        <w:rPr>
          <w:color w:val="auto"/>
        </w:rPr>
        <w:t xml:space="preserve"> C</w:t>
      </w:r>
      <w:r w:rsidRPr="00E70281">
        <w:rPr>
          <w:color w:val="auto"/>
          <w:vertAlign w:val="subscript"/>
        </w:rPr>
        <w:t>e</w:t>
      </w:r>
      <w:r w:rsidR="001E195F" w:rsidRPr="00E70281">
        <w:rPr>
          <w:color w:val="auto"/>
        </w:rPr>
        <w:t xml:space="preserve"> </w:t>
      </w:r>
      <w:r w:rsidRPr="00E70281">
        <w:rPr>
          <w:color w:val="auto"/>
        </w:rPr>
        <w:t xml:space="preserve">has </w:t>
      </w:r>
      <w:r w:rsidR="00885CA9" w:rsidRPr="00E70281">
        <w:rPr>
          <w:color w:val="auto"/>
        </w:rPr>
        <w:t>diminished</w:t>
      </w:r>
      <w:r w:rsidR="001E195F" w:rsidRPr="00E70281">
        <w:rPr>
          <w:color w:val="auto"/>
        </w:rPr>
        <w:t xml:space="preserve"> physical</w:t>
      </w:r>
      <w:r w:rsidRPr="00E70281">
        <w:rPr>
          <w:color w:val="auto"/>
        </w:rPr>
        <w:t xml:space="preserve"> significance, and it may be better to replace this term with C</w:t>
      </w:r>
      <w:r w:rsidRPr="00E70281">
        <w:rPr>
          <w:color w:val="auto"/>
          <w:vertAlign w:val="subscript"/>
        </w:rPr>
        <w:t>t</w:t>
      </w:r>
      <w:r w:rsidRPr="00E70281">
        <w:rPr>
          <w:color w:val="auto"/>
        </w:rPr>
        <w:t>, recalculat</w:t>
      </w:r>
      <w:r w:rsidR="00743026" w:rsidRPr="00E70281">
        <w:rPr>
          <w:color w:val="auto"/>
        </w:rPr>
        <w:t>ing</w:t>
      </w:r>
      <w:r w:rsidRPr="00E70281">
        <w:rPr>
          <w:color w:val="auto"/>
        </w:rPr>
        <w:t xml:space="preserve"> the hypothetical value of q</w:t>
      </w:r>
      <w:r w:rsidRPr="00E70281">
        <w:rPr>
          <w:color w:val="auto"/>
          <w:vertAlign w:val="subscript"/>
        </w:rPr>
        <w:t>e</w:t>
      </w:r>
      <w:r w:rsidRPr="00E70281">
        <w:rPr>
          <w:color w:val="auto"/>
        </w:rPr>
        <w:t xml:space="preserve"> at each point in time. Huang </w:t>
      </w:r>
      <w:r w:rsidR="002B2934" w:rsidRPr="00E70281">
        <w:rPr>
          <w:color w:val="FF0000"/>
        </w:rPr>
        <w:t xml:space="preserve">and </w:t>
      </w:r>
      <w:r w:rsidR="003932EE" w:rsidRPr="00E70281">
        <w:rPr>
          <w:color w:val="FF0000"/>
        </w:rPr>
        <w:t>co-workers</w:t>
      </w:r>
      <w:r w:rsidRPr="00E70281">
        <w:rPr>
          <w:color w:val="FF0000"/>
        </w:rPr>
        <w:t xml:space="preserve"> </w:t>
      </w:r>
      <w:r w:rsidRPr="00E70281">
        <w:rPr>
          <w:color w:val="auto"/>
        </w:rPr>
        <w:t xml:space="preserve">previously demonstrated that this approach can give a better account of the true driving force of the reaction during the initial stages of adsorption </w:t>
      </w:r>
      <w:r w:rsidRPr="00E70281">
        <w:rPr>
          <w:color w:val="auto"/>
        </w:rPr>
        <w:fldChar w:fldCharType="begin" w:fldLock="1"/>
      </w:r>
      <w:r w:rsidR="003776C0" w:rsidRPr="00E70281">
        <w:rPr>
          <w:color w:val="auto"/>
        </w:rPr>
        <w:instrText>ADDIN CSL_CITATION {"citationItems":[{"id":"ITEM-1","itemData":{"DOI":"10.1002/aic.16051","ISSN":"15475905","abstract":"When the model fitting of sorption kinetics data was performed using linearized pseudosecond-order rate equations based on constant Q e corresponding to equilibrium sorption, the instantaneous driving force for sorption was underestimated, resulting in an erroneous overestimation of the rate constant. To resolve the issue, a rectification of the model fitting was proposed by accounting for the concentration dependence of Q e in the model equation based on the fact that Q e in the equation represents the sorption capacity at that instant as sorption proceeded with time. The rectified approach was validated with experimental data for various sorption systems reported in the literature. It was shown that the rectification yielded true sorption rate constant that characterizes the relationship between sorption rate and solute concentration, thereby resolving the issues associated with the original approach where the specific rate constant was found to depend on solute concentration and sorption time. © 2017 American Institute of Chemical Engineers AIChE J, 64: 1793–1805, 2018.","author":[{"dropping-particle":"","family":"Huang","given":"Yifeng","non-dropping-particle":"","parse-names":false,"suffix":""},{"dropping-particle":"","family":"Farooq","given":"Muhammad U.","non-dropping-particle":"","parse-names":false,"suffix":""},{"dropping-particle":"","family":"Lai","given":"Shuixiu","non-dropping-particle":"","parse-names":false,"suffix":""},{"dropping-particle":"","family":"Feng","given":"Xianshe","non-dropping-particle":"","parse-names":false,"suffix":""},{"dropping-particle":"","family":"Sampranpiboon","given":"Panida","non-dropping-particle":"","parse-names":false,"suffix":""},{"dropping-particle":"","family":"Wang","given":"Xiaodong","non-dropping-particle":"","parse-names":false,"suffix":""},{"dropping-particle":"","family":"Huang","given":"Wei","non-dropping-particle":"","parse-names":false,"suffix":""}],"container-title":"AIChE Journal","id":"ITEM-1","issue":"5","issued":{"date-parts":[["2018"]]},"page":"1793-1805","title":"Model fitting of sorption kinetics data: Misapplications overlooked and their rectifications","type":"article-journal","volume":"64"},"uris":["http://www.mendeley.com/documents/?uuid=85a3529a-a073-45b9-a97d-255b1ce8f184"]}],"mendeley":{"formattedCitation":"&lt;sup&gt;47&lt;/sup&gt;","plainTextFormattedCitation":"47","previouslyFormattedCitation":"&lt;sup&gt;47&lt;/sup&gt;"},"properties":{"noteIndex":0},"schema":"https://github.com/citation-style-language/schema/raw/master/csl-citation.json"}</w:instrText>
      </w:r>
      <w:r w:rsidRPr="00E70281">
        <w:rPr>
          <w:color w:val="auto"/>
        </w:rPr>
        <w:fldChar w:fldCharType="separate"/>
      </w:r>
      <w:r w:rsidR="00623D96" w:rsidRPr="00E70281">
        <w:rPr>
          <w:noProof/>
          <w:color w:val="auto"/>
          <w:vertAlign w:val="superscript"/>
        </w:rPr>
        <w:t>47</w:t>
      </w:r>
      <w:r w:rsidRPr="00E70281">
        <w:rPr>
          <w:color w:val="auto"/>
        </w:rPr>
        <w:fldChar w:fldCharType="end"/>
      </w:r>
      <w:r w:rsidRPr="00E70281">
        <w:rPr>
          <w:color w:val="auto"/>
        </w:rPr>
        <w:t xml:space="preserve">. </w:t>
      </w:r>
    </w:p>
    <w:p w14:paraId="3F6022AB" w14:textId="77777777" w:rsidR="00087DD4" w:rsidRPr="00E70281" w:rsidRDefault="00087DD4">
      <w:pPr>
        <w:spacing w:after="200"/>
        <w:jc w:val="left"/>
        <w:rPr>
          <w:color w:val="auto"/>
        </w:rPr>
      </w:pPr>
    </w:p>
    <w:p w14:paraId="7CA4EC1C" w14:textId="1C57B6B3" w:rsidR="00824BB1" w:rsidRPr="00E70281" w:rsidRDefault="00343C54" w:rsidP="00FF0795">
      <w:pPr>
        <w:pStyle w:val="Heading3"/>
        <w:numPr>
          <w:ilvl w:val="0"/>
          <w:numId w:val="0"/>
        </w:numPr>
        <w:ind w:left="720"/>
        <w:rPr>
          <w:color w:val="auto"/>
        </w:rPr>
      </w:pPr>
      <w:r w:rsidRPr="00E70281">
        <w:rPr>
          <w:color w:val="auto"/>
        </w:rPr>
        <w:t xml:space="preserve">Application 2: </w:t>
      </w:r>
      <w:r w:rsidR="00787FA7" w:rsidRPr="00E70281">
        <w:rPr>
          <w:color w:val="auto"/>
        </w:rPr>
        <w:t>Comparison</w:t>
      </w:r>
      <w:r w:rsidR="00962BB3" w:rsidRPr="00E70281">
        <w:rPr>
          <w:color w:val="auto"/>
        </w:rPr>
        <w:t xml:space="preserve"> of rate constants</w:t>
      </w:r>
      <w:r w:rsidR="008E417A" w:rsidRPr="00E70281">
        <w:rPr>
          <w:color w:val="auto"/>
        </w:rPr>
        <w:t xml:space="preserve"> </w:t>
      </w:r>
      <w:r w:rsidR="00114768" w:rsidRPr="00E70281">
        <w:rPr>
          <w:color w:val="auto"/>
        </w:rPr>
        <w:t>between different experimental studies</w:t>
      </w:r>
    </w:p>
    <w:p w14:paraId="41F8680C" w14:textId="6DD4E2BB" w:rsidR="00F35A0C" w:rsidRPr="00E70281" w:rsidRDefault="002B2934" w:rsidP="00D1576F">
      <w:pPr>
        <w:rPr>
          <w:color w:val="auto"/>
        </w:rPr>
      </w:pPr>
      <w:r w:rsidRPr="00E70281">
        <w:rPr>
          <w:color w:val="auto"/>
        </w:rPr>
        <w:t>T</w:t>
      </w:r>
      <w:r w:rsidR="00F35A0C" w:rsidRPr="00E70281">
        <w:rPr>
          <w:color w:val="auto"/>
        </w:rPr>
        <w:t xml:space="preserve">he rPSO rate constant k’ is </w:t>
      </w:r>
      <w:r w:rsidR="00F70959" w:rsidRPr="00E70281">
        <w:rPr>
          <w:color w:val="auto"/>
        </w:rPr>
        <w:t xml:space="preserve">expected to be </w:t>
      </w:r>
      <w:r w:rsidR="00F35A0C" w:rsidRPr="00E70281">
        <w:rPr>
          <w:color w:val="auto"/>
        </w:rPr>
        <w:t>more meaningful and more appropriate</w:t>
      </w:r>
      <w:r w:rsidR="00885CA9" w:rsidRPr="00E70281">
        <w:rPr>
          <w:color w:val="auto"/>
        </w:rPr>
        <w:t xml:space="preserve"> than k</w:t>
      </w:r>
      <w:r w:rsidR="00885CA9" w:rsidRPr="00E70281">
        <w:rPr>
          <w:color w:val="auto"/>
          <w:vertAlign w:val="subscript"/>
        </w:rPr>
        <w:t>2</w:t>
      </w:r>
      <w:r w:rsidR="00885CA9" w:rsidRPr="00E70281">
        <w:rPr>
          <w:color w:val="auto"/>
        </w:rPr>
        <w:t xml:space="preserve"> when comparing adsorption kinetics reported in the literature </w:t>
      </w:r>
      <w:r w:rsidR="00F35A0C" w:rsidRPr="00E70281">
        <w:rPr>
          <w:color w:val="FF0000"/>
        </w:rPr>
        <w:t>since</w:t>
      </w:r>
      <w:r w:rsidR="00E64DE0">
        <w:rPr>
          <w:color w:val="FF0000"/>
        </w:rPr>
        <w:t xml:space="preserve"> k’ is less sensitive towards </w:t>
      </w:r>
      <w:r w:rsidRPr="00E70281">
        <w:rPr>
          <w:color w:val="FF0000"/>
        </w:rPr>
        <w:t>experimental conditions</w:t>
      </w:r>
      <w:r w:rsidR="00F35A0C" w:rsidRPr="00E70281">
        <w:rPr>
          <w:color w:val="FF0000"/>
        </w:rPr>
        <w:t xml:space="preserve"> (C</w:t>
      </w:r>
      <w:r w:rsidR="00F35A0C" w:rsidRPr="00E70281">
        <w:rPr>
          <w:color w:val="FF0000"/>
          <w:vertAlign w:val="subscript"/>
        </w:rPr>
        <w:t>0</w:t>
      </w:r>
      <w:r w:rsidR="00F35A0C" w:rsidRPr="00E70281">
        <w:rPr>
          <w:color w:val="FF0000"/>
        </w:rPr>
        <w:t xml:space="preserve"> and C</w:t>
      </w:r>
      <w:r w:rsidR="00F35A0C" w:rsidRPr="00E70281">
        <w:rPr>
          <w:color w:val="FF0000"/>
          <w:vertAlign w:val="subscript"/>
        </w:rPr>
        <w:t>s</w:t>
      </w:r>
      <w:r w:rsidR="00F35A0C" w:rsidRPr="00E70281">
        <w:rPr>
          <w:color w:val="FF0000"/>
        </w:rPr>
        <w:t xml:space="preserve">) </w:t>
      </w:r>
      <w:r w:rsidR="00CA3C88" w:rsidRPr="00E70281">
        <w:rPr>
          <w:color w:val="FF0000"/>
        </w:rPr>
        <w:t xml:space="preserve">in </w:t>
      </w:r>
      <w:r w:rsidR="00E64DE0">
        <w:rPr>
          <w:color w:val="FF0000"/>
        </w:rPr>
        <w:t>than k</w:t>
      </w:r>
      <w:r w:rsidR="00E64DE0">
        <w:rPr>
          <w:color w:val="FF0000"/>
          <w:vertAlign w:val="subscript"/>
        </w:rPr>
        <w:t>2</w:t>
      </w:r>
      <w:r w:rsidR="00F35A0C" w:rsidRPr="00E70281">
        <w:rPr>
          <w:color w:val="auto"/>
        </w:rPr>
        <w:t>.</w:t>
      </w:r>
      <w:r w:rsidR="00F70959" w:rsidRPr="00E70281">
        <w:rPr>
          <w:color w:val="auto"/>
        </w:rPr>
        <w:t xml:space="preserve"> </w:t>
      </w:r>
      <w:r w:rsidR="00F35A0C" w:rsidRPr="00E70281">
        <w:rPr>
          <w:color w:val="auto"/>
        </w:rPr>
        <w:t xml:space="preserve">To demonstrate the potential application of normalised rate constants towards achieving a meaningful comparison of adsorption kinetics </w:t>
      </w:r>
      <w:r w:rsidR="00885CA9" w:rsidRPr="00E70281">
        <w:rPr>
          <w:color w:val="auto"/>
        </w:rPr>
        <w:t xml:space="preserve">reported </w:t>
      </w:r>
      <w:r w:rsidR="00117C7E" w:rsidRPr="00117C7E">
        <w:rPr>
          <w:color w:val="FF0000"/>
        </w:rPr>
        <w:t>in</w:t>
      </w:r>
      <w:r w:rsidR="00F35A0C" w:rsidRPr="00117C7E">
        <w:rPr>
          <w:color w:val="FF0000"/>
        </w:rPr>
        <w:t xml:space="preserve"> </w:t>
      </w:r>
      <w:r w:rsidR="00F35A0C" w:rsidRPr="00E70281">
        <w:rPr>
          <w:color w:val="auto"/>
        </w:rPr>
        <w:t>the literature, we collected</w:t>
      </w:r>
      <w:r w:rsidR="00F462F2" w:rsidRPr="00E70281">
        <w:rPr>
          <w:color w:val="auto"/>
        </w:rPr>
        <w:t xml:space="preserve"> 14</w:t>
      </w:r>
      <w:r w:rsidR="00F35A0C" w:rsidRPr="00E70281">
        <w:rPr>
          <w:color w:val="auto"/>
        </w:rPr>
        <w:t xml:space="preserve"> </w:t>
      </w:r>
      <w:r w:rsidR="000531CB" w:rsidRPr="00E70281">
        <w:rPr>
          <w:color w:val="auto"/>
        </w:rPr>
        <w:t xml:space="preserve">and </w:t>
      </w:r>
      <w:r w:rsidR="00F462F2" w:rsidRPr="00E70281">
        <w:rPr>
          <w:color w:val="auto"/>
        </w:rPr>
        <w:t xml:space="preserve">7 </w:t>
      </w:r>
      <w:r w:rsidR="00F35A0C" w:rsidRPr="00E70281">
        <w:rPr>
          <w:color w:val="auto"/>
        </w:rPr>
        <w:t xml:space="preserve">literature sources reporting the </w:t>
      </w:r>
      <w:r w:rsidR="000531CB" w:rsidRPr="00E70281">
        <w:rPr>
          <w:color w:val="auto"/>
        </w:rPr>
        <w:t xml:space="preserve">kinetics of inorganic arsenic </w:t>
      </w:r>
      <w:proofErr w:type="gramStart"/>
      <w:r w:rsidR="000531CB" w:rsidRPr="00E70281">
        <w:rPr>
          <w:color w:val="auto"/>
        </w:rPr>
        <w:t>As</w:t>
      </w:r>
      <w:proofErr w:type="gramEnd"/>
      <w:r w:rsidR="000531CB" w:rsidRPr="00E70281">
        <w:rPr>
          <w:color w:val="auto"/>
        </w:rPr>
        <w:t>(V) and As(III</w:t>
      </w:r>
      <w:r w:rsidR="00F35A0C" w:rsidRPr="00E70281">
        <w:rPr>
          <w:color w:val="auto"/>
        </w:rPr>
        <w:t xml:space="preserve">) </w:t>
      </w:r>
      <w:r w:rsidR="000531CB" w:rsidRPr="00E70281">
        <w:rPr>
          <w:color w:val="auto"/>
        </w:rPr>
        <w:t>adsorption onto</w:t>
      </w:r>
      <w:r w:rsidR="00F35A0C" w:rsidRPr="00E70281">
        <w:rPr>
          <w:color w:val="auto"/>
        </w:rPr>
        <w:t xml:space="preserve"> iron oxid</w:t>
      </w:r>
      <w:r w:rsidR="000531CB" w:rsidRPr="00E70281">
        <w:rPr>
          <w:color w:val="auto"/>
        </w:rPr>
        <w:t>e and alumina adsorbents respectively.</w:t>
      </w:r>
    </w:p>
    <w:p w14:paraId="2A8124EC" w14:textId="7343F9FC" w:rsidR="00D23E55" w:rsidRPr="00E70281" w:rsidRDefault="00F70959" w:rsidP="00F70959">
      <w:pPr>
        <w:rPr>
          <w:color w:val="auto"/>
        </w:rPr>
      </w:pPr>
      <w:r w:rsidRPr="00E70281">
        <w:rPr>
          <w:color w:val="auto"/>
        </w:rPr>
        <w:t>T</w:t>
      </w:r>
      <w:r w:rsidR="00F35A0C" w:rsidRPr="00E70281">
        <w:rPr>
          <w:color w:val="auto"/>
        </w:rPr>
        <w:t>he average value of log(k</w:t>
      </w:r>
      <w:r w:rsidR="00F35A0C" w:rsidRPr="00E70281">
        <w:rPr>
          <w:color w:val="auto"/>
          <w:vertAlign w:val="subscript"/>
        </w:rPr>
        <w:t>2</w:t>
      </w:r>
      <w:r w:rsidR="00F35A0C" w:rsidRPr="00E70281">
        <w:rPr>
          <w:color w:val="auto"/>
        </w:rPr>
        <w:t xml:space="preserve">) </w:t>
      </w:r>
      <w:r w:rsidR="00F462F2" w:rsidRPr="00E70281">
        <w:rPr>
          <w:color w:val="auto"/>
        </w:rPr>
        <w:t>for all iron oxide studies</w:t>
      </w:r>
      <w:r w:rsidR="00D23E55" w:rsidRPr="00E70281">
        <w:rPr>
          <w:color w:val="auto"/>
        </w:rPr>
        <w:t xml:space="preserve"> </w:t>
      </w:r>
      <w:r w:rsidR="00114768" w:rsidRPr="00E70281">
        <w:rPr>
          <w:color w:val="auto"/>
        </w:rPr>
        <w:t>is</w:t>
      </w:r>
      <w:r w:rsidR="00D23E55" w:rsidRPr="00E70281">
        <w:rPr>
          <w:color w:val="auto"/>
        </w:rPr>
        <w:t xml:space="preserve"> </w:t>
      </w:r>
      <w:r w:rsidR="00A338B2" w:rsidRPr="00E70281">
        <w:rPr>
          <w:color w:val="auto"/>
        </w:rPr>
        <w:t>-0.93</w:t>
      </w:r>
      <w:r w:rsidR="00D23E55" w:rsidRPr="00E70281">
        <w:rPr>
          <w:color w:val="auto"/>
        </w:rPr>
        <w:t>±</w:t>
      </w:r>
      <w:r w:rsidR="00A338B2" w:rsidRPr="00E70281">
        <w:rPr>
          <w:color w:val="auto"/>
        </w:rPr>
        <w:t>1.50</w:t>
      </w:r>
      <w:r w:rsidR="00D23E55" w:rsidRPr="00E70281">
        <w:rPr>
          <w:color w:val="auto"/>
        </w:rPr>
        <w:t xml:space="preserve">, whilst the average of log(k’) </w:t>
      </w:r>
      <w:r w:rsidR="00C26839" w:rsidRPr="00E70281">
        <w:rPr>
          <w:color w:val="auto"/>
        </w:rPr>
        <w:t>is</w:t>
      </w:r>
      <w:r w:rsidR="00D23E55" w:rsidRPr="00E70281">
        <w:rPr>
          <w:color w:val="auto"/>
        </w:rPr>
        <w:t xml:space="preserve"> </w:t>
      </w:r>
      <w:r w:rsidR="00D42B66" w:rsidRPr="00E70281">
        <w:rPr>
          <w:color w:val="auto"/>
        </w:rPr>
        <w:t>-1.05</w:t>
      </w:r>
      <w:r w:rsidR="00D23E55" w:rsidRPr="00E70281">
        <w:rPr>
          <w:color w:val="auto"/>
        </w:rPr>
        <w:t>±</w:t>
      </w:r>
      <w:r w:rsidR="00D42B66" w:rsidRPr="00E70281">
        <w:rPr>
          <w:color w:val="auto"/>
        </w:rPr>
        <w:t>1.08</w:t>
      </w:r>
      <w:r w:rsidR="00D23E55" w:rsidRPr="00E70281">
        <w:rPr>
          <w:color w:val="auto"/>
        </w:rPr>
        <w:t>.</w:t>
      </w:r>
      <w:r w:rsidR="00D42B66" w:rsidRPr="00E70281">
        <w:rPr>
          <w:color w:val="auto"/>
        </w:rPr>
        <w:t xml:space="preserve"> In both cases, the standard deviation is </w:t>
      </w:r>
      <w:r w:rsidR="00155CF2" w:rsidRPr="00E70281">
        <w:rPr>
          <w:color w:val="FF0000"/>
        </w:rPr>
        <w:t>significant</w:t>
      </w:r>
      <w:r w:rsidR="00D42B66" w:rsidRPr="00E70281">
        <w:rPr>
          <w:color w:val="auto"/>
        </w:rPr>
        <w:t>, with more than an order of magnitude variation in k</w:t>
      </w:r>
      <w:r w:rsidR="00D42B66" w:rsidRPr="00E70281">
        <w:rPr>
          <w:color w:val="auto"/>
          <w:vertAlign w:val="subscript"/>
        </w:rPr>
        <w:t>2</w:t>
      </w:r>
      <w:r w:rsidR="00D42B66" w:rsidRPr="00E70281">
        <w:rPr>
          <w:color w:val="auto"/>
        </w:rPr>
        <w:t xml:space="preserve"> and k’ values:</w:t>
      </w:r>
      <w:r w:rsidR="00D23E55" w:rsidRPr="00E70281">
        <w:rPr>
          <w:color w:val="auto"/>
        </w:rPr>
        <w:t xml:space="preserve"> neither </w:t>
      </w:r>
      <w:r w:rsidR="00D42B66" w:rsidRPr="00E70281">
        <w:rPr>
          <w:color w:val="auto"/>
        </w:rPr>
        <w:t xml:space="preserve">model provides a </w:t>
      </w:r>
      <w:r w:rsidR="00D23E55" w:rsidRPr="00E70281">
        <w:rPr>
          <w:color w:val="auto"/>
        </w:rPr>
        <w:t xml:space="preserve">rate constant </w:t>
      </w:r>
      <w:r w:rsidR="00D42B66" w:rsidRPr="00E70281">
        <w:rPr>
          <w:color w:val="auto"/>
        </w:rPr>
        <w:t xml:space="preserve">that is </w:t>
      </w:r>
      <w:r w:rsidR="00C26839" w:rsidRPr="00E70281">
        <w:rPr>
          <w:color w:val="auto"/>
        </w:rPr>
        <w:t>valid</w:t>
      </w:r>
      <w:r w:rsidR="00D42B66" w:rsidRPr="00E70281">
        <w:rPr>
          <w:color w:val="auto"/>
        </w:rPr>
        <w:t xml:space="preserve"> for</w:t>
      </w:r>
      <w:r w:rsidR="00117C7E">
        <w:rPr>
          <w:color w:val="auto"/>
        </w:rPr>
        <w:t xml:space="preserve"> </w:t>
      </w:r>
      <w:r w:rsidR="00117C7E">
        <w:rPr>
          <w:color w:val="FF0000"/>
        </w:rPr>
        <w:t>different</w:t>
      </w:r>
      <w:r w:rsidR="00D42B66" w:rsidRPr="00117C7E">
        <w:rPr>
          <w:color w:val="FF0000"/>
        </w:rPr>
        <w:t xml:space="preserve"> </w:t>
      </w:r>
      <w:r w:rsidR="00D42B66" w:rsidRPr="00E70281">
        <w:rPr>
          <w:color w:val="auto"/>
        </w:rPr>
        <w:t xml:space="preserve">iron oxide adsorbents used </w:t>
      </w:r>
      <w:r w:rsidR="00117C7E" w:rsidRPr="00117C7E">
        <w:rPr>
          <w:color w:val="FF0000"/>
        </w:rPr>
        <w:t>in</w:t>
      </w:r>
      <w:r w:rsidR="00D42B66" w:rsidRPr="00E70281">
        <w:rPr>
          <w:color w:val="auto"/>
        </w:rPr>
        <w:t xml:space="preserve"> different studies</w:t>
      </w:r>
      <w:r w:rsidR="00D23E55" w:rsidRPr="00E70281">
        <w:rPr>
          <w:color w:val="auto"/>
        </w:rPr>
        <w:t>.</w:t>
      </w:r>
      <w:r w:rsidRPr="00E70281">
        <w:rPr>
          <w:color w:val="auto"/>
        </w:rPr>
        <w:t xml:space="preserve"> </w:t>
      </w:r>
      <w:r w:rsidR="00D23E55" w:rsidRPr="00E70281">
        <w:rPr>
          <w:color w:val="auto"/>
        </w:rPr>
        <w:t xml:space="preserve">Similarly, the adsorption of </w:t>
      </w:r>
      <w:r w:rsidR="00114768" w:rsidRPr="00E70281">
        <w:rPr>
          <w:color w:val="auto"/>
        </w:rPr>
        <w:t xml:space="preserve">inorganic arsenic onto alumina gives </w:t>
      </w:r>
      <w:r w:rsidR="00D23E55" w:rsidRPr="00E70281">
        <w:rPr>
          <w:color w:val="auto"/>
        </w:rPr>
        <w:t>average value</w:t>
      </w:r>
      <w:r w:rsidR="00114768" w:rsidRPr="00E70281">
        <w:rPr>
          <w:color w:val="auto"/>
        </w:rPr>
        <w:t>s</w:t>
      </w:r>
      <w:r w:rsidR="00D23E55" w:rsidRPr="00E70281">
        <w:rPr>
          <w:color w:val="auto"/>
        </w:rPr>
        <w:t xml:space="preserve"> of log(k</w:t>
      </w:r>
      <w:r w:rsidR="00D23E55" w:rsidRPr="00E70281">
        <w:rPr>
          <w:color w:val="auto"/>
          <w:vertAlign w:val="subscript"/>
        </w:rPr>
        <w:t>2</w:t>
      </w:r>
      <w:r w:rsidR="00D23E55" w:rsidRPr="00E70281">
        <w:rPr>
          <w:color w:val="auto"/>
        </w:rPr>
        <w:t xml:space="preserve">) = </w:t>
      </w:r>
      <w:r w:rsidR="00D42B66" w:rsidRPr="00E70281">
        <w:rPr>
          <w:color w:val="auto"/>
        </w:rPr>
        <w:t>0.98</w:t>
      </w:r>
      <w:r w:rsidR="00D23E55" w:rsidRPr="00E70281">
        <w:rPr>
          <w:color w:val="auto"/>
        </w:rPr>
        <w:t>±</w:t>
      </w:r>
      <w:r w:rsidR="00D42B66" w:rsidRPr="00E70281">
        <w:rPr>
          <w:color w:val="auto"/>
        </w:rPr>
        <w:t>1.84</w:t>
      </w:r>
      <w:r w:rsidR="00D23E55" w:rsidRPr="00E70281">
        <w:rPr>
          <w:color w:val="auto"/>
        </w:rPr>
        <w:t xml:space="preserve"> and log(k’) = </w:t>
      </w:r>
      <w:r w:rsidR="00D42B66" w:rsidRPr="00E70281">
        <w:rPr>
          <w:color w:val="auto"/>
        </w:rPr>
        <w:t>0.35</w:t>
      </w:r>
      <w:r w:rsidR="00D23E55" w:rsidRPr="00E70281">
        <w:rPr>
          <w:color w:val="auto"/>
        </w:rPr>
        <w:t>±</w:t>
      </w:r>
      <w:r w:rsidR="00D42B66" w:rsidRPr="00E70281">
        <w:rPr>
          <w:color w:val="auto"/>
        </w:rPr>
        <w:t>1.75</w:t>
      </w:r>
      <w:r w:rsidR="00D23E55" w:rsidRPr="00E70281">
        <w:rPr>
          <w:color w:val="auto"/>
        </w:rPr>
        <w:t>.</w:t>
      </w:r>
    </w:p>
    <w:p w14:paraId="14DE48B3" w14:textId="70AD519E" w:rsidR="00D23E55" w:rsidRPr="00E70281" w:rsidRDefault="00F70959" w:rsidP="00F70959">
      <w:pPr>
        <w:rPr>
          <w:color w:val="auto"/>
        </w:rPr>
      </w:pPr>
      <w:r w:rsidRPr="00E70281">
        <w:rPr>
          <w:color w:val="auto"/>
        </w:rPr>
        <w:t>W</w:t>
      </w:r>
      <w:r w:rsidR="00D42B66" w:rsidRPr="00E70281">
        <w:rPr>
          <w:color w:val="auto"/>
        </w:rPr>
        <w:t>hilst the variation in both k</w:t>
      </w:r>
      <w:r w:rsidR="00D42B66" w:rsidRPr="00E70281">
        <w:rPr>
          <w:color w:val="auto"/>
          <w:vertAlign w:val="subscript"/>
        </w:rPr>
        <w:t>2</w:t>
      </w:r>
      <w:r w:rsidR="00D42B66" w:rsidRPr="00E70281">
        <w:rPr>
          <w:color w:val="auto"/>
        </w:rPr>
        <w:t xml:space="preserve"> and k’ across the literature is large, the influence of adsorbent morphology on adsorption kinetics has not been incorporated into either </w:t>
      </w:r>
      <w:r w:rsidR="00C26839" w:rsidRPr="00E70281">
        <w:rPr>
          <w:color w:val="auto"/>
        </w:rPr>
        <w:t>of the PSO and rPSO models</w:t>
      </w:r>
      <w:r w:rsidR="00D42B66" w:rsidRPr="00E70281">
        <w:rPr>
          <w:color w:val="auto"/>
        </w:rPr>
        <w:t xml:space="preserve">. </w:t>
      </w:r>
      <w:r w:rsidR="0047341C" w:rsidRPr="00E70281">
        <w:rPr>
          <w:color w:val="auto"/>
        </w:rPr>
        <w:t>A</w:t>
      </w:r>
      <w:r w:rsidR="00D23E55" w:rsidRPr="00E70281">
        <w:rPr>
          <w:color w:val="auto"/>
        </w:rPr>
        <w:t xml:space="preserve">dsorption kinetics are </w:t>
      </w:r>
      <w:r w:rsidRPr="00E70281">
        <w:rPr>
          <w:color w:val="auto"/>
        </w:rPr>
        <w:t xml:space="preserve">often </w:t>
      </w:r>
      <w:r w:rsidR="00D23E55" w:rsidRPr="00E70281">
        <w:rPr>
          <w:color w:val="auto"/>
        </w:rPr>
        <w:t>faster for adsorbent materials with smaller particles, due to the improved rate of</w:t>
      </w:r>
      <w:r w:rsidR="00D42B66" w:rsidRPr="00E70281">
        <w:rPr>
          <w:color w:val="auto"/>
        </w:rPr>
        <w:t xml:space="preserve"> mass</w:t>
      </w:r>
      <w:r w:rsidR="00D23E55" w:rsidRPr="00E70281">
        <w:rPr>
          <w:color w:val="auto"/>
        </w:rPr>
        <w:t xml:space="preserve"> transport</w:t>
      </w:r>
      <w:r w:rsidR="00695C14">
        <w:rPr>
          <w:color w:val="auto"/>
        </w:rPr>
        <w:t xml:space="preserve"> </w:t>
      </w:r>
      <w:r w:rsidR="00695C14" w:rsidRPr="00695C14">
        <w:rPr>
          <w:color w:val="FF0000"/>
        </w:rPr>
        <w:t>bringing</w:t>
      </w:r>
      <w:r w:rsidR="00D23E55" w:rsidRPr="00695C14">
        <w:rPr>
          <w:color w:val="FF0000"/>
        </w:rPr>
        <w:t xml:space="preserve"> </w:t>
      </w:r>
      <w:r w:rsidR="00D23E55" w:rsidRPr="00E70281">
        <w:rPr>
          <w:color w:val="auto"/>
        </w:rPr>
        <w:t xml:space="preserve">the adsorbate to </w:t>
      </w:r>
      <w:r w:rsidR="00695C14" w:rsidRPr="00695C14">
        <w:rPr>
          <w:color w:val="FF0000"/>
        </w:rPr>
        <w:t xml:space="preserve">the </w:t>
      </w:r>
      <w:r w:rsidR="00D23E55" w:rsidRPr="00E70281">
        <w:rPr>
          <w:color w:val="auto"/>
        </w:rPr>
        <w:t>adsorbent surface sites</w:t>
      </w:r>
      <w:r w:rsidRPr="00E70281">
        <w:rPr>
          <w:color w:val="auto"/>
        </w:rPr>
        <w:t xml:space="preserve"> </w:t>
      </w:r>
      <w:r w:rsidRPr="00E70281">
        <w:rPr>
          <w:color w:val="auto"/>
        </w:rPr>
        <w:fldChar w:fldCharType="begin" w:fldLock="1"/>
      </w:r>
      <w:r w:rsidR="003776C0" w:rsidRPr="00E70281">
        <w:rPr>
          <w:color w:val="auto"/>
        </w:rPr>
        <w:instrText>ADDIN CSL_CITATION {"citationItems":[{"id":"ITEM-1","itemData":{"DOI":"10.1007/978-1-4419-8074-8_10","ISBN":"9781441980731","ISSN":"09265112","author":[{"dropping-particle":"","family":"Cooney","given":"D O","non-dropping-particle":"","parse-names":false,"suffix":""},{"dropping-particle":"","family":"Adesanya","given":"B A","non-dropping-particle":"","parse-names":false,"suffix":""},{"dropping-particle":"","family":"Hines","given":"A L","non-dropping-particle":"","parse-names":false,"suffix":""}],"container-title":"Chemical Engineering Science","id":"ITEM-1","issue":"9","issued":{"date-parts":[["1983"]]},"page":"1535-1541","title":"Effect of particle size distribution on adsorption kinetics in stirred batch systems","type":"article-journal","volume":"38"},"uris":["http://www.mendeley.com/documents/?uuid=62bdf3c9-3490-4521-8a59-1c56e838a467"]}],"mendeley":{"formattedCitation":"&lt;sup&gt;48&lt;/sup&gt;","plainTextFormattedCitation":"48","previouslyFormattedCitation":"&lt;sup&gt;48&lt;/sup&gt;"},"properties":{"noteIndex":0},"schema":"https://github.com/citation-style-language/schema/raw/master/csl-citation.json"}</w:instrText>
      </w:r>
      <w:r w:rsidRPr="00E70281">
        <w:rPr>
          <w:color w:val="auto"/>
        </w:rPr>
        <w:fldChar w:fldCharType="separate"/>
      </w:r>
      <w:r w:rsidR="00623D96" w:rsidRPr="00E70281">
        <w:rPr>
          <w:noProof/>
          <w:color w:val="auto"/>
          <w:vertAlign w:val="superscript"/>
        </w:rPr>
        <w:t>48</w:t>
      </w:r>
      <w:r w:rsidRPr="00E70281">
        <w:rPr>
          <w:color w:val="auto"/>
        </w:rPr>
        <w:fldChar w:fldCharType="end"/>
      </w:r>
      <w:r w:rsidR="00D23E55" w:rsidRPr="00E70281">
        <w:rPr>
          <w:color w:val="auto"/>
        </w:rPr>
        <w:t>.</w:t>
      </w:r>
      <w:r w:rsidR="0047341C" w:rsidRPr="00E70281">
        <w:rPr>
          <w:color w:val="auto"/>
        </w:rPr>
        <w:t xml:space="preserve"> For instance, </w:t>
      </w:r>
      <w:r w:rsidR="00695C14" w:rsidRPr="00695C14">
        <w:rPr>
          <w:color w:val="FF0000"/>
        </w:rPr>
        <w:t>the</w:t>
      </w:r>
      <w:r w:rsidR="0047341C" w:rsidRPr="00695C14">
        <w:rPr>
          <w:color w:val="FF0000"/>
        </w:rPr>
        <w:t xml:space="preserve"> </w:t>
      </w:r>
      <w:r w:rsidR="0047341C" w:rsidRPr="00E70281">
        <w:rPr>
          <w:color w:val="auto"/>
        </w:rPr>
        <w:t>intraparticle diffusion model</w:t>
      </w:r>
      <w:r w:rsidR="00C26839" w:rsidRPr="00E70281">
        <w:rPr>
          <w:color w:val="auto"/>
        </w:rPr>
        <w:t xml:space="preserve"> gives a</w:t>
      </w:r>
      <w:r w:rsidR="0047341C" w:rsidRPr="00E70281">
        <w:rPr>
          <w:color w:val="auto"/>
        </w:rPr>
        <w:t xml:space="preserve"> rate of adsorption</w:t>
      </w:r>
      <w:r w:rsidR="00C26839" w:rsidRPr="00E70281">
        <w:rPr>
          <w:color w:val="auto"/>
        </w:rPr>
        <w:t xml:space="preserve"> that</w:t>
      </w:r>
      <w:r w:rsidR="0047341C" w:rsidRPr="00E70281">
        <w:rPr>
          <w:color w:val="auto"/>
        </w:rPr>
        <w:t xml:space="preserve"> is proportional to r</w:t>
      </w:r>
      <w:r w:rsidR="0047341C" w:rsidRPr="00E70281">
        <w:rPr>
          <w:color w:val="auto"/>
          <w:vertAlign w:val="superscript"/>
        </w:rPr>
        <w:t>-1</w:t>
      </w:r>
      <w:r w:rsidR="0047341C" w:rsidRPr="00E70281">
        <w:rPr>
          <w:color w:val="auto"/>
        </w:rPr>
        <w:t xml:space="preserve"> </w:t>
      </w:r>
      <w:r w:rsidR="00C26839" w:rsidRPr="00E70281">
        <w:rPr>
          <w:color w:val="auto"/>
        </w:rPr>
        <w:t xml:space="preserve">(where r is particle size) </w:t>
      </w:r>
      <w:r w:rsidR="0047341C" w:rsidRPr="00E70281">
        <w:rPr>
          <w:color w:val="auto"/>
        </w:rPr>
        <w:fldChar w:fldCharType="begin" w:fldLock="1"/>
      </w:r>
      <w:r w:rsidR="003776C0" w:rsidRPr="00E70281">
        <w:rPr>
          <w:color w:val="auto"/>
        </w:rPr>
        <w:instrText>ADDIN CSL_CITATION {"citationItems":[{"id":"ITEM-1","itemData":{"abstract":"The most popular formula used in the literature about liquid/solid adsorption kinetics to describe diffusion-controlled Biotecnología / Biotechnology processes is the intraparticle diffusion (IPD) equation. However, this formula was introduced originally for pure diffusion. It does not account explicitly for the effect of adsorption (except in the limit of very low adsorbate concentration). In this work, the problem of diffusion-controlled kinetics is studied by using a diffusion-adsorption model which should hold when the solute concentration in the external solution is sufficiently high. The case of a finite amount of solute initially in the stirred batch adsorber is solved analytically. For short times, the formula for the uptake turns out to have the same form vs. time as the IPD equation. However, it also predicts a decrease of the fractional uptake with the initial bulk and sediments) concentration, as observed in the literature, and it shows that the IPD diffusion coefficient is a lumped parameter depending on the experimental conditions. These theoretical results are used for a discussion of the IPD equation and for descriptions of experimental results taken from the literature.","author":[{"dropping-particle":"","family":"Simonin","given":"Jean-pierre","non-dropping-particle":"","parse-names":false,"suffix":""},{"dropping-particle":"","family":"Boute","given":"J","non-dropping-particle":"","parse-names":false,"suffix":""}],"container-title":"Revista Mexicana De Ingenieria Quimica","id":"ITEM-1","issue":"1","issued":{"date-parts":[["2016"]]},"page":"161-173","title":"Intraparticle diffusion-adsorption model to describe liquid/solid adsorption kinetics","type":"article-journal","volume":"15"},"uris":["http://www.mendeley.com/documents/?uuid=a845277a-9a20-4776-ae0c-c8d469be2757"]}],"mendeley":{"formattedCitation":"&lt;sup&gt;49&lt;/sup&gt;","plainTextFormattedCitation":"49","previouslyFormattedCitation":"&lt;sup&gt;49&lt;/sup&gt;"},"properties":{"noteIndex":0},"schema":"https://github.com/citation-style-language/schema/raw/master/csl-citation.json"}</w:instrText>
      </w:r>
      <w:r w:rsidR="0047341C" w:rsidRPr="00E70281">
        <w:rPr>
          <w:color w:val="auto"/>
        </w:rPr>
        <w:fldChar w:fldCharType="separate"/>
      </w:r>
      <w:r w:rsidR="00623D96" w:rsidRPr="00E70281">
        <w:rPr>
          <w:noProof/>
          <w:color w:val="auto"/>
          <w:vertAlign w:val="superscript"/>
        </w:rPr>
        <w:t>49</w:t>
      </w:r>
      <w:r w:rsidR="0047341C" w:rsidRPr="00E70281">
        <w:rPr>
          <w:color w:val="auto"/>
        </w:rPr>
        <w:fldChar w:fldCharType="end"/>
      </w:r>
      <w:r w:rsidR="0047341C" w:rsidRPr="00E70281">
        <w:rPr>
          <w:color w:val="auto"/>
        </w:rPr>
        <w:t>.</w:t>
      </w:r>
    </w:p>
    <w:p w14:paraId="1D80A428" w14:textId="71383754" w:rsidR="00D23E55" w:rsidRPr="00E70281" w:rsidRDefault="00D07115" w:rsidP="00F70959">
      <w:pPr>
        <w:rPr>
          <w:color w:val="auto"/>
        </w:rPr>
      </w:pPr>
      <w:r w:rsidRPr="00E70281">
        <w:rPr>
          <w:color w:val="auto"/>
        </w:rPr>
        <w:t>Whilst a faster reaction is anticipated for small iron oxide particle sizes, plotting</w:t>
      </w:r>
      <w:r w:rsidR="00F70959" w:rsidRPr="00E70281">
        <w:rPr>
          <w:color w:val="auto"/>
        </w:rPr>
        <w:t xml:space="preserve"> </w:t>
      </w:r>
      <w:r w:rsidR="00D23E55" w:rsidRPr="00E70281">
        <w:rPr>
          <w:color w:val="auto"/>
        </w:rPr>
        <w:t>log(k</w:t>
      </w:r>
      <w:r w:rsidR="00D23E55" w:rsidRPr="00E70281">
        <w:rPr>
          <w:color w:val="auto"/>
          <w:vertAlign w:val="subscript"/>
        </w:rPr>
        <w:t>2</w:t>
      </w:r>
      <w:r w:rsidR="00D23E55" w:rsidRPr="00E70281">
        <w:rPr>
          <w:color w:val="auto"/>
        </w:rPr>
        <w:t>) as a function of log(</w:t>
      </w:r>
      <w:commentRangeStart w:id="53"/>
      <w:commentRangeStart w:id="54"/>
      <w:commentRangeStart w:id="55"/>
      <w:r w:rsidR="00D23E55" w:rsidRPr="00E70281">
        <w:rPr>
          <w:color w:val="auto"/>
        </w:rPr>
        <w:t>r</w:t>
      </w:r>
      <w:r w:rsidR="00D23E55" w:rsidRPr="00E70281">
        <w:rPr>
          <w:color w:val="auto"/>
          <w:vertAlign w:val="superscript"/>
        </w:rPr>
        <w:t>-1</w:t>
      </w:r>
      <w:r w:rsidR="00C26839" w:rsidRPr="00E70281">
        <w:rPr>
          <w:color w:val="auto"/>
        </w:rPr>
        <w:t xml:space="preserve">) </w:t>
      </w:r>
      <w:commentRangeEnd w:id="53"/>
      <w:r w:rsidR="00155CF2" w:rsidRPr="00E70281">
        <w:rPr>
          <w:rStyle w:val="CommentReference"/>
        </w:rPr>
        <w:commentReference w:id="53"/>
      </w:r>
      <w:commentRangeEnd w:id="54"/>
      <w:r w:rsidR="00155CF2" w:rsidRPr="00E70281">
        <w:rPr>
          <w:rStyle w:val="CommentReference"/>
        </w:rPr>
        <w:commentReference w:id="54"/>
      </w:r>
      <w:commentRangeEnd w:id="55"/>
      <w:r w:rsidR="00155CF2" w:rsidRPr="00E70281">
        <w:rPr>
          <w:rStyle w:val="CommentReference"/>
        </w:rPr>
        <w:commentReference w:id="55"/>
      </w:r>
      <w:r w:rsidR="00F70959" w:rsidRPr="00E70281">
        <w:rPr>
          <w:color w:val="auto"/>
        </w:rPr>
        <w:t>sho</w:t>
      </w:r>
      <w:r w:rsidRPr="00E70281">
        <w:rPr>
          <w:color w:val="auto"/>
        </w:rPr>
        <w:t xml:space="preserve">ws a weak inverse relationship </w:t>
      </w:r>
      <w:r w:rsidR="00D42B66" w:rsidRPr="00E70281">
        <w:rPr>
          <w:color w:val="auto"/>
        </w:rPr>
        <w:t xml:space="preserve">(linear </w:t>
      </w:r>
      <w:r w:rsidR="00F70959" w:rsidRPr="00E70281">
        <w:rPr>
          <w:color w:val="auto"/>
        </w:rPr>
        <w:t>regression gives a slope of -0.49</w:t>
      </w:r>
      <w:r w:rsidR="00D42B66" w:rsidRPr="00E70281">
        <w:rPr>
          <w:color w:val="auto"/>
        </w:rPr>
        <w:t>±</w:t>
      </w:r>
      <w:r w:rsidR="00F70959" w:rsidRPr="00E70281">
        <w:rPr>
          <w:color w:val="auto"/>
        </w:rPr>
        <w:t>0.20</w:t>
      </w:r>
      <w:r w:rsidR="00515767" w:rsidRPr="00E70281">
        <w:rPr>
          <w:color w:val="auto"/>
        </w:rPr>
        <w:t xml:space="preserve"> and R</w:t>
      </w:r>
      <w:r w:rsidR="00515767" w:rsidRPr="00E70281">
        <w:rPr>
          <w:color w:val="auto"/>
          <w:vertAlign w:val="superscript"/>
        </w:rPr>
        <w:t>2</w:t>
      </w:r>
      <w:r w:rsidR="00F70959" w:rsidRPr="00E70281">
        <w:rPr>
          <w:color w:val="auto"/>
        </w:rPr>
        <w:t>=0.3234</w:t>
      </w:r>
      <w:r w:rsidR="00515767" w:rsidRPr="00E70281">
        <w:rPr>
          <w:color w:val="auto"/>
        </w:rPr>
        <w:t>)</w:t>
      </w:r>
      <w:r w:rsidR="005D56BA" w:rsidRPr="00E70281">
        <w:rPr>
          <w:color w:val="auto"/>
        </w:rPr>
        <w:t xml:space="preserve"> (</w:t>
      </w:r>
      <w:r w:rsidR="005D56BA" w:rsidRPr="00E70281">
        <w:rPr>
          <w:color w:val="auto"/>
        </w:rPr>
        <w:fldChar w:fldCharType="begin"/>
      </w:r>
      <w:r w:rsidR="005D56BA" w:rsidRPr="00E70281">
        <w:rPr>
          <w:color w:val="auto"/>
        </w:rPr>
        <w:instrText xml:space="preserve"> REF _Ref61186587 \h </w:instrText>
      </w:r>
      <w:r w:rsidR="005D56BA" w:rsidRPr="00E70281">
        <w:rPr>
          <w:color w:val="auto"/>
        </w:rPr>
      </w:r>
      <w:r w:rsidR="005D56BA" w:rsidRPr="00E70281">
        <w:rPr>
          <w:color w:val="auto"/>
        </w:rPr>
        <w:fldChar w:fldCharType="separate"/>
      </w:r>
      <w:r w:rsidR="00D37CAD" w:rsidRPr="00E70281">
        <w:rPr>
          <w:color w:val="auto"/>
        </w:rPr>
        <w:t xml:space="preserve">Figure </w:t>
      </w:r>
      <w:r w:rsidR="00D37CAD" w:rsidRPr="00E70281">
        <w:rPr>
          <w:noProof/>
          <w:color w:val="auto"/>
        </w:rPr>
        <w:t>7</w:t>
      </w:r>
      <w:r w:rsidR="005D56BA" w:rsidRPr="00E70281">
        <w:rPr>
          <w:color w:val="auto"/>
        </w:rPr>
        <w:fldChar w:fldCharType="end"/>
      </w:r>
      <w:r w:rsidR="005D56BA" w:rsidRPr="00E70281">
        <w:rPr>
          <w:color w:val="auto"/>
        </w:rPr>
        <w:t>a)</w:t>
      </w:r>
      <w:r w:rsidR="00D23E55" w:rsidRPr="00E70281">
        <w:rPr>
          <w:color w:val="auto"/>
        </w:rPr>
        <w:t>.</w:t>
      </w:r>
      <w:r w:rsidRPr="00E70281">
        <w:rPr>
          <w:color w:val="auto"/>
        </w:rPr>
        <w:t xml:space="preserve"> This</w:t>
      </w:r>
      <w:r w:rsidR="00565752" w:rsidRPr="00E70281">
        <w:rPr>
          <w:color w:val="auto"/>
        </w:rPr>
        <w:t xml:space="preserve"> is due to the </w:t>
      </w:r>
      <w:r w:rsidR="00475FD7" w:rsidRPr="00E70281">
        <w:rPr>
          <w:color w:val="auto"/>
        </w:rPr>
        <w:t xml:space="preserve">significant </w:t>
      </w:r>
      <w:r w:rsidR="00565752" w:rsidRPr="00E70281">
        <w:rPr>
          <w:color w:val="auto"/>
        </w:rPr>
        <w:t>increase in q</w:t>
      </w:r>
      <w:r w:rsidR="00565752" w:rsidRPr="00E70281">
        <w:rPr>
          <w:color w:val="auto"/>
          <w:vertAlign w:val="subscript"/>
        </w:rPr>
        <w:t>e</w:t>
      </w:r>
      <w:r w:rsidR="00565752" w:rsidRPr="00E70281">
        <w:rPr>
          <w:color w:val="auto"/>
        </w:rPr>
        <w:t xml:space="preserve"> as the particle size decreases</w:t>
      </w:r>
      <w:r w:rsidRPr="00E70281">
        <w:rPr>
          <w:color w:val="auto"/>
        </w:rPr>
        <w:t xml:space="preserve"> (SI</w:t>
      </w:r>
      <w:r w:rsidR="00E52CDB" w:rsidRPr="00E70281">
        <w:rPr>
          <w:color w:val="auto"/>
        </w:rPr>
        <w:t xml:space="preserve"> Figure S4</w:t>
      </w:r>
      <w:r w:rsidR="00F462F2" w:rsidRPr="00E70281">
        <w:rPr>
          <w:color w:val="auto"/>
        </w:rPr>
        <w:t>)</w:t>
      </w:r>
      <w:r w:rsidRPr="00E70281">
        <w:rPr>
          <w:color w:val="auto"/>
        </w:rPr>
        <w:t xml:space="preserve"> and the inverse relationship between k</w:t>
      </w:r>
      <w:r w:rsidRPr="00E70281">
        <w:rPr>
          <w:color w:val="auto"/>
          <w:vertAlign w:val="subscript"/>
        </w:rPr>
        <w:t>2</w:t>
      </w:r>
      <w:r w:rsidRPr="00E70281">
        <w:rPr>
          <w:color w:val="auto"/>
        </w:rPr>
        <w:t xml:space="preserve"> and q</w:t>
      </w:r>
      <w:r w:rsidRPr="00E70281">
        <w:rPr>
          <w:color w:val="auto"/>
          <w:vertAlign w:val="subscript"/>
        </w:rPr>
        <w:t>e</w:t>
      </w:r>
      <w:r w:rsidRPr="00E70281">
        <w:rPr>
          <w:color w:val="auto"/>
        </w:rPr>
        <w:t xml:space="preserve"> through the term (q</w:t>
      </w:r>
      <w:r w:rsidRPr="00E70281">
        <w:rPr>
          <w:color w:val="auto"/>
          <w:vertAlign w:val="subscript"/>
        </w:rPr>
        <w:t>e</w:t>
      </w:r>
      <w:r w:rsidRPr="00E70281">
        <w:rPr>
          <w:color w:val="auto"/>
        </w:rPr>
        <w:t>-q</w:t>
      </w:r>
      <w:r w:rsidRPr="00E70281">
        <w:rPr>
          <w:color w:val="auto"/>
          <w:vertAlign w:val="subscript"/>
        </w:rPr>
        <w:t>t</w:t>
      </w:r>
      <w:r w:rsidRPr="00E70281">
        <w:rPr>
          <w:color w:val="auto"/>
        </w:rPr>
        <w:t>)</w:t>
      </w:r>
      <w:r w:rsidRPr="00E70281">
        <w:rPr>
          <w:color w:val="auto"/>
          <w:vertAlign w:val="superscript"/>
        </w:rPr>
        <w:t>2</w:t>
      </w:r>
      <w:r w:rsidRPr="00E70281">
        <w:rPr>
          <w:color w:val="auto"/>
        </w:rPr>
        <w:t xml:space="preserve"> as previously discussed.</w:t>
      </w:r>
      <w:r w:rsidR="00475FD7" w:rsidRPr="00E70281">
        <w:rPr>
          <w:color w:val="auto"/>
        </w:rPr>
        <w:t xml:space="preserve"> </w:t>
      </w:r>
      <w:r w:rsidR="00D23E55" w:rsidRPr="00E70281">
        <w:rPr>
          <w:color w:val="auto"/>
        </w:rPr>
        <w:t>Since adsorption onto smaller particles is</w:t>
      </w:r>
      <w:r w:rsidRPr="00E70281">
        <w:rPr>
          <w:color w:val="auto"/>
        </w:rPr>
        <w:t xml:space="preserve"> typically</w:t>
      </w:r>
      <w:r w:rsidR="00D23E55" w:rsidRPr="00E70281">
        <w:rPr>
          <w:color w:val="auto"/>
        </w:rPr>
        <w:t xml:space="preserve"> faster than onto larger particles, </w:t>
      </w:r>
      <w:r w:rsidR="00F70959" w:rsidRPr="00E70281">
        <w:rPr>
          <w:color w:val="auto"/>
        </w:rPr>
        <w:t>the</w:t>
      </w:r>
      <w:r w:rsidR="00515767" w:rsidRPr="00E70281">
        <w:rPr>
          <w:color w:val="auto"/>
        </w:rPr>
        <w:t xml:space="preserve"> </w:t>
      </w:r>
      <w:r w:rsidR="00D23E55" w:rsidRPr="00E70281">
        <w:rPr>
          <w:color w:val="auto"/>
        </w:rPr>
        <w:t>comparison of k</w:t>
      </w:r>
      <w:r w:rsidR="00D23E55" w:rsidRPr="00E70281">
        <w:rPr>
          <w:color w:val="auto"/>
          <w:vertAlign w:val="subscript"/>
        </w:rPr>
        <w:t>2</w:t>
      </w:r>
      <w:r w:rsidR="00D23E55" w:rsidRPr="00E70281">
        <w:rPr>
          <w:color w:val="auto"/>
        </w:rPr>
        <w:t xml:space="preserve"> </w:t>
      </w:r>
      <w:r w:rsidR="00F70959" w:rsidRPr="00E70281">
        <w:rPr>
          <w:color w:val="auto"/>
        </w:rPr>
        <w:t>values</w:t>
      </w:r>
      <w:r w:rsidRPr="00E70281">
        <w:rPr>
          <w:color w:val="auto"/>
        </w:rPr>
        <w:t xml:space="preserve"> for different adsorbent sizes and different adsorbent material</w:t>
      </w:r>
      <w:r w:rsidR="00C26839" w:rsidRPr="00E70281">
        <w:rPr>
          <w:color w:val="auto"/>
        </w:rPr>
        <w:t>s</w:t>
      </w:r>
      <w:r w:rsidRPr="00E70281">
        <w:rPr>
          <w:color w:val="auto"/>
        </w:rPr>
        <w:t xml:space="preserve"> (i.e. iron oxides versus alumina)</w:t>
      </w:r>
      <w:r w:rsidR="00F70959" w:rsidRPr="00E70281">
        <w:rPr>
          <w:color w:val="auto"/>
        </w:rPr>
        <w:t xml:space="preserve"> is not useful</w:t>
      </w:r>
      <w:r w:rsidRPr="00E70281">
        <w:rPr>
          <w:color w:val="auto"/>
        </w:rPr>
        <w:t xml:space="preserve"> and</w:t>
      </w:r>
      <w:r w:rsidR="00F462F2" w:rsidRPr="00E70281">
        <w:rPr>
          <w:color w:val="auto"/>
        </w:rPr>
        <w:t xml:space="preserve"> is</w:t>
      </w:r>
      <w:r w:rsidRPr="00E70281">
        <w:rPr>
          <w:color w:val="auto"/>
        </w:rPr>
        <w:t xml:space="preserve"> likely to lead to false conclusions</w:t>
      </w:r>
      <w:r w:rsidR="00F70959" w:rsidRPr="00E70281">
        <w:rPr>
          <w:color w:val="auto"/>
        </w:rPr>
        <w:t>.</w:t>
      </w:r>
    </w:p>
    <w:p w14:paraId="33515A75" w14:textId="742D31AE" w:rsidR="00D07115" w:rsidRPr="00E70281" w:rsidRDefault="00982518" w:rsidP="00C26839">
      <w:pPr>
        <w:rPr>
          <w:color w:val="auto"/>
        </w:rPr>
      </w:pPr>
      <w:r w:rsidRPr="00E70281">
        <w:rPr>
          <w:color w:val="auto"/>
        </w:rPr>
        <w:t xml:space="preserve">In contrast, we see the anticipated positive </w:t>
      </w:r>
      <w:r w:rsidR="00D23E55" w:rsidRPr="00E70281">
        <w:rPr>
          <w:color w:val="auto"/>
        </w:rPr>
        <w:t>relationship for log(k’) as a function of log(r</w:t>
      </w:r>
      <w:r w:rsidR="00D23E55" w:rsidRPr="00E70281">
        <w:rPr>
          <w:color w:val="auto"/>
          <w:vertAlign w:val="superscript"/>
        </w:rPr>
        <w:t>-1</w:t>
      </w:r>
      <w:r w:rsidR="00D23E55" w:rsidRPr="00E70281">
        <w:rPr>
          <w:color w:val="auto"/>
        </w:rPr>
        <w:t>) for both iron oxide and alumina adsorbents</w:t>
      </w:r>
      <w:r w:rsidR="005D56BA" w:rsidRPr="00E70281">
        <w:rPr>
          <w:color w:val="auto"/>
        </w:rPr>
        <w:t xml:space="preserve"> (</w:t>
      </w:r>
      <w:r w:rsidR="005D56BA" w:rsidRPr="00E70281">
        <w:rPr>
          <w:color w:val="auto"/>
        </w:rPr>
        <w:fldChar w:fldCharType="begin"/>
      </w:r>
      <w:r w:rsidR="005D56BA" w:rsidRPr="00E70281">
        <w:rPr>
          <w:color w:val="auto"/>
        </w:rPr>
        <w:instrText xml:space="preserve"> REF _Ref61186587 \h </w:instrText>
      </w:r>
      <w:r w:rsidR="005D56BA" w:rsidRPr="00E70281">
        <w:rPr>
          <w:color w:val="auto"/>
        </w:rPr>
      </w:r>
      <w:r w:rsidR="005D56BA" w:rsidRPr="00E70281">
        <w:rPr>
          <w:color w:val="auto"/>
        </w:rPr>
        <w:fldChar w:fldCharType="separate"/>
      </w:r>
      <w:r w:rsidR="00D37CAD" w:rsidRPr="00E70281">
        <w:rPr>
          <w:color w:val="auto"/>
        </w:rPr>
        <w:t xml:space="preserve">Figure </w:t>
      </w:r>
      <w:r w:rsidR="00D37CAD" w:rsidRPr="00E70281">
        <w:rPr>
          <w:noProof/>
          <w:color w:val="auto"/>
        </w:rPr>
        <w:t>7</w:t>
      </w:r>
      <w:r w:rsidR="005D56BA" w:rsidRPr="00E70281">
        <w:rPr>
          <w:color w:val="auto"/>
        </w:rPr>
        <w:fldChar w:fldCharType="end"/>
      </w:r>
      <w:r w:rsidR="005D56BA" w:rsidRPr="00E70281">
        <w:rPr>
          <w:color w:val="auto"/>
        </w:rPr>
        <w:t>b)</w:t>
      </w:r>
      <w:r w:rsidR="00D23E55" w:rsidRPr="00E70281">
        <w:rPr>
          <w:color w:val="auto"/>
        </w:rPr>
        <w:t xml:space="preserve">. </w:t>
      </w:r>
      <w:r w:rsidR="00E758AC">
        <w:rPr>
          <w:color w:val="auto"/>
        </w:rPr>
        <w:t>The</w:t>
      </w:r>
      <w:r w:rsidR="00515767" w:rsidRPr="00E70281">
        <w:rPr>
          <w:color w:val="auto"/>
        </w:rPr>
        <w:t xml:space="preserve"> iron oxides </w:t>
      </w:r>
      <w:r w:rsidR="005F0E02">
        <w:rPr>
          <w:color w:val="FF0000"/>
        </w:rPr>
        <w:t>show</w:t>
      </w:r>
      <w:r w:rsidR="00515767" w:rsidRPr="00E758AC">
        <w:rPr>
          <w:color w:val="FF0000"/>
        </w:rPr>
        <w:t xml:space="preserve"> </w:t>
      </w:r>
      <w:r w:rsidR="00515767" w:rsidRPr="00E70281">
        <w:rPr>
          <w:color w:val="auto"/>
        </w:rPr>
        <w:t>a slope of 0.44±0.1 with R</w:t>
      </w:r>
      <w:r w:rsidR="00515767" w:rsidRPr="00E70281">
        <w:rPr>
          <w:color w:val="auto"/>
          <w:vertAlign w:val="superscript"/>
        </w:rPr>
        <w:t>2</w:t>
      </w:r>
      <w:r w:rsidR="00F70959" w:rsidRPr="00E70281">
        <w:rPr>
          <w:color w:val="auto"/>
        </w:rPr>
        <w:t>=0.5211</w:t>
      </w:r>
      <w:r w:rsidR="00515767" w:rsidRPr="00E70281">
        <w:rPr>
          <w:color w:val="auto"/>
        </w:rPr>
        <w:t xml:space="preserve">, and </w:t>
      </w:r>
      <w:r w:rsidR="00C26839" w:rsidRPr="00E70281">
        <w:rPr>
          <w:color w:val="auto"/>
        </w:rPr>
        <w:t xml:space="preserve">alumina </w:t>
      </w:r>
      <w:r w:rsidR="005F0E02">
        <w:rPr>
          <w:color w:val="FF0000"/>
        </w:rPr>
        <w:t>shows</w:t>
      </w:r>
      <w:r w:rsidR="00C26839" w:rsidRPr="00E758AC">
        <w:rPr>
          <w:color w:val="FF0000"/>
        </w:rPr>
        <w:t xml:space="preserve"> </w:t>
      </w:r>
      <w:r w:rsidR="00C26839" w:rsidRPr="00E70281">
        <w:rPr>
          <w:color w:val="auto"/>
        </w:rPr>
        <w:t>a slope of 0.62</w:t>
      </w:r>
      <w:r w:rsidR="00515767" w:rsidRPr="00E70281">
        <w:rPr>
          <w:color w:val="auto"/>
        </w:rPr>
        <w:t>±0.25 and R</w:t>
      </w:r>
      <w:r w:rsidR="00515767" w:rsidRPr="00E70281">
        <w:rPr>
          <w:color w:val="auto"/>
          <w:vertAlign w:val="superscript"/>
        </w:rPr>
        <w:t>2</w:t>
      </w:r>
      <w:r w:rsidR="00F70959" w:rsidRPr="00E70281">
        <w:rPr>
          <w:color w:val="auto"/>
        </w:rPr>
        <w:t>=0.5547</w:t>
      </w:r>
      <w:r w:rsidR="00515767" w:rsidRPr="00E70281">
        <w:rPr>
          <w:color w:val="auto"/>
        </w:rPr>
        <w:t>.</w:t>
      </w:r>
      <w:r w:rsidR="00114990">
        <w:rPr>
          <w:color w:val="auto"/>
        </w:rPr>
        <w:t xml:space="preserve"> </w:t>
      </w:r>
      <w:r w:rsidR="00114990" w:rsidRPr="00114990">
        <w:rPr>
          <w:color w:val="FF0000"/>
        </w:rPr>
        <w:t>This suggests that the rPSO rate constant k’ captures the influence of particle size on adsorption kinetics.</w:t>
      </w:r>
      <w:r w:rsidR="00F70959" w:rsidRPr="00114990">
        <w:rPr>
          <w:color w:val="FF0000"/>
        </w:rPr>
        <w:t xml:space="preserve"> </w:t>
      </w:r>
      <w:r w:rsidRPr="00E70281">
        <w:rPr>
          <w:color w:val="auto"/>
        </w:rPr>
        <w:t xml:space="preserve">The </w:t>
      </w:r>
      <w:r w:rsidR="00D07115" w:rsidRPr="00E70281">
        <w:rPr>
          <w:color w:val="auto"/>
        </w:rPr>
        <w:t>limited</w:t>
      </w:r>
      <w:r w:rsidRPr="00E70281">
        <w:rPr>
          <w:color w:val="auto"/>
        </w:rPr>
        <w:t xml:space="preserve"> goodness of fit in the linear regression</w:t>
      </w:r>
      <w:r w:rsidR="00515767" w:rsidRPr="00E70281">
        <w:rPr>
          <w:color w:val="auto"/>
        </w:rPr>
        <w:t xml:space="preserve"> </w:t>
      </w:r>
      <w:r w:rsidR="00114768" w:rsidRPr="00E70281">
        <w:rPr>
          <w:color w:val="auto"/>
        </w:rPr>
        <w:t>is</w:t>
      </w:r>
      <w:r w:rsidRPr="00E70281">
        <w:rPr>
          <w:color w:val="auto"/>
        </w:rPr>
        <w:t xml:space="preserve"> </w:t>
      </w:r>
      <w:r w:rsidR="00114768" w:rsidRPr="00E70281">
        <w:rPr>
          <w:color w:val="auto"/>
        </w:rPr>
        <w:t>controlled</w:t>
      </w:r>
      <w:r w:rsidRPr="00E70281">
        <w:rPr>
          <w:color w:val="auto"/>
        </w:rPr>
        <w:t xml:space="preserve"> by </w:t>
      </w:r>
      <w:r w:rsidR="00515767" w:rsidRPr="00E70281">
        <w:rPr>
          <w:color w:val="auto"/>
        </w:rPr>
        <w:t>factors including</w:t>
      </w:r>
      <w:r w:rsidRPr="00E70281">
        <w:rPr>
          <w:color w:val="auto"/>
        </w:rPr>
        <w:t xml:space="preserve"> poor charac</w:t>
      </w:r>
      <w:r w:rsidR="00F462F2" w:rsidRPr="00E70281">
        <w:rPr>
          <w:color w:val="auto"/>
        </w:rPr>
        <w:t>terisation of the particle size and</w:t>
      </w:r>
      <w:r w:rsidRPr="00E70281">
        <w:rPr>
          <w:color w:val="auto"/>
        </w:rPr>
        <w:t xml:space="preserve"> differences in experimental conditions beyond C</w:t>
      </w:r>
      <w:r w:rsidRPr="00E70281">
        <w:rPr>
          <w:color w:val="auto"/>
          <w:vertAlign w:val="subscript"/>
        </w:rPr>
        <w:t>0</w:t>
      </w:r>
      <w:r w:rsidRPr="00E70281">
        <w:rPr>
          <w:color w:val="auto"/>
        </w:rPr>
        <w:t xml:space="preserve"> and C</w:t>
      </w:r>
      <w:r w:rsidRPr="00E70281">
        <w:rPr>
          <w:color w:val="auto"/>
          <w:vertAlign w:val="subscript"/>
        </w:rPr>
        <w:t>s</w:t>
      </w:r>
      <w:r w:rsidRPr="00E70281">
        <w:rPr>
          <w:color w:val="auto"/>
        </w:rPr>
        <w:t>, such as the pH.</w:t>
      </w:r>
      <w:r w:rsidR="00C26839" w:rsidRPr="00E70281">
        <w:rPr>
          <w:color w:val="auto"/>
        </w:rPr>
        <w:t xml:space="preserve"> The accurate characterisation of particle size is especially challenging, given the range of techniques used by the literature including transmission electron microscopy (TEM), </w:t>
      </w:r>
      <w:r w:rsidR="00F462F2" w:rsidRPr="00E70281">
        <w:rPr>
          <w:color w:val="auto"/>
        </w:rPr>
        <w:t>dynamic light scattering</w:t>
      </w:r>
      <w:r w:rsidR="00C26839" w:rsidRPr="00E70281">
        <w:rPr>
          <w:color w:val="auto"/>
        </w:rPr>
        <w:t xml:space="preserve"> (DLS)</w:t>
      </w:r>
      <w:r w:rsidR="00F462F2" w:rsidRPr="00E70281">
        <w:rPr>
          <w:color w:val="auto"/>
        </w:rPr>
        <w:t xml:space="preserve"> and sieve fractionation</w:t>
      </w:r>
      <w:r w:rsidR="00D07115" w:rsidRPr="00E70281">
        <w:rPr>
          <w:color w:val="auto"/>
        </w:rPr>
        <w:t>.</w:t>
      </w:r>
    </w:p>
    <w:p w14:paraId="27C4FB02" w14:textId="2035E027" w:rsidR="00D520F4" w:rsidRPr="00E70281" w:rsidRDefault="00982518" w:rsidP="00D87E67">
      <w:pPr>
        <w:rPr>
          <w:color w:val="auto"/>
        </w:rPr>
      </w:pPr>
      <w:r w:rsidRPr="00E70281">
        <w:rPr>
          <w:color w:val="auto"/>
        </w:rPr>
        <w:lastRenderedPageBreak/>
        <w:t xml:space="preserve">The results from this literature survey show greater log(k’) </w:t>
      </w:r>
      <w:r w:rsidR="00155CF2" w:rsidRPr="00E70281">
        <w:rPr>
          <w:color w:val="FF0000"/>
        </w:rPr>
        <w:t xml:space="preserve">values </w:t>
      </w:r>
      <w:r w:rsidRPr="00E70281">
        <w:rPr>
          <w:color w:val="auto"/>
        </w:rPr>
        <w:t xml:space="preserve">at each specific particle size for alumina versus iron oxides, suggesting that the adsorption of inorganic arsenic </w:t>
      </w:r>
      <w:r w:rsidR="00515767" w:rsidRPr="00E70281">
        <w:rPr>
          <w:color w:val="auto"/>
        </w:rPr>
        <w:t>is faster onto alumina than</w:t>
      </w:r>
      <w:r w:rsidR="00C26839" w:rsidRPr="00E70281">
        <w:rPr>
          <w:color w:val="auto"/>
        </w:rPr>
        <w:t xml:space="preserve"> onto</w:t>
      </w:r>
      <w:r w:rsidR="00515767" w:rsidRPr="00E70281">
        <w:rPr>
          <w:color w:val="auto"/>
        </w:rPr>
        <w:t xml:space="preserve"> iron oxides</w:t>
      </w:r>
      <w:r w:rsidRPr="00E70281">
        <w:rPr>
          <w:color w:val="auto"/>
        </w:rPr>
        <w:t>.</w:t>
      </w:r>
      <w:r w:rsidR="00F70959" w:rsidRPr="00E70281">
        <w:rPr>
          <w:color w:val="auto"/>
        </w:rPr>
        <w:t xml:space="preserve"> </w:t>
      </w:r>
      <w:r w:rsidRPr="00E70281">
        <w:rPr>
          <w:color w:val="auto"/>
        </w:rPr>
        <w:t xml:space="preserve">With more rigorous analysis, such a </w:t>
      </w:r>
      <w:r w:rsidR="00D07115" w:rsidRPr="00E70281">
        <w:rPr>
          <w:color w:val="auto"/>
        </w:rPr>
        <w:t>study</w:t>
      </w:r>
      <w:r w:rsidRPr="00E70281">
        <w:rPr>
          <w:color w:val="auto"/>
        </w:rPr>
        <w:t xml:space="preserve"> would have important implications in the design of engineered solutions for arsenic remediation, i.e. opting to use alumina in place of iron oxides</w:t>
      </w:r>
      <w:r w:rsidR="00530CE9" w:rsidRPr="00530CE9">
        <w:rPr>
          <w:color w:val="FF0000"/>
        </w:rPr>
        <w:t xml:space="preserve"> in a </w:t>
      </w:r>
      <w:r w:rsidR="00530CE9">
        <w:rPr>
          <w:color w:val="FF0000"/>
        </w:rPr>
        <w:t xml:space="preserve">packed </w:t>
      </w:r>
      <w:r w:rsidR="00530CE9" w:rsidRPr="003B5659">
        <w:rPr>
          <w:color w:val="FF0000"/>
        </w:rPr>
        <w:t>column</w:t>
      </w:r>
      <w:r w:rsidRPr="003B5659">
        <w:rPr>
          <w:color w:val="FF0000"/>
        </w:rPr>
        <w:t xml:space="preserve"> when</w:t>
      </w:r>
      <w:r w:rsidR="003B5659" w:rsidRPr="003B5659">
        <w:rPr>
          <w:color w:val="FF0000"/>
        </w:rPr>
        <w:t xml:space="preserve"> larger particle sizes and</w:t>
      </w:r>
      <w:r w:rsidRPr="003B5659">
        <w:rPr>
          <w:color w:val="FF0000"/>
        </w:rPr>
        <w:t xml:space="preserve"> high flow rates </w:t>
      </w:r>
      <w:r w:rsidR="003B5659" w:rsidRPr="003B5659">
        <w:rPr>
          <w:color w:val="FF0000"/>
        </w:rPr>
        <w:t>are required</w:t>
      </w:r>
      <w:r w:rsidR="008E3B25" w:rsidRPr="00E70281">
        <w:rPr>
          <w:color w:val="auto"/>
        </w:rPr>
        <w:t>.</w:t>
      </w:r>
      <w:r w:rsidR="00F70959" w:rsidRPr="00E70281">
        <w:rPr>
          <w:color w:val="auto"/>
        </w:rPr>
        <w:t xml:space="preserve"> </w:t>
      </w:r>
      <w:commentRangeStart w:id="56"/>
      <w:commentRangeStart w:id="57"/>
      <w:r w:rsidRPr="00E70281">
        <w:rPr>
          <w:color w:val="auto"/>
        </w:rPr>
        <w:t xml:space="preserve">This highlights </w:t>
      </w:r>
      <w:r w:rsidR="00114768" w:rsidRPr="00E70281">
        <w:rPr>
          <w:color w:val="auto"/>
        </w:rPr>
        <w:t>that</w:t>
      </w:r>
      <w:r w:rsidRPr="00E70281">
        <w:rPr>
          <w:color w:val="auto"/>
        </w:rPr>
        <w:t xml:space="preserve"> normalisation of the PSO rate constant k</w:t>
      </w:r>
      <w:r w:rsidRPr="00E70281">
        <w:rPr>
          <w:color w:val="auto"/>
          <w:vertAlign w:val="subscript"/>
        </w:rPr>
        <w:t>2</w:t>
      </w:r>
      <w:r w:rsidRPr="00E70281">
        <w:rPr>
          <w:color w:val="auto"/>
        </w:rPr>
        <w:t xml:space="preserve"> to the rPSO rate constant k’, or some other constant, can achieve a more meaningful comparison of </w:t>
      </w:r>
      <w:r w:rsidR="00C26839" w:rsidRPr="00E70281">
        <w:rPr>
          <w:color w:val="auto"/>
        </w:rPr>
        <w:t xml:space="preserve">the </w:t>
      </w:r>
      <w:r w:rsidRPr="00E70281">
        <w:rPr>
          <w:color w:val="auto"/>
        </w:rPr>
        <w:t xml:space="preserve">adsorption kinetics </w:t>
      </w:r>
      <w:r w:rsidR="00C26839" w:rsidRPr="00E70281">
        <w:rPr>
          <w:color w:val="auto"/>
        </w:rPr>
        <w:t>reported by</w:t>
      </w:r>
      <w:r w:rsidRPr="00E70281">
        <w:rPr>
          <w:color w:val="auto"/>
        </w:rPr>
        <w:t xml:space="preserve"> the literature.</w:t>
      </w:r>
      <w:r w:rsidR="00F70959" w:rsidRPr="00E70281">
        <w:rPr>
          <w:color w:val="auto"/>
        </w:rPr>
        <w:t xml:space="preserve"> </w:t>
      </w:r>
      <w:commentRangeEnd w:id="56"/>
      <w:r w:rsidR="00155CF2" w:rsidRPr="00E70281">
        <w:rPr>
          <w:rStyle w:val="CommentReference"/>
        </w:rPr>
        <w:commentReference w:id="56"/>
      </w:r>
      <w:commentRangeEnd w:id="57"/>
      <w:r w:rsidR="00155CF2" w:rsidRPr="00E70281">
        <w:rPr>
          <w:rStyle w:val="CommentReference"/>
        </w:rPr>
        <w:commentReference w:id="57"/>
      </w:r>
    </w:p>
    <w:p w14:paraId="318D3C12" w14:textId="77777777" w:rsidR="00FF0795" w:rsidRPr="00E70281" w:rsidRDefault="00FF0795" w:rsidP="00D87E67">
      <w:pPr>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45A6A" w:rsidRPr="00E70281" w14:paraId="6957D75A" w14:textId="77777777" w:rsidTr="00A91275">
        <w:trPr>
          <w:cantSplit/>
        </w:trPr>
        <w:tc>
          <w:tcPr>
            <w:tcW w:w="4508" w:type="dxa"/>
          </w:tcPr>
          <w:p w14:paraId="7BA9C78C" w14:textId="321F30D2" w:rsidR="00C45A6A" w:rsidRPr="00E70281" w:rsidRDefault="00C45A6A" w:rsidP="00876396">
            <w:pPr>
              <w:rPr>
                <w:color w:val="auto"/>
              </w:rPr>
            </w:pPr>
            <w:r w:rsidRPr="00E70281">
              <w:rPr>
                <w:color w:val="auto"/>
              </w:rPr>
              <w:t xml:space="preserve">(a) </w:t>
            </w:r>
            <w:r w:rsidR="00876396" w:rsidRPr="00E70281">
              <w:rPr>
                <w:color w:val="auto"/>
              </w:rPr>
              <w:br/>
            </w:r>
            <w:commentRangeStart w:id="58"/>
            <w:commentRangeStart w:id="59"/>
            <w:r w:rsidR="000B2499" w:rsidRPr="00E70281">
              <w:rPr>
                <w:noProof/>
                <w:color w:val="auto"/>
              </w:rPr>
              <w:drawing>
                <wp:inline distT="0" distB="0" distL="0" distR="0" wp14:anchorId="1091E17A" wp14:editId="362CBC6F">
                  <wp:extent cx="2700670" cy="2906666"/>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4403" r="1930"/>
                          <a:stretch/>
                        </pic:blipFill>
                        <pic:spPr bwMode="auto">
                          <a:xfrm>
                            <a:off x="0" y="0"/>
                            <a:ext cx="2719407" cy="2926832"/>
                          </a:xfrm>
                          <a:prstGeom prst="rect">
                            <a:avLst/>
                          </a:prstGeom>
                          <a:noFill/>
                          <a:ln>
                            <a:noFill/>
                          </a:ln>
                          <a:extLst>
                            <a:ext uri="{53640926-AAD7-44D8-BBD7-CCE9431645EC}">
                              <a14:shadowObscured xmlns:a14="http://schemas.microsoft.com/office/drawing/2010/main"/>
                            </a:ext>
                          </a:extLst>
                        </pic:spPr>
                      </pic:pic>
                    </a:graphicData>
                  </a:graphic>
                </wp:inline>
              </w:drawing>
            </w:r>
            <w:commentRangeEnd w:id="58"/>
            <w:r w:rsidR="00155CF2" w:rsidRPr="00E70281">
              <w:rPr>
                <w:rStyle w:val="CommentReference"/>
              </w:rPr>
              <w:commentReference w:id="58"/>
            </w:r>
            <w:commentRangeEnd w:id="59"/>
            <w:r w:rsidR="00155CF2" w:rsidRPr="00E70281">
              <w:rPr>
                <w:rStyle w:val="CommentReference"/>
              </w:rPr>
              <w:commentReference w:id="59"/>
            </w:r>
          </w:p>
        </w:tc>
        <w:tc>
          <w:tcPr>
            <w:tcW w:w="4508" w:type="dxa"/>
          </w:tcPr>
          <w:p w14:paraId="3B593BCC" w14:textId="6C35297E" w:rsidR="00C45A6A" w:rsidRPr="00E70281" w:rsidRDefault="009C4EC6" w:rsidP="00876396">
            <w:pPr>
              <w:rPr>
                <w:color w:val="auto"/>
              </w:rPr>
            </w:pPr>
            <w:r w:rsidRPr="00E70281">
              <w:rPr>
                <w:color w:val="auto"/>
              </w:rPr>
              <w:t xml:space="preserve">(b) </w:t>
            </w:r>
            <w:r w:rsidR="00876396" w:rsidRPr="00E70281">
              <w:rPr>
                <w:color w:val="auto"/>
              </w:rPr>
              <w:br/>
            </w:r>
            <w:r w:rsidR="00AD7611" w:rsidRPr="00E70281">
              <w:rPr>
                <w:noProof/>
                <w:color w:val="auto"/>
              </w:rPr>
              <w:drawing>
                <wp:inline distT="0" distB="0" distL="0" distR="0" wp14:anchorId="378FC32A" wp14:editId="0F0F5B18">
                  <wp:extent cx="2715726" cy="2906395"/>
                  <wp:effectExtent l="0" t="0" r="889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4373" r="2188"/>
                          <a:stretch/>
                        </pic:blipFill>
                        <pic:spPr bwMode="auto">
                          <a:xfrm>
                            <a:off x="0" y="0"/>
                            <a:ext cx="2733744" cy="29256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EDC960" w14:textId="4F77F229" w:rsidR="00CD11CB" w:rsidRPr="00E70281" w:rsidRDefault="00C45A6A" w:rsidP="00FF0795">
      <w:pPr>
        <w:pStyle w:val="Caption"/>
        <w:rPr>
          <w:color w:val="auto"/>
        </w:rPr>
      </w:pPr>
      <w:bookmarkStart w:id="60" w:name="_Ref61186587"/>
      <w:r w:rsidRPr="00E70281">
        <w:rPr>
          <w:color w:val="auto"/>
        </w:rPr>
        <w:t xml:space="preserve">Figure </w:t>
      </w:r>
      <w:r w:rsidRPr="00E70281">
        <w:rPr>
          <w:color w:val="auto"/>
        </w:rPr>
        <w:fldChar w:fldCharType="begin"/>
      </w:r>
      <w:r w:rsidRPr="00E70281">
        <w:rPr>
          <w:color w:val="auto"/>
        </w:rPr>
        <w:instrText xml:space="preserve"> SEQ Figure \* ARABIC </w:instrText>
      </w:r>
      <w:r w:rsidRPr="00E70281">
        <w:rPr>
          <w:color w:val="auto"/>
        </w:rPr>
        <w:fldChar w:fldCharType="separate"/>
      </w:r>
      <w:r w:rsidR="00D37CAD" w:rsidRPr="00E70281">
        <w:rPr>
          <w:noProof/>
          <w:color w:val="auto"/>
        </w:rPr>
        <w:t>7</w:t>
      </w:r>
      <w:r w:rsidRPr="00E70281">
        <w:rPr>
          <w:color w:val="auto"/>
        </w:rPr>
        <w:fldChar w:fldCharType="end"/>
      </w:r>
      <w:bookmarkEnd w:id="60"/>
      <w:r w:rsidRPr="00E70281">
        <w:rPr>
          <w:color w:val="auto"/>
        </w:rPr>
        <w:t xml:space="preserve">: </w:t>
      </w:r>
      <w:r w:rsidR="00F462F2" w:rsidRPr="00E70281">
        <w:rPr>
          <w:color w:val="auto"/>
        </w:rPr>
        <w:t xml:space="preserve">Application study 2: </w:t>
      </w:r>
      <w:r w:rsidRPr="00E70281">
        <w:rPr>
          <w:color w:val="auto"/>
        </w:rPr>
        <w:t>Use of the rPSO rate constant k’ to compare literature sources with adsorption kinetics determined under different experimental conditions.</w:t>
      </w:r>
      <w:r w:rsidR="00AD7611" w:rsidRPr="00E70281">
        <w:rPr>
          <w:color w:val="auto"/>
        </w:rPr>
        <w:t xml:space="preserve"> Particle size decreases from left to right.</w:t>
      </w:r>
      <w:r w:rsidRPr="00E70281">
        <w:rPr>
          <w:color w:val="auto"/>
        </w:rPr>
        <w:t xml:space="preserve"> </w:t>
      </w:r>
      <w:r w:rsidR="0083669B" w:rsidRPr="00E70281">
        <w:rPr>
          <w:color w:val="auto"/>
        </w:rPr>
        <w:t xml:space="preserve">Presented are </w:t>
      </w:r>
      <w:proofErr w:type="gramStart"/>
      <w:r w:rsidR="0083669B" w:rsidRPr="00E70281">
        <w:rPr>
          <w:color w:val="auto"/>
        </w:rPr>
        <w:t>As</w:t>
      </w:r>
      <w:proofErr w:type="gramEnd"/>
      <w:r w:rsidR="0083669B" w:rsidRPr="00E70281">
        <w:rPr>
          <w:color w:val="auto"/>
        </w:rPr>
        <w:t xml:space="preserve">(V) (red filled shapes) and As(III) (orange filled shapes) adsorption onto iron oxides, and </w:t>
      </w:r>
      <w:r w:rsidR="009434DA" w:rsidRPr="00E70281">
        <w:rPr>
          <w:color w:val="auto"/>
        </w:rPr>
        <w:t>As(V) (dark blue open squares) and As(III) (light blue open circles) adsorption onto alumina.</w:t>
      </w:r>
      <w:r w:rsidR="00FE2A80" w:rsidRPr="00E70281">
        <w:rPr>
          <w:color w:val="auto"/>
        </w:rPr>
        <w:t xml:space="preserve"> Each data point indicates a different literature sourc</w:t>
      </w:r>
      <w:r w:rsidR="009004E8" w:rsidRPr="00E70281">
        <w:rPr>
          <w:color w:val="auto"/>
        </w:rPr>
        <w:t xml:space="preserve">e, </w:t>
      </w:r>
      <w:r w:rsidR="00C26839" w:rsidRPr="00E70281">
        <w:rPr>
          <w:color w:val="auto"/>
        </w:rPr>
        <w:t>with a legend given in SI Figure S5</w:t>
      </w:r>
      <w:r w:rsidR="009004E8" w:rsidRPr="00E70281">
        <w:rPr>
          <w:color w:val="auto"/>
        </w:rPr>
        <w:t>.</w:t>
      </w:r>
      <w:r w:rsidR="00CD11CB" w:rsidRPr="00E70281">
        <w:rPr>
          <w:color w:val="auto"/>
        </w:rPr>
        <w:br w:type="page"/>
      </w:r>
    </w:p>
    <w:bookmarkEnd w:id="30"/>
    <w:p w14:paraId="6B10E1EB" w14:textId="68F63B4E" w:rsidR="000A53EC" w:rsidRPr="00E70281" w:rsidRDefault="004379CF" w:rsidP="009222BF">
      <w:pPr>
        <w:pStyle w:val="Heading1"/>
        <w:numPr>
          <w:ilvl w:val="0"/>
          <w:numId w:val="0"/>
        </w:numPr>
        <w:ind w:left="360"/>
        <w:jc w:val="both"/>
        <w:rPr>
          <w:color w:val="auto"/>
        </w:rPr>
      </w:pPr>
      <w:r w:rsidRPr="00E70281">
        <w:rPr>
          <w:color w:val="auto"/>
        </w:rPr>
        <w:lastRenderedPageBreak/>
        <w:t>Conclusions</w:t>
      </w:r>
    </w:p>
    <w:p w14:paraId="7DB1A35F" w14:textId="2F2FDC67" w:rsidR="00CD3D41" w:rsidRPr="00E70281" w:rsidRDefault="00CD3D41" w:rsidP="00CD3D41">
      <w:pPr>
        <w:rPr>
          <w:color w:val="auto"/>
        </w:rPr>
      </w:pPr>
    </w:p>
    <w:p w14:paraId="45BE046C" w14:textId="07FD19B1" w:rsidR="001D417B" w:rsidRPr="00E70281" w:rsidRDefault="0028122F" w:rsidP="00CD3D41">
      <w:pPr>
        <w:rPr>
          <w:color w:val="auto"/>
        </w:rPr>
      </w:pPr>
      <w:r w:rsidRPr="00E70281">
        <w:rPr>
          <w:color w:val="auto"/>
        </w:rPr>
        <w:t>This work aimed to modify the popular p</w:t>
      </w:r>
      <w:r w:rsidR="0001230D">
        <w:rPr>
          <w:color w:val="auto"/>
        </w:rPr>
        <w:t>seudo-second order</w:t>
      </w:r>
      <w:r w:rsidRPr="00E70281">
        <w:rPr>
          <w:color w:val="auto"/>
        </w:rPr>
        <w:t xml:space="preserve"> (PSO) model of adsorption kinetics to </w:t>
      </w:r>
      <w:r w:rsidR="00114768" w:rsidRPr="00E70281">
        <w:rPr>
          <w:color w:val="auto"/>
        </w:rPr>
        <w:t>remove</w:t>
      </w:r>
      <w:r w:rsidRPr="00E70281">
        <w:rPr>
          <w:color w:val="auto"/>
        </w:rPr>
        <w:t xml:space="preserve"> experimental conditionality, focusing upon initial adsorbate concentration (C</w:t>
      </w:r>
      <w:r w:rsidRPr="00E70281">
        <w:rPr>
          <w:color w:val="auto"/>
          <w:vertAlign w:val="subscript"/>
        </w:rPr>
        <w:t>0</w:t>
      </w:r>
      <w:r w:rsidRPr="00E70281">
        <w:rPr>
          <w:color w:val="auto"/>
        </w:rPr>
        <w:t>) and adsorbent concentration (C</w:t>
      </w:r>
      <w:r w:rsidRPr="00E70281">
        <w:rPr>
          <w:color w:val="auto"/>
          <w:vertAlign w:val="subscript"/>
        </w:rPr>
        <w:t>s</w:t>
      </w:r>
      <w:r w:rsidRPr="00E70281">
        <w:rPr>
          <w:color w:val="auto"/>
        </w:rPr>
        <w:t xml:space="preserve">). </w:t>
      </w:r>
      <w:r w:rsidR="00114768" w:rsidRPr="00E70281">
        <w:rPr>
          <w:color w:val="auto"/>
        </w:rPr>
        <w:t>A</w:t>
      </w:r>
      <w:r w:rsidR="001D417B" w:rsidRPr="00E70281">
        <w:rPr>
          <w:color w:val="auto"/>
        </w:rPr>
        <w:t xml:space="preserve"> revised PSO rate equation (rPSO) was developed from the empirical analysis of </w:t>
      </w:r>
      <w:r w:rsidR="00BE6750">
        <w:rPr>
          <w:color w:val="auto"/>
        </w:rPr>
        <w:t>64</w:t>
      </w:r>
      <w:r w:rsidR="001D417B" w:rsidRPr="00E70281">
        <w:rPr>
          <w:color w:val="auto"/>
        </w:rPr>
        <w:t xml:space="preserve"> kinetic experiments taken from </w:t>
      </w:r>
      <w:r w:rsidR="00F462F2" w:rsidRPr="00E70281">
        <w:rPr>
          <w:color w:val="auto"/>
        </w:rPr>
        <w:t>15</w:t>
      </w:r>
      <w:r w:rsidR="001D417B" w:rsidRPr="00E70281">
        <w:rPr>
          <w:color w:val="auto"/>
        </w:rPr>
        <w:t xml:space="preserve"> literature sources. The final equation takes the form </w:t>
      </w:r>
      <m:oMath>
        <m:f>
          <m:fPr>
            <m:ctrlPr>
              <w:rPr>
                <w:rFonts w:ascii="Cambria Math" w:hAnsi="Cambria Math" w:cstheme="minorHAnsi"/>
                <w:color w:val="auto"/>
              </w:rPr>
            </m:ctrlPr>
          </m:fPr>
          <m:num>
            <m:r>
              <m:rPr>
                <m:sty m:val="p"/>
              </m:rPr>
              <w:rPr>
                <w:rFonts w:ascii="Cambria Math" w:hAnsi="Cambria Math" w:cstheme="minorHAnsi"/>
                <w:color w:val="auto"/>
              </w:rPr>
              <m:t>d</m:t>
            </m:r>
            <m:sSub>
              <m:sSubPr>
                <m:ctrlPr>
                  <w:rPr>
                    <w:rFonts w:ascii="Cambria Math" w:hAnsi="Cambria Math" w:cstheme="minorHAnsi"/>
                    <w:iCs/>
                    <w:color w:val="auto"/>
                  </w:rPr>
                </m:ctrlPr>
              </m:sSubPr>
              <m:e>
                <m:r>
                  <m:rPr>
                    <m:sty m:val="p"/>
                  </m:rPr>
                  <w:rPr>
                    <w:rFonts w:ascii="Cambria Math" w:hAnsi="Cambria Math" w:cstheme="minorHAnsi"/>
                    <w:color w:val="auto"/>
                  </w:rPr>
                  <m:t>q</m:t>
                </m:r>
              </m:e>
              <m:sub>
                <m:r>
                  <m:rPr>
                    <m:sty m:val="p"/>
                  </m:rPr>
                  <w:rPr>
                    <w:rFonts w:ascii="Cambria Math" w:hAnsi="Cambria Math" w:cstheme="minorHAnsi"/>
                    <w:color w:val="auto"/>
                  </w:rPr>
                  <m:t>t</m:t>
                </m:r>
              </m:sub>
            </m:sSub>
          </m:num>
          <m:den>
            <m:r>
              <m:rPr>
                <m:sty m:val="p"/>
              </m:rPr>
              <w:rPr>
                <w:rFonts w:ascii="Cambria Math" w:hAnsi="Cambria Math" w:cstheme="minorHAnsi"/>
                <w:color w:val="auto"/>
              </w:rPr>
              <m:t>dt</m:t>
            </m:r>
          </m:den>
        </m:f>
        <m:r>
          <m:rPr>
            <m:sty m:val="p"/>
          </m:rPr>
          <w:rPr>
            <w:rFonts w:ascii="Cambria Math" w:hAnsi="Cambria Math" w:cstheme="minorHAnsi"/>
            <w:color w:val="auto"/>
          </w:rPr>
          <m:t>= k'</m:t>
        </m:r>
        <m:sSub>
          <m:sSubPr>
            <m:ctrlPr>
              <w:rPr>
                <w:rFonts w:ascii="Cambria Math" w:hAnsi="Cambria Math" w:cstheme="minorHAnsi"/>
                <w:color w:val="auto"/>
              </w:rPr>
            </m:ctrlPr>
          </m:sSubPr>
          <m:e>
            <m:r>
              <m:rPr>
                <m:sty m:val="p"/>
              </m:rPr>
              <w:rPr>
                <w:rFonts w:ascii="Cambria Math" w:hAnsi="Cambria Math" w:cstheme="minorHAnsi"/>
                <w:color w:val="auto"/>
              </w:rPr>
              <m:t>C</m:t>
            </m:r>
          </m:e>
          <m:sub>
            <m:r>
              <m:rPr>
                <m:sty m:val="p"/>
              </m:rPr>
              <w:rPr>
                <w:rFonts w:ascii="Cambria Math" w:hAnsi="Cambria Math" w:cstheme="minorHAnsi"/>
                <w:color w:val="auto"/>
              </w:rPr>
              <m:t>t</m:t>
            </m:r>
          </m:sub>
        </m:sSub>
        <m:sSup>
          <m:sSupPr>
            <m:ctrlPr>
              <w:rPr>
                <w:rFonts w:ascii="Cambria Math" w:hAnsi="Cambria Math" w:cstheme="minorHAnsi"/>
                <w:color w:val="auto"/>
              </w:rPr>
            </m:ctrlPr>
          </m:sSupPr>
          <m:e>
            <m:r>
              <m:rPr>
                <m:sty m:val="p"/>
              </m:rPr>
              <w:rPr>
                <w:rFonts w:ascii="Cambria Math" w:hAnsi="Cambria Math" w:cstheme="minorHAnsi"/>
                <w:color w:val="auto"/>
              </w:rPr>
              <m:t>(1-</m:t>
            </m:r>
            <m:f>
              <m:fPr>
                <m:ctrlPr>
                  <w:rPr>
                    <w:rFonts w:ascii="Cambria Math" w:hAnsi="Cambria Math" w:cstheme="minorHAnsi"/>
                    <w:color w:val="auto"/>
                  </w:rPr>
                </m:ctrlPr>
              </m:fPr>
              <m:num>
                <m:sSub>
                  <m:sSubPr>
                    <m:ctrlPr>
                      <w:rPr>
                        <w:rFonts w:ascii="Cambria Math" w:hAnsi="Cambria Math" w:cstheme="minorHAnsi"/>
                        <w:color w:val="auto"/>
                      </w:rPr>
                    </m:ctrlPr>
                  </m:sSubPr>
                  <m:e>
                    <m:r>
                      <m:rPr>
                        <m:sty m:val="p"/>
                      </m:rPr>
                      <w:rPr>
                        <w:rFonts w:ascii="Cambria Math" w:hAnsi="Cambria Math" w:cstheme="minorHAnsi"/>
                        <w:color w:val="auto"/>
                      </w:rPr>
                      <m:t>q</m:t>
                    </m:r>
                  </m:e>
                  <m:sub>
                    <m:r>
                      <m:rPr>
                        <m:sty m:val="p"/>
                      </m:rPr>
                      <w:rPr>
                        <w:rFonts w:ascii="Cambria Math" w:hAnsi="Cambria Math" w:cstheme="minorHAnsi"/>
                        <w:color w:val="auto"/>
                      </w:rPr>
                      <m:t>t</m:t>
                    </m:r>
                  </m:sub>
                </m:sSub>
              </m:num>
              <m:den>
                <m:sSub>
                  <m:sSubPr>
                    <m:ctrlPr>
                      <w:rPr>
                        <w:rFonts w:ascii="Cambria Math" w:hAnsi="Cambria Math" w:cstheme="minorHAnsi"/>
                        <w:color w:val="auto"/>
                      </w:rPr>
                    </m:ctrlPr>
                  </m:sSubPr>
                  <m:e>
                    <m:r>
                      <m:rPr>
                        <m:sty m:val="p"/>
                      </m:rPr>
                      <w:rPr>
                        <w:rFonts w:ascii="Cambria Math" w:hAnsi="Cambria Math" w:cstheme="minorHAnsi"/>
                        <w:color w:val="auto"/>
                      </w:rPr>
                      <m:t>q</m:t>
                    </m:r>
                  </m:e>
                  <m:sub>
                    <m:r>
                      <m:rPr>
                        <m:sty m:val="p"/>
                      </m:rPr>
                      <w:rPr>
                        <w:rFonts w:ascii="Cambria Math" w:hAnsi="Cambria Math" w:cstheme="minorHAnsi"/>
                        <w:color w:val="auto"/>
                      </w:rPr>
                      <m:t>e</m:t>
                    </m:r>
                  </m:sub>
                </m:sSub>
              </m:den>
            </m:f>
            <m:r>
              <w:rPr>
                <w:rFonts w:ascii="Cambria Math" w:hAnsi="Cambria Math" w:cstheme="minorHAnsi"/>
                <w:color w:val="auto"/>
              </w:rPr>
              <m:t>)</m:t>
            </m:r>
          </m:e>
          <m:sup>
            <m:r>
              <w:rPr>
                <w:rFonts w:ascii="Cambria Math" w:hAnsi="Cambria Math" w:cstheme="minorHAnsi"/>
                <w:color w:val="auto"/>
              </w:rPr>
              <m:t>2</m:t>
            </m:r>
          </m:sup>
        </m:sSup>
      </m:oMath>
      <w:r w:rsidR="001D417B" w:rsidRPr="00E70281">
        <w:rPr>
          <w:color w:val="auto"/>
        </w:rPr>
        <w:t xml:space="preserve">. The first application study demonstrates that the rPSO equation allows for a single rate constant to model multiple experiments, differing in </w:t>
      </w:r>
      <w:r w:rsidR="0018631C" w:rsidRPr="00E70281">
        <w:rPr>
          <w:color w:val="auto"/>
        </w:rPr>
        <w:t xml:space="preserve">experimental conditions </w:t>
      </w:r>
      <w:r w:rsidR="001D417B" w:rsidRPr="00E70281">
        <w:rPr>
          <w:color w:val="auto"/>
        </w:rPr>
        <w:t>C</w:t>
      </w:r>
      <w:r w:rsidR="001D417B" w:rsidRPr="00E70281">
        <w:rPr>
          <w:color w:val="auto"/>
          <w:vertAlign w:val="subscript"/>
        </w:rPr>
        <w:t>0</w:t>
      </w:r>
      <w:r w:rsidR="001D417B" w:rsidRPr="00E70281">
        <w:rPr>
          <w:color w:val="auto"/>
        </w:rPr>
        <w:t xml:space="preserve"> and C</w:t>
      </w:r>
      <w:r w:rsidR="001D417B" w:rsidRPr="00E70281">
        <w:rPr>
          <w:color w:val="auto"/>
          <w:vertAlign w:val="subscript"/>
        </w:rPr>
        <w:t>s</w:t>
      </w:r>
      <w:r w:rsidR="001D417B" w:rsidRPr="00E70281">
        <w:rPr>
          <w:color w:val="auto"/>
        </w:rPr>
        <w:t xml:space="preserve">, with greater accuracy and </w:t>
      </w:r>
      <w:r w:rsidR="00987B48" w:rsidRPr="00E70281">
        <w:rPr>
          <w:color w:val="auto"/>
        </w:rPr>
        <w:t>a 66% decrease in the sum of square</w:t>
      </w:r>
      <w:r w:rsidR="0018631C" w:rsidRPr="00E70281">
        <w:rPr>
          <w:color w:val="auto"/>
        </w:rPr>
        <w:t>d</w:t>
      </w:r>
      <w:r w:rsidR="00987B48" w:rsidRPr="00E70281">
        <w:rPr>
          <w:color w:val="auto"/>
        </w:rPr>
        <w:t xml:space="preserve"> residuals</w:t>
      </w:r>
      <w:r w:rsidR="001D417B" w:rsidRPr="00E70281">
        <w:rPr>
          <w:color w:val="auto"/>
        </w:rPr>
        <w:t xml:space="preserve"> </w:t>
      </w:r>
      <w:r w:rsidR="00987B48" w:rsidRPr="00E70281">
        <w:rPr>
          <w:color w:val="auto"/>
        </w:rPr>
        <w:t>versus</w:t>
      </w:r>
      <w:r w:rsidR="001D417B" w:rsidRPr="00E70281">
        <w:rPr>
          <w:color w:val="auto"/>
        </w:rPr>
        <w:t xml:space="preserve"> the original PSO model. The second application study demonstrates that the rPSO equation provides a rate constant which is more useful for comparison across the literature than the PSO rate constant k</w:t>
      </w:r>
      <w:r w:rsidR="001D417B" w:rsidRPr="00E70281">
        <w:rPr>
          <w:color w:val="auto"/>
          <w:vertAlign w:val="subscript"/>
        </w:rPr>
        <w:t>2</w:t>
      </w:r>
      <w:r w:rsidR="00987B48" w:rsidRPr="00E70281">
        <w:rPr>
          <w:color w:val="auto"/>
        </w:rPr>
        <w:t>, obeying</w:t>
      </w:r>
      <w:r w:rsidR="001D417B" w:rsidRPr="00E70281">
        <w:rPr>
          <w:color w:val="auto"/>
        </w:rPr>
        <w:t xml:space="preserve"> </w:t>
      </w:r>
      <w:r w:rsidR="00987B48" w:rsidRPr="00E70281">
        <w:rPr>
          <w:color w:val="auto"/>
        </w:rPr>
        <w:t>the anticipate</w:t>
      </w:r>
      <w:r w:rsidR="0018631C" w:rsidRPr="00E70281">
        <w:rPr>
          <w:color w:val="auto"/>
        </w:rPr>
        <w:t>d</w:t>
      </w:r>
      <w:r w:rsidR="00987B48" w:rsidRPr="00E70281">
        <w:rPr>
          <w:color w:val="auto"/>
        </w:rPr>
        <w:t xml:space="preserve"> relationship between adsorption rates and particle size.</w:t>
      </w:r>
    </w:p>
    <w:p w14:paraId="78A5B8D1" w14:textId="6E7B39B7" w:rsidR="001D417B" w:rsidRPr="00E70281" w:rsidRDefault="001D417B" w:rsidP="00EB3690">
      <w:pPr>
        <w:rPr>
          <w:rFonts w:cstheme="minorHAnsi"/>
          <w:color w:val="auto"/>
        </w:rPr>
      </w:pPr>
      <w:r w:rsidRPr="00E70281">
        <w:rPr>
          <w:color w:val="auto"/>
        </w:rPr>
        <w:t xml:space="preserve">The new rate equation </w:t>
      </w:r>
      <w:r w:rsidRPr="00E70281">
        <w:rPr>
          <w:rFonts w:cstheme="minorHAnsi"/>
          <w:color w:val="auto"/>
        </w:rPr>
        <w:t>is similar to an adsorption-only form of the kinetic Langmuir model (kLm), which at</w:t>
      </w:r>
      <w:r w:rsidR="0001230D">
        <w:rPr>
          <w:rFonts w:cstheme="minorHAnsi"/>
          <w:color w:val="auto"/>
        </w:rPr>
        <w:t xml:space="preserve"> high surface coverage is first-</w:t>
      </w:r>
      <w:r w:rsidRPr="00E70281">
        <w:rPr>
          <w:rFonts w:cstheme="minorHAnsi"/>
          <w:color w:val="auto"/>
        </w:rPr>
        <w:t>order with respect to C</w:t>
      </w:r>
      <w:r w:rsidRPr="00E70281">
        <w:rPr>
          <w:rFonts w:cstheme="minorHAnsi"/>
          <w:color w:val="auto"/>
          <w:vertAlign w:val="subscript"/>
        </w:rPr>
        <w:t>t</w:t>
      </w:r>
      <w:r w:rsidR="0001230D">
        <w:rPr>
          <w:rFonts w:cstheme="minorHAnsi"/>
          <w:color w:val="auto"/>
        </w:rPr>
        <w:t xml:space="preserve"> and second-</w:t>
      </w:r>
      <w:r w:rsidRPr="00E70281">
        <w:rPr>
          <w:rFonts w:cstheme="minorHAnsi"/>
          <w:color w:val="auto"/>
        </w:rPr>
        <w:t>order</w:t>
      </w:r>
      <w:r w:rsidR="00EB3690" w:rsidRPr="00E70281">
        <w:rPr>
          <w:rFonts w:cstheme="minorHAnsi"/>
          <w:color w:val="auto"/>
        </w:rPr>
        <w:t xml:space="preserve"> with respect</w:t>
      </w:r>
      <w:r w:rsidRPr="00E70281">
        <w:rPr>
          <w:rFonts w:cstheme="minorHAnsi"/>
          <w:color w:val="auto"/>
        </w:rPr>
        <w:t xml:space="preserve"> to </w:t>
      </w:r>
      <m:oMath>
        <m:r>
          <m:rPr>
            <m:sty m:val="p"/>
          </m:rPr>
          <w:rPr>
            <w:rFonts w:ascii="Cambria Math" w:hAnsi="Cambria Math" w:cstheme="minorHAnsi"/>
            <w:color w:val="auto"/>
          </w:rPr>
          <m:t>(1-</m:t>
        </m:r>
        <m:f>
          <m:fPr>
            <m:ctrlPr>
              <w:rPr>
                <w:rFonts w:ascii="Cambria Math" w:hAnsi="Cambria Math" w:cstheme="minorHAnsi"/>
                <w:color w:val="auto"/>
              </w:rPr>
            </m:ctrlPr>
          </m:fPr>
          <m:num>
            <m:sSub>
              <m:sSubPr>
                <m:ctrlPr>
                  <w:rPr>
                    <w:rFonts w:ascii="Cambria Math" w:hAnsi="Cambria Math" w:cstheme="minorHAnsi"/>
                    <w:color w:val="auto"/>
                  </w:rPr>
                </m:ctrlPr>
              </m:sSubPr>
              <m:e>
                <m:r>
                  <m:rPr>
                    <m:sty m:val="p"/>
                  </m:rPr>
                  <w:rPr>
                    <w:rFonts w:ascii="Cambria Math" w:hAnsi="Cambria Math" w:cstheme="minorHAnsi"/>
                    <w:color w:val="auto"/>
                  </w:rPr>
                  <m:t>q</m:t>
                </m:r>
              </m:e>
              <m:sub>
                <m:r>
                  <m:rPr>
                    <m:sty m:val="p"/>
                  </m:rPr>
                  <w:rPr>
                    <w:rFonts w:ascii="Cambria Math" w:hAnsi="Cambria Math" w:cstheme="minorHAnsi"/>
                    <w:color w:val="auto"/>
                  </w:rPr>
                  <m:t>t</m:t>
                </m:r>
              </m:sub>
            </m:sSub>
          </m:num>
          <m:den>
            <m:sSub>
              <m:sSubPr>
                <m:ctrlPr>
                  <w:rPr>
                    <w:rFonts w:ascii="Cambria Math" w:hAnsi="Cambria Math" w:cstheme="minorHAnsi"/>
                    <w:color w:val="auto"/>
                  </w:rPr>
                </m:ctrlPr>
              </m:sSubPr>
              <m:e>
                <m:r>
                  <m:rPr>
                    <m:sty m:val="p"/>
                  </m:rPr>
                  <w:rPr>
                    <w:rFonts w:ascii="Cambria Math" w:hAnsi="Cambria Math" w:cstheme="minorHAnsi"/>
                    <w:color w:val="auto"/>
                  </w:rPr>
                  <m:t>q</m:t>
                </m:r>
              </m:e>
              <m:sub>
                <m:r>
                  <m:rPr>
                    <m:sty m:val="p"/>
                  </m:rPr>
                  <w:rPr>
                    <w:rFonts w:ascii="Cambria Math" w:hAnsi="Cambria Math" w:cstheme="minorHAnsi"/>
                    <w:color w:val="auto"/>
                  </w:rPr>
                  <m:t>e</m:t>
                </m:r>
              </m:sub>
            </m:sSub>
          </m:den>
        </m:f>
      </m:oMath>
      <w:r w:rsidRPr="00E70281">
        <w:rPr>
          <w:rFonts w:cstheme="minorHAnsi"/>
          <w:color w:val="auto"/>
        </w:rPr>
        <w:t xml:space="preserve">) </w:t>
      </w:r>
      <w:r w:rsidRPr="00E70281">
        <w:rPr>
          <w:rFonts w:cstheme="minorHAnsi"/>
          <w:color w:val="auto"/>
        </w:rPr>
        <w:fldChar w:fldCharType="begin" w:fldLock="1"/>
      </w:r>
      <w:r w:rsidR="003776C0" w:rsidRPr="00E70281">
        <w:rPr>
          <w:rFonts w:cstheme="minorHAnsi"/>
          <w:color w:val="auto"/>
        </w:rPr>
        <w:instrText>ADDIN CSL_CITATION {"citationItems":[{"id":"ITEM-1","itemData":{"DOI":"10.1016/j.jcis.2004.03.048","ISSN":"00219797","PMID":"15219428","abstract":"The kinetics of sorption from a solution onto an adsorbent has been explored theoretically. The general analytical solution was obtained for two cases. It has been shown that at high initial concentration of solute (sorbate) the general equation converts to a pseudo-first-order model and at lower initial concentration of solute it converts to a pseudo-second-order model. In other words, the sorption process obeys pseudo-first-order kinetics at high initial concentration of solute, while it obeys pseudo-second-order kinetics model at lower initial concentration of solute. The theoretical results (derived equations) show that the observed rate constants of pseudo-first-order and pseudo-second-order models are combinations of adsorption and desorption rate constants and also initial concentration of solute. The obtained theoretical equations are used to correlate experimental data for sorption kinetics of some solutes on various sorbents. The predictions of the theory are in excellent agreement with the experimental data. © 2004 Elsevier Inc. All rights reserved.","author":[{"dropping-particle":"","family":"Azizian","given":"Saeid","non-dropping-particle":"","parse-names":false,"suffix":""}],"container-title":"Journal of Colloid and Interface Science","id":"ITEM-1","issue":"1","issued":{"date-parts":[["2004"]]},"page":"47-52","title":"Kinetic models of sorption: A theoretical analysis","type":"article-journal","volume":"276"},"uris":["http://www.mendeley.com/documents/?uuid=52ebd907-986f-443e-b3f2-f7c7a36beb46"]}],"mendeley":{"formattedCitation":"&lt;sup&gt;37&lt;/sup&gt;","plainTextFormattedCitation":"37","previouslyFormattedCitation":"&lt;sup&gt;37&lt;/sup&gt;"},"properties":{"noteIndex":0},"schema":"https://github.com/citation-style-language/schema/raw/master/csl-citation.json"}</w:instrText>
      </w:r>
      <w:r w:rsidRPr="00E70281">
        <w:rPr>
          <w:rFonts w:cstheme="minorHAnsi"/>
          <w:color w:val="auto"/>
        </w:rPr>
        <w:fldChar w:fldCharType="separate"/>
      </w:r>
      <w:r w:rsidR="00623D96" w:rsidRPr="00E70281">
        <w:rPr>
          <w:rFonts w:cstheme="minorHAnsi"/>
          <w:noProof/>
          <w:color w:val="auto"/>
          <w:vertAlign w:val="superscript"/>
        </w:rPr>
        <w:t>37</w:t>
      </w:r>
      <w:r w:rsidRPr="00E70281">
        <w:rPr>
          <w:rFonts w:cstheme="minorHAnsi"/>
          <w:color w:val="auto"/>
        </w:rPr>
        <w:fldChar w:fldCharType="end"/>
      </w:r>
      <w:r w:rsidRPr="00E70281">
        <w:rPr>
          <w:rFonts w:cstheme="minorHAnsi"/>
          <w:color w:val="auto"/>
        </w:rPr>
        <w:t xml:space="preserve"> </w:t>
      </w:r>
      <w:r w:rsidRPr="00E70281">
        <w:rPr>
          <w:rFonts w:cstheme="minorHAnsi"/>
          <w:color w:val="auto"/>
        </w:rPr>
        <w:fldChar w:fldCharType="begin" w:fldLock="1"/>
      </w:r>
      <w:r w:rsidR="003776C0" w:rsidRPr="00E70281">
        <w:rPr>
          <w:rFonts w:cstheme="minorHAnsi"/>
          <w:color w:val="auto"/>
        </w:rPr>
        <w:instrText>ADDIN CSL_CITATION {"citationItems":[{"id":"ITEM-1","itemData":{"DOI":"10.1021/la1010049","ISBN":"9788322727171","ISSN":"07437463","abstract":"In the article, a new integrated kinetic Langmuir equation (IKL) is derived. The IKL equation is a simple and easy to analyze but complete analytical solution of the kinetic Langmuir model. The IKL is compared with the nth-order, mixed 1,2-order, and multiexponential kinetic equations. The impact of both equilibrium coverage θ eq and relative equilibrium uptake u eq on kinetics is explained.Anewly introduced Langmuir batch equilibrium factor f eq that is the product of both parameters θ equ eq is used to determine the general kinetic behavior. The analysis of the IKL equation allows us to understand fully the Langmuir kinetics and explains its relation with respect to the empirical pseudo-first-order (PFO, i.e., Lagergren), pseudo-second-order (PSO), and mixed 1,2-order kinetic equations, and it shows the conditions of their possible application based on the Langmuir model. The dependence of the initial adsorption rate on the system properties is analyzed and compared to the earlier published approximate equations. © 2010 American Chemical Society.","author":[{"dropping-particle":"","family":"Marczewski","given":"Adam W.","non-dropping-particle":"","parse-names":false,"suffix":""}],"container-title":"Langmuir","id":"ITEM-1","issue":"19","issued":{"date-parts":[["2010"]]},"page":"15229-15238","title":"Analysis of kinetic langmuir model. Part I: Integrated kinetic langmuir equation (IKL): A new complete analytical solution of the langmuir rate equation","type":"article-journal","volume":"26"},"uris":["http://www.mendeley.com/documents/?uuid=cb42dbf9-023a-43d8-ab4b-76f756068152"]}],"mendeley":{"formattedCitation":"&lt;sup&gt;38&lt;/sup&gt;","plainTextFormattedCitation":"38","previouslyFormattedCitation":"&lt;sup&gt;38&lt;/sup&gt;"},"properties":{"noteIndex":0},"schema":"https://github.com/citation-style-language/schema/raw/master/csl-citation.json"}</w:instrText>
      </w:r>
      <w:r w:rsidRPr="00E70281">
        <w:rPr>
          <w:rFonts w:cstheme="minorHAnsi"/>
          <w:color w:val="auto"/>
        </w:rPr>
        <w:fldChar w:fldCharType="separate"/>
      </w:r>
      <w:r w:rsidR="00623D96" w:rsidRPr="00E70281">
        <w:rPr>
          <w:rFonts w:cstheme="minorHAnsi"/>
          <w:noProof/>
          <w:color w:val="auto"/>
          <w:vertAlign w:val="superscript"/>
        </w:rPr>
        <w:t>38</w:t>
      </w:r>
      <w:r w:rsidRPr="00E70281">
        <w:rPr>
          <w:rFonts w:cstheme="minorHAnsi"/>
          <w:color w:val="auto"/>
        </w:rPr>
        <w:fldChar w:fldCharType="end"/>
      </w:r>
      <w:r w:rsidR="0018631C" w:rsidRPr="00E70281">
        <w:rPr>
          <w:rFonts w:cstheme="minorHAnsi"/>
          <w:color w:val="auto"/>
        </w:rPr>
        <w:t>. However,</w:t>
      </w:r>
      <w:r w:rsidRPr="00E70281">
        <w:rPr>
          <w:rFonts w:cstheme="minorHAnsi"/>
          <w:color w:val="auto"/>
        </w:rPr>
        <w:t xml:space="preserve"> </w:t>
      </w:r>
      <w:r w:rsidR="00EB3690" w:rsidRPr="00E70281">
        <w:rPr>
          <w:rFonts w:cstheme="minorHAnsi"/>
          <w:color w:val="auto"/>
        </w:rPr>
        <w:t>the rPSO equation is simpler, with fewer fitting parameters needed, and may thus be more useful for the non-expert.</w:t>
      </w:r>
      <w:r w:rsidR="00EB3690" w:rsidRPr="00E70281">
        <w:rPr>
          <w:rStyle w:val="CommentReference"/>
        </w:rPr>
        <w:t xml:space="preserve"> </w:t>
      </w:r>
      <w:r w:rsidRPr="00E70281">
        <w:rPr>
          <w:rFonts w:cstheme="minorHAnsi"/>
          <w:color w:val="auto"/>
        </w:rPr>
        <w:t xml:space="preserve">The rPSO equation may prove </w:t>
      </w:r>
      <w:r w:rsidR="00987B48" w:rsidRPr="00E70281">
        <w:rPr>
          <w:rFonts w:cstheme="minorHAnsi"/>
          <w:color w:val="auto"/>
        </w:rPr>
        <w:t>more useful than</w:t>
      </w:r>
      <w:r w:rsidRPr="00E70281">
        <w:rPr>
          <w:rFonts w:cstheme="minorHAnsi"/>
          <w:color w:val="auto"/>
        </w:rPr>
        <w:t xml:space="preserve"> the</w:t>
      </w:r>
      <w:r w:rsidR="00987B48" w:rsidRPr="00E70281">
        <w:rPr>
          <w:rFonts w:cstheme="minorHAnsi"/>
          <w:color w:val="auto"/>
        </w:rPr>
        <w:t xml:space="preserve"> original PSO model</w:t>
      </w:r>
      <w:r w:rsidRPr="00E70281">
        <w:rPr>
          <w:rFonts w:cstheme="minorHAnsi"/>
          <w:color w:val="auto"/>
        </w:rPr>
        <w:t xml:space="preserve"> in engineering studies </w:t>
      </w:r>
      <w:r w:rsidR="0018631C" w:rsidRPr="00E70281">
        <w:rPr>
          <w:rFonts w:cstheme="minorHAnsi"/>
          <w:color w:val="auto"/>
        </w:rPr>
        <w:t>where</w:t>
      </w:r>
      <w:r w:rsidRPr="00E70281">
        <w:rPr>
          <w:rFonts w:cstheme="minorHAnsi"/>
          <w:color w:val="auto"/>
        </w:rPr>
        <w:t xml:space="preserve"> operating conditions are likely to vary.</w:t>
      </w:r>
    </w:p>
    <w:p w14:paraId="446F3E9D" w14:textId="3AB7C3B4" w:rsidR="0018631C" w:rsidRPr="00E70281" w:rsidRDefault="002314EB" w:rsidP="009354F2">
      <w:pPr>
        <w:rPr>
          <w:rFonts w:cstheme="minorHAnsi"/>
          <w:color w:val="auto"/>
        </w:rPr>
      </w:pPr>
      <w:bookmarkStart w:id="61" w:name="_Hlk61254755"/>
      <w:r w:rsidRPr="00E70281">
        <w:rPr>
          <w:rFonts w:cstheme="minorHAnsi"/>
          <w:color w:val="auto"/>
        </w:rPr>
        <w:t xml:space="preserve">One of the reasons for the popularity of the original PSO model is </w:t>
      </w:r>
      <w:r w:rsidR="00DF0309" w:rsidRPr="00E70281">
        <w:rPr>
          <w:rFonts w:cstheme="minorHAnsi"/>
          <w:color w:val="auto"/>
        </w:rPr>
        <w:t>its linearised forms, from which k</w:t>
      </w:r>
      <w:r w:rsidR="00DF0309" w:rsidRPr="00E70281">
        <w:rPr>
          <w:rFonts w:cstheme="minorHAnsi"/>
          <w:color w:val="auto"/>
          <w:vertAlign w:val="subscript"/>
        </w:rPr>
        <w:t>2</w:t>
      </w:r>
      <w:r w:rsidR="00DF0309" w:rsidRPr="00E70281">
        <w:rPr>
          <w:rFonts w:cstheme="minorHAnsi"/>
          <w:color w:val="auto"/>
        </w:rPr>
        <w:t xml:space="preserve"> and q</w:t>
      </w:r>
      <w:r w:rsidR="00DF0309" w:rsidRPr="00E70281">
        <w:rPr>
          <w:rFonts w:cstheme="minorHAnsi"/>
          <w:color w:val="auto"/>
          <w:vertAlign w:val="subscript"/>
        </w:rPr>
        <w:t>e</w:t>
      </w:r>
      <w:r w:rsidR="00DF0309" w:rsidRPr="00E70281">
        <w:rPr>
          <w:rFonts w:cstheme="minorHAnsi"/>
          <w:color w:val="auto"/>
        </w:rPr>
        <w:t xml:space="preserve"> parameters can be readily obtained</w:t>
      </w:r>
      <w:r w:rsidR="00DF6502" w:rsidRPr="00E70281">
        <w:rPr>
          <w:rFonts w:cstheme="minorHAnsi"/>
          <w:color w:val="auto"/>
        </w:rPr>
        <w:t xml:space="preserve"> from experimental data</w:t>
      </w:r>
      <w:r w:rsidR="00DF0309" w:rsidRPr="00E70281">
        <w:rPr>
          <w:rFonts w:cstheme="minorHAnsi"/>
          <w:color w:val="auto"/>
        </w:rPr>
        <w:t xml:space="preserve">. </w:t>
      </w:r>
      <w:r w:rsidR="003117AF" w:rsidRPr="00E70281">
        <w:rPr>
          <w:rFonts w:cstheme="minorHAnsi"/>
          <w:color w:val="auto"/>
        </w:rPr>
        <w:t>Whilst</w:t>
      </w:r>
      <w:r w:rsidR="00DF0309" w:rsidRPr="00E70281">
        <w:rPr>
          <w:rFonts w:cstheme="minorHAnsi"/>
          <w:color w:val="auto"/>
        </w:rPr>
        <w:t xml:space="preserve"> we have</w:t>
      </w:r>
      <w:r w:rsidR="003117AF" w:rsidRPr="00E70281">
        <w:rPr>
          <w:rFonts w:cstheme="minorHAnsi"/>
          <w:color w:val="auto"/>
        </w:rPr>
        <w:t xml:space="preserve"> unfortunately</w:t>
      </w:r>
      <w:r w:rsidR="00DF0309" w:rsidRPr="00E70281">
        <w:rPr>
          <w:rFonts w:cstheme="minorHAnsi"/>
          <w:color w:val="auto"/>
        </w:rPr>
        <w:t xml:space="preserve"> not </w:t>
      </w:r>
      <w:r w:rsidR="00DF6502" w:rsidRPr="00E70281">
        <w:rPr>
          <w:rFonts w:cstheme="minorHAnsi"/>
          <w:color w:val="auto"/>
        </w:rPr>
        <w:t xml:space="preserve">yet </w:t>
      </w:r>
      <w:r w:rsidR="0018631C" w:rsidRPr="00E70281">
        <w:rPr>
          <w:rFonts w:cstheme="minorHAnsi"/>
          <w:color w:val="auto"/>
        </w:rPr>
        <w:t>found a way to linearise the r</w:t>
      </w:r>
      <w:r w:rsidR="00DF0309" w:rsidRPr="00E70281">
        <w:rPr>
          <w:rFonts w:cstheme="minorHAnsi"/>
          <w:color w:val="auto"/>
        </w:rPr>
        <w:t>PSO rate equation</w:t>
      </w:r>
      <w:r w:rsidR="003117AF" w:rsidRPr="00E70281">
        <w:rPr>
          <w:rFonts w:cstheme="minorHAnsi"/>
          <w:color w:val="auto"/>
        </w:rPr>
        <w:t>, it is worth noting that linearisation of the original PSO model</w:t>
      </w:r>
      <w:r w:rsidR="003117AF" w:rsidRPr="00E70281">
        <w:rPr>
          <w:color w:val="auto"/>
        </w:rPr>
        <w:t xml:space="preserve"> often results in a poorer quality of fit </w:t>
      </w:r>
      <w:r w:rsidR="0018631C" w:rsidRPr="00E70281">
        <w:rPr>
          <w:color w:val="auto"/>
        </w:rPr>
        <w:t>versus</w:t>
      </w:r>
      <w:r w:rsidR="003117AF" w:rsidRPr="00E70281">
        <w:rPr>
          <w:color w:val="auto"/>
        </w:rPr>
        <w:t xml:space="preserve"> when using non-linear fitting </w:t>
      </w:r>
      <w:r w:rsidR="003117AF" w:rsidRPr="00E70281">
        <w:rPr>
          <w:color w:val="auto"/>
        </w:rPr>
        <w:fldChar w:fldCharType="begin" w:fldLock="1"/>
      </w:r>
      <w:r w:rsidR="00D02D2A" w:rsidRPr="00E70281">
        <w:rPr>
          <w:color w:val="auto"/>
        </w:rPr>
        <w:instrText>ADDIN CSL_CITATION {"citationItems":[{"id":"ITEM-1","itemData":{"DOI":"10.1021/acs.iecr.7b04724","ISSN":"15205045","abstract":"In this research note, we revisit the pseudo-second-order model for adsorption kinetics, its assumptions, and its application to simulated, random, and published data. In particular, a widely used linear form of the pseudo-second-order model - plotting t/qt against t - is shown to result in spurious correlations for typical adsorption experimental data. Depending on the range of data used, data from pseudo-first-order and pseudo-third-order models can also appear to be well-fit by the pseudo-second-order model. Inspection of the residual errors, however, indicates that the errors are not randomly distributed, as they should be. Based on this study, it is recommended to always verify the assumptions of a model, fit the data with the nonlinear form of the model equation, and inspect the residual plot to determine the goodness of fit.","author":[{"dropping-particle":"","family":"Xiao","given":"Ye","non-dropping-particle":"","parse-names":false,"suffix":""},{"dropping-particle":"","family":"Azaiez","given":"Jalel","non-dropping-particle":"","parse-names":false,"suffix":""},{"dropping-particle":"","family":"Hill","given":"Josephine M.","non-dropping-particle":"","parse-names":false,"suffix":""}],"container-title":"Industrial and Engineering Chemistry Research","id":"ITEM-1","issue":"7","issued":{"date-parts":[["2018"]]},"page":"2705-2709","title":"Erroneous Application of Pseudo-Second-Order Adsorption Kinetics Model: Ignored Assumptions and Spurious Correlations","type":"article-journal","volume":"57"},"uris":["http://www.mendeley.com/documents/?uuid=6921983a-8111-4b1c-9346-ca167b7787bc"]}],"mendeley":{"formattedCitation":"&lt;sup&gt;14&lt;/sup&gt;","plainTextFormattedCitation":"14","previouslyFormattedCitation":"&lt;sup&gt;14&lt;/sup&gt;"},"properties":{"noteIndex":0},"schema":"https://github.com/citation-style-language/schema/raw/master/csl-citation.json"}</w:instrText>
      </w:r>
      <w:r w:rsidR="003117AF" w:rsidRPr="00E70281">
        <w:rPr>
          <w:color w:val="auto"/>
        </w:rPr>
        <w:fldChar w:fldCharType="separate"/>
      </w:r>
      <w:r w:rsidR="00D02D2A" w:rsidRPr="00E70281">
        <w:rPr>
          <w:noProof/>
          <w:color w:val="auto"/>
          <w:vertAlign w:val="superscript"/>
        </w:rPr>
        <w:t>14</w:t>
      </w:r>
      <w:r w:rsidR="003117AF" w:rsidRPr="00E70281">
        <w:rPr>
          <w:color w:val="auto"/>
        </w:rPr>
        <w:fldChar w:fldCharType="end"/>
      </w:r>
      <w:r w:rsidR="003117AF" w:rsidRPr="00E70281">
        <w:rPr>
          <w:color w:val="auto"/>
        </w:rPr>
        <w:t>.</w:t>
      </w:r>
      <w:r w:rsidR="00DF0309" w:rsidRPr="00E70281">
        <w:rPr>
          <w:rFonts w:cstheme="minorHAnsi"/>
          <w:color w:val="auto"/>
        </w:rPr>
        <w:t xml:space="preserve"> </w:t>
      </w:r>
      <w:r w:rsidR="0018631C" w:rsidRPr="00E70281">
        <w:rPr>
          <w:rFonts w:cstheme="minorHAnsi"/>
          <w:color w:val="auto"/>
        </w:rPr>
        <w:t xml:space="preserve">Where necessary, </w:t>
      </w:r>
      <w:r w:rsidR="00DF0309" w:rsidRPr="00E70281">
        <w:rPr>
          <w:rFonts w:cstheme="minorHAnsi"/>
          <w:color w:val="auto"/>
        </w:rPr>
        <w:t>the rate constant for this revised model can be quickly obtain</w:t>
      </w:r>
      <w:r w:rsidR="0018631C" w:rsidRPr="00E70281">
        <w:rPr>
          <w:rFonts w:cstheme="minorHAnsi"/>
          <w:color w:val="auto"/>
        </w:rPr>
        <w:t xml:space="preserve">ed from linearised PSO kinetics using the expression </w:t>
      </w:r>
      <m:oMath>
        <m:sSup>
          <m:sSupPr>
            <m:ctrlPr>
              <w:rPr>
                <w:rFonts w:ascii="Cambria Math" w:hAnsi="Cambria Math" w:cstheme="minorHAnsi"/>
                <w:color w:val="FF0000"/>
              </w:rPr>
            </m:ctrlPr>
          </m:sSupPr>
          <m:e>
            <m:r>
              <m:rPr>
                <m:sty m:val="p"/>
              </m:rPr>
              <w:rPr>
                <w:rFonts w:ascii="Cambria Math" w:hAnsi="Cambria Math" w:cstheme="minorHAnsi"/>
                <w:color w:val="FF0000"/>
              </w:rPr>
              <m:t>k</m:t>
            </m:r>
          </m:e>
          <m:sup>
            <m:r>
              <m:rPr>
                <m:sty m:val="p"/>
              </m:rPr>
              <w:rPr>
                <w:rFonts w:ascii="Cambria Math" w:hAnsi="Cambria Math" w:cstheme="minorHAnsi"/>
                <w:color w:val="FF0000"/>
              </w:rPr>
              <m:t>'</m:t>
            </m:r>
          </m:sup>
        </m:sSup>
        <m:r>
          <m:rPr>
            <m:sty m:val="p"/>
          </m:rPr>
          <w:rPr>
            <w:rFonts w:ascii="Cambria Math" w:hAnsi="Cambria Math" w:cstheme="minorHAnsi"/>
            <w:color w:val="FF0000"/>
          </w:rPr>
          <m:t>=</m:t>
        </m:r>
        <m:r>
          <m:rPr>
            <m:sty m:val="p"/>
          </m:rPr>
          <w:rPr>
            <w:rFonts w:ascii="Cambria Math" w:hAnsi="Cambria Math"/>
            <w:color w:val="FF0000"/>
          </w:rPr>
          <m:t xml:space="preserve"> </m:t>
        </m:r>
        <m:f>
          <m:fPr>
            <m:ctrlPr>
              <w:rPr>
                <w:rFonts w:ascii="Cambria Math" w:hAnsi="Cambria Math"/>
                <w:color w:val="FF0000"/>
              </w:rPr>
            </m:ctrlPr>
          </m:fPr>
          <m:num>
            <m:sSub>
              <m:sSubPr>
                <m:ctrlPr>
                  <w:rPr>
                    <w:rFonts w:ascii="Cambria Math" w:hAnsi="Cambria Math" w:cstheme="minorHAnsi"/>
                    <w:color w:val="FF0000"/>
                  </w:rPr>
                </m:ctrlPr>
              </m:sSubPr>
              <m:e>
                <m:r>
                  <m:rPr>
                    <m:sty m:val="p"/>
                  </m:rPr>
                  <w:rPr>
                    <w:rFonts w:ascii="Cambria Math" w:hAnsi="Cambria Math" w:cstheme="minorHAnsi"/>
                    <w:color w:val="FF0000"/>
                  </w:rPr>
                  <m:t>k</m:t>
                </m:r>
              </m:e>
              <m:sub>
                <m:r>
                  <m:rPr>
                    <m:sty m:val="p"/>
                  </m:rPr>
                  <w:rPr>
                    <w:rFonts w:ascii="Cambria Math" w:hAnsi="Cambria Math" w:cstheme="minorHAnsi"/>
                    <w:color w:val="FF0000"/>
                  </w:rPr>
                  <m:t>2</m:t>
                </m:r>
              </m:sub>
            </m:sSub>
            <m:sSup>
              <m:sSupPr>
                <m:ctrlPr>
                  <w:rPr>
                    <w:rFonts w:ascii="Cambria Math" w:hAnsi="Cambria Math" w:cstheme="minorHAnsi"/>
                    <w:color w:val="FF0000"/>
                  </w:rPr>
                </m:ctrlPr>
              </m:sSupPr>
              <m:e>
                <m:sSub>
                  <m:sSubPr>
                    <m:ctrlPr>
                      <w:rPr>
                        <w:rFonts w:ascii="Cambria Math" w:hAnsi="Cambria Math" w:cstheme="minorHAnsi"/>
                        <w:color w:val="FF0000"/>
                      </w:rPr>
                    </m:ctrlPr>
                  </m:sSubPr>
                  <m:e>
                    <m:r>
                      <m:rPr>
                        <m:sty m:val="p"/>
                      </m:rPr>
                      <w:rPr>
                        <w:rFonts w:ascii="Cambria Math" w:hAnsi="Cambria Math" w:cstheme="minorHAnsi"/>
                        <w:color w:val="FF0000"/>
                      </w:rPr>
                      <m:t>q</m:t>
                    </m:r>
                  </m:e>
                  <m:sub>
                    <m:r>
                      <m:rPr>
                        <m:sty m:val="p"/>
                      </m:rPr>
                      <w:rPr>
                        <w:rFonts w:ascii="Cambria Math" w:hAnsi="Cambria Math" w:cstheme="minorHAnsi"/>
                        <w:color w:val="FF0000"/>
                      </w:rPr>
                      <m:t>e</m:t>
                    </m:r>
                  </m:sub>
                </m:sSub>
              </m:e>
              <m:sup>
                <m:r>
                  <w:rPr>
                    <w:rFonts w:ascii="Cambria Math" w:hAnsi="Cambria Math" w:cstheme="minorHAnsi"/>
                    <w:color w:val="FF0000"/>
                  </w:rPr>
                  <m:t>2</m:t>
                </m:r>
              </m:sup>
            </m:sSup>
          </m:num>
          <m:den>
            <m:sSub>
              <m:sSubPr>
                <m:ctrlPr>
                  <w:rPr>
                    <w:rFonts w:ascii="Cambria Math" w:hAnsi="Cambria Math"/>
                    <w:color w:val="FF0000"/>
                  </w:rPr>
                </m:ctrlPr>
              </m:sSubPr>
              <m:e>
                <m:r>
                  <m:rPr>
                    <m:sty m:val="p"/>
                  </m:rPr>
                  <w:rPr>
                    <w:rFonts w:ascii="Cambria Math" w:hAnsi="Cambria Math"/>
                    <w:color w:val="FF0000"/>
                  </w:rPr>
                  <m:t>C</m:t>
                </m:r>
              </m:e>
              <m:sub>
                <m:r>
                  <m:rPr>
                    <m:sty m:val="p"/>
                  </m:rPr>
                  <w:rPr>
                    <w:rFonts w:ascii="Cambria Math" w:hAnsi="Cambria Math"/>
                    <w:color w:val="FF0000"/>
                  </w:rPr>
                  <m:t>0</m:t>
                </m:r>
              </m:sub>
            </m:sSub>
          </m:den>
        </m:f>
      </m:oMath>
      <w:r w:rsidR="0018631C" w:rsidRPr="00E70281">
        <w:rPr>
          <w:rFonts w:cstheme="minorHAnsi"/>
          <w:color w:val="auto"/>
        </w:rPr>
        <w:t>.</w:t>
      </w:r>
    </w:p>
    <w:p w14:paraId="2DE4A06C" w14:textId="5BB34D4F" w:rsidR="0018631C" w:rsidRPr="00042C82" w:rsidRDefault="0018631C" w:rsidP="00042C82">
      <w:pPr>
        <w:spacing w:line="256" w:lineRule="auto"/>
        <w:jc w:val="left"/>
        <w:rPr>
          <w:rFonts w:eastAsiaTheme="minorHAnsi" w:cstheme="minorBidi"/>
          <w:bCs w:val="0"/>
          <w:color w:val="FF0000"/>
          <w:szCs w:val="22"/>
        </w:rPr>
      </w:pPr>
      <w:r w:rsidRPr="00E70281">
        <w:rPr>
          <w:rFonts w:cstheme="minorHAnsi"/>
          <w:color w:val="auto"/>
        </w:rPr>
        <w:t xml:space="preserve">In our analytical approach, we demonstrate that non-linear fitting of PSO kinetics is more appropriate than linearised PSO kinetics and the initial slope approach when early kinetic data is limited, as is often the case in adsorption experiments. </w:t>
      </w:r>
      <w:bookmarkEnd w:id="61"/>
      <w:r w:rsidR="001D417B" w:rsidRPr="00E70281">
        <w:rPr>
          <w:color w:val="auto"/>
        </w:rPr>
        <w:t>Our</w:t>
      </w:r>
      <w:r w:rsidR="0014364B" w:rsidRPr="00E70281">
        <w:rPr>
          <w:color w:val="auto"/>
        </w:rPr>
        <w:t xml:space="preserve"> literature survey only yielded </w:t>
      </w:r>
      <w:r w:rsidR="00987B48" w:rsidRPr="00E70281">
        <w:rPr>
          <w:color w:val="auto"/>
        </w:rPr>
        <w:t>9</w:t>
      </w:r>
      <w:r w:rsidR="0014364B" w:rsidRPr="00E70281">
        <w:rPr>
          <w:color w:val="auto"/>
        </w:rPr>
        <w:t xml:space="preserve"> data sets where C</w:t>
      </w:r>
      <w:r w:rsidR="0014364B" w:rsidRPr="00E70281">
        <w:rPr>
          <w:color w:val="auto"/>
          <w:vertAlign w:val="subscript"/>
        </w:rPr>
        <w:t>0</w:t>
      </w:r>
      <w:r w:rsidR="0014364B" w:rsidRPr="00E70281">
        <w:rPr>
          <w:color w:val="auto"/>
        </w:rPr>
        <w:t xml:space="preserve"> </w:t>
      </w:r>
      <w:r w:rsidR="00987B48" w:rsidRPr="00E70281">
        <w:rPr>
          <w:color w:val="auto"/>
        </w:rPr>
        <w:t xml:space="preserve">was varied </w:t>
      </w:r>
      <w:r w:rsidR="0014364B" w:rsidRPr="00E70281">
        <w:rPr>
          <w:color w:val="auto"/>
        </w:rPr>
        <w:t>and</w:t>
      </w:r>
      <w:r w:rsidR="00987B48" w:rsidRPr="00E70281">
        <w:rPr>
          <w:color w:val="auto"/>
        </w:rPr>
        <w:t xml:space="preserve"> </w:t>
      </w:r>
      <w:r w:rsidRPr="00E70281">
        <w:rPr>
          <w:color w:val="auto"/>
        </w:rPr>
        <w:t>8</w:t>
      </w:r>
      <w:r w:rsidR="00987B48" w:rsidRPr="00E70281">
        <w:rPr>
          <w:color w:val="auto"/>
        </w:rPr>
        <w:t xml:space="preserve"> where</w:t>
      </w:r>
      <w:r w:rsidR="0014364B" w:rsidRPr="00E70281">
        <w:rPr>
          <w:color w:val="auto"/>
        </w:rPr>
        <w:t xml:space="preserve"> C</w:t>
      </w:r>
      <w:r w:rsidR="0014364B" w:rsidRPr="00E70281">
        <w:rPr>
          <w:color w:val="auto"/>
          <w:vertAlign w:val="subscript"/>
        </w:rPr>
        <w:t>s</w:t>
      </w:r>
      <w:r w:rsidR="0014364B" w:rsidRPr="00E70281">
        <w:rPr>
          <w:color w:val="auto"/>
        </w:rPr>
        <w:t xml:space="preserve"> </w:t>
      </w:r>
      <w:r w:rsidR="00987B48" w:rsidRPr="00E70281">
        <w:rPr>
          <w:color w:val="auto"/>
        </w:rPr>
        <w:t>was</w:t>
      </w:r>
      <w:r w:rsidR="0014364B" w:rsidRPr="00E70281">
        <w:rPr>
          <w:color w:val="auto"/>
        </w:rPr>
        <w:t xml:space="preserve"> varied, </w:t>
      </w:r>
      <w:r w:rsidR="00987B48" w:rsidRPr="00E70281">
        <w:rPr>
          <w:color w:val="auto"/>
        </w:rPr>
        <w:t>satisfying</w:t>
      </w:r>
      <w:r w:rsidR="0014364B" w:rsidRPr="00E70281">
        <w:rPr>
          <w:color w:val="auto"/>
        </w:rPr>
        <w:t xml:space="preserve"> our requirements for early kinetic data with</w:t>
      </w:r>
      <w:r w:rsidR="00EB3690" w:rsidRPr="00E70281">
        <w:rPr>
          <w:color w:val="auto"/>
        </w:rPr>
        <w:t xml:space="preserve">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t</m:t>
                </m:r>
              </m:sub>
            </m:sSub>
          </m:num>
          <m:den>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e</m:t>
                </m:r>
              </m:sub>
            </m:sSub>
          </m:den>
        </m:f>
        <m:r>
          <w:rPr>
            <w:rFonts w:ascii="Cambria Math" w:hAnsi="Cambria Math"/>
            <w:color w:val="auto"/>
          </w:rPr>
          <m:t>&lt;0.6</m:t>
        </m:r>
      </m:oMath>
      <w:r w:rsidR="0014364B" w:rsidRPr="00E70281">
        <w:rPr>
          <w:color w:val="auto"/>
        </w:rPr>
        <w:t xml:space="preserve">. This highlights a need for experimental work to investigate the influence of these independent variables more systematically, and to ensure that initial adsorption kinetics are adequately captured, given that the method of initial rates is </w:t>
      </w:r>
      <w:r w:rsidRPr="00E70281">
        <w:rPr>
          <w:color w:val="auto"/>
        </w:rPr>
        <w:t xml:space="preserve">typically </w:t>
      </w:r>
      <w:r w:rsidR="0014364B" w:rsidRPr="00E70281">
        <w:rPr>
          <w:color w:val="auto"/>
        </w:rPr>
        <w:t xml:space="preserve">considered the superior approach towards determining reaction orders </w:t>
      </w:r>
      <w:r w:rsidR="0014364B" w:rsidRPr="00E70281">
        <w:rPr>
          <w:color w:val="auto"/>
        </w:rPr>
        <w:fldChar w:fldCharType="begin" w:fldLock="1"/>
      </w:r>
      <w:r w:rsidR="00AA2619" w:rsidRPr="00E70281">
        <w:rPr>
          <w:color w:val="auto"/>
        </w:rPr>
        <w:instrText>ADDIN CSL_CITATION {"citationItems":[{"id":"ITEM-1","itemData":{"DOI":"10.3389/fchem.2018.00378","author":[{"dropping-particle":"","family":"Ollis","given":"David F","non-dropping-particle":"","parse-names":false,"suffix":""}],"container-title":"Frontiers in Chemistry","id":"ITEM-1","issue":"378","issued":{"date-parts":[["2018"]]},"page":"1-7","title":"Kinetics of Photocatalyzed Reactions: Five Lessons Learned","type":"article-journal","volume":"6"},"uris":["http://www.mendeley.com/documents/?uuid=c4229f1f-3a44-409e-a5bd-0e60679e1ace"]}],"mendeley":{"formattedCitation":"&lt;sup&gt;17&lt;/sup&gt;","plainTextFormattedCitation":"17","previouslyFormattedCitation":"&lt;sup&gt;17&lt;/sup&gt;"},"properties":{"noteIndex":0},"schema":"https://github.com/citation-style-language/schema/raw/master/csl-citation.json"}</w:instrText>
      </w:r>
      <w:r w:rsidR="0014364B" w:rsidRPr="00E70281">
        <w:rPr>
          <w:color w:val="auto"/>
        </w:rPr>
        <w:fldChar w:fldCharType="separate"/>
      </w:r>
      <w:r w:rsidR="00D02D2A" w:rsidRPr="00E70281">
        <w:rPr>
          <w:noProof/>
          <w:color w:val="auto"/>
          <w:vertAlign w:val="superscript"/>
        </w:rPr>
        <w:t>17</w:t>
      </w:r>
      <w:r w:rsidR="0014364B" w:rsidRPr="00E70281">
        <w:rPr>
          <w:color w:val="auto"/>
        </w:rPr>
        <w:fldChar w:fldCharType="end"/>
      </w:r>
      <w:r w:rsidR="0014364B" w:rsidRPr="00E70281">
        <w:rPr>
          <w:color w:val="auto"/>
        </w:rPr>
        <w:t>.</w:t>
      </w:r>
      <w:r w:rsidR="00231DCE" w:rsidRPr="00E70281">
        <w:rPr>
          <w:color w:val="auto"/>
        </w:rPr>
        <w:t xml:space="preserve"> </w:t>
      </w:r>
      <w:r w:rsidRPr="00E70281">
        <w:rPr>
          <w:color w:val="auto"/>
        </w:rPr>
        <w:br w:type="page"/>
      </w:r>
    </w:p>
    <w:p w14:paraId="53CE3A00" w14:textId="13414328" w:rsidR="00A5405A" w:rsidRPr="00E70281" w:rsidRDefault="004379CF" w:rsidP="009222BF">
      <w:pPr>
        <w:pStyle w:val="Heading1"/>
        <w:numPr>
          <w:ilvl w:val="0"/>
          <w:numId w:val="0"/>
        </w:numPr>
        <w:ind w:left="360"/>
        <w:jc w:val="both"/>
        <w:rPr>
          <w:color w:val="auto"/>
        </w:rPr>
      </w:pPr>
      <w:r w:rsidRPr="00E70281">
        <w:rPr>
          <w:color w:val="auto"/>
        </w:rPr>
        <w:lastRenderedPageBreak/>
        <w:t>Acknowledgements</w:t>
      </w:r>
    </w:p>
    <w:p w14:paraId="75D0185E" w14:textId="44B8AF03" w:rsidR="00437B79" w:rsidRPr="00E70281" w:rsidRDefault="006225B2" w:rsidP="00020240">
      <w:pPr>
        <w:rPr>
          <w:rFonts w:cstheme="minorHAnsi"/>
          <w:color w:val="auto"/>
        </w:rPr>
      </w:pPr>
      <w:r w:rsidRPr="00E70281">
        <w:rPr>
          <w:rFonts w:cstheme="minorHAnsi"/>
          <w:color w:val="auto"/>
        </w:rPr>
        <w:t xml:space="preserve">The authors acknowledge support from the Engineering Physical Sciences Research Council (EPSRC) [grant number </w:t>
      </w:r>
      <w:r w:rsidRPr="00E70281">
        <w:rPr>
          <w:color w:val="auto"/>
        </w:rPr>
        <w:t>EP/N50</w:t>
      </w:r>
      <w:r w:rsidR="00A23662" w:rsidRPr="00E70281">
        <w:rPr>
          <w:rFonts w:cstheme="minorHAnsi"/>
          <w:color w:val="auto"/>
        </w:rPr>
        <w:t>9486/1]</w:t>
      </w:r>
      <w:r w:rsidRPr="00E70281">
        <w:rPr>
          <w:rFonts w:cstheme="minorHAnsi"/>
          <w:color w:val="auto"/>
        </w:rPr>
        <w:t>.</w:t>
      </w:r>
    </w:p>
    <w:p w14:paraId="7C1EDDE7" w14:textId="74AB4E11" w:rsidR="00F2025B" w:rsidRPr="00E70281" w:rsidRDefault="00F2025B" w:rsidP="00020240">
      <w:pPr>
        <w:rPr>
          <w:rFonts w:cstheme="minorHAnsi"/>
          <w:color w:val="auto"/>
        </w:rPr>
      </w:pPr>
    </w:p>
    <w:p w14:paraId="112BEDA9" w14:textId="00FBCB96" w:rsidR="00F2025B" w:rsidRPr="00E70281" w:rsidRDefault="00F2025B" w:rsidP="00F2025B">
      <w:pPr>
        <w:pStyle w:val="Heading1"/>
        <w:numPr>
          <w:ilvl w:val="0"/>
          <w:numId w:val="0"/>
        </w:numPr>
        <w:ind w:left="360"/>
        <w:jc w:val="both"/>
        <w:rPr>
          <w:color w:val="auto"/>
        </w:rPr>
      </w:pPr>
      <w:r w:rsidRPr="00E70281">
        <w:rPr>
          <w:color w:val="auto"/>
        </w:rPr>
        <w:t>Supporting information</w:t>
      </w:r>
    </w:p>
    <w:p w14:paraId="534080F7" w14:textId="722F86DE" w:rsidR="00F44179" w:rsidRPr="0060432D" w:rsidRDefault="00F2025B" w:rsidP="0060432D">
      <w:pPr>
        <w:rPr>
          <w:rFonts w:cstheme="minorHAnsi"/>
          <w:color w:val="auto"/>
        </w:rPr>
      </w:pPr>
      <w:r w:rsidRPr="00E70281">
        <w:rPr>
          <w:rFonts w:cstheme="minorHAnsi"/>
          <w:color w:val="auto"/>
        </w:rPr>
        <w:t>The supplementary information provides references to all data sets used in this work;</w:t>
      </w:r>
      <w:r w:rsidR="000B6AA1">
        <w:rPr>
          <w:rFonts w:cstheme="minorHAnsi"/>
          <w:color w:val="auto"/>
        </w:rPr>
        <w:t xml:space="preserve"> </w:t>
      </w:r>
      <w:r w:rsidR="000B6AA1" w:rsidRPr="000B6AA1">
        <w:rPr>
          <w:rFonts w:cstheme="minorHAnsi"/>
          <w:color w:val="FF0000"/>
        </w:rPr>
        <w:t>a fuller comparison of the three mathematical approaches used to calcula</w:t>
      </w:r>
      <w:bookmarkStart w:id="62" w:name="_GoBack"/>
      <w:bookmarkEnd w:id="62"/>
      <w:r w:rsidR="000B6AA1" w:rsidRPr="000B6AA1">
        <w:rPr>
          <w:rFonts w:cstheme="minorHAnsi"/>
          <w:color w:val="FF0000"/>
        </w:rPr>
        <w:t>ted initial rates; and supporting figures regarding the two application studies.</w:t>
      </w:r>
      <w:r w:rsidRPr="000B6AA1">
        <w:rPr>
          <w:rFonts w:cstheme="minorHAnsi"/>
          <w:color w:val="FF0000"/>
        </w:rPr>
        <w:t xml:space="preserve"> </w:t>
      </w:r>
      <w:r w:rsidR="00F44179" w:rsidRPr="00E70281">
        <w:rPr>
          <w:color w:val="auto"/>
        </w:rPr>
        <w:br w:type="page"/>
      </w:r>
    </w:p>
    <w:p w14:paraId="29F88AA5" w14:textId="765C6FF8" w:rsidR="00003A48" w:rsidRPr="00E70281" w:rsidRDefault="00003A48" w:rsidP="009222BF">
      <w:pPr>
        <w:pStyle w:val="Heading1"/>
        <w:numPr>
          <w:ilvl w:val="0"/>
          <w:numId w:val="0"/>
        </w:numPr>
        <w:ind w:left="360"/>
        <w:jc w:val="both"/>
        <w:rPr>
          <w:color w:val="auto"/>
        </w:rPr>
      </w:pPr>
      <w:r w:rsidRPr="00E70281">
        <w:rPr>
          <w:color w:val="auto"/>
        </w:rPr>
        <w:lastRenderedPageBreak/>
        <w:t>R</w:t>
      </w:r>
      <w:r w:rsidR="004379CF" w:rsidRPr="00E70281">
        <w:rPr>
          <w:color w:val="auto"/>
        </w:rPr>
        <w:t>eferences</w:t>
      </w:r>
    </w:p>
    <w:commentRangeStart w:id="63"/>
    <w:p w14:paraId="0D3BD107" w14:textId="2F3D32C2" w:rsidR="00F60BD8" w:rsidRPr="00F60BD8" w:rsidRDefault="00C248E8" w:rsidP="00F60BD8">
      <w:pPr>
        <w:widowControl w:val="0"/>
        <w:autoSpaceDE w:val="0"/>
        <w:autoSpaceDN w:val="0"/>
        <w:adjustRightInd w:val="0"/>
        <w:spacing w:line="240" w:lineRule="auto"/>
        <w:ind w:left="640" w:hanging="640"/>
        <w:rPr>
          <w:rFonts w:ascii="Calibri" w:hAnsi="Calibri" w:cs="Calibri"/>
          <w:noProof/>
          <w:sz w:val="20"/>
        </w:rPr>
      </w:pPr>
      <w:r w:rsidRPr="00E70281">
        <w:rPr>
          <w:rFonts w:cstheme="minorHAnsi"/>
          <w:noProof/>
          <w:color w:val="auto"/>
          <w:sz w:val="20"/>
        </w:rPr>
        <w:fldChar w:fldCharType="begin" w:fldLock="1"/>
      </w:r>
      <w:r w:rsidRPr="00E70281">
        <w:rPr>
          <w:rFonts w:cstheme="minorHAnsi"/>
          <w:noProof/>
          <w:color w:val="auto"/>
          <w:sz w:val="20"/>
        </w:rPr>
        <w:instrText xml:space="preserve">ADDIN Mendeley Bibliography CSL_BIBLIOGRAPHY </w:instrText>
      </w:r>
      <w:r w:rsidRPr="00E70281">
        <w:rPr>
          <w:rFonts w:cstheme="minorHAnsi"/>
          <w:noProof/>
          <w:color w:val="auto"/>
          <w:sz w:val="20"/>
        </w:rPr>
        <w:fldChar w:fldCharType="separate"/>
      </w:r>
      <w:r w:rsidR="00F60BD8" w:rsidRPr="00F60BD8">
        <w:rPr>
          <w:rFonts w:ascii="Calibri" w:hAnsi="Calibri" w:cs="Calibri"/>
          <w:noProof/>
          <w:sz w:val="20"/>
        </w:rPr>
        <w:t xml:space="preserve">(1) </w:t>
      </w:r>
      <w:r w:rsidR="00F60BD8" w:rsidRPr="00F60BD8">
        <w:rPr>
          <w:rFonts w:ascii="Calibri" w:hAnsi="Calibri" w:cs="Calibri"/>
          <w:noProof/>
          <w:sz w:val="20"/>
        </w:rPr>
        <w:tab/>
        <w:t xml:space="preserve">Boddu, V. M.; Abburi, K.; Randolph, A. J.; Smith, E. D. Removal of Copper(II) and Nickel(II) Ions from Aqueous Solutions by a Composite Chitosan Biosorbent. </w:t>
      </w:r>
      <w:r w:rsidR="00F60BD8" w:rsidRPr="00F60BD8">
        <w:rPr>
          <w:rFonts w:ascii="Calibri" w:hAnsi="Calibri" w:cs="Calibri"/>
          <w:i/>
          <w:iCs/>
          <w:noProof/>
          <w:sz w:val="20"/>
        </w:rPr>
        <w:t>Sep. Sci. Technol.</w:t>
      </w:r>
      <w:r w:rsidR="00F60BD8" w:rsidRPr="00F60BD8">
        <w:rPr>
          <w:rFonts w:ascii="Calibri" w:hAnsi="Calibri" w:cs="Calibri"/>
          <w:noProof/>
          <w:sz w:val="20"/>
        </w:rPr>
        <w:t xml:space="preserve"> </w:t>
      </w:r>
      <w:r w:rsidR="00F60BD8" w:rsidRPr="00F60BD8">
        <w:rPr>
          <w:rFonts w:ascii="Calibri" w:hAnsi="Calibri" w:cs="Calibri"/>
          <w:b/>
          <w:bCs w:val="0"/>
          <w:noProof/>
          <w:sz w:val="20"/>
        </w:rPr>
        <w:t>2008</w:t>
      </w:r>
      <w:r w:rsidR="00F60BD8" w:rsidRPr="00F60BD8">
        <w:rPr>
          <w:rFonts w:ascii="Calibri" w:hAnsi="Calibri" w:cs="Calibri"/>
          <w:noProof/>
          <w:sz w:val="20"/>
        </w:rPr>
        <w:t xml:space="preserve">, </w:t>
      </w:r>
      <w:r w:rsidR="00F60BD8" w:rsidRPr="00F60BD8">
        <w:rPr>
          <w:rFonts w:ascii="Calibri" w:hAnsi="Calibri" w:cs="Calibri"/>
          <w:i/>
          <w:iCs/>
          <w:noProof/>
          <w:sz w:val="20"/>
        </w:rPr>
        <w:t>43</w:t>
      </w:r>
      <w:r w:rsidR="00F60BD8" w:rsidRPr="00F60BD8">
        <w:rPr>
          <w:rFonts w:ascii="Calibri" w:hAnsi="Calibri" w:cs="Calibri"/>
          <w:noProof/>
          <w:sz w:val="20"/>
        </w:rPr>
        <w:t xml:space="preserve"> (6), 1365–1381. https://doi.org/10.1080/01496390801940762.</w:t>
      </w:r>
    </w:p>
    <w:p w14:paraId="4ACEC2D3"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 </w:t>
      </w:r>
      <w:r w:rsidRPr="00F60BD8">
        <w:rPr>
          <w:rFonts w:ascii="Calibri" w:hAnsi="Calibri" w:cs="Calibri"/>
          <w:noProof/>
          <w:sz w:val="20"/>
        </w:rPr>
        <w:tab/>
        <w:t xml:space="preserve">Linghu, W.; Yang, H.; Sun, Y.; Sheng, G.; Huang, Y. One-Pot Synthesis of LDH/GO Composites as Highly Effective Adsorbents for Decontamination of U(VI). </w:t>
      </w:r>
      <w:r w:rsidRPr="00F60BD8">
        <w:rPr>
          <w:rFonts w:ascii="Calibri" w:hAnsi="Calibri" w:cs="Calibri"/>
          <w:i/>
          <w:iCs/>
          <w:noProof/>
          <w:sz w:val="20"/>
        </w:rPr>
        <w:t>ACS Sustain. Chem. Eng.</w:t>
      </w:r>
      <w:r w:rsidRPr="00F60BD8">
        <w:rPr>
          <w:rFonts w:ascii="Calibri" w:hAnsi="Calibri" w:cs="Calibri"/>
          <w:noProof/>
          <w:sz w:val="20"/>
        </w:rPr>
        <w:t xml:space="preserve"> </w:t>
      </w:r>
      <w:r w:rsidRPr="00F60BD8">
        <w:rPr>
          <w:rFonts w:ascii="Calibri" w:hAnsi="Calibri" w:cs="Calibri"/>
          <w:b/>
          <w:bCs w:val="0"/>
          <w:noProof/>
          <w:sz w:val="20"/>
        </w:rPr>
        <w:t>2017</w:t>
      </w:r>
      <w:r w:rsidRPr="00F60BD8">
        <w:rPr>
          <w:rFonts w:ascii="Calibri" w:hAnsi="Calibri" w:cs="Calibri"/>
          <w:noProof/>
          <w:sz w:val="20"/>
        </w:rPr>
        <w:t xml:space="preserve">, </w:t>
      </w:r>
      <w:r w:rsidRPr="00F60BD8">
        <w:rPr>
          <w:rFonts w:ascii="Calibri" w:hAnsi="Calibri" w:cs="Calibri"/>
          <w:i/>
          <w:iCs/>
          <w:noProof/>
          <w:sz w:val="20"/>
        </w:rPr>
        <w:t>5</w:t>
      </w:r>
      <w:r w:rsidRPr="00F60BD8">
        <w:rPr>
          <w:rFonts w:ascii="Calibri" w:hAnsi="Calibri" w:cs="Calibri"/>
          <w:noProof/>
          <w:sz w:val="20"/>
        </w:rPr>
        <w:t xml:space="preserve"> (6), 5608–5616. https://doi.org/10.1021/acssuschemeng.7b01303.</w:t>
      </w:r>
    </w:p>
    <w:p w14:paraId="7914E4DA"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 </w:t>
      </w:r>
      <w:r w:rsidRPr="00F60BD8">
        <w:rPr>
          <w:rFonts w:ascii="Calibri" w:hAnsi="Calibri" w:cs="Calibri"/>
          <w:noProof/>
          <w:sz w:val="20"/>
        </w:rPr>
        <w:tab/>
        <w:t xml:space="preserve">Deng, L.; Shi, Z.; Peng, X. Adsorption of Cr(VI) onto a Magnetic CoFe2O4/MgAl-LDH Composite and Mechanism Study. </w:t>
      </w:r>
      <w:r w:rsidRPr="00F60BD8">
        <w:rPr>
          <w:rFonts w:ascii="Calibri" w:hAnsi="Calibri" w:cs="Calibri"/>
          <w:i/>
          <w:iCs/>
          <w:noProof/>
          <w:sz w:val="20"/>
        </w:rPr>
        <w:t>RSC Adv.</w:t>
      </w:r>
      <w:r w:rsidRPr="00F60BD8">
        <w:rPr>
          <w:rFonts w:ascii="Calibri" w:hAnsi="Calibri" w:cs="Calibri"/>
          <w:noProof/>
          <w:sz w:val="20"/>
        </w:rPr>
        <w:t xml:space="preserve"> </w:t>
      </w:r>
      <w:r w:rsidRPr="00F60BD8">
        <w:rPr>
          <w:rFonts w:ascii="Calibri" w:hAnsi="Calibri" w:cs="Calibri"/>
          <w:b/>
          <w:bCs w:val="0"/>
          <w:noProof/>
          <w:sz w:val="20"/>
        </w:rPr>
        <w:t>2015</w:t>
      </w:r>
      <w:r w:rsidRPr="00F60BD8">
        <w:rPr>
          <w:rFonts w:ascii="Calibri" w:hAnsi="Calibri" w:cs="Calibri"/>
          <w:noProof/>
          <w:sz w:val="20"/>
        </w:rPr>
        <w:t xml:space="preserve">, </w:t>
      </w:r>
      <w:r w:rsidRPr="00F60BD8">
        <w:rPr>
          <w:rFonts w:ascii="Calibri" w:hAnsi="Calibri" w:cs="Calibri"/>
          <w:i/>
          <w:iCs/>
          <w:noProof/>
          <w:sz w:val="20"/>
        </w:rPr>
        <w:t>5</w:t>
      </w:r>
      <w:r w:rsidRPr="00F60BD8">
        <w:rPr>
          <w:rFonts w:ascii="Calibri" w:hAnsi="Calibri" w:cs="Calibri"/>
          <w:noProof/>
          <w:sz w:val="20"/>
        </w:rPr>
        <w:t xml:space="preserve"> (61), 49791–49801. https://doi.org/10.1039/c5ra06178d.</w:t>
      </w:r>
    </w:p>
    <w:p w14:paraId="319C74FC"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 </w:t>
      </w:r>
      <w:r w:rsidRPr="00F60BD8">
        <w:rPr>
          <w:rFonts w:ascii="Calibri" w:hAnsi="Calibri" w:cs="Calibri"/>
          <w:noProof/>
          <w:sz w:val="20"/>
        </w:rPr>
        <w:tab/>
        <w:t xml:space="preserve">D’Arcy, M.; Weiss, D.; Bluck, M.; Vilar, R. Adsorption Kinetics, Capacity and Mechanism of Arsenate and Phosphate on a Bifunctional TiO2-Fe2O3 Bi-Composite. </w:t>
      </w:r>
      <w:r w:rsidRPr="00F60BD8">
        <w:rPr>
          <w:rFonts w:ascii="Calibri" w:hAnsi="Calibri" w:cs="Calibri"/>
          <w:i/>
          <w:iCs/>
          <w:noProof/>
          <w:sz w:val="20"/>
        </w:rPr>
        <w:t>J. Colloid Interface Sci.</w:t>
      </w:r>
      <w:r w:rsidRPr="00F60BD8">
        <w:rPr>
          <w:rFonts w:ascii="Calibri" w:hAnsi="Calibri" w:cs="Calibri"/>
          <w:noProof/>
          <w:sz w:val="20"/>
        </w:rPr>
        <w:t xml:space="preserve"> </w:t>
      </w:r>
      <w:r w:rsidRPr="00F60BD8">
        <w:rPr>
          <w:rFonts w:ascii="Calibri" w:hAnsi="Calibri" w:cs="Calibri"/>
          <w:b/>
          <w:bCs w:val="0"/>
          <w:noProof/>
          <w:sz w:val="20"/>
        </w:rPr>
        <w:t>2011</w:t>
      </w:r>
      <w:r w:rsidRPr="00F60BD8">
        <w:rPr>
          <w:rFonts w:ascii="Calibri" w:hAnsi="Calibri" w:cs="Calibri"/>
          <w:noProof/>
          <w:sz w:val="20"/>
        </w:rPr>
        <w:t xml:space="preserve">, </w:t>
      </w:r>
      <w:r w:rsidRPr="00F60BD8">
        <w:rPr>
          <w:rFonts w:ascii="Calibri" w:hAnsi="Calibri" w:cs="Calibri"/>
          <w:i/>
          <w:iCs/>
          <w:noProof/>
          <w:sz w:val="20"/>
        </w:rPr>
        <w:t>364</w:t>
      </w:r>
      <w:r w:rsidRPr="00F60BD8">
        <w:rPr>
          <w:rFonts w:ascii="Calibri" w:hAnsi="Calibri" w:cs="Calibri"/>
          <w:noProof/>
          <w:sz w:val="20"/>
        </w:rPr>
        <w:t xml:space="preserve"> (1), 205–212. https://doi.org/10.1016/j.jcis.2011.08.023.</w:t>
      </w:r>
    </w:p>
    <w:p w14:paraId="5A40AFB4"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(5) </w:t>
      </w:r>
      <w:r w:rsidRPr="00F60BD8">
        <w:rPr>
          <w:rFonts w:ascii="Calibri" w:hAnsi="Calibri" w:cs="Calibri"/>
          <w:noProof/>
          <w:sz w:val="20"/>
        </w:rPr>
        <w:tab/>
        <w:t xml:space="preserve">Chi, S.; Ji, C.; Sun, S.; Jiang, H.; Qu, R.; Sun, C. Magnetically Separated Meso-g-C3N4/Fe3O4: Bifuctional Composites for Removal of Arsenite by Simultaneous Visible-Light Catalysis and Adsorption. </w:t>
      </w:r>
      <w:r w:rsidRPr="00F60BD8">
        <w:rPr>
          <w:rFonts w:ascii="Calibri" w:hAnsi="Calibri" w:cs="Calibri"/>
          <w:i/>
          <w:iCs/>
          <w:noProof/>
          <w:sz w:val="20"/>
        </w:rPr>
        <w:t>Ind. Eng. Chem. Res.</w:t>
      </w:r>
      <w:r w:rsidRPr="00F60BD8">
        <w:rPr>
          <w:rFonts w:ascii="Calibri" w:hAnsi="Calibri" w:cs="Calibri"/>
          <w:noProof/>
          <w:sz w:val="20"/>
        </w:rPr>
        <w:t xml:space="preserve"> </w:t>
      </w:r>
      <w:r w:rsidRPr="00F60BD8">
        <w:rPr>
          <w:rFonts w:ascii="Calibri" w:hAnsi="Calibri" w:cs="Calibri"/>
          <w:b/>
          <w:bCs w:val="0"/>
          <w:noProof/>
          <w:sz w:val="20"/>
        </w:rPr>
        <w:t>2016</w:t>
      </w:r>
      <w:r w:rsidRPr="00F60BD8">
        <w:rPr>
          <w:rFonts w:ascii="Calibri" w:hAnsi="Calibri" w:cs="Calibri"/>
          <w:noProof/>
          <w:sz w:val="20"/>
        </w:rPr>
        <w:t xml:space="preserve">, </w:t>
      </w:r>
      <w:r w:rsidRPr="00F60BD8">
        <w:rPr>
          <w:rFonts w:ascii="Calibri" w:hAnsi="Calibri" w:cs="Calibri"/>
          <w:i/>
          <w:iCs/>
          <w:noProof/>
          <w:sz w:val="20"/>
        </w:rPr>
        <w:t>55</w:t>
      </w:r>
      <w:r w:rsidRPr="00F60BD8">
        <w:rPr>
          <w:rFonts w:ascii="Calibri" w:hAnsi="Calibri" w:cs="Calibri"/>
          <w:noProof/>
          <w:sz w:val="20"/>
        </w:rPr>
        <w:t xml:space="preserve"> (46), 12060–12067. https://doi.org/10.1021/acs.iecr.6b02178.</w:t>
      </w:r>
    </w:p>
    <w:p w14:paraId="7EA16327"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(6) </w:t>
      </w:r>
      <w:r w:rsidRPr="00F60BD8">
        <w:rPr>
          <w:rFonts w:ascii="Calibri" w:hAnsi="Calibri" w:cs="Calibri"/>
          <w:noProof/>
          <w:sz w:val="20"/>
        </w:rPr>
        <w:tab/>
        <w:t xml:space="preserve">Smith, K.; Liu, S. Energy for Conventional Water Supply and Wastewater Treatment in Urban China: A Review. </w:t>
      </w:r>
      <w:r w:rsidRPr="00F60BD8">
        <w:rPr>
          <w:rFonts w:ascii="Calibri" w:hAnsi="Calibri" w:cs="Calibri"/>
          <w:i/>
          <w:iCs/>
          <w:noProof/>
          <w:sz w:val="20"/>
        </w:rPr>
        <w:t>Glob. Challenges</w:t>
      </w:r>
      <w:r w:rsidRPr="00F60BD8">
        <w:rPr>
          <w:rFonts w:ascii="Calibri" w:hAnsi="Calibri" w:cs="Calibri"/>
          <w:noProof/>
          <w:sz w:val="20"/>
        </w:rPr>
        <w:t xml:space="preserve"> </w:t>
      </w:r>
      <w:r w:rsidRPr="00F60BD8">
        <w:rPr>
          <w:rFonts w:ascii="Calibri" w:hAnsi="Calibri" w:cs="Calibri"/>
          <w:b/>
          <w:bCs w:val="0"/>
          <w:noProof/>
          <w:sz w:val="20"/>
        </w:rPr>
        <w:t>2017</w:t>
      </w:r>
      <w:r w:rsidRPr="00F60BD8">
        <w:rPr>
          <w:rFonts w:ascii="Calibri" w:hAnsi="Calibri" w:cs="Calibri"/>
          <w:noProof/>
          <w:sz w:val="20"/>
        </w:rPr>
        <w:t xml:space="preserve">, </w:t>
      </w:r>
      <w:r w:rsidRPr="00F60BD8">
        <w:rPr>
          <w:rFonts w:ascii="Calibri" w:hAnsi="Calibri" w:cs="Calibri"/>
          <w:i/>
          <w:iCs/>
          <w:noProof/>
          <w:sz w:val="20"/>
        </w:rPr>
        <w:t>1</w:t>
      </w:r>
      <w:r w:rsidRPr="00F60BD8">
        <w:rPr>
          <w:rFonts w:ascii="Calibri" w:hAnsi="Calibri" w:cs="Calibri"/>
          <w:noProof/>
          <w:sz w:val="20"/>
        </w:rPr>
        <w:t xml:space="preserve"> (5), 1600016. https://doi.org/10.1002/gch2.201600016.</w:t>
      </w:r>
    </w:p>
    <w:p w14:paraId="1065DC69"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(7) </w:t>
      </w:r>
      <w:r w:rsidRPr="00F60BD8">
        <w:rPr>
          <w:rFonts w:ascii="Calibri" w:hAnsi="Calibri" w:cs="Calibri"/>
          <w:noProof/>
          <w:sz w:val="20"/>
        </w:rPr>
        <w:tab/>
        <w:t xml:space="preserve">Dichiara, A. B.; Weinstein, S. J.; Rogers, R. E. On the Choice of Batch or Fixed Bed Adsorption Processes for Wastewater Treatment. </w:t>
      </w:r>
      <w:r w:rsidRPr="00F60BD8">
        <w:rPr>
          <w:rFonts w:ascii="Calibri" w:hAnsi="Calibri" w:cs="Calibri"/>
          <w:i/>
          <w:iCs/>
          <w:noProof/>
          <w:sz w:val="20"/>
        </w:rPr>
        <w:t>Ind. Eng. Chem. Res.</w:t>
      </w:r>
      <w:r w:rsidRPr="00F60BD8">
        <w:rPr>
          <w:rFonts w:ascii="Calibri" w:hAnsi="Calibri" w:cs="Calibri"/>
          <w:noProof/>
          <w:sz w:val="20"/>
        </w:rPr>
        <w:t xml:space="preserve"> </w:t>
      </w:r>
      <w:r w:rsidRPr="00F60BD8">
        <w:rPr>
          <w:rFonts w:ascii="Calibri" w:hAnsi="Calibri" w:cs="Calibri"/>
          <w:b/>
          <w:bCs w:val="0"/>
          <w:noProof/>
          <w:sz w:val="20"/>
        </w:rPr>
        <w:t>2015</w:t>
      </w:r>
      <w:r w:rsidRPr="00F60BD8">
        <w:rPr>
          <w:rFonts w:ascii="Calibri" w:hAnsi="Calibri" w:cs="Calibri"/>
          <w:noProof/>
          <w:sz w:val="20"/>
        </w:rPr>
        <w:t xml:space="preserve">, </w:t>
      </w:r>
      <w:r w:rsidRPr="00F60BD8">
        <w:rPr>
          <w:rFonts w:ascii="Calibri" w:hAnsi="Calibri" w:cs="Calibri"/>
          <w:i/>
          <w:iCs/>
          <w:noProof/>
          <w:sz w:val="20"/>
        </w:rPr>
        <w:t>54</w:t>
      </w:r>
      <w:r w:rsidRPr="00F60BD8">
        <w:rPr>
          <w:rFonts w:ascii="Calibri" w:hAnsi="Calibri" w:cs="Calibri"/>
          <w:noProof/>
          <w:sz w:val="20"/>
        </w:rPr>
        <w:t xml:space="preserve"> (34), 8579–8586. https://doi.org/10.1021/acs.iecr.5b02350.</w:t>
      </w:r>
    </w:p>
    <w:p w14:paraId="2EC56AC2"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(8) </w:t>
      </w:r>
      <w:r w:rsidRPr="00F60BD8">
        <w:rPr>
          <w:rFonts w:ascii="Calibri" w:hAnsi="Calibri" w:cs="Calibri"/>
          <w:noProof/>
          <w:sz w:val="20"/>
        </w:rPr>
        <w:tab/>
        <w:t xml:space="preserve">Blanchard, G.; Maunaye, M.; Martin, G. Removal of Heavy Metals from Waters by Means of Natural Zeolites. </w:t>
      </w:r>
      <w:r w:rsidRPr="00F60BD8">
        <w:rPr>
          <w:rFonts w:ascii="Calibri" w:hAnsi="Calibri" w:cs="Calibri"/>
          <w:i/>
          <w:iCs/>
          <w:noProof/>
          <w:sz w:val="20"/>
        </w:rPr>
        <w:t>Water Res.</w:t>
      </w:r>
      <w:r w:rsidRPr="00F60BD8">
        <w:rPr>
          <w:rFonts w:ascii="Calibri" w:hAnsi="Calibri" w:cs="Calibri"/>
          <w:noProof/>
          <w:sz w:val="20"/>
        </w:rPr>
        <w:t xml:space="preserve"> </w:t>
      </w:r>
      <w:r w:rsidRPr="00F60BD8">
        <w:rPr>
          <w:rFonts w:ascii="Calibri" w:hAnsi="Calibri" w:cs="Calibri"/>
          <w:b/>
          <w:bCs w:val="0"/>
          <w:noProof/>
          <w:sz w:val="20"/>
        </w:rPr>
        <w:t>1984</w:t>
      </w:r>
      <w:r w:rsidRPr="00F60BD8">
        <w:rPr>
          <w:rFonts w:ascii="Calibri" w:hAnsi="Calibri" w:cs="Calibri"/>
          <w:noProof/>
          <w:sz w:val="20"/>
        </w:rPr>
        <w:t xml:space="preserve">, </w:t>
      </w:r>
      <w:r w:rsidRPr="00F60BD8">
        <w:rPr>
          <w:rFonts w:ascii="Calibri" w:hAnsi="Calibri" w:cs="Calibri"/>
          <w:i/>
          <w:iCs/>
          <w:noProof/>
          <w:sz w:val="20"/>
        </w:rPr>
        <w:t>18</w:t>
      </w:r>
      <w:r w:rsidRPr="00F60BD8">
        <w:rPr>
          <w:rFonts w:ascii="Calibri" w:hAnsi="Calibri" w:cs="Calibri"/>
          <w:noProof/>
          <w:sz w:val="20"/>
        </w:rPr>
        <w:t xml:space="preserve"> (12), 1501–1507. https://doi.org/10.1016/0043-1354(84)90124-6.</w:t>
      </w:r>
    </w:p>
    <w:p w14:paraId="669D5A4F"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(9) </w:t>
      </w:r>
      <w:r w:rsidRPr="00F60BD8">
        <w:rPr>
          <w:rFonts w:ascii="Calibri" w:hAnsi="Calibri" w:cs="Calibri"/>
          <w:noProof/>
          <w:sz w:val="20"/>
        </w:rPr>
        <w:tab/>
        <w:t xml:space="preserve">Ho, Y. S.; McKay, G. Pseudo-Second Order Model for Sorption Processes. </w:t>
      </w:r>
      <w:r w:rsidRPr="00F60BD8">
        <w:rPr>
          <w:rFonts w:ascii="Calibri" w:hAnsi="Calibri" w:cs="Calibri"/>
          <w:i/>
          <w:iCs/>
          <w:noProof/>
          <w:sz w:val="20"/>
        </w:rPr>
        <w:t>Process Biochem.</w:t>
      </w:r>
      <w:r w:rsidRPr="00F60BD8">
        <w:rPr>
          <w:rFonts w:ascii="Calibri" w:hAnsi="Calibri" w:cs="Calibri"/>
          <w:noProof/>
          <w:sz w:val="20"/>
        </w:rPr>
        <w:t xml:space="preserve"> </w:t>
      </w:r>
      <w:r w:rsidRPr="00F60BD8">
        <w:rPr>
          <w:rFonts w:ascii="Calibri" w:hAnsi="Calibri" w:cs="Calibri"/>
          <w:b/>
          <w:bCs w:val="0"/>
          <w:noProof/>
          <w:sz w:val="20"/>
        </w:rPr>
        <w:t>1999</w:t>
      </w:r>
      <w:r w:rsidRPr="00F60BD8">
        <w:rPr>
          <w:rFonts w:ascii="Calibri" w:hAnsi="Calibri" w:cs="Calibri"/>
          <w:noProof/>
          <w:sz w:val="20"/>
        </w:rPr>
        <w:t xml:space="preserve">, </w:t>
      </w:r>
      <w:r w:rsidRPr="00F60BD8">
        <w:rPr>
          <w:rFonts w:ascii="Calibri" w:hAnsi="Calibri" w:cs="Calibri"/>
          <w:i/>
          <w:iCs/>
          <w:noProof/>
          <w:sz w:val="20"/>
        </w:rPr>
        <w:t>34</w:t>
      </w:r>
      <w:r w:rsidRPr="00F60BD8">
        <w:rPr>
          <w:rFonts w:ascii="Calibri" w:hAnsi="Calibri" w:cs="Calibri"/>
          <w:noProof/>
          <w:sz w:val="20"/>
        </w:rPr>
        <w:t xml:space="preserve"> (5), 451–465. https://doi.org/10.1016/S0032-9592(98)00112-5.</w:t>
      </w:r>
    </w:p>
    <w:p w14:paraId="3D9E6DA1"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(10) </w:t>
      </w:r>
      <w:r w:rsidRPr="00F60BD8">
        <w:rPr>
          <w:rFonts w:ascii="Calibri" w:hAnsi="Calibri" w:cs="Calibri"/>
          <w:noProof/>
          <w:sz w:val="20"/>
        </w:rPr>
        <w:tab/>
        <w:t xml:space="preserve">Simonin, J. P. On the Comparison of Pseudo-First Order and Pseudo-Second Order Rate Laws in the Modeling of Adsorption Kinetics. </w:t>
      </w:r>
      <w:r w:rsidRPr="00F60BD8">
        <w:rPr>
          <w:rFonts w:ascii="Calibri" w:hAnsi="Calibri" w:cs="Calibri"/>
          <w:i/>
          <w:iCs/>
          <w:noProof/>
          <w:sz w:val="20"/>
        </w:rPr>
        <w:t>Chem. Eng. J.</w:t>
      </w:r>
      <w:r w:rsidRPr="00F60BD8">
        <w:rPr>
          <w:rFonts w:ascii="Calibri" w:hAnsi="Calibri" w:cs="Calibri"/>
          <w:noProof/>
          <w:sz w:val="20"/>
        </w:rPr>
        <w:t xml:space="preserve"> </w:t>
      </w:r>
      <w:r w:rsidRPr="00F60BD8">
        <w:rPr>
          <w:rFonts w:ascii="Calibri" w:hAnsi="Calibri" w:cs="Calibri"/>
          <w:b/>
          <w:bCs w:val="0"/>
          <w:noProof/>
          <w:sz w:val="20"/>
        </w:rPr>
        <w:t>2016</w:t>
      </w:r>
      <w:r w:rsidRPr="00F60BD8">
        <w:rPr>
          <w:rFonts w:ascii="Calibri" w:hAnsi="Calibri" w:cs="Calibri"/>
          <w:noProof/>
          <w:sz w:val="20"/>
        </w:rPr>
        <w:t xml:space="preserve">, </w:t>
      </w:r>
      <w:r w:rsidRPr="00F60BD8">
        <w:rPr>
          <w:rFonts w:ascii="Calibri" w:hAnsi="Calibri" w:cs="Calibri"/>
          <w:i/>
          <w:iCs/>
          <w:noProof/>
          <w:sz w:val="20"/>
        </w:rPr>
        <w:t>300</w:t>
      </w:r>
      <w:r w:rsidRPr="00F60BD8">
        <w:rPr>
          <w:rFonts w:ascii="Calibri" w:hAnsi="Calibri" w:cs="Calibri"/>
          <w:noProof/>
          <w:sz w:val="20"/>
        </w:rPr>
        <w:t>, 254–263. https://doi.org/10.1016/j.cej.2016.04.079.</w:t>
      </w:r>
    </w:p>
    <w:p w14:paraId="01E086AB"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(11) </w:t>
      </w:r>
      <w:r w:rsidRPr="00F60BD8">
        <w:rPr>
          <w:rFonts w:ascii="Calibri" w:hAnsi="Calibri" w:cs="Calibri"/>
          <w:noProof/>
          <w:sz w:val="20"/>
        </w:rPr>
        <w:tab/>
        <w:t xml:space="preserve">Ho, Y. S.; Mckay, G. The Kinetics of Sorption of Divalent Metal Ions onto Sphagnum Moss Peat. </w:t>
      </w:r>
      <w:r w:rsidRPr="00F60BD8">
        <w:rPr>
          <w:rFonts w:ascii="Calibri" w:hAnsi="Calibri" w:cs="Calibri"/>
          <w:i/>
          <w:iCs/>
          <w:noProof/>
          <w:sz w:val="20"/>
        </w:rPr>
        <w:t>Water Res.</w:t>
      </w:r>
      <w:r w:rsidRPr="00F60BD8">
        <w:rPr>
          <w:rFonts w:ascii="Calibri" w:hAnsi="Calibri" w:cs="Calibri"/>
          <w:noProof/>
          <w:sz w:val="20"/>
        </w:rPr>
        <w:t xml:space="preserve"> </w:t>
      </w:r>
      <w:r w:rsidRPr="00F60BD8">
        <w:rPr>
          <w:rFonts w:ascii="Calibri" w:hAnsi="Calibri" w:cs="Calibri"/>
          <w:b/>
          <w:bCs w:val="0"/>
          <w:noProof/>
          <w:sz w:val="20"/>
        </w:rPr>
        <w:t>2000</w:t>
      </w:r>
      <w:r w:rsidRPr="00F60BD8">
        <w:rPr>
          <w:rFonts w:ascii="Calibri" w:hAnsi="Calibri" w:cs="Calibri"/>
          <w:noProof/>
          <w:sz w:val="20"/>
        </w:rPr>
        <w:t xml:space="preserve">, </w:t>
      </w:r>
      <w:r w:rsidRPr="00F60BD8">
        <w:rPr>
          <w:rFonts w:ascii="Calibri" w:hAnsi="Calibri" w:cs="Calibri"/>
          <w:i/>
          <w:iCs/>
          <w:noProof/>
          <w:sz w:val="20"/>
        </w:rPr>
        <w:t>34</w:t>
      </w:r>
      <w:r w:rsidRPr="00F60BD8">
        <w:rPr>
          <w:rFonts w:ascii="Calibri" w:hAnsi="Calibri" w:cs="Calibri"/>
          <w:noProof/>
          <w:sz w:val="20"/>
        </w:rPr>
        <w:t xml:space="preserve"> (3), 735–742.</w:t>
      </w:r>
    </w:p>
    <w:p w14:paraId="1D9B050C"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(12) </w:t>
      </w:r>
      <w:r w:rsidRPr="00F60BD8">
        <w:rPr>
          <w:rFonts w:ascii="Calibri" w:hAnsi="Calibri" w:cs="Calibri"/>
          <w:noProof/>
          <w:sz w:val="20"/>
        </w:rPr>
        <w:tab/>
        <w:t xml:space="preserve">Ho, Y. Review of Second-Order Models for Adsorption Systems. </w:t>
      </w:r>
      <w:r w:rsidRPr="00F60BD8">
        <w:rPr>
          <w:rFonts w:ascii="Calibri" w:hAnsi="Calibri" w:cs="Calibri"/>
          <w:i/>
          <w:iCs/>
          <w:noProof/>
          <w:sz w:val="20"/>
        </w:rPr>
        <w:t>J. Hazard. Mater.</w:t>
      </w:r>
      <w:r w:rsidRPr="00F60BD8">
        <w:rPr>
          <w:rFonts w:ascii="Calibri" w:hAnsi="Calibri" w:cs="Calibri"/>
          <w:noProof/>
          <w:sz w:val="20"/>
        </w:rPr>
        <w:t xml:space="preserve"> </w:t>
      </w:r>
      <w:r w:rsidRPr="00F60BD8">
        <w:rPr>
          <w:rFonts w:ascii="Calibri" w:hAnsi="Calibri" w:cs="Calibri"/>
          <w:b/>
          <w:bCs w:val="0"/>
          <w:noProof/>
          <w:sz w:val="20"/>
        </w:rPr>
        <w:t>2006</w:t>
      </w:r>
      <w:r w:rsidRPr="00F60BD8">
        <w:rPr>
          <w:rFonts w:ascii="Calibri" w:hAnsi="Calibri" w:cs="Calibri"/>
          <w:noProof/>
          <w:sz w:val="20"/>
        </w:rPr>
        <w:t xml:space="preserve">, </w:t>
      </w:r>
      <w:r w:rsidRPr="00F60BD8">
        <w:rPr>
          <w:rFonts w:ascii="Calibri" w:hAnsi="Calibri" w:cs="Calibri"/>
          <w:i/>
          <w:iCs/>
          <w:noProof/>
          <w:sz w:val="20"/>
        </w:rPr>
        <w:t>136</w:t>
      </w:r>
      <w:r w:rsidRPr="00F60BD8">
        <w:rPr>
          <w:rFonts w:ascii="Calibri" w:hAnsi="Calibri" w:cs="Calibri"/>
          <w:noProof/>
          <w:sz w:val="20"/>
        </w:rPr>
        <w:t xml:space="preserve"> (April 2005), 681–689. https://doi.org/10.1016/j.jhazmat.2005.12.043.</w:t>
      </w:r>
    </w:p>
    <w:p w14:paraId="5F1D564E"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(13) </w:t>
      </w:r>
      <w:r w:rsidRPr="00F60BD8">
        <w:rPr>
          <w:rFonts w:ascii="Calibri" w:hAnsi="Calibri" w:cs="Calibri"/>
          <w:noProof/>
          <w:sz w:val="20"/>
        </w:rPr>
        <w:tab/>
        <w:t xml:space="preserve">Plazinski, W.; Dziuba, J.; Rudzinski, W. Modeling of Sorption Kinetics: The Pseudo-Second Order Equation and the Sorbate Intraparticle Diffusivity. </w:t>
      </w:r>
      <w:r w:rsidRPr="00F60BD8">
        <w:rPr>
          <w:rFonts w:ascii="Calibri" w:hAnsi="Calibri" w:cs="Calibri"/>
          <w:i/>
          <w:iCs/>
          <w:noProof/>
          <w:sz w:val="20"/>
        </w:rPr>
        <w:t>Adsorption</w:t>
      </w:r>
      <w:r w:rsidRPr="00F60BD8">
        <w:rPr>
          <w:rFonts w:ascii="Calibri" w:hAnsi="Calibri" w:cs="Calibri"/>
          <w:noProof/>
          <w:sz w:val="20"/>
        </w:rPr>
        <w:t xml:space="preserve"> </w:t>
      </w:r>
      <w:r w:rsidRPr="00F60BD8">
        <w:rPr>
          <w:rFonts w:ascii="Calibri" w:hAnsi="Calibri" w:cs="Calibri"/>
          <w:b/>
          <w:bCs w:val="0"/>
          <w:noProof/>
          <w:sz w:val="20"/>
        </w:rPr>
        <w:t>2013</w:t>
      </w:r>
      <w:r w:rsidRPr="00F60BD8">
        <w:rPr>
          <w:rFonts w:ascii="Calibri" w:hAnsi="Calibri" w:cs="Calibri"/>
          <w:noProof/>
          <w:sz w:val="20"/>
        </w:rPr>
        <w:t xml:space="preserve">, </w:t>
      </w:r>
      <w:r w:rsidRPr="00F60BD8">
        <w:rPr>
          <w:rFonts w:ascii="Calibri" w:hAnsi="Calibri" w:cs="Calibri"/>
          <w:i/>
          <w:iCs/>
          <w:noProof/>
          <w:sz w:val="20"/>
        </w:rPr>
        <w:t>19</w:t>
      </w:r>
      <w:r w:rsidRPr="00F60BD8">
        <w:rPr>
          <w:rFonts w:ascii="Calibri" w:hAnsi="Calibri" w:cs="Calibri"/>
          <w:noProof/>
          <w:sz w:val="20"/>
        </w:rPr>
        <w:t xml:space="preserve"> (5), 1055–1064. https://doi.org/10.1007/s10450-013-9529-0.</w:t>
      </w:r>
    </w:p>
    <w:p w14:paraId="0384E0FB"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(14) </w:t>
      </w:r>
      <w:r w:rsidRPr="00F60BD8">
        <w:rPr>
          <w:rFonts w:ascii="Calibri" w:hAnsi="Calibri" w:cs="Calibri"/>
          <w:noProof/>
          <w:sz w:val="20"/>
        </w:rPr>
        <w:tab/>
        <w:t xml:space="preserve">Xiao, Y.; Azaiez, J.; Hill, J. M. Erroneous Application of Pseudo-Second-Order Adsorption Kinetics Model: Ignored Assumptions and Spurious Correlations. </w:t>
      </w:r>
      <w:r w:rsidRPr="00F60BD8">
        <w:rPr>
          <w:rFonts w:ascii="Calibri" w:hAnsi="Calibri" w:cs="Calibri"/>
          <w:i/>
          <w:iCs/>
          <w:noProof/>
          <w:sz w:val="20"/>
        </w:rPr>
        <w:t>Ind. Eng. Chem. Res.</w:t>
      </w:r>
      <w:r w:rsidRPr="00F60BD8">
        <w:rPr>
          <w:rFonts w:ascii="Calibri" w:hAnsi="Calibri" w:cs="Calibri"/>
          <w:noProof/>
          <w:sz w:val="20"/>
        </w:rPr>
        <w:t xml:space="preserve"> </w:t>
      </w:r>
      <w:r w:rsidRPr="00F60BD8">
        <w:rPr>
          <w:rFonts w:ascii="Calibri" w:hAnsi="Calibri" w:cs="Calibri"/>
          <w:b/>
          <w:bCs w:val="0"/>
          <w:noProof/>
          <w:sz w:val="20"/>
        </w:rPr>
        <w:t>2018</w:t>
      </w:r>
      <w:r w:rsidRPr="00F60BD8">
        <w:rPr>
          <w:rFonts w:ascii="Calibri" w:hAnsi="Calibri" w:cs="Calibri"/>
          <w:noProof/>
          <w:sz w:val="20"/>
        </w:rPr>
        <w:t xml:space="preserve">, </w:t>
      </w:r>
      <w:r w:rsidRPr="00F60BD8">
        <w:rPr>
          <w:rFonts w:ascii="Calibri" w:hAnsi="Calibri" w:cs="Calibri"/>
          <w:i/>
          <w:iCs/>
          <w:noProof/>
          <w:sz w:val="20"/>
        </w:rPr>
        <w:t>57</w:t>
      </w:r>
      <w:r w:rsidRPr="00F60BD8">
        <w:rPr>
          <w:rFonts w:ascii="Calibri" w:hAnsi="Calibri" w:cs="Calibri"/>
          <w:noProof/>
          <w:sz w:val="20"/>
        </w:rPr>
        <w:t xml:space="preserve"> (7), 2705–2709. https://doi.org/10.1021/acs.iecr.7b04724.</w:t>
      </w:r>
    </w:p>
    <w:p w14:paraId="1BB7AD37"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(15) </w:t>
      </w:r>
      <w:r w:rsidRPr="00F60BD8">
        <w:rPr>
          <w:rFonts w:ascii="Calibri" w:hAnsi="Calibri" w:cs="Calibri"/>
          <w:noProof/>
          <w:sz w:val="20"/>
        </w:rPr>
        <w:tab/>
        <w:t xml:space="preserve">Canzano, S.; Iovino, P.; Leone, V.; Salvestrini, S.; Capasso, S. Use and Misuse of Sorption Kinetic Data: A Common Mistake That Should Be Avoided. </w:t>
      </w:r>
      <w:r w:rsidRPr="00F60BD8">
        <w:rPr>
          <w:rFonts w:ascii="Calibri" w:hAnsi="Calibri" w:cs="Calibri"/>
          <w:i/>
          <w:iCs/>
          <w:noProof/>
          <w:sz w:val="20"/>
        </w:rPr>
        <w:t>Adsorpt. Sci. Technol.</w:t>
      </w:r>
      <w:r w:rsidRPr="00F60BD8">
        <w:rPr>
          <w:rFonts w:ascii="Calibri" w:hAnsi="Calibri" w:cs="Calibri"/>
          <w:noProof/>
          <w:sz w:val="20"/>
        </w:rPr>
        <w:t xml:space="preserve"> </w:t>
      </w:r>
      <w:r w:rsidRPr="00F60BD8">
        <w:rPr>
          <w:rFonts w:ascii="Calibri" w:hAnsi="Calibri" w:cs="Calibri"/>
          <w:b/>
          <w:bCs w:val="0"/>
          <w:noProof/>
          <w:sz w:val="20"/>
        </w:rPr>
        <w:t>2012</w:t>
      </w:r>
      <w:r w:rsidRPr="00F60BD8">
        <w:rPr>
          <w:rFonts w:ascii="Calibri" w:hAnsi="Calibri" w:cs="Calibri"/>
          <w:noProof/>
          <w:sz w:val="20"/>
        </w:rPr>
        <w:t xml:space="preserve">, </w:t>
      </w:r>
      <w:r w:rsidRPr="00F60BD8">
        <w:rPr>
          <w:rFonts w:ascii="Calibri" w:hAnsi="Calibri" w:cs="Calibri"/>
          <w:i/>
          <w:iCs/>
          <w:noProof/>
          <w:sz w:val="20"/>
        </w:rPr>
        <w:t>30</w:t>
      </w:r>
      <w:r w:rsidRPr="00F60BD8">
        <w:rPr>
          <w:rFonts w:ascii="Calibri" w:hAnsi="Calibri" w:cs="Calibri"/>
          <w:noProof/>
          <w:sz w:val="20"/>
        </w:rPr>
        <w:t xml:space="preserve"> (3), 217–225. https://doi.org/10.1260/0263-6174.30.3.217.</w:t>
      </w:r>
    </w:p>
    <w:p w14:paraId="707CDB03"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(16) </w:t>
      </w:r>
      <w:r w:rsidRPr="00F60BD8">
        <w:rPr>
          <w:rFonts w:ascii="Calibri" w:hAnsi="Calibri" w:cs="Calibri"/>
          <w:noProof/>
          <w:sz w:val="20"/>
        </w:rPr>
        <w:tab/>
        <w:t xml:space="preserve">Qiu, H.; Lv, L.; Pan, B. C.; Zhang, Q. J.; Zhang, W. M.; Zhang, Q. X. Critical Review in Adsorption Kinetic Models. </w:t>
      </w:r>
      <w:r w:rsidRPr="00F60BD8">
        <w:rPr>
          <w:rFonts w:ascii="Calibri" w:hAnsi="Calibri" w:cs="Calibri"/>
          <w:i/>
          <w:iCs/>
          <w:noProof/>
          <w:sz w:val="20"/>
        </w:rPr>
        <w:t>J. Zhejiang Univ. Sci. A</w:t>
      </w:r>
      <w:r w:rsidRPr="00F60BD8">
        <w:rPr>
          <w:rFonts w:ascii="Calibri" w:hAnsi="Calibri" w:cs="Calibri"/>
          <w:noProof/>
          <w:sz w:val="20"/>
        </w:rPr>
        <w:t xml:space="preserve"> </w:t>
      </w:r>
      <w:r w:rsidRPr="00F60BD8">
        <w:rPr>
          <w:rFonts w:ascii="Calibri" w:hAnsi="Calibri" w:cs="Calibri"/>
          <w:b/>
          <w:bCs w:val="0"/>
          <w:noProof/>
          <w:sz w:val="20"/>
        </w:rPr>
        <w:t>2009</w:t>
      </w:r>
      <w:r w:rsidRPr="00F60BD8">
        <w:rPr>
          <w:rFonts w:ascii="Calibri" w:hAnsi="Calibri" w:cs="Calibri"/>
          <w:noProof/>
          <w:sz w:val="20"/>
        </w:rPr>
        <w:t xml:space="preserve">, </w:t>
      </w:r>
      <w:r w:rsidRPr="00F60BD8">
        <w:rPr>
          <w:rFonts w:ascii="Calibri" w:hAnsi="Calibri" w:cs="Calibri"/>
          <w:i/>
          <w:iCs/>
          <w:noProof/>
          <w:sz w:val="20"/>
        </w:rPr>
        <w:t>10</w:t>
      </w:r>
      <w:r w:rsidRPr="00F60BD8">
        <w:rPr>
          <w:rFonts w:ascii="Calibri" w:hAnsi="Calibri" w:cs="Calibri"/>
          <w:noProof/>
          <w:sz w:val="20"/>
        </w:rPr>
        <w:t xml:space="preserve"> (5), 716–724. https://doi.org/10.1631/jzus.A0820524.</w:t>
      </w:r>
    </w:p>
    <w:p w14:paraId="00EAFF99"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(17) </w:t>
      </w:r>
      <w:r w:rsidRPr="00F60BD8">
        <w:rPr>
          <w:rFonts w:ascii="Calibri" w:hAnsi="Calibri" w:cs="Calibri"/>
          <w:noProof/>
          <w:sz w:val="20"/>
        </w:rPr>
        <w:tab/>
        <w:t xml:space="preserve">Ollis, D. F. Kinetics of Photocatalyzed Reactions: Five Lessons Learned. </w:t>
      </w:r>
      <w:r w:rsidRPr="00F60BD8">
        <w:rPr>
          <w:rFonts w:ascii="Calibri" w:hAnsi="Calibri" w:cs="Calibri"/>
          <w:i/>
          <w:iCs/>
          <w:noProof/>
          <w:sz w:val="20"/>
        </w:rPr>
        <w:t>Front. Chem.</w:t>
      </w:r>
      <w:r w:rsidRPr="00F60BD8">
        <w:rPr>
          <w:rFonts w:ascii="Calibri" w:hAnsi="Calibri" w:cs="Calibri"/>
          <w:noProof/>
          <w:sz w:val="20"/>
        </w:rPr>
        <w:t xml:space="preserve"> </w:t>
      </w:r>
      <w:r w:rsidRPr="00F60BD8">
        <w:rPr>
          <w:rFonts w:ascii="Calibri" w:hAnsi="Calibri" w:cs="Calibri"/>
          <w:b/>
          <w:bCs w:val="0"/>
          <w:noProof/>
          <w:sz w:val="20"/>
        </w:rPr>
        <w:t>2018</w:t>
      </w:r>
      <w:r w:rsidRPr="00F60BD8">
        <w:rPr>
          <w:rFonts w:ascii="Calibri" w:hAnsi="Calibri" w:cs="Calibri"/>
          <w:noProof/>
          <w:sz w:val="20"/>
        </w:rPr>
        <w:t xml:space="preserve">, </w:t>
      </w:r>
      <w:r w:rsidRPr="00F60BD8">
        <w:rPr>
          <w:rFonts w:ascii="Calibri" w:hAnsi="Calibri" w:cs="Calibri"/>
          <w:i/>
          <w:iCs/>
          <w:noProof/>
          <w:sz w:val="20"/>
        </w:rPr>
        <w:t>6</w:t>
      </w:r>
      <w:r w:rsidRPr="00F60BD8">
        <w:rPr>
          <w:rFonts w:ascii="Calibri" w:hAnsi="Calibri" w:cs="Calibri"/>
          <w:noProof/>
          <w:sz w:val="20"/>
        </w:rPr>
        <w:t xml:space="preserve"> (378), 1–7. https://doi.org/10.3389/fchem.2018.00378.</w:t>
      </w:r>
    </w:p>
    <w:p w14:paraId="525C4DA6"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(18) </w:t>
      </w:r>
      <w:r w:rsidRPr="00F60BD8">
        <w:rPr>
          <w:rFonts w:ascii="Calibri" w:hAnsi="Calibri" w:cs="Calibri"/>
          <w:noProof/>
          <w:sz w:val="20"/>
        </w:rPr>
        <w:tab/>
        <w:t xml:space="preserve">Lützenkirchen, J.; Behra, P. On the Surface Precipitation Model for Cation Sorption at the (Hydr)Oxide Water Interface. </w:t>
      </w:r>
      <w:r w:rsidRPr="00F60BD8">
        <w:rPr>
          <w:rFonts w:ascii="Calibri" w:hAnsi="Calibri" w:cs="Calibri"/>
          <w:i/>
          <w:iCs/>
          <w:noProof/>
          <w:sz w:val="20"/>
        </w:rPr>
        <w:t>Aquat. Geochemistry</w:t>
      </w:r>
      <w:r w:rsidRPr="00F60BD8">
        <w:rPr>
          <w:rFonts w:ascii="Calibri" w:hAnsi="Calibri" w:cs="Calibri"/>
          <w:noProof/>
          <w:sz w:val="20"/>
        </w:rPr>
        <w:t xml:space="preserve"> </w:t>
      </w:r>
      <w:r w:rsidRPr="00F60BD8">
        <w:rPr>
          <w:rFonts w:ascii="Calibri" w:hAnsi="Calibri" w:cs="Calibri"/>
          <w:b/>
          <w:bCs w:val="0"/>
          <w:noProof/>
          <w:sz w:val="20"/>
        </w:rPr>
        <w:t>1995</w:t>
      </w:r>
      <w:r w:rsidRPr="00F60BD8">
        <w:rPr>
          <w:rFonts w:ascii="Calibri" w:hAnsi="Calibri" w:cs="Calibri"/>
          <w:noProof/>
          <w:sz w:val="20"/>
        </w:rPr>
        <w:t xml:space="preserve">, </w:t>
      </w:r>
      <w:r w:rsidRPr="00F60BD8">
        <w:rPr>
          <w:rFonts w:ascii="Calibri" w:hAnsi="Calibri" w:cs="Calibri"/>
          <w:i/>
          <w:iCs/>
          <w:noProof/>
          <w:sz w:val="20"/>
        </w:rPr>
        <w:t>1</w:t>
      </w:r>
      <w:r w:rsidRPr="00F60BD8">
        <w:rPr>
          <w:rFonts w:ascii="Calibri" w:hAnsi="Calibri" w:cs="Calibri"/>
          <w:noProof/>
          <w:sz w:val="20"/>
        </w:rPr>
        <w:t xml:space="preserve"> (4), 375–397. https://doi.org/10.1007/BF00702740.</w:t>
      </w:r>
    </w:p>
    <w:p w14:paraId="3A1BB492"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(19) </w:t>
      </w:r>
      <w:r w:rsidRPr="00F60BD8">
        <w:rPr>
          <w:rFonts w:ascii="Calibri" w:hAnsi="Calibri" w:cs="Calibri"/>
          <w:noProof/>
          <w:sz w:val="20"/>
        </w:rPr>
        <w:tab/>
        <w:t xml:space="preserve">Bullen, J. C.; Saleesongsom, S. Adsorption Kinetics Data Sets, Compiled from the Literature. As Used in the Research Article “A Revised Pseudo-Second Order Kinetic Model for Adsorption, Sensitive to Changes in Adsorbate and Adsorbent Concentrations.” </w:t>
      </w:r>
      <w:r w:rsidRPr="00F60BD8">
        <w:rPr>
          <w:rFonts w:ascii="Calibri" w:hAnsi="Calibri" w:cs="Calibri"/>
          <w:i/>
          <w:iCs/>
          <w:noProof/>
          <w:sz w:val="20"/>
        </w:rPr>
        <w:t>Zenodo</w:t>
      </w:r>
      <w:r w:rsidRPr="00F60BD8">
        <w:rPr>
          <w:rFonts w:ascii="Calibri" w:hAnsi="Calibri" w:cs="Calibri"/>
          <w:noProof/>
          <w:sz w:val="20"/>
        </w:rPr>
        <w:t>. January 15, 2021. https://doi.org/10.5281/ZENODO.4443102.</w:t>
      </w:r>
    </w:p>
    <w:p w14:paraId="53EB0D1F" w14:textId="5506B1AF"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(20) </w:t>
      </w:r>
      <w:r w:rsidRPr="00F60BD8">
        <w:rPr>
          <w:rFonts w:ascii="Calibri" w:hAnsi="Calibri" w:cs="Calibri"/>
          <w:noProof/>
          <w:sz w:val="20"/>
        </w:rPr>
        <w:tab/>
        <w:t xml:space="preserve">Atkins, P.; Paula, J. De. </w:t>
      </w:r>
      <w:r w:rsidRPr="00F60BD8">
        <w:rPr>
          <w:rFonts w:ascii="Calibri" w:hAnsi="Calibri" w:cs="Calibri"/>
          <w:i/>
          <w:iCs/>
          <w:noProof/>
          <w:sz w:val="20"/>
        </w:rPr>
        <w:t>Atkins’ Physical Chemistry</w:t>
      </w:r>
      <w:r w:rsidRPr="00F60BD8">
        <w:rPr>
          <w:rFonts w:ascii="Calibri" w:hAnsi="Calibri" w:cs="Calibri"/>
          <w:noProof/>
          <w:sz w:val="20"/>
        </w:rPr>
        <w:t>, 9th ed.; Oxford University Press, 2009</w:t>
      </w:r>
      <w:r>
        <w:rPr>
          <w:rFonts w:ascii="Calibri" w:hAnsi="Calibri" w:cs="Calibri"/>
          <w:noProof/>
          <w:sz w:val="20"/>
        </w:rPr>
        <w:t>,</w:t>
      </w:r>
      <w:r w:rsidRPr="00F60BD8">
        <w:rPr>
          <w:rFonts w:ascii="Calibri" w:hAnsi="Calibri" w:cs="Calibri"/>
          <w:noProof/>
          <w:color w:val="FF0000"/>
          <w:sz w:val="20"/>
        </w:rPr>
        <w:t xml:space="preserve"> pp. 783-827</w:t>
      </w:r>
      <w:r w:rsidRPr="00F60BD8">
        <w:rPr>
          <w:rFonts w:ascii="Calibri" w:hAnsi="Calibri" w:cs="Calibri"/>
          <w:noProof/>
          <w:sz w:val="20"/>
        </w:rPr>
        <w:t>. https://doi.org/10.1021/ed056pA260.1.</w:t>
      </w:r>
    </w:p>
    <w:p w14:paraId="7B632E0F"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(21) </w:t>
      </w:r>
      <w:r w:rsidRPr="00F60BD8">
        <w:rPr>
          <w:rFonts w:ascii="Calibri" w:hAnsi="Calibri" w:cs="Calibri"/>
          <w:noProof/>
          <w:sz w:val="20"/>
        </w:rPr>
        <w:tab/>
        <w:t xml:space="preserve">Hu, W.; Xie, J.; Chau, H. W.; Si, B. C. Evaluation of Parameter Uncertainties in Nonlinear Regression Using Microsoft Excel Spreadsheet. </w:t>
      </w:r>
      <w:r w:rsidRPr="00F60BD8">
        <w:rPr>
          <w:rFonts w:ascii="Calibri" w:hAnsi="Calibri" w:cs="Calibri"/>
          <w:i/>
          <w:iCs/>
          <w:noProof/>
          <w:sz w:val="20"/>
        </w:rPr>
        <w:t>Environ. Syst. Res.</w:t>
      </w:r>
      <w:r w:rsidRPr="00F60BD8">
        <w:rPr>
          <w:rFonts w:ascii="Calibri" w:hAnsi="Calibri" w:cs="Calibri"/>
          <w:noProof/>
          <w:sz w:val="20"/>
        </w:rPr>
        <w:t xml:space="preserve"> </w:t>
      </w:r>
      <w:r w:rsidRPr="00F60BD8">
        <w:rPr>
          <w:rFonts w:ascii="Calibri" w:hAnsi="Calibri" w:cs="Calibri"/>
          <w:b/>
          <w:bCs w:val="0"/>
          <w:noProof/>
          <w:sz w:val="20"/>
        </w:rPr>
        <w:t>2015</w:t>
      </w:r>
      <w:r w:rsidRPr="00F60BD8">
        <w:rPr>
          <w:rFonts w:ascii="Calibri" w:hAnsi="Calibri" w:cs="Calibri"/>
          <w:noProof/>
          <w:sz w:val="20"/>
        </w:rPr>
        <w:t xml:space="preserve">, </w:t>
      </w:r>
      <w:r w:rsidRPr="00F60BD8">
        <w:rPr>
          <w:rFonts w:ascii="Calibri" w:hAnsi="Calibri" w:cs="Calibri"/>
          <w:i/>
          <w:iCs/>
          <w:noProof/>
          <w:sz w:val="20"/>
        </w:rPr>
        <w:t>4</w:t>
      </w:r>
      <w:r w:rsidRPr="00F60BD8">
        <w:rPr>
          <w:rFonts w:ascii="Calibri" w:hAnsi="Calibri" w:cs="Calibri"/>
          <w:noProof/>
          <w:sz w:val="20"/>
        </w:rPr>
        <w:t xml:space="preserve"> (1). https://doi.org/10.1186/s40068-015-0031-4.</w:t>
      </w:r>
    </w:p>
    <w:p w14:paraId="26EAE073"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(22) </w:t>
      </w:r>
      <w:r w:rsidRPr="00F60BD8">
        <w:rPr>
          <w:rFonts w:ascii="Calibri" w:hAnsi="Calibri" w:cs="Calibri"/>
          <w:noProof/>
          <w:sz w:val="20"/>
        </w:rPr>
        <w:tab/>
        <w:t xml:space="preserve">Kirby, M. E.; Bullen, J. C.; Hanif, M. D.; Heiba, H. F.; Liu, F.; Northover, G. H. R.; Resongles, E.; Weiss, D. J. Determining the Effect of PH on Iron Oxidation Kinetics in Aquatic Environments: Exploring a Fundamental Chemical Reaction to Grasp the Significant Ecosystem Implications of Iron Bioavailability. </w:t>
      </w:r>
      <w:r w:rsidRPr="00F60BD8">
        <w:rPr>
          <w:rFonts w:ascii="Calibri" w:hAnsi="Calibri" w:cs="Calibri"/>
          <w:i/>
          <w:iCs/>
          <w:noProof/>
          <w:sz w:val="20"/>
        </w:rPr>
        <w:t>J. Chem. Educ.</w:t>
      </w:r>
      <w:r w:rsidRPr="00F60BD8">
        <w:rPr>
          <w:rFonts w:ascii="Calibri" w:hAnsi="Calibri" w:cs="Calibri"/>
          <w:noProof/>
          <w:sz w:val="20"/>
        </w:rPr>
        <w:t xml:space="preserve"> </w:t>
      </w:r>
      <w:r w:rsidRPr="00F60BD8">
        <w:rPr>
          <w:rFonts w:ascii="Calibri" w:hAnsi="Calibri" w:cs="Calibri"/>
          <w:b/>
          <w:bCs w:val="0"/>
          <w:noProof/>
          <w:sz w:val="20"/>
        </w:rPr>
        <w:t>2019</w:t>
      </w:r>
      <w:r w:rsidRPr="00F60BD8">
        <w:rPr>
          <w:rFonts w:ascii="Calibri" w:hAnsi="Calibri" w:cs="Calibri"/>
          <w:noProof/>
          <w:sz w:val="20"/>
        </w:rPr>
        <w:t>. https://doi.org/10.1021/acs.jchemed.8b01036.</w:t>
      </w:r>
    </w:p>
    <w:p w14:paraId="1BB15DF1"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(23) </w:t>
      </w:r>
      <w:r w:rsidRPr="00F60BD8">
        <w:rPr>
          <w:rFonts w:ascii="Calibri" w:hAnsi="Calibri" w:cs="Calibri"/>
          <w:noProof/>
          <w:sz w:val="20"/>
        </w:rPr>
        <w:tab/>
        <w:t xml:space="preserve">Yang, H.; Yu, H.; Fang, J.; Sun, J.; Xia, J.; Xie, W.; Wei, S.; Cui, Q.; Sun, C.; Wu, T. Mesoporous Layered Graphene Oxide/Fe3O4/C3N3S3 Polymer Hybrids for Rapid Removal of Pb2+ and Cd2+ from Water. </w:t>
      </w:r>
      <w:r w:rsidRPr="00F60BD8">
        <w:rPr>
          <w:rFonts w:ascii="Calibri" w:hAnsi="Calibri" w:cs="Calibri"/>
          <w:i/>
          <w:iCs/>
          <w:noProof/>
          <w:sz w:val="20"/>
        </w:rPr>
        <w:t>ACS Omega</w:t>
      </w:r>
      <w:r w:rsidRPr="00F60BD8">
        <w:rPr>
          <w:rFonts w:ascii="Calibri" w:hAnsi="Calibri" w:cs="Calibri"/>
          <w:noProof/>
          <w:sz w:val="20"/>
        </w:rPr>
        <w:t xml:space="preserve"> </w:t>
      </w:r>
      <w:r w:rsidRPr="00F60BD8">
        <w:rPr>
          <w:rFonts w:ascii="Calibri" w:hAnsi="Calibri" w:cs="Calibri"/>
          <w:b/>
          <w:bCs w:val="0"/>
          <w:noProof/>
          <w:sz w:val="20"/>
        </w:rPr>
        <w:t>2019</w:t>
      </w:r>
      <w:r w:rsidRPr="00F60BD8">
        <w:rPr>
          <w:rFonts w:ascii="Calibri" w:hAnsi="Calibri" w:cs="Calibri"/>
          <w:noProof/>
          <w:sz w:val="20"/>
        </w:rPr>
        <w:t xml:space="preserve">, </w:t>
      </w:r>
      <w:r w:rsidRPr="00F60BD8">
        <w:rPr>
          <w:rFonts w:ascii="Calibri" w:hAnsi="Calibri" w:cs="Calibri"/>
          <w:i/>
          <w:iCs/>
          <w:noProof/>
          <w:sz w:val="20"/>
        </w:rPr>
        <w:t>4</w:t>
      </w:r>
      <w:r w:rsidRPr="00F60BD8">
        <w:rPr>
          <w:rFonts w:ascii="Calibri" w:hAnsi="Calibri" w:cs="Calibri"/>
          <w:noProof/>
          <w:sz w:val="20"/>
        </w:rPr>
        <w:t xml:space="preserve"> (22), 19683–19692. https://doi.org/10.1021/acsomega.9b02347.</w:t>
      </w:r>
    </w:p>
    <w:p w14:paraId="7E6DA8EF"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(24) </w:t>
      </w:r>
      <w:r w:rsidRPr="00F60BD8">
        <w:rPr>
          <w:rFonts w:ascii="Calibri" w:hAnsi="Calibri" w:cs="Calibri"/>
          <w:noProof/>
          <w:sz w:val="20"/>
        </w:rPr>
        <w:tab/>
        <w:t xml:space="preserve">Yang, X. Y.; Al-Duri, B. Application of Branched Pore Diffusion Model in the Adsorption of Reactive Dyes on Activated Carbon. </w:t>
      </w:r>
      <w:r w:rsidRPr="00F60BD8">
        <w:rPr>
          <w:rFonts w:ascii="Calibri" w:hAnsi="Calibri" w:cs="Calibri"/>
          <w:i/>
          <w:iCs/>
          <w:noProof/>
          <w:sz w:val="20"/>
        </w:rPr>
        <w:t>Chem. Eng. J.</w:t>
      </w:r>
      <w:r w:rsidRPr="00F60BD8">
        <w:rPr>
          <w:rFonts w:ascii="Calibri" w:hAnsi="Calibri" w:cs="Calibri"/>
          <w:noProof/>
          <w:sz w:val="20"/>
        </w:rPr>
        <w:t xml:space="preserve"> </w:t>
      </w:r>
      <w:r w:rsidRPr="00F60BD8">
        <w:rPr>
          <w:rFonts w:ascii="Calibri" w:hAnsi="Calibri" w:cs="Calibri"/>
          <w:b/>
          <w:bCs w:val="0"/>
          <w:noProof/>
          <w:sz w:val="20"/>
        </w:rPr>
        <w:t>2001</w:t>
      </w:r>
      <w:r w:rsidRPr="00F60BD8">
        <w:rPr>
          <w:rFonts w:ascii="Calibri" w:hAnsi="Calibri" w:cs="Calibri"/>
          <w:noProof/>
          <w:sz w:val="20"/>
        </w:rPr>
        <w:t xml:space="preserve">, </w:t>
      </w:r>
      <w:r w:rsidRPr="00F60BD8">
        <w:rPr>
          <w:rFonts w:ascii="Calibri" w:hAnsi="Calibri" w:cs="Calibri"/>
          <w:i/>
          <w:iCs/>
          <w:noProof/>
          <w:sz w:val="20"/>
        </w:rPr>
        <w:t>83</w:t>
      </w:r>
      <w:r w:rsidRPr="00F60BD8">
        <w:rPr>
          <w:rFonts w:ascii="Calibri" w:hAnsi="Calibri" w:cs="Calibri"/>
          <w:noProof/>
          <w:sz w:val="20"/>
        </w:rPr>
        <w:t xml:space="preserve"> (1), 15–23. https://doi.org/10.1016/S1385-8947(00)00233-3.</w:t>
      </w:r>
    </w:p>
    <w:p w14:paraId="4FF6D67A"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(25) </w:t>
      </w:r>
      <w:r w:rsidRPr="00F60BD8">
        <w:rPr>
          <w:rFonts w:ascii="Calibri" w:hAnsi="Calibri" w:cs="Calibri"/>
          <w:noProof/>
          <w:sz w:val="20"/>
        </w:rPr>
        <w:tab/>
        <w:t xml:space="preserve">Liu, Y.; Shen, L. From Langmuir Kinetics to First- and Second-Order Rate Equations for Adsorption. </w:t>
      </w:r>
      <w:r w:rsidRPr="00F60BD8">
        <w:rPr>
          <w:rFonts w:ascii="Calibri" w:hAnsi="Calibri" w:cs="Calibri"/>
          <w:i/>
          <w:iCs/>
          <w:noProof/>
          <w:sz w:val="20"/>
        </w:rPr>
        <w:t>Langmuir</w:t>
      </w:r>
      <w:r w:rsidRPr="00F60BD8">
        <w:rPr>
          <w:rFonts w:ascii="Calibri" w:hAnsi="Calibri" w:cs="Calibri"/>
          <w:noProof/>
          <w:sz w:val="20"/>
        </w:rPr>
        <w:t xml:space="preserve"> </w:t>
      </w:r>
      <w:r w:rsidRPr="00F60BD8">
        <w:rPr>
          <w:rFonts w:ascii="Calibri" w:hAnsi="Calibri" w:cs="Calibri"/>
          <w:b/>
          <w:bCs w:val="0"/>
          <w:noProof/>
          <w:sz w:val="20"/>
        </w:rPr>
        <w:t>2008</w:t>
      </w:r>
      <w:r w:rsidRPr="00F60BD8">
        <w:rPr>
          <w:rFonts w:ascii="Calibri" w:hAnsi="Calibri" w:cs="Calibri"/>
          <w:noProof/>
          <w:sz w:val="20"/>
        </w:rPr>
        <w:t xml:space="preserve">, </w:t>
      </w:r>
      <w:r w:rsidRPr="00F60BD8">
        <w:rPr>
          <w:rFonts w:ascii="Calibri" w:hAnsi="Calibri" w:cs="Calibri"/>
          <w:i/>
          <w:iCs/>
          <w:noProof/>
          <w:sz w:val="20"/>
        </w:rPr>
        <w:t>24</w:t>
      </w:r>
      <w:r w:rsidRPr="00F60BD8">
        <w:rPr>
          <w:rFonts w:ascii="Calibri" w:hAnsi="Calibri" w:cs="Calibri"/>
          <w:noProof/>
          <w:sz w:val="20"/>
        </w:rPr>
        <w:t xml:space="preserve"> (20), 11625–11630. https://doi.org/10.1021/la801839b.</w:t>
      </w:r>
    </w:p>
    <w:p w14:paraId="4B8EF7B0"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(26) </w:t>
      </w:r>
      <w:r w:rsidRPr="00F60BD8">
        <w:rPr>
          <w:rFonts w:ascii="Calibri" w:hAnsi="Calibri" w:cs="Calibri"/>
          <w:noProof/>
          <w:sz w:val="20"/>
        </w:rPr>
        <w:tab/>
        <w:t xml:space="preserve">Zhu, Q.; Moggridge, G. D.; D’Agostino, C. Adsorption of Pyridine from Aqueous Solutions by Polymeric Adsorbents MN 200 and MN 500. Part 2: Kinetics and Diffusion Analysis. </w:t>
      </w:r>
      <w:r w:rsidRPr="00F60BD8">
        <w:rPr>
          <w:rFonts w:ascii="Calibri" w:hAnsi="Calibri" w:cs="Calibri"/>
          <w:i/>
          <w:iCs/>
          <w:noProof/>
          <w:sz w:val="20"/>
        </w:rPr>
        <w:t>Chem. Eng. J.</w:t>
      </w:r>
      <w:r w:rsidRPr="00F60BD8">
        <w:rPr>
          <w:rFonts w:ascii="Calibri" w:hAnsi="Calibri" w:cs="Calibri"/>
          <w:noProof/>
          <w:sz w:val="20"/>
        </w:rPr>
        <w:t xml:space="preserve"> </w:t>
      </w:r>
      <w:r w:rsidRPr="00F60BD8">
        <w:rPr>
          <w:rFonts w:ascii="Calibri" w:hAnsi="Calibri" w:cs="Calibri"/>
          <w:b/>
          <w:bCs w:val="0"/>
          <w:noProof/>
          <w:sz w:val="20"/>
        </w:rPr>
        <w:t>2016</w:t>
      </w:r>
      <w:r w:rsidRPr="00F60BD8">
        <w:rPr>
          <w:rFonts w:ascii="Calibri" w:hAnsi="Calibri" w:cs="Calibri"/>
          <w:noProof/>
          <w:sz w:val="20"/>
        </w:rPr>
        <w:t xml:space="preserve">, </w:t>
      </w:r>
      <w:r w:rsidRPr="00F60BD8">
        <w:rPr>
          <w:rFonts w:ascii="Calibri" w:hAnsi="Calibri" w:cs="Calibri"/>
          <w:i/>
          <w:iCs/>
          <w:noProof/>
          <w:sz w:val="20"/>
        </w:rPr>
        <w:t>306</w:t>
      </w:r>
      <w:r w:rsidRPr="00F60BD8">
        <w:rPr>
          <w:rFonts w:ascii="Calibri" w:hAnsi="Calibri" w:cs="Calibri"/>
          <w:noProof/>
          <w:sz w:val="20"/>
        </w:rPr>
        <w:t>, 1223–1233. https://doi.org/10.1016/j.cej.2016.07.087.</w:t>
      </w:r>
    </w:p>
    <w:p w14:paraId="46C0EDF5"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(27) </w:t>
      </w:r>
      <w:r w:rsidRPr="00F60BD8">
        <w:rPr>
          <w:rFonts w:ascii="Calibri" w:hAnsi="Calibri" w:cs="Calibri"/>
          <w:noProof/>
          <w:sz w:val="20"/>
        </w:rPr>
        <w:tab/>
        <w:t xml:space="preserve">Yang, K.; Li, Y.; Zheng, H.; Luan, X.; Li, H.; Wang, Y.; Du, Q.; Sui, K.; Li, H.; Xia, Y. Adsorption of Congo Red with Hydrothermal Treated Shiitake Mushroom. </w:t>
      </w:r>
      <w:r w:rsidRPr="00F60BD8">
        <w:rPr>
          <w:rFonts w:ascii="Calibri" w:hAnsi="Calibri" w:cs="Calibri"/>
          <w:i/>
          <w:iCs/>
          <w:noProof/>
          <w:sz w:val="20"/>
        </w:rPr>
        <w:t>Mater. Res. Express</w:t>
      </w:r>
      <w:r w:rsidRPr="00F60BD8">
        <w:rPr>
          <w:rFonts w:ascii="Calibri" w:hAnsi="Calibri" w:cs="Calibri"/>
          <w:noProof/>
          <w:sz w:val="20"/>
        </w:rPr>
        <w:t xml:space="preserve"> </w:t>
      </w:r>
      <w:r w:rsidRPr="00F60BD8">
        <w:rPr>
          <w:rFonts w:ascii="Calibri" w:hAnsi="Calibri" w:cs="Calibri"/>
          <w:b/>
          <w:bCs w:val="0"/>
          <w:noProof/>
          <w:sz w:val="20"/>
        </w:rPr>
        <w:t>2019</w:t>
      </w:r>
      <w:r w:rsidRPr="00F60BD8">
        <w:rPr>
          <w:rFonts w:ascii="Calibri" w:hAnsi="Calibri" w:cs="Calibri"/>
          <w:noProof/>
          <w:sz w:val="20"/>
        </w:rPr>
        <w:t xml:space="preserve">, </w:t>
      </w:r>
      <w:r w:rsidRPr="00F60BD8">
        <w:rPr>
          <w:rFonts w:ascii="Calibri" w:hAnsi="Calibri" w:cs="Calibri"/>
          <w:i/>
          <w:iCs/>
          <w:noProof/>
          <w:sz w:val="20"/>
        </w:rPr>
        <w:t>7</w:t>
      </w:r>
      <w:r w:rsidRPr="00F60BD8">
        <w:rPr>
          <w:rFonts w:ascii="Calibri" w:hAnsi="Calibri" w:cs="Calibri"/>
          <w:noProof/>
          <w:sz w:val="20"/>
        </w:rPr>
        <w:t xml:space="preserve"> (1). https://doi.org/10.1088/2053-1591/ab5ff3.</w:t>
      </w:r>
    </w:p>
    <w:p w14:paraId="7275B3BB"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(28) </w:t>
      </w:r>
      <w:r w:rsidRPr="00F60BD8">
        <w:rPr>
          <w:rFonts w:ascii="Calibri" w:hAnsi="Calibri" w:cs="Calibri"/>
          <w:noProof/>
          <w:sz w:val="20"/>
        </w:rPr>
        <w:tab/>
        <w:t xml:space="preserve">Yang, H.; Wang, Y.; Bender, J.; Xu, S. Removal of Arsenate and Chromate by Lanthanum-Modified Granular Ceramic Material: The Critical Role of Coating Temperature. </w:t>
      </w:r>
      <w:r w:rsidRPr="00F60BD8">
        <w:rPr>
          <w:rFonts w:ascii="Calibri" w:hAnsi="Calibri" w:cs="Calibri"/>
          <w:i/>
          <w:iCs/>
          <w:noProof/>
          <w:sz w:val="20"/>
        </w:rPr>
        <w:t>Sci. Rep.</w:t>
      </w:r>
      <w:r w:rsidRPr="00F60BD8">
        <w:rPr>
          <w:rFonts w:ascii="Calibri" w:hAnsi="Calibri" w:cs="Calibri"/>
          <w:noProof/>
          <w:sz w:val="20"/>
        </w:rPr>
        <w:t xml:space="preserve"> </w:t>
      </w:r>
      <w:r w:rsidRPr="00F60BD8">
        <w:rPr>
          <w:rFonts w:ascii="Calibri" w:hAnsi="Calibri" w:cs="Calibri"/>
          <w:b/>
          <w:bCs w:val="0"/>
          <w:noProof/>
          <w:sz w:val="20"/>
        </w:rPr>
        <w:t>2019</w:t>
      </w:r>
      <w:r w:rsidRPr="00F60BD8">
        <w:rPr>
          <w:rFonts w:ascii="Calibri" w:hAnsi="Calibri" w:cs="Calibri"/>
          <w:noProof/>
          <w:sz w:val="20"/>
        </w:rPr>
        <w:t xml:space="preserve">, </w:t>
      </w:r>
      <w:r w:rsidRPr="00F60BD8">
        <w:rPr>
          <w:rFonts w:ascii="Calibri" w:hAnsi="Calibri" w:cs="Calibri"/>
          <w:i/>
          <w:iCs/>
          <w:noProof/>
          <w:sz w:val="20"/>
        </w:rPr>
        <w:t>9</w:t>
      </w:r>
      <w:r w:rsidRPr="00F60BD8">
        <w:rPr>
          <w:rFonts w:ascii="Calibri" w:hAnsi="Calibri" w:cs="Calibri"/>
          <w:noProof/>
          <w:sz w:val="20"/>
        </w:rPr>
        <w:t xml:space="preserve"> (1), 1–12. https://doi.org/10.1038/s41598-019-44165-8.</w:t>
      </w:r>
    </w:p>
    <w:p w14:paraId="287D0412"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(29) </w:t>
      </w:r>
      <w:r w:rsidRPr="00F60BD8">
        <w:rPr>
          <w:rFonts w:ascii="Calibri" w:hAnsi="Calibri" w:cs="Calibri"/>
          <w:noProof/>
          <w:sz w:val="20"/>
        </w:rPr>
        <w:tab/>
        <w:t xml:space="preserve">Mohamed, S. F.; Al-Bakri, I. M.; El Sayed, O. H. Biosorption of Lead (II) by Pre-Treated Biomass of Marine Brown Algae Sargassum Latifolium and Sargassum Asperifolium. </w:t>
      </w:r>
      <w:r w:rsidRPr="00F60BD8">
        <w:rPr>
          <w:rFonts w:ascii="Calibri" w:hAnsi="Calibri" w:cs="Calibri"/>
          <w:i/>
          <w:iCs/>
          <w:noProof/>
          <w:sz w:val="20"/>
        </w:rPr>
        <w:t>Biosci. Biotechnol. Res. Asia</w:t>
      </w:r>
      <w:r w:rsidRPr="00F60BD8">
        <w:rPr>
          <w:rFonts w:ascii="Calibri" w:hAnsi="Calibri" w:cs="Calibri"/>
          <w:noProof/>
          <w:sz w:val="20"/>
        </w:rPr>
        <w:t xml:space="preserve"> </w:t>
      </w:r>
      <w:r w:rsidRPr="00F60BD8">
        <w:rPr>
          <w:rFonts w:ascii="Calibri" w:hAnsi="Calibri" w:cs="Calibri"/>
          <w:b/>
          <w:bCs w:val="0"/>
          <w:noProof/>
          <w:sz w:val="20"/>
        </w:rPr>
        <w:t>2007</w:t>
      </w:r>
      <w:r w:rsidRPr="00F60BD8">
        <w:rPr>
          <w:rFonts w:ascii="Calibri" w:hAnsi="Calibri" w:cs="Calibri"/>
          <w:noProof/>
          <w:sz w:val="20"/>
        </w:rPr>
        <w:t xml:space="preserve">, </w:t>
      </w:r>
      <w:r w:rsidRPr="00F60BD8">
        <w:rPr>
          <w:rFonts w:ascii="Calibri" w:hAnsi="Calibri" w:cs="Calibri"/>
          <w:i/>
          <w:iCs/>
          <w:noProof/>
          <w:sz w:val="20"/>
        </w:rPr>
        <w:t>4</w:t>
      </w:r>
      <w:r w:rsidRPr="00F60BD8">
        <w:rPr>
          <w:rFonts w:ascii="Calibri" w:hAnsi="Calibri" w:cs="Calibri"/>
          <w:noProof/>
          <w:sz w:val="20"/>
        </w:rPr>
        <w:t xml:space="preserve"> (2), 341–350.</w:t>
      </w:r>
    </w:p>
    <w:p w14:paraId="5F11F92F"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(30) </w:t>
      </w:r>
      <w:r w:rsidRPr="00F60BD8">
        <w:rPr>
          <w:rFonts w:ascii="Calibri" w:hAnsi="Calibri" w:cs="Calibri"/>
          <w:noProof/>
          <w:sz w:val="20"/>
        </w:rPr>
        <w:tab/>
        <w:t xml:space="preserve">Drenkova-tuhtan, A.; Mandel, K.; Meyer, C.; Schneider, M. Removal and Recovery of Phosphate from Wastewater with Reusable Magnetically Separable Particles. </w:t>
      </w:r>
      <w:r w:rsidRPr="00F60BD8">
        <w:rPr>
          <w:rFonts w:ascii="Calibri" w:hAnsi="Calibri" w:cs="Calibri"/>
          <w:i/>
          <w:iCs/>
          <w:noProof/>
          <w:sz w:val="20"/>
        </w:rPr>
        <w:t>IWA Spec. Conf. Nutr. Remov. Recover. Mov. Innov. into Pract.</w:t>
      </w:r>
      <w:r w:rsidRPr="00F60BD8">
        <w:rPr>
          <w:rFonts w:ascii="Calibri" w:hAnsi="Calibri" w:cs="Calibri"/>
          <w:noProof/>
          <w:sz w:val="20"/>
        </w:rPr>
        <w:t xml:space="preserve"> </w:t>
      </w:r>
      <w:r w:rsidRPr="00F60BD8">
        <w:rPr>
          <w:rFonts w:ascii="Calibri" w:hAnsi="Calibri" w:cs="Calibri"/>
          <w:b/>
          <w:bCs w:val="0"/>
          <w:noProof/>
          <w:sz w:val="20"/>
        </w:rPr>
        <w:t>2015</w:t>
      </w:r>
      <w:r w:rsidRPr="00F60BD8">
        <w:rPr>
          <w:rFonts w:ascii="Calibri" w:hAnsi="Calibri" w:cs="Calibri"/>
          <w:noProof/>
          <w:sz w:val="20"/>
        </w:rPr>
        <w:t>, No. May. https://doi.org/10.13140/RG.2.1.1260.8721.</w:t>
      </w:r>
    </w:p>
    <w:p w14:paraId="4F916753"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(31) </w:t>
      </w:r>
      <w:r w:rsidRPr="00F60BD8">
        <w:rPr>
          <w:rFonts w:ascii="Calibri" w:hAnsi="Calibri" w:cs="Calibri"/>
          <w:noProof/>
          <w:sz w:val="20"/>
        </w:rPr>
        <w:tab/>
        <w:t xml:space="preserve">Liu, J.; Wu, X.; Hu, Y.; Dai, C.; Peng, Q.; Liang, D. Effects of Cu(II) on the Adsorption Behaviors of Cr(III) and Cr(VI) onto Kaolin. </w:t>
      </w:r>
      <w:r w:rsidRPr="00F60BD8">
        <w:rPr>
          <w:rFonts w:ascii="Calibri" w:hAnsi="Calibri" w:cs="Calibri"/>
          <w:i/>
          <w:iCs/>
          <w:noProof/>
          <w:sz w:val="20"/>
        </w:rPr>
        <w:t>J. Chem.</w:t>
      </w:r>
      <w:r w:rsidRPr="00F60BD8">
        <w:rPr>
          <w:rFonts w:ascii="Calibri" w:hAnsi="Calibri" w:cs="Calibri"/>
          <w:noProof/>
          <w:sz w:val="20"/>
        </w:rPr>
        <w:t xml:space="preserve"> </w:t>
      </w:r>
      <w:r w:rsidRPr="00F60BD8">
        <w:rPr>
          <w:rFonts w:ascii="Calibri" w:hAnsi="Calibri" w:cs="Calibri"/>
          <w:b/>
          <w:bCs w:val="0"/>
          <w:noProof/>
          <w:sz w:val="20"/>
        </w:rPr>
        <w:t>2016</w:t>
      </w:r>
      <w:r w:rsidRPr="00F60BD8">
        <w:rPr>
          <w:rFonts w:ascii="Calibri" w:hAnsi="Calibri" w:cs="Calibri"/>
          <w:noProof/>
          <w:sz w:val="20"/>
        </w:rPr>
        <w:t xml:space="preserve">, </w:t>
      </w:r>
      <w:r w:rsidRPr="00F60BD8">
        <w:rPr>
          <w:rFonts w:ascii="Calibri" w:hAnsi="Calibri" w:cs="Calibri"/>
          <w:i/>
          <w:iCs/>
          <w:noProof/>
          <w:sz w:val="20"/>
        </w:rPr>
        <w:t>2016</w:t>
      </w:r>
      <w:r w:rsidRPr="00F60BD8">
        <w:rPr>
          <w:rFonts w:ascii="Calibri" w:hAnsi="Calibri" w:cs="Calibri"/>
          <w:noProof/>
          <w:sz w:val="20"/>
        </w:rPr>
        <w:t xml:space="preserve"> (Vi). https://doi.org/10.1155/2016/3069754.</w:t>
      </w:r>
    </w:p>
    <w:p w14:paraId="1835C088"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(32) </w:t>
      </w:r>
      <w:r w:rsidRPr="00F60BD8">
        <w:rPr>
          <w:rFonts w:ascii="Calibri" w:hAnsi="Calibri" w:cs="Calibri"/>
          <w:noProof/>
          <w:sz w:val="20"/>
        </w:rPr>
        <w:tab/>
        <w:t xml:space="preserve">Örnek, A.; Özacar, M.; Şengil, I. A. Adsorption of Lead onto Formaldehyde or Sulphuric Acid Treated Acorn Waste: Equilibrium and Kinetic Studies. </w:t>
      </w:r>
      <w:r w:rsidRPr="00F60BD8">
        <w:rPr>
          <w:rFonts w:ascii="Calibri" w:hAnsi="Calibri" w:cs="Calibri"/>
          <w:i/>
          <w:iCs/>
          <w:noProof/>
          <w:sz w:val="20"/>
        </w:rPr>
        <w:t>Biochem. Eng. J.</w:t>
      </w:r>
      <w:r w:rsidRPr="00F60BD8">
        <w:rPr>
          <w:rFonts w:ascii="Calibri" w:hAnsi="Calibri" w:cs="Calibri"/>
          <w:noProof/>
          <w:sz w:val="20"/>
        </w:rPr>
        <w:t xml:space="preserve"> </w:t>
      </w:r>
      <w:r w:rsidRPr="00F60BD8">
        <w:rPr>
          <w:rFonts w:ascii="Calibri" w:hAnsi="Calibri" w:cs="Calibri"/>
          <w:b/>
          <w:bCs w:val="0"/>
          <w:noProof/>
          <w:sz w:val="20"/>
        </w:rPr>
        <w:t>2007</w:t>
      </w:r>
      <w:r w:rsidRPr="00F60BD8">
        <w:rPr>
          <w:rFonts w:ascii="Calibri" w:hAnsi="Calibri" w:cs="Calibri"/>
          <w:noProof/>
          <w:sz w:val="20"/>
        </w:rPr>
        <w:t xml:space="preserve">, </w:t>
      </w:r>
      <w:r w:rsidRPr="00F60BD8">
        <w:rPr>
          <w:rFonts w:ascii="Calibri" w:hAnsi="Calibri" w:cs="Calibri"/>
          <w:i/>
          <w:iCs/>
          <w:noProof/>
          <w:sz w:val="20"/>
        </w:rPr>
        <w:t>37</w:t>
      </w:r>
      <w:r w:rsidRPr="00F60BD8">
        <w:rPr>
          <w:rFonts w:ascii="Calibri" w:hAnsi="Calibri" w:cs="Calibri"/>
          <w:noProof/>
          <w:sz w:val="20"/>
        </w:rPr>
        <w:t xml:space="preserve"> (2), 192–200. https://doi.org/10.1016/j.bej.2007.04.011.</w:t>
      </w:r>
    </w:p>
    <w:p w14:paraId="6127F207"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(33) </w:t>
      </w:r>
      <w:r w:rsidRPr="00F60BD8">
        <w:rPr>
          <w:rFonts w:ascii="Calibri" w:hAnsi="Calibri" w:cs="Calibri"/>
          <w:noProof/>
          <w:sz w:val="20"/>
        </w:rPr>
        <w:tab/>
        <w:t xml:space="preserve">Zhan, W.; Xu, C.; Qian, G.; Huang, G.; Tang, X.; Lin, B. Adsorption of Cu(Ii), Zn(Ii), and Pb(Ii) from Aqueous Single and Binary Metal Solutions by Regenerated Cellulose and Sodium Alginate Chemically Modified with Polyethyleneimine. </w:t>
      </w:r>
      <w:r w:rsidRPr="00F60BD8">
        <w:rPr>
          <w:rFonts w:ascii="Calibri" w:hAnsi="Calibri" w:cs="Calibri"/>
          <w:i/>
          <w:iCs/>
          <w:noProof/>
          <w:sz w:val="20"/>
        </w:rPr>
        <w:t>RSC Adv.</w:t>
      </w:r>
      <w:r w:rsidRPr="00F60BD8">
        <w:rPr>
          <w:rFonts w:ascii="Calibri" w:hAnsi="Calibri" w:cs="Calibri"/>
          <w:noProof/>
          <w:sz w:val="20"/>
        </w:rPr>
        <w:t xml:space="preserve"> </w:t>
      </w:r>
      <w:r w:rsidRPr="00F60BD8">
        <w:rPr>
          <w:rFonts w:ascii="Calibri" w:hAnsi="Calibri" w:cs="Calibri"/>
          <w:b/>
          <w:bCs w:val="0"/>
          <w:noProof/>
          <w:sz w:val="20"/>
        </w:rPr>
        <w:t>2018</w:t>
      </w:r>
      <w:r w:rsidRPr="00F60BD8">
        <w:rPr>
          <w:rFonts w:ascii="Calibri" w:hAnsi="Calibri" w:cs="Calibri"/>
          <w:noProof/>
          <w:sz w:val="20"/>
        </w:rPr>
        <w:t xml:space="preserve">, </w:t>
      </w:r>
      <w:r w:rsidRPr="00F60BD8">
        <w:rPr>
          <w:rFonts w:ascii="Calibri" w:hAnsi="Calibri" w:cs="Calibri"/>
          <w:i/>
          <w:iCs/>
          <w:noProof/>
          <w:sz w:val="20"/>
        </w:rPr>
        <w:t>8</w:t>
      </w:r>
      <w:r w:rsidRPr="00F60BD8">
        <w:rPr>
          <w:rFonts w:ascii="Calibri" w:hAnsi="Calibri" w:cs="Calibri"/>
          <w:noProof/>
          <w:sz w:val="20"/>
        </w:rPr>
        <w:t xml:space="preserve"> (33), 18723–18733. https://doi.org/10.1039/c8ra02055h.</w:t>
      </w:r>
    </w:p>
    <w:p w14:paraId="547CE177"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(34) </w:t>
      </w:r>
      <w:r w:rsidRPr="00F60BD8">
        <w:rPr>
          <w:rFonts w:ascii="Calibri" w:hAnsi="Calibri" w:cs="Calibri"/>
          <w:noProof/>
          <w:sz w:val="20"/>
        </w:rPr>
        <w:tab/>
        <w:t xml:space="preserve">Ai, T.; Jiang, X.; Liu, Q.; Lv, L.; Dai, S. Single-Component and Competitive Adsorption of Tetracycline and Zn(Ii) on an NH4Cl-Induced Magnetic Ultra-Fine Buckwheat Peel Powder Biochar from Water: Studies on the Kinetics, Isotherms, and Mechanism. </w:t>
      </w:r>
      <w:r w:rsidRPr="00F60BD8">
        <w:rPr>
          <w:rFonts w:ascii="Calibri" w:hAnsi="Calibri" w:cs="Calibri"/>
          <w:i/>
          <w:iCs/>
          <w:noProof/>
          <w:sz w:val="20"/>
        </w:rPr>
        <w:t>RSC Adv.</w:t>
      </w:r>
      <w:r w:rsidRPr="00F60BD8">
        <w:rPr>
          <w:rFonts w:ascii="Calibri" w:hAnsi="Calibri" w:cs="Calibri"/>
          <w:noProof/>
          <w:sz w:val="20"/>
        </w:rPr>
        <w:t xml:space="preserve"> </w:t>
      </w:r>
      <w:r w:rsidRPr="00F60BD8">
        <w:rPr>
          <w:rFonts w:ascii="Calibri" w:hAnsi="Calibri" w:cs="Calibri"/>
          <w:b/>
          <w:bCs w:val="0"/>
          <w:noProof/>
          <w:sz w:val="20"/>
        </w:rPr>
        <w:t>2020</w:t>
      </w:r>
      <w:r w:rsidRPr="00F60BD8">
        <w:rPr>
          <w:rFonts w:ascii="Calibri" w:hAnsi="Calibri" w:cs="Calibri"/>
          <w:noProof/>
          <w:sz w:val="20"/>
        </w:rPr>
        <w:t xml:space="preserve">, </w:t>
      </w:r>
      <w:r w:rsidRPr="00F60BD8">
        <w:rPr>
          <w:rFonts w:ascii="Calibri" w:hAnsi="Calibri" w:cs="Calibri"/>
          <w:i/>
          <w:iCs/>
          <w:noProof/>
          <w:sz w:val="20"/>
        </w:rPr>
        <w:t>10</w:t>
      </w:r>
      <w:r w:rsidRPr="00F60BD8">
        <w:rPr>
          <w:rFonts w:ascii="Calibri" w:hAnsi="Calibri" w:cs="Calibri"/>
          <w:noProof/>
          <w:sz w:val="20"/>
        </w:rPr>
        <w:t xml:space="preserve"> (35), 20427–20437. https://doi.org/10.1039/d0ra02346a.</w:t>
      </w:r>
    </w:p>
    <w:p w14:paraId="55E273C9"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(35) </w:t>
      </w:r>
      <w:r w:rsidRPr="00F60BD8">
        <w:rPr>
          <w:rFonts w:ascii="Calibri" w:hAnsi="Calibri" w:cs="Calibri"/>
          <w:noProof/>
          <w:sz w:val="20"/>
        </w:rPr>
        <w:tab/>
        <w:t xml:space="preserve">Nadiye-tabbiruka, M. S.; Sejie, F. P. Preparation of Coal-Kaolinite Nano Composites and Investigation of Their Use to Remove Methyl Orange from Water. </w:t>
      </w:r>
      <w:r w:rsidRPr="00F60BD8">
        <w:rPr>
          <w:rFonts w:ascii="Calibri" w:hAnsi="Calibri" w:cs="Calibri"/>
          <w:b/>
          <w:bCs w:val="0"/>
          <w:noProof/>
          <w:sz w:val="20"/>
        </w:rPr>
        <w:t>2019</w:t>
      </w:r>
      <w:r w:rsidRPr="00F60BD8">
        <w:rPr>
          <w:rFonts w:ascii="Calibri" w:hAnsi="Calibri" w:cs="Calibri"/>
          <w:noProof/>
          <w:sz w:val="20"/>
        </w:rPr>
        <w:t xml:space="preserve">, </w:t>
      </w:r>
      <w:r w:rsidRPr="00F60BD8">
        <w:rPr>
          <w:rFonts w:ascii="Calibri" w:hAnsi="Calibri" w:cs="Calibri"/>
          <w:i/>
          <w:iCs/>
          <w:noProof/>
          <w:sz w:val="20"/>
        </w:rPr>
        <w:t>9</w:t>
      </w:r>
      <w:r w:rsidRPr="00F60BD8">
        <w:rPr>
          <w:rFonts w:ascii="Calibri" w:hAnsi="Calibri" w:cs="Calibri"/>
          <w:noProof/>
          <w:sz w:val="20"/>
        </w:rPr>
        <w:t xml:space="preserve"> (2), 37–43. https://doi.org/10.5923/j.nn.20190902.01.</w:t>
      </w:r>
    </w:p>
    <w:p w14:paraId="6B80D2E3"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(36) </w:t>
      </w:r>
      <w:r w:rsidRPr="00F60BD8">
        <w:rPr>
          <w:rFonts w:ascii="Calibri" w:hAnsi="Calibri" w:cs="Calibri"/>
          <w:noProof/>
          <w:sz w:val="20"/>
        </w:rPr>
        <w:tab/>
        <w:t xml:space="preserve">Largitte, L.; Pasquier, R. A Review of the Kinetics Adsorption Models and Their Application to the Adsorption of Lead by an Activated Carbon. </w:t>
      </w:r>
      <w:r w:rsidRPr="00F60BD8">
        <w:rPr>
          <w:rFonts w:ascii="Calibri" w:hAnsi="Calibri" w:cs="Calibri"/>
          <w:i/>
          <w:iCs/>
          <w:noProof/>
          <w:sz w:val="20"/>
        </w:rPr>
        <w:t>Chem. Eng. Res. Des.</w:t>
      </w:r>
      <w:r w:rsidRPr="00F60BD8">
        <w:rPr>
          <w:rFonts w:ascii="Calibri" w:hAnsi="Calibri" w:cs="Calibri"/>
          <w:noProof/>
          <w:sz w:val="20"/>
        </w:rPr>
        <w:t xml:space="preserve"> </w:t>
      </w:r>
      <w:r w:rsidRPr="00F60BD8">
        <w:rPr>
          <w:rFonts w:ascii="Calibri" w:hAnsi="Calibri" w:cs="Calibri"/>
          <w:b/>
          <w:bCs w:val="0"/>
          <w:noProof/>
          <w:sz w:val="20"/>
        </w:rPr>
        <w:t>2016</w:t>
      </w:r>
      <w:r w:rsidRPr="00F60BD8">
        <w:rPr>
          <w:rFonts w:ascii="Calibri" w:hAnsi="Calibri" w:cs="Calibri"/>
          <w:noProof/>
          <w:sz w:val="20"/>
        </w:rPr>
        <w:t xml:space="preserve">, </w:t>
      </w:r>
      <w:r w:rsidRPr="00F60BD8">
        <w:rPr>
          <w:rFonts w:ascii="Calibri" w:hAnsi="Calibri" w:cs="Calibri"/>
          <w:i/>
          <w:iCs/>
          <w:noProof/>
          <w:sz w:val="20"/>
        </w:rPr>
        <w:t>109</w:t>
      </w:r>
      <w:r w:rsidRPr="00F60BD8">
        <w:rPr>
          <w:rFonts w:ascii="Calibri" w:hAnsi="Calibri" w:cs="Calibri"/>
          <w:noProof/>
          <w:sz w:val="20"/>
        </w:rPr>
        <w:t>, 495–504. https://doi.org/10.1016/j.cherd.2016.02.006.</w:t>
      </w:r>
    </w:p>
    <w:p w14:paraId="48274BBF"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(37) </w:t>
      </w:r>
      <w:r w:rsidRPr="00F60BD8">
        <w:rPr>
          <w:rFonts w:ascii="Calibri" w:hAnsi="Calibri" w:cs="Calibri"/>
          <w:noProof/>
          <w:sz w:val="20"/>
        </w:rPr>
        <w:tab/>
        <w:t xml:space="preserve">Azizian, S. Kinetic Models of Sorption: A Theoretical Analysis. </w:t>
      </w:r>
      <w:r w:rsidRPr="00F60BD8">
        <w:rPr>
          <w:rFonts w:ascii="Calibri" w:hAnsi="Calibri" w:cs="Calibri"/>
          <w:i/>
          <w:iCs/>
          <w:noProof/>
          <w:sz w:val="20"/>
        </w:rPr>
        <w:t>J. Colloid Interface Sci.</w:t>
      </w:r>
      <w:r w:rsidRPr="00F60BD8">
        <w:rPr>
          <w:rFonts w:ascii="Calibri" w:hAnsi="Calibri" w:cs="Calibri"/>
          <w:noProof/>
          <w:sz w:val="20"/>
        </w:rPr>
        <w:t xml:space="preserve"> </w:t>
      </w:r>
      <w:r w:rsidRPr="00F60BD8">
        <w:rPr>
          <w:rFonts w:ascii="Calibri" w:hAnsi="Calibri" w:cs="Calibri"/>
          <w:b/>
          <w:bCs w:val="0"/>
          <w:noProof/>
          <w:sz w:val="20"/>
        </w:rPr>
        <w:t>2004</w:t>
      </w:r>
      <w:r w:rsidRPr="00F60BD8">
        <w:rPr>
          <w:rFonts w:ascii="Calibri" w:hAnsi="Calibri" w:cs="Calibri"/>
          <w:noProof/>
          <w:sz w:val="20"/>
        </w:rPr>
        <w:t xml:space="preserve">, </w:t>
      </w:r>
      <w:r w:rsidRPr="00F60BD8">
        <w:rPr>
          <w:rFonts w:ascii="Calibri" w:hAnsi="Calibri" w:cs="Calibri"/>
          <w:i/>
          <w:iCs/>
          <w:noProof/>
          <w:sz w:val="20"/>
        </w:rPr>
        <w:t>276</w:t>
      </w:r>
      <w:r w:rsidRPr="00F60BD8">
        <w:rPr>
          <w:rFonts w:ascii="Calibri" w:hAnsi="Calibri" w:cs="Calibri"/>
          <w:noProof/>
          <w:sz w:val="20"/>
        </w:rPr>
        <w:t xml:space="preserve"> (1), 47–52. https://doi.org/10.1016/j.jcis.2004.03.048.</w:t>
      </w:r>
    </w:p>
    <w:p w14:paraId="2691ACD7"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(38) </w:t>
      </w:r>
      <w:r w:rsidRPr="00F60BD8">
        <w:rPr>
          <w:rFonts w:ascii="Calibri" w:hAnsi="Calibri" w:cs="Calibri"/>
          <w:noProof/>
          <w:sz w:val="20"/>
        </w:rPr>
        <w:tab/>
        <w:t xml:space="preserve">Marczewski, A. W. Analysis of Kinetic Langmuir Model. Part I: Integrated Kinetic Langmuir Equation (IKL): A New Complete Analytical Solution of the Langmuir Rate Equation. </w:t>
      </w:r>
      <w:r w:rsidRPr="00F60BD8">
        <w:rPr>
          <w:rFonts w:ascii="Calibri" w:hAnsi="Calibri" w:cs="Calibri"/>
          <w:i/>
          <w:iCs/>
          <w:noProof/>
          <w:sz w:val="20"/>
        </w:rPr>
        <w:t>Langmuir</w:t>
      </w:r>
      <w:r w:rsidRPr="00F60BD8">
        <w:rPr>
          <w:rFonts w:ascii="Calibri" w:hAnsi="Calibri" w:cs="Calibri"/>
          <w:noProof/>
          <w:sz w:val="20"/>
        </w:rPr>
        <w:t xml:space="preserve"> </w:t>
      </w:r>
      <w:r w:rsidRPr="00F60BD8">
        <w:rPr>
          <w:rFonts w:ascii="Calibri" w:hAnsi="Calibri" w:cs="Calibri"/>
          <w:b/>
          <w:bCs w:val="0"/>
          <w:noProof/>
          <w:sz w:val="20"/>
        </w:rPr>
        <w:t>2010</w:t>
      </w:r>
      <w:r w:rsidRPr="00F60BD8">
        <w:rPr>
          <w:rFonts w:ascii="Calibri" w:hAnsi="Calibri" w:cs="Calibri"/>
          <w:noProof/>
          <w:sz w:val="20"/>
        </w:rPr>
        <w:t xml:space="preserve">, </w:t>
      </w:r>
      <w:r w:rsidRPr="00F60BD8">
        <w:rPr>
          <w:rFonts w:ascii="Calibri" w:hAnsi="Calibri" w:cs="Calibri"/>
          <w:i/>
          <w:iCs/>
          <w:noProof/>
          <w:sz w:val="20"/>
        </w:rPr>
        <w:t>26</w:t>
      </w:r>
      <w:r w:rsidRPr="00F60BD8">
        <w:rPr>
          <w:rFonts w:ascii="Calibri" w:hAnsi="Calibri" w:cs="Calibri"/>
          <w:noProof/>
          <w:sz w:val="20"/>
        </w:rPr>
        <w:t xml:space="preserve"> (19), 15229–15238. https://doi.org/10.1021/la1010049.</w:t>
      </w:r>
    </w:p>
    <w:p w14:paraId="3DA06E66"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(39) </w:t>
      </w:r>
      <w:r w:rsidRPr="00F60BD8">
        <w:rPr>
          <w:rFonts w:ascii="Calibri" w:hAnsi="Calibri" w:cs="Calibri"/>
          <w:noProof/>
          <w:sz w:val="20"/>
        </w:rPr>
        <w:tab/>
        <w:t xml:space="preserve">Bullen, J. C.; Lapinee, C.; Salaün, P.; Vilar, R.; Weiss, D. J. On the Application of Photocatalyst-Sorbent Composite Materials for Arsenic(III) Remediation: Insights from Kinetic Adsorption Modelling. </w:t>
      </w:r>
      <w:r w:rsidRPr="00F60BD8">
        <w:rPr>
          <w:rFonts w:ascii="Calibri" w:hAnsi="Calibri" w:cs="Calibri"/>
          <w:i/>
          <w:iCs/>
          <w:noProof/>
          <w:sz w:val="20"/>
        </w:rPr>
        <w:t>J. Environ. Chem. Eng.</w:t>
      </w:r>
      <w:r w:rsidRPr="00F60BD8">
        <w:rPr>
          <w:rFonts w:ascii="Calibri" w:hAnsi="Calibri" w:cs="Calibri"/>
          <w:noProof/>
          <w:sz w:val="20"/>
        </w:rPr>
        <w:t xml:space="preserve"> </w:t>
      </w:r>
      <w:r w:rsidRPr="00F60BD8">
        <w:rPr>
          <w:rFonts w:ascii="Calibri" w:hAnsi="Calibri" w:cs="Calibri"/>
          <w:b/>
          <w:bCs w:val="0"/>
          <w:noProof/>
          <w:sz w:val="20"/>
        </w:rPr>
        <w:t>2020</w:t>
      </w:r>
      <w:r w:rsidRPr="00F60BD8">
        <w:rPr>
          <w:rFonts w:ascii="Calibri" w:hAnsi="Calibri" w:cs="Calibri"/>
          <w:noProof/>
          <w:sz w:val="20"/>
        </w:rPr>
        <w:t xml:space="preserve">, </w:t>
      </w:r>
      <w:r w:rsidRPr="00F60BD8">
        <w:rPr>
          <w:rFonts w:ascii="Calibri" w:hAnsi="Calibri" w:cs="Calibri"/>
          <w:i/>
          <w:iCs/>
          <w:noProof/>
          <w:sz w:val="20"/>
        </w:rPr>
        <w:t>8</w:t>
      </w:r>
      <w:r w:rsidRPr="00F60BD8">
        <w:rPr>
          <w:rFonts w:ascii="Calibri" w:hAnsi="Calibri" w:cs="Calibri"/>
          <w:noProof/>
          <w:sz w:val="20"/>
        </w:rPr>
        <w:t xml:space="preserve"> (5). https://doi.org/10.1016/j.jece.2020.104033.</w:t>
      </w:r>
    </w:p>
    <w:p w14:paraId="4EB82508"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(40) </w:t>
      </w:r>
      <w:r w:rsidRPr="00F60BD8">
        <w:rPr>
          <w:rFonts w:ascii="Calibri" w:hAnsi="Calibri" w:cs="Calibri"/>
          <w:noProof/>
          <w:sz w:val="20"/>
        </w:rPr>
        <w:tab/>
        <w:t xml:space="preserve">Manna, B. R.; Dey, S.; Debnath, S.; Ghosh, U. C. Removal of Arsenic from Groundwater Using Crystalline Hydrous Ferric Oxide (CHFO). </w:t>
      </w:r>
      <w:r w:rsidRPr="00F60BD8">
        <w:rPr>
          <w:rFonts w:ascii="Calibri" w:hAnsi="Calibri" w:cs="Calibri"/>
          <w:i/>
          <w:iCs/>
          <w:noProof/>
          <w:sz w:val="20"/>
        </w:rPr>
        <w:t>Water Qual. Res. J. Canada</w:t>
      </w:r>
      <w:r w:rsidRPr="00F60BD8">
        <w:rPr>
          <w:rFonts w:ascii="Calibri" w:hAnsi="Calibri" w:cs="Calibri"/>
          <w:noProof/>
          <w:sz w:val="20"/>
        </w:rPr>
        <w:t xml:space="preserve"> </w:t>
      </w:r>
      <w:r w:rsidRPr="00F60BD8">
        <w:rPr>
          <w:rFonts w:ascii="Calibri" w:hAnsi="Calibri" w:cs="Calibri"/>
          <w:b/>
          <w:bCs w:val="0"/>
          <w:noProof/>
          <w:sz w:val="20"/>
        </w:rPr>
        <w:t>2003</w:t>
      </w:r>
      <w:r w:rsidRPr="00F60BD8">
        <w:rPr>
          <w:rFonts w:ascii="Calibri" w:hAnsi="Calibri" w:cs="Calibri"/>
          <w:noProof/>
          <w:sz w:val="20"/>
        </w:rPr>
        <w:t xml:space="preserve">, </w:t>
      </w:r>
      <w:r w:rsidRPr="00F60BD8">
        <w:rPr>
          <w:rFonts w:ascii="Calibri" w:hAnsi="Calibri" w:cs="Calibri"/>
          <w:i/>
          <w:iCs/>
          <w:noProof/>
          <w:sz w:val="20"/>
        </w:rPr>
        <w:t>38</w:t>
      </w:r>
      <w:r w:rsidRPr="00F60BD8">
        <w:rPr>
          <w:rFonts w:ascii="Calibri" w:hAnsi="Calibri" w:cs="Calibri"/>
          <w:noProof/>
          <w:sz w:val="20"/>
        </w:rPr>
        <w:t xml:space="preserve"> (1), 193–210. https://doi.org/10.2166/wqrj.2003.013.</w:t>
      </w:r>
    </w:p>
    <w:p w14:paraId="097185EB"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(41) </w:t>
      </w:r>
      <w:r w:rsidRPr="00F60BD8">
        <w:rPr>
          <w:rFonts w:ascii="Calibri" w:hAnsi="Calibri" w:cs="Calibri"/>
          <w:noProof/>
          <w:sz w:val="20"/>
        </w:rPr>
        <w:tab/>
        <w:t xml:space="preserve">Singh, D. B.; Prasad, G.; Rupainwar, D. C. Adsorption Technique for the Treatment of As(V)-Rich Effluents. </w:t>
      </w:r>
      <w:r w:rsidRPr="00F60BD8">
        <w:rPr>
          <w:rFonts w:ascii="Calibri" w:hAnsi="Calibri" w:cs="Calibri"/>
          <w:i/>
          <w:iCs/>
          <w:noProof/>
          <w:sz w:val="20"/>
        </w:rPr>
        <w:t>Colloids Surfaces A Physicochem. Eng. Asp.</w:t>
      </w:r>
      <w:r w:rsidRPr="00F60BD8">
        <w:rPr>
          <w:rFonts w:ascii="Calibri" w:hAnsi="Calibri" w:cs="Calibri"/>
          <w:noProof/>
          <w:sz w:val="20"/>
        </w:rPr>
        <w:t xml:space="preserve"> </w:t>
      </w:r>
      <w:r w:rsidRPr="00F60BD8">
        <w:rPr>
          <w:rFonts w:ascii="Calibri" w:hAnsi="Calibri" w:cs="Calibri"/>
          <w:b/>
          <w:bCs w:val="0"/>
          <w:noProof/>
          <w:sz w:val="20"/>
        </w:rPr>
        <w:t>1996</w:t>
      </w:r>
      <w:r w:rsidRPr="00F60BD8">
        <w:rPr>
          <w:rFonts w:ascii="Calibri" w:hAnsi="Calibri" w:cs="Calibri"/>
          <w:noProof/>
          <w:sz w:val="20"/>
        </w:rPr>
        <w:t xml:space="preserve">, </w:t>
      </w:r>
      <w:r w:rsidRPr="00F60BD8">
        <w:rPr>
          <w:rFonts w:ascii="Calibri" w:hAnsi="Calibri" w:cs="Calibri"/>
          <w:i/>
          <w:iCs/>
          <w:noProof/>
          <w:sz w:val="20"/>
        </w:rPr>
        <w:t>111</w:t>
      </w:r>
      <w:r w:rsidRPr="00F60BD8">
        <w:rPr>
          <w:rFonts w:ascii="Calibri" w:hAnsi="Calibri" w:cs="Calibri"/>
          <w:noProof/>
          <w:sz w:val="20"/>
        </w:rPr>
        <w:t xml:space="preserve"> (1–2), 49–56. https://doi.org/10.1016/0927-7757(95)03468-4.</w:t>
      </w:r>
    </w:p>
    <w:p w14:paraId="632B2BF6"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(42) </w:t>
      </w:r>
      <w:r w:rsidRPr="00F60BD8">
        <w:rPr>
          <w:rFonts w:ascii="Calibri" w:hAnsi="Calibri" w:cs="Calibri"/>
          <w:noProof/>
          <w:sz w:val="20"/>
        </w:rPr>
        <w:tab/>
        <w:t xml:space="preserve">Mezenner, N. Y.; Bensmaili, A. Kinetics and Thermodynamic Study of Phosphate Adsorption on Iron Hydroxide-Eggshell Waste. </w:t>
      </w:r>
      <w:r w:rsidRPr="00F60BD8">
        <w:rPr>
          <w:rFonts w:ascii="Calibri" w:hAnsi="Calibri" w:cs="Calibri"/>
          <w:i/>
          <w:iCs/>
          <w:noProof/>
          <w:sz w:val="20"/>
        </w:rPr>
        <w:t>Chem. Eng. J.</w:t>
      </w:r>
      <w:r w:rsidRPr="00F60BD8">
        <w:rPr>
          <w:rFonts w:ascii="Calibri" w:hAnsi="Calibri" w:cs="Calibri"/>
          <w:noProof/>
          <w:sz w:val="20"/>
        </w:rPr>
        <w:t xml:space="preserve"> </w:t>
      </w:r>
      <w:r w:rsidRPr="00F60BD8">
        <w:rPr>
          <w:rFonts w:ascii="Calibri" w:hAnsi="Calibri" w:cs="Calibri"/>
          <w:b/>
          <w:bCs w:val="0"/>
          <w:noProof/>
          <w:sz w:val="20"/>
        </w:rPr>
        <w:t>2009</w:t>
      </w:r>
      <w:r w:rsidRPr="00F60BD8">
        <w:rPr>
          <w:rFonts w:ascii="Calibri" w:hAnsi="Calibri" w:cs="Calibri"/>
          <w:noProof/>
          <w:sz w:val="20"/>
        </w:rPr>
        <w:t xml:space="preserve">, </w:t>
      </w:r>
      <w:r w:rsidRPr="00F60BD8">
        <w:rPr>
          <w:rFonts w:ascii="Calibri" w:hAnsi="Calibri" w:cs="Calibri"/>
          <w:i/>
          <w:iCs/>
          <w:noProof/>
          <w:sz w:val="20"/>
        </w:rPr>
        <w:t>147</w:t>
      </w:r>
      <w:r w:rsidRPr="00F60BD8">
        <w:rPr>
          <w:rFonts w:ascii="Calibri" w:hAnsi="Calibri" w:cs="Calibri"/>
          <w:noProof/>
          <w:sz w:val="20"/>
        </w:rPr>
        <w:t xml:space="preserve"> (2–3), 87–96. https://doi.org/10.1016/j.cej.2008.06.024.</w:t>
      </w:r>
    </w:p>
    <w:p w14:paraId="0A4260ED"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(43) </w:t>
      </w:r>
      <w:r w:rsidRPr="00F60BD8">
        <w:rPr>
          <w:rFonts w:ascii="Calibri" w:hAnsi="Calibri" w:cs="Calibri"/>
          <w:noProof/>
          <w:sz w:val="20"/>
        </w:rPr>
        <w:tab/>
        <w:t xml:space="preserve">Debnath, A.; Bera, A.; Chattopadhyay, K. K.; Saha, B. Facile Additive-Free Synthesis of Hematite Nanoparticles for Enhanced Adsorption of Hexavalent Chromium from Aqueous Media: Kinetic, Isotherm, and Thermodynamic Study. </w:t>
      </w:r>
      <w:r w:rsidRPr="00F60BD8">
        <w:rPr>
          <w:rFonts w:ascii="Calibri" w:hAnsi="Calibri" w:cs="Calibri"/>
          <w:i/>
          <w:iCs/>
          <w:noProof/>
          <w:sz w:val="20"/>
        </w:rPr>
        <w:t>Inorg. Nano-Metal Chem.</w:t>
      </w:r>
      <w:r w:rsidRPr="00F60BD8">
        <w:rPr>
          <w:rFonts w:ascii="Calibri" w:hAnsi="Calibri" w:cs="Calibri"/>
          <w:noProof/>
          <w:sz w:val="20"/>
        </w:rPr>
        <w:t xml:space="preserve"> </w:t>
      </w:r>
      <w:r w:rsidRPr="00F60BD8">
        <w:rPr>
          <w:rFonts w:ascii="Calibri" w:hAnsi="Calibri" w:cs="Calibri"/>
          <w:b/>
          <w:bCs w:val="0"/>
          <w:noProof/>
          <w:sz w:val="20"/>
        </w:rPr>
        <w:t>2017</w:t>
      </w:r>
      <w:r w:rsidRPr="00F60BD8">
        <w:rPr>
          <w:rFonts w:ascii="Calibri" w:hAnsi="Calibri" w:cs="Calibri"/>
          <w:noProof/>
          <w:sz w:val="20"/>
        </w:rPr>
        <w:t xml:space="preserve">, </w:t>
      </w:r>
      <w:r w:rsidRPr="00F60BD8">
        <w:rPr>
          <w:rFonts w:ascii="Calibri" w:hAnsi="Calibri" w:cs="Calibri"/>
          <w:i/>
          <w:iCs/>
          <w:noProof/>
          <w:sz w:val="20"/>
        </w:rPr>
        <w:t>47</w:t>
      </w:r>
      <w:r w:rsidRPr="00F60BD8">
        <w:rPr>
          <w:rFonts w:ascii="Calibri" w:hAnsi="Calibri" w:cs="Calibri"/>
          <w:noProof/>
          <w:sz w:val="20"/>
        </w:rPr>
        <w:t xml:space="preserve"> (12), 1605–1613. https://doi.org/10.1080/24701556.2017.1357581.</w:t>
      </w:r>
    </w:p>
    <w:p w14:paraId="2F8D0E6F"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(44) </w:t>
      </w:r>
      <w:r w:rsidRPr="00F60BD8">
        <w:rPr>
          <w:rFonts w:ascii="Calibri" w:hAnsi="Calibri" w:cs="Calibri"/>
          <w:noProof/>
          <w:sz w:val="20"/>
        </w:rPr>
        <w:tab/>
        <w:t xml:space="preserve">Lazaridis, N. K.; Pandi, T. A.; Matis, K. A. Chromium(VI) Removal from Aqueous Solutions by Mg-Al-CO3 Hydrotalcite: Sorption-Desorption Kinetic and Equilibrium Studies. </w:t>
      </w:r>
      <w:r w:rsidRPr="00F60BD8">
        <w:rPr>
          <w:rFonts w:ascii="Calibri" w:hAnsi="Calibri" w:cs="Calibri"/>
          <w:i/>
          <w:iCs/>
          <w:noProof/>
          <w:sz w:val="20"/>
        </w:rPr>
        <w:t>Ind. Eng. Chem. Res.</w:t>
      </w:r>
      <w:r w:rsidRPr="00F60BD8">
        <w:rPr>
          <w:rFonts w:ascii="Calibri" w:hAnsi="Calibri" w:cs="Calibri"/>
          <w:noProof/>
          <w:sz w:val="20"/>
        </w:rPr>
        <w:t xml:space="preserve"> </w:t>
      </w:r>
      <w:r w:rsidRPr="00F60BD8">
        <w:rPr>
          <w:rFonts w:ascii="Calibri" w:hAnsi="Calibri" w:cs="Calibri"/>
          <w:b/>
          <w:bCs w:val="0"/>
          <w:noProof/>
          <w:sz w:val="20"/>
        </w:rPr>
        <w:t>2004</w:t>
      </w:r>
      <w:r w:rsidRPr="00F60BD8">
        <w:rPr>
          <w:rFonts w:ascii="Calibri" w:hAnsi="Calibri" w:cs="Calibri"/>
          <w:noProof/>
          <w:sz w:val="20"/>
        </w:rPr>
        <w:t xml:space="preserve">, </w:t>
      </w:r>
      <w:r w:rsidRPr="00F60BD8">
        <w:rPr>
          <w:rFonts w:ascii="Calibri" w:hAnsi="Calibri" w:cs="Calibri"/>
          <w:i/>
          <w:iCs/>
          <w:noProof/>
          <w:sz w:val="20"/>
        </w:rPr>
        <w:t>43</w:t>
      </w:r>
      <w:r w:rsidRPr="00F60BD8">
        <w:rPr>
          <w:rFonts w:ascii="Calibri" w:hAnsi="Calibri" w:cs="Calibri"/>
          <w:noProof/>
          <w:sz w:val="20"/>
        </w:rPr>
        <w:t xml:space="preserve"> (9), 2209–2215. https://doi.org/10.1021/ie030735n.</w:t>
      </w:r>
    </w:p>
    <w:p w14:paraId="516F83DA"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(45) </w:t>
      </w:r>
      <w:r w:rsidRPr="00F60BD8">
        <w:rPr>
          <w:rFonts w:ascii="Calibri" w:hAnsi="Calibri" w:cs="Calibri"/>
          <w:noProof/>
          <w:sz w:val="20"/>
        </w:rPr>
        <w:tab/>
        <w:t xml:space="preserve">Shipley, H. J.; Engates, K. E.; Grover, V. A. Removal of Pb(II), Cd(II), Cu(II), and Zn(II) by Hematite Nanoparticles: Effect of Sorbent Concentration, PH, Temperature, and Exhaustion. </w:t>
      </w:r>
      <w:r w:rsidRPr="00F60BD8">
        <w:rPr>
          <w:rFonts w:ascii="Calibri" w:hAnsi="Calibri" w:cs="Calibri"/>
          <w:i/>
          <w:iCs/>
          <w:noProof/>
          <w:sz w:val="20"/>
        </w:rPr>
        <w:t>Environ. Sci. Pollut. Res.</w:t>
      </w:r>
      <w:r w:rsidRPr="00F60BD8">
        <w:rPr>
          <w:rFonts w:ascii="Calibri" w:hAnsi="Calibri" w:cs="Calibri"/>
          <w:noProof/>
          <w:sz w:val="20"/>
        </w:rPr>
        <w:t xml:space="preserve"> </w:t>
      </w:r>
      <w:r w:rsidRPr="00F60BD8">
        <w:rPr>
          <w:rFonts w:ascii="Calibri" w:hAnsi="Calibri" w:cs="Calibri"/>
          <w:b/>
          <w:bCs w:val="0"/>
          <w:noProof/>
          <w:sz w:val="20"/>
        </w:rPr>
        <w:t>2013</w:t>
      </w:r>
      <w:r w:rsidRPr="00F60BD8">
        <w:rPr>
          <w:rFonts w:ascii="Calibri" w:hAnsi="Calibri" w:cs="Calibri"/>
          <w:noProof/>
          <w:sz w:val="20"/>
        </w:rPr>
        <w:t xml:space="preserve">, </w:t>
      </w:r>
      <w:r w:rsidRPr="00F60BD8">
        <w:rPr>
          <w:rFonts w:ascii="Calibri" w:hAnsi="Calibri" w:cs="Calibri"/>
          <w:i/>
          <w:iCs/>
          <w:noProof/>
          <w:sz w:val="20"/>
        </w:rPr>
        <w:t>20</w:t>
      </w:r>
      <w:r w:rsidRPr="00F60BD8">
        <w:rPr>
          <w:rFonts w:ascii="Calibri" w:hAnsi="Calibri" w:cs="Calibri"/>
          <w:noProof/>
          <w:sz w:val="20"/>
        </w:rPr>
        <w:t xml:space="preserve"> (3), 1727–1736. https://doi.org/10.1007/s11356-012-0984-z.</w:t>
      </w:r>
    </w:p>
    <w:p w14:paraId="3E221FA2"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(46) </w:t>
      </w:r>
      <w:r w:rsidRPr="00F60BD8">
        <w:rPr>
          <w:rFonts w:ascii="Calibri" w:hAnsi="Calibri" w:cs="Calibri"/>
          <w:noProof/>
          <w:sz w:val="20"/>
        </w:rPr>
        <w:tab/>
        <w:t xml:space="preserve">Ayawei, N.; Ebelegi, A. N.; Wankasi, D. Modelling and Interpretation of Adsorption Isotherms. </w:t>
      </w:r>
      <w:r w:rsidRPr="00F60BD8">
        <w:rPr>
          <w:rFonts w:ascii="Calibri" w:hAnsi="Calibri" w:cs="Calibri"/>
          <w:i/>
          <w:iCs/>
          <w:noProof/>
          <w:sz w:val="20"/>
        </w:rPr>
        <w:t>J. Chem.</w:t>
      </w:r>
      <w:r w:rsidRPr="00F60BD8">
        <w:rPr>
          <w:rFonts w:ascii="Calibri" w:hAnsi="Calibri" w:cs="Calibri"/>
          <w:noProof/>
          <w:sz w:val="20"/>
        </w:rPr>
        <w:t xml:space="preserve"> </w:t>
      </w:r>
      <w:r w:rsidRPr="00F60BD8">
        <w:rPr>
          <w:rFonts w:ascii="Calibri" w:hAnsi="Calibri" w:cs="Calibri"/>
          <w:b/>
          <w:bCs w:val="0"/>
          <w:noProof/>
          <w:sz w:val="20"/>
        </w:rPr>
        <w:t>2017</w:t>
      </w:r>
      <w:r w:rsidRPr="00F60BD8">
        <w:rPr>
          <w:rFonts w:ascii="Calibri" w:hAnsi="Calibri" w:cs="Calibri"/>
          <w:noProof/>
          <w:sz w:val="20"/>
        </w:rPr>
        <w:t xml:space="preserve">, </w:t>
      </w:r>
      <w:r w:rsidRPr="00F60BD8">
        <w:rPr>
          <w:rFonts w:ascii="Calibri" w:hAnsi="Calibri" w:cs="Calibri"/>
          <w:i/>
          <w:iCs/>
          <w:noProof/>
          <w:sz w:val="20"/>
        </w:rPr>
        <w:t>2017</w:t>
      </w:r>
      <w:r w:rsidRPr="00F60BD8">
        <w:rPr>
          <w:rFonts w:ascii="Calibri" w:hAnsi="Calibri" w:cs="Calibri"/>
          <w:noProof/>
          <w:sz w:val="20"/>
        </w:rPr>
        <w:t>. https://doi.org/10.1155/2017/3039817.</w:t>
      </w:r>
    </w:p>
    <w:p w14:paraId="3E2450BC"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(47) </w:t>
      </w:r>
      <w:r w:rsidRPr="00F60BD8">
        <w:rPr>
          <w:rFonts w:ascii="Calibri" w:hAnsi="Calibri" w:cs="Calibri"/>
          <w:noProof/>
          <w:sz w:val="20"/>
        </w:rPr>
        <w:tab/>
        <w:t xml:space="preserve">Huang, Y.; Farooq, M. U.; Lai, S.; Feng, X.; Sampranpiboon, P.; Wang, X.; Huang, W. Model Fitting of Sorption Kinetics Data: Misapplications Overlooked and Their Rectifications. </w:t>
      </w:r>
      <w:r w:rsidRPr="00F60BD8">
        <w:rPr>
          <w:rFonts w:ascii="Calibri" w:hAnsi="Calibri" w:cs="Calibri"/>
          <w:i/>
          <w:iCs/>
          <w:noProof/>
          <w:sz w:val="20"/>
        </w:rPr>
        <w:t>AIChE J.</w:t>
      </w:r>
      <w:r w:rsidRPr="00F60BD8">
        <w:rPr>
          <w:rFonts w:ascii="Calibri" w:hAnsi="Calibri" w:cs="Calibri"/>
          <w:noProof/>
          <w:sz w:val="20"/>
        </w:rPr>
        <w:t xml:space="preserve"> </w:t>
      </w:r>
      <w:r w:rsidRPr="00F60BD8">
        <w:rPr>
          <w:rFonts w:ascii="Calibri" w:hAnsi="Calibri" w:cs="Calibri"/>
          <w:b/>
          <w:bCs w:val="0"/>
          <w:noProof/>
          <w:sz w:val="20"/>
        </w:rPr>
        <w:t>2018</w:t>
      </w:r>
      <w:r w:rsidRPr="00F60BD8">
        <w:rPr>
          <w:rFonts w:ascii="Calibri" w:hAnsi="Calibri" w:cs="Calibri"/>
          <w:noProof/>
          <w:sz w:val="20"/>
        </w:rPr>
        <w:t xml:space="preserve">, </w:t>
      </w:r>
      <w:r w:rsidRPr="00F60BD8">
        <w:rPr>
          <w:rFonts w:ascii="Calibri" w:hAnsi="Calibri" w:cs="Calibri"/>
          <w:i/>
          <w:iCs/>
          <w:noProof/>
          <w:sz w:val="20"/>
        </w:rPr>
        <w:t>64</w:t>
      </w:r>
      <w:r w:rsidRPr="00F60BD8">
        <w:rPr>
          <w:rFonts w:ascii="Calibri" w:hAnsi="Calibri" w:cs="Calibri"/>
          <w:noProof/>
          <w:sz w:val="20"/>
        </w:rPr>
        <w:t xml:space="preserve"> (5), 1793–1805. https://doi.org/10.1002/aic.16051.</w:t>
      </w:r>
    </w:p>
    <w:p w14:paraId="123A0FB2"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(48) </w:t>
      </w:r>
      <w:r w:rsidRPr="00F60BD8">
        <w:rPr>
          <w:rFonts w:ascii="Calibri" w:hAnsi="Calibri" w:cs="Calibri"/>
          <w:noProof/>
          <w:sz w:val="20"/>
        </w:rPr>
        <w:tab/>
        <w:t xml:space="preserve">Cooney, D. O.; Adesanya, B. A.; Hines, A. L. Effect of Particle Size Distribution on Adsorption Kinetics in Stirred Batch Systems. </w:t>
      </w:r>
      <w:r w:rsidRPr="00F60BD8">
        <w:rPr>
          <w:rFonts w:ascii="Calibri" w:hAnsi="Calibri" w:cs="Calibri"/>
          <w:i/>
          <w:iCs/>
          <w:noProof/>
          <w:sz w:val="20"/>
        </w:rPr>
        <w:t>Chem. Eng. Sci.</w:t>
      </w:r>
      <w:r w:rsidRPr="00F60BD8">
        <w:rPr>
          <w:rFonts w:ascii="Calibri" w:hAnsi="Calibri" w:cs="Calibri"/>
          <w:noProof/>
          <w:sz w:val="20"/>
        </w:rPr>
        <w:t xml:space="preserve"> </w:t>
      </w:r>
      <w:r w:rsidRPr="00F60BD8">
        <w:rPr>
          <w:rFonts w:ascii="Calibri" w:hAnsi="Calibri" w:cs="Calibri"/>
          <w:b/>
          <w:bCs w:val="0"/>
          <w:noProof/>
          <w:sz w:val="20"/>
        </w:rPr>
        <w:t>1983</w:t>
      </w:r>
      <w:r w:rsidRPr="00F60BD8">
        <w:rPr>
          <w:rFonts w:ascii="Calibri" w:hAnsi="Calibri" w:cs="Calibri"/>
          <w:noProof/>
          <w:sz w:val="20"/>
        </w:rPr>
        <w:t xml:space="preserve">, </w:t>
      </w:r>
      <w:r w:rsidRPr="00F60BD8">
        <w:rPr>
          <w:rFonts w:ascii="Calibri" w:hAnsi="Calibri" w:cs="Calibri"/>
          <w:i/>
          <w:iCs/>
          <w:noProof/>
          <w:sz w:val="20"/>
        </w:rPr>
        <w:t>38</w:t>
      </w:r>
      <w:r w:rsidRPr="00F60BD8">
        <w:rPr>
          <w:rFonts w:ascii="Calibri" w:hAnsi="Calibri" w:cs="Calibri"/>
          <w:noProof/>
          <w:sz w:val="20"/>
        </w:rPr>
        <w:t xml:space="preserve"> (9), 1535–1541. https://doi.org/10.1007/978-1-4419-8074-8_10.</w:t>
      </w:r>
    </w:p>
    <w:p w14:paraId="5878D982" w14:textId="77777777" w:rsidR="00F60BD8" w:rsidRPr="00F60BD8" w:rsidRDefault="00F60BD8" w:rsidP="00F60BD8">
      <w:pPr>
        <w:widowControl w:val="0"/>
        <w:autoSpaceDE w:val="0"/>
        <w:autoSpaceDN w:val="0"/>
        <w:adjustRightInd w:val="0"/>
        <w:spacing w:line="240" w:lineRule="auto"/>
        <w:ind w:left="640" w:hanging="640"/>
        <w:rPr>
          <w:rFonts w:ascii="Calibri" w:hAnsi="Calibri" w:cs="Calibri"/>
          <w:noProof/>
          <w:sz w:val="20"/>
        </w:rPr>
      </w:pPr>
      <w:r w:rsidRPr="00F60BD8">
        <w:rPr>
          <w:rFonts w:ascii="Calibri" w:hAnsi="Calibri" w:cs="Calibri"/>
          <w:noProof/>
          <w:sz w:val="20"/>
        </w:rPr>
        <w:t xml:space="preserve">(49) </w:t>
      </w:r>
      <w:r w:rsidRPr="00F60BD8">
        <w:rPr>
          <w:rFonts w:ascii="Calibri" w:hAnsi="Calibri" w:cs="Calibri"/>
          <w:noProof/>
          <w:sz w:val="20"/>
        </w:rPr>
        <w:tab/>
        <w:t xml:space="preserve">Simonin, J.; Boute, J. Intraparticle Diffusion-Adsorption Model to Describe Liquid/Solid Adsorption Kinetics. </w:t>
      </w:r>
      <w:r w:rsidRPr="00F60BD8">
        <w:rPr>
          <w:rFonts w:ascii="Calibri" w:hAnsi="Calibri" w:cs="Calibri"/>
          <w:i/>
          <w:iCs/>
          <w:noProof/>
          <w:sz w:val="20"/>
        </w:rPr>
        <w:t>Rev. Mex. Ing. Quim.</w:t>
      </w:r>
      <w:r w:rsidRPr="00F60BD8">
        <w:rPr>
          <w:rFonts w:ascii="Calibri" w:hAnsi="Calibri" w:cs="Calibri"/>
          <w:noProof/>
          <w:sz w:val="20"/>
        </w:rPr>
        <w:t xml:space="preserve"> </w:t>
      </w:r>
      <w:r w:rsidRPr="00F60BD8">
        <w:rPr>
          <w:rFonts w:ascii="Calibri" w:hAnsi="Calibri" w:cs="Calibri"/>
          <w:b/>
          <w:bCs w:val="0"/>
          <w:noProof/>
          <w:sz w:val="20"/>
        </w:rPr>
        <w:t>2016</w:t>
      </w:r>
      <w:r w:rsidRPr="00F60BD8">
        <w:rPr>
          <w:rFonts w:ascii="Calibri" w:hAnsi="Calibri" w:cs="Calibri"/>
          <w:noProof/>
          <w:sz w:val="20"/>
        </w:rPr>
        <w:t xml:space="preserve">, </w:t>
      </w:r>
      <w:r w:rsidRPr="00F60BD8">
        <w:rPr>
          <w:rFonts w:ascii="Calibri" w:hAnsi="Calibri" w:cs="Calibri"/>
          <w:i/>
          <w:iCs/>
          <w:noProof/>
          <w:sz w:val="20"/>
        </w:rPr>
        <w:t>15</w:t>
      </w:r>
      <w:r w:rsidRPr="00F60BD8">
        <w:rPr>
          <w:rFonts w:ascii="Calibri" w:hAnsi="Calibri" w:cs="Calibri"/>
          <w:noProof/>
          <w:sz w:val="20"/>
        </w:rPr>
        <w:t xml:space="preserve"> (1), 161–173.</w:t>
      </w:r>
    </w:p>
    <w:p w14:paraId="721E785E" w14:textId="5CB750A9" w:rsidR="00BB7B8A" w:rsidRPr="00E70281" w:rsidRDefault="00C248E8" w:rsidP="00020240">
      <w:pPr>
        <w:jc w:val="left"/>
        <w:rPr>
          <w:rFonts w:cstheme="minorHAnsi"/>
          <w:noProof/>
          <w:color w:val="auto"/>
          <w:sz w:val="20"/>
        </w:rPr>
      </w:pPr>
      <w:r w:rsidRPr="00E70281">
        <w:rPr>
          <w:rFonts w:cstheme="minorHAnsi"/>
          <w:noProof/>
          <w:color w:val="auto"/>
          <w:sz w:val="20"/>
        </w:rPr>
        <w:fldChar w:fldCharType="end"/>
      </w:r>
      <w:commentRangeEnd w:id="63"/>
      <w:r w:rsidR="00C92C0D" w:rsidRPr="00E70281">
        <w:rPr>
          <w:rStyle w:val="CommentReference"/>
        </w:rPr>
        <w:commentReference w:id="63"/>
      </w:r>
    </w:p>
    <w:sectPr w:rsidR="00BB7B8A" w:rsidRPr="00E70281" w:rsidSect="00CC247C">
      <w:headerReference w:type="default" r:id="rId38"/>
      <w:footerReference w:type="default" r:id="rId39"/>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7" w:author="Bullen, Jay" w:date="2021-02-08T18:44:00Z" w:initials="BJ">
    <w:p w14:paraId="0A6D0D72" w14:textId="7CC51EB9" w:rsidR="00053FA0" w:rsidRDefault="00053FA0">
      <w:pPr>
        <w:pStyle w:val="CommentText"/>
      </w:pPr>
      <w:r>
        <w:rPr>
          <w:rStyle w:val="CommentReference"/>
        </w:rPr>
        <w:annotationRef/>
      </w:r>
      <w:r>
        <w:t>Dominik suggests adding ‘significantly’ – but then we need a statistical test</w:t>
      </w:r>
    </w:p>
  </w:comment>
  <w:comment w:id="48" w:author="Bullen, Jay" w:date="2021-02-09T16:16:00Z" w:initials="BJ">
    <w:p w14:paraId="0B3CEACA" w14:textId="7EE2BF00" w:rsidR="00D16566" w:rsidRDefault="00D16566">
      <w:pPr>
        <w:pStyle w:val="CommentText"/>
      </w:pPr>
      <w:r>
        <w:rPr>
          <w:rStyle w:val="CommentReference"/>
        </w:rPr>
        <w:annotationRef/>
      </w:r>
      <w:r>
        <w:t>I don’t think we need to do this right now</w:t>
      </w:r>
    </w:p>
  </w:comment>
  <w:comment w:id="53" w:author="Bullen, Jay" w:date="2021-02-08T18:49:00Z" w:initials="BJ">
    <w:p w14:paraId="73AE6FEA" w14:textId="1A6D1274" w:rsidR="00053FA0" w:rsidRDefault="00053FA0">
      <w:pPr>
        <w:pStyle w:val="CommentText"/>
      </w:pPr>
      <w:r>
        <w:rPr>
          <w:rStyle w:val="CommentReference"/>
        </w:rPr>
        <w:annotationRef/>
      </w:r>
      <w:r>
        <w:t>Dominik asks if this is correct</w:t>
      </w:r>
    </w:p>
  </w:comment>
  <w:comment w:id="54" w:author="Bullen, Jay" w:date="2021-02-08T18:49:00Z" w:initials="BJ">
    <w:p w14:paraId="5182927D" w14:textId="0A10F099" w:rsidR="00053FA0" w:rsidRDefault="00053FA0">
      <w:pPr>
        <w:pStyle w:val="CommentText"/>
      </w:pPr>
      <w:r>
        <w:rPr>
          <w:rStyle w:val="CommentReference"/>
        </w:rPr>
        <w:annotationRef/>
      </w:r>
      <w:r>
        <w:t>As r^-1 gets bigger, the particle size gets smaller, and the reaction gets faster</w:t>
      </w:r>
    </w:p>
  </w:comment>
  <w:comment w:id="55" w:author="Bullen, Jay" w:date="2021-02-08T18:50:00Z" w:initials="BJ">
    <w:p w14:paraId="184197DA" w14:textId="4A3B73C8" w:rsidR="00053FA0" w:rsidRDefault="00053FA0">
      <w:pPr>
        <w:pStyle w:val="CommentText"/>
      </w:pPr>
      <w:r>
        <w:rPr>
          <w:rStyle w:val="CommentReference"/>
        </w:rPr>
        <w:annotationRef/>
      </w:r>
      <w:r>
        <w:t>As r gets bigger, the particle size gets bigger, and the reaction gets slower</w:t>
      </w:r>
    </w:p>
  </w:comment>
  <w:comment w:id="56" w:author="Bullen, Jay" w:date="2021-02-08T18:51:00Z" w:initials="BJ">
    <w:p w14:paraId="40E3F826" w14:textId="77777777" w:rsidR="00053FA0" w:rsidRDefault="00053FA0" w:rsidP="00155CF2">
      <w:pPr>
        <w:pStyle w:val="CommentText"/>
      </w:pPr>
      <w:r>
        <w:rPr>
          <w:rStyle w:val="CommentReference"/>
        </w:rPr>
        <w:annotationRef/>
      </w:r>
      <w:r>
        <w:t>Dominik says “Talk about impact</w:t>
      </w:r>
    </w:p>
    <w:p w14:paraId="0D1AE6D2" w14:textId="2EF19D06" w:rsidR="00053FA0" w:rsidRDefault="00053FA0" w:rsidP="00155CF2">
      <w:pPr>
        <w:pStyle w:val="CommentText"/>
      </w:pPr>
      <w:r>
        <w:t>Well done”</w:t>
      </w:r>
    </w:p>
  </w:comment>
  <w:comment w:id="57" w:author="Bullen, Jay" w:date="2021-02-08T18:51:00Z" w:initials="BJ">
    <w:p w14:paraId="20B64765" w14:textId="5C4C0F66" w:rsidR="00053FA0" w:rsidRDefault="00053FA0">
      <w:pPr>
        <w:pStyle w:val="CommentText"/>
      </w:pPr>
      <w:r>
        <w:rPr>
          <w:rStyle w:val="CommentReference"/>
        </w:rPr>
        <w:annotationRef/>
      </w:r>
      <w:r>
        <w:t>Thanks, I assume that you didn’t want any further elaboration etc on this point?</w:t>
      </w:r>
    </w:p>
  </w:comment>
  <w:comment w:id="58" w:author="Bullen, Jay" w:date="2021-02-08T18:51:00Z" w:initials="BJ">
    <w:p w14:paraId="1633BF92" w14:textId="1D0C63D8" w:rsidR="00053FA0" w:rsidRDefault="00053FA0">
      <w:pPr>
        <w:pStyle w:val="CommentText"/>
      </w:pPr>
      <w:r>
        <w:rPr>
          <w:rStyle w:val="CommentReference"/>
        </w:rPr>
        <w:annotationRef/>
      </w:r>
      <w:r>
        <w:t>Dominik says to remove parenthesis in front of k. But surely, we normally write log(</w:t>
      </w:r>
      <w:proofErr w:type="gramStart"/>
      <w:r>
        <w:t xml:space="preserve">NUMBER)   </w:t>
      </w:r>
      <w:proofErr w:type="gramEnd"/>
      <w:r>
        <w:t xml:space="preserve"> with the brackets?</w:t>
      </w:r>
    </w:p>
  </w:comment>
  <w:comment w:id="59" w:author="Bullen, Jay" w:date="2021-02-08T18:52:00Z" w:initials="BJ">
    <w:p w14:paraId="12033AC8" w14:textId="64206AAF" w:rsidR="00053FA0" w:rsidRDefault="00053FA0">
      <w:pPr>
        <w:pStyle w:val="CommentText"/>
      </w:pPr>
      <w:r>
        <w:rPr>
          <w:rStyle w:val="CommentReference"/>
        </w:rPr>
        <w:annotationRef/>
      </w:r>
      <w:r>
        <w:t>And I put the units in square brackets after I saw Andreas recommend that??</w:t>
      </w:r>
    </w:p>
  </w:comment>
  <w:comment w:id="63" w:author="Bullen, Jay" w:date="2021-02-05T16:15:00Z" w:initials="BJ">
    <w:p w14:paraId="4EEA6313" w14:textId="77FB90BE" w:rsidR="00053FA0" w:rsidRDefault="00053FA0">
      <w:pPr>
        <w:pStyle w:val="CommentText"/>
      </w:pPr>
      <w:r>
        <w:rPr>
          <w:rStyle w:val="CommentReference"/>
        </w:rPr>
        <w:annotationRef/>
      </w:r>
      <w:r>
        <w:t xml:space="preserve">Atkin’s page numbers: </w:t>
      </w:r>
      <w:r w:rsidRPr="00C92C0D">
        <w:t>783-827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6D0D72" w15:done="0"/>
  <w15:commentEx w15:paraId="0B3CEACA" w15:paraIdParent="0A6D0D72" w15:done="0"/>
  <w15:commentEx w15:paraId="73AE6FEA" w15:done="0"/>
  <w15:commentEx w15:paraId="5182927D" w15:paraIdParent="73AE6FEA" w15:done="0"/>
  <w15:commentEx w15:paraId="184197DA" w15:paraIdParent="73AE6FEA" w15:done="0"/>
  <w15:commentEx w15:paraId="0D1AE6D2" w15:done="0"/>
  <w15:commentEx w15:paraId="20B64765" w15:paraIdParent="0D1AE6D2" w15:done="0"/>
  <w15:commentEx w15:paraId="1633BF92" w15:done="0"/>
  <w15:commentEx w15:paraId="12033AC8" w15:paraIdParent="1633BF92" w15:done="0"/>
  <w15:commentEx w15:paraId="4EEA63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6D0D72" w16cid:durableId="23CC0528"/>
  <w16cid:commentId w16cid:paraId="0B3CEACA" w16cid:durableId="23CD33CE"/>
  <w16cid:commentId w16cid:paraId="73AE6FEA" w16cid:durableId="23CC064B"/>
  <w16cid:commentId w16cid:paraId="5182927D" w16cid:durableId="23CC0651"/>
  <w16cid:commentId w16cid:paraId="184197DA" w16cid:durableId="23CC0662"/>
  <w16cid:commentId w16cid:paraId="0D1AE6D2" w16cid:durableId="23CC069C"/>
  <w16cid:commentId w16cid:paraId="20B64765" w16cid:durableId="23CC06A0"/>
  <w16cid:commentId w16cid:paraId="1633BF92" w16cid:durableId="23CC06CA"/>
  <w16cid:commentId w16cid:paraId="12033AC8" w16cid:durableId="23CC06E9"/>
  <w16cid:commentId w16cid:paraId="4EEA6313" w16cid:durableId="23C7ED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C6E2E" w14:textId="77777777" w:rsidR="00053FA0" w:rsidRDefault="00053FA0" w:rsidP="003203D9">
      <w:r>
        <w:separator/>
      </w:r>
    </w:p>
    <w:p w14:paraId="4FABACE8" w14:textId="77777777" w:rsidR="00053FA0" w:rsidRDefault="00053FA0" w:rsidP="003203D9"/>
  </w:endnote>
  <w:endnote w:type="continuationSeparator" w:id="0">
    <w:p w14:paraId="2E1637BC" w14:textId="77777777" w:rsidR="00053FA0" w:rsidRDefault="00053FA0" w:rsidP="003203D9">
      <w:r>
        <w:continuationSeparator/>
      </w:r>
    </w:p>
    <w:p w14:paraId="2564F5AC" w14:textId="77777777" w:rsidR="00053FA0" w:rsidRDefault="00053FA0" w:rsidP="003203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iti SC Light">
    <w:charset w:val="80"/>
    <w:family w:val="auto"/>
    <w:pitch w:val="variable"/>
    <w:sig w:usb0="8000002F" w:usb1="0807004A" w:usb2="00000010" w:usb3="00000000" w:csb0="003E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52E65" w14:textId="152C30AB" w:rsidR="00053FA0" w:rsidRPr="00FB1386" w:rsidRDefault="00053FA0" w:rsidP="003203D9">
    <w:pPr>
      <w:pStyle w:val="Footer"/>
    </w:pPr>
  </w:p>
  <w:p w14:paraId="1A0D1048" w14:textId="77777777" w:rsidR="00053FA0" w:rsidRDefault="00053FA0" w:rsidP="003203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570CB" w14:textId="77777777" w:rsidR="00053FA0" w:rsidRDefault="00053FA0" w:rsidP="003203D9">
      <w:r>
        <w:separator/>
      </w:r>
    </w:p>
    <w:p w14:paraId="0BC4DAEA" w14:textId="77777777" w:rsidR="00053FA0" w:rsidRDefault="00053FA0" w:rsidP="003203D9"/>
  </w:footnote>
  <w:footnote w:type="continuationSeparator" w:id="0">
    <w:p w14:paraId="4BC7DC92" w14:textId="77777777" w:rsidR="00053FA0" w:rsidRDefault="00053FA0" w:rsidP="003203D9">
      <w:r>
        <w:continuationSeparator/>
      </w:r>
    </w:p>
    <w:p w14:paraId="4D65AF58" w14:textId="77777777" w:rsidR="00053FA0" w:rsidRDefault="00053FA0" w:rsidP="003203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6478F" w14:textId="5FF1A273" w:rsidR="00053FA0" w:rsidRDefault="00053FA0" w:rsidP="00ED448E">
    <w:pPr>
      <w:pStyle w:val="Header"/>
      <w:jc w:val="left"/>
    </w:pPr>
    <w:r>
      <w:t xml:space="preserve">Bullen </w:t>
    </w:r>
    <w:r w:rsidRPr="00A01C25">
      <w:rPr>
        <w:i/>
      </w:rPr>
      <w:t>et al.</w:t>
    </w:r>
    <w:r>
      <w:t xml:space="preserve"> (2021)</w:t>
    </w:r>
    <w:r>
      <w:ptab w:relativeTo="margin" w:alignment="center" w:leader="none"/>
    </w:r>
    <w:r>
      <w:t>A revised p</w:t>
    </w:r>
    <w:r w:rsidR="0001230D">
      <w:t>seudo-second order</w:t>
    </w:r>
    <w:r>
      <w:t xml:space="preserve"> kinetic model for adsorption</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807E7"/>
    <w:multiLevelType w:val="hybridMultilevel"/>
    <w:tmpl w:val="B0DC9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963F1D"/>
    <w:multiLevelType w:val="hybridMultilevel"/>
    <w:tmpl w:val="E0CC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A6541"/>
    <w:multiLevelType w:val="hybridMultilevel"/>
    <w:tmpl w:val="187C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766D5B"/>
    <w:multiLevelType w:val="multilevel"/>
    <w:tmpl w:val="AB66E2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3DE237A"/>
    <w:multiLevelType w:val="hybridMultilevel"/>
    <w:tmpl w:val="8FFADB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F3966"/>
    <w:multiLevelType w:val="hybridMultilevel"/>
    <w:tmpl w:val="F26E0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3A7EF7"/>
    <w:multiLevelType w:val="hybridMultilevel"/>
    <w:tmpl w:val="6230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2D67E3"/>
    <w:multiLevelType w:val="multilevel"/>
    <w:tmpl w:val="62665B54"/>
    <w:lvl w:ilvl="0">
      <w:start w:val="1"/>
      <w:numFmt w:val="decimal"/>
      <w:pStyle w:val="Heading1"/>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4C77A04"/>
    <w:multiLevelType w:val="hybridMultilevel"/>
    <w:tmpl w:val="81C0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2"/>
  </w:num>
  <w:num w:numId="6">
    <w:abstractNumId w:val="8"/>
  </w:num>
  <w:num w:numId="7">
    <w:abstractNumId w:val="6"/>
  </w:num>
  <w:num w:numId="8">
    <w:abstractNumId w:val="4"/>
  </w:num>
  <w:num w:numId="9">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llen, Jay">
    <w15:presenceInfo w15:providerId="AD" w15:userId="S-1-5-21-243037206-41955558-561332275-1154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s-MX" w:vendorID="64" w:dllVersion="6" w:nlCheck="1" w:checkStyle="0"/>
  <w:activeWritingStyle w:appName="MSWord" w:lang="en-GB" w:vendorID="64" w:dllVersion="6" w:nlCheck="1" w:checkStyle="1"/>
  <w:activeWritingStyle w:appName="MSWord" w:lang="en-GB"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3C0"/>
    <w:rsid w:val="0000159D"/>
    <w:rsid w:val="00001EE8"/>
    <w:rsid w:val="0000243F"/>
    <w:rsid w:val="00002BC8"/>
    <w:rsid w:val="00002DCC"/>
    <w:rsid w:val="00003931"/>
    <w:rsid w:val="00003A48"/>
    <w:rsid w:val="00003D95"/>
    <w:rsid w:val="00004BAC"/>
    <w:rsid w:val="00004DA4"/>
    <w:rsid w:val="00004FC7"/>
    <w:rsid w:val="000054B4"/>
    <w:rsid w:val="000060B5"/>
    <w:rsid w:val="00006380"/>
    <w:rsid w:val="00006C04"/>
    <w:rsid w:val="00006F31"/>
    <w:rsid w:val="000076F0"/>
    <w:rsid w:val="0000797F"/>
    <w:rsid w:val="00007A58"/>
    <w:rsid w:val="00007B94"/>
    <w:rsid w:val="000115BF"/>
    <w:rsid w:val="00011D89"/>
    <w:rsid w:val="00011F28"/>
    <w:rsid w:val="0001230D"/>
    <w:rsid w:val="0001360A"/>
    <w:rsid w:val="00013EE9"/>
    <w:rsid w:val="00013FBB"/>
    <w:rsid w:val="0001578D"/>
    <w:rsid w:val="000158DC"/>
    <w:rsid w:val="00015E57"/>
    <w:rsid w:val="00016C3E"/>
    <w:rsid w:val="00016C59"/>
    <w:rsid w:val="0001746D"/>
    <w:rsid w:val="00017977"/>
    <w:rsid w:val="00020240"/>
    <w:rsid w:val="0002093E"/>
    <w:rsid w:val="0002118A"/>
    <w:rsid w:val="000215DE"/>
    <w:rsid w:val="0002234A"/>
    <w:rsid w:val="000227DA"/>
    <w:rsid w:val="00023015"/>
    <w:rsid w:val="00023586"/>
    <w:rsid w:val="00023D85"/>
    <w:rsid w:val="00024010"/>
    <w:rsid w:val="0002463A"/>
    <w:rsid w:val="00024B38"/>
    <w:rsid w:val="000250CB"/>
    <w:rsid w:val="00025391"/>
    <w:rsid w:val="000259AD"/>
    <w:rsid w:val="000276F3"/>
    <w:rsid w:val="00027852"/>
    <w:rsid w:val="00027AB8"/>
    <w:rsid w:val="00030901"/>
    <w:rsid w:val="00030E0A"/>
    <w:rsid w:val="000311BF"/>
    <w:rsid w:val="00031446"/>
    <w:rsid w:val="000319C2"/>
    <w:rsid w:val="00031EAD"/>
    <w:rsid w:val="00032829"/>
    <w:rsid w:val="00033838"/>
    <w:rsid w:val="000338DF"/>
    <w:rsid w:val="000358E7"/>
    <w:rsid w:val="00035912"/>
    <w:rsid w:val="00035B18"/>
    <w:rsid w:val="0003613D"/>
    <w:rsid w:val="000362A2"/>
    <w:rsid w:val="00036AB2"/>
    <w:rsid w:val="00036BC6"/>
    <w:rsid w:val="00036C5D"/>
    <w:rsid w:val="00037198"/>
    <w:rsid w:val="00037773"/>
    <w:rsid w:val="00037984"/>
    <w:rsid w:val="000379B3"/>
    <w:rsid w:val="00037CA3"/>
    <w:rsid w:val="000425C7"/>
    <w:rsid w:val="00042BFE"/>
    <w:rsid w:val="00042C82"/>
    <w:rsid w:val="000436C1"/>
    <w:rsid w:val="00044370"/>
    <w:rsid w:val="000448B3"/>
    <w:rsid w:val="00044A40"/>
    <w:rsid w:val="00044E48"/>
    <w:rsid w:val="0004589D"/>
    <w:rsid w:val="00045A62"/>
    <w:rsid w:val="00045AC3"/>
    <w:rsid w:val="00045AF9"/>
    <w:rsid w:val="00045DD6"/>
    <w:rsid w:val="00045DEE"/>
    <w:rsid w:val="000460D7"/>
    <w:rsid w:val="00046DCC"/>
    <w:rsid w:val="00047215"/>
    <w:rsid w:val="00047378"/>
    <w:rsid w:val="0004753E"/>
    <w:rsid w:val="00050AE0"/>
    <w:rsid w:val="0005127F"/>
    <w:rsid w:val="0005154D"/>
    <w:rsid w:val="00051B4C"/>
    <w:rsid w:val="00051D68"/>
    <w:rsid w:val="00051EB4"/>
    <w:rsid w:val="0005294D"/>
    <w:rsid w:val="000531CB"/>
    <w:rsid w:val="00053FA0"/>
    <w:rsid w:val="00054152"/>
    <w:rsid w:val="00054BA5"/>
    <w:rsid w:val="00054BC6"/>
    <w:rsid w:val="00054D73"/>
    <w:rsid w:val="00055D09"/>
    <w:rsid w:val="00056059"/>
    <w:rsid w:val="00056F57"/>
    <w:rsid w:val="00057F02"/>
    <w:rsid w:val="00060C89"/>
    <w:rsid w:val="00060E73"/>
    <w:rsid w:val="000616D1"/>
    <w:rsid w:val="00061ACB"/>
    <w:rsid w:val="00062073"/>
    <w:rsid w:val="00062F8B"/>
    <w:rsid w:val="000631AC"/>
    <w:rsid w:val="000634F4"/>
    <w:rsid w:val="0006352B"/>
    <w:rsid w:val="00064C43"/>
    <w:rsid w:val="00065219"/>
    <w:rsid w:val="00065A33"/>
    <w:rsid w:val="00065BD7"/>
    <w:rsid w:val="00066372"/>
    <w:rsid w:val="00066BCE"/>
    <w:rsid w:val="00066D01"/>
    <w:rsid w:val="000670A0"/>
    <w:rsid w:val="00067647"/>
    <w:rsid w:val="0007112F"/>
    <w:rsid w:val="0007118C"/>
    <w:rsid w:val="000719FA"/>
    <w:rsid w:val="00071CD7"/>
    <w:rsid w:val="00071FE0"/>
    <w:rsid w:val="0007310B"/>
    <w:rsid w:val="00073233"/>
    <w:rsid w:val="00073547"/>
    <w:rsid w:val="000742AD"/>
    <w:rsid w:val="000742B8"/>
    <w:rsid w:val="000743A0"/>
    <w:rsid w:val="00074518"/>
    <w:rsid w:val="000745AD"/>
    <w:rsid w:val="00074C8A"/>
    <w:rsid w:val="00074EFA"/>
    <w:rsid w:val="00075393"/>
    <w:rsid w:val="0007619E"/>
    <w:rsid w:val="00077B91"/>
    <w:rsid w:val="0008043E"/>
    <w:rsid w:val="0008259A"/>
    <w:rsid w:val="00083339"/>
    <w:rsid w:val="00084249"/>
    <w:rsid w:val="00084A7C"/>
    <w:rsid w:val="0008568D"/>
    <w:rsid w:val="00086879"/>
    <w:rsid w:val="0008692C"/>
    <w:rsid w:val="000869CF"/>
    <w:rsid w:val="0008751F"/>
    <w:rsid w:val="00087538"/>
    <w:rsid w:val="0008769F"/>
    <w:rsid w:val="00087745"/>
    <w:rsid w:val="00087876"/>
    <w:rsid w:val="00087C3B"/>
    <w:rsid w:val="00087DD4"/>
    <w:rsid w:val="00090EAD"/>
    <w:rsid w:val="000912FF"/>
    <w:rsid w:val="000917D1"/>
    <w:rsid w:val="00092022"/>
    <w:rsid w:val="000923CF"/>
    <w:rsid w:val="0009396E"/>
    <w:rsid w:val="0009422F"/>
    <w:rsid w:val="000948C6"/>
    <w:rsid w:val="00096C4F"/>
    <w:rsid w:val="00097920"/>
    <w:rsid w:val="000A0947"/>
    <w:rsid w:val="000A0B50"/>
    <w:rsid w:val="000A0C38"/>
    <w:rsid w:val="000A0CD6"/>
    <w:rsid w:val="000A0D19"/>
    <w:rsid w:val="000A18A7"/>
    <w:rsid w:val="000A1C47"/>
    <w:rsid w:val="000A23B8"/>
    <w:rsid w:val="000A2725"/>
    <w:rsid w:val="000A286D"/>
    <w:rsid w:val="000A3FEB"/>
    <w:rsid w:val="000A46DF"/>
    <w:rsid w:val="000A4AEE"/>
    <w:rsid w:val="000A4C30"/>
    <w:rsid w:val="000A53EC"/>
    <w:rsid w:val="000A6DE3"/>
    <w:rsid w:val="000A7101"/>
    <w:rsid w:val="000A742A"/>
    <w:rsid w:val="000B0364"/>
    <w:rsid w:val="000B0C60"/>
    <w:rsid w:val="000B14A2"/>
    <w:rsid w:val="000B2499"/>
    <w:rsid w:val="000B29DF"/>
    <w:rsid w:val="000B39B1"/>
    <w:rsid w:val="000B40E8"/>
    <w:rsid w:val="000B420D"/>
    <w:rsid w:val="000B5EBF"/>
    <w:rsid w:val="000B6AA1"/>
    <w:rsid w:val="000B6D5D"/>
    <w:rsid w:val="000B7211"/>
    <w:rsid w:val="000B7C5B"/>
    <w:rsid w:val="000C053F"/>
    <w:rsid w:val="000C109F"/>
    <w:rsid w:val="000C13B9"/>
    <w:rsid w:val="000C329B"/>
    <w:rsid w:val="000C32F1"/>
    <w:rsid w:val="000C3C92"/>
    <w:rsid w:val="000C5184"/>
    <w:rsid w:val="000C5DDC"/>
    <w:rsid w:val="000C5FFE"/>
    <w:rsid w:val="000C65F1"/>
    <w:rsid w:val="000C6C27"/>
    <w:rsid w:val="000C734D"/>
    <w:rsid w:val="000C7840"/>
    <w:rsid w:val="000D0E67"/>
    <w:rsid w:val="000D14EA"/>
    <w:rsid w:val="000D1ECE"/>
    <w:rsid w:val="000D2587"/>
    <w:rsid w:val="000D2E79"/>
    <w:rsid w:val="000D3BAA"/>
    <w:rsid w:val="000D3CAF"/>
    <w:rsid w:val="000D438A"/>
    <w:rsid w:val="000D4C77"/>
    <w:rsid w:val="000D4CD9"/>
    <w:rsid w:val="000D54EA"/>
    <w:rsid w:val="000D556D"/>
    <w:rsid w:val="000D57EB"/>
    <w:rsid w:val="000D5CD8"/>
    <w:rsid w:val="000D643D"/>
    <w:rsid w:val="000D64C3"/>
    <w:rsid w:val="000D7B1E"/>
    <w:rsid w:val="000D7F55"/>
    <w:rsid w:val="000E0543"/>
    <w:rsid w:val="000E094A"/>
    <w:rsid w:val="000E0A60"/>
    <w:rsid w:val="000E125C"/>
    <w:rsid w:val="000E15C9"/>
    <w:rsid w:val="000E1895"/>
    <w:rsid w:val="000E1FD3"/>
    <w:rsid w:val="000E2004"/>
    <w:rsid w:val="000E22BE"/>
    <w:rsid w:val="000E2890"/>
    <w:rsid w:val="000E2B70"/>
    <w:rsid w:val="000E337A"/>
    <w:rsid w:val="000E3F0A"/>
    <w:rsid w:val="000E4A2D"/>
    <w:rsid w:val="000E4A70"/>
    <w:rsid w:val="000E4C31"/>
    <w:rsid w:val="000E5C6A"/>
    <w:rsid w:val="000E6423"/>
    <w:rsid w:val="000E6CF7"/>
    <w:rsid w:val="000F05B3"/>
    <w:rsid w:val="000F14EC"/>
    <w:rsid w:val="000F1721"/>
    <w:rsid w:val="000F3AA5"/>
    <w:rsid w:val="000F4B0E"/>
    <w:rsid w:val="000F6B21"/>
    <w:rsid w:val="000F6E35"/>
    <w:rsid w:val="000F739D"/>
    <w:rsid w:val="000F75FB"/>
    <w:rsid w:val="001000FF"/>
    <w:rsid w:val="00100622"/>
    <w:rsid w:val="001009C1"/>
    <w:rsid w:val="001019EB"/>
    <w:rsid w:val="00101F7D"/>
    <w:rsid w:val="00101F85"/>
    <w:rsid w:val="00102072"/>
    <w:rsid w:val="00102263"/>
    <w:rsid w:val="00102409"/>
    <w:rsid w:val="001029E1"/>
    <w:rsid w:val="00102F6A"/>
    <w:rsid w:val="0010352C"/>
    <w:rsid w:val="001038A5"/>
    <w:rsid w:val="001046B5"/>
    <w:rsid w:val="00104F90"/>
    <w:rsid w:val="00105AD2"/>
    <w:rsid w:val="00106DF0"/>
    <w:rsid w:val="00107550"/>
    <w:rsid w:val="00110469"/>
    <w:rsid w:val="00110D3F"/>
    <w:rsid w:val="00111326"/>
    <w:rsid w:val="00111B76"/>
    <w:rsid w:val="00111C7A"/>
    <w:rsid w:val="001124FA"/>
    <w:rsid w:val="00112868"/>
    <w:rsid w:val="00112F74"/>
    <w:rsid w:val="00113362"/>
    <w:rsid w:val="00113725"/>
    <w:rsid w:val="001142B8"/>
    <w:rsid w:val="00114768"/>
    <w:rsid w:val="00114990"/>
    <w:rsid w:val="00115006"/>
    <w:rsid w:val="00115E34"/>
    <w:rsid w:val="0011780C"/>
    <w:rsid w:val="00117C7E"/>
    <w:rsid w:val="00120ACD"/>
    <w:rsid w:val="00120D91"/>
    <w:rsid w:val="00121854"/>
    <w:rsid w:val="00122D53"/>
    <w:rsid w:val="00122E08"/>
    <w:rsid w:val="00123800"/>
    <w:rsid w:val="00123D56"/>
    <w:rsid w:val="00124175"/>
    <w:rsid w:val="001241B0"/>
    <w:rsid w:val="0012467C"/>
    <w:rsid w:val="00124E10"/>
    <w:rsid w:val="00124ED3"/>
    <w:rsid w:val="00125118"/>
    <w:rsid w:val="0012586B"/>
    <w:rsid w:val="0012588F"/>
    <w:rsid w:val="00126033"/>
    <w:rsid w:val="00126349"/>
    <w:rsid w:val="00126E18"/>
    <w:rsid w:val="00127131"/>
    <w:rsid w:val="001273E4"/>
    <w:rsid w:val="001275A2"/>
    <w:rsid w:val="0013189B"/>
    <w:rsid w:val="00131F29"/>
    <w:rsid w:val="0013298B"/>
    <w:rsid w:val="00132B4D"/>
    <w:rsid w:val="00132CB0"/>
    <w:rsid w:val="0013300C"/>
    <w:rsid w:val="0013388B"/>
    <w:rsid w:val="00133D0B"/>
    <w:rsid w:val="00133F0F"/>
    <w:rsid w:val="001341A5"/>
    <w:rsid w:val="001348DE"/>
    <w:rsid w:val="00135510"/>
    <w:rsid w:val="001357BA"/>
    <w:rsid w:val="00135A0D"/>
    <w:rsid w:val="00135EE0"/>
    <w:rsid w:val="00136FB7"/>
    <w:rsid w:val="0014026B"/>
    <w:rsid w:val="001409D7"/>
    <w:rsid w:val="00140B97"/>
    <w:rsid w:val="00140E55"/>
    <w:rsid w:val="00142D0F"/>
    <w:rsid w:val="00142E55"/>
    <w:rsid w:val="0014364B"/>
    <w:rsid w:val="00143C8C"/>
    <w:rsid w:val="00144EA0"/>
    <w:rsid w:val="0014500E"/>
    <w:rsid w:val="00146243"/>
    <w:rsid w:val="00146363"/>
    <w:rsid w:val="00146588"/>
    <w:rsid w:val="00146E41"/>
    <w:rsid w:val="00146F83"/>
    <w:rsid w:val="001471D1"/>
    <w:rsid w:val="00147DF2"/>
    <w:rsid w:val="00150235"/>
    <w:rsid w:val="00151DAF"/>
    <w:rsid w:val="00151E5A"/>
    <w:rsid w:val="001520F5"/>
    <w:rsid w:val="001526CC"/>
    <w:rsid w:val="001526FB"/>
    <w:rsid w:val="001538C1"/>
    <w:rsid w:val="00154A3F"/>
    <w:rsid w:val="00154F91"/>
    <w:rsid w:val="00155CF2"/>
    <w:rsid w:val="0015607A"/>
    <w:rsid w:val="0015742D"/>
    <w:rsid w:val="00157B3E"/>
    <w:rsid w:val="00157DB1"/>
    <w:rsid w:val="00157DF5"/>
    <w:rsid w:val="00160131"/>
    <w:rsid w:val="00160D1F"/>
    <w:rsid w:val="00160EEE"/>
    <w:rsid w:val="001610D8"/>
    <w:rsid w:val="0016166B"/>
    <w:rsid w:val="001622B2"/>
    <w:rsid w:val="00162733"/>
    <w:rsid w:val="00162A65"/>
    <w:rsid w:val="0016318D"/>
    <w:rsid w:val="001635DE"/>
    <w:rsid w:val="00163E11"/>
    <w:rsid w:val="0016433E"/>
    <w:rsid w:val="0016626E"/>
    <w:rsid w:val="00166AB5"/>
    <w:rsid w:val="00166D2F"/>
    <w:rsid w:val="00166DAA"/>
    <w:rsid w:val="00167AE2"/>
    <w:rsid w:val="00167E90"/>
    <w:rsid w:val="001708A5"/>
    <w:rsid w:val="00170A7C"/>
    <w:rsid w:val="00170A91"/>
    <w:rsid w:val="00171643"/>
    <w:rsid w:val="001718FA"/>
    <w:rsid w:val="00172AD6"/>
    <w:rsid w:val="00172B8D"/>
    <w:rsid w:val="001731EC"/>
    <w:rsid w:val="0017378C"/>
    <w:rsid w:val="0017407A"/>
    <w:rsid w:val="00174694"/>
    <w:rsid w:val="00174B92"/>
    <w:rsid w:val="001757EF"/>
    <w:rsid w:val="00175A85"/>
    <w:rsid w:val="00175AEC"/>
    <w:rsid w:val="0017794A"/>
    <w:rsid w:val="001779EF"/>
    <w:rsid w:val="00177BFA"/>
    <w:rsid w:val="00177DF5"/>
    <w:rsid w:val="00177FBE"/>
    <w:rsid w:val="0018027D"/>
    <w:rsid w:val="001806DD"/>
    <w:rsid w:val="00181442"/>
    <w:rsid w:val="00181BD5"/>
    <w:rsid w:val="0018253C"/>
    <w:rsid w:val="00182C95"/>
    <w:rsid w:val="0018375D"/>
    <w:rsid w:val="0018597E"/>
    <w:rsid w:val="00185B11"/>
    <w:rsid w:val="00185CB6"/>
    <w:rsid w:val="0018631C"/>
    <w:rsid w:val="001865FC"/>
    <w:rsid w:val="0018689B"/>
    <w:rsid w:val="001868BB"/>
    <w:rsid w:val="00187293"/>
    <w:rsid w:val="0019047D"/>
    <w:rsid w:val="001910EF"/>
    <w:rsid w:val="001912F7"/>
    <w:rsid w:val="00191B41"/>
    <w:rsid w:val="00193145"/>
    <w:rsid w:val="00193A46"/>
    <w:rsid w:val="00193F6A"/>
    <w:rsid w:val="001943DE"/>
    <w:rsid w:val="00194E83"/>
    <w:rsid w:val="00194F0C"/>
    <w:rsid w:val="00194F47"/>
    <w:rsid w:val="00196BEB"/>
    <w:rsid w:val="00197199"/>
    <w:rsid w:val="001A102C"/>
    <w:rsid w:val="001A104C"/>
    <w:rsid w:val="001A1359"/>
    <w:rsid w:val="001A1B6C"/>
    <w:rsid w:val="001A2DAB"/>
    <w:rsid w:val="001A3162"/>
    <w:rsid w:val="001A3631"/>
    <w:rsid w:val="001A380F"/>
    <w:rsid w:val="001A3A27"/>
    <w:rsid w:val="001A5EAA"/>
    <w:rsid w:val="001A607D"/>
    <w:rsid w:val="001A776F"/>
    <w:rsid w:val="001A7AFD"/>
    <w:rsid w:val="001B05DF"/>
    <w:rsid w:val="001B062A"/>
    <w:rsid w:val="001B0B7E"/>
    <w:rsid w:val="001B12C8"/>
    <w:rsid w:val="001B1E9A"/>
    <w:rsid w:val="001B36A2"/>
    <w:rsid w:val="001B3B5D"/>
    <w:rsid w:val="001B4C8C"/>
    <w:rsid w:val="001B514C"/>
    <w:rsid w:val="001B56D7"/>
    <w:rsid w:val="001B5F4F"/>
    <w:rsid w:val="001B619C"/>
    <w:rsid w:val="001B649B"/>
    <w:rsid w:val="001B6AC8"/>
    <w:rsid w:val="001B6ACC"/>
    <w:rsid w:val="001B791E"/>
    <w:rsid w:val="001B7BCC"/>
    <w:rsid w:val="001C0145"/>
    <w:rsid w:val="001C08E4"/>
    <w:rsid w:val="001C0AD5"/>
    <w:rsid w:val="001C0B04"/>
    <w:rsid w:val="001C124E"/>
    <w:rsid w:val="001C1250"/>
    <w:rsid w:val="001C15E6"/>
    <w:rsid w:val="001C2FF5"/>
    <w:rsid w:val="001C4DAC"/>
    <w:rsid w:val="001C5FB4"/>
    <w:rsid w:val="001C63AE"/>
    <w:rsid w:val="001C71C4"/>
    <w:rsid w:val="001C7612"/>
    <w:rsid w:val="001D0466"/>
    <w:rsid w:val="001D1797"/>
    <w:rsid w:val="001D28B0"/>
    <w:rsid w:val="001D2A85"/>
    <w:rsid w:val="001D3749"/>
    <w:rsid w:val="001D3934"/>
    <w:rsid w:val="001D39B9"/>
    <w:rsid w:val="001D417B"/>
    <w:rsid w:val="001D4450"/>
    <w:rsid w:val="001D5C35"/>
    <w:rsid w:val="001D6355"/>
    <w:rsid w:val="001D6D82"/>
    <w:rsid w:val="001D6E0F"/>
    <w:rsid w:val="001D6FC8"/>
    <w:rsid w:val="001D7210"/>
    <w:rsid w:val="001D794F"/>
    <w:rsid w:val="001D79CE"/>
    <w:rsid w:val="001E0609"/>
    <w:rsid w:val="001E099E"/>
    <w:rsid w:val="001E0E42"/>
    <w:rsid w:val="001E0EDB"/>
    <w:rsid w:val="001E188B"/>
    <w:rsid w:val="001E195F"/>
    <w:rsid w:val="001E1A93"/>
    <w:rsid w:val="001E26CD"/>
    <w:rsid w:val="001E2D37"/>
    <w:rsid w:val="001E323C"/>
    <w:rsid w:val="001E45D3"/>
    <w:rsid w:val="001E4966"/>
    <w:rsid w:val="001E648B"/>
    <w:rsid w:val="001E67AC"/>
    <w:rsid w:val="001E74A8"/>
    <w:rsid w:val="001F027E"/>
    <w:rsid w:val="001F0F2B"/>
    <w:rsid w:val="001F2094"/>
    <w:rsid w:val="001F23DE"/>
    <w:rsid w:val="001F2489"/>
    <w:rsid w:val="001F358C"/>
    <w:rsid w:val="001F3E35"/>
    <w:rsid w:val="001F4056"/>
    <w:rsid w:val="001F4302"/>
    <w:rsid w:val="001F485D"/>
    <w:rsid w:val="001F4864"/>
    <w:rsid w:val="001F4A65"/>
    <w:rsid w:val="001F4BEA"/>
    <w:rsid w:val="001F4ED4"/>
    <w:rsid w:val="001F506D"/>
    <w:rsid w:val="001F50BD"/>
    <w:rsid w:val="001F5316"/>
    <w:rsid w:val="001F5649"/>
    <w:rsid w:val="001F5804"/>
    <w:rsid w:val="001F69E7"/>
    <w:rsid w:val="00200D69"/>
    <w:rsid w:val="00200E3E"/>
    <w:rsid w:val="00201D4E"/>
    <w:rsid w:val="00201E14"/>
    <w:rsid w:val="002020E7"/>
    <w:rsid w:val="002040C9"/>
    <w:rsid w:val="00204DBD"/>
    <w:rsid w:val="00205890"/>
    <w:rsid w:val="00206095"/>
    <w:rsid w:val="00206176"/>
    <w:rsid w:val="00206700"/>
    <w:rsid w:val="00207B61"/>
    <w:rsid w:val="00210CFD"/>
    <w:rsid w:val="00210FAD"/>
    <w:rsid w:val="002111D7"/>
    <w:rsid w:val="002118D6"/>
    <w:rsid w:val="002119F3"/>
    <w:rsid w:val="002128CF"/>
    <w:rsid w:val="00212E3E"/>
    <w:rsid w:val="002141A3"/>
    <w:rsid w:val="00214FCA"/>
    <w:rsid w:val="002165BF"/>
    <w:rsid w:val="00216A6F"/>
    <w:rsid w:val="002175EA"/>
    <w:rsid w:val="00217E4A"/>
    <w:rsid w:val="00220B4F"/>
    <w:rsid w:val="00220BF0"/>
    <w:rsid w:val="0022107C"/>
    <w:rsid w:val="00221ADA"/>
    <w:rsid w:val="002221CF"/>
    <w:rsid w:val="002228EB"/>
    <w:rsid w:val="00223740"/>
    <w:rsid w:val="00223891"/>
    <w:rsid w:val="00223A3A"/>
    <w:rsid w:val="00223AE7"/>
    <w:rsid w:val="002241ED"/>
    <w:rsid w:val="00224203"/>
    <w:rsid w:val="00224A5B"/>
    <w:rsid w:val="00225133"/>
    <w:rsid w:val="00225D57"/>
    <w:rsid w:val="00225FFF"/>
    <w:rsid w:val="00226C67"/>
    <w:rsid w:val="0022710D"/>
    <w:rsid w:val="00227754"/>
    <w:rsid w:val="00227759"/>
    <w:rsid w:val="002278EA"/>
    <w:rsid w:val="00227D0C"/>
    <w:rsid w:val="00227ECF"/>
    <w:rsid w:val="0023037B"/>
    <w:rsid w:val="00230ED7"/>
    <w:rsid w:val="0023127C"/>
    <w:rsid w:val="002313A5"/>
    <w:rsid w:val="002314EB"/>
    <w:rsid w:val="00231DCE"/>
    <w:rsid w:val="00232992"/>
    <w:rsid w:val="002337AB"/>
    <w:rsid w:val="00233E49"/>
    <w:rsid w:val="002353E5"/>
    <w:rsid w:val="00235754"/>
    <w:rsid w:val="0023699C"/>
    <w:rsid w:val="00237036"/>
    <w:rsid w:val="00237CA8"/>
    <w:rsid w:val="00237EBE"/>
    <w:rsid w:val="00241110"/>
    <w:rsid w:val="00241997"/>
    <w:rsid w:val="002420F9"/>
    <w:rsid w:val="002421C9"/>
    <w:rsid w:val="0024287C"/>
    <w:rsid w:val="00242D58"/>
    <w:rsid w:val="00243BAE"/>
    <w:rsid w:val="00243E03"/>
    <w:rsid w:val="00245B4E"/>
    <w:rsid w:val="00245B89"/>
    <w:rsid w:val="00246BDF"/>
    <w:rsid w:val="002470E0"/>
    <w:rsid w:val="00247629"/>
    <w:rsid w:val="00247BDD"/>
    <w:rsid w:val="00247F28"/>
    <w:rsid w:val="00250112"/>
    <w:rsid w:val="00250B66"/>
    <w:rsid w:val="00250E87"/>
    <w:rsid w:val="00250FA4"/>
    <w:rsid w:val="0025183F"/>
    <w:rsid w:val="002518AA"/>
    <w:rsid w:val="00251B87"/>
    <w:rsid w:val="00251DD4"/>
    <w:rsid w:val="00251FC0"/>
    <w:rsid w:val="002524AD"/>
    <w:rsid w:val="00252727"/>
    <w:rsid w:val="00252A3C"/>
    <w:rsid w:val="00252A77"/>
    <w:rsid w:val="002534DB"/>
    <w:rsid w:val="00253850"/>
    <w:rsid w:val="00254023"/>
    <w:rsid w:val="00254655"/>
    <w:rsid w:val="002548E0"/>
    <w:rsid w:val="002549C7"/>
    <w:rsid w:val="002549FC"/>
    <w:rsid w:val="00255ED9"/>
    <w:rsid w:val="0025659C"/>
    <w:rsid w:val="00256794"/>
    <w:rsid w:val="002567A0"/>
    <w:rsid w:val="00256B2F"/>
    <w:rsid w:val="00257E96"/>
    <w:rsid w:val="00260070"/>
    <w:rsid w:val="00260143"/>
    <w:rsid w:val="00260CBE"/>
    <w:rsid w:val="00260DC8"/>
    <w:rsid w:val="00261071"/>
    <w:rsid w:val="002614C5"/>
    <w:rsid w:val="00261743"/>
    <w:rsid w:val="002618DD"/>
    <w:rsid w:val="002625CF"/>
    <w:rsid w:val="0026407E"/>
    <w:rsid w:val="0026414D"/>
    <w:rsid w:val="00264CF7"/>
    <w:rsid w:val="00265153"/>
    <w:rsid w:val="00266231"/>
    <w:rsid w:val="00266821"/>
    <w:rsid w:val="002668C4"/>
    <w:rsid w:val="00266FEA"/>
    <w:rsid w:val="00270374"/>
    <w:rsid w:val="00271017"/>
    <w:rsid w:val="0027109F"/>
    <w:rsid w:val="002711A0"/>
    <w:rsid w:val="002716E3"/>
    <w:rsid w:val="0027172C"/>
    <w:rsid w:val="0027185F"/>
    <w:rsid w:val="00272C9E"/>
    <w:rsid w:val="00273003"/>
    <w:rsid w:val="002730DD"/>
    <w:rsid w:val="0027359C"/>
    <w:rsid w:val="002739F5"/>
    <w:rsid w:val="002741B4"/>
    <w:rsid w:val="00274638"/>
    <w:rsid w:val="00274D9F"/>
    <w:rsid w:val="00275B54"/>
    <w:rsid w:val="00275E13"/>
    <w:rsid w:val="00276F32"/>
    <w:rsid w:val="002775DB"/>
    <w:rsid w:val="002802AA"/>
    <w:rsid w:val="00280AB6"/>
    <w:rsid w:val="0028122F"/>
    <w:rsid w:val="00281426"/>
    <w:rsid w:val="00281749"/>
    <w:rsid w:val="00281DC8"/>
    <w:rsid w:val="002824BD"/>
    <w:rsid w:val="00283445"/>
    <w:rsid w:val="00283B6F"/>
    <w:rsid w:val="00283C93"/>
    <w:rsid w:val="0028462B"/>
    <w:rsid w:val="00285AC7"/>
    <w:rsid w:val="00285F2A"/>
    <w:rsid w:val="00286A68"/>
    <w:rsid w:val="002900BA"/>
    <w:rsid w:val="00290A2D"/>
    <w:rsid w:val="00290DD4"/>
    <w:rsid w:val="00291C41"/>
    <w:rsid w:val="00291F2F"/>
    <w:rsid w:val="00292513"/>
    <w:rsid w:val="002932BE"/>
    <w:rsid w:val="0029335F"/>
    <w:rsid w:val="00293C29"/>
    <w:rsid w:val="00293C68"/>
    <w:rsid w:val="00293F34"/>
    <w:rsid w:val="002956E9"/>
    <w:rsid w:val="00295960"/>
    <w:rsid w:val="00295F69"/>
    <w:rsid w:val="00296B7A"/>
    <w:rsid w:val="002971AB"/>
    <w:rsid w:val="00297B6F"/>
    <w:rsid w:val="00297D8B"/>
    <w:rsid w:val="002A1340"/>
    <w:rsid w:val="002A192C"/>
    <w:rsid w:val="002A1DCE"/>
    <w:rsid w:val="002A2C59"/>
    <w:rsid w:val="002A2CDC"/>
    <w:rsid w:val="002A33C4"/>
    <w:rsid w:val="002A36B6"/>
    <w:rsid w:val="002A4056"/>
    <w:rsid w:val="002A4414"/>
    <w:rsid w:val="002A5065"/>
    <w:rsid w:val="002A545A"/>
    <w:rsid w:val="002A5749"/>
    <w:rsid w:val="002A58DC"/>
    <w:rsid w:val="002A7646"/>
    <w:rsid w:val="002B003E"/>
    <w:rsid w:val="002B0967"/>
    <w:rsid w:val="002B17B4"/>
    <w:rsid w:val="002B19A8"/>
    <w:rsid w:val="002B1A6F"/>
    <w:rsid w:val="002B1E36"/>
    <w:rsid w:val="002B1F0D"/>
    <w:rsid w:val="002B2830"/>
    <w:rsid w:val="002B2934"/>
    <w:rsid w:val="002B2A0A"/>
    <w:rsid w:val="002B2C0D"/>
    <w:rsid w:val="002B2C77"/>
    <w:rsid w:val="002B3229"/>
    <w:rsid w:val="002B3515"/>
    <w:rsid w:val="002B3F53"/>
    <w:rsid w:val="002B41A6"/>
    <w:rsid w:val="002B55C4"/>
    <w:rsid w:val="002B5C5A"/>
    <w:rsid w:val="002B635E"/>
    <w:rsid w:val="002B63D7"/>
    <w:rsid w:val="002B6910"/>
    <w:rsid w:val="002B78B8"/>
    <w:rsid w:val="002B7DA2"/>
    <w:rsid w:val="002B7F90"/>
    <w:rsid w:val="002C01D4"/>
    <w:rsid w:val="002C0BC6"/>
    <w:rsid w:val="002C0C55"/>
    <w:rsid w:val="002C0D6D"/>
    <w:rsid w:val="002C112B"/>
    <w:rsid w:val="002C1E2F"/>
    <w:rsid w:val="002C2CA8"/>
    <w:rsid w:val="002C426F"/>
    <w:rsid w:val="002C6933"/>
    <w:rsid w:val="002C6BF6"/>
    <w:rsid w:val="002C6CD1"/>
    <w:rsid w:val="002C7296"/>
    <w:rsid w:val="002D11E5"/>
    <w:rsid w:val="002D16BE"/>
    <w:rsid w:val="002D215E"/>
    <w:rsid w:val="002D370C"/>
    <w:rsid w:val="002D3BB2"/>
    <w:rsid w:val="002D3C4F"/>
    <w:rsid w:val="002D4502"/>
    <w:rsid w:val="002D4B84"/>
    <w:rsid w:val="002D535C"/>
    <w:rsid w:val="002D55C7"/>
    <w:rsid w:val="002D59D3"/>
    <w:rsid w:val="002D5DCD"/>
    <w:rsid w:val="002D6063"/>
    <w:rsid w:val="002D69F5"/>
    <w:rsid w:val="002D6A74"/>
    <w:rsid w:val="002D70C1"/>
    <w:rsid w:val="002D74FE"/>
    <w:rsid w:val="002D79B4"/>
    <w:rsid w:val="002D7D19"/>
    <w:rsid w:val="002E02FF"/>
    <w:rsid w:val="002E15D3"/>
    <w:rsid w:val="002E1EEC"/>
    <w:rsid w:val="002E2156"/>
    <w:rsid w:val="002E24A0"/>
    <w:rsid w:val="002E2686"/>
    <w:rsid w:val="002E297F"/>
    <w:rsid w:val="002E2B13"/>
    <w:rsid w:val="002E4367"/>
    <w:rsid w:val="002E4E4F"/>
    <w:rsid w:val="002F010F"/>
    <w:rsid w:val="002F0F03"/>
    <w:rsid w:val="002F10D9"/>
    <w:rsid w:val="002F281D"/>
    <w:rsid w:val="002F2888"/>
    <w:rsid w:val="002F2C6F"/>
    <w:rsid w:val="002F2EA1"/>
    <w:rsid w:val="002F3424"/>
    <w:rsid w:val="002F375C"/>
    <w:rsid w:val="002F4A0F"/>
    <w:rsid w:val="002F4BAE"/>
    <w:rsid w:val="002F5CA5"/>
    <w:rsid w:val="002F5EA9"/>
    <w:rsid w:val="002F6DE8"/>
    <w:rsid w:val="002F6FB1"/>
    <w:rsid w:val="002F7AC2"/>
    <w:rsid w:val="003008A0"/>
    <w:rsid w:val="003009B0"/>
    <w:rsid w:val="00300E7E"/>
    <w:rsid w:val="00301FEC"/>
    <w:rsid w:val="003020F6"/>
    <w:rsid w:val="003035FD"/>
    <w:rsid w:val="003042E8"/>
    <w:rsid w:val="00304E1D"/>
    <w:rsid w:val="00305702"/>
    <w:rsid w:val="00305824"/>
    <w:rsid w:val="00306781"/>
    <w:rsid w:val="0030766F"/>
    <w:rsid w:val="003078C0"/>
    <w:rsid w:val="0031014C"/>
    <w:rsid w:val="003103BD"/>
    <w:rsid w:val="00311536"/>
    <w:rsid w:val="003117AF"/>
    <w:rsid w:val="00311C20"/>
    <w:rsid w:val="00312447"/>
    <w:rsid w:val="00312D2D"/>
    <w:rsid w:val="00312F67"/>
    <w:rsid w:val="0031344E"/>
    <w:rsid w:val="003137F7"/>
    <w:rsid w:val="003150A4"/>
    <w:rsid w:val="00315C04"/>
    <w:rsid w:val="00316010"/>
    <w:rsid w:val="00316EAC"/>
    <w:rsid w:val="00317924"/>
    <w:rsid w:val="00317952"/>
    <w:rsid w:val="00317F39"/>
    <w:rsid w:val="00320180"/>
    <w:rsid w:val="003203D9"/>
    <w:rsid w:val="00320617"/>
    <w:rsid w:val="003215CC"/>
    <w:rsid w:val="003219A3"/>
    <w:rsid w:val="00321A8A"/>
    <w:rsid w:val="00322299"/>
    <w:rsid w:val="00322370"/>
    <w:rsid w:val="00322E1A"/>
    <w:rsid w:val="003232AB"/>
    <w:rsid w:val="00323583"/>
    <w:rsid w:val="0032368D"/>
    <w:rsid w:val="0032425B"/>
    <w:rsid w:val="0032452F"/>
    <w:rsid w:val="00324841"/>
    <w:rsid w:val="0032502B"/>
    <w:rsid w:val="003262B5"/>
    <w:rsid w:val="00326393"/>
    <w:rsid w:val="003263FF"/>
    <w:rsid w:val="00326C00"/>
    <w:rsid w:val="00327041"/>
    <w:rsid w:val="00327319"/>
    <w:rsid w:val="0033030D"/>
    <w:rsid w:val="00330867"/>
    <w:rsid w:val="00330F95"/>
    <w:rsid w:val="00330FA6"/>
    <w:rsid w:val="003311F7"/>
    <w:rsid w:val="0033138C"/>
    <w:rsid w:val="00331442"/>
    <w:rsid w:val="003314A4"/>
    <w:rsid w:val="00331F04"/>
    <w:rsid w:val="00333DA9"/>
    <w:rsid w:val="00334C50"/>
    <w:rsid w:val="00335349"/>
    <w:rsid w:val="00335826"/>
    <w:rsid w:val="0033679D"/>
    <w:rsid w:val="00336F58"/>
    <w:rsid w:val="003401CA"/>
    <w:rsid w:val="003406A2"/>
    <w:rsid w:val="0034132C"/>
    <w:rsid w:val="003423DE"/>
    <w:rsid w:val="00342F76"/>
    <w:rsid w:val="003438E6"/>
    <w:rsid w:val="00343C54"/>
    <w:rsid w:val="00344A3E"/>
    <w:rsid w:val="00344F61"/>
    <w:rsid w:val="0034733E"/>
    <w:rsid w:val="0034747F"/>
    <w:rsid w:val="0034790E"/>
    <w:rsid w:val="003502AD"/>
    <w:rsid w:val="0035074F"/>
    <w:rsid w:val="0035248F"/>
    <w:rsid w:val="003526A1"/>
    <w:rsid w:val="003526B1"/>
    <w:rsid w:val="00352BCE"/>
    <w:rsid w:val="00352C75"/>
    <w:rsid w:val="00352E5F"/>
    <w:rsid w:val="0035342F"/>
    <w:rsid w:val="003535AD"/>
    <w:rsid w:val="00353973"/>
    <w:rsid w:val="003540D0"/>
    <w:rsid w:val="00354470"/>
    <w:rsid w:val="003545C7"/>
    <w:rsid w:val="00355B2B"/>
    <w:rsid w:val="00355C81"/>
    <w:rsid w:val="00355E95"/>
    <w:rsid w:val="00356CC8"/>
    <w:rsid w:val="00356CF2"/>
    <w:rsid w:val="003578F2"/>
    <w:rsid w:val="003579B8"/>
    <w:rsid w:val="00363F00"/>
    <w:rsid w:val="00364433"/>
    <w:rsid w:val="0036463B"/>
    <w:rsid w:val="0036523F"/>
    <w:rsid w:val="00365A5C"/>
    <w:rsid w:val="003665B1"/>
    <w:rsid w:val="00366D6A"/>
    <w:rsid w:val="00367283"/>
    <w:rsid w:val="00367515"/>
    <w:rsid w:val="00367552"/>
    <w:rsid w:val="0037106F"/>
    <w:rsid w:val="003714D2"/>
    <w:rsid w:val="00371752"/>
    <w:rsid w:val="00371CD1"/>
    <w:rsid w:val="00372382"/>
    <w:rsid w:val="003729F7"/>
    <w:rsid w:val="00372B39"/>
    <w:rsid w:val="00372D35"/>
    <w:rsid w:val="00372F68"/>
    <w:rsid w:val="00373F9A"/>
    <w:rsid w:val="00374535"/>
    <w:rsid w:val="0037476F"/>
    <w:rsid w:val="0037512C"/>
    <w:rsid w:val="003757F2"/>
    <w:rsid w:val="00376909"/>
    <w:rsid w:val="00376A35"/>
    <w:rsid w:val="00376D18"/>
    <w:rsid w:val="00376D94"/>
    <w:rsid w:val="003775F0"/>
    <w:rsid w:val="003776C0"/>
    <w:rsid w:val="00380F42"/>
    <w:rsid w:val="00380FF7"/>
    <w:rsid w:val="00381069"/>
    <w:rsid w:val="003823BB"/>
    <w:rsid w:val="003825A0"/>
    <w:rsid w:val="00382DA0"/>
    <w:rsid w:val="00383417"/>
    <w:rsid w:val="003834BA"/>
    <w:rsid w:val="00383B50"/>
    <w:rsid w:val="003840B4"/>
    <w:rsid w:val="00384DF7"/>
    <w:rsid w:val="00384F08"/>
    <w:rsid w:val="00385130"/>
    <w:rsid w:val="00385CE6"/>
    <w:rsid w:val="00385E0B"/>
    <w:rsid w:val="003866B5"/>
    <w:rsid w:val="00386EE2"/>
    <w:rsid w:val="003874B9"/>
    <w:rsid w:val="00387A8A"/>
    <w:rsid w:val="00387D49"/>
    <w:rsid w:val="003901BD"/>
    <w:rsid w:val="00390674"/>
    <w:rsid w:val="00390920"/>
    <w:rsid w:val="003925FA"/>
    <w:rsid w:val="003926E8"/>
    <w:rsid w:val="00393199"/>
    <w:rsid w:val="003932EE"/>
    <w:rsid w:val="00393D4A"/>
    <w:rsid w:val="00394107"/>
    <w:rsid w:val="00394F15"/>
    <w:rsid w:val="00395464"/>
    <w:rsid w:val="003960EB"/>
    <w:rsid w:val="003969C4"/>
    <w:rsid w:val="00396ADF"/>
    <w:rsid w:val="00396E67"/>
    <w:rsid w:val="003973C8"/>
    <w:rsid w:val="003979B5"/>
    <w:rsid w:val="003A05E2"/>
    <w:rsid w:val="003A08AB"/>
    <w:rsid w:val="003A0B0D"/>
    <w:rsid w:val="003A0B89"/>
    <w:rsid w:val="003A0F1C"/>
    <w:rsid w:val="003A1116"/>
    <w:rsid w:val="003A1E6C"/>
    <w:rsid w:val="003A2879"/>
    <w:rsid w:val="003A29DD"/>
    <w:rsid w:val="003A590C"/>
    <w:rsid w:val="003A6B08"/>
    <w:rsid w:val="003A6D95"/>
    <w:rsid w:val="003A72B3"/>
    <w:rsid w:val="003B060D"/>
    <w:rsid w:val="003B1008"/>
    <w:rsid w:val="003B1950"/>
    <w:rsid w:val="003B242B"/>
    <w:rsid w:val="003B3468"/>
    <w:rsid w:val="003B5659"/>
    <w:rsid w:val="003B6967"/>
    <w:rsid w:val="003B7C2C"/>
    <w:rsid w:val="003C11B6"/>
    <w:rsid w:val="003C1583"/>
    <w:rsid w:val="003C15EC"/>
    <w:rsid w:val="003C18BF"/>
    <w:rsid w:val="003C1F10"/>
    <w:rsid w:val="003C4309"/>
    <w:rsid w:val="003C45D2"/>
    <w:rsid w:val="003C4B1A"/>
    <w:rsid w:val="003C5A5E"/>
    <w:rsid w:val="003C5E81"/>
    <w:rsid w:val="003C6093"/>
    <w:rsid w:val="003C6230"/>
    <w:rsid w:val="003C6BA2"/>
    <w:rsid w:val="003C6C2E"/>
    <w:rsid w:val="003C72F1"/>
    <w:rsid w:val="003C7584"/>
    <w:rsid w:val="003D03F3"/>
    <w:rsid w:val="003D0B55"/>
    <w:rsid w:val="003D0E32"/>
    <w:rsid w:val="003D2217"/>
    <w:rsid w:val="003D29C7"/>
    <w:rsid w:val="003D2A5B"/>
    <w:rsid w:val="003D34AA"/>
    <w:rsid w:val="003D4D47"/>
    <w:rsid w:val="003D587D"/>
    <w:rsid w:val="003D611E"/>
    <w:rsid w:val="003D6392"/>
    <w:rsid w:val="003E0B05"/>
    <w:rsid w:val="003E0C85"/>
    <w:rsid w:val="003E1CB1"/>
    <w:rsid w:val="003E3D45"/>
    <w:rsid w:val="003E4D20"/>
    <w:rsid w:val="003E4D3E"/>
    <w:rsid w:val="003E4E37"/>
    <w:rsid w:val="003E502C"/>
    <w:rsid w:val="003E5FBB"/>
    <w:rsid w:val="003E5FCB"/>
    <w:rsid w:val="003E6370"/>
    <w:rsid w:val="003E6880"/>
    <w:rsid w:val="003E6E09"/>
    <w:rsid w:val="003E707A"/>
    <w:rsid w:val="003E79BB"/>
    <w:rsid w:val="003E7D37"/>
    <w:rsid w:val="003E7ED3"/>
    <w:rsid w:val="003F0760"/>
    <w:rsid w:val="003F099F"/>
    <w:rsid w:val="003F0B0F"/>
    <w:rsid w:val="003F1513"/>
    <w:rsid w:val="003F17F4"/>
    <w:rsid w:val="003F1DEB"/>
    <w:rsid w:val="003F2782"/>
    <w:rsid w:val="003F3188"/>
    <w:rsid w:val="003F388F"/>
    <w:rsid w:val="003F3BE8"/>
    <w:rsid w:val="003F4F60"/>
    <w:rsid w:val="003F5C4D"/>
    <w:rsid w:val="003F6178"/>
    <w:rsid w:val="003F61EE"/>
    <w:rsid w:val="003F6C91"/>
    <w:rsid w:val="003F6D2D"/>
    <w:rsid w:val="003F76BD"/>
    <w:rsid w:val="00400AAB"/>
    <w:rsid w:val="0040197B"/>
    <w:rsid w:val="004022CD"/>
    <w:rsid w:val="00402BFC"/>
    <w:rsid w:val="00402DBD"/>
    <w:rsid w:val="00403031"/>
    <w:rsid w:val="004033A9"/>
    <w:rsid w:val="0040340E"/>
    <w:rsid w:val="004034F9"/>
    <w:rsid w:val="004035B3"/>
    <w:rsid w:val="00404326"/>
    <w:rsid w:val="004045D7"/>
    <w:rsid w:val="0040472E"/>
    <w:rsid w:val="00404BA9"/>
    <w:rsid w:val="00404C7B"/>
    <w:rsid w:val="0040592D"/>
    <w:rsid w:val="00405BF2"/>
    <w:rsid w:val="004069D0"/>
    <w:rsid w:val="00406BFC"/>
    <w:rsid w:val="00406D45"/>
    <w:rsid w:val="00407638"/>
    <w:rsid w:val="00407B13"/>
    <w:rsid w:val="00407BAC"/>
    <w:rsid w:val="004103F4"/>
    <w:rsid w:val="00410A1B"/>
    <w:rsid w:val="00410B03"/>
    <w:rsid w:val="00411401"/>
    <w:rsid w:val="00412863"/>
    <w:rsid w:val="004138AB"/>
    <w:rsid w:val="00414C45"/>
    <w:rsid w:val="00415205"/>
    <w:rsid w:val="00415626"/>
    <w:rsid w:val="00415770"/>
    <w:rsid w:val="004165EC"/>
    <w:rsid w:val="0041668C"/>
    <w:rsid w:val="00417217"/>
    <w:rsid w:val="00417687"/>
    <w:rsid w:val="00417DE7"/>
    <w:rsid w:val="00417F1A"/>
    <w:rsid w:val="00417F23"/>
    <w:rsid w:val="00420EEB"/>
    <w:rsid w:val="00421255"/>
    <w:rsid w:val="00421604"/>
    <w:rsid w:val="0042177D"/>
    <w:rsid w:val="004217DA"/>
    <w:rsid w:val="0042198C"/>
    <w:rsid w:val="00421B32"/>
    <w:rsid w:val="00423721"/>
    <w:rsid w:val="0042396B"/>
    <w:rsid w:val="00423CE8"/>
    <w:rsid w:val="004241CD"/>
    <w:rsid w:val="00424A66"/>
    <w:rsid w:val="00424BE1"/>
    <w:rsid w:val="00425547"/>
    <w:rsid w:val="00425BD4"/>
    <w:rsid w:val="00426545"/>
    <w:rsid w:val="0042676E"/>
    <w:rsid w:val="004267EA"/>
    <w:rsid w:val="00426CE3"/>
    <w:rsid w:val="0042700F"/>
    <w:rsid w:val="004305EE"/>
    <w:rsid w:val="00430921"/>
    <w:rsid w:val="00431124"/>
    <w:rsid w:val="0043119D"/>
    <w:rsid w:val="00431263"/>
    <w:rsid w:val="0043156E"/>
    <w:rsid w:val="0043173A"/>
    <w:rsid w:val="00431BAF"/>
    <w:rsid w:val="00432C48"/>
    <w:rsid w:val="00433EF9"/>
    <w:rsid w:val="00433F45"/>
    <w:rsid w:val="00433F67"/>
    <w:rsid w:val="00434B01"/>
    <w:rsid w:val="00434E13"/>
    <w:rsid w:val="00436790"/>
    <w:rsid w:val="004379CF"/>
    <w:rsid w:val="00437B79"/>
    <w:rsid w:val="00437D7D"/>
    <w:rsid w:val="004401B7"/>
    <w:rsid w:val="00440C5C"/>
    <w:rsid w:val="004410CF"/>
    <w:rsid w:val="00441AFC"/>
    <w:rsid w:val="00441F95"/>
    <w:rsid w:val="00442B2E"/>
    <w:rsid w:val="00442DD5"/>
    <w:rsid w:val="00443190"/>
    <w:rsid w:val="00443424"/>
    <w:rsid w:val="004436A1"/>
    <w:rsid w:val="00444D53"/>
    <w:rsid w:val="00444F67"/>
    <w:rsid w:val="0044537A"/>
    <w:rsid w:val="004454DA"/>
    <w:rsid w:val="004457CF"/>
    <w:rsid w:val="00446008"/>
    <w:rsid w:val="00446556"/>
    <w:rsid w:val="00446977"/>
    <w:rsid w:val="00446FDE"/>
    <w:rsid w:val="0044709E"/>
    <w:rsid w:val="004473EC"/>
    <w:rsid w:val="00450104"/>
    <w:rsid w:val="004515DE"/>
    <w:rsid w:val="004526F3"/>
    <w:rsid w:val="00454EE0"/>
    <w:rsid w:val="00455D60"/>
    <w:rsid w:val="00455E47"/>
    <w:rsid w:val="004562D9"/>
    <w:rsid w:val="00456C2F"/>
    <w:rsid w:val="00456F2C"/>
    <w:rsid w:val="00457808"/>
    <w:rsid w:val="004600AA"/>
    <w:rsid w:val="00460F49"/>
    <w:rsid w:val="00461490"/>
    <w:rsid w:val="004627A3"/>
    <w:rsid w:val="00462C7D"/>
    <w:rsid w:val="004637C2"/>
    <w:rsid w:val="00464BD7"/>
    <w:rsid w:val="0046527B"/>
    <w:rsid w:val="004658A3"/>
    <w:rsid w:val="0046594A"/>
    <w:rsid w:val="004661A1"/>
    <w:rsid w:val="0046637F"/>
    <w:rsid w:val="0046684B"/>
    <w:rsid w:val="00466B81"/>
    <w:rsid w:val="00466DF9"/>
    <w:rsid w:val="00467736"/>
    <w:rsid w:val="00467B97"/>
    <w:rsid w:val="00470480"/>
    <w:rsid w:val="00470746"/>
    <w:rsid w:val="00470E49"/>
    <w:rsid w:val="004710E4"/>
    <w:rsid w:val="004712A8"/>
    <w:rsid w:val="00471D62"/>
    <w:rsid w:val="004726DF"/>
    <w:rsid w:val="0047341C"/>
    <w:rsid w:val="004736AE"/>
    <w:rsid w:val="004737F3"/>
    <w:rsid w:val="00473861"/>
    <w:rsid w:val="00473EA1"/>
    <w:rsid w:val="00474213"/>
    <w:rsid w:val="00474A08"/>
    <w:rsid w:val="0047504E"/>
    <w:rsid w:val="00475F0C"/>
    <w:rsid w:val="00475FD7"/>
    <w:rsid w:val="0047629D"/>
    <w:rsid w:val="00476CFB"/>
    <w:rsid w:val="004776C2"/>
    <w:rsid w:val="00477D6A"/>
    <w:rsid w:val="00477EE4"/>
    <w:rsid w:val="004801EE"/>
    <w:rsid w:val="0048072F"/>
    <w:rsid w:val="00480802"/>
    <w:rsid w:val="00482AA2"/>
    <w:rsid w:val="00482AC6"/>
    <w:rsid w:val="0048372B"/>
    <w:rsid w:val="0048384D"/>
    <w:rsid w:val="00483953"/>
    <w:rsid w:val="00483A68"/>
    <w:rsid w:val="004842E2"/>
    <w:rsid w:val="00484485"/>
    <w:rsid w:val="00484A1A"/>
    <w:rsid w:val="00485016"/>
    <w:rsid w:val="00485044"/>
    <w:rsid w:val="004854E8"/>
    <w:rsid w:val="00486029"/>
    <w:rsid w:val="00486087"/>
    <w:rsid w:val="004868D1"/>
    <w:rsid w:val="00487272"/>
    <w:rsid w:val="004914DE"/>
    <w:rsid w:val="004917D9"/>
    <w:rsid w:val="00491CAF"/>
    <w:rsid w:val="00492349"/>
    <w:rsid w:val="00492A8D"/>
    <w:rsid w:val="00492CA2"/>
    <w:rsid w:val="00492DC1"/>
    <w:rsid w:val="004933C9"/>
    <w:rsid w:val="00494591"/>
    <w:rsid w:val="00495049"/>
    <w:rsid w:val="0049594D"/>
    <w:rsid w:val="00495C38"/>
    <w:rsid w:val="0049694B"/>
    <w:rsid w:val="00496A6C"/>
    <w:rsid w:val="00496B0E"/>
    <w:rsid w:val="00496BF0"/>
    <w:rsid w:val="00496CAF"/>
    <w:rsid w:val="00497460"/>
    <w:rsid w:val="00497CC6"/>
    <w:rsid w:val="00497D74"/>
    <w:rsid w:val="004A01D2"/>
    <w:rsid w:val="004A04EF"/>
    <w:rsid w:val="004A0ACF"/>
    <w:rsid w:val="004A1AB3"/>
    <w:rsid w:val="004A1E3E"/>
    <w:rsid w:val="004A2B76"/>
    <w:rsid w:val="004A2BE7"/>
    <w:rsid w:val="004A3C0E"/>
    <w:rsid w:val="004A4029"/>
    <w:rsid w:val="004A403F"/>
    <w:rsid w:val="004A42E6"/>
    <w:rsid w:val="004A4D2B"/>
    <w:rsid w:val="004A56B3"/>
    <w:rsid w:val="004A5D25"/>
    <w:rsid w:val="004A63BF"/>
    <w:rsid w:val="004A67D0"/>
    <w:rsid w:val="004A6896"/>
    <w:rsid w:val="004A6B10"/>
    <w:rsid w:val="004A7012"/>
    <w:rsid w:val="004A788F"/>
    <w:rsid w:val="004B138E"/>
    <w:rsid w:val="004B1D8E"/>
    <w:rsid w:val="004B1FF2"/>
    <w:rsid w:val="004B2B65"/>
    <w:rsid w:val="004B2E78"/>
    <w:rsid w:val="004B3334"/>
    <w:rsid w:val="004B333E"/>
    <w:rsid w:val="004B3BB3"/>
    <w:rsid w:val="004B496F"/>
    <w:rsid w:val="004B5129"/>
    <w:rsid w:val="004B65B0"/>
    <w:rsid w:val="004B68DE"/>
    <w:rsid w:val="004B6D6E"/>
    <w:rsid w:val="004B7688"/>
    <w:rsid w:val="004B7980"/>
    <w:rsid w:val="004B7C65"/>
    <w:rsid w:val="004C027E"/>
    <w:rsid w:val="004C0FF8"/>
    <w:rsid w:val="004C20FF"/>
    <w:rsid w:val="004C211B"/>
    <w:rsid w:val="004C2AD9"/>
    <w:rsid w:val="004C2B02"/>
    <w:rsid w:val="004C3167"/>
    <w:rsid w:val="004C3313"/>
    <w:rsid w:val="004C3697"/>
    <w:rsid w:val="004C3C91"/>
    <w:rsid w:val="004C553F"/>
    <w:rsid w:val="004C55AB"/>
    <w:rsid w:val="004C55C6"/>
    <w:rsid w:val="004C5A54"/>
    <w:rsid w:val="004C5A9A"/>
    <w:rsid w:val="004C6227"/>
    <w:rsid w:val="004C63A6"/>
    <w:rsid w:val="004C6685"/>
    <w:rsid w:val="004C6D45"/>
    <w:rsid w:val="004C72BE"/>
    <w:rsid w:val="004C77A4"/>
    <w:rsid w:val="004C791B"/>
    <w:rsid w:val="004C7C75"/>
    <w:rsid w:val="004D0316"/>
    <w:rsid w:val="004D0AF9"/>
    <w:rsid w:val="004D1CBF"/>
    <w:rsid w:val="004D20D8"/>
    <w:rsid w:val="004D228F"/>
    <w:rsid w:val="004D2603"/>
    <w:rsid w:val="004D27AC"/>
    <w:rsid w:val="004D2B78"/>
    <w:rsid w:val="004D4F8E"/>
    <w:rsid w:val="004D58DF"/>
    <w:rsid w:val="004D6F7B"/>
    <w:rsid w:val="004D7729"/>
    <w:rsid w:val="004E05F0"/>
    <w:rsid w:val="004E1CBA"/>
    <w:rsid w:val="004E1F06"/>
    <w:rsid w:val="004E2252"/>
    <w:rsid w:val="004E321B"/>
    <w:rsid w:val="004E362F"/>
    <w:rsid w:val="004E47DE"/>
    <w:rsid w:val="004E498F"/>
    <w:rsid w:val="004E4C35"/>
    <w:rsid w:val="004E5008"/>
    <w:rsid w:val="004E665F"/>
    <w:rsid w:val="004E7D17"/>
    <w:rsid w:val="004E7F36"/>
    <w:rsid w:val="004F0A51"/>
    <w:rsid w:val="004F120E"/>
    <w:rsid w:val="004F20B1"/>
    <w:rsid w:val="004F320B"/>
    <w:rsid w:val="004F36E4"/>
    <w:rsid w:val="004F3762"/>
    <w:rsid w:val="004F3C37"/>
    <w:rsid w:val="004F4EB9"/>
    <w:rsid w:val="004F51B2"/>
    <w:rsid w:val="004F5337"/>
    <w:rsid w:val="004F5743"/>
    <w:rsid w:val="004F5CE7"/>
    <w:rsid w:val="004F6117"/>
    <w:rsid w:val="004F65EB"/>
    <w:rsid w:val="004F696E"/>
    <w:rsid w:val="004F781B"/>
    <w:rsid w:val="004F78EC"/>
    <w:rsid w:val="004F7AF8"/>
    <w:rsid w:val="0050038F"/>
    <w:rsid w:val="0050199F"/>
    <w:rsid w:val="005019E2"/>
    <w:rsid w:val="00502438"/>
    <w:rsid w:val="00502683"/>
    <w:rsid w:val="005050BB"/>
    <w:rsid w:val="005058D5"/>
    <w:rsid w:val="00505C76"/>
    <w:rsid w:val="00506225"/>
    <w:rsid w:val="0050686B"/>
    <w:rsid w:val="0050718F"/>
    <w:rsid w:val="005079FC"/>
    <w:rsid w:val="00507BC8"/>
    <w:rsid w:val="00510329"/>
    <w:rsid w:val="00510354"/>
    <w:rsid w:val="00510E7E"/>
    <w:rsid w:val="00513267"/>
    <w:rsid w:val="00513351"/>
    <w:rsid w:val="00513C6A"/>
    <w:rsid w:val="00514521"/>
    <w:rsid w:val="00514A6B"/>
    <w:rsid w:val="00514D14"/>
    <w:rsid w:val="00515767"/>
    <w:rsid w:val="00515EBE"/>
    <w:rsid w:val="00516D8F"/>
    <w:rsid w:val="00516EFF"/>
    <w:rsid w:val="00517A4C"/>
    <w:rsid w:val="00517B35"/>
    <w:rsid w:val="005207A9"/>
    <w:rsid w:val="00522448"/>
    <w:rsid w:val="0052252F"/>
    <w:rsid w:val="005227F1"/>
    <w:rsid w:val="00523192"/>
    <w:rsid w:val="00523234"/>
    <w:rsid w:val="00523578"/>
    <w:rsid w:val="00523F1E"/>
    <w:rsid w:val="00524681"/>
    <w:rsid w:val="005252DE"/>
    <w:rsid w:val="00525DD8"/>
    <w:rsid w:val="00526120"/>
    <w:rsid w:val="00526A2F"/>
    <w:rsid w:val="0053038A"/>
    <w:rsid w:val="00530CE9"/>
    <w:rsid w:val="00530CFF"/>
    <w:rsid w:val="00530EE4"/>
    <w:rsid w:val="005330BE"/>
    <w:rsid w:val="005340FA"/>
    <w:rsid w:val="005346B2"/>
    <w:rsid w:val="00535080"/>
    <w:rsid w:val="0053534F"/>
    <w:rsid w:val="005357B2"/>
    <w:rsid w:val="005358C4"/>
    <w:rsid w:val="00535A7F"/>
    <w:rsid w:val="0053612C"/>
    <w:rsid w:val="00536AEA"/>
    <w:rsid w:val="00536CFA"/>
    <w:rsid w:val="00536EFB"/>
    <w:rsid w:val="005372C0"/>
    <w:rsid w:val="005373A5"/>
    <w:rsid w:val="005378C1"/>
    <w:rsid w:val="00537DB1"/>
    <w:rsid w:val="00537FCE"/>
    <w:rsid w:val="00540E6F"/>
    <w:rsid w:val="005410FA"/>
    <w:rsid w:val="00541D4F"/>
    <w:rsid w:val="00541E6D"/>
    <w:rsid w:val="00542817"/>
    <w:rsid w:val="005429CC"/>
    <w:rsid w:val="00543B25"/>
    <w:rsid w:val="0054466D"/>
    <w:rsid w:val="005449C7"/>
    <w:rsid w:val="00544B24"/>
    <w:rsid w:val="00544FBF"/>
    <w:rsid w:val="00545410"/>
    <w:rsid w:val="00545954"/>
    <w:rsid w:val="00545F4A"/>
    <w:rsid w:val="00546066"/>
    <w:rsid w:val="00546141"/>
    <w:rsid w:val="00546CAD"/>
    <w:rsid w:val="005470D1"/>
    <w:rsid w:val="005473FF"/>
    <w:rsid w:val="005475EE"/>
    <w:rsid w:val="0055101D"/>
    <w:rsid w:val="00551A09"/>
    <w:rsid w:val="00552B30"/>
    <w:rsid w:val="00552F9C"/>
    <w:rsid w:val="005531D2"/>
    <w:rsid w:val="0055347E"/>
    <w:rsid w:val="005537EE"/>
    <w:rsid w:val="005538EA"/>
    <w:rsid w:val="00553D8D"/>
    <w:rsid w:val="005556F8"/>
    <w:rsid w:val="00555759"/>
    <w:rsid w:val="00555CD4"/>
    <w:rsid w:val="00560223"/>
    <w:rsid w:val="00560560"/>
    <w:rsid w:val="00560C26"/>
    <w:rsid w:val="00560E4F"/>
    <w:rsid w:val="00561184"/>
    <w:rsid w:val="005621DC"/>
    <w:rsid w:val="0056230A"/>
    <w:rsid w:val="0056266F"/>
    <w:rsid w:val="00562727"/>
    <w:rsid w:val="00562C6E"/>
    <w:rsid w:val="00563252"/>
    <w:rsid w:val="0056364A"/>
    <w:rsid w:val="00563B73"/>
    <w:rsid w:val="00563F13"/>
    <w:rsid w:val="0056514F"/>
    <w:rsid w:val="00565752"/>
    <w:rsid w:val="00565F62"/>
    <w:rsid w:val="0056639F"/>
    <w:rsid w:val="005665B0"/>
    <w:rsid w:val="0056703D"/>
    <w:rsid w:val="00567515"/>
    <w:rsid w:val="00567A33"/>
    <w:rsid w:val="00570CC3"/>
    <w:rsid w:val="00570E75"/>
    <w:rsid w:val="00571058"/>
    <w:rsid w:val="00571A71"/>
    <w:rsid w:val="00571E3F"/>
    <w:rsid w:val="005731A5"/>
    <w:rsid w:val="0057330A"/>
    <w:rsid w:val="00573535"/>
    <w:rsid w:val="00573D15"/>
    <w:rsid w:val="00573DBC"/>
    <w:rsid w:val="005744E7"/>
    <w:rsid w:val="0057569F"/>
    <w:rsid w:val="00575CAD"/>
    <w:rsid w:val="00576180"/>
    <w:rsid w:val="005778A0"/>
    <w:rsid w:val="00580DFC"/>
    <w:rsid w:val="005814A6"/>
    <w:rsid w:val="00581CED"/>
    <w:rsid w:val="00582207"/>
    <w:rsid w:val="00583356"/>
    <w:rsid w:val="0058346E"/>
    <w:rsid w:val="00584DC2"/>
    <w:rsid w:val="00585020"/>
    <w:rsid w:val="00585451"/>
    <w:rsid w:val="0058578A"/>
    <w:rsid w:val="00586B31"/>
    <w:rsid w:val="00587188"/>
    <w:rsid w:val="005878D9"/>
    <w:rsid w:val="005878E4"/>
    <w:rsid w:val="00587B1E"/>
    <w:rsid w:val="00590AC8"/>
    <w:rsid w:val="005913C3"/>
    <w:rsid w:val="0059144B"/>
    <w:rsid w:val="0059292E"/>
    <w:rsid w:val="005933A4"/>
    <w:rsid w:val="00593546"/>
    <w:rsid w:val="00594764"/>
    <w:rsid w:val="005955E3"/>
    <w:rsid w:val="00595DD0"/>
    <w:rsid w:val="005965D3"/>
    <w:rsid w:val="005A0026"/>
    <w:rsid w:val="005A08F0"/>
    <w:rsid w:val="005A0F9A"/>
    <w:rsid w:val="005A11EA"/>
    <w:rsid w:val="005A1280"/>
    <w:rsid w:val="005A16A5"/>
    <w:rsid w:val="005A16BA"/>
    <w:rsid w:val="005A1726"/>
    <w:rsid w:val="005A1886"/>
    <w:rsid w:val="005A2D53"/>
    <w:rsid w:val="005A2D65"/>
    <w:rsid w:val="005A306F"/>
    <w:rsid w:val="005A33D5"/>
    <w:rsid w:val="005A3E67"/>
    <w:rsid w:val="005A3F75"/>
    <w:rsid w:val="005A4557"/>
    <w:rsid w:val="005A47F6"/>
    <w:rsid w:val="005A4FDA"/>
    <w:rsid w:val="005A50B0"/>
    <w:rsid w:val="005A5B64"/>
    <w:rsid w:val="005A75C8"/>
    <w:rsid w:val="005A7A8A"/>
    <w:rsid w:val="005A7AAB"/>
    <w:rsid w:val="005B0480"/>
    <w:rsid w:val="005B052C"/>
    <w:rsid w:val="005B0550"/>
    <w:rsid w:val="005B0811"/>
    <w:rsid w:val="005B0C56"/>
    <w:rsid w:val="005B13F9"/>
    <w:rsid w:val="005B165F"/>
    <w:rsid w:val="005B2D52"/>
    <w:rsid w:val="005B332E"/>
    <w:rsid w:val="005B3E69"/>
    <w:rsid w:val="005B4999"/>
    <w:rsid w:val="005B56C8"/>
    <w:rsid w:val="005B5CBB"/>
    <w:rsid w:val="005B5E08"/>
    <w:rsid w:val="005B66C8"/>
    <w:rsid w:val="005B6745"/>
    <w:rsid w:val="005B67D9"/>
    <w:rsid w:val="005B6A1B"/>
    <w:rsid w:val="005B6A8B"/>
    <w:rsid w:val="005B7485"/>
    <w:rsid w:val="005B7844"/>
    <w:rsid w:val="005C00FA"/>
    <w:rsid w:val="005C0CF8"/>
    <w:rsid w:val="005C0EB2"/>
    <w:rsid w:val="005C0F6F"/>
    <w:rsid w:val="005C2789"/>
    <w:rsid w:val="005C2837"/>
    <w:rsid w:val="005C2C05"/>
    <w:rsid w:val="005C2CDF"/>
    <w:rsid w:val="005C3F8B"/>
    <w:rsid w:val="005C3FE8"/>
    <w:rsid w:val="005C45DB"/>
    <w:rsid w:val="005C4883"/>
    <w:rsid w:val="005C4BB7"/>
    <w:rsid w:val="005C4E30"/>
    <w:rsid w:val="005C54C2"/>
    <w:rsid w:val="005C5CDD"/>
    <w:rsid w:val="005C5D55"/>
    <w:rsid w:val="005C5F1B"/>
    <w:rsid w:val="005C6BF8"/>
    <w:rsid w:val="005C7692"/>
    <w:rsid w:val="005D0669"/>
    <w:rsid w:val="005D06CD"/>
    <w:rsid w:val="005D1040"/>
    <w:rsid w:val="005D15F1"/>
    <w:rsid w:val="005D1910"/>
    <w:rsid w:val="005D2345"/>
    <w:rsid w:val="005D3291"/>
    <w:rsid w:val="005D3A8B"/>
    <w:rsid w:val="005D3B68"/>
    <w:rsid w:val="005D3BA8"/>
    <w:rsid w:val="005D47F0"/>
    <w:rsid w:val="005D4836"/>
    <w:rsid w:val="005D56BA"/>
    <w:rsid w:val="005D6FE0"/>
    <w:rsid w:val="005D7332"/>
    <w:rsid w:val="005D770A"/>
    <w:rsid w:val="005E0B54"/>
    <w:rsid w:val="005E11F3"/>
    <w:rsid w:val="005E1EC6"/>
    <w:rsid w:val="005E2A47"/>
    <w:rsid w:val="005E2BA4"/>
    <w:rsid w:val="005E3678"/>
    <w:rsid w:val="005E3773"/>
    <w:rsid w:val="005E3863"/>
    <w:rsid w:val="005E3A37"/>
    <w:rsid w:val="005E3C0B"/>
    <w:rsid w:val="005E3EC5"/>
    <w:rsid w:val="005E3FB5"/>
    <w:rsid w:val="005E40FA"/>
    <w:rsid w:val="005E4682"/>
    <w:rsid w:val="005E494F"/>
    <w:rsid w:val="005E4A20"/>
    <w:rsid w:val="005E4AB9"/>
    <w:rsid w:val="005E5AAF"/>
    <w:rsid w:val="005E6239"/>
    <w:rsid w:val="005E63AB"/>
    <w:rsid w:val="005E647C"/>
    <w:rsid w:val="005E68D6"/>
    <w:rsid w:val="005E6B7C"/>
    <w:rsid w:val="005E6E0F"/>
    <w:rsid w:val="005E7658"/>
    <w:rsid w:val="005E7D81"/>
    <w:rsid w:val="005F0E02"/>
    <w:rsid w:val="005F1164"/>
    <w:rsid w:val="005F2F5C"/>
    <w:rsid w:val="005F33AB"/>
    <w:rsid w:val="005F3AF1"/>
    <w:rsid w:val="005F3FBE"/>
    <w:rsid w:val="005F5263"/>
    <w:rsid w:val="005F602D"/>
    <w:rsid w:val="005F62BF"/>
    <w:rsid w:val="005F6953"/>
    <w:rsid w:val="005F6A3D"/>
    <w:rsid w:val="005F6CB0"/>
    <w:rsid w:val="005F78A0"/>
    <w:rsid w:val="005F79FC"/>
    <w:rsid w:val="0060027A"/>
    <w:rsid w:val="006002FA"/>
    <w:rsid w:val="006036B3"/>
    <w:rsid w:val="00603D24"/>
    <w:rsid w:val="0060432D"/>
    <w:rsid w:val="00605839"/>
    <w:rsid w:val="00605A56"/>
    <w:rsid w:val="00605FA1"/>
    <w:rsid w:val="00606CA7"/>
    <w:rsid w:val="00606D7F"/>
    <w:rsid w:val="00606E8D"/>
    <w:rsid w:val="00611653"/>
    <w:rsid w:val="00611A98"/>
    <w:rsid w:val="00612749"/>
    <w:rsid w:val="00612A3D"/>
    <w:rsid w:val="0061308B"/>
    <w:rsid w:val="00613412"/>
    <w:rsid w:val="006137E3"/>
    <w:rsid w:val="00613BFB"/>
    <w:rsid w:val="006147BB"/>
    <w:rsid w:val="006147E1"/>
    <w:rsid w:val="00614FE7"/>
    <w:rsid w:val="00615190"/>
    <w:rsid w:val="00615CDC"/>
    <w:rsid w:val="00616D5E"/>
    <w:rsid w:val="006200D3"/>
    <w:rsid w:val="00620E6E"/>
    <w:rsid w:val="00621584"/>
    <w:rsid w:val="00621B2A"/>
    <w:rsid w:val="006225B2"/>
    <w:rsid w:val="00622C11"/>
    <w:rsid w:val="00623D96"/>
    <w:rsid w:val="0062542D"/>
    <w:rsid w:val="0062580C"/>
    <w:rsid w:val="00626ECB"/>
    <w:rsid w:val="00627AD0"/>
    <w:rsid w:val="00627F36"/>
    <w:rsid w:val="0063080C"/>
    <w:rsid w:val="006316B6"/>
    <w:rsid w:val="00631848"/>
    <w:rsid w:val="00631E54"/>
    <w:rsid w:val="0063202E"/>
    <w:rsid w:val="006323F0"/>
    <w:rsid w:val="006324C9"/>
    <w:rsid w:val="0063307F"/>
    <w:rsid w:val="00634479"/>
    <w:rsid w:val="00634AF2"/>
    <w:rsid w:val="00634E52"/>
    <w:rsid w:val="0063590A"/>
    <w:rsid w:val="00635EF0"/>
    <w:rsid w:val="006365EB"/>
    <w:rsid w:val="006369DA"/>
    <w:rsid w:val="006378D6"/>
    <w:rsid w:val="006409EC"/>
    <w:rsid w:val="006412E6"/>
    <w:rsid w:val="00641469"/>
    <w:rsid w:val="006415FA"/>
    <w:rsid w:val="00641CE6"/>
    <w:rsid w:val="00641DF1"/>
    <w:rsid w:val="00642D0E"/>
    <w:rsid w:val="0064324F"/>
    <w:rsid w:val="006435D7"/>
    <w:rsid w:val="00643CEC"/>
    <w:rsid w:val="006443A0"/>
    <w:rsid w:val="00645326"/>
    <w:rsid w:val="006456BD"/>
    <w:rsid w:val="0064618E"/>
    <w:rsid w:val="0065057B"/>
    <w:rsid w:val="00650820"/>
    <w:rsid w:val="006512D7"/>
    <w:rsid w:val="006514D2"/>
    <w:rsid w:val="00652E8B"/>
    <w:rsid w:val="006538D2"/>
    <w:rsid w:val="00654780"/>
    <w:rsid w:val="006547B3"/>
    <w:rsid w:val="00655D8F"/>
    <w:rsid w:val="006564DA"/>
    <w:rsid w:val="00660745"/>
    <w:rsid w:val="00660804"/>
    <w:rsid w:val="00660C1F"/>
    <w:rsid w:val="00661147"/>
    <w:rsid w:val="00661332"/>
    <w:rsid w:val="00661375"/>
    <w:rsid w:val="00661BB7"/>
    <w:rsid w:val="00661F4E"/>
    <w:rsid w:val="006624C7"/>
    <w:rsid w:val="006630D4"/>
    <w:rsid w:val="00663118"/>
    <w:rsid w:val="00663293"/>
    <w:rsid w:val="00663493"/>
    <w:rsid w:val="0066350E"/>
    <w:rsid w:val="006638B9"/>
    <w:rsid w:val="00663EB5"/>
    <w:rsid w:val="00664042"/>
    <w:rsid w:val="006647DA"/>
    <w:rsid w:val="00664C59"/>
    <w:rsid w:val="00664DD1"/>
    <w:rsid w:val="00665722"/>
    <w:rsid w:val="00665B4D"/>
    <w:rsid w:val="00666C77"/>
    <w:rsid w:val="00667BEE"/>
    <w:rsid w:val="00670053"/>
    <w:rsid w:val="006709A2"/>
    <w:rsid w:val="00670A5C"/>
    <w:rsid w:val="00670AF4"/>
    <w:rsid w:val="006711FB"/>
    <w:rsid w:val="0067233E"/>
    <w:rsid w:val="00673511"/>
    <w:rsid w:val="006740F1"/>
    <w:rsid w:val="00674155"/>
    <w:rsid w:val="0067418F"/>
    <w:rsid w:val="00674591"/>
    <w:rsid w:val="0067614B"/>
    <w:rsid w:val="006765A4"/>
    <w:rsid w:val="0067747D"/>
    <w:rsid w:val="0067795A"/>
    <w:rsid w:val="00677991"/>
    <w:rsid w:val="006779FE"/>
    <w:rsid w:val="00677BF2"/>
    <w:rsid w:val="00677CE9"/>
    <w:rsid w:val="00680146"/>
    <w:rsid w:val="0068019D"/>
    <w:rsid w:val="00680900"/>
    <w:rsid w:val="006809AA"/>
    <w:rsid w:val="00681424"/>
    <w:rsid w:val="00681556"/>
    <w:rsid w:val="00681894"/>
    <w:rsid w:val="00681B72"/>
    <w:rsid w:val="00681D05"/>
    <w:rsid w:val="00682292"/>
    <w:rsid w:val="006826A3"/>
    <w:rsid w:val="006826E8"/>
    <w:rsid w:val="00682A16"/>
    <w:rsid w:val="0068326B"/>
    <w:rsid w:val="00683F77"/>
    <w:rsid w:val="0068430E"/>
    <w:rsid w:val="00684459"/>
    <w:rsid w:val="00684477"/>
    <w:rsid w:val="006845C2"/>
    <w:rsid w:val="00685AE1"/>
    <w:rsid w:val="006864F2"/>
    <w:rsid w:val="00687AB9"/>
    <w:rsid w:val="00690596"/>
    <w:rsid w:val="0069158B"/>
    <w:rsid w:val="006922A0"/>
    <w:rsid w:val="0069280D"/>
    <w:rsid w:val="00692C2F"/>
    <w:rsid w:val="00693D87"/>
    <w:rsid w:val="00694999"/>
    <w:rsid w:val="00695A0B"/>
    <w:rsid w:val="00695C14"/>
    <w:rsid w:val="0069686C"/>
    <w:rsid w:val="006971A6"/>
    <w:rsid w:val="0069742C"/>
    <w:rsid w:val="006974A1"/>
    <w:rsid w:val="00697633"/>
    <w:rsid w:val="00697B41"/>
    <w:rsid w:val="006A058E"/>
    <w:rsid w:val="006A1583"/>
    <w:rsid w:val="006A16A7"/>
    <w:rsid w:val="006A16EC"/>
    <w:rsid w:val="006A17F2"/>
    <w:rsid w:val="006A20B5"/>
    <w:rsid w:val="006A217F"/>
    <w:rsid w:val="006A26E3"/>
    <w:rsid w:val="006A2A80"/>
    <w:rsid w:val="006A3CC2"/>
    <w:rsid w:val="006A3E38"/>
    <w:rsid w:val="006A3F99"/>
    <w:rsid w:val="006A4136"/>
    <w:rsid w:val="006A4289"/>
    <w:rsid w:val="006A42DB"/>
    <w:rsid w:val="006A4ACC"/>
    <w:rsid w:val="006A4D74"/>
    <w:rsid w:val="006A633B"/>
    <w:rsid w:val="006A65BE"/>
    <w:rsid w:val="006A69D3"/>
    <w:rsid w:val="006A7715"/>
    <w:rsid w:val="006B033C"/>
    <w:rsid w:val="006B0ABB"/>
    <w:rsid w:val="006B16CB"/>
    <w:rsid w:val="006B1852"/>
    <w:rsid w:val="006B19FF"/>
    <w:rsid w:val="006B1ACF"/>
    <w:rsid w:val="006B29A0"/>
    <w:rsid w:val="006B350D"/>
    <w:rsid w:val="006B361F"/>
    <w:rsid w:val="006B41E1"/>
    <w:rsid w:val="006B4216"/>
    <w:rsid w:val="006B42C1"/>
    <w:rsid w:val="006B4D43"/>
    <w:rsid w:val="006B578A"/>
    <w:rsid w:val="006B57F5"/>
    <w:rsid w:val="006B5860"/>
    <w:rsid w:val="006B5D22"/>
    <w:rsid w:val="006B5F2C"/>
    <w:rsid w:val="006B5F54"/>
    <w:rsid w:val="006B7CA9"/>
    <w:rsid w:val="006C1B7E"/>
    <w:rsid w:val="006C1DA0"/>
    <w:rsid w:val="006C1EAF"/>
    <w:rsid w:val="006C20DD"/>
    <w:rsid w:val="006C21FE"/>
    <w:rsid w:val="006C25EC"/>
    <w:rsid w:val="006C2BE0"/>
    <w:rsid w:val="006C5050"/>
    <w:rsid w:val="006C5063"/>
    <w:rsid w:val="006C543D"/>
    <w:rsid w:val="006C54A7"/>
    <w:rsid w:val="006C61BD"/>
    <w:rsid w:val="006C653B"/>
    <w:rsid w:val="006C6990"/>
    <w:rsid w:val="006C6AF2"/>
    <w:rsid w:val="006C6B76"/>
    <w:rsid w:val="006C6F27"/>
    <w:rsid w:val="006C72B5"/>
    <w:rsid w:val="006D16FE"/>
    <w:rsid w:val="006D2881"/>
    <w:rsid w:val="006D2B46"/>
    <w:rsid w:val="006D3109"/>
    <w:rsid w:val="006D390B"/>
    <w:rsid w:val="006D39C1"/>
    <w:rsid w:val="006D3C3B"/>
    <w:rsid w:val="006D3CCD"/>
    <w:rsid w:val="006D4400"/>
    <w:rsid w:val="006D4514"/>
    <w:rsid w:val="006D45BA"/>
    <w:rsid w:val="006D547E"/>
    <w:rsid w:val="006D7002"/>
    <w:rsid w:val="006D7005"/>
    <w:rsid w:val="006E0253"/>
    <w:rsid w:val="006E0738"/>
    <w:rsid w:val="006E0FDB"/>
    <w:rsid w:val="006E1007"/>
    <w:rsid w:val="006E148E"/>
    <w:rsid w:val="006E2878"/>
    <w:rsid w:val="006E3100"/>
    <w:rsid w:val="006E37EE"/>
    <w:rsid w:val="006E3E08"/>
    <w:rsid w:val="006E4A8D"/>
    <w:rsid w:val="006E5AC0"/>
    <w:rsid w:val="006E5C25"/>
    <w:rsid w:val="006E66F8"/>
    <w:rsid w:val="006E67C3"/>
    <w:rsid w:val="006E6FEF"/>
    <w:rsid w:val="006E70A1"/>
    <w:rsid w:val="006E7126"/>
    <w:rsid w:val="006E736A"/>
    <w:rsid w:val="006E7954"/>
    <w:rsid w:val="006E796C"/>
    <w:rsid w:val="006E7A90"/>
    <w:rsid w:val="006E7DB3"/>
    <w:rsid w:val="006E7F0F"/>
    <w:rsid w:val="006F0087"/>
    <w:rsid w:val="006F0540"/>
    <w:rsid w:val="006F0A35"/>
    <w:rsid w:val="006F13AF"/>
    <w:rsid w:val="006F2738"/>
    <w:rsid w:val="006F2B07"/>
    <w:rsid w:val="006F2D7A"/>
    <w:rsid w:val="006F31B5"/>
    <w:rsid w:val="006F3210"/>
    <w:rsid w:val="006F3A15"/>
    <w:rsid w:val="006F4126"/>
    <w:rsid w:val="006F4173"/>
    <w:rsid w:val="006F4523"/>
    <w:rsid w:val="006F4C90"/>
    <w:rsid w:val="006F537C"/>
    <w:rsid w:val="006F5FFC"/>
    <w:rsid w:val="006F6546"/>
    <w:rsid w:val="006F708F"/>
    <w:rsid w:val="006F75FC"/>
    <w:rsid w:val="007006AE"/>
    <w:rsid w:val="0070077D"/>
    <w:rsid w:val="00700D30"/>
    <w:rsid w:val="007030B8"/>
    <w:rsid w:val="00704181"/>
    <w:rsid w:val="00704F35"/>
    <w:rsid w:val="00705677"/>
    <w:rsid w:val="00705A1E"/>
    <w:rsid w:val="00705F3B"/>
    <w:rsid w:val="007068C9"/>
    <w:rsid w:val="007078FD"/>
    <w:rsid w:val="00710248"/>
    <w:rsid w:val="00710FF3"/>
    <w:rsid w:val="0071215A"/>
    <w:rsid w:val="00712AE2"/>
    <w:rsid w:val="00712BB2"/>
    <w:rsid w:val="00712DE2"/>
    <w:rsid w:val="0071372D"/>
    <w:rsid w:val="00713870"/>
    <w:rsid w:val="00713DD5"/>
    <w:rsid w:val="00715971"/>
    <w:rsid w:val="00715B07"/>
    <w:rsid w:val="00715E59"/>
    <w:rsid w:val="00715F5E"/>
    <w:rsid w:val="0071658A"/>
    <w:rsid w:val="0071693F"/>
    <w:rsid w:val="00716AF5"/>
    <w:rsid w:val="0071701A"/>
    <w:rsid w:val="007205D7"/>
    <w:rsid w:val="007208D9"/>
    <w:rsid w:val="00721A7E"/>
    <w:rsid w:val="00721AEF"/>
    <w:rsid w:val="00722247"/>
    <w:rsid w:val="007225E9"/>
    <w:rsid w:val="00722673"/>
    <w:rsid w:val="0072271B"/>
    <w:rsid w:val="00722A68"/>
    <w:rsid w:val="0072361E"/>
    <w:rsid w:val="007236CE"/>
    <w:rsid w:val="007244E5"/>
    <w:rsid w:val="00724CCF"/>
    <w:rsid w:val="00724CE3"/>
    <w:rsid w:val="00725A61"/>
    <w:rsid w:val="00725FFF"/>
    <w:rsid w:val="007264A5"/>
    <w:rsid w:val="007268B6"/>
    <w:rsid w:val="00727BC8"/>
    <w:rsid w:val="00727D1C"/>
    <w:rsid w:val="00727E15"/>
    <w:rsid w:val="007308D8"/>
    <w:rsid w:val="00730A11"/>
    <w:rsid w:val="00730AF2"/>
    <w:rsid w:val="00730B4E"/>
    <w:rsid w:val="00730DDC"/>
    <w:rsid w:val="0073131D"/>
    <w:rsid w:val="00731516"/>
    <w:rsid w:val="007315CF"/>
    <w:rsid w:val="00731AEC"/>
    <w:rsid w:val="00731DFC"/>
    <w:rsid w:val="00732504"/>
    <w:rsid w:val="00732653"/>
    <w:rsid w:val="00732BC6"/>
    <w:rsid w:val="00732BD7"/>
    <w:rsid w:val="007337F3"/>
    <w:rsid w:val="00733AB4"/>
    <w:rsid w:val="0073408C"/>
    <w:rsid w:val="007354EE"/>
    <w:rsid w:val="00735C8F"/>
    <w:rsid w:val="007368B7"/>
    <w:rsid w:val="00736C04"/>
    <w:rsid w:val="00737801"/>
    <w:rsid w:val="00740A12"/>
    <w:rsid w:val="00740FDE"/>
    <w:rsid w:val="00741859"/>
    <w:rsid w:val="00741D58"/>
    <w:rsid w:val="00742295"/>
    <w:rsid w:val="00742486"/>
    <w:rsid w:val="00742D97"/>
    <w:rsid w:val="00743026"/>
    <w:rsid w:val="007438FD"/>
    <w:rsid w:val="007440A4"/>
    <w:rsid w:val="0074483F"/>
    <w:rsid w:val="007452F1"/>
    <w:rsid w:val="00745322"/>
    <w:rsid w:val="007464BF"/>
    <w:rsid w:val="007467E9"/>
    <w:rsid w:val="00747614"/>
    <w:rsid w:val="00747982"/>
    <w:rsid w:val="0075104C"/>
    <w:rsid w:val="0075181D"/>
    <w:rsid w:val="0075292E"/>
    <w:rsid w:val="00753A47"/>
    <w:rsid w:val="00753E91"/>
    <w:rsid w:val="00753FF4"/>
    <w:rsid w:val="00754844"/>
    <w:rsid w:val="00754CA4"/>
    <w:rsid w:val="00754EB4"/>
    <w:rsid w:val="0075633F"/>
    <w:rsid w:val="00756607"/>
    <w:rsid w:val="00757437"/>
    <w:rsid w:val="00761078"/>
    <w:rsid w:val="007614A8"/>
    <w:rsid w:val="007625B7"/>
    <w:rsid w:val="00764EB1"/>
    <w:rsid w:val="007654FE"/>
    <w:rsid w:val="0076562E"/>
    <w:rsid w:val="00765A48"/>
    <w:rsid w:val="007665A0"/>
    <w:rsid w:val="00766C70"/>
    <w:rsid w:val="00767C54"/>
    <w:rsid w:val="007703BE"/>
    <w:rsid w:val="00770A07"/>
    <w:rsid w:val="0077114C"/>
    <w:rsid w:val="007715B6"/>
    <w:rsid w:val="007717DF"/>
    <w:rsid w:val="00771E97"/>
    <w:rsid w:val="00772C39"/>
    <w:rsid w:val="00772D19"/>
    <w:rsid w:val="007738B8"/>
    <w:rsid w:val="0077414B"/>
    <w:rsid w:val="00774587"/>
    <w:rsid w:val="0077554A"/>
    <w:rsid w:val="0077576C"/>
    <w:rsid w:val="0077609D"/>
    <w:rsid w:val="00776151"/>
    <w:rsid w:val="007761E3"/>
    <w:rsid w:val="00776CE6"/>
    <w:rsid w:val="00777000"/>
    <w:rsid w:val="00780033"/>
    <w:rsid w:val="00780092"/>
    <w:rsid w:val="00780725"/>
    <w:rsid w:val="00781FF0"/>
    <w:rsid w:val="007821FE"/>
    <w:rsid w:val="007823BA"/>
    <w:rsid w:val="00782815"/>
    <w:rsid w:val="00782DF0"/>
    <w:rsid w:val="00782E73"/>
    <w:rsid w:val="00786788"/>
    <w:rsid w:val="00786931"/>
    <w:rsid w:val="00786F92"/>
    <w:rsid w:val="00787FA7"/>
    <w:rsid w:val="00790AF0"/>
    <w:rsid w:val="0079177F"/>
    <w:rsid w:val="007926A6"/>
    <w:rsid w:val="00792A64"/>
    <w:rsid w:val="0079355D"/>
    <w:rsid w:val="00794023"/>
    <w:rsid w:val="007940EA"/>
    <w:rsid w:val="0079412F"/>
    <w:rsid w:val="0079461C"/>
    <w:rsid w:val="00794C3B"/>
    <w:rsid w:val="00794CAC"/>
    <w:rsid w:val="007953DE"/>
    <w:rsid w:val="00795BE5"/>
    <w:rsid w:val="00795E82"/>
    <w:rsid w:val="00796450"/>
    <w:rsid w:val="00796B2A"/>
    <w:rsid w:val="00796F66"/>
    <w:rsid w:val="0079725A"/>
    <w:rsid w:val="0079782F"/>
    <w:rsid w:val="007A02C0"/>
    <w:rsid w:val="007A03B9"/>
    <w:rsid w:val="007A04EA"/>
    <w:rsid w:val="007A0A36"/>
    <w:rsid w:val="007A21B2"/>
    <w:rsid w:val="007A224F"/>
    <w:rsid w:val="007A2804"/>
    <w:rsid w:val="007A348E"/>
    <w:rsid w:val="007A3BA3"/>
    <w:rsid w:val="007A4306"/>
    <w:rsid w:val="007A44A8"/>
    <w:rsid w:val="007A48E4"/>
    <w:rsid w:val="007A4C2C"/>
    <w:rsid w:val="007A4F76"/>
    <w:rsid w:val="007A5141"/>
    <w:rsid w:val="007A5C1B"/>
    <w:rsid w:val="007A5FEA"/>
    <w:rsid w:val="007A6369"/>
    <w:rsid w:val="007A757E"/>
    <w:rsid w:val="007A7783"/>
    <w:rsid w:val="007B0BED"/>
    <w:rsid w:val="007B164A"/>
    <w:rsid w:val="007B18D1"/>
    <w:rsid w:val="007B26F6"/>
    <w:rsid w:val="007B33EE"/>
    <w:rsid w:val="007B3788"/>
    <w:rsid w:val="007B3AA9"/>
    <w:rsid w:val="007B3ABF"/>
    <w:rsid w:val="007B3D34"/>
    <w:rsid w:val="007B3E25"/>
    <w:rsid w:val="007B5D64"/>
    <w:rsid w:val="007B682A"/>
    <w:rsid w:val="007B6CFF"/>
    <w:rsid w:val="007B6D01"/>
    <w:rsid w:val="007B7289"/>
    <w:rsid w:val="007C017A"/>
    <w:rsid w:val="007C2B57"/>
    <w:rsid w:val="007C2BC0"/>
    <w:rsid w:val="007C30AD"/>
    <w:rsid w:val="007C3135"/>
    <w:rsid w:val="007C38BF"/>
    <w:rsid w:val="007C3B6C"/>
    <w:rsid w:val="007C403C"/>
    <w:rsid w:val="007C42F2"/>
    <w:rsid w:val="007C4C3F"/>
    <w:rsid w:val="007C5A0C"/>
    <w:rsid w:val="007C5E4C"/>
    <w:rsid w:val="007C666E"/>
    <w:rsid w:val="007C6C5D"/>
    <w:rsid w:val="007C6E61"/>
    <w:rsid w:val="007C75E0"/>
    <w:rsid w:val="007C7BC7"/>
    <w:rsid w:val="007D07D8"/>
    <w:rsid w:val="007D0E86"/>
    <w:rsid w:val="007D117E"/>
    <w:rsid w:val="007D141A"/>
    <w:rsid w:val="007D1684"/>
    <w:rsid w:val="007D1A33"/>
    <w:rsid w:val="007D23D7"/>
    <w:rsid w:val="007D315B"/>
    <w:rsid w:val="007D4337"/>
    <w:rsid w:val="007D4382"/>
    <w:rsid w:val="007D4EC4"/>
    <w:rsid w:val="007D5483"/>
    <w:rsid w:val="007D641F"/>
    <w:rsid w:val="007D67FB"/>
    <w:rsid w:val="007E013A"/>
    <w:rsid w:val="007E02BB"/>
    <w:rsid w:val="007E02F1"/>
    <w:rsid w:val="007E0360"/>
    <w:rsid w:val="007E0993"/>
    <w:rsid w:val="007E1AD4"/>
    <w:rsid w:val="007E354C"/>
    <w:rsid w:val="007E3583"/>
    <w:rsid w:val="007E3681"/>
    <w:rsid w:val="007E3803"/>
    <w:rsid w:val="007E3D51"/>
    <w:rsid w:val="007E3F64"/>
    <w:rsid w:val="007E4922"/>
    <w:rsid w:val="007E5329"/>
    <w:rsid w:val="007E581C"/>
    <w:rsid w:val="007E5A66"/>
    <w:rsid w:val="007E5BEE"/>
    <w:rsid w:val="007E61CA"/>
    <w:rsid w:val="007E7239"/>
    <w:rsid w:val="007E7314"/>
    <w:rsid w:val="007F178D"/>
    <w:rsid w:val="007F1A12"/>
    <w:rsid w:val="007F20D7"/>
    <w:rsid w:val="007F273C"/>
    <w:rsid w:val="007F2C23"/>
    <w:rsid w:val="007F34D1"/>
    <w:rsid w:val="007F36BE"/>
    <w:rsid w:val="007F3BF8"/>
    <w:rsid w:val="007F3EAF"/>
    <w:rsid w:val="007F47C3"/>
    <w:rsid w:val="007F4DB3"/>
    <w:rsid w:val="007F5017"/>
    <w:rsid w:val="007F5274"/>
    <w:rsid w:val="007F585E"/>
    <w:rsid w:val="007F5B5F"/>
    <w:rsid w:val="007F63FE"/>
    <w:rsid w:val="007F6581"/>
    <w:rsid w:val="007F6FAA"/>
    <w:rsid w:val="007F72C0"/>
    <w:rsid w:val="007F7EF5"/>
    <w:rsid w:val="007F7F74"/>
    <w:rsid w:val="0080021A"/>
    <w:rsid w:val="0080028D"/>
    <w:rsid w:val="008006F9"/>
    <w:rsid w:val="008007DE"/>
    <w:rsid w:val="00800E93"/>
    <w:rsid w:val="0080151F"/>
    <w:rsid w:val="008017B7"/>
    <w:rsid w:val="008021C1"/>
    <w:rsid w:val="00802F98"/>
    <w:rsid w:val="00803249"/>
    <w:rsid w:val="0080399A"/>
    <w:rsid w:val="00803C5D"/>
    <w:rsid w:val="00803F5C"/>
    <w:rsid w:val="008056B0"/>
    <w:rsid w:val="00806937"/>
    <w:rsid w:val="00807254"/>
    <w:rsid w:val="0080729F"/>
    <w:rsid w:val="0080737F"/>
    <w:rsid w:val="008073AD"/>
    <w:rsid w:val="00807534"/>
    <w:rsid w:val="0080757E"/>
    <w:rsid w:val="0080789A"/>
    <w:rsid w:val="00807ACB"/>
    <w:rsid w:val="00807CF6"/>
    <w:rsid w:val="008106D6"/>
    <w:rsid w:val="00810C75"/>
    <w:rsid w:val="008112CE"/>
    <w:rsid w:val="00811607"/>
    <w:rsid w:val="008117FC"/>
    <w:rsid w:val="00811BF4"/>
    <w:rsid w:val="00811D9D"/>
    <w:rsid w:val="00811FA0"/>
    <w:rsid w:val="00812742"/>
    <w:rsid w:val="00812BD5"/>
    <w:rsid w:val="00813275"/>
    <w:rsid w:val="0081367A"/>
    <w:rsid w:val="00813DFB"/>
    <w:rsid w:val="00813F35"/>
    <w:rsid w:val="008146DA"/>
    <w:rsid w:val="00814BC5"/>
    <w:rsid w:val="00816B4B"/>
    <w:rsid w:val="00816D15"/>
    <w:rsid w:val="00816FA8"/>
    <w:rsid w:val="00817208"/>
    <w:rsid w:val="00817523"/>
    <w:rsid w:val="00817963"/>
    <w:rsid w:val="00820509"/>
    <w:rsid w:val="00820CE8"/>
    <w:rsid w:val="00821E8B"/>
    <w:rsid w:val="008222A3"/>
    <w:rsid w:val="00822457"/>
    <w:rsid w:val="00824405"/>
    <w:rsid w:val="00824531"/>
    <w:rsid w:val="008246B6"/>
    <w:rsid w:val="00824BB1"/>
    <w:rsid w:val="00824E62"/>
    <w:rsid w:val="00825279"/>
    <w:rsid w:val="0082543B"/>
    <w:rsid w:val="008260A9"/>
    <w:rsid w:val="008268B7"/>
    <w:rsid w:val="008278A2"/>
    <w:rsid w:val="008305EC"/>
    <w:rsid w:val="00830FE3"/>
    <w:rsid w:val="008313A4"/>
    <w:rsid w:val="00831EFD"/>
    <w:rsid w:val="00831FD2"/>
    <w:rsid w:val="00832C64"/>
    <w:rsid w:val="00833127"/>
    <w:rsid w:val="00833832"/>
    <w:rsid w:val="00833835"/>
    <w:rsid w:val="0083476D"/>
    <w:rsid w:val="008350F7"/>
    <w:rsid w:val="00835A78"/>
    <w:rsid w:val="0083606A"/>
    <w:rsid w:val="0083669B"/>
    <w:rsid w:val="008402B0"/>
    <w:rsid w:val="0084071D"/>
    <w:rsid w:val="008433CF"/>
    <w:rsid w:val="00843AB8"/>
    <w:rsid w:val="008442D9"/>
    <w:rsid w:val="0084474C"/>
    <w:rsid w:val="008449C5"/>
    <w:rsid w:val="00845414"/>
    <w:rsid w:val="00845681"/>
    <w:rsid w:val="0084673F"/>
    <w:rsid w:val="00846833"/>
    <w:rsid w:val="0084696F"/>
    <w:rsid w:val="008471A5"/>
    <w:rsid w:val="00847243"/>
    <w:rsid w:val="00847565"/>
    <w:rsid w:val="0084762E"/>
    <w:rsid w:val="008479C0"/>
    <w:rsid w:val="00850037"/>
    <w:rsid w:val="0085081E"/>
    <w:rsid w:val="00851792"/>
    <w:rsid w:val="008517E5"/>
    <w:rsid w:val="008521D7"/>
    <w:rsid w:val="008525C4"/>
    <w:rsid w:val="00852C46"/>
    <w:rsid w:val="008532CF"/>
    <w:rsid w:val="008536D7"/>
    <w:rsid w:val="00853739"/>
    <w:rsid w:val="0085393A"/>
    <w:rsid w:val="00853E8A"/>
    <w:rsid w:val="0085415E"/>
    <w:rsid w:val="0085455F"/>
    <w:rsid w:val="00854BD7"/>
    <w:rsid w:val="008553C8"/>
    <w:rsid w:val="00855C17"/>
    <w:rsid w:val="00856CEF"/>
    <w:rsid w:val="00857689"/>
    <w:rsid w:val="00857BD1"/>
    <w:rsid w:val="00860C5C"/>
    <w:rsid w:val="00861337"/>
    <w:rsid w:val="00861D5B"/>
    <w:rsid w:val="008623BA"/>
    <w:rsid w:val="00863B7E"/>
    <w:rsid w:val="0086445C"/>
    <w:rsid w:val="0086472F"/>
    <w:rsid w:val="00864B71"/>
    <w:rsid w:val="008655A3"/>
    <w:rsid w:val="00865FC6"/>
    <w:rsid w:val="008666F4"/>
    <w:rsid w:val="00866890"/>
    <w:rsid w:val="00870DD3"/>
    <w:rsid w:val="00871697"/>
    <w:rsid w:val="00871AC4"/>
    <w:rsid w:val="00871B69"/>
    <w:rsid w:val="00873076"/>
    <w:rsid w:val="008741DA"/>
    <w:rsid w:val="008752F0"/>
    <w:rsid w:val="0087631A"/>
    <w:rsid w:val="00876396"/>
    <w:rsid w:val="0087642B"/>
    <w:rsid w:val="008766ED"/>
    <w:rsid w:val="00876B3D"/>
    <w:rsid w:val="00877C54"/>
    <w:rsid w:val="0088008D"/>
    <w:rsid w:val="008804F2"/>
    <w:rsid w:val="008809DC"/>
    <w:rsid w:val="00880EFF"/>
    <w:rsid w:val="0088148F"/>
    <w:rsid w:val="0088239E"/>
    <w:rsid w:val="00883D32"/>
    <w:rsid w:val="008847F7"/>
    <w:rsid w:val="0088522D"/>
    <w:rsid w:val="00885CA9"/>
    <w:rsid w:val="00885D36"/>
    <w:rsid w:val="00885E77"/>
    <w:rsid w:val="00886687"/>
    <w:rsid w:val="00887A1B"/>
    <w:rsid w:val="00887AD9"/>
    <w:rsid w:val="00890640"/>
    <w:rsid w:val="0089083B"/>
    <w:rsid w:val="00890CCD"/>
    <w:rsid w:val="008917DB"/>
    <w:rsid w:val="00892197"/>
    <w:rsid w:val="008924F5"/>
    <w:rsid w:val="008927C4"/>
    <w:rsid w:val="00892827"/>
    <w:rsid w:val="00892BDB"/>
    <w:rsid w:val="00893024"/>
    <w:rsid w:val="00893126"/>
    <w:rsid w:val="00893220"/>
    <w:rsid w:val="008935C7"/>
    <w:rsid w:val="008942F2"/>
    <w:rsid w:val="008A0582"/>
    <w:rsid w:val="008A06AD"/>
    <w:rsid w:val="008A09EA"/>
    <w:rsid w:val="008A0E12"/>
    <w:rsid w:val="008A1DE1"/>
    <w:rsid w:val="008A3580"/>
    <w:rsid w:val="008A3902"/>
    <w:rsid w:val="008A4934"/>
    <w:rsid w:val="008A4F45"/>
    <w:rsid w:val="008A5F82"/>
    <w:rsid w:val="008A60C5"/>
    <w:rsid w:val="008A6FFA"/>
    <w:rsid w:val="008B06AD"/>
    <w:rsid w:val="008B08A3"/>
    <w:rsid w:val="008B0A5A"/>
    <w:rsid w:val="008B0F8E"/>
    <w:rsid w:val="008B12FF"/>
    <w:rsid w:val="008B1380"/>
    <w:rsid w:val="008B1632"/>
    <w:rsid w:val="008B16D9"/>
    <w:rsid w:val="008B2678"/>
    <w:rsid w:val="008B2A2A"/>
    <w:rsid w:val="008B36B5"/>
    <w:rsid w:val="008B3C39"/>
    <w:rsid w:val="008B4215"/>
    <w:rsid w:val="008B4790"/>
    <w:rsid w:val="008B4E81"/>
    <w:rsid w:val="008B4FBF"/>
    <w:rsid w:val="008B531E"/>
    <w:rsid w:val="008B53A9"/>
    <w:rsid w:val="008B5BE3"/>
    <w:rsid w:val="008B6658"/>
    <w:rsid w:val="008B7190"/>
    <w:rsid w:val="008B73FD"/>
    <w:rsid w:val="008B767A"/>
    <w:rsid w:val="008B7B57"/>
    <w:rsid w:val="008C0681"/>
    <w:rsid w:val="008C0748"/>
    <w:rsid w:val="008C0B94"/>
    <w:rsid w:val="008C3EF2"/>
    <w:rsid w:val="008C4189"/>
    <w:rsid w:val="008C4334"/>
    <w:rsid w:val="008C4349"/>
    <w:rsid w:val="008C43F3"/>
    <w:rsid w:val="008C46DE"/>
    <w:rsid w:val="008C4C9A"/>
    <w:rsid w:val="008C5289"/>
    <w:rsid w:val="008C539C"/>
    <w:rsid w:val="008C7211"/>
    <w:rsid w:val="008C750F"/>
    <w:rsid w:val="008C75DC"/>
    <w:rsid w:val="008C7B29"/>
    <w:rsid w:val="008D0205"/>
    <w:rsid w:val="008D0B69"/>
    <w:rsid w:val="008D0C2F"/>
    <w:rsid w:val="008D12D9"/>
    <w:rsid w:val="008D12EF"/>
    <w:rsid w:val="008D1458"/>
    <w:rsid w:val="008D1C30"/>
    <w:rsid w:val="008D1DFF"/>
    <w:rsid w:val="008D2508"/>
    <w:rsid w:val="008D2B5B"/>
    <w:rsid w:val="008D422D"/>
    <w:rsid w:val="008D4370"/>
    <w:rsid w:val="008D5CD7"/>
    <w:rsid w:val="008D618E"/>
    <w:rsid w:val="008D6924"/>
    <w:rsid w:val="008D7078"/>
    <w:rsid w:val="008E09C8"/>
    <w:rsid w:val="008E1121"/>
    <w:rsid w:val="008E11B8"/>
    <w:rsid w:val="008E16B1"/>
    <w:rsid w:val="008E17B5"/>
    <w:rsid w:val="008E1CA3"/>
    <w:rsid w:val="008E1FC5"/>
    <w:rsid w:val="008E2391"/>
    <w:rsid w:val="008E2D48"/>
    <w:rsid w:val="008E2DC3"/>
    <w:rsid w:val="008E320D"/>
    <w:rsid w:val="008E33D8"/>
    <w:rsid w:val="008E3B25"/>
    <w:rsid w:val="008E3D46"/>
    <w:rsid w:val="008E3F50"/>
    <w:rsid w:val="008E417A"/>
    <w:rsid w:val="008E419A"/>
    <w:rsid w:val="008E452A"/>
    <w:rsid w:val="008E5449"/>
    <w:rsid w:val="008E5A88"/>
    <w:rsid w:val="008E60CF"/>
    <w:rsid w:val="008E614A"/>
    <w:rsid w:val="008E725F"/>
    <w:rsid w:val="008E72F6"/>
    <w:rsid w:val="008E737E"/>
    <w:rsid w:val="008E73D4"/>
    <w:rsid w:val="008E746E"/>
    <w:rsid w:val="008E76FD"/>
    <w:rsid w:val="008E7A5F"/>
    <w:rsid w:val="008E7FAE"/>
    <w:rsid w:val="008F05CE"/>
    <w:rsid w:val="008F1435"/>
    <w:rsid w:val="008F36CC"/>
    <w:rsid w:val="008F3E15"/>
    <w:rsid w:val="008F44B2"/>
    <w:rsid w:val="008F45CE"/>
    <w:rsid w:val="008F5750"/>
    <w:rsid w:val="008F5E50"/>
    <w:rsid w:val="008F613E"/>
    <w:rsid w:val="008F6AE1"/>
    <w:rsid w:val="008F6C03"/>
    <w:rsid w:val="008F6E83"/>
    <w:rsid w:val="008F7EC3"/>
    <w:rsid w:val="009004E8"/>
    <w:rsid w:val="00900503"/>
    <w:rsid w:val="00902446"/>
    <w:rsid w:val="0090273C"/>
    <w:rsid w:val="00902AEA"/>
    <w:rsid w:val="00902F9F"/>
    <w:rsid w:val="00903642"/>
    <w:rsid w:val="00903B16"/>
    <w:rsid w:val="009047E1"/>
    <w:rsid w:val="00904975"/>
    <w:rsid w:val="00904C54"/>
    <w:rsid w:val="0090758B"/>
    <w:rsid w:val="0090794E"/>
    <w:rsid w:val="00907A00"/>
    <w:rsid w:val="00907A6C"/>
    <w:rsid w:val="009104F7"/>
    <w:rsid w:val="00910E82"/>
    <w:rsid w:val="00911DF9"/>
    <w:rsid w:val="00912439"/>
    <w:rsid w:val="009124D0"/>
    <w:rsid w:val="00913B2F"/>
    <w:rsid w:val="0091464A"/>
    <w:rsid w:val="00914DD6"/>
    <w:rsid w:val="0091569B"/>
    <w:rsid w:val="00915C83"/>
    <w:rsid w:val="00917B1D"/>
    <w:rsid w:val="009201FF"/>
    <w:rsid w:val="009204BB"/>
    <w:rsid w:val="00920C88"/>
    <w:rsid w:val="009222BF"/>
    <w:rsid w:val="0092257F"/>
    <w:rsid w:val="009229F8"/>
    <w:rsid w:val="00922E15"/>
    <w:rsid w:val="009234DD"/>
    <w:rsid w:val="00923D59"/>
    <w:rsid w:val="009240A1"/>
    <w:rsid w:val="00924273"/>
    <w:rsid w:val="009247FC"/>
    <w:rsid w:val="00925094"/>
    <w:rsid w:val="00925217"/>
    <w:rsid w:val="00925CB6"/>
    <w:rsid w:val="00925E86"/>
    <w:rsid w:val="0092672C"/>
    <w:rsid w:val="0092676F"/>
    <w:rsid w:val="00927734"/>
    <w:rsid w:val="00927941"/>
    <w:rsid w:val="00927A2C"/>
    <w:rsid w:val="00927EB4"/>
    <w:rsid w:val="009309CF"/>
    <w:rsid w:val="00932187"/>
    <w:rsid w:val="009330FE"/>
    <w:rsid w:val="009338CC"/>
    <w:rsid w:val="00934513"/>
    <w:rsid w:val="00934A28"/>
    <w:rsid w:val="009354F2"/>
    <w:rsid w:val="0093565B"/>
    <w:rsid w:val="009357A7"/>
    <w:rsid w:val="00935A22"/>
    <w:rsid w:val="0093688C"/>
    <w:rsid w:val="00936902"/>
    <w:rsid w:val="009405CD"/>
    <w:rsid w:val="00940E6C"/>
    <w:rsid w:val="00941E48"/>
    <w:rsid w:val="00942013"/>
    <w:rsid w:val="00942459"/>
    <w:rsid w:val="0094274D"/>
    <w:rsid w:val="009427CA"/>
    <w:rsid w:val="009431D7"/>
    <w:rsid w:val="009434DA"/>
    <w:rsid w:val="009437AF"/>
    <w:rsid w:val="00943A56"/>
    <w:rsid w:val="00943A6A"/>
    <w:rsid w:val="00943E3E"/>
    <w:rsid w:val="0094411C"/>
    <w:rsid w:val="00944891"/>
    <w:rsid w:val="00944EB5"/>
    <w:rsid w:val="00944FB7"/>
    <w:rsid w:val="00945BA7"/>
    <w:rsid w:val="0094647D"/>
    <w:rsid w:val="0094750A"/>
    <w:rsid w:val="00947E50"/>
    <w:rsid w:val="00950137"/>
    <w:rsid w:val="00950481"/>
    <w:rsid w:val="00950F2F"/>
    <w:rsid w:val="009511E4"/>
    <w:rsid w:val="009512D5"/>
    <w:rsid w:val="009516C9"/>
    <w:rsid w:val="00952128"/>
    <w:rsid w:val="0095285D"/>
    <w:rsid w:val="009533C5"/>
    <w:rsid w:val="009536BF"/>
    <w:rsid w:val="009539FA"/>
    <w:rsid w:val="00953D95"/>
    <w:rsid w:val="00954AF4"/>
    <w:rsid w:val="0095566B"/>
    <w:rsid w:val="009556A5"/>
    <w:rsid w:val="00955702"/>
    <w:rsid w:val="00956968"/>
    <w:rsid w:val="009571E2"/>
    <w:rsid w:val="00957FFC"/>
    <w:rsid w:val="00960034"/>
    <w:rsid w:val="00960603"/>
    <w:rsid w:val="00960BB0"/>
    <w:rsid w:val="00960C98"/>
    <w:rsid w:val="00961555"/>
    <w:rsid w:val="009616C5"/>
    <w:rsid w:val="00962AB2"/>
    <w:rsid w:val="00962BB3"/>
    <w:rsid w:val="009630DE"/>
    <w:rsid w:val="00963D71"/>
    <w:rsid w:val="00963E79"/>
    <w:rsid w:val="0096449A"/>
    <w:rsid w:val="00964ACB"/>
    <w:rsid w:val="009654EC"/>
    <w:rsid w:val="00965773"/>
    <w:rsid w:val="00965C7A"/>
    <w:rsid w:val="00965D6B"/>
    <w:rsid w:val="00965F5B"/>
    <w:rsid w:val="00965FAF"/>
    <w:rsid w:val="00966062"/>
    <w:rsid w:val="009662C5"/>
    <w:rsid w:val="0096690F"/>
    <w:rsid w:val="00966C90"/>
    <w:rsid w:val="00967025"/>
    <w:rsid w:val="00967233"/>
    <w:rsid w:val="00967747"/>
    <w:rsid w:val="00970C93"/>
    <w:rsid w:val="00970F0D"/>
    <w:rsid w:val="009712F7"/>
    <w:rsid w:val="009726AA"/>
    <w:rsid w:val="009726E6"/>
    <w:rsid w:val="009729B5"/>
    <w:rsid w:val="009744AA"/>
    <w:rsid w:val="0097481E"/>
    <w:rsid w:val="00974D05"/>
    <w:rsid w:val="009756ED"/>
    <w:rsid w:val="0097662A"/>
    <w:rsid w:val="0097694B"/>
    <w:rsid w:val="0097720D"/>
    <w:rsid w:val="00980BD2"/>
    <w:rsid w:val="00981924"/>
    <w:rsid w:val="00982175"/>
    <w:rsid w:val="00982404"/>
    <w:rsid w:val="00982518"/>
    <w:rsid w:val="00982692"/>
    <w:rsid w:val="00983A64"/>
    <w:rsid w:val="00986068"/>
    <w:rsid w:val="00986092"/>
    <w:rsid w:val="009868F2"/>
    <w:rsid w:val="00987B48"/>
    <w:rsid w:val="00987B97"/>
    <w:rsid w:val="00987E19"/>
    <w:rsid w:val="0099003D"/>
    <w:rsid w:val="0099069B"/>
    <w:rsid w:val="00991BF4"/>
    <w:rsid w:val="00992BF3"/>
    <w:rsid w:val="00992D2A"/>
    <w:rsid w:val="00992FC8"/>
    <w:rsid w:val="00993C5E"/>
    <w:rsid w:val="00993E32"/>
    <w:rsid w:val="00993E9E"/>
    <w:rsid w:val="0099511C"/>
    <w:rsid w:val="00995854"/>
    <w:rsid w:val="00995C67"/>
    <w:rsid w:val="009960D7"/>
    <w:rsid w:val="0099763F"/>
    <w:rsid w:val="00997F6A"/>
    <w:rsid w:val="009A0114"/>
    <w:rsid w:val="009A0215"/>
    <w:rsid w:val="009A0732"/>
    <w:rsid w:val="009A1957"/>
    <w:rsid w:val="009A1C24"/>
    <w:rsid w:val="009A1F35"/>
    <w:rsid w:val="009A236E"/>
    <w:rsid w:val="009A3877"/>
    <w:rsid w:val="009A3A6D"/>
    <w:rsid w:val="009A478C"/>
    <w:rsid w:val="009A4C5C"/>
    <w:rsid w:val="009A51D8"/>
    <w:rsid w:val="009A54E1"/>
    <w:rsid w:val="009A5741"/>
    <w:rsid w:val="009A5C29"/>
    <w:rsid w:val="009A5E86"/>
    <w:rsid w:val="009A7842"/>
    <w:rsid w:val="009A7A95"/>
    <w:rsid w:val="009B0422"/>
    <w:rsid w:val="009B06C2"/>
    <w:rsid w:val="009B0D7B"/>
    <w:rsid w:val="009B1450"/>
    <w:rsid w:val="009B1984"/>
    <w:rsid w:val="009B2A60"/>
    <w:rsid w:val="009B3948"/>
    <w:rsid w:val="009B3BF5"/>
    <w:rsid w:val="009B3E9F"/>
    <w:rsid w:val="009B3F80"/>
    <w:rsid w:val="009B4170"/>
    <w:rsid w:val="009B42D7"/>
    <w:rsid w:val="009B4347"/>
    <w:rsid w:val="009B45C6"/>
    <w:rsid w:val="009B46B8"/>
    <w:rsid w:val="009B4951"/>
    <w:rsid w:val="009B4C95"/>
    <w:rsid w:val="009B5146"/>
    <w:rsid w:val="009B53BF"/>
    <w:rsid w:val="009B5665"/>
    <w:rsid w:val="009B57E4"/>
    <w:rsid w:val="009B5885"/>
    <w:rsid w:val="009B5DE3"/>
    <w:rsid w:val="009B655B"/>
    <w:rsid w:val="009B72AD"/>
    <w:rsid w:val="009B73A0"/>
    <w:rsid w:val="009B7415"/>
    <w:rsid w:val="009B7570"/>
    <w:rsid w:val="009B75B1"/>
    <w:rsid w:val="009B75E5"/>
    <w:rsid w:val="009C0100"/>
    <w:rsid w:val="009C0245"/>
    <w:rsid w:val="009C0B39"/>
    <w:rsid w:val="009C11F7"/>
    <w:rsid w:val="009C1211"/>
    <w:rsid w:val="009C1852"/>
    <w:rsid w:val="009C2695"/>
    <w:rsid w:val="009C2726"/>
    <w:rsid w:val="009C4EC6"/>
    <w:rsid w:val="009C5B35"/>
    <w:rsid w:val="009C5F4D"/>
    <w:rsid w:val="009C63D7"/>
    <w:rsid w:val="009C6D99"/>
    <w:rsid w:val="009C7A5B"/>
    <w:rsid w:val="009D0293"/>
    <w:rsid w:val="009D02E3"/>
    <w:rsid w:val="009D0FFC"/>
    <w:rsid w:val="009D1D63"/>
    <w:rsid w:val="009D2878"/>
    <w:rsid w:val="009D2B96"/>
    <w:rsid w:val="009D4267"/>
    <w:rsid w:val="009D4B3C"/>
    <w:rsid w:val="009D5009"/>
    <w:rsid w:val="009D52BD"/>
    <w:rsid w:val="009D62D2"/>
    <w:rsid w:val="009D6876"/>
    <w:rsid w:val="009D6E9B"/>
    <w:rsid w:val="009D7474"/>
    <w:rsid w:val="009D78E0"/>
    <w:rsid w:val="009D79CC"/>
    <w:rsid w:val="009D7CBD"/>
    <w:rsid w:val="009E03EA"/>
    <w:rsid w:val="009E09CF"/>
    <w:rsid w:val="009E10BA"/>
    <w:rsid w:val="009E1B64"/>
    <w:rsid w:val="009E2AE1"/>
    <w:rsid w:val="009E2F5D"/>
    <w:rsid w:val="009E379B"/>
    <w:rsid w:val="009E3D93"/>
    <w:rsid w:val="009E4BEF"/>
    <w:rsid w:val="009E5E3F"/>
    <w:rsid w:val="009E63FB"/>
    <w:rsid w:val="009E6E66"/>
    <w:rsid w:val="009E6FC6"/>
    <w:rsid w:val="009E6FE2"/>
    <w:rsid w:val="009E72BF"/>
    <w:rsid w:val="009E7B0B"/>
    <w:rsid w:val="009E7E16"/>
    <w:rsid w:val="009F005B"/>
    <w:rsid w:val="009F026C"/>
    <w:rsid w:val="009F0280"/>
    <w:rsid w:val="009F0C42"/>
    <w:rsid w:val="009F0E15"/>
    <w:rsid w:val="009F17F0"/>
    <w:rsid w:val="009F17F3"/>
    <w:rsid w:val="009F1AF7"/>
    <w:rsid w:val="009F25F6"/>
    <w:rsid w:val="009F25F8"/>
    <w:rsid w:val="009F2721"/>
    <w:rsid w:val="009F326A"/>
    <w:rsid w:val="009F4077"/>
    <w:rsid w:val="009F4720"/>
    <w:rsid w:val="009F4993"/>
    <w:rsid w:val="009F5086"/>
    <w:rsid w:val="009F5768"/>
    <w:rsid w:val="009F5E8E"/>
    <w:rsid w:val="009F5FF5"/>
    <w:rsid w:val="009F67CB"/>
    <w:rsid w:val="009F6AE7"/>
    <w:rsid w:val="009F7856"/>
    <w:rsid w:val="009F7CEA"/>
    <w:rsid w:val="00A009DD"/>
    <w:rsid w:val="00A00A7F"/>
    <w:rsid w:val="00A01659"/>
    <w:rsid w:val="00A01C25"/>
    <w:rsid w:val="00A027EB"/>
    <w:rsid w:val="00A02804"/>
    <w:rsid w:val="00A03B2B"/>
    <w:rsid w:val="00A03E4C"/>
    <w:rsid w:val="00A0593E"/>
    <w:rsid w:val="00A05E27"/>
    <w:rsid w:val="00A061F2"/>
    <w:rsid w:val="00A067B8"/>
    <w:rsid w:val="00A0782D"/>
    <w:rsid w:val="00A1135C"/>
    <w:rsid w:val="00A12833"/>
    <w:rsid w:val="00A12843"/>
    <w:rsid w:val="00A12DB5"/>
    <w:rsid w:val="00A12F61"/>
    <w:rsid w:val="00A1372F"/>
    <w:rsid w:val="00A13789"/>
    <w:rsid w:val="00A13B59"/>
    <w:rsid w:val="00A14CA1"/>
    <w:rsid w:val="00A15162"/>
    <w:rsid w:val="00A159A0"/>
    <w:rsid w:val="00A1690C"/>
    <w:rsid w:val="00A16980"/>
    <w:rsid w:val="00A17A33"/>
    <w:rsid w:val="00A17EC1"/>
    <w:rsid w:val="00A205CA"/>
    <w:rsid w:val="00A21E4F"/>
    <w:rsid w:val="00A22073"/>
    <w:rsid w:val="00A22152"/>
    <w:rsid w:val="00A22E7D"/>
    <w:rsid w:val="00A23356"/>
    <w:rsid w:val="00A23662"/>
    <w:rsid w:val="00A23F08"/>
    <w:rsid w:val="00A24228"/>
    <w:rsid w:val="00A24A2B"/>
    <w:rsid w:val="00A24DCD"/>
    <w:rsid w:val="00A2585E"/>
    <w:rsid w:val="00A2633B"/>
    <w:rsid w:val="00A26B61"/>
    <w:rsid w:val="00A270C2"/>
    <w:rsid w:val="00A274AF"/>
    <w:rsid w:val="00A30DE0"/>
    <w:rsid w:val="00A30E6A"/>
    <w:rsid w:val="00A31319"/>
    <w:rsid w:val="00A3150D"/>
    <w:rsid w:val="00A31C67"/>
    <w:rsid w:val="00A322E1"/>
    <w:rsid w:val="00A3294A"/>
    <w:rsid w:val="00A336B0"/>
    <w:rsid w:val="00A3382E"/>
    <w:rsid w:val="00A338B2"/>
    <w:rsid w:val="00A33FF8"/>
    <w:rsid w:val="00A34329"/>
    <w:rsid w:val="00A34685"/>
    <w:rsid w:val="00A34B8E"/>
    <w:rsid w:val="00A35EBC"/>
    <w:rsid w:val="00A35F98"/>
    <w:rsid w:val="00A35FC6"/>
    <w:rsid w:val="00A36292"/>
    <w:rsid w:val="00A4094D"/>
    <w:rsid w:val="00A40FCE"/>
    <w:rsid w:val="00A4306C"/>
    <w:rsid w:val="00A439A0"/>
    <w:rsid w:val="00A44527"/>
    <w:rsid w:val="00A455E0"/>
    <w:rsid w:val="00A5006F"/>
    <w:rsid w:val="00A508BE"/>
    <w:rsid w:val="00A50C0C"/>
    <w:rsid w:val="00A50E4B"/>
    <w:rsid w:val="00A513A1"/>
    <w:rsid w:val="00A51885"/>
    <w:rsid w:val="00A51F24"/>
    <w:rsid w:val="00A53918"/>
    <w:rsid w:val="00A53CE9"/>
    <w:rsid w:val="00A5405A"/>
    <w:rsid w:val="00A54669"/>
    <w:rsid w:val="00A54CC2"/>
    <w:rsid w:val="00A54F1C"/>
    <w:rsid w:val="00A55C0C"/>
    <w:rsid w:val="00A56274"/>
    <w:rsid w:val="00A5698E"/>
    <w:rsid w:val="00A56BD9"/>
    <w:rsid w:val="00A604F9"/>
    <w:rsid w:val="00A605A4"/>
    <w:rsid w:val="00A60AB8"/>
    <w:rsid w:val="00A613F8"/>
    <w:rsid w:val="00A61761"/>
    <w:rsid w:val="00A62187"/>
    <w:rsid w:val="00A6257B"/>
    <w:rsid w:val="00A632C5"/>
    <w:rsid w:val="00A6429C"/>
    <w:rsid w:val="00A64A48"/>
    <w:rsid w:val="00A658B4"/>
    <w:rsid w:val="00A65AB6"/>
    <w:rsid w:val="00A66083"/>
    <w:rsid w:val="00A66128"/>
    <w:rsid w:val="00A66959"/>
    <w:rsid w:val="00A66D57"/>
    <w:rsid w:val="00A67173"/>
    <w:rsid w:val="00A675FD"/>
    <w:rsid w:val="00A67829"/>
    <w:rsid w:val="00A67FBB"/>
    <w:rsid w:val="00A7069B"/>
    <w:rsid w:val="00A716AE"/>
    <w:rsid w:val="00A721A6"/>
    <w:rsid w:val="00A72273"/>
    <w:rsid w:val="00A728C8"/>
    <w:rsid w:val="00A72957"/>
    <w:rsid w:val="00A72B9C"/>
    <w:rsid w:val="00A737D1"/>
    <w:rsid w:val="00A73A48"/>
    <w:rsid w:val="00A73AC6"/>
    <w:rsid w:val="00A73BAD"/>
    <w:rsid w:val="00A7422B"/>
    <w:rsid w:val="00A746A1"/>
    <w:rsid w:val="00A754B1"/>
    <w:rsid w:val="00A763AC"/>
    <w:rsid w:val="00A76739"/>
    <w:rsid w:val="00A76E2B"/>
    <w:rsid w:val="00A76F4A"/>
    <w:rsid w:val="00A774DF"/>
    <w:rsid w:val="00A778B2"/>
    <w:rsid w:val="00A8036F"/>
    <w:rsid w:val="00A80CF6"/>
    <w:rsid w:val="00A81287"/>
    <w:rsid w:val="00A81A88"/>
    <w:rsid w:val="00A81E6B"/>
    <w:rsid w:val="00A823E4"/>
    <w:rsid w:val="00A82B6D"/>
    <w:rsid w:val="00A82E29"/>
    <w:rsid w:val="00A83BE5"/>
    <w:rsid w:val="00A83CDB"/>
    <w:rsid w:val="00A83F62"/>
    <w:rsid w:val="00A840D1"/>
    <w:rsid w:val="00A84F6E"/>
    <w:rsid w:val="00A8502F"/>
    <w:rsid w:val="00A85449"/>
    <w:rsid w:val="00A85AA0"/>
    <w:rsid w:val="00A85F58"/>
    <w:rsid w:val="00A865E9"/>
    <w:rsid w:val="00A865EF"/>
    <w:rsid w:val="00A86804"/>
    <w:rsid w:val="00A86849"/>
    <w:rsid w:val="00A8710B"/>
    <w:rsid w:val="00A87AE9"/>
    <w:rsid w:val="00A87CE5"/>
    <w:rsid w:val="00A904C5"/>
    <w:rsid w:val="00A91275"/>
    <w:rsid w:val="00A92DDD"/>
    <w:rsid w:val="00A92F12"/>
    <w:rsid w:val="00A93C77"/>
    <w:rsid w:val="00A9423A"/>
    <w:rsid w:val="00A94AE7"/>
    <w:rsid w:val="00A94B32"/>
    <w:rsid w:val="00A94C71"/>
    <w:rsid w:val="00A9575F"/>
    <w:rsid w:val="00A964C6"/>
    <w:rsid w:val="00A96BBE"/>
    <w:rsid w:val="00AA0587"/>
    <w:rsid w:val="00AA05AD"/>
    <w:rsid w:val="00AA06E7"/>
    <w:rsid w:val="00AA0AC6"/>
    <w:rsid w:val="00AA0D77"/>
    <w:rsid w:val="00AA11C1"/>
    <w:rsid w:val="00AA1863"/>
    <w:rsid w:val="00AA24FA"/>
    <w:rsid w:val="00AA2619"/>
    <w:rsid w:val="00AA2901"/>
    <w:rsid w:val="00AA30D9"/>
    <w:rsid w:val="00AA3247"/>
    <w:rsid w:val="00AA4B29"/>
    <w:rsid w:val="00AA4F58"/>
    <w:rsid w:val="00AA5508"/>
    <w:rsid w:val="00AA56BC"/>
    <w:rsid w:val="00AA6740"/>
    <w:rsid w:val="00AA690F"/>
    <w:rsid w:val="00AA7BFE"/>
    <w:rsid w:val="00AA7E54"/>
    <w:rsid w:val="00AA7F52"/>
    <w:rsid w:val="00AB03BA"/>
    <w:rsid w:val="00AB0736"/>
    <w:rsid w:val="00AB0763"/>
    <w:rsid w:val="00AB0AE0"/>
    <w:rsid w:val="00AB0C1C"/>
    <w:rsid w:val="00AB1960"/>
    <w:rsid w:val="00AB1DEC"/>
    <w:rsid w:val="00AB277B"/>
    <w:rsid w:val="00AB27B0"/>
    <w:rsid w:val="00AB3131"/>
    <w:rsid w:val="00AB3463"/>
    <w:rsid w:val="00AB3BAD"/>
    <w:rsid w:val="00AB54D8"/>
    <w:rsid w:val="00AB578B"/>
    <w:rsid w:val="00AB58F8"/>
    <w:rsid w:val="00AB5942"/>
    <w:rsid w:val="00AB5B88"/>
    <w:rsid w:val="00AB7134"/>
    <w:rsid w:val="00AB71F2"/>
    <w:rsid w:val="00AB7322"/>
    <w:rsid w:val="00AB7552"/>
    <w:rsid w:val="00AB7596"/>
    <w:rsid w:val="00AB7834"/>
    <w:rsid w:val="00AB7DD0"/>
    <w:rsid w:val="00AC0B7D"/>
    <w:rsid w:val="00AC13B4"/>
    <w:rsid w:val="00AC1427"/>
    <w:rsid w:val="00AC16C0"/>
    <w:rsid w:val="00AC2093"/>
    <w:rsid w:val="00AC2D91"/>
    <w:rsid w:val="00AC387C"/>
    <w:rsid w:val="00AC40F0"/>
    <w:rsid w:val="00AC4230"/>
    <w:rsid w:val="00AC4811"/>
    <w:rsid w:val="00AC4CB3"/>
    <w:rsid w:val="00AC4D43"/>
    <w:rsid w:val="00AC599B"/>
    <w:rsid w:val="00AC683B"/>
    <w:rsid w:val="00AC6AA9"/>
    <w:rsid w:val="00AC7670"/>
    <w:rsid w:val="00AC7862"/>
    <w:rsid w:val="00AD0187"/>
    <w:rsid w:val="00AD1B72"/>
    <w:rsid w:val="00AD1D99"/>
    <w:rsid w:val="00AD1F1B"/>
    <w:rsid w:val="00AD2143"/>
    <w:rsid w:val="00AD22B4"/>
    <w:rsid w:val="00AD2996"/>
    <w:rsid w:val="00AD2A0D"/>
    <w:rsid w:val="00AD2AA0"/>
    <w:rsid w:val="00AD3241"/>
    <w:rsid w:val="00AD34A3"/>
    <w:rsid w:val="00AD34DA"/>
    <w:rsid w:val="00AD373A"/>
    <w:rsid w:val="00AD3C35"/>
    <w:rsid w:val="00AD58BC"/>
    <w:rsid w:val="00AD598A"/>
    <w:rsid w:val="00AD5AA4"/>
    <w:rsid w:val="00AD7611"/>
    <w:rsid w:val="00AD7B7F"/>
    <w:rsid w:val="00AE0B2F"/>
    <w:rsid w:val="00AE0F89"/>
    <w:rsid w:val="00AE1ED2"/>
    <w:rsid w:val="00AE2008"/>
    <w:rsid w:val="00AE2946"/>
    <w:rsid w:val="00AE44A0"/>
    <w:rsid w:val="00AE49C2"/>
    <w:rsid w:val="00AE4AE6"/>
    <w:rsid w:val="00AE50ED"/>
    <w:rsid w:val="00AE5849"/>
    <w:rsid w:val="00AE5E03"/>
    <w:rsid w:val="00AE6871"/>
    <w:rsid w:val="00AE6955"/>
    <w:rsid w:val="00AE7826"/>
    <w:rsid w:val="00AE7B24"/>
    <w:rsid w:val="00AF0614"/>
    <w:rsid w:val="00AF09F7"/>
    <w:rsid w:val="00AF0B59"/>
    <w:rsid w:val="00AF1BF2"/>
    <w:rsid w:val="00AF203A"/>
    <w:rsid w:val="00AF20BD"/>
    <w:rsid w:val="00AF20D4"/>
    <w:rsid w:val="00AF27D1"/>
    <w:rsid w:val="00AF2BAA"/>
    <w:rsid w:val="00AF3302"/>
    <w:rsid w:val="00AF339F"/>
    <w:rsid w:val="00AF3D78"/>
    <w:rsid w:val="00AF3EA6"/>
    <w:rsid w:val="00AF577B"/>
    <w:rsid w:val="00AF5A3C"/>
    <w:rsid w:val="00AF5BB4"/>
    <w:rsid w:val="00AF61A3"/>
    <w:rsid w:val="00AF7268"/>
    <w:rsid w:val="00AF732C"/>
    <w:rsid w:val="00B00089"/>
    <w:rsid w:val="00B01B5A"/>
    <w:rsid w:val="00B01DC3"/>
    <w:rsid w:val="00B02057"/>
    <w:rsid w:val="00B027BC"/>
    <w:rsid w:val="00B02834"/>
    <w:rsid w:val="00B033A2"/>
    <w:rsid w:val="00B03555"/>
    <w:rsid w:val="00B041E3"/>
    <w:rsid w:val="00B05F72"/>
    <w:rsid w:val="00B060B9"/>
    <w:rsid w:val="00B0639A"/>
    <w:rsid w:val="00B06FF4"/>
    <w:rsid w:val="00B074F7"/>
    <w:rsid w:val="00B079AA"/>
    <w:rsid w:val="00B07D25"/>
    <w:rsid w:val="00B1045D"/>
    <w:rsid w:val="00B104D8"/>
    <w:rsid w:val="00B11FC3"/>
    <w:rsid w:val="00B1222C"/>
    <w:rsid w:val="00B1227D"/>
    <w:rsid w:val="00B12B9D"/>
    <w:rsid w:val="00B135AA"/>
    <w:rsid w:val="00B13AA3"/>
    <w:rsid w:val="00B13BA1"/>
    <w:rsid w:val="00B13CE6"/>
    <w:rsid w:val="00B1470F"/>
    <w:rsid w:val="00B14732"/>
    <w:rsid w:val="00B14B99"/>
    <w:rsid w:val="00B16E03"/>
    <w:rsid w:val="00B1749A"/>
    <w:rsid w:val="00B17CA7"/>
    <w:rsid w:val="00B20768"/>
    <w:rsid w:val="00B2124E"/>
    <w:rsid w:val="00B217DA"/>
    <w:rsid w:val="00B218F0"/>
    <w:rsid w:val="00B2194D"/>
    <w:rsid w:val="00B222CF"/>
    <w:rsid w:val="00B226CA"/>
    <w:rsid w:val="00B22842"/>
    <w:rsid w:val="00B234A7"/>
    <w:rsid w:val="00B23836"/>
    <w:rsid w:val="00B244CC"/>
    <w:rsid w:val="00B2565D"/>
    <w:rsid w:val="00B26597"/>
    <w:rsid w:val="00B27B07"/>
    <w:rsid w:val="00B30455"/>
    <w:rsid w:val="00B30636"/>
    <w:rsid w:val="00B30B58"/>
    <w:rsid w:val="00B314EF"/>
    <w:rsid w:val="00B31844"/>
    <w:rsid w:val="00B334CC"/>
    <w:rsid w:val="00B336DE"/>
    <w:rsid w:val="00B33890"/>
    <w:rsid w:val="00B3407B"/>
    <w:rsid w:val="00B34245"/>
    <w:rsid w:val="00B3514C"/>
    <w:rsid w:val="00B351E9"/>
    <w:rsid w:val="00B35462"/>
    <w:rsid w:val="00B35A63"/>
    <w:rsid w:val="00B35BA9"/>
    <w:rsid w:val="00B3756B"/>
    <w:rsid w:val="00B37691"/>
    <w:rsid w:val="00B40253"/>
    <w:rsid w:val="00B40319"/>
    <w:rsid w:val="00B407B2"/>
    <w:rsid w:val="00B40C7E"/>
    <w:rsid w:val="00B42110"/>
    <w:rsid w:val="00B42839"/>
    <w:rsid w:val="00B429B8"/>
    <w:rsid w:val="00B43265"/>
    <w:rsid w:val="00B43555"/>
    <w:rsid w:val="00B43EF1"/>
    <w:rsid w:val="00B4573D"/>
    <w:rsid w:val="00B45758"/>
    <w:rsid w:val="00B458FD"/>
    <w:rsid w:val="00B46A50"/>
    <w:rsid w:val="00B4765D"/>
    <w:rsid w:val="00B47C3F"/>
    <w:rsid w:val="00B50B95"/>
    <w:rsid w:val="00B51BD4"/>
    <w:rsid w:val="00B51C8E"/>
    <w:rsid w:val="00B52BDF"/>
    <w:rsid w:val="00B5349D"/>
    <w:rsid w:val="00B53BA3"/>
    <w:rsid w:val="00B553CE"/>
    <w:rsid w:val="00B569F1"/>
    <w:rsid w:val="00B56A84"/>
    <w:rsid w:val="00B56F94"/>
    <w:rsid w:val="00B575B4"/>
    <w:rsid w:val="00B57E7A"/>
    <w:rsid w:val="00B610A1"/>
    <w:rsid w:val="00B618E2"/>
    <w:rsid w:val="00B61D42"/>
    <w:rsid w:val="00B6230D"/>
    <w:rsid w:val="00B62A23"/>
    <w:rsid w:val="00B63268"/>
    <w:rsid w:val="00B6381D"/>
    <w:rsid w:val="00B64225"/>
    <w:rsid w:val="00B64897"/>
    <w:rsid w:val="00B64942"/>
    <w:rsid w:val="00B65AA1"/>
    <w:rsid w:val="00B65FED"/>
    <w:rsid w:val="00B66255"/>
    <w:rsid w:val="00B664A7"/>
    <w:rsid w:val="00B67058"/>
    <w:rsid w:val="00B70509"/>
    <w:rsid w:val="00B70C97"/>
    <w:rsid w:val="00B7111B"/>
    <w:rsid w:val="00B711E2"/>
    <w:rsid w:val="00B7160A"/>
    <w:rsid w:val="00B72277"/>
    <w:rsid w:val="00B7259F"/>
    <w:rsid w:val="00B72DA5"/>
    <w:rsid w:val="00B73389"/>
    <w:rsid w:val="00B735E3"/>
    <w:rsid w:val="00B73819"/>
    <w:rsid w:val="00B74391"/>
    <w:rsid w:val="00B75739"/>
    <w:rsid w:val="00B758DA"/>
    <w:rsid w:val="00B7597B"/>
    <w:rsid w:val="00B75A1D"/>
    <w:rsid w:val="00B76126"/>
    <w:rsid w:val="00B761C7"/>
    <w:rsid w:val="00B76CE3"/>
    <w:rsid w:val="00B76DC3"/>
    <w:rsid w:val="00B76F69"/>
    <w:rsid w:val="00B777A6"/>
    <w:rsid w:val="00B8014E"/>
    <w:rsid w:val="00B80AF5"/>
    <w:rsid w:val="00B80E00"/>
    <w:rsid w:val="00B8170C"/>
    <w:rsid w:val="00B819DF"/>
    <w:rsid w:val="00B82345"/>
    <w:rsid w:val="00B84174"/>
    <w:rsid w:val="00B8464B"/>
    <w:rsid w:val="00B84770"/>
    <w:rsid w:val="00B8477B"/>
    <w:rsid w:val="00B84D5F"/>
    <w:rsid w:val="00B84F98"/>
    <w:rsid w:val="00B85ACC"/>
    <w:rsid w:val="00B86770"/>
    <w:rsid w:val="00B86CAA"/>
    <w:rsid w:val="00B86D62"/>
    <w:rsid w:val="00B873DA"/>
    <w:rsid w:val="00B9013D"/>
    <w:rsid w:val="00B90FB1"/>
    <w:rsid w:val="00B91457"/>
    <w:rsid w:val="00B91816"/>
    <w:rsid w:val="00B91FA2"/>
    <w:rsid w:val="00B93943"/>
    <w:rsid w:val="00B93D25"/>
    <w:rsid w:val="00B93E2C"/>
    <w:rsid w:val="00B93E43"/>
    <w:rsid w:val="00B9415E"/>
    <w:rsid w:val="00B95153"/>
    <w:rsid w:val="00B95B31"/>
    <w:rsid w:val="00B95D80"/>
    <w:rsid w:val="00B95EA0"/>
    <w:rsid w:val="00B963BD"/>
    <w:rsid w:val="00B96560"/>
    <w:rsid w:val="00B975C2"/>
    <w:rsid w:val="00BA0C29"/>
    <w:rsid w:val="00BA0CDC"/>
    <w:rsid w:val="00BA0DAD"/>
    <w:rsid w:val="00BA15E9"/>
    <w:rsid w:val="00BA26F0"/>
    <w:rsid w:val="00BA31DF"/>
    <w:rsid w:val="00BA3D9B"/>
    <w:rsid w:val="00BA4307"/>
    <w:rsid w:val="00BA4464"/>
    <w:rsid w:val="00BA480F"/>
    <w:rsid w:val="00BA4B21"/>
    <w:rsid w:val="00BA4B73"/>
    <w:rsid w:val="00BA53A7"/>
    <w:rsid w:val="00BA5F36"/>
    <w:rsid w:val="00BA6909"/>
    <w:rsid w:val="00BB09D3"/>
    <w:rsid w:val="00BB1066"/>
    <w:rsid w:val="00BB1B71"/>
    <w:rsid w:val="00BB1E8D"/>
    <w:rsid w:val="00BB251E"/>
    <w:rsid w:val="00BB2657"/>
    <w:rsid w:val="00BB2EDA"/>
    <w:rsid w:val="00BB333B"/>
    <w:rsid w:val="00BB34BD"/>
    <w:rsid w:val="00BB4031"/>
    <w:rsid w:val="00BB413E"/>
    <w:rsid w:val="00BB420E"/>
    <w:rsid w:val="00BB49FF"/>
    <w:rsid w:val="00BB4C97"/>
    <w:rsid w:val="00BB50D2"/>
    <w:rsid w:val="00BB5B35"/>
    <w:rsid w:val="00BB5F66"/>
    <w:rsid w:val="00BB611C"/>
    <w:rsid w:val="00BB6340"/>
    <w:rsid w:val="00BB6706"/>
    <w:rsid w:val="00BB6B2A"/>
    <w:rsid w:val="00BB6EDD"/>
    <w:rsid w:val="00BB717F"/>
    <w:rsid w:val="00BB7523"/>
    <w:rsid w:val="00BB7B8A"/>
    <w:rsid w:val="00BC0739"/>
    <w:rsid w:val="00BC087F"/>
    <w:rsid w:val="00BC125E"/>
    <w:rsid w:val="00BC144E"/>
    <w:rsid w:val="00BC1C80"/>
    <w:rsid w:val="00BC3C99"/>
    <w:rsid w:val="00BC4F0C"/>
    <w:rsid w:val="00BC584A"/>
    <w:rsid w:val="00BC5BB8"/>
    <w:rsid w:val="00BC77C9"/>
    <w:rsid w:val="00BC7F3D"/>
    <w:rsid w:val="00BD1279"/>
    <w:rsid w:val="00BD1383"/>
    <w:rsid w:val="00BD1D75"/>
    <w:rsid w:val="00BD2089"/>
    <w:rsid w:val="00BD2994"/>
    <w:rsid w:val="00BD4BFD"/>
    <w:rsid w:val="00BD5267"/>
    <w:rsid w:val="00BD531B"/>
    <w:rsid w:val="00BD5D48"/>
    <w:rsid w:val="00BD61EE"/>
    <w:rsid w:val="00BD7176"/>
    <w:rsid w:val="00BD780A"/>
    <w:rsid w:val="00BE01A0"/>
    <w:rsid w:val="00BE0445"/>
    <w:rsid w:val="00BE0A1A"/>
    <w:rsid w:val="00BE24AD"/>
    <w:rsid w:val="00BE282C"/>
    <w:rsid w:val="00BE2C0A"/>
    <w:rsid w:val="00BE331B"/>
    <w:rsid w:val="00BE33FF"/>
    <w:rsid w:val="00BE39CF"/>
    <w:rsid w:val="00BE3E45"/>
    <w:rsid w:val="00BE3F4D"/>
    <w:rsid w:val="00BE4EC0"/>
    <w:rsid w:val="00BE508B"/>
    <w:rsid w:val="00BE578B"/>
    <w:rsid w:val="00BE6410"/>
    <w:rsid w:val="00BE6529"/>
    <w:rsid w:val="00BE6750"/>
    <w:rsid w:val="00BE67BF"/>
    <w:rsid w:val="00BE71D9"/>
    <w:rsid w:val="00BE72FC"/>
    <w:rsid w:val="00BE78F6"/>
    <w:rsid w:val="00BF07E0"/>
    <w:rsid w:val="00BF0A31"/>
    <w:rsid w:val="00BF13A3"/>
    <w:rsid w:val="00BF1758"/>
    <w:rsid w:val="00BF1F98"/>
    <w:rsid w:val="00BF2333"/>
    <w:rsid w:val="00BF2A55"/>
    <w:rsid w:val="00BF3A08"/>
    <w:rsid w:val="00BF4287"/>
    <w:rsid w:val="00BF6A5F"/>
    <w:rsid w:val="00BF6DD6"/>
    <w:rsid w:val="00BF72CD"/>
    <w:rsid w:val="00C010E0"/>
    <w:rsid w:val="00C01173"/>
    <w:rsid w:val="00C01671"/>
    <w:rsid w:val="00C0302D"/>
    <w:rsid w:val="00C03072"/>
    <w:rsid w:val="00C031EF"/>
    <w:rsid w:val="00C032AE"/>
    <w:rsid w:val="00C03435"/>
    <w:rsid w:val="00C039E6"/>
    <w:rsid w:val="00C03F58"/>
    <w:rsid w:val="00C04014"/>
    <w:rsid w:val="00C04070"/>
    <w:rsid w:val="00C04201"/>
    <w:rsid w:val="00C0518F"/>
    <w:rsid w:val="00C056FF"/>
    <w:rsid w:val="00C06AD6"/>
    <w:rsid w:val="00C06E83"/>
    <w:rsid w:val="00C07010"/>
    <w:rsid w:val="00C1005D"/>
    <w:rsid w:val="00C100B6"/>
    <w:rsid w:val="00C10DB6"/>
    <w:rsid w:val="00C11395"/>
    <w:rsid w:val="00C11810"/>
    <w:rsid w:val="00C11E27"/>
    <w:rsid w:val="00C12124"/>
    <w:rsid w:val="00C121CC"/>
    <w:rsid w:val="00C1243D"/>
    <w:rsid w:val="00C126C2"/>
    <w:rsid w:val="00C138A2"/>
    <w:rsid w:val="00C14D26"/>
    <w:rsid w:val="00C1555E"/>
    <w:rsid w:val="00C15576"/>
    <w:rsid w:val="00C15812"/>
    <w:rsid w:val="00C15F5E"/>
    <w:rsid w:val="00C16643"/>
    <w:rsid w:val="00C16C10"/>
    <w:rsid w:val="00C16DDB"/>
    <w:rsid w:val="00C1786F"/>
    <w:rsid w:val="00C21021"/>
    <w:rsid w:val="00C2290E"/>
    <w:rsid w:val="00C22D42"/>
    <w:rsid w:val="00C22DCE"/>
    <w:rsid w:val="00C231E2"/>
    <w:rsid w:val="00C23BC4"/>
    <w:rsid w:val="00C242A1"/>
    <w:rsid w:val="00C248E8"/>
    <w:rsid w:val="00C2514B"/>
    <w:rsid w:val="00C256E3"/>
    <w:rsid w:val="00C2588E"/>
    <w:rsid w:val="00C258A1"/>
    <w:rsid w:val="00C25A0C"/>
    <w:rsid w:val="00C25D58"/>
    <w:rsid w:val="00C25EFA"/>
    <w:rsid w:val="00C26839"/>
    <w:rsid w:val="00C271C1"/>
    <w:rsid w:val="00C27225"/>
    <w:rsid w:val="00C27660"/>
    <w:rsid w:val="00C27998"/>
    <w:rsid w:val="00C306DA"/>
    <w:rsid w:val="00C30A15"/>
    <w:rsid w:val="00C30FF9"/>
    <w:rsid w:val="00C32281"/>
    <w:rsid w:val="00C323B2"/>
    <w:rsid w:val="00C32DD3"/>
    <w:rsid w:val="00C33482"/>
    <w:rsid w:val="00C33A88"/>
    <w:rsid w:val="00C3524D"/>
    <w:rsid w:val="00C358F6"/>
    <w:rsid w:val="00C36530"/>
    <w:rsid w:val="00C36568"/>
    <w:rsid w:val="00C36BAE"/>
    <w:rsid w:val="00C40126"/>
    <w:rsid w:val="00C401B5"/>
    <w:rsid w:val="00C41379"/>
    <w:rsid w:val="00C4177F"/>
    <w:rsid w:val="00C41800"/>
    <w:rsid w:val="00C419D6"/>
    <w:rsid w:val="00C41E01"/>
    <w:rsid w:val="00C422B8"/>
    <w:rsid w:val="00C42CEF"/>
    <w:rsid w:val="00C432AE"/>
    <w:rsid w:val="00C435F7"/>
    <w:rsid w:val="00C43947"/>
    <w:rsid w:val="00C44538"/>
    <w:rsid w:val="00C44827"/>
    <w:rsid w:val="00C44FFF"/>
    <w:rsid w:val="00C45913"/>
    <w:rsid w:val="00C45A6A"/>
    <w:rsid w:val="00C45A71"/>
    <w:rsid w:val="00C46ED5"/>
    <w:rsid w:val="00C47E9B"/>
    <w:rsid w:val="00C47F81"/>
    <w:rsid w:val="00C50526"/>
    <w:rsid w:val="00C50C4D"/>
    <w:rsid w:val="00C5218C"/>
    <w:rsid w:val="00C526F4"/>
    <w:rsid w:val="00C52BED"/>
    <w:rsid w:val="00C52D1C"/>
    <w:rsid w:val="00C534B1"/>
    <w:rsid w:val="00C538A6"/>
    <w:rsid w:val="00C538A7"/>
    <w:rsid w:val="00C53EDA"/>
    <w:rsid w:val="00C5408B"/>
    <w:rsid w:val="00C54D6F"/>
    <w:rsid w:val="00C5697B"/>
    <w:rsid w:val="00C56ADB"/>
    <w:rsid w:val="00C56FA1"/>
    <w:rsid w:val="00C57325"/>
    <w:rsid w:val="00C604C7"/>
    <w:rsid w:val="00C6100E"/>
    <w:rsid w:val="00C61481"/>
    <w:rsid w:val="00C61B12"/>
    <w:rsid w:val="00C626AF"/>
    <w:rsid w:val="00C6294C"/>
    <w:rsid w:val="00C62BD2"/>
    <w:rsid w:val="00C63689"/>
    <w:rsid w:val="00C64406"/>
    <w:rsid w:val="00C660FE"/>
    <w:rsid w:val="00C665D1"/>
    <w:rsid w:val="00C66D8C"/>
    <w:rsid w:val="00C66E9B"/>
    <w:rsid w:val="00C6794F"/>
    <w:rsid w:val="00C71AF4"/>
    <w:rsid w:val="00C71E78"/>
    <w:rsid w:val="00C72CBC"/>
    <w:rsid w:val="00C731A9"/>
    <w:rsid w:val="00C73D78"/>
    <w:rsid w:val="00C73E96"/>
    <w:rsid w:val="00C75333"/>
    <w:rsid w:val="00C755E0"/>
    <w:rsid w:val="00C8053D"/>
    <w:rsid w:val="00C80C03"/>
    <w:rsid w:val="00C81402"/>
    <w:rsid w:val="00C81528"/>
    <w:rsid w:val="00C8156D"/>
    <w:rsid w:val="00C835EA"/>
    <w:rsid w:val="00C83FA2"/>
    <w:rsid w:val="00C84836"/>
    <w:rsid w:val="00C85082"/>
    <w:rsid w:val="00C85669"/>
    <w:rsid w:val="00C85A01"/>
    <w:rsid w:val="00C85B5A"/>
    <w:rsid w:val="00C85CB2"/>
    <w:rsid w:val="00C85E53"/>
    <w:rsid w:val="00C86AB7"/>
    <w:rsid w:val="00C8705E"/>
    <w:rsid w:val="00C87D39"/>
    <w:rsid w:val="00C903B5"/>
    <w:rsid w:val="00C903C5"/>
    <w:rsid w:val="00C91455"/>
    <w:rsid w:val="00C91C8E"/>
    <w:rsid w:val="00C92003"/>
    <w:rsid w:val="00C92C0D"/>
    <w:rsid w:val="00C92F8A"/>
    <w:rsid w:val="00C931D5"/>
    <w:rsid w:val="00C93C89"/>
    <w:rsid w:val="00C94267"/>
    <w:rsid w:val="00C94AC9"/>
    <w:rsid w:val="00C94F35"/>
    <w:rsid w:val="00C95D0D"/>
    <w:rsid w:val="00C966C8"/>
    <w:rsid w:val="00C969D4"/>
    <w:rsid w:val="00C96CDA"/>
    <w:rsid w:val="00CA0CF8"/>
    <w:rsid w:val="00CA0F21"/>
    <w:rsid w:val="00CA1460"/>
    <w:rsid w:val="00CA1CAA"/>
    <w:rsid w:val="00CA27B4"/>
    <w:rsid w:val="00CA2A4B"/>
    <w:rsid w:val="00CA2CB8"/>
    <w:rsid w:val="00CA2DAB"/>
    <w:rsid w:val="00CA35F3"/>
    <w:rsid w:val="00CA3C88"/>
    <w:rsid w:val="00CA3D47"/>
    <w:rsid w:val="00CA4237"/>
    <w:rsid w:val="00CA4B5A"/>
    <w:rsid w:val="00CA4B8C"/>
    <w:rsid w:val="00CA50B8"/>
    <w:rsid w:val="00CA556F"/>
    <w:rsid w:val="00CA56E6"/>
    <w:rsid w:val="00CA5D43"/>
    <w:rsid w:val="00CA5F62"/>
    <w:rsid w:val="00CA644B"/>
    <w:rsid w:val="00CA68E9"/>
    <w:rsid w:val="00CA7421"/>
    <w:rsid w:val="00CA7C3C"/>
    <w:rsid w:val="00CB075B"/>
    <w:rsid w:val="00CB197C"/>
    <w:rsid w:val="00CB1F62"/>
    <w:rsid w:val="00CB260C"/>
    <w:rsid w:val="00CB26F2"/>
    <w:rsid w:val="00CB29F4"/>
    <w:rsid w:val="00CB2E99"/>
    <w:rsid w:val="00CB5395"/>
    <w:rsid w:val="00CB57A9"/>
    <w:rsid w:val="00CB5821"/>
    <w:rsid w:val="00CB583F"/>
    <w:rsid w:val="00CB60CC"/>
    <w:rsid w:val="00CB61D6"/>
    <w:rsid w:val="00CB666F"/>
    <w:rsid w:val="00CB6A4A"/>
    <w:rsid w:val="00CB7E01"/>
    <w:rsid w:val="00CC0BF3"/>
    <w:rsid w:val="00CC0FAA"/>
    <w:rsid w:val="00CC19A3"/>
    <w:rsid w:val="00CC1CD3"/>
    <w:rsid w:val="00CC247C"/>
    <w:rsid w:val="00CC3479"/>
    <w:rsid w:val="00CC392B"/>
    <w:rsid w:val="00CC4244"/>
    <w:rsid w:val="00CC5187"/>
    <w:rsid w:val="00CC5AC8"/>
    <w:rsid w:val="00CC5C64"/>
    <w:rsid w:val="00CC5E56"/>
    <w:rsid w:val="00CC62CF"/>
    <w:rsid w:val="00CC6DF1"/>
    <w:rsid w:val="00CC7221"/>
    <w:rsid w:val="00CC7B4E"/>
    <w:rsid w:val="00CC7CCC"/>
    <w:rsid w:val="00CD00AF"/>
    <w:rsid w:val="00CD06E5"/>
    <w:rsid w:val="00CD0AA4"/>
    <w:rsid w:val="00CD0EE0"/>
    <w:rsid w:val="00CD11CB"/>
    <w:rsid w:val="00CD24E8"/>
    <w:rsid w:val="00CD281A"/>
    <w:rsid w:val="00CD2FAF"/>
    <w:rsid w:val="00CD3D41"/>
    <w:rsid w:val="00CD46AF"/>
    <w:rsid w:val="00CD4B5C"/>
    <w:rsid w:val="00CD4BD4"/>
    <w:rsid w:val="00CD4F30"/>
    <w:rsid w:val="00CD5017"/>
    <w:rsid w:val="00CD52F2"/>
    <w:rsid w:val="00CD6159"/>
    <w:rsid w:val="00CD6844"/>
    <w:rsid w:val="00CD755B"/>
    <w:rsid w:val="00CD758C"/>
    <w:rsid w:val="00CD7C0D"/>
    <w:rsid w:val="00CE018D"/>
    <w:rsid w:val="00CE14F0"/>
    <w:rsid w:val="00CE24B6"/>
    <w:rsid w:val="00CE2E6B"/>
    <w:rsid w:val="00CE3027"/>
    <w:rsid w:val="00CE317E"/>
    <w:rsid w:val="00CE38DE"/>
    <w:rsid w:val="00CE40AF"/>
    <w:rsid w:val="00CE40F7"/>
    <w:rsid w:val="00CE4105"/>
    <w:rsid w:val="00CE4719"/>
    <w:rsid w:val="00CE5113"/>
    <w:rsid w:val="00CE5373"/>
    <w:rsid w:val="00CE5DB7"/>
    <w:rsid w:val="00CE67DE"/>
    <w:rsid w:val="00CE6B3D"/>
    <w:rsid w:val="00CE790D"/>
    <w:rsid w:val="00CF050D"/>
    <w:rsid w:val="00CF0E87"/>
    <w:rsid w:val="00CF22E6"/>
    <w:rsid w:val="00CF256B"/>
    <w:rsid w:val="00CF2F3F"/>
    <w:rsid w:val="00CF348C"/>
    <w:rsid w:val="00CF3F2F"/>
    <w:rsid w:val="00CF50AB"/>
    <w:rsid w:val="00CF5993"/>
    <w:rsid w:val="00CF6C48"/>
    <w:rsid w:val="00CF6E60"/>
    <w:rsid w:val="00CF6EBC"/>
    <w:rsid w:val="00CF719F"/>
    <w:rsid w:val="00CF7217"/>
    <w:rsid w:val="00CF72DC"/>
    <w:rsid w:val="00D001F8"/>
    <w:rsid w:val="00D0024C"/>
    <w:rsid w:val="00D01B43"/>
    <w:rsid w:val="00D01D5C"/>
    <w:rsid w:val="00D02C78"/>
    <w:rsid w:val="00D02D2A"/>
    <w:rsid w:val="00D039E5"/>
    <w:rsid w:val="00D03EEA"/>
    <w:rsid w:val="00D052D8"/>
    <w:rsid w:val="00D064DA"/>
    <w:rsid w:val="00D07115"/>
    <w:rsid w:val="00D07545"/>
    <w:rsid w:val="00D075F9"/>
    <w:rsid w:val="00D076B7"/>
    <w:rsid w:val="00D07875"/>
    <w:rsid w:val="00D07FF8"/>
    <w:rsid w:val="00D11926"/>
    <w:rsid w:val="00D11B6E"/>
    <w:rsid w:val="00D11E5E"/>
    <w:rsid w:val="00D13018"/>
    <w:rsid w:val="00D13643"/>
    <w:rsid w:val="00D13C48"/>
    <w:rsid w:val="00D14BDC"/>
    <w:rsid w:val="00D1576F"/>
    <w:rsid w:val="00D15D72"/>
    <w:rsid w:val="00D160FC"/>
    <w:rsid w:val="00D161FF"/>
    <w:rsid w:val="00D16566"/>
    <w:rsid w:val="00D165F3"/>
    <w:rsid w:val="00D17882"/>
    <w:rsid w:val="00D20B47"/>
    <w:rsid w:val="00D214E5"/>
    <w:rsid w:val="00D2178D"/>
    <w:rsid w:val="00D220D6"/>
    <w:rsid w:val="00D226D9"/>
    <w:rsid w:val="00D23D07"/>
    <w:rsid w:val="00D23E55"/>
    <w:rsid w:val="00D245EF"/>
    <w:rsid w:val="00D248F1"/>
    <w:rsid w:val="00D24C18"/>
    <w:rsid w:val="00D25D1C"/>
    <w:rsid w:val="00D25DAC"/>
    <w:rsid w:val="00D2601D"/>
    <w:rsid w:val="00D26A51"/>
    <w:rsid w:val="00D26AF8"/>
    <w:rsid w:val="00D26CA0"/>
    <w:rsid w:val="00D26D9B"/>
    <w:rsid w:val="00D277FF"/>
    <w:rsid w:val="00D27916"/>
    <w:rsid w:val="00D27C8F"/>
    <w:rsid w:val="00D30321"/>
    <w:rsid w:val="00D30806"/>
    <w:rsid w:val="00D30E55"/>
    <w:rsid w:val="00D3211C"/>
    <w:rsid w:val="00D32347"/>
    <w:rsid w:val="00D32664"/>
    <w:rsid w:val="00D329AE"/>
    <w:rsid w:val="00D32CAB"/>
    <w:rsid w:val="00D33439"/>
    <w:rsid w:val="00D335B0"/>
    <w:rsid w:val="00D33F0E"/>
    <w:rsid w:val="00D34096"/>
    <w:rsid w:val="00D343CF"/>
    <w:rsid w:val="00D34614"/>
    <w:rsid w:val="00D34FF9"/>
    <w:rsid w:val="00D35BA3"/>
    <w:rsid w:val="00D35E22"/>
    <w:rsid w:val="00D363F6"/>
    <w:rsid w:val="00D365EE"/>
    <w:rsid w:val="00D37455"/>
    <w:rsid w:val="00D37492"/>
    <w:rsid w:val="00D37CAD"/>
    <w:rsid w:val="00D405BE"/>
    <w:rsid w:val="00D41227"/>
    <w:rsid w:val="00D4168F"/>
    <w:rsid w:val="00D41B6C"/>
    <w:rsid w:val="00D42524"/>
    <w:rsid w:val="00D4290E"/>
    <w:rsid w:val="00D42B66"/>
    <w:rsid w:val="00D42D50"/>
    <w:rsid w:val="00D43266"/>
    <w:rsid w:val="00D4382B"/>
    <w:rsid w:val="00D43C13"/>
    <w:rsid w:val="00D43D7D"/>
    <w:rsid w:val="00D4522C"/>
    <w:rsid w:val="00D458FA"/>
    <w:rsid w:val="00D47354"/>
    <w:rsid w:val="00D476F6"/>
    <w:rsid w:val="00D479AD"/>
    <w:rsid w:val="00D47C4C"/>
    <w:rsid w:val="00D503A8"/>
    <w:rsid w:val="00D50721"/>
    <w:rsid w:val="00D513AF"/>
    <w:rsid w:val="00D519E3"/>
    <w:rsid w:val="00D520D9"/>
    <w:rsid w:val="00D520F4"/>
    <w:rsid w:val="00D525ED"/>
    <w:rsid w:val="00D53F29"/>
    <w:rsid w:val="00D54752"/>
    <w:rsid w:val="00D554E8"/>
    <w:rsid w:val="00D559FE"/>
    <w:rsid w:val="00D567D5"/>
    <w:rsid w:val="00D56D0B"/>
    <w:rsid w:val="00D56D75"/>
    <w:rsid w:val="00D57063"/>
    <w:rsid w:val="00D572CE"/>
    <w:rsid w:val="00D601A0"/>
    <w:rsid w:val="00D60A1D"/>
    <w:rsid w:val="00D61FCE"/>
    <w:rsid w:val="00D62062"/>
    <w:rsid w:val="00D62FC1"/>
    <w:rsid w:val="00D637F8"/>
    <w:rsid w:val="00D647ED"/>
    <w:rsid w:val="00D64CB3"/>
    <w:rsid w:val="00D6629E"/>
    <w:rsid w:val="00D666DD"/>
    <w:rsid w:val="00D66A07"/>
    <w:rsid w:val="00D66C48"/>
    <w:rsid w:val="00D66D32"/>
    <w:rsid w:val="00D67238"/>
    <w:rsid w:val="00D67411"/>
    <w:rsid w:val="00D67A08"/>
    <w:rsid w:val="00D67C23"/>
    <w:rsid w:val="00D700B3"/>
    <w:rsid w:val="00D70B11"/>
    <w:rsid w:val="00D71210"/>
    <w:rsid w:val="00D7130B"/>
    <w:rsid w:val="00D715E5"/>
    <w:rsid w:val="00D71E7C"/>
    <w:rsid w:val="00D72D90"/>
    <w:rsid w:val="00D73096"/>
    <w:rsid w:val="00D7338D"/>
    <w:rsid w:val="00D7359D"/>
    <w:rsid w:val="00D739F8"/>
    <w:rsid w:val="00D73A35"/>
    <w:rsid w:val="00D74847"/>
    <w:rsid w:val="00D74B52"/>
    <w:rsid w:val="00D74DA4"/>
    <w:rsid w:val="00D7663D"/>
    <w:rsid w:val="00D7682E"/>
    <w:rsid w:val="00D76922"/>
    <w:rsid w:val="00D769C3"/>
    <w:rsid w:val="00D76E3C"/>
    <w:rsid w:val="00D7701E"/>
    <w:rsid w:val="00D7720D"/>
    <w:rsid w:val="00D77A16"/>
    <w:rsid w:val="00D811DB"/>
    <w:rsid w:val="00D81379"/>
    <w:rsid w:val="00D81FAF"/>
    <w:rsid w:val="00D82646"/>
    <w:rsid w:val="00D82A02"/>
    <w:rsid w:val="00D82C29"/>
    <w:rsid w:val="00D82CA4"/>
    <w:rsid w:val="00D830E0"/>
    <w:rsid w:val="00D8327B"/>
    <w:rsid w:val="00D838FB"/>
    <w:rsid w:val="00D83D28"/>
    <w:rsid w:val="00D8406F"/>
    <w:rsid w:val="00D846D7"/>
    <w:rsid w:val="00D84905"/>
    <w:rsid w:val="00D849EE"/>
    <w:rsid w:val="00D84F55"/>
    <w:rsid w:val="00D85302"/>
    <w:rsid w:val="00D8572D"/>
    <w:rsid w:val="00D85846"/>
    <w:rsid w:val="00D85A21"/>
    <w:rsid w:val="00D85C3B"/>
    <w:rsid w:val="00D85D9E"/>
    <w:rsid w:val="00D86321"/>
    <w:rsid w:val="00D8634F"/>
    <w:rsid w:val="00D86D00"/>
    <w:rsid w:val="00D87AE0"/>
    <w:rsid w:val="00D87DA4"/>
    <w:rsid w:val="00D87E67"/>
    <w:rsid w:val="00D87FCE"/>
    <w:rsid w:val="00D9013E"/>
    <w:rsid w:val="00D90260"/>
    <w:rsid w:val="00D90679"/>
    <w:rsid w:val="00D91929"/>
    <w:rsid w:val="00D92226"/>
    <w:rsid w:val="00D9264C"/>
    <w:rsid w:val="00D92B1A"/>
    <w:rsid w:val="00D92F87"/>
    <w:rsid w:val="00D93111"/>
    <w:rsid w:val="00D9432F"/>
    <w:rsid w:val="00D948FF"/>
    <w:rsid w:val="00D9495C"/>
    <w:rsid w:val="00D953A5"/>
    <w:rsid w:val="00D95E3F"/>
    <w:rsid w:val="00D962D3"/>
    <w:rsid w:val="00D974E8"/>
    <w:rsid w:val="00DA011D"/>
    <w:rsid w:val="00DA1181"/>
    <w:rsid w:val="00DA128F"/>
    <w:rsid w:val="00DA1DE4"/>
    <w:rsid w:val="00DA3388"/>
    <w:rsid w:val="00DA33E3"/>
    <w:rsid w:val="00DA36C2"/>
    <w:rsid w:val="00DA37F3"/>
    <w:rsid w:val="00DA3E08"/>
    <w:rsid w:val="00DA52DE"/>
    <w:rsid w:val="00DA63B2"/>
    <w:rsid w:val="00DA6854"/>
    <w:rsid w:val="00DA6C75"/>
    <w:rsid w:val="00DB05E6"/>
    <w:rsid w:val="00DB0621"/>
    <w:rsid w:val="00DB0786"/>
    <w:rsid w:val="00DB1E3F"/>
    <w:rsid w:val="00DB209A"/>
    <w:rsid w:val="00DB250E"/>
    <w:rsid w:val="00DB2B37"/>
    <w:rsid w:val="00DB2B95"/>
    <w:rsid w:val="00DB301A"/>
    <w:rsid w:val="00DB313A"/>
    <w:rsid w:val="00DB3AD5"/>
    <w:rsid w:val="00DB461D"/>
    <w:rsid w:val="00DB468D"/>
    <w:rsid w:val="00DB4992"/>
    <w:rsid w:val="00DB4E89"/>
    <w:rsid w:val="00DB5196"/>
    <w:rsid w:val="00DB614C"/>
    <w:rsid w:val="00DB6CC5"/>
    <w:rsid w:val="00DB76F6"/>
    <w:rsid w:val="00DC0BA5"/>
    <w:rsid w:val="00DC29AC"/>
    <w:rsid w:val="00DC2A50"/>
    <w:rsid w:val="00DC2B8F"/>
    <w:rsid w:val="00DC313F"/>
    <w:rsid w:val="00DC3914"/>
    <w:rsid w:val="00DC3936"/>
    <w:rsid w:val="00DC489B"/>
    <w:rsid w:val="00DC4C2F"/>
    <w:rsid w:val="00DC529E"/>
    <w:rsid w:val="00DC5393"/>
    <w:rsid w:val="00DC6C75"/>
    <w:rsid w:val="00DC70E4"/>
    <w:rsid w:val="00DD013F"/>
    <w:rsid w:val="00DD1F94"/>
    <w:rsid w:val="00DD2703"/>
    <w:rsid w:val="00DD2A69"/>
    <w:rsid w:val="00DD2CB2"/>
    <w:rsid w:val="00DD2DC8"/>
    <w:rsid w:val="00DD3129"/>
    <w:rsid w:val="00DD3E29"/>
    <w:rsid w:val="00DD43A5"/>
    <w:rsid w:val="00DD459D"/>
    <w:rsid w:val="00DD63C6"/>
    <w:rsid w:val="00DD6922"/>
    <w:rsid w:val="00DD6F69"/>
    <w:rsid w:val="00DE096B"/>
    <w:rsid w:val="00DE0EFB"/>
    <w:rsid w:val="00DE128E"/>
    <w:rsid w:val="00DE1452"/>
    <w:rsid w:val="00DE2470"/>
    <w:rsid w:val="00DE4AC8"/>
    <w:rsid w:val="00DE5614"/>
    <w:rsid w:val="00DE5CA9"/>
    <w:rsid w:val="00DE6C0B"/>
    <w:rsid w:val="00DE6D0C"/>
    <w:rsid w:val="00DE7A07"/>
    <w:rsid w:val="00DE7E18"/>
    <w:rsid w:val="00DF0309"/>
    <w:rsid w:val="00DF03B0"/>
    <w:rsid w:val="00DF0C5B"/>
    <w:rsid w:val="00DF1840"/>
    <w:rsid w:val="00DF2599"/>
    <w:rsid w:val="00DF34BE"/>
    <w:rsid w:val="00DF3839"/>
    <w:rsid w:val="00DF3B36"/>
    <w:rsid w:val="00DF450F"/>
    <w:rsid w:val="00DF4A07"/>
    <w:rsid w:val="00DF4D8E"/>
    <w:rsid w:val="00DF53A4"/>
    <w:rsid w:val="00DF5524"/>
    <w:rsid w:val="00DF5533"/>
    <w:rsid w:val="00DF6502"/>
    <w:rsid w:val="00DF67CC"/>
    <w:rsid w:val="00DF6DE4"/>
    <w:rsid w:val="00DF7936"/>
    <w:rsid w:val="00DF7B40"/>
    <w:rsid w:val="00E0012D"/>
    <w:rsid w:val="00E00BB7"/>
    <w:rsid w:val="00E01659"/>
    <w:rsid w:val="00E01ABC"/>
    <w:rsid w:val="00E01B6C"/>
    <w:rsid w:val="00E01C19"/>
    <w:rsid w:val="00E01CA9"/>
    <w:rsid w:val="00E02B59"/>
    <w:rsid w:val="00E02B8E"/>
    <w:rsid w:val="00E02D8A"/>
    <w:rsid w:val="00E0309F"/>
    <w:rsid w:val="00E037CF"/>
    <w:rsid w:val="00E0455F"/>
    <w:rsid w:val="00E046CC"/>
    <w:rsid w:val="00E04EB3"/>
    <w:rsid w:val="00E0507F"/>
    <w:rsid w:val="00E05101"/>
    <w:rsid w:val="00E0603D"/>
    <w:rsid w:val="00E0674A"/>
    <w:rsid w:val="00E07539"/>
    <w:rsid w:val="00E07DAD"/>
    <w:rsid w:val="00E07F7C"/>
    <w:rsid w:val="00E10B90"/>
    <w:rsid w:val="00E11909"/>
    <w:rsid w:val="00E11CA7"/>
    <w:rsid w:val="00E12501"/>
    <w:rsid w:val="00E125AF"/>
    <w:rsid w:val="00E1350C"/>
    <w:rsid w:val="00E1375F"/>
    <w:rsid w:val="00E13890"/>
    <w:rsid w:val="00E13A55"/>
    <w:rsid w:val="00E14128"/>
    <w:rsid w:val="00E148AC"/>
    <w:rsid w:val="00E14C4C"/>
    <w:rsid w:val="00E15783"/>
    <w:rsid w:val="00E15B8F"/>
    <w:rsid w:val="00E16852"/>
    <w:rsid w:val="00E21852"/>
    <w:rsid w:val="00E218CD"/>
    <w:rsid w:val="00E2262D"/>
    <w:rsid w:val="00E22A6A"/>
    <w:rsid w:val="00E23131"/>
    <w:rsid w:val="00E2377E"/>
    <w:rsid w:val="00E23B07"/>
    <w:rsid w:val="00E23F26"/>
    <w:rsid w:val="00E24480"/>
    <w:rsid w:val="00E2451F"/>
    <w:rsid w:val="00E248C8"/>
    <w:rsid w:val="00E25807"/>
    <w:rsid w:val="00E25B8D"/>
    <w:rsid w:val="00E264D8"/>
    <w:rsid w:val="00E26B85"/>
    <w:rsid w:val="00E27F5E"/>
    <w:rsid w:val="00E30723"/>
    <w:rsid w:val="00E31693"/>
    <w:rsid w:val="00E32407"/>
    <w:rsid w:val="00E32702"/>
    <w:rsid w:val="00E3307E"/>
    <w:rsid w:val="00E330D3"/>
    <w:rsid w:val="00E333D2"/>
    <w:rsid w:val="00E34425"/>
    <w:rsid w:val="00E35332"/>
    <w:rsid w:val="00E35991"/>
    <w:rsid w:val="00E35F9A"/>
    <w:rsid w:val="00E361B7"/>
    <w:rsid w:val="00E36E1B"/>
    <w:rsid w:val="00E370A1"/>
    <w:rsid w:val="00E370AA"/>
    <w:rsid w:val="00E372E1"/>
    <w:rsid w:val="00E37A87"/>
    <w:rsid w:val="00E37B54"/>
    <w:rsid w:val="00E37E1B"/>
    <w:rsid w:val="00E414DD"/>
    <w:rsid w:val="00E422E2"/>
    <w:rsid w:val="00E426DE"/>
    <w:rsid w:val="00E428C9"/>
    <w:rsid w:val="00E42E8F"/>
    <w:rsid w:val="00E433FE"/>
    <w:rsid w:val="00E43511"/>
    <w:rsid w:val="00E4361B"/>
    <w:rsid w:val="00E43BA5"/>
    <w:rsid w:val="00E43F4D"/>
    <w:rsid w:val="00E44CE6"/>
    <w:rsid w:val="00E450B2"/>
    <w:rsid w:val="00E45A35"/>
    <w:rsid w:val="00E45B3C"/>
    <w:rsid w:val="00E45FD8"/>
    <w:rsid w:val="00E4723D"/>
    <w:rsid w:val="00E47557"/>
    <w:rsid w:val="00E47C09"/>
    <w:rsid w:val="00E5064C"/>
    <w:rsid w:val="00E509FF"/>
    <w:rsid w:val="00E50AA8"/>
    <w:rsid w:val="00E50CF9"/>
    <w:rsid w:val="00E51843"/>
    <w:rsid w:val="00E51A79"/>
    <w:rsid w:val="00E52063"/>
    <w:rsid w:val="00E52CDB"/>
    <w:rsid w:val="00E5397B"/>
    <w:rsid w:val="00E54018"/>
    <w:rsid w:val="00E54546"/>
    <w:rsid w:val="00E545AF"/>
    <w:rsid w:val="00E54981"/>
    <w:rsid w:val="00E55069"/>
    <w:rsid w:val="00E55244"/>
    <w:rsid w:val="00E5599D"/>
    <w:rsid w:val="00E55DB5"/>
    <w:rsid w:val="00E5624B"/>
    <w:rsid w:val="00E5662C"/>
    <w:rsid w:val="00E57379"/>
    <w:rsid w:val="00E57B9C"/>
    <w:rsid w:val="00E6050E"/>
    <w:rsid w:val="00E60BFA"/>
    <w:rsid w:val="00E611EE"/>
    <w:rsid w:val="00E616B9"/>
    <w:rsid w:val="00E61B62"/>
    <w:rsid w:val="00E61D0A"/>
    <w:rsid w:val="00E622A6"/>
    <w:rsid w:val="00E625AB"/>
    <w:rsid w:val="00E62986"/>
    <w:rsid w:val="00E62E2B"/>
    <w:rsid w:val="00E62F28"/>
    <w:rsid w:val="00E63302"/>
    <w:rsid w:val="00E64375"/>
    <w:rsid w:val="00E64A39"/>
    <w:rsid w:val="00E64B33"/>
    <w:rsid w:val="00E64DE0"/>
    <w:rsid w:val="00E65BF5"/>
    <w:rsid w:val="00E66236"/>
    <w:rsid w:val="00E673DF"/>
    <w:rsid w:val="00E67835"/>
    <w:rsid w:val="00E70281"/>
    <w:rsid w:val="00E7096A"/>
    <w:rsid w:val="00E70BFF"/>
    <w:rsid w:val="00E722CA"/>
    <w:rsid w:val="00E724B6"/>
    <w:rsid w:val="00E7264D"/>
    <w:rsid w:val="00E72E06"/>
    <w:rsid w:val="00E730E9"/>
    <w:rsid w:val="00E733C0"/>
    <w:rsid w:val="00E735C4"/>
    <w:rsid w:val="00E73769"/>
    <w:rsid w:val="00E73AE1"/>
    <w:rsid w:val="00E73FE7"/>
    <w:rsid w:val="00E740E2"/>
    <w:rsid w:val="00E741F2"/>
    <w:rsid w:val="00E74692"/>
    <w:rsid w:val="00E7491A"/>
    <w:rsid w:val="00E74EF5"/>
    <w:rsid w:val="00E7528D"/>
    <w:rsid w:val="00E758AC"/>
    <w:rsid w:val="00E76718"/>
    <w:rsid w:val="00E76C9B"/>
    <w:rsid w:val="00E800A6"/>
    <w:rsid w:val="00E80371"/>
    <w:rsid w:val="00E80723"/>
    <w:rsid w:val="00E81DC6"/>
    <w:rsid w:val="00E82CC6"/>
    <w:rsid w:val="00E82ED9"/>
    <w:rsid w:val="00E82FFC"/>
    <w:rsid w:val="00E830CC"/>
    <w:rsid w:val="00E8385F"/>
    <w:rsid w:val="00E84541"/>
    <w:rsid w:val="00E84856"/>
    <w:rsid w:val="00E84988"/>
    <w:rsid w:val="00E84F8A"/>
    <w:rsid w:val="00E852C5"/>
    <w:rsid w:val="00E855A5"/>
    <w:rsid w:val="00E86041"/>
    <w:rsid w:val="00E86C56"/>
    <w:rsid w:val="00E86DA0"/>
    <w:rsid w:val="00E8738B"/>
    <w:rsid w:val="00E87A42"/>
    <w:rsid w:val="00E87FB1"/>
    <w:rsid w:val="00E9284B"/>
    <w:rsid w:val="00E9432B"/>
    <w:rsid w:val="00E9484D"/>
    <w:rsid w:val="00E956A8"/>
    <w:rsid w:val="00E9672D"/>
    <w:rsid w:val="00E967A2"/>
    <w:rsid w:val="00E96E41"/>
    <w:rsid w:val="00E9709E"/>
    <w:rsid w:val="00E97416"/>
    <w:rsid w:val="00E97CC2"/>
    <w:rsid w:val="00EA0899"/>
    <w:rsid w:val="00EA11BB"/>
    <w:rsid w:val="00EA20D5"/>
    <w:rsid w:val="00EA218C"/>
    <w:rsid w:val="00EA2427"/>
    <w:rsid w:val="00EA346E"/>
    <w:rsid w:val="00EA3596"/>
    <w:rsid w:val="00EA4704"/>
    <w:rsid w:val="00EA53F5"/>
    <w:rsid w:val="00EA55D4"/>
    <w:rsid w:val="00EA567E"/>
    <w:rsid w:val="00EA6822"/>
    <w:rsid w:val="00EA69A4"/>
    <w:rsid w:val="00EA69A7"/>
    <w:rsid w:val="00EA6A0E"/>
    <w:rsid w:val="00EA6E5D"/>
    <w:rsid w:val="00EB00B0"/>
    <w:rsid w:val="00EB024F"/>
    <w:rsid w:val="00EB0377"/>
    <w:rsid w:val="00EB08E2"/>
    <w:rsid w:val="00EB1502"/>
    <w:rsid w:val="00EB173B"/>
    <w:rsid w:val="00EB1B25"/>
    <w:rsid w:val="00EB2E54"/>
    <w:rsid w:val="00EB3690"/>
    <w:rsid w:val="00EB3D4A"/>
    <w:rsid w:val="00EB3FE0"/>
    <w:rsid w:val="00EB41F4"/>
    <w:rsid w:val="00EB47D4"/>
    <w:rsid w:val="00EB4BEE"/>
    <w:rsid w:val="00EB6344"/>
    <w:rsid w:val="00EB6837"/>
    <w:rsid w:val="00EB728B"/>
    <w:rsid w:val="00EC0190"/>
    <w:rsid w:val="00EC049B"/>
    <w:rsid w:val="00EC1275"/>
    <w:rsid w:val="00EC1B76"/>
    <w:rsid w:val="00EC1C82"/>
    <w:rsid w:val="00EC1EC9"/>
    <w:rsid w:val="00EC2615"/>
    <w:rsid w:val="00EC26CE"/>
    <w:rsid w:val="00EC2C4A"/>
    <w:rsid w:val="00EC2EB4"/>
    <w:rsid w:val="00EC30A2"/>
    <w:rsid w:val="00ED0B5A"/>
    <w:rsid w:val="00ED0B70"/>
    <w:rsid w:val="00ED0F26"/>
    <w:rsid w:val="00ED11ED"/>
    <w:rsid w:val="00ED1253"/>
    <w:rsid w:val="00ED1EA2"/>
    <w:rsid w:val="00ED1F92"/>
    <w:rsid w:val="00ED255E"/>
    <w:rsid w:val="00ED2675"/>
    <w:rsid w:val="00ED2726"/>
    <w:rsid w:val="00ED2E6C"/>
    <w:rsid w:val="00ED30DD"/>
    <w:rsid w:val="00ED39C4"/>
    <w:rsid w:val="00ED3F61"/>
    <w:rsid w:val="00ED4239"/>
    <w:rsid w:val="00ED448E"/>
    <w:rsid w:val="00ED46A9"/>
    <w:rsid w:val="00ED4DC9"/>
    <w:rsid w:val="00ED5C76"/>
    <w:rsid w:val="00ED6591"/>
    <w:rsid w:val="00ED7550"/>
    <w:rsid w:val="00EE0040"/>
    <w:rsid w:val="00EE0985"/>
    <w:rsid w:val="00EE0A8D"/>
    <w:rsid w:val="00EE0CEE"/>
    <w:rsid w:val="00EE1173"/>
    <w:rsid w:val="00EE1382"/>
    <w:rsid w:val="00EE1DEF"/>
    <w:rsid w:val="00EE1E1D"/>
    <w:rsid w:val="00EE213F"/>
    <w:rsid w:val="00EE235E"/>
    <w:rsid w:val="00EE2432"/>
    <w:rsid w:val="00EE294B"/>
    <w:rsid w:val="00EE2B2E"/>
    <w:rsid w:val="00EE3AA3"/>
    <w:rsid w:val="00EE3AC6"/>
    <w:rsid w:val="00EE47F9"/>
    <w:rsid w:val="00EE577E"/>
    <w:rsid w:val="00EE64A7"/>
    <w:rsid w:val="00EE6713"/>
    <w:rsid w:val="00EE7D62"/>
    <w:rsid w:val="00EE7F2A"/>
    <w:rsid w:val="00EE7FBF"/>
    <w:rsid w:val="00EF057F"/>
    <w:rsid w:val="00EF1061"/>
    <w:rsid w:val="00EF11BE"/>
    <w:rsid w:val="00EF1468"/>
    <w:rsid w:val="00EF1A21"/>
    <w:rsid w:val="00EF5219"/>
    <w:rsid w:val="00EF5293"/>
    <w:rsid w:val="00EF55C9"/>
    <w:rsid w:val="00EF55E1"/>
    <w:rsid w:val="00EF64B0"/>
    <w:rsid w:val="00EF654C"/>
    <w:rsid w:val="00EF6A9C"/>
    <w:rsid w:val="00EF6B78"/>
    <w:rsid w:val="00EF71E8"/>
    <w:rsid w:val="00EF75E1"/>
    <w:rsid w:val="00EF7812"/>
    <w:rsid w:val="00EF7A4A"/>
    <w:rsid w:val="00F0013A"/>
    <w:rsid w:val="00F0097E"/>
    <w:rsid w:val="00F00A41"/>
    <w:rsid w:val="00F01362"/>
    <w:rsid w:val="00F01579"/>
    <w:rsid w:val="00F01C0B"/>
    <w:rsid w:val="00F02059"/>
    <w:rsid w:val="00F0229B"/>
    <w:rsid w:val="00F0240C"/>
    <w:rsid w:val="00F024CF"/>
    <w:rsid w:val="00F02858"/>
    <w:rsid w:val="00F04BF6"/>
    <w:rsid w:val="00F04EF3"/>
    <w:rsid w:val="00F07789"/>
    <w:rsid w:val="00F07912"/>
    <w:rsid w:val="00F07B0A"/>
    <w:rsid w:val="00F109C7"/>
    <w:rsid w:val="00F10CC0"/>
    <w:rsid w:val="00F10DCE"/>
    <w:rsid w:val="00F11F02"/>
    <w:rsid w:val="00F123EF"/>
    <w:rsid w:val="00F124B8"/>
    <w:rsid w:val="00F1303B"/>
    <w:rsid w:val="00F137FC"/>
    <w:rsid w:val="00F138D0"/>
    <w:rsid w:val="00F142B8"/>
    <w:rsid w:val="00F142E5"/>
    <w:rsid w:val="00F146A5"/>
    <w:rsid w:val="00F14F85"/>
    <w:rsid w:val="00F15138"/>
    <w:rsid w:val="00F15DA5"/>
    <w:rsid w:val="00F15E49"/>
    <w:rsid w:val="00F15ED7"/>
    <w:rsid w:val="00F17271"/>
    <w:rsid w:val="00F17281"/>
    <w:rsid w:val="00F173E3"/>
    <w:rsid w:val="00F2025B"/>
    <w:rsid w:val="00F20890"/>
    <w:rsid w:val="00F214B2"/>
    <w:rsid w:val="00F21F31"/>
    <w:rsid w:val="00F22537"/>
    <w:rsid w:val="00F23216"/>
    <w:rsid w:val="00F232B4"/>
    <w:rsid w:val="00F232E3"/>
    <w:rsid w:val="00F238D0"/>
    <w:rsid w:val="00F24D37"/>
    <w:rsid w:val="00F24D61"/>
    <w:rsid w:val="00F25DB6"/>
    <w:rsid w:val="00F25E98"/>
    <w:rsid w:val="00F2670B"/>
    <w:rsid w:val="00F269EF"/>
    <w:rsid w:val="00F26B5C"/>
    <w:rsid w:val="00F275A3"/>
    <w:rsid w:val="00F30433"/>
    <w:rsid w:val="00F30570"/>
    <w:rsid w:val="00F30B90"/>
    <w:rsid w:val="00F30E2A"/>
    <w:rsid w:val="00F30F8C"/>
    <w:rsid w:val="00F31060"/>
    <w:rsid w:val="00F31C7C"/>
    <w:rsid w:val="00F32484"/>
    <w:rsid w:val="00F32804"/>
    <w:rsid w:val="00F32AA5"/>
    <w:rsid w:val="00F3317D"/>
    <w:rsid w:val="00F33C2F"/>
    <w:rsid w:val="00F34069"/>
    <w:rsid w:val="00F34217"/>
    <w:rsid w:val="00F345DD"/>
    <w:rsid w:val="00F35276"/>
    <w:rsid w:val="00F35A0C"/>
    <w:rsid w:val="00F36541"/>
    <w:rsid w:val="00F37776"/>
    <w:rsid w:val="00F37EA6"/>
    <w:rsid w:val="00F40AE8"/>
    <w:rsid w:val="00F410F1"/>
    <w:rsid w:val="00F41288"/>
    <w:rsid w:val="00F41458"/>
    <w:rsid w:val="00F41900"/>
    <w:rsid w:val="00F41AEB"/>
    <w:rsid w:val="00F42547"/>
    <w:rsid w:val="00F42747"/>
    <w:rsid w:val="00F42BF5"/>
    <w:rsid w:val="00F432F9"/>
    <w:rsid w:val="00F4337D"/>
    <w:rsid w:val="00F44179"/>
    <w:rsid w:val="00F443BF"/>
    <w:rsid w:val="00F44655"/>
    <w:rsid w:val="00F462F2"/>
    <w:rsid w:val="00F46326"/>
    <w:rsid w:val="00F46AF9"/>
    <w:rsid w:val="00F47D62"/>
    <w:rsid w:val="00F47DF5"/>
    <w:rsid w:val="00F5033E"/>
    <w:rsid w:val="00F503BB"/>
    <w:rsid w:val="00F506A5"/>
    <w:rsid w:val="00F50F88"/>
    <w:rsid w:val="00F520EC"/>
    <w:rsid w:val="00F52490"/>
    <w:rsid w:val="00F52C65"/>
    <w:rsid w:val="00F5302D"/>
    <w:rsid w:val="00F530F3"/>
    <w:rsid w:val="00F53711"/>
    <w:rsid w:val="00F537DE"/>
    <w:rsid w:val="00F53825"/>
    <w:rsid w:val="00F55155"/>
    <w:rsid w:val="00F56149"/>
    <w:rsid w:val="00F56754"/>
    <w:rsid w:val="00F56A58"/>
    <w:rsid w:val="00F56EED"/>
    <w:rsid w:val="00F6020C"/>
    <w:rsid w:val="00F60BD8"/>
    <w:rsid w:val="00F6118B"/>
    <w:rsid w:val="00F61884"/>
    <w:rsid w:val="00F61C1A"/>
    <w:rsid w:val="00F61D25"/>
    <w:rsid w:val="00F621DB"/>
    <w:rsid w:val="00F64DB4"/>
    <w:rsid w:val="00F653F8"/>
    <w:rsid w:val="00F658CD"/>
    <w:rsid w:val="00F65A05"/>
    <w:rsid w:val="00F65DE9"/>
    <w:rsid w:val="00F66A3E"/>
    <w:rsid w:val="00F675DC"/>
    <w:rsid w:val="00F67823"/>
    <w:rsid w:val="00F67C18"/>
    <w:rsid w:val="00F67F07"/>
    <w:rsid w:val="00F70427"/>
    <w:rsid w:val="00F704FF"/>
    <w:rsid w:val="00F70821"/>
    <w:rsid w:val="00F70959"/>
    <w:rsid w:val="00F71767"/>
    <w:rsid w:val="00F72ABC"/>
    <w:rsid w:val="00F72B0F"/>
    <w:rsid w:val="00F72E4A"/>
    <w:rsid w:val="00F7357C"/>
    <w:rsid w:val="00F73E1B"/>
    <w:rsid w:val="00F741E7"/>
    <w:rsid w:val="00F75742"/>
    <w:rsid w:val="00F76AF2"/>
    <w:rsid w:val="00F77D3F"/>
    <w:rsid w:val="00F801BA"/>
    <w:rsid w:val="00F80654"/>
    <w:rsid w:val="00F811F1"/>
    <w:rsid w:val="00F81580"/>
    <w:rsid w:val="00F81792"/>
    <w:rsid w:val="00F817FA"/>
    <w:rsid w:val="00F81864"/>
    <w:rsid w:val="00F81FDA"/>
    <w:rsid w:val="00F822DF"/>
    <w:rsid w:val="00F8297B"/>
    <w:rsid w:val="00F82DEA"/>
    <w:rsid w:val="00F831F3"/>
    <w:rsid w:val="00F83748"/>
    <w:rsid w:val="00F838FD"/>
    <w:rsid w:val="00F83E8F"/>
    <w:rsid w:val="00F84008"/>
    <w:rsid w:val="00F8403A"/>
    <w:rsid w:val="00F84673"/>
    <w:rsid w:val="00F84819"/>
    <w:rsid w:val="00F84E88"/>
    <w:rsid w:val="00F857DE"/>
    <w:rsid w:val="00F86C9E"/>
    <w:rsid w:val="00F8708C"/>
    <w:rsid w:val="00F90140"/>
    <w:rsid w:val="00F901FE"/>
    <w:rsid w:val="00F90451"/>
    <w:rsid w:val="00F90D5B"/>
    <w:rsid w:val="00F91A07"/>
    <w:rsid w:val="00F92585"/>
    <w:rsid w:val="00F929C5"/>
    <w:rsid w:val="00F9420F"/>
    <w:rsid w:val="00F9421D"/>
    <w:rsid w:val="00F96184"/>
    <w:rsid w:val="00F964D4"/>
    <w:rsid w:val="00F965BC"/>
    <w:rsid w:val="00FA0484"/>
    <w:rsid w:val="00FA0564"/>
    <w:rsid w:val="00FA1892"/>
    <w:rsid w:val="00FA2B07"/>
    <w:rsid w:val="00FA4D6C"/>
    <w:rsid w:val="00FA5940"/>
    <w:rsid w:val="00FA6F77"/>
    <w:rsid w:val="00FA7151"/>
    <w:rsid w:val="00FA7752"/>
    <w:rsid w:val="00FB0241"/>
    <w:rsid w:val="00FB132E"/>
    <w:rsid w:val="00FB1386"/>
    <w:rsid w:val="00FB1A80"/>
    <w:rsid w:val="00FB1FED"/>
    <w:rsid w:val="00FB2301"/>
    <w:rsid w:val="00FB26BA"/>
    <w:rsid w:val="00FB317F"/>
    <w:rsid w:val="00FB3266"/>
    <w:rsid w:val="00FB3FD5"/>
    <w:rsid w:val="00FB4388"/>
    <w:rsid w:val="00FB44EC"/>
    <w:rsid w:val="00FB47AE"/>
    <w:rsid w:val="00FB5816"/>
    <w:rsid w:val="00FB5C08"/>
    <w:rsid w:val="00FB5F7F"/>
    <w:rsid w:val="00FB696A"/>
    <w:rsid w:val="00FB6A3A"/>
    <w:rsid w:val="00FB6D3E"/>
    <w:rsid w:val="00FB74B1"/>
    <w:rsid w:val="00FB772E"/>
    <w:rsid w:val="00FC0045"/>
    <w:rsid w:val="00FC005E"/>
    <w:rsid w:val="00FC17CF"/>
    <w:rsid w:val="00FC1917"/>
    <w:rsid w:val="00FC1DB6"/>
    <w:rsid w:val="00FC20CA"/>
    <w:rsid w:val="00FC2C04"/>
    <w:rsid w:val="00FC2CEF"/>
    <w:rsid w:val="00FC32BD"/>
    <w:rsid w:val="00FC557B"/>
    <w:rsid w:val="00FC58A6"/>
    <w:rsid w:val="00FC5D27"/>
    <w:rsid w:val="00FC671D"/>
    <w:rsid w:val="00FC68A2"/>
    <w:rsid w:val="00FC6C68"/>
    <w:rsid w:val="00FC6CC4"/>
    <w:rsid w:val="00FC761B"/>
    <w:rsid w:val="00FC7772"/>
    <w:rsid w:val="00FD1190"/>
    <w:rsid w:val="00FD1EA5"/>
    <w:rsid w:val="00FD24AB"/>
    <w:rsid w:val="00FD2BA9"/>
    <w:rsid w:val="00FD347A"/>
    <w:rsid w:val="00FD35DD"/>
    <w:rsid w:val="00FD3EE9"/>
    <w:rsid w:val="00FD4396"/>
    <w:rsid w:val="00FD4DD7"/>
    <w:rsid w:val="00FD558E"/>
    <w:rsid w:val="00FD5FC5"/>
    <w:rsid w:val="00FD6692"/>
    <w:rsid w:val="00FD6DFA"/>
    <w:rsid w:val="00FD7252"/>
    <w:rsid w:val="00FD74D1"/>
    <w:rsid w:val="00FD75F3"/>
    <w:rsid w:val="00FD7DAB"/>
    <w:rsid w:val="00FE03F2"/>
    <w:rsid w:val="00FE06EC"/>
    <w:rsid w:val="00FE09FB"/>
    <w:rsid w:val="00FE0A7C"/>
    <w:rsid w:val="00FE17CA"/>
    <w:rsid w:val="00FE2195"/>
    <w:rsid w:val="00FE226D"/>
    <w:rsid w:val="00FE2277"/>
    <w:rsid w:val="00FE2540"/>
    <w:rsid w:val="00FE25EA"/>
    <w:rsid w:val="00FE269A"/>
    <w:rsid w:val="00FE27CF"/>
    <w:rsid w:val="00FE2A80"/>
    <w:rsid w:val="00FE3049"/>
    <w:rsid w:val="00FE379F"/>
    <w:rsid w:val="00FE3BC7"/>
    <w:rsid w:val="00FE3C90"/>
    <w:rsid w:val="00FE3E6C"/>
    <w:rsid w:val="00FE414E"/>
    <w:rsid w:val="00FE4403"/>
    <w:rsid w:val="00FE4C91"/>
    <w:rsid w:val="00FE593F"/>
    <w:rsid w:val="00FE6399"/>
    <w:rsid w:val="00FE729C"/>
    <w:rsid w:val="00FE79F2"/>
    <w:rsid w:val="00FE7A72"/>
    <w:rsid w:val="00FE7BBC"/>
    <w:rsid w:val="00FF05DE"/>
    <w:rsid w:val="00FF0795"/>
    <w:rsid w:val="00FF169E"/>
    <w:rsid w:val="00FF28D0"/>
    <w:rsid w:val="00FF30EB"/>
    <w:rsid w:val="00FF3372"/>
    <w:rsid w:val="00FF4032"/>
    <w:rsid w:val="00FF465F"/>
    <w:rsid w:val="00FF51C9"/>
    <w:rsid w:val="00FF5AA1"/>
    <w:rsid w:val="00FF5DB0"/>
    <w:rsid w:val="00FF726D"/>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ocId w14:val="5095AB20"/>
  <w15:docId w15:val="{255562A3-FD62-4A6A-8AFE-0DABD93DE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80C"/>
    <w:pPr>
      <w:spacing w:after="160"/>
      <w:jc w:val="both"/>
    </w:pPr>
    <w:rPr>
      <w:rFonts w:eastAsia="Calibri" w:cs="Arial"/>
      <w:bCs/>
      <w:color w:val="000000" w:themeColor="text1"/>
      <w:szCs w:val="24"/>
    </w:rPr>
  </w:style>
  <w:style w:type="paragraph" w:styleId="Heading1">
    <w:name w:val="heading 1"/>
    <w:basedOn w:val="Normal"/>
    <w:next w:val="Normal"/>
    <w:link w:val="Heading1Char"/>
    <w:autoRedefine/>
    <w:uiPriority w:val="9"/>
    <w:qFormat/>
    <w:rsid w:val="00EE0985"/>
    <w:pPr>
      <w:numPr>
        <w:numId w:val="2"/>
      </w:numPr>
      <w:jc w:val="center"/>
      <w:outlineLvl w:val="0"/>
    </w:pPr>
    <w:rPr>
      <w:rFonts w:ascii="Arial" w:hAnsi="Arial"/>
      <w:b/>
      <w:sz w:val="26"/>
    </w:rPr>
  </w:style>
  <w:style w:type="paragraph" w:styleId="Heading2">
    <w:name w:val="heading 2"/>
    <w:basedOn w:val="Normal"/>
    <w:next w:val="Normal"/>
    <w:link w:val="Heading2Char"/>
    <w:autoRedefine/>
    <w:uiPriority w:val="9"/>
    <w:unhideWhenUsed/>
    <w:qFormat/>
    <w:rsid w:val="00E830CC"/>
    <w:pPr>
      <w:snapToGrid w:val="0"/>
      <w:spacing w:before="120" w:after="120"/>
      <w:ind w:left="720"/>
      <w:outlineLvl w:val="1"/>
    </w:pPr>
    <w:rPr>
      <w:rFonts w:ascii="Arial" w:eastAsiaTheme="minorHAnsi" w:hAnsi="Arial" w:cstheme="minorHAnsi"/>
      <w:b/>
      <w:color w:val="auto"/>
    </w:rPr>
  </w:style>
  <w:style w:type="paragraph" w:styleId="Heading3">
    <w:name w:val="heading 3"/>
    <w:basedOn w:val="Normal"/>
    <w:next w:val="Normal"/>
    <w:link w:val="Heading3Char"/>
    <w:uiPriority w:val="9"/>
    <w:unhideWhenUsed/>
    <w:qFormat/>
    <w:rsid w:val="009222BF"/>
    <w:pPr>
      <w:keepNext/>
      <w:keepLines/>
      <w:numPr>
        <w:ilvl w:val="2"/>
        <w:numId w:val="2"/>
      </w:numPr>
      <w:spacing w:before="120" w:after="120" w:line="360" w:lineRule="auto"/>
      <w:outlineLvl w:val="2"/>
    </w:pPr>
    <w:rPr>
      <w:rFonts w:ascii="Arial" w:hAnsi="Arial" w:cstheme="minorHAnsi"/>
      <w:b/>
      <w:bCs w:val="0"/>
      <w:sz w:val="20"/>
    </w:rPr>
  </w:style>
  <w:style w:type="paragraph" w:styleId="Heading4">
    <w:name w:val="heading 4"/>
    <w:basedOn w:val="Normal"/>
    <w:next w:val="Normal"/>
    <w:link w:val="Heading4Char"/>
    <w:uiPriority w:val="9"/>
    <w:unhideWhenUsed/>
    <w:qFormat/>
    <w:rsid w:val="00C32281"/>
    <w:pPr>
      <w:keepNext/>
      <w:keepLines/>
      <w:numPr>
        <w:ilvl w:val="3"/>
        <w:numId w:val="2"/>
      </w:numPr>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C32281"/>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32281"/>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32281"/>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3228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228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3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3C0"/>
    <w:rPr>
      <w:rFonts w:ascii="Tahoma" w:hAnsi="Tahoma" w:cs="Tahoma"/>
      <w:sz w:val="16"/>
      <w:szCs w:val="16"/>
    </w:rPr>
  </w:style>
  <w:style w:type="table" w:styleId="TableGrid">
    <w:name w:val="Table Grid"/>
    <w:basedOn w:val="TableNormal"/>
    <w:uiPriority w:val="39"/>
    <w:rsid w:val="00E56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0985"/>
    <w:rPr>
      <w:rFonts w:ascii="Arial" w:eastAsia="Calibri" w:hAnsi="Arial" w:cs="Arial"/>
      <w:b/>
      <w:bCs/>
      <w:color w:val="000000" w:themeColor="text1"/>
      <w:sz w:val="26"/>
      <w:szCs w:val="24"/>
    </w:rPr>
  </w:style>
  <w:style w:type="character" w:customStyle="1" w:styleId="Heading2Char">
    <w:name w:val="Heading 2 Char"/>
    <w:basedOn w:val="DefaultParagraphFont"/>
    <w:link w:val="Heading2"/>
    <w:uiPriority w:val="9"/>
    <w:rsid w:val="00E830CC"/>
    <w:rPr>
      <w:rFonts w:ascii="Arial" w:eastAsiaTheme="minorHAnsi" w:hAnsi="Arial" w:cstheme="minorHAnsi"/>
      <w:b/>
      <w:bCs/>
      <w:szCs w:val="24"/>
    </w:rPr>
  </w:style>
  <w:style w:type="paragraph" w:styleId="NormalWeb">
    <w:name w:val="Normal (Web)"/>
    <w:basedOn w:val="Normal"/>
    <w:uiPriority w:val="99"/>
    <w:unhideWhenUsed/>
    <w:rsid w:val="00A81E6B"/>
    <w:pPr>
      <w:spacing w:before="100" w:beforeAutospacing="1" w:after="100" w:afterAutospacing="1"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A81E6B"/>
    <w:rPr>
      <w:color w:val="0000FF"/>
      <w:u w:val="single"/>
    </w:rPr>
  </w:style>
  <w:style w:type="character" w:customStyle="1" w:styleId="apple-converted-space">
    <w:name w:val="apple-converted-space"/>
    <w:basedOn w:val="DefaultParagraphFont"/>
    <w:rsid w:val="00A81E6B"/>
  </w:style>
  <w:style w:type="paragraph" w:styleId="ListParagraph">
    <w:name w:val="List Paragraph"/>
    <w:basedOn w:val="Normal"/>
    <w:uiPriority w:val="34"/>
    <w:qFormat/>
    <w:rsid w:val="00AD2AA0"/>
    <w:pPr>
      <w:ind w:left="720"/>
      <w:contextualSpacing/>
    </w:pPr>
  </w:style>
  <w:style w:type="character" w:styleId="PlaceholderText">
    <w:name w:val="Placeholder Text"/>
    <w:basedOn w:val="DefaultParagraphFont"/>
    <w:uiPriority w:val="99"/>
    <w:semiHidden/>
    <w:rsid w:val="000425C7"/>
    <w:rPr>
      <w:color w:val="808080"/>
    </w:rPr>
  </w:style>
  <w:style w:type="character" w:styleId="CommentReference">
    <w:name w:val="annotation reference"/>
    <w:basedOn w:val="DefaultParagraphFont"/>
    <w:uiPriority w:val="99"/>
    <w:semiHidden/>
    <w:unhideWhenUsed/>
    <w:rsid w:val="00E84856"/>
    <w:rPr>
      <w:sz w:val="18"/>
      <w:szCs w:val="18"/>
    </w:rPr>
  </w:style>
  <w:style w:type="paragraph" w:styleId="CommentText">
    <w:name w:val="annotation text"/>
    <w:basedOn w:val="Normal"/>
    <w:link w:val="CommentTextChar"/>
    <w:uiPriority w:val="99"/>
    <w:unhideWhenUsed/>
    <w:rsid w:val="00E84856"/>
    <w:pPr>
      <w:spacing w:line="240" w:lineRule="auto"/>
    </w:pPr>
  </w:style>
  <w:style w:type="character" w:customStyle="1" w:styleId="CommentTextChar">
    <w:name w:val="Comment Text Char"/>
    <w:basedOn w:val="DefaultParagraphFont"/>
    <w:link w:val="CommentText"/>
    <w:uiPriority w:val="99"/>
    <w:rsid w:val="00E84856"/>
    <w:rPr>
      <w:sz w:val="24"/>
      <w:szCs w:val="24"/>
    </w:rPr>
  </w:style>
  <w:style w:type="paragraph" w:styleId="CommentSubject">
    <w:name w:val="annotation subject"/>
    <w:basedOn w:val="CommentText"/>
    <w:next w:val="CommentText"/>
    <w:link w:val="CommentSubjectChar"/>
    <w:uiPriority w:val="99"/>
    <w:semiHidden/>
    <w:unhideWhenUsed/>
    <w:rsid w:val="00E84856"/>
    <w:rPr>
      <w:b/>
      <w:bCs w:val="0"/>
      <w:sz w:val="20"/>
      <w:szCs w:val="20"/>
    </w:rPr>
  </w:style>
  <w:style w:type="character" w:customStyle="1" w:styleId="CommentSubjectChar">
    <w:name w:val="Comment Subject Char"/>
    <w:basedOn w:val="CommentTextChar"/>
    <w:link w:val="CommentSubject"/>
    <w:uiPriority w:val="99"/>
    <w:semiHidden/>
    <w:rsid w:val="00E84856"/>
    <w:rPr>
      <w:b/>
      <w:bCs/>
      <w:sz w:val="20"/>
      <w:szCs w:val="20"/>
    </w:rPr>
  </w:style>
  <w:style w:type="paragraph" w:styleId="Revision">
    <w:name w:val="Revision"/>
    <w:hidden/>
    <w:uiPriority w:val="99"/>
    <w:semiHidden/>
    <w:rsid w:val="00EE213F"/>
    <w:pPr>
      <w:spacing w:after="0" w:line="240" w:lineRule="auto"/>
    </w:pPr>
  </w:style>
  <w:style w:type="paragraph" w:customStyle="1" w:styleId="clear">
    <w:name w:val="clear"/>
    <w:basedOn w:val="Heading2"/>
    <w:rsid w:val="00C432AE"/>
  </w:style>
  <w:style w:type="paragraph" w:customStyle="1" w:styleId="clearformatting">
    <w:name w:val="clear formatting"/>
    <w:basedOn w:val="Heading2"/>
    <w:rsid w:val="00C432AE"/>
  </w:style>
  <w:style w:type="character" w:customStyle="1" w:styleId="Heading3Char">
    <w:name w:val="Heading 3 Char"/>
    <w:basedOn w:val="DefaultParagraphFont"/>
    <w:link w:val="Heading3"/>
    <w:uiPriority w:val="9"/>
    <w:rsid w:val="009222BF"/>
    <w:rPr>
      <w:rFonts w:ascii="Arial" w:eastAsia="Calibri" w:hAnsi="Arial" w:cstheme="minorHAnsi"/>
      <w:b/>
      <w:color w:val="000000" w:themeColor="text1"/>
      <w:sz w:val="20"/>
      <w:szCs w:val="24"/>
    </w:rPr>
  </w:style>
  <w:style w:type="paragraph" w:styleId="DocumentMap">
    <w:name w:val="Document Map"/>
    <w:basedOn w:val="Normal"/>
    <w:link w:val="DocumentMapChar"/>
    <w:uiPriority w:val="99"/>
    <w:semiHidden/>
    <w:unhideWhenUsed/>
    <w:rsid w:val="001806DD"/>
    <w:rPr>
      <w:rFonts w:ascii="Heiti SC Light" w:eastAsia="Heiti SC Light"/>
    </w:rPr>
  </w:style>
  <w:style w:type="character" w:customStyle="1" w:styleId="DocumentMapChar">
    <w:name w:val="Document Map Char"/>
    <w:basedOn w:val="DefaultParagraphFont"/>
    <w:link w:val="DocumentMap"/>
    <w:uiPriority w:val="99"/>
    <w:semiHidden/>
    <w:rsid w:val="001806DD"/>
    <w:rPr>
      <w:rFonts w:ascii="Heiti SC Light" w:eastAsia="Heiti SC Light"/>
      <w:sz w:val="24"/>
      <w:szCs w:val="24"/>
    </w:rPr>
  </w:style>
  <w:style w:type="paragraph" w:styleId="Header">
    <w:name w:val="header"/>
    <w:basedOn w:val="Normal"/>
    <w:link w:val="HeaderChar"/>
    <w:uiPriority w:val="99"/>
    <w:unhideWhenUsed/>
    <w:rsid w:val="00FB138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B1386"/>
    <w:rPr>
      <w:sz w:val="18"/>
      <w:szCs w:val="18"/>
    </w:rPr>
  </w:style>
  <w:style w:type="paragraph" w:styleId="Footer">
    <w:name w:val="footer"/>
    <w:basedOn w:val="Normal"/>
    <w:link w:val="FooterChar"/>
    <w:uiPriority w:val="99"/>
    <w:unhideWhenUsed/>
    <w:rsid w:val="00FB138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B1386"/>
    <w:rPr>
      <w:sz w:val="18"/>
      <w:szCs w:val="18"/>
    </w:rPr>
  </w:style>
  <w:style w:type="character" w:styleId="PageNumber">
    <w:name w:val="page number"/>
    <w:basedOn w:val="DefaultParagraphFont"/>
    <w:uiPriority w:val="99"/>
    <w:semiHidden/>
    <w:unhideWhenUsed/>
    <w:rsid w:val="00FB1386"/>
  </w:style>
  <w:style w:type="character" w:styleId="FollowedHyperlink">
    <w:name w:val="FollowedHyperlink"/>
    <w:basedOn w:val="DefaultParagraphFont"/>
    <w:uiPriority w:val="99"/>
    <w:semiHidden/>
    <w:unhideWhenUsed/>
    <w:rsid w:val="00D165F3"/>
    <w:rPr>
      <w:color w:val="800080" w:themeColor="followedHyperlink"/>
      <w:u w:val="single"/>
    </w:rPr>
  </w:style>
  <w:style w:type="paragraph" w:customStyle="1" w:styleId="04AHeading">
    <w:name w:val="04 A Heading"/>
    <w:next w:val="08ArticleText"/>
    <w:qFormat/>
    <w:rsid w:val="000A53EC"/>
    <w:pPr>
      <w:spacing w:before="240" w:after="120" w:line="240" w:lineRule="exact"/>
    </w:pPr>
    <w:rPr>
      <w:rFonts w:ascii="Times New Roman" w:eastAsia="Times New Roman" w:hAnsi="Times New Roman" w:cs="Times New Roman"/>
      <w:b/>
      <w:szCs w:val="20"/>
      <w:lang w:eastAsia="en-GB"/>
    </w:rPr>
  </w:style>
  <w:style w:type="paragraph" w:customStyle="1" w:styleId="08ArticleText">
    <w:name w:val="08 Article Text"/>
    <w:qFormat/>
    <w:rsid w:val="000A53EC"/>
    <w:pPr>
      <w:widowControl w:val="0"/>
      <w:tabs>
        <w:tab w:val="left" w:pos="198"/>
      </w:tabs>
      <w:spacing w:after="0" w:line="230" w:lineRule="exact"/>
      <w:jc w:val="both"/>
    </w:pPr>
    <w:rPr>
      <w:rFonts w:ascii="Times New Roman" w:eastAsia="Times New Roman" w:hAnsi="Times New Roman" w:cs="Times New Roman"/>
      <w:sz w:val="18"/>
      <w:szCs w:val="18"/>
      <w:lang w:eastAsia="en-GB"/>
    </w:rPr>
  </w:style>
  <w:style w:type="table" w:customStyle="1" w:styleId="TableGrid3">
    <w:name w:val="Table Grid3"/>
    <w:basedOn w:val="TableNormal"/>
    <w:uiPriority w:val="59"/>
    <w:rsid w:val="000A53EC"/>
    <w:pPr>
      <w:spacing w:after="0" w:line="240" w:lineRule="auto"/>
    </w:pPr>
    <w:rPr>
      <w:rFonts w:eastAsia="Times New Roman" w:cs="Times New Roman"/>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3References">
    <w:name w:val="N3 References"/>
    <w:qFormat/>
    <w:rsid w:val="000A53EC"/>
    <w:pPr>
      <w:tabs>
        <w:tab w:val="left" w:pos="284"/>
      </w:tabs>
      <w:spacing w:after="0" w:line="190" w:lineRule="exact"/>
      <w:ind w:left="284" w:hanging="284"/>
      <w:jc w:val="both"/>
    </w:pPr>
    <w:rPr>
      <w:rFonts w:ascii="Times New Roman" w:eastAsia="Times New Roman" w:hAnsi="Times New Roman" w:cs="Times New Roman"/>
      <w:noProof/>
      <w:sz w:val="16"/>
      <w:szCs w:val="20"/>
      <w:lang w:eastAsia="en-GB"/>
    </w:rPr>
  </w:style>
  <w:style w:type="table" w:customStyle="1" w:styleId="TableGrid2">
    <w:name w:val="Table Grid2"/>
    <w:basedOn w:val="TableNormal"/>
    <w:next w:val="TableGrid"/>
    <w:uiPriority w:val="59"/>
    <w:rsid w:val="000A53EC"/>
    <w:pPr>
      <w:spacing w:after="0" w:line="240" w:lineRule="auto"/>
    </w:pPr>
    <w:rPr>
      <w:rFonts w:eastAsia="Times New Roman" w:cs="Times New Roman"/>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53EC"/>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0A53EC"/>
    <w:pPr>
      <w:spacing w:after="0" w:line="240" w:lineRule="auto"/>
    </w:pPr>
    <w:rPr>
      <w:rFonts w:eastAsiaTheme="minorHAnsi"/>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A53EC"/>
    <w:pPr>
      <w:spacing w:after="0" w:line="240" w:lineRule="auto"/>
    </w:pPr>
    <w:rPr>
      <w:rFonts w:eastAsia="Calibri" w:cs="Cordia New"/>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A53EC"/>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A53EC"/>
  </w:style>
  <w:style w:type="numbering" w:customStyle="1" w:styleId="NoList11">
    <w:name w:val="No List11"/>
    <w:next w:val="NoList"/>
    <w:uiPriority w:val="99"/>
    <w:semiHidden/>
    <w:unhideWhenUsed/>
    <w:rsid w:val="000A53EC"/>
  </w:style>
  <w:style w:type="table" w:customStyle="1" w:styleId="TableGrid5">
    <w:name w:val="Table Grid5"/>
    <w:basedOn w:val="TableNormal"/>
    <w:next w:val="TableGrid"/>
    <w:uiPriority w:val="39"/>
    <w:rsid w:val="000A53EC"/>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urnaltitle">
    <w:name w:val="journaltitle"/>
    <w:basedOn w:val="DefaultParagraphFont"/>
    <w:rsid w:val="000A53EC"/>
  </w:style>
  <w:style w:type="character" w:customStyle="1" w:styleId="articlecitationyear">
    <w:name w:val="articlecitation_year"/>
    <w:basedOn w:val="DefaultParagraphFont"/>
    <w:rsid w:val="000A53EC"/>
  </w:style>
  <w:style w:type="character" w:customStyle="1" w:styleId="articlecitationvolume">
    <w:name w:val="articlecitation_volume"/>
    <w:basedOn w:val="DefaultParagraphFont"/>
    <w:rsid w:val="000A53EC"/>
  </w:style>
  <w:style w:type="character" w:customStyle="1" w:styleId="articlecitationpages">
    <w:name w:val="articlecitation_pages"/>
    <w:basedOn w:val="DefaultParagraphFont"/>
    <w:rsid w:val="000A53EC"/>
  </w:style>
  <w:style w:type="character" w:customStyle="1" w:styleId="nlmstring-name">
    <w:name w:val="nlm_string-name"/>
    <w:basedOn w:val="DefaultParagraphFont"/>
    <w:rsid w:val="000A53EC"/>
  </w:style>
  <w:style w:type="character" w:styleId="HTMLCite">
    <w:name w:val="HTML Cite"/>
    <w:basedOn w:val="DefaultParagraphFont"/>
    <w:uiPriority w:val="99"/>
    <w:semiHidden/>
    <w:unhideWhenUsed/>
    <w:rsid w:val="000A53EC"/>
    <w:rPr>
      <w:i/>
      <w:iCs/>
    </w:rPr>
  </w:style>
  <w:style w:type="character" w:customStyle="1" w:styleId="citationyear">
    <w:name w:val="citation_year"/>
    <w:basedOn w:val="DefaultParagraphFont"/>
    <w:rsid w:val="000A53EC"/>
  </w:style>
  <w:style w:type="character" w:customStyle="1" w:styleId="citationvolume">
    <w:name w:val="citation_volume"/>
    <w:basedOn w:val="DefaultParagraphFont"/>
    <w:rsid w:val="000A53EC"/>
  </w:style>
  <w:style w:type="table" w:customStyle="1" w:styleId="TableGrid22">
    <w:name w:val="Table Grid22"/>
    <w:basedOn w:val="TableNormal"/>
    <w:next w:val="TableGrid"/>
    <w:uiPriority w:val="59"/>
    <w:rsid w:val="000A53EC"/>
    <w:pPr>
      <w:spacing w:after="0" w:line="240" w:lineRule="auto"/>
    </w:pPr>
    <w:rPr>
      <w:rFonts w:eastAsia="Calibri" w:cs="Cordia New"/>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A53EC"/>
  </w:style>
  <w:style w:type="table" w:customStyle="1" w:styleId="TableGrid6">
    <w:name w:val="Table Grid6"/>
    <w:basedOn w:val="TableNormal"/>
    <w:next w:val="TableGrid"/>
    <w:uiPriority w:val="59"/>
    <w:rsid w:val="000A53EC"/>
    <w:pPr>
      <w:spacing w:after="0" w:line="240" w:lineRule="auto"/>
    </w:pPr>
    <w:rPr>
      <w:rFonts w:eastAsia="Calibri" w:cs="Cordia New"/>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A53EC"/>
  </w:style>
  <w:style w:type="table" w:customStyle="1" w:styleId="TableGrid7">
    <w:name w:val="Table Grid7"/>
    <w:basedOn w:val="TableNormal"/>
    <w:next w:val="TableGrid"/>
    <w:uiPriority w:val="39"/>
    <w:rsid w:val="000A53EC"/>
    <w:pPr>
      <w:spacing w:after="0" w:line="240" w:lineRule="auto"/>
    </w:pPr>
    <w:rPr>
      <w:rFonts w:eastAsia="Calibri" w:cs="Cordia New"/>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A53EC"/>
  </w:style>
  <w:style w:type="table" w:customStyle="1" w:styleId="TableGrid8">
    <w:name w:val="Table Grid8"/>
    <w:basedOn w:val="TableNormal"/>
    <w:next w:val="TableGrid"/>
    <w:uiPriority w:val="59"/>
    <w:rsid w:val="000A53EC"/>
    <w:pPr>
      <w:spacing w:after="0" w:line="240" w:lineRule="auto"/>
    </w:pPr>
    <w:rPr>
      <w:rFonts w:eastAsiaTheme="minorHAnsi"/>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basedOn w:val="DefaultParagraphFont"/>
    <w:rsid w:val="000A53EC"/>
  </w:style>
  <w:style w:type="paragraph" w:styleId="Title">
    <w:name w:val="Title"/>
    <w:basedOn w:val="Normal"/>
    <w:next w:val="Normal"/>
    <w:link w:val="TitleChar"/>
    <w:uiPriority w:val="10"/>
    <w:qFormat/>
    <w:rsid w:val="00EE0985"/>
    <w:pPr>
      <w:spacing w:after="0" w:line="240" w:lineRule="auto"/>
      <w:contextualSpacing/>
    </w:pPr>
    <w:rPr>
      <w:rFonts w:asciiTheme="majorHAnsi" w:eastAsiaTheme="majorEastAsia" w:hAnsiTheme="majorHAnsi" w:cstheme="majorBidi"/>
      <w:spacing w:val="-10"/>
      <w:kern w:val="28"/>
      <w:sz w:val="36"/>
      <w:szCs w:val="56"/>
      <w:lang w:eastAsia="ko-KR"/>
    </w:rPr>
  </w:style>
  <w:style w:type="character" w:customStyle="1" w:styleId="TitleChar">
    <w:name w:val="Title Char"/>
    <w:basedOn w:val="DefaultParagraphFont"/>
    <w:link w:val="Title"/>
    <w:uiPriority w:val="10"/>
    <w:rsid w:val="00EE0985"/>
    <w:rPr>
      <w:rFonts w:asciiTheme="majorHAnsi" w:eastAsiaTheme="majorEastAsia" w:hAnsiTheme="majorHAnsi" w:cstheme="majorBidi"/>
      <w:bCs/>
      <w:color w:val="000000" w:themeColor="text1"/>
      <w:spacing w:val="-10"/>
      <w:kern w:val="28"/>
      <w:sz w:val="36"/>
      <w:szCs w:val="56"/>
      <w:lang w:eastAsia="ko-KR"/>
    </w:rPr>
  </w:style>
  <w:style w:type="character" w:customStyle="1" w:styleId="Heading4Char">
    <w:name w:val="Heading 4 Char"/>
    <w:basedOn w:val="DefaultParagraphFont"/>
    <w:link w:val="Heading4"/>
    <w:uiPriority w:val="9"/>
    <w:rsid w:val="00C32281"/>
    <w:rPr>
      <w:rFonts w:asciiTheme="majorHAnsi" w:eastAsiaTheme="majorEastAsia" w:hAnsiTheme="majorHAnsi" w:cstheme="majorBidi"/>
      <w:bCs/>
      <w:i/>
      <w:iCs/>
      <w:color w:val="000000" w:themeColor="text1"/>
      <w:szCs w:val="24"/>
    </w:rPr>
  </w:style>
  <w:style w:type="character" w:customStyle="1" w:styleId="Heading5Char">
    <w:name w:val="Heading 5 Char"/>
    <w:basedOn w:val="DefaultParagraphFont"/>
    <w:link w:val="Heading5"/>
    <w:uiPriority w:val="9"/>
    <w:semiHidden/>
    <w:rsid w:val="00C32281"/>
    <w:rPr>
      <w:rFonts w:asciiTheme="majorHAnsi" w:eastAsiaTheme="majorEastAsia" w:hAnsiTheme="majorHAnsi" w:cstheme="majorBidi"/>
      <w:bCs/>
      <w:color w:val="365F91" w:themeColor="accent1" w:themeShade="BF"/>
      <w:szCs w:val="24"/>
    </w:rPr>
  </w:style>
  <w:style w:type="character" w:customStyle="1" w:styleId="Heading6Char">
    <w:name w:val="Heading 6 Char"/>
    <w:basedOn w:val="DefaultParagraphFont"/>
    <w:link w:val="Heading6"/>
    <w:uiPriority w:val="9"/>
    <w:semiHidden/>
    <w:rsid w:val="00C32281"/>
    <w:rPr>
      <w:rFonts w:asciiTheme="majorHAnsi" w:eastAsiaTheme="majorEastAsia" w:hAnsiTheme="majorHAnsi" w:cstheme="majorBidi"/>
      <w:bCs/>
      <w:color w:val="243F60" w:themeColor="accent1" w:themeShade="7F"/>
      <w:szCs w:val="24"/>
    </w:rPr>
  </w:style>
  <w:style w:type="character" w:customStyle="1" w:styleId="Heading7Char">
    <w:name w:val="Heading 7 Char"/>
    <w:basedOn w:val="DefaultParagraphFont"/>
    <w:link w:val="Heading7"/>
    <w:uiPriority w:val="9"/>
    <w:semiHidden/>
    <w:rsid w:val="00C32281"/>
    <w:rPr>
      <w:rFonts w:asciiTheme="majorHAnsi" w:eastAsiaTheme="majorEastAsia" w:hAnsiTheme="majorHAnsi" w:cstheme="majorBidi"/>
      <w:bCs/>
      <w:i/>
      <w:iCs/>
      <w:color w:val="243F60" w:themeColor="accent1" w:themeShade="7F"/>
      <w:szCs w:val="24"/>
    </w:rPr>
  </w:style>
  <w:style w:type="character" w:customStyle="1" w:styleId="Heading8Char">
    <w:name w:val="Heading 8 Char"/>
    <w:basedOn w:val="DefaultParagraphFont"/>
    <w:link w:val="Heading8"/>
    <w:uiPriority w:val="9"/>
    <w:semiHidden/>
    <w:rsid w:val="00C3228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C32281"/>
    <w:rPr>
      <w:rFonts w:asciiTheme="majorHAnsi" w:eastAsiaTheme="majorEastAsia" w:hAnsiTheme="majorHAnsi" w:cstheme="majorBidi"/>
      <w:bCs/>
      <w:i/>
      <w:iCs/>
      <w:color w:val="272727" w:themeColor="text1" w:themeTint="D8"/>
      <w:sz w:val="21"/>
      <w:szCs w:val="21"/>
    </w:rPr>
  </w:style>
  <w:style w:type="character" w:customStyle="1" w:styleId="UnresolvedMention1">
    <w:name w:val="Unresolved Mention1"/>
    <w:basedOn w:val="DefaultParagraphFont"/>
    <w:uiPriority w:val="99"/>
    <w:semiHidden/>
    <w:unhideWhenUsed/>
    <w:rsid w:val="00BB7B8A"/>
    <w:rPr>
      <w:color w:val="605E5C"/>
      <w:shd w:val="clear" w:color="auto" w:fill="E1DFDD"/>
    </w:rPr>
  </w:style>
  <w:style w:type="table" w:customStyle="1" w:styleId="TableGrid9">
    <w:name w:val="Table Grid9"/>
    <w:basedOn w:val="TableNormal"/>
    <w:next w:val="TableGrid"/>
    <w:uiPriority w:val="39"/>
    <w:rsid w:val="00883D32"/>
    <w:pPr>
      <w:spacing w:after="0" w:line="240" w:lineRule="auto"/>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A0F21"/>
    <w:pPr>
      <w:spacing w:after="200" w:line="240" w:lineRule="auto"/>
    </w:pPr>
    <w:rPr>
      <w:i/>
      <w:iCs/>
      <w:color w:val="1F497D" w:themeColor="text2"/>
      <w:sz w:val="18"/>
      <w:szCs w:val="18"/>
    </w:rPr>
  </w:style>
  <w:style w:type="character" w:customStyle="1" w:styleId="markbhnskiyvk">
    <w:name w:val="markbhnskiyvk"/>
    <w:basedOn w:val="DefaultParagraphFont"/>
    <w:rsid w:val="00AF3EA6"/>
  </w:style>
  <w:style w:type="character" w:styleId="LineNumber">
    <w:name w:val="line number"/>
    <w:basedOn w:val="DefaultParagraphFont"/>
    <w:uiPriority w:val="99"/>
    <w:semiHidden/>
    <w:unhideWhenUsed/>
    <w:rsid w:val="00803F5C"/>
  </w:style>
  <w:style w:type="character" w:styleId="UnresolvedMention">
    <w:name w:val="Unresolved Mention"/>
    <w:basedOn w:val="DefaultParagraphFont"/>
    <w:uiPriority w:val="99"/>
    <w:semiHidden/>
    <w:unhideWhenUsed/>
    <w:rsid w:val="00BE331B"/>
    <w:rPr>
      <w:color w:val="808080"/>
      <w:shd w:val="clear" w:color="auto" w:fill="E6E6E6"/>
    </w:rPr>
  </w:style>
  <w:style w:type="paragraph" w:styleId="PlainText">
    <w:name w:val="Plain Text"/>
    <w:basedOn w:val="Normal"/>
    <w:link w:val="PlainTextChar"/>
    <w:uiPriority w:val="99"/>
    <w:unhideWhenUsed/>
    <w:rsid w:val="003117AF"/>
    <w:pPr>
      <w:spacing w:after="0" w:line="240" w:lineRule="auto"/>
      <w:jc w:val="left"/>
    </w:pPr>
    <w:rPr>
      <w:rFonts w:ascii="Calibri" w:eastAsiaTheme="minorHAnsi" w:hAnsi="Calibri" w:cstheme="minorBidi"/>
      <w:bCs w:val="0"/>
      <w:color w:val="auto"/>
      <w:szCs w:val="21"/>
    </w:rPr>
  </w:style>
  <w:style w:type="character" w:customStyle="1" w:styleId="PlainTextChar">
    <w:name w:val="Plain Text Char"/>
    <w:basedOn w:val="DefaultParagraphFont"/>
    <w:link w:val="PlainText"/>
    <w:uiPriority w:val="99"/>
    <w:rsid w:val="003117AF"/>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5681">
      <w:bodyDiv w:val="1"/>
      <w:marLeft w:val="0"/>
      <w:marRight w:val="0"/>
      <w:marTop w:val="0"/>
      <w:marBottom w:val="0"/>
      <w:divBdr>
        <w:top w:val="none" w:sz="0" w:space="0" w:color="auto"/>
        <w:left w:val="none" w:sz="0" w:space="0" w:color="auto"/>
        <w:bottom w:val="none" w:sz="0" w:space="0" w:color="auto"/>
        <w:right w:val="none" w:sz="0" w:space="0" w:color="auto"/>
      </w:divBdr>
    </w:div>
    <w:div w:id="13701254">
      <w:bodyDiv w:val="1"/>
      <w:marLeft w:val="0"/>
      <w:marRight w:val="0"/>
      <w:marTop w:val="0"/>
      <w:marBottom w:val="0"/>
      <w:divBdr>
        <w:top w:val="none" w:sz="0" w:space="0" w:color="auto"/>
        <w:left w:val="none" w:sz="0" w:space="0" w:color="auto"/>
        <w:bottom w:val="none" w:sz="0" w:space="0" w:color="auto"/>
        <w:right w:val="none" w:sz="0" w:space="0" w:color="auto"/>
      </w:divBdr>
    </w:div>
    <w:div w:id="23018483">
      <w:bodyDiv w:val="1"/>
      <w:marLeft w:val="0"/>
      <w:marRight w:val="0"/>
      <w:marTop w:val="0"/>
      <w:marBottom w:val="0"/>
      <w:divBdr>
        <w:top w:val="none" w:sz="0" w:space="0" w:color="auto"/>
        <w:left w:val="none" w:sz="0" w:space="0" w:color="auto"/>
        <w:bottom w:val="none" w:sz="0" w:space="0" w:color="auto"/>
        <w:right w:val="none" w:sz="0" w:space="0" w:color="auto"/>
      </w:divBdr>
    </w:div>
    <w:div w:id="30113538">
      <w:bodyDiv w:val="1"/>
      <w:marLeft w:val="0"/>
      <w:marRight w:val="0"/>
      <w:marTop w:val="0"/>
      <w:marBottom w:val="0"/>
      <w:divBdr>
        <w:top w:val="none" w:sz="0" w:space="0" w:color="auto"/>
        <w:left w:val="none" w:sz="0" w:space="0" w:color="auto"/>
        <w:bottom w:val="none" w:sz="0" w:space="0" w:color="auto"/>
        <w:right w:val="none" w:sz="0" w:space="0" w:color="auto"/>
      </w:divBdr>
    </w:div>
    <w:div w:id="30304090">
      <w:bodyDiv w:val="1"/>
      <w:marLeft w:val="0"/>
      <w:marRight w:val="0"/>
      <w:marTop w:val="0"/>
      <w:marBottom w:val="0"/>
      <w:divBdr>
        <w:top w:val="none" w:sz="0" w:space="0" w:color="auto"/>
        <w:left w:val="none" w:sz="0" w:space="0" w:color="auto"/>
        <w:bottom w:val="none" w:sz="0" w:space="0" w:color="auto"/>
        <w:right w:val="none" w:sz="0" w:space="0" w:color="auto"/>
      </w:divBdr>
    </w:div>
    <w:div w:id="46073372">
      <w:bodyDiv w:val="1"/>
      <w:marLeft w:val="0"/>
      <w:marRight w:val="0"/>
      <w:marTop w:val="0"/>
      <w:marBottom w:val="0"/>
      <w:divBdr>
        <w:top w:val="none" w:sz="0" w:space="0" w:color="auto"/>
        <w:left w:val="none" w:sz="0" w:space="0" w:color="auto"/>
        <w:bottom w:val="none" w:sz="0" w:space="0" w:color="auto"/>
        <w:right w:val="none" w:sz="0" w:space="0" w:color="auto"/>
      </w:divBdr>
    </w:div>
    <w:div w:id="55055956">
      <w:bodyDiv w:val="1"/>
      <w:marLeft w:val="0"/>
      <w:marRight w:val="0"/>
      <w:marTop w:val="0"/>
      <w:marBottom w:val="0"/>
      <w:divBdr>
        <w:top w:val="none" w:sz="0" w:space="0" w:color="auto"/>
        <w:left w:val="none" w:sz="0" w:space="0" w:color="auto"/>
        <w:bottom w:val="none" w:sz="0" w:space="0" w:color="auto"/>
        <w:right w:val="none" w:sz="0" w:space="0" w:color="auto"/>
      </w:divBdr>
    </w:div>
    <w:div w:id="112485624">
      <w:bodyDiv w:val="1"/>
      <w:marLeft w:val="0"/>
      <w:marRight w:val="0"/>
      <w:marTop w:val="0"/>
      <w:marBottom w:val="0"/>
      <w:divBdr>
        <w:top w:val="none" w:sz="0" w:space="0" w:color="auto"/>
        <w:left w:val="none" w:sz="0" w:space="0" w:color="auto"/>
        <w:bottom w:val="none" w:sz="0" w:space="0" w:color="auto"/>
        <w:right w:val="none" w:sz="0" w:space="0" w:color="auto"/>
      </w:divBdr>
    </w:div>
    <w:div w:id="165902597">
      <w:bodyDiv w:val="1"/>
      <w:marLeft w:val="0"/>
      <w:marRight w:val="0"/>
      <w:marTop w:val="0"/>
      <w:marBottom w:val="0"/>
      <w:divBdr>
        <w:top w:val="none" w:sz="0" w:space="0" w:color="auto"/>
        <w:left w:val="none" w:sz="0" w:space="0" w:color="auto"/>
        <w:bottom w:val="none" w:sz="0" w:space="0" w:color="auto"/>
        <w:right w:val="none" w:sz="0" w:space="0" w:color="auto"/>
      </w:divBdr>
      <w:divsChild>
        <w:div w:id="179664636">
          <w:marLeft w:val="360"/>
          <w:marRight w:val="0"/>
          <w:marTop w:val="200"/>
          <w:marBottom w:val="0"/>
          <w:divBdr>
            <w:top w:val="none" w:sz="0" w:space="0" w:color="auto"/>
            <w:left w:val="none" w:sz="0" w:space="0" w:color="auto"/>
            <w:bottom w:val="none" w:sz="0" w:space="0" w:color="auto"/>
            <w:right w:val="none" w:sz="0" w:space="0" w:color="auto"/>
          </w:divBdr>
        </w:div>
        <w:div w:id="687565301">
          <w:marLeft w:val="360"/>
          <w:marRight w:val="0"/>
          <w:marTop w:val="200"/>
          <w:marBottom w:val="0"/>
          <w:divBdr>
            <w:top w:val="none" w:sz="0" w:space="0" w:color="auto"/>
            <w:left w:val="none" w:sz="0" w:space="0" w:color="auto"/>
            <w:bottom w:val="none" w:sz="0" w:space="0" w:color="auto"/>
            <w:right w:val="none" w:sz="0" w:space="0" w:color="auto"/>
          </w:divBdr>
        </w:div>
        <w:div w:id="738595546">
          <w:marLeft w:val="360"/>
          <w:marRight w:val="0"/>
          <w:marTop w:val="200"/>
          <w:marBottom w:val="0"/>
          <w:divBdr>
            <w:top w:val="none" w:sz="0" w:space="0" w:color="auto"/>
            <w:left w:val="none" w:sz="0" w:space="0" w:color="auto"/>
            <w:bottom w:val="none" w:sz="0" w:space="0" w:color="auto"/>
            <w:right w:val="none" w:sz="0" w:space="0" w:color="auto"/>
          </w:divBdr>
        </w:div>
        <w:div w:id="1449469433">
          <w:marLeft w:val="360"/>
          <w:marRight w:val="0"/>
          <w:marTop w:val="200"/>
          <w:marBottom w:val="0"/>
          <w:divBdr>
            <w:top w:val="none" w:sz="0" w:space="0" w:color="auto"/>
            <w:left w:val="none" w:sz="0" w:space="0" w:color="auto"/>
            <w:bottom w:val="none" w:sz="0" w:space="0" w:color="auto"/>
            <w:right w:val="none" w:sz="0" w:space="0" w:color="auto"/>
          </w:divBdr>
        </w:div>
        <w:div w:id="2044667191">
          <w:marLeft w:val="360"/>
          <w:marRight w:val="0"/>
          <w:marTop w:val="200"/>
          <w:marBottom w:val="0"/>
          <w:divBdr>
            <w:top w:val="none" w:sz="0" w:space="0" w:color="auto"/>
            <w:left w:val="none" w:sz="0" w:space="0" w:color="auto"/>
            <w:bottom w:val="none" w:sz="0" w:space="0" w:color="auto"/>
            <w:right w:val="none" w:sz="0" w:space="0" w:color="auto"/>
          </w:divBdr>
        </w:div>
      </w:divsChild>
    </w:div>
    <w:div w:id="179587763">
      <w:bodyDiv w:val="1"/>
      <w:marLeft w:val="0"/>
      <w:marRight w:val="0"/>
      <w:marTop w:val="0"/>
      <w:marBottom w:val="0"/>
      <w:divBdr>
        <w:top w:val="none" w:sz="0" w:space="0" w:color="auto"/>
        <w:left w:val="none" w:sz="0" w:space="0" w:color="auto"/>
        <w:bottom w:val="none" w:sz="0" w:space="0" w:color="auto"/>
        <w:right w:val="none" w:sz="0" w:space="0" w:color="auto"/>
      </w:divBdr>
    </w:div>
    <w:div w:id="198015542">
      <w:bodyDiv w:val="1"/>
      <w:marLeft w:val="0"/>
      <w:marRight w:val="0"/>
      <w:marTop w:val="0"/>
      <w:marBottom w:val="0"/>
      <w:divBdr>
        <w:top w:val="none" w:sz="0" w:space="0" w:color="auto"/>
        <w:left w:val="none" w:sz="0" w:space="0" w:color="auto"/>
        <w:bottom w:val="none" w:sz="0" w:space="0" w:color="auto"/>
        <w:right w:val="none" w:sz="0" w:space="0" w:color="auto"/>
      </w:divBdr>
    </w:div>
    <w:div w:id="242878917">
      <w:bodyDiv w:val="1"/>
      <w:marLeft w:val="0"/>
      <w:marRight w:val="0"/>
      <w:marTop w:val="0"/>
      <w:marBottom w:val="0"/>
      <w:divBdr>
        <w:top w:val="none" w:sz="0" w:space="0" w:color="auto"/>
        <w:left w:val="none" w:sz="0" w:space="0" w:color="auto"/>
        <w:bottom w:val="none" w:sz="0" w:space="0" w:color="auto"/>
        <w:right w:val="none" w:sz="0" w:space="0" w:color="auto"/>
      </w:divBdr>
    </w:div>
    <w:div w:id="291253797">
      <w:bodyDiv w:val="1"/>
      <w:marLeft w:val="0"/>
      <w:marRight w:val="0"/>
      <w:marTop w:val="0"/>
      <w:marBottom w:val="0"/>
      <w:divBdr>
        <w:top w:val="none" w:sz="0" w:space="0" w:color="auto"/>
        <w:left w:val="none" w:sz="0" w:space="0" w:color="auto"/>
        <w:bottom w:val="none" w:sz="0" w:space="0" w:color="auto"/>
        <w:right w:val="none" w:sz="0" w:space="0" w:color="auto"/>
      </w:divBdr>
    </w:div>
    <w:div w:id="359165059">
      <w:bodyDiv w:val="1"/>
      <w:marLeft w:val="0"/>
      <w:marRight w:val="0"/>
      <w:marTop w:val="0"/>
      <w:marBottom w:val="0"/>
      <w:divBdr>
        <w:top w:val="none" w:sz="0" w:space="0" w:color="auto"/>
        <w:left w:val="none" w:sz="0" w:space="0" w:color="auto"/>
        <w:bottom w:val="none" w:sz="0" w:space="0" w:color="auto"/>
        <w:right w:val="none" w:sz="0" w:space="0" w:color="auto"/>
      </w:divBdr>
    </w:div>
    <w:div w:id="408887226">
      <w:bodyDiv w:val="1"/>
      <w:marLeft w:val="0"/>
      <w:marRight w:val="0"/>
      <w:marTop w:val="0"/>
      <w:marBottom w:val="0"/>
      <w:divBdr>
        <w:top w:val="none" w:sz="0" w:space="0" w:color="auto"/>
        <w:left w:val="none" w:sz="0" w:space="0" w:color="auto"/>
        <w:bottom w:val="none" w:sz="0" w:space="0" w:color="auto"/>
        <w:right w:val="none" w:sz="0" w:space="0" w:color="auto"/>
      </w:divBdr>
    </w:div>
    <w:div w:id="447891982">
      <w:bodyDiv w:val="1"/>
      <w:marLeft w:val="0"/>
      <w:marRight w:val="0"/>
      <w:marTop w:val="0"/>
      <w:marBottom w:val="0"/>
      <w:divBdr>
        <w:top w:val="none" w:sz="0" w:space="0" w:color="auto"/>
        <w:left w:val="none" w:sz="0" w:space="0" w:color="auto"/>
        <w:bottom w:val="none" w:sz="0" w:space="0" w:color="auto"/>
        <w:right w:val="none" w:sz="0" w:space="0" w:color="auto"/>
      </w:divBdr>
    </w:div>
    <w:div w:id="483743184">
      <w:bodyDiv w:val="1"/>
      <w:marLeft w:val="0"/>
      <w:marRight w:val="0"/>
      <w:marTop w:val="0"/>
      <w:marBottom w:val="0"/>
      <w:divBdr>
        <w:top w:val="none" w:sz="0" w:space="0" w:color="auto"/>
        <w:left w:val="none" w:sz="0" w:space="0" w:color="auto"/>
        <w:bottom w:val="none" w:sz="0" w:space="0" w:color="auto"/>
        <w:right w:val="none" w:sz="0" w:space="0" w:color="auto"/>
      </w:divBdr>
    </w:div>
    <w:div w:id="511837995">
      <w:bodyDiv w:val="1"/>
      <w:marLeft w:val="0"/>
      <w:marRight w:val="0"/>
      <w:marTop w:val="0"/>
      <w:marBottom w:val="0"/>
      <w:divBdr>
        <w:top w:val="none" w:sz="0" w:space="0" w:color="auto"/>
        <w:left w:val="none" w:sz="0" w:space="0" w:color="auto"/>
        <w:bottom w:val="none" w:sz="0" w:space="0" w:color="auto"/>
        <w:right w:val="none" w:sz="0" w:space="0" w:color="auto"/>
      </w:divBdr>
    </w:div>
    <w:div w:id="516651065">
      <w:bodyDiv w:val="1"/>
      <w:marLeft w:val="0"/>
      <w:marRight w:val="0"/>
      <w:marTop w:val="0"/>
      <w:marBottom w:val="0"/>
      <w:divBdr>
        <w:top w:val="none" w:sz="0" w:space="0" w:color="auto"/>
        <w:left w:val="none" w:sz="0" w:space="0" w:color="auto"/>
        <w:bottom w:val="none" w:sz="0" w:space="0" w:color="auto"/>
        <w:right w:val="none" w:sz="0" w:space="0" w:color="auto"/>
      </w:divBdr>
    </w:div>
    <w:div w:id="524833049">
      <w:bodyDiv w:val="1"/>
      <w:marLeft w:val="0"/>
      <w:marRight w:val="0"/>
      <w:marTop w:val="0"/>
      <w:marBottom w:val="0"/>
      <w:divBdr>
        <w:top w:val="none" w:sz="0" w:space="0" w:color="auto"/>
        <w:left w:val="none" w:sz="0" w:space="0" w:color="auto"/>
        <w:bottom w:val="none" w:sz="0" w:space="0" w:color="auto"/>
        <w:right w:val="none" w:sz="0" w:space="0" w:color="auto"/>
      </w:divBdr>
    </w:div>
    <w:div w:id="527911565">
      <w:bodyDiv w:val="1"/>
      <w:marLeft w:val="0"/>
      <w:marRight w:val="0"/>
      <w:marTop w:val="0"/>
      <w:marBottom w:val="0"/>
      <w:divBdr>
        <w:top w:val="none" w:sz="0" w:space="0" w:color="auto"/>
        <w:left w:val="none" w:sz="0" w:space="0" w:color="auto"/>
        <w:bottom w:val="none" w:sz="0" w:space="0" w:color="auto"/>
        <w:right w:val="none" w:sz="0" w:space="0" w:color="auto"/>
      </w:divBdr>
    </w:div>
    <w:div w:id="553657359">
      <w:bodyDiv w:val="1"/>
      <w:marLeft w:val="0"/>
      <w:marRight w:val="0"/>
      <w:marTop w:val="0"/>
      <w:marBottom w:val="0"/>
      <w:divBdr>
        <w:top w:val="none" w:sz="0" w:space="0" w:color="auto"/>
        <w:left w:val="none" w:sz="0" w:space="0" w:color="auto"/>
        <w:bottom w:val="none" w:sz="0" w:space="0" w:color="auto"/>
        <w:right w:val="none" w:sz="0" w:space="0" w:color="auto"/>
      </w:divBdr>
    </w:div>
    <w:div w:id="580532364">
      <w:bodyDiv w:val="1"/>
      <w:marLeft w:val="0"/>
      <w:marRight w:val="0"/>
      <w:marTop w:val="0"/>
      <w:marBottom w:val="0"/>
      <w:divBdr>
        <w:top w:val="none" w:sz="0" w:space="0" w:color="auto"/>
        <w:left w:val="none" w:sz="0" w:space="0" w:color="auto"/>
        <w:bottom w:val="none" w:sz="0" w:space="0" w:color="auto"/>
        <w:right w:val="none" w:sz="0" w:space="0" w:color="auto"/>
      </w:divBdr>
    </w:div>
    <w:div w:id="591353971">
      <w:bodyDiv w:val="1"/>
      <w:marLeft w:val="0"/>
      <w:marRight w:val="0"/>
      <w:marTop w:val="0"/>
      <w:marBottom w:val="0"/>
      <w:divBdr>
        <w:top w:val="none" w:sz="0" w:space="0" w:color="auto"/>
        <w:left w:val="none" w:sz="0" w:space="0" w:color="auto"/>
        <w:bottom w:val="none" w:sz="0" w:space="0" w:color="auto"/>
        <w:right w:val="none" w:sz="0" w:space="0" w:color="auto"/>
      </w:divBdr>
    </w:div>
    <w:div w:id="607588379">
      <w:bodyDiv w:val="1"/>
      <w:marLeft w:val="0"/>
      <w:marRight w:val="0"/>
      <w:marTop w:val="0"/>
      <w:marBottom w:val="0"/>
      <w:divBdr>
        <w:top w:val="none" w:sz="0" w:space="0" w:color="auto"/>
        <w:left w:val="none" w:sz="0" w:space="0" w:color="auto"/>
        <w:bottom w:val="none" w:sz="0" w:space="0" w:color="auto"/>
        <w:right w:val="none" w:sz="0" w:space="0" w:color="auto"/>
      </w:divBdr>
    </w:div>
    <w:div w:id="619068569">
      <w:bodyDiv w:val="1"/>
      <w:marLeft w:val="0"/>
      <w:marRight w:val="0"/>
      <w:marTop w:val="0"/>
      <w:marBottom w:val="0"/>
      <w:divBdr>
        <w:top w:val="none" w:sz="0" w:space="0" w:color="auto"/>
        <w:left w:val="none" w:sz="0" w:space="0" w:color="auto"/>
        <w:bottom w:val="none" w:sz="0" w:space="0" w:color="auto"/>
        <w:right w:val="none" w:sz="0" w:space="0" w:color="auto"/>
      </w:divBdr>
    </w:div>
    <w:div w:id="620574262">
      <w:bodyDiv w:val="1"/>
      <w:marLeft w:val="0"/>
      <w:marRight w:val="0"/>
      <w:marTop w:val="0"/>
      <w:marBottom w:val="0"/>
      <w:divBdr>
        <w:top w:val="none" w:sz="0" w:space="0" w:color="auto"/>
        <w:left w:val="none" w:sz="0" w:space="0" w:color="auto"/>
        <w:bottom w:val="none" w:sz="0" w:space="0" w:color="auto"/>
        <w:right w:val="none" w:sz="0" w:space="0" w:color="auto"/>
      </w:divBdr>
    </w:div>
    <w:div w:id="665548839">
      <w:bodyDiv w:val="1"/>
      <w:marLeft w:val="0"/>
      <w:marRight w:val="0"/>
      <w:marTop w:val="0"/>
      <w:marBottom w:val="0"/>
      <w:divBdr>
        <w:top w:val="none" w:sz="0" w:space="0" w:color="auto"/>
        <w:left w:val="none" w:sz="0" w:space="0" w:color="auto"/>
        <w:bottom w:val="none" w:sz="0" w:space="0" w:color="auto"/>
        <w:right w:val="none" w:sz="0" w:space="0" w:color="auto"/>
      </w:divBdr>
    </w:div>
    <w:div w:id="680739441">
      <w:bodyDiv w:val="1"/>
      <w:marLeft w:val="0"/>
      <w:marRight w:val="0"/>
      <w:marTop w:val="0"/>
      <w:marBottom w:val="0"/>
      <w:divBdr>
        <w:top w:val="none" w:sz="0" w:space="0" w:color="auto"/>
        <w:left w:val="none" w:sz="0" w:space="0" w:color="auto"/>
        <w:bottom w:val="none" w:sz="0" w:space="0" w:color="auto"/>
        <w:right w:val="none" w:sz="0" w:space="0" w:color="auto"/>
      </w:divBdr>
    </w:div>
    <w:div w:id="738284868">
      <w:bodyDiv w:val="1"/>
      <w:marLeft w:val="0"/>
      <w:marRight w:val="0"/>
      <w:marTop w:val="0"/>
      <w:marBottom w:val="0"/>
      <w:divBdr>
        <w:top w:val="none" w:sz="0" w:space="0" w:color="auto"/>
        <w:left w:val="none" w:sz="0" w:space="0" w:color="auto"/>
        <w:bottom w:val="none" w:sz="0" w:space="0" w:color="auto"/>
        <w:right w:val="none" w:sz="0" w:space="0" w:color="auto"/>
      </w:divBdr>
    </w:div>
    <w:div w:id="762184918">
      <w:bodyDiv w:val="1"/>
      <w:marLeft w:val="0"/>
      <w:marRight w:val="0"/>
      <w:marTop w:val="0"/>
      <w:marBottom w:val="0"/>
      <w:divBdr>
        <w:top w:val="none" w:sz="0" w:space="0" w:color="auto"/>
        <w:left w:val="none" w:sz="0" w:space="0" w:color="auto"/>
        <w:bottom w:val="none" w:sz="0" w:space="0" w:color="auto"/>
        <w:right w:val="none" w:sz="0" w:space="0" w:color="auto"/>
      </w:divBdr>
    </w:div>
    <w:div w:id="765425139">
      <w:bodyDiv w:val="1"/>
      <w:marLeft w:val="0"/>
      <w:marRight w:val="0"/>
      <w:marTop w:val="0"/>
      <w:marBottom w:val="0"/>
      <w:divBdr>
        <w:top w:val="none" w:sz="0" w:space="0" w:color="auto"/>
        <w:left w:val="none" w:sz="0" w:space="0" w:color="auto"/>
        <w:bottom w:val="none" w:sz="0" w:space="0" w:color="auto"/>
        <w:right w:val="none" w:sz="0" w:space="0" w:color="auto"/>
      </w:divBdr>
    </w:div>
    <w:div w:id="798188343">
      <w:bodyDiv w:val="1"/>
      <w:marLeft w:val="0"/>
      <w:marRight w:val="0"/>
      <w:marTop w:val="0"/>
      <w:marBottom w:val="0"/>
      <w:divBdr>
        <w:top w:val="none" w:sz="0" w:space="0" w:color="auto"/>
        <w:left w:val="none" w:sz="0" w:space="0" w:color="auto"/>
        <w:bottom w:val="none" w:sz="0" w:space="0" w:color="auto"/>
        <w:right w:val="none" w:sz="0" w:space="0" w:color="auto"/>
      </w:divBdr>
    </w:div>
    <w:div w:id="838425884">
      <w:bodyDiv w:val="1"/>
      <w:marLeft w:val="0"/>
      <w:marRight w:val="0"/>
      <w:marTop w:val="0"/>
      <w:marBottom w:val="0"/>
      <w:divBdr>
        <w:top w:val="none" w:sz="0" w:space="0" w:color="auto"/>
        <w:left w:val="none" w:sz="0" w:space="0" w:color="auto"/>
        <w:bottom w:val="none" w:sz="0" w:space="0" w:color="auto"/>
        <w:right w:val="none" w:sz="0" w:space="0" w:color="auto"/>
      </w:divBdr>
    </w:div>
    <w:div w:id="840511602">
      <w:bodyDiv w:val="1"/>
      <w:marLeft w:val="0"/>
      <w:marRight w:val="0"/>
      <w:marTop w:val="0"/>
      <w:marBottom w:val="0"/>
      <w:divBdr>
        <w:top w:val="none" w:sz="0" w:space="0" w:color="auto"/>
        <w:left w:val="none" w:sz="0" w:space="0" w:color="auto"/>
        <w:bottom w:val="none" w:sz="0" w:space="0" w:color="auto"/>
        <w:right w:val="none" w:sz="0" w:space="0" w:color="auto"/>
      </w:divBdr>
    </w:div>
    <w:div w:id="846139722">
      <w:bodyDiv w:val="1"/>
      <w:marLeft w:val="0"/>
      <w:marRight w:val="0"/>
      <w:marTop w:val="0"/>
      <w:marBottom w:val="0"/>
      <w:divBdr>
        <w:top w:val="none" w:sz="0" w:space="0" w:color="auto"/>
        <w:left w:val="none" w:sz="0" w:space="0" w:color="auto"/>
        <w:bottom w:val="none" w:sz="0" w:space="0" w:color="auto"/>
        <w:right w:val="none" w:sz="0" w:space="0" w:color="auto"/>
      </w:divBdr>
    </w:div>
    <w:div w:id="854853872">
      <w:bodyDiv w:val="1"/>
      <w:marLeft w:val="0"/>
      <w:marRight w:val="0"/>
      <w:marTop w:val="0"/>
      <w:marBottom w:val="0"/>
      <w:divBdr>
        <w:top w:val="none" w:sz="0" w:space="0" w:color="auto"/>
        <w:left w:val="none" w:sz="0" w:space="0" w:color="auto"/>
        <w:bottom w:val="none" w:sz="0" w:space="0" w:color="auto"/>
        <w:right w:val="none" w:sz="0" w:space="0" w:color="auto"/>
      </w:divBdr>
    </w:div>
    <w:div w:id="877427083">
      <w:bodyDiv w:val="1"/>
      <w:marLeft w:val="0"/>
      <w:marRight w:val="0"/>
      <w:marTop w:val="0"/>
      <w:marBottom w:val="0"/>
      <w:divBdr>
        <w:top w:val="none" w:sz="0" w:space="0" w:color="auto"/>
        <w:left w:val="none" w:sz="0" w:space="0" w:color="auto"/>
        <w:bottom w:val="none" w:sz="0" w:space="0" w:color="auto"/>
        <w:right w:val="none" w:sz="0" w:space="0" w:color="auto"/>
      </w:divBdr>
    </w:div>
    <w:div w:id="900748043">
      <w:bodyDiv w:val="1"/>
      <w:marLeft w:val="0"/>
      <w:marRight w:val="0"/>
      <w:marTop w:val="0"/>
      <w:marBottom w:val="0"/>
      <w:divBdr>
        <w:top w:val="none" w:sz="0" w:space="0" w:color="auto"/>
        <w:left w:val="none" w:sz="0" w:space="0" w:color="auto"/>
        <w:bottom w:val="none" w:sz="0" w:space="0" w:color="auto"/>
        <w:right w:val="none" w:sz="0" w:space="0" w:color="auto"/>
      </w:divBdr>
    </w:div>
    <w:div w:id="942760589">
      <w:bodyDiv w:val="1"/>
      <w:marLeft w:val="0"/>
      <w:marRight w:val="0"/>
      <w:marTop w:val="0"/>
      <w:marBottom w:val="0"/>
      <w:divBdr>
        <w:top w:val="none" w:sz="0" w:space="0" w:color="auto"/>
        <w:left w:val="none" w:sz="0" w:space="0" w:color="auto"/>
        <w:bottom w:val="none" w:sz="0" w:space="0" w:color="auto"/>
        <w:right w:val="none" w:sz="0" w:space="0" w:color="auto"/>
      </w:divBdr>
    </w:div>
    <w:div w:id="948395652">
      <w:bodyDiv w:val="1"/>
      <w:marLeft w:val="0"/>
      <w:marRight w:val="0"/>
      <w:marTop w:val="0"/>
      <w:marBottom w:val="0"/>
      <w:divBdr>
        <w:top w:val="none" w:sz="0" w:space="0" w:color="auto"/>
        <w:left w:val="none" w:sz="0" w:space="0" w:color="auto"/>
        <w:bottom w:val="none" w:sz="0" w:space="0" w:color="auto"/>
        <w:right w:val="none" w:sz="0" w:space="0" w:color="auto"/>
      </w:divBdr>
    </w:div>
    <w:div w:id="953488197">
      <w:bodyDiv w:val="1"/>
      <w:marLeft w:val="0"/>
      <w:marRight w:val="0"/>
      <w:marTop w:val="0"/>
      <w:marBottom w:val="0"/>
      <w:divBdr>
        <w:top w:val="none" w:sz="0" w:space="0" w:color="auto"/>
        <w:left w:val="none" w:sz="0" w:space="0" w:color="auto"/>
        <w:bottom w:val="none" w:sz="0" w:space="0" w:color="auto"/>
        <w:right w:val="none" w:sz="0" w:space="0" w:color="auto"/>
      </w:divBdr>
    </w:div>
    <w:div w:id="971712084">
      <w:bodyDiv w:val="1"/>
      <w:marLeft w:val="0"/>
      <w:marRight w:val="0"/>
      <w:marTop w:val="0"/>
      <w:marBottom w:val="0"/>
      <w:divBdr>
        <w:top w:val="none" w:sz="0" w:space="0" w:color="auto"/>
        <w:left w:val="none" w:sz="0" w:space="0" w:color="auto"/>
        <w:bottom w:val="none" w:sz="0" w:space="0" w:color="auto"/>
        <w:right w:val="none" w:sz="0" w:space="0" w:color="auto"/>
      </w:divBdr>
    </w:div>
    <w:div w:id="997154540">
      <w:bodyDiv w:val="1"/>
      <w:marLeft w:val="0"/>
      <w:marRight w:val="0"/>
      <w:marTop w:val="0"/>
      <w:marBottom w:val="0"/>
      <w:divBdr>
        <w:top w:val="none" w:sz="0" w:space="0" w:color="auto"/>
        <w:left w:val="none" w:sz="0" w:space="0" w:color="auto"/>
        <w:bottom w:val="none" w:sz="0" w:space="0" w:color="auto"/>
        <w:right w:val="none" w:sz="0" w:space="0" w:color="auto"/>
      </w:divBdr>
    </w:div>
    <w:div w:id="997341401">
      <w:bodyDiv w:val="1"/>
      <w:marLeft w:val="0"/>
      <w:marRight w:val="0"/>
      <w:marTop w:val="0"/>
      <w:marBottom w:val="0"/>
      <w:divBdr>
        <w:top w:val="none" w:sz="0" w:space="0" w:color="auto"/>
        <w:left w:val="none" w:sz="0" w:space="0" w:color="auto"/>
        <w:bottom w:val="none" w:sz="0" w:space="0" w:color="auto"/>
        <w:right w:val="none" w:sz="0" w:space="0" w:color="auto"/>
      </w:divBdr>
    </w:div>
    <w:div w:id="1024595625">
      <w:bodyDiv w:val="1"/>
      <w:marLeft w:val="0"/>
      <w:marRight w:val="0"/>
      <w:marTop w:val="0"/>
      <w:marBottom w:val="0"/>
      <w:divBdr>
        <w:top w:val="none" w:sz="0" w:space="0" w:color="auto"/>
        <w:left w:val="none" w:sz="0" w:space="0" w:color="auto"/>
        <w:bottom w:val="none" w:sz="0" w:space="0" w:color="auto"/>
        <w:right w:val="none" w:sz="0" w:space="0" w:color="auto"/>
      </w:divBdr>
    </w:div>
    <w:div w:id="1123498627">
      <w:bodyDiv w:val="1"/>
      <w:marLeft w:val="0"/>
      <w:marRight w:val="0"/>
      <w:marTop w:val="0"/>
      <w:marBottom w:val="0"/>
      <w:divBdr>
        <w:top w:val="none" w:sz="0" w:space="0" w:color="auto"/>
        <w:left w:val="none" w:sz="0" w:space="0" w:color="auto"/>
        <w:bottom w:val="none" w:sz="0" w:space="0" w:color="auto"/>
        <w:right w:val="none" w:sz="0" w:space="0" w:color="auto"/>
      </w:divBdr>
    </w:div>
    <w:div w:id="1146554174">
      <w:bodyDiv w:val="1"/>
      <w:marLeft w:val="0"/>
      <w:marRight w:val="0"/>
      <w:marTop w:val="0"/>
      <w:marBottom w:val="0"/>
      <w:divBdr>
        <w:top w:val="none" w:sz="0" w:space="0" w:color="auto"/>
        <w:left w:val="none" w:sz="0" w:space="0" w:color="auto"/>
        <w:bottom w:val="none" w:sz="0" w:space="0" w:color="auto"/>
        <w:right w:val="none" w:sz="0" w:space="0" w:color="auto"/>
      </w:divBdr>
    </w:div>
    <w:div w:id="1161777162">
      <w:bodyDiv w:val="1"/>
      <w:marLeft w:val="0"/>
      <w:marRight w:val="0"/>
      <w:marTop w:val="0"/>
      <w:marBottom w:val="0"/>
      <w:divBdr>
        <w:top w:val="none" w:sz="0" w:space="0" w:color="auto"/>
        <w:left w:val="none" w:sz="0" w:space="0" w:color="auto"/>
        <w:bottom w:val="none" w:sz="0" w:space="0" w:color="auto"/>
        <w:right w:val="none" w:sz="0" w:space="0" w:color="auto"/>
      </w:divBdr>
    </w:div>
    <w:div w:id="1166633620">
      <w:bodyDiv w:val="1"/>
      <w:marLeft w:val="0"/>
      <w:marRight w:val="0"/>
      <w:marTop w:val="0"/>
      <w:marBottom w:val="0"/>
      <w:divBdr>
        <w:top w:val="none" w:sz="0" w:space="0" w:color="auto"/>
        <w:left w:val="none" w:sz="0" w:space="0" w:color="auto"/>
        <w:bottom w:val="none" w:sz="0" w:space="0" w:color="auto"/>
        <w:right w:val="none" w:sz="0" w:space="0" w:color="auto"/>
      </w:divBdr>
    </w:div>
    <w:div w:id="1200625397">
      <w:bodyDiv w:val="1"/>
      <w:marLeft w:val="0"/>
      <w:marRight w:val="0"/>
      <w:marTop w:val="0"/>
      <w:marBottom w:val="0"/>
      <w:divBdr>
        <w:top w:val="none" w:sz="0" w:space="0" w:color="auto"/>
        <w:left w:val="none" w:sz="0" w:space="0" w:color="auto"/>
        <w:bottom w:val="none" w:sz="0" w:space="0" w:color="auto"/>
        <w:right w:val="none" w:sz="0" w:space="0" w:color="auto"/>
      </w:divBdr>
    </w:div>
    <w:div w:id="1210459241">
      <w:bodyDiv w:val="1"/>
      <w:marLeft w:val="0"/>
      <w:marRight w:val="0"/>
      <w:marTop w:val="0"/>
      <w:marBottom w:val="0"/>
      <w:divBdr>
        <w:top w:val="none" w:sz="0" w:space="0" w:color="auto"/>
        <w:left w:val="none" w:sz="0" w:space="0" w:color="auto"/>
        <w:bottom w:val="none" w:sz="0" w:space="0" w:color="auto"/>
        <w:right w:val="none" w:sz="0" w:space="0" w:color="auto"/>
      </w:divBdr>
    </w:div>
    <w:div w:id="1214193035">
      <w:bodyDiv w:val="1"/>
      <w:marLeft w:val="0"/>
      <w:marRight w:val="0"/>
      <w:marTop w:val="0"/>
      <w:marBottom w:val="0"/>
      <w:divBdr>
        <w:top w:val="none" w:sz="0" w:space="0" w:color="auto"/>
        <w:left w:val="none" w:sz="0" w:space="0" w:color="auto"/>
        <w:bottom w:val="none" w:sz="0" w:space="0" w:color="auto"/>
        <w:right w:val="none" w:sz="0" w:space="0" w:color="auto"/>
      </w:divBdr>
    </w:div>
    <w:div w:id="1243636978">
      <w:bodyDiv w:val="1"/>
      <w:marLeft w:val="0"/>
      <w:marRight w:val="0"/>
      <w:marTop w:val="0"/>
      <w:marBottom w:val="0"/>
      <w:divBdr>
        <w:top w:val="none" w:sz="0" w:space="0" w:color="auto"/>
        <w:left w:val="none" w:sz="0" w:space="0" w:color="auto"/>
        <w:bottom w:val="none" w:sz="0" w:space="0" w:color="auto"/>
        <w:right w:val="none" w:sz="0" w:space="0" w:color="auto"/>
      </w:divBdr>
    </w:div>
    <w:div w:id="1260455283">
      <w:bodyDiv w:val="1"/>
      <w:marLeft w:val="0"/>
      <w:marRight w:val="0"/>
      <w:marTop w:val="0"/>
      <w:marBottom w:val="0"/>
      <w:divBdr>
        <w:top w:val="none" w:sz="0" w:space="0" w:color="auto"/>
        <w:left w:val="none" w:sz="0" w:space="0" w:color="auto"/>
        <w:bottom w:val="none" w:sz="0" w:space="0" w:color="auto"/>
        <w:right w:val="none" w:sz="0" w:space="0" w:color="auto"/>
      </w:divBdr>
    </w:div>
    <w:div w:id="1271471075">
      <w:bodyDiv w:val="1"/>
      <w:marLeft w:val="0"/>
      <w:marRight w:val="0"/>
      <w:marTop w:val="0"/>
      <w:marBottom w:val="0"/>
      <w:divBdr>
        <w:top w:val="none" w:sz="0" w:space="0" w:color="auto"/>
        <w:left w:val="none" w:sz="0" w:space="0" w:color="auto"/>
        <w:bottom w:val="none" w:sz="0" w:space="0" w:color="auto"/>
        <w:right w:val="none" w:sz="0" w:space="0" w:color="auto"/>
      </w:divBdr>
    </w:div>
    <w:div w:id="1283881385">
      <w:bodyDiv w:val="1"/>
      <w:marLeft w:val="0"/>
      <w:marRight w:val="0"/>
      <w:marTop w:val="0"/>
      <w:marBottom w:val="0"/>
      <w:divBdr>
        <w:top w:val="none" w:sz="0" w:space="0" w:color="auto"/>
        <w:left w:val="none" w:sz="0" w:space="0" w:color="auto"/>
        <w:bottom w:val="none" w:sz="0" w:space="0" w:color="auto"/>
        <w:right w:val="none" w:sz="0" w:space="0" w:color="auto"/>
      </w:divBdr>
    </w:div>
    <w:div w:id="1289973743">
      <w:bodyDiv w:val="1"/>
      <w:marLeft w:val="0"/>
      <w:marRight w:val="0"/>
      <w:marTop w:val="0"/>
      <w:marBottom w:val="0"/>
      <w:divBdr>
        <w:top w:val="none" w:sz="0" w:space="0" w:color="auto"/>
        <w:left w:val="none" w:sz="0" w:space="0" w:color="auto"/>
        <w:bottom w:val="none" w:sz="0" w:space="0" w:color="auto"/>
        <w:right w:val="none" w:sz="0" w:space="0" w:color="auto"/>
      </w:divBdr>
    </w:div>
    <w:div w:id="1293438543">
      <w:bodyDiv w:val="1"/>
      <w:marLeft w:val="0"/>
      <w:marRight w:val="0"/>
      <w:marTop w:val="0"/>
      <w:marBottom w:val="0"/>
      <w:divBdr>
        <w:top w:val="none" w:sz="0" w:space="0" w:color="auto"/>
        <w:left w:val="none" w:sz="0" w:space="0" w:color="auto"/>
        <w:bottom w:val="none" w:sz="0" w:space="0" w:color="auto"/>
        <w:right w:val="none" w:sz="0" w:space="0" w:color="auto"/>
      </w:divBdr>
    </w:div>
    <w:div w:id="1336349263">
      <w:bodyDiv w:val="1"/>
      <w:marLeft w:val="0"/>
      <w:marRight w:val="0"/>
      <w:marTop w:val="0"/>
      <w:marBottom w:val="0"/>
      <w:divBdr>
        <w:top w:val="none" w:sz="0" w:space="0" w:color="auto"/>
        <w:left w:val="none" w:sz="0" w:space="0" w:color="auto"/>
        <w:bottom w:val="none" w:sz="0" w:space="0" w:color="auto"/>
        <w:right w:val="none" w:sz="0" w:space="0" w:color="auto"/>
      </w:divBdr>
    </w:div>
    <w:div w:id="1364750495">
      <w:bodyDiv w:val="1"/>
      <w:marLeft w:val="0"/>
      <w:marRight w:val="0"/>
      <w:marTop w:val="0"/>
      <w:marBottom w:val="0"/>
      <w:divBdr>
        <w:top w:val="none" w:sz="0" w:space="0" w:color="auto"/>
        <w:left w:val="none" w:sz="0" w:space="0" w:color="auto"/>
        <w:bottom w:val="none" w:sz="0" w:space="0" w:color="auto"/>
        <w:right w:val="none" w:sz="0" w:space="0" w:color="auto"/>
      </w:divBdr>
    </w:div>
    <w:div w:id="1371799833">
      <w:bodyDiv w:val="1"/>
      <w:marLeft w:val="0"/>
      <w:marRight w:val="0"/>
      <w:marTop w:val="0"/>
      <w:marBottom w:val="0"/>
      <w:divBdr>
        <w:top w:val="none" w:sz="0" w:space="0" w:color="auto"/>
        <w:left w:val="none" w:sz="0" w:space="0" w:color="auto"/>
        <w:bottom w:val="none" w:sz="0" w:space="0" w:color="auto"/>
        <w:right w:val="none" w:sz="0" w:space="0" w:color="auto"/>
      </w:divBdr>
    </w:div>
    <w:div w:id="1376200686">
      <w:bodyDiv w:val="1"/>
      <w:marLeft w:val="0"/>
      <w:marRight w:val="0"/>
      <w:marTop w:val="0"/>
      <w:marBottom w:val="0"/>
      <w:divBdr>
        <w:top w:val="none" w:sz="0" w:space="0" w:color="auto"/>
        <w:left w:val="none" w:sz="0" w:space="0" w:color="auto"/>
        <w:bottom w:val="none" w:sz="0" w:space="0" w:color="auto"/>
        <w:right w:val="none" w:sz="0" w:space="0" w:color="auto"/>
      </w:divBdr>
    </w:div>
    <w:div w:id="1389495942">
      <w:bodyDiv w:val="1"/>
      <w:marLeft w:val="0"/>
      <w:marRight w:val="0"/>
      <w:marTop w:val="0"/>
      <w:marBottom w:val="0"/>
      <w:divBdr>
        <w:top w:val="none" w:sz="0" w:space="0" w:color="auto"/>
        <w:left w:val="none" w:sz="0" w:space="0" w:color="auto"/>
        <w:bottom w:val="none" w:sz="0" w:space="0" w:color="auto"/>
        <w:right w:val="none" w:sz="0" w:space="0" w:color="auto"/>
      </w:divBdr>
    </w:div>
    <w:div w:id="1397897780">
      <w:bodyDiv w:val="1"/>
      <w:marLeft w:val="0"/>
      <w:marRight w:val="0"/>
      <w:marTop w:val="0"/>
      <w:marBottom w:val="0"/>
      <w:divBdr>
        <w:top w:val="none" w:sz="0" w:space="0" w:color="auto"/>
        <w:left w:val="none" w:sz="0" w:space="0" w:color="auto"/>
        <w:bottom w:val="none" w:sz="0" w:space="0" w:color="auto"/>
        <w:right w:val="none" w:sz="0" w:space="0" w:color="auto"/>
      </w:divBdr>
    </w:div>
    <w:div w:id="1441223519">
      <w:bodyDiv w:val="1"/>
      <w:marLeft w:val="0"/>
      <w:marRight w:val="0"/>
      <w:marTop w:val="0"/>
      <w:marBottom w:val="0"/>
      <w:divBdr>
        <w:top w:val="none" w:sz="0" w:space="0" w:color="auto"/>
        <w:left w:val="none" w:sz="0" w:space="0" w:color="auto"/>
        <w:bottom w:val="none" w:sz="0" w:space="0" w:color="auto"/>
        <w:right w:val="none" w:sz="0" w:space="0" w:color="auto"/>
      </w:divBdr>
    </w:div>
    <w:div w:id="1444570534">
      <w:bodyDiv w:val="1"/>
      <w:marLeft w:val="0"/>
      <w:marRight w:val="0"/>
      <w:marTop w:val="0"/>
      <w:marBottom w:val="0"/>
      <w:divBdr>
        <w:top w:val="none" w:sz="0" w:space="0" w:color="auto"/>
        <w:left w:val="none" w:sz="0" w:space="0" w:color="auto"/>
        <w:bottom w:val="none" w:sz="0" w:space="0" w:color="auto"/>
        <w:right w:val="none" w:sz="0" w:space="0" w:color="auto"/>
      </w:divBdr>
    </w:div>
    <w:div w:id="1452555997">
      <w:bodyDiv w:val="1"/>
      <w:marLeft w:val="0"/>
      <w:marRight w:val="0"/>
      <w:marTop w:val="0"/>
      <w:marBottom w:val="0"/>
      <w:divBdr>
        <w:top w:val="none" w:sz="0" w:space="0" w:color="auto"/>
        <w:left w:val="none" w:sz="0" w:space="0" w:color="auto"/>
        <w:bottom w:val="none" w:sz="0" w:space="0" w:color="auto"/>
        <w:right w:val="none" w:sz="0" w:space="0" w:color="auto"/>
      </w:divBdr>
    </w:div>
    <w:div w:id="1458766423">
      <w:bodyDiv w:val="1"/>
      <w:marLeft w:val="0"/>
      <w:marRight w:val="0"/>
      <w:marTop w:val="0"/>
      <w:marBottom w:val="0"/>
      <w:divBdr>
        <w:top w:val="none" w:sz="0" w:space="0" w:color="auto"/>
        <w:left w:val="none" w:sz="0" w:space="0" w:color="auto"/>
        <w:bottom w:val="none" w:sz="0" w:space="0" w:color="auto"/>
        <w:right w:val="none" w:sz="0" w:space="0" w:color="auto"/>
      </w:divBdr>
    </w:div>
    <w:div w:id="1473477592">
      <w:bodyDiv w:val="1"/>
      <w:marLeft w:val="0"/>
      <w:marRight w:val="0"/>
      <w:marTop w:val="0"/>
      <w:marBottom w:val="0"/>
      <w:divBdr>
        <w:top w:val="none" w:sz="0" w:space="0" w:color="auto"/>
        <w:left w:val="none" w:sz="0" w:space="0" w:color="auto"/>
        <w:bottom w:val="none" w:sz="0" w:space="0" w:color="auto"/>
        <w:right w:val="none" w:sz="0" w:space="0" w:color="auto"/>
      </w:divBdr>
    </w:div>
    <w:div w:id="1499418632">
      <w:bodyDiv w:val="1"/>
      <w:marLeft w:val="0"/>
      <w:marRight w:val="0"/>
      <w:marTop w:val="0"/>
      <w:marBottom w:val="0"/>
      <w:divBdr>
        <w:top w:val="none" w:sz="0" w:space="0" w:color="auto"/>
        <w:left w:val="none" w:sz="0" w:space="0" w:color="auto"/>
        <w:bottom w:val="none" w:sz="0" w:space="0" w:color="auto"/>
        <w:right w:val="none" w:sz="0" w:space="0" w:color="auto"/>
      </w:divBdr>
    </w:div>
    <w:div w:id="1512255117">
      <w:bodyDiv w:val="1"/>
      <w:marLeft w:val="0"/>
      <w:marRight w:val="0"/>
      <w:marTop w:val="0"/>
      <w:marBottom w:val="0"/>
      <w:divBdr>
        <w:top w:val="none" w:sz="0" w:space="0" w:color="auto"/>
        <w:left w:val="none" w:sz="0" w:space="0" w:color="auto"/>
        <w:bottom w:val="none" w:sz="0" w:space="0" w:color="auto"/>
        <w:right w:val="none" w:sz="0" w:space="0" w:color="auto"/>
      </w:divBdr>
    </w:div>
    <w:div w:id="1532720436">
      <w:bodyDiv w:val="1"/>
      <w:marLeft w:val="0"/>
      <w:marRight w:val="0"/>
      <w:marTop w:val="0"/>
      <w:marBottom w:val="0"/>
      <w:divBdr>
        <w:top w:val="none" w:sz="0" w:space="0" w:color="auto"/>
        <w:left w:val="none" w:sz="0" w:space="0" w:color="auto"/>
        <w:bottom w:val="none" w:sz="0" w:space="0" w:color="auto"/>
        <w:right w:val="none" w:sz="0" w:space="0" w:color="auto"/>
      </w:divBdr>
    </w:div>
    <w:div w:id="1536692132">
      <w:bodyDiv w:val="1"/>
      <w:marLeft w:val="0"/>
      <w:marRight w:val="0"/>
      <w:marTop w:val="0"/>
      <w:marBottom w:val="0"/>
      <w:divBdr>
        <w:top w:val="none" w:sz="0" w:space="0" w:color="auto"/>
        <w:left w:val="none" w:sz="0" w:space="0" w:color="auto"/>
        <w:bottom w:val="none" w:sz="0" w:space="0" w:color="auto"/>
        <w:right w:val="none" w:sz="0" w:space="0" w:color="auto"/>
      </w:divBdr>
    </w:div>
    <w:div w:id="1539512332">
      <w:bodyDiv w:val="1"/>
      <w:marLeft w:val="0"/>
      <w:marRight w:val="0"/>
      <w:marTop w:val="0"/>
      <w:marBottom w:val="0"/>
      <w:divBdr>
        <w:top w:val="none" w:sz="0" w:space="0" w:color="auto"/>
        <w:left w:val="none" w:sz="0" w:space="0" w:color="auto"/>
        <w:bottom w:val="none" w:sz="0" w:space="0" w:color="auto"/>
        <w:right w:val="none" w:sz="0" w:space="0" w:color="auto"/>
      </w:divBdr>
    </w:div>
    <w:div w:id="1543397148">
      <w:bodyDiv w:val="1"/>
      <w:marLeft w:val="0"/>
      <w:marRight w:val="0"/>
      <w:marTop w:val="0"/>
      <w:marBottom w:val="0"/>
      <w:divBdr>
        <w:top w:val="none" w:sz="0" w:space="0" w:color="auto"/>
        <w:left w:val="none" w:sz="0" w:space="0" w:color="auto"/>
        <w:bottom w:val="none" w:sz="0" w:space="0" w:color="auto"/>
        <w:right w:val="none" w:sz="0" w:space="0" w:color="auto"/>
      </w:divBdr>
    </w:div>
    <w:div w:id="1569146119">
      <w:bodyDiv w:val="1"/>
      <w:marLeft w:val="0"/>
      <w:marRight w:val="0"/>
      <w:marTop w:val="0"/>
      <w:marBottom w:val="0"/>
      <w:divBdr>
        <w:top w:val="none" w:sz="0" w:space="0" w:color="auto"/>
        <w:left w:val="none" w:sz="0" w:space="0" w:color="auto"/>
        <w:bottom w:val="none" w:sz="0" w:space="0" w:color="auto"/>
        <w:right w:val="none" w:sz="0" w:space="0" w:color="auto"/>
      </w:divBdr>
    </w:div>
    <w:div w:id="1583832504">
      <w:bodyDiv w:val="1"/>
      <w:marLeft w:val="0"/>
      <w:marRight w:val="0"/>
      <w:marTop w:val="0"/>
      <w:marBottom w:val="0"/>
      <w:divBdr>
        <w:top w:val="none" w:sz="0" w:space="0" w:color="auto"/>
        <w:left w:val="none" w:sz="0" w:space="0" w:color="auto"/>
        <w:bottom w:val="none" w:sz="0" w:space="0" w:color="auto"/>
        <w:right w:val="none" w:sz="0" w:space="0" w:color="auto"/>
      </w:divBdr>
    </w:div>
    <w:div w:id="1587767466">
      <w:bodyDiv w:val="1"/>
      <w:marLeft w:val="0"/>
      <w:marRight w:val="0"/>
      <w:marTop w:val="0"/>
      <w:marBottom w:val="0"/>
      <w:divBdr>
        <w:top w:val="none" w:sz="0" w:space="0" w:color="auto"/>
        <w:left w:val="none" w:sz="0" w:space="0" w:color="auto"/>
        <w:bottom w:val="none" w:sz="0" w:space="0" w:color="auto"/>
        <w:right w:val="none" w:sz="0" w:space="0" w:color="auto"/>
      </w:divBdr>
    </w:div>
    <w:div w:id="1591546221">
      <w:bodyDiv w:val="1"/>
      <w:marLeft w:val="0"/>
      <w:marRight w:val="0"/>
      <w:marTop w:val="0"/>
      <w:marBottom w:val="0"/>
      <w:divBdr>
        <w:top w:val="none" w:sz="0" w:space="0" w:color="auto"/>
        <w:left w:val="none" w:sz="0" w:space="0" w:color="auto"/>
        <w:bottom w:val="none" w:sz="0" w:space="0" w:color="auto"/>
        <w:right w:val="none" w:sz="0" w:space="0" w:color="auto"/>
      </w:divBdr>
    </w:div>
    <w:div w:id="1592542914">
      <w:bodyDiv w:val="1"/>
      <w:marLeft w:val="0"/>
      <w:marRight w:val="0"/>
      <w:marTop w:val="0"/>
      <w:marBottom w:val="0"/>
      <w:divBdr>
        <w:top w:val="none" w:sz="0" w:space="0" w:color="auto"/>
        <w:left w:val="none" w:sz="0" w:space="0" w:color="auto"/>
        <w:bottom w:val="none" w:sz="0" w:space="0" w:color="auto"/>
        <w:right w:val="none" w:sz="0" w:space="0" w:color="auto"/>
      </w:divBdr>
    </w:div>
    <w:div w:id="1618901504">
      <w:bodyDiv w:val="1"/>
      <w:marLeft w:val="0"/>
      <w:marRight w:val="0"/>
      <w:marTop w:val="0"/>
      <w:marBottom w:val="0"/>
      <w:divBdr>
        <w:top w:val="none" w:sz="0" w:space="0" w:color="auto"/>
        <w:left w:val="none" w:sz="0" w:space="0" w:color="auto"/>
        <w:bottom w:val="none" w:sz="0" w:space="0" w:color="auto"/>
        <w:right w:val="none" w:sz="0" w:space="0" w:color="auto"/>
      </w:divBdr>
    </w:div>
    <w:div w:id="1670599791">
      <w:bodyDiv w:val="1"/>
      <w:marLeft w:val="0"/>
      <w:marRight w:val="0"/>
      <w:marTop w:val="0"/>
      <w:marBottom w:val="0"/>
      <w:divBdr>
        <w:top w:val="none" w:sz="0" w:space="0" w:color="auto"/>
        <w:left w:val="none" w:sz="0" w:space="0" w:color="auto"/>
        <w:bottom w:val="none" w:sz="0" w:space="0" w:color="auto"/>
        <w:right w:val="none" w:sz="0" w:space="0" w:color="auto"/>
      </w:divBdr>
    </w:div>
    <w:div w:id="1690795617">
      <w:bodyDiv w:val="1"/>
      <w:marLeft w:val="0"/>
      <w:marRight w:val="0"/>
      <w:marTop w:val="0"/>
      <w:marBottom w:val="0"/>
      <w:divBdr>
        <w:top w:val="none" w:sz="0" w:space="0" w:color="auto"/>
        <w:left w:val="none" w:sz="0" w:space="0" w:color="auto"/>
        <w:bottom w:val="none" w:sz="0" w:space="0" w:color="auto"/>
        <w:right w:val="none" w:sz="0" w:space="0" w:color="auto"/>
      </w:divBdr>
    </w:div>
    <w:div w:id="1705713022">
      <w:bodyDiv w:val="1"/>
      <w:marLeft w:val="0"/>
      <w:marRight w:val="0"/>
      <w:marTop w:val="0"/>
      <w:marBottom w:val="0"/>
      <w:divBdr>
        <w:top w:val="none" w:sz="0" w:space="0" w:color="auto"/>
        <w:left w:val="none" w:sz="0" w:space="0" w:color="auto"/>
        <w:bottom w:val="none" w:sz="0" w:space="0" w:color="auto"/>
        <w:right w:val="none" w:sz="0" w:space="0" w:color="auto"/>
      </w:divBdr>
    </w:div>
    <w:div w:id="1721322545">
      <w:bodyDiv w:val="1"/>
      <w:marLeft w:val="0"/>
      <w:marRight w:val="0"/>
      <w:marTop w:val="0"/>
      <w:marBottom w:val="0"/>
      <w:divBdr>
        <w:top w:val="none" w:sz="0" w:space="0" w:color="auto"/>
        <w:left w:val="none" w:sz="0" w:space="0" w:color="auto"/>
        <w:bottom w:val="none" w:sz="0" w:space="0" w:color="auto"/>
        <w:right w:val="none" w:sz="0" w:space="0" w:color="auto"/>
      </w:divBdr>
    </w:div>
    <w:div w:id="1735086136">
      <w:bodyDiv w:val="1"/>
      <w:marLeft w:val="0"/>
      <w:marRight w:val="0"/>
      <w:marTop w:val="0"/>
      <w:marBottom w:val="0"/>
      <w:divBdr>
        <w:top w:val="none" w:sz="0" w:space="0" w:color="auto"/>
        <w:left w:val="none" w:sz="0" w:space="0" w:color="auto"/>
        <w:bottom w:val="none" w:sz="0" w:space="0" w:color="auto"/>
        <w:right w:val="none" w:sz="0" w:space="0" w:color="auto"/>
      </w:divBdr>
    </w:div>
    <w:div w:id="1736510159">
      <w:bodyDiv w:val="1"/>
      <w:marLeft w:val="0"/>
      <w:marRight w:val="0"/>
      <w:marTop w:val="0"/>
      <w:marBottom w:val="0"/>
      <w:divBdr>
        <w:top w:val="none" w:sz="0" w:space="0" w:color="auto"/>
        <w:left w:val="none" w:sz="0" w:space="0" w:color="auto"/>
        <w:bottom w:val="none" w:sz="0" w:space="0" w:color="auto"/>
        <w:right w:val="none" w:sz="0" w:space="0" w:color="auto"/>
      </w:divBdr>
    </w:div>
    <w:div w:id="1755515312">
      <w:bodyDiv w:val="1"/>
      <w:marLeft w:val="0"/>
      <w:marRight w:val="0"/>
      <w:marTop w:val="0"/>
      <w:marBottom w:val="0"/>
      <w:divBdr>
        <w:top w:val="none" w:sz="0" w:space="0" w:color="auto"/>
        <w:left w:val="none" w:sz="0" w:space="0" w:color="auto"/>
        <w:bottom w:val="none" w:sz="0" w:space="0" w:color="auto"/>
        <w:right w:val="none" w:sz="0" w:space="0" w:color="auto"/>
      </w:divBdr>
    </w:div>
    <w:div w:id="1755588825">
      <w:bodyDiv w:val="1"/>
      <w:marLeft w:val="0"/>
      <w:marRight w:val="0"/>
      <w:marTop w:val="0"/>
      <w:marBottom w:val="0"/>
      <w:divBdr>
        <w:top w:val="none" w:sz="0" w:space="0" w:color="auto"/>
        <w:left w:val="none" w:sz="0" w:space="0" w:color="auto"/>
        <w:bottom w:val="none" w:sz="0" w:space="0" w:color="auto"/>
        <w:right w:val="none" w:sz="0" w:space="0" w:color="auto"/>
      </w:divBdr>
    </w:div>
    <w:div w:id="1782720264">
      <w:bodyDiv w:val="1"/>
      <w:marLeft w:val="0"/>
      <w:marRight w:val="0"/>
      <w:marTop w:val="0"/>
      <w:marBottom w:val="0"/>
      <w:divBdr>
        <w:top w:val="none" w:sz="0" w:space="0" w:color="auto"/>
        <w:left w:val="none" w:sz="0" w:space="0" w:color="auto"/>
        <w:bottom w:val="none" w:sz="0" w:space="0" w:color="auto"/>
        <w:right w:val="none" w:sz="0" w:space="0" w:color="auto"/>
      </w:divBdr>
    </w:div>
    <w:div w:id="1809661942">
      <w:bodyDiv w:val="1"/>
      <w:marLeft w:val="0"/>
      <w:marRight w:val="0"/>
      <w:marTop w:val="0"/>
      <w:marBottom w:val="0"/>
      <w:divBdr>
        <w:top w:val="none" w:sz="0" w:space="0" w:color="auto"/>
        <w:left w:val="none" w:sz="0" w:space="0" w:color="auto"/>
        <w:bottom w:val="none" w:sz="0" w:space="0" w:color="auto"/>
        <w:right w:val="none" w:sz="0" w:space="0" w:color="auto"/>
      </w:divBdr>
    </w:div>
    <w:div w:id="1836341976">
      <w:bodyDiv w:val="1"/>
      <w:marLeft w:val="0"/>
      <w:marRight w:val="0"/>
      <w:marTop w:val="0"/>
      <w:marBottom w:val="0"/>
      <w:divBdr>
        <w:top w:val="none" w:sz="0" w:space="0" w:color="auto"/>
        <w:left w:val="none" w:sz="0" w:space="0" w:color="auto"/>
        <w:bottom w:val="none" w:sz="0" w:space="0" w:color="auto"/>
        <w:right w:val="none" w:sz="0" w:space="0" w:color="auto"/>
      </w:divBdr>
    </w:div>
    <w:div w:id="1840383880">
      <w:bodyDiv w:val="1"/>
      <w:marLeft w:val="0"/>
      <w:marRight w:val="0"/>
      <w:marTop w:val="0"/>
      <w:marBottom w:val="0"/>
      <w:divBdr>
        <w:top w:val="none" w:sz="0" w:space="0" w:color="auto"/>
        <w:left w:val="none" w:sz="0" w:space="0" w:color="auto"/>
        <w:bottom w:val="none" w:sz="0" w:space="0" w:color="auto"/>
        <w:right w:val="none" w:sz="0" w:space="0" w:color="auto"/>
      </w:divBdr>
    </w:div>
    <w:div w:id="1859536766">
      <w:bodyDiv w:val="1"/>
      <w:marLeft w:val="0"/>
      <w:marRight w:val="0"/>
      <w:marTop w:val="0"/>
      <w:marBottom w:val="0"/>
      <w:divBdr>
        <w:top w:val="none" w:sz="0" w:space="0" w:color="auto"/>
        <w:left w:val="none" w:sz="0" w:space="0" w:color="auto"/>
        <w:bottom w:val="none" w:sz="0" w:space="0" w:color="auto"/>
        <w:right w:val="none" w:sz="0" w:space="0" w:color="auto"/>
      </w:divBdr>
    </w:div>
    <w:div w:id="1867600539">
      <w:bodyDiv w:val="1"/>
      <w:marLeft w:val="0"/>
      <w:marRight w:val="0"/>
      <w:marTop w:val="0"/>
      <w:marBottom w:val="0"/>
      <w:divBdr>
        <w:top w:val="none" w:sz="0" w:space="0" w:color="auto"/>
        <w:left w:val="none" w:sz="0" w:space="0" w:color="auto"/>
        <w:bottom w:val="none" w:sz="0" w:space="0" w:color="auto"/>
        <w:right w:val="none" w:sz="0" w:space="0" w:color="auto"/>
      </w:divBdr>
    </w:div>
    <w:div w:id="1871609053">
      <w:bodyDiv w:val="1"/>
      <w:marLeft w:val="0"/>
      <w:marRight w:val="0"/>
      <w:marTop w:val="0"/>
      <w:marBottom w:val="0"/>
      <w:divBdr>
        <w:top w:val="none" w:sz="0" w:space="0" w:color="auto"/>
        <w:left w:val="none" w:sz="0" w:space="0" w:color="auto"/>
        <w:bottom w:val="none" w:sz="0" w:space="0" w:color="auto"/>
        <w:right w:val="none" w:sz="0" w:space="0" w:color="auto"/>
      </w:divBdr>
    </w:div>
    <w:div w:id="1922524510">
      <w:bodyDiv w:val="1"/>
      <w:marLeft w:val="0"/>
      <w:marRight w:val="0"/>
      <w:marTop w:val="0"/>
      <w:marBottom w:val="0"/>
      <w:divBdr>
        <w:top w:val="none" w:sz="0" w:space="0" w:color="auto"/>
        <w:left w:val="none" w:sz="0" w:space="0" w:color="auto"/>
        <w:bottom w:val="none" w:sz="0" w:space="0" w:color="auto"/>
        <w:right w:val="none" w:sz="0" w:space="0" w:color="auto"/>
      </w:divBdr>
    </w:div>
    <w:div w:id="1931116129">
      <w:bodyDiv w:val="1"/>
      <w:marLeft w:val="0"/>
      <w:marRight w:val="0"/>
      <w:marTop w:val="0"/>
      <w:marBottom w:val="0"/>
      <w:divBdr>
        <w:top w:val="none" w:sz="0" w:space="0" w:color="auto"/>
        <w:left w:val="none" w:sz="0" w:space="0" w:color="auto"/>
        <w:bottom w:val="none" w:sz="0" w:space="0" w:color="auto"/>
        <w:right w:val="none" w:sz="0" w:space="0" w:color="auto"/>
      </w:divBdr>
    </w:div>
    <w:div w:id="1977562323">
      <w:bodyDiv w:val="1"/>
      <w:marLeft w:val="0"/>
      <w:marRight w:val="0"/>
      <w:marTop w:val="0"/>
      <w:marBottom w:val="0"/>
      <w:divBdr>
        <w:top w:val="none" w:sz="0" w:space="0" w:color="auto"/>
        <w:left w:val="none" w:sz="0" w:space="0" w:color="auto"/>
        <w:bottom w:val="none" w:sz="0" w:space="0" w:color="auto"/>
        <w:right w:val="none" w:sz="0" w:space="0" w:color="auto"/>
      </w:divBdr>
    </w:div>
    <w:div w:id="1999453848">
      <w:bodyDiv w:val="1"/>
      <w:marLeft w:val="0"/>
      <w:marRight w:val="0"/>
      <w:marTop w:val="0"/>
      <w:marBottom w:val="0"/>
      <w:divBdr>
        <w:top w:val="none" w:sz="0" w:space="0" w:color="auto"/>
        <w:left w:val="none" w:sz="0" w:space="0" w:color="auto"/>
        <w:bottom w:val="none" w:sz="0" w:space="0" w:color="auto"/>
        <w:right w:val="none" w:sz="0" w:space="0" w:color="auto"/>
      </w:divBdr>
    </w:div>
    <w:div w:id="2017345749">
      <w:bodyDiv w:val="1"/>
      <w:marLeft w:val="0"/>
      <w:marRight w:val="0"/>
      <w:marTop w:val="0"/>
      <w:marBottom w:val="0"/>
      <w:divBdr>
        <w:top w:val="none" w:sz="0" w:space="0" w:color="auto"/>
        <w:left w:val="none" w:sz="0" w:space="0" w:color="auto"/>
        <w:bottom w:val="none" w:sz="0" w:space="0" w:color="auto"/>
        <w:right w:val="none" w:sz="0" w:space="0" w:color="auto"/>
      </w:divBdr>
    </w:div>
    <w:div w:id="2022244795">
      <w:bodyDiv w:val="1"/>
      <w:marLeft w:val="0"/>
      <w:marRight w:val="0"/>
      <w:marTop w:val="0"/>
      <w:marBottom w:val="0"/>
      <w:divBdr>
        <w:top w:val="none" w:sz="0" w:space="0" w:color="auto"/>
        <w:left w:val="none" w:sz="0" w:space="0" w:color="auto"/>
        <w:bottom w:val="none" w:sz="0" w:space="0" w:color="auto"/>
        <w:right w:val="none" w:sz="0" w:space="0" w:color="auto"/>
      </w:divBdr>
    </w:div>
    <w:div w:id="2078359966">
      <w:bodyDiv w:val="1"/>
      <w:marLeft w:val="0"/>
      <w:marRight w:val="0"/>
      <w:marTop w:val="0"/>
      <w:marBottom w:val="0"/>
      <w:divBdr>
        <w:top w:val="none" w:sz="0" w:space="0" w:color="auto"/>
        <w:left w:val="none" w:sz="0" w:space="0" w:color="auto"/>
        <w:bottom w:val="none" w:sz="0" w:space="0" w:color="auto"/>
        <w:right w:val="none" w:sz="0" w:space="0" w:color="auto"/>
      </w:divBdr>
    </w:div>
    <w:div w:id="2079009159">
      <w:bodyDiv w:val="1"/>
      <w:marLeft w:val="0"/>
      <w:marRight w:val="0"/>
      <w:marTop w:val="0"/>
      <w:marBottom w:val="0"/>
      <w:divBdr>
        <w:top w:val="none" w:sz="0" w:space="0" w:color="auto"/>
        <w:left w:val="none" w:sz="0" w:space="0" w:color="auto"/>
        <w:bottom w:val="none" w:sz="0" w:space="0" w:color="auto"/>
        <w:right w:val="none" w:sz="0" w:space="0" w:color="auto"/>
      </w:divBdr>
    </w:div>
    <w:div w:id="2079087203">
      <w:bodyDiv w:val="1"/>
      <w:marLeft w:val="0"/>
      <w:marRight w:val="0"/>
      <w:marTop w:val="0"/>
      <w:marBottom w:val="0"/>
      <w:divBdr>
        <w:top w:val="none" w:sz="0" w:space="0" w:color="auto"/>
        <w:left w:val="none" w:sz="0" w:space="0" w:color="auto"/>
        <w:bottom w:val="none" w:sz="0" w:space="0" w:color="auto"/>
        <w:right w:val="none" w:sz="0" w:space="0" w:color="auto"/>
      </w:divBdr>
    </w:div>
    <w:div w:id="2081560772">
      <w:bodyDiv w:val="1"/>
      <w:marLeft w:val="0"/>
      <w:marRight w:val="0"/>
      <w:marTop w:val="0"/>
      <w:marBottom w:val="0"/>
      <w:divBdr>
        <w:top w:val="none" w:sz="0" w:space="0" w:color="auto"/>
        <w:left w:val="none" w:sz="0" w:space="0" w:color="auto"/>
        <w:bottom w:val="none" w:sz="0" w:space="0" w:color="auto"/>
        <w:right w:val="none" w:sz="0" w:space="0" w:color="auto"/>
      </w:divBdr>
    </w:div>
    <w:div w:id="2093042119">
      <w:bodyDiv w:val="1"/>
      <w:marLeft w:val="0"/>
      <w:marRight w:val="0"/>
      <w:marTop w:val="0"/>
      <w:marBottom w:val="0"/>
      <w:divBdr>
        <w:top w:val="none" w:sz="0" w:space="0" w:color="auto"/>
        <w:left w:val="none" w:sz="0" w:space="0" w:color="auto"/>
        <w:bottom w:val="none" w:sz="0" w:space="0" w:color="auto"/>
        <w:right w:val="none" w:sz="0" w:space="0" w:color="auto"/>
      </w:divBdr>
    </w:div>
    <w:div w:id="2105028879">
      <w:bodyDiv w:val="1"/>
      <w:marLeft w:val="0"/>
      <w:marRight w:val="0"/>
      <w:marTop w:val="0"/>
      <w:marBottom w:val="0"/>
      <w:divBdr>
        <w:top w:val="none" w:sz="0" w:space="0" w:color="auto"/>
        <w:left w:val="none" w:sz="0" w:space="0" w:color="auto"/>
        <w:bottom w:val="none" w:sz="0" w:space="0" w:color="auto"/>
        <w:right w:val="none" w:sz="0" w:space="0" w:color="auto"/>
      </w:divBdr>
    </w:div>
    <w:div w:id="2111467816">
      <w:bodyDiv w:val="1"/>
      <w:marLeft w:val="0"/>
      <w:marRight w:val="0"/>
      <w:marTop w:val="0"/>
      <w:marBottom w:val="0"/>
      <w:divBdr>
        <w:top w:val="none" w:sz="0" w:space="0" w:color="auto"/>
        <w:left w:val="none" w:sz="0" w:space="0" w:color="auto"/>
        <w:bottom w:val="none" w:sz="0" w:space="0" w:color="auto"/>
        <w:right w:val="none" w:sz="0" w:space="0" w:color="auto"/>
      </w:divBdr>
    </w:div>
    <w:div w:id="2116636820">
      <w:bodyDiv w:val="1"/>
      <w:marLeft w:val="0"/>
      <w:marRight w:val="0"/>
      <w:marTop w:val="0"/>
      <w:marBottom w:val="0"/>
      <w:divBdr>
        <w:top w:val="none" w:sz="0" w:space="0" w:color="auto"/>
        <w:left w:val="none" w:sz="0" w:space="0" w:color="auto"/>
        <w:bottom w:val="none" w:sz="0" w:space="0" w:color="auto"/>
        <w:right w:val="none" w:sz="0" w:space="0" w:color="auto"/>
      </w:divBdr>
    </w:div>
    <w:div w:id="2119059350">
      <w:bodyDiv w:val="1"/>
      <w:marLeft w:val="0"/>
      <w:marRight w:val="0"/>
      <w:marTop w:val="0"/>
      <w:marBottom w:val="0"/>
      <w:divBdr>
        <w:top w:val="none" w:sz="0" w:space="0" w:color="auto"/>
        <w:left w:val="none" w:sz="0" w:space="0" w:color="auto"/>
        <w:bottom w:val="none" w:sz="0" w:space="0" w:color="auto"/>
        <w:right w:val="none" w:sz="0" w:space="0" w:color="auto"/>
      </w:divBdr>
    </w:div>
    <w:div w:id="212168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ullen16@imperial.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16/09/relationships/commentsIds" Target="commentsIds.xml"/><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d.weiss@imperial.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omments" Target="comments.xml"/><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7E45-F3F6-4FD8-A3EB-51F9F811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4962</TotalTime>
  <Pages>27</Pages>
  <Words>31084</Words>
  <Characters>177180</Characters>
  <Application>Microsoft Office Word</Application>
  <DocSecurity>0</DocSecurity>
  <Lines>1476</Lines>
  <Paragraphs>415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Imperial College</Company>
  <LinksUpToDate>false</LinksUpToDate>
  <CharactersWithSpaces>207849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Tyne</dc:creator>
  <cp:keywords/>
  <dc:description/>
  <cp:lastModifiedBy>Bullen, Jay</cp:lastModifiedBy>
  <cp:revision>135</cp:revision>
  <cp:lastPrinted>2020-03-19T18:01:00Z</cp:lastPrinted>
  <dcterms:created xsi:type="dcterms:W3CDTF">2021-02-05T21:43:00Z</dcterms:created>
  <dcterms:modified xsi:type="dcterms:W3CDTF">2021-02-09T22:49:00Z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http://csl.mendeley.com/styles/482967181/apa</vt:lpwstr>
  </property>
  <property fmtid="{D5CDD505-2E9C-101B-9397-08002B2CF9AE}" pid="5" name="Mendeley Recent Style Name 1_1">
    <vt:lpwstr>American Psychological Association 7th edition - Jay Bullen</vt:lpwstr>
  </property>
  <property fmtid="{D5CDD505-2E9C-101B-9397-08002B2CF9AE}" pid="6" name="Mendeley Recent Style Id 2_1">
    <vt:lpwstr>http://csl.mendeley.com/styles/482967181/Nature-jay-thesis-02</vt:lpwstr>
  </property>
  <property fmtid="{D5CDD505-2E9C-101B-9397-08002B2CF9AE}" pid="7" name="Mendeley Recent Style Name 2_1">
    <vt:lpwstr>American Psychological Association 7th edition - Jay Bullen</vt:lpwstr>
  </property>
  <property fmtid="{D5CDD505-2E9C-101B-9397-08002B2CF9AE}" pid="8" name="Mendeley Recent Style Id 3_1">
    <vt:lpwstr>http://www.zotero.org/styles/applied-catalysis-b-environmental</vt:lpwstr>
  </property>
  <property fmtid="{D5CDD505-2E9C-101B-9397-08002B2CF9AE}" pid="9" name="Mendeley Recent Style Name 3_1">
    <vt:lpwstr>Applied Catalysis B: Environmental</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http://www.zotero.org/styles/industrial-and-engineering-chemistry-research</vt:lpwstr>
  </property>
  <property fmtid="{D5CDD505-2E9C-101B-9397-08002B2CF9AE}" pid="15" name="Mendeley Recent Style Name 6_1">
    <vt:lpwstr>Industrial &amp; Engineering Chemistry Research</vt:lpwstr>
  </property>
  <property fmtid="{D5CDD505-2E9C-101B-9397-08002B2CF9AE}" pid="16" name="Mendeley Recent Style Id 7_1">
    <vt:lpwstr>http://www.zotero.org/styles/langmuir</vt:lpwstr>
  </property>
  <property fmtid="{D5CDD505-2E9C-101B-9397-08002B2CF9AE}" pid="17" name="Mendeley Recent Style Name 7_1">
    <vt:lpwstr>Langmuir</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https://csl.mendeley.com/styles/482967181/nature-jay-thesis-04</vt:lpwstr>
  </property>
  <property fmtid="{D5CDD505-2E9C-101B-9397-08002B2CF9AE}" pid="21" name="Mendeley Recent Style Name 9_1">
    <vt:lpwstr>Nature - Jay Bullen</vt:lpwstr>
  </property>
  <property fmtid="{D5CDD505-2E9C-101B-9397-08002B2CF9AE}" pid="22" name="Mendeley Document_1">
    <vt:lpwstr>True</vt:lpwstr>
  </property>
  <property fmtid="{D5CDD505-2E9C-101B-9397-08002B2CF9AE}" pid="23" name="Mendeley Unique User Id_1">
    <vt:lpwstr>4ca29bf3-5b38-3656-a208-526e02545990</vt:lpwstr>
  </property>
  <property fmtid="{D5CDD505-2E9C-101B-9397-08002B2CF9AE}" pid="24" name="Mendeley Citation Style_1">
    <vt:lpwstr>http://www.zotero.org/styles/langmuir</vt:lpwstr>
  </property>
</Properties>
</file>