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2E9BC" w14:textId="77777777" w:rsidR="00735F5D" w:rsidRPr="00735F5D" w:rsidRDefault="00E97B15" w:rsidP="00A16C74">
      <w:pPr>
        <w:spacing w:line="480" w:lineRule="auto"/>
        <w:rPr>
          <w:b/>
          <w:bCs/>
        </w:rPr>
      </w:pPr>
      <w:r w:rsidRPr="00E97B15">
        <w:rPr>
          <w:b/>
          <w:bCs/>
        </w:rPr>
        <w:t xml:space="preserve">Title: </w:t>
      </w:r>
    </w:p>
    <w:p w14:paraId="565D8CDD" w14:textId="77777777" w:rsidR="00FA07BA" w:rsidRDefault="00FA07BA" w:rsidP="00FA07BA">
      <w:pPr>
        <w:spacing w:line="480" w:lineRule="auto"/>
      </w:pPr>
      <w:r>
        <w:t xml:space="preserve">A retrospective multicenter analysis of </w:t>
      </w:r>
      <w:proofErr w:type="spellStart"/>
      <w:r>
        <w:t>candidaemia</w:t>
      </w:r>
      <w:proofErr w:type="spellEnd"/>
      <w:r>
        <w:t xml:space="preserve"> among COVID-19 patients during the first UK pandemic wave</w:t>
      </w:r>
    </w:p>
    <w:p w14:paraId="5DF1E3A2" w14:textId="77777777" w:rsidR="00522243" w:rsidRDefault="00522243" w:rsidP="00A16C74">
      <w:pPr>
        <w:spacing w:line="480" w:lineRule="auto"/>
      </w:pPr>
    </w:p>
    <w:p w14:paraId="23B6A687" w14:textId="77777777" w:rsidR="00047E3C" w:rsidRPr="00C370CB" w:rsidRDefault="00E97B15" w:rsidP="00A16C74">
      <w:pPr>
        <w:spacing w:line="480" w:lineRule="auto"/>
        <w:rPr>
          <w:b/>
          <w:bCs/>
        </w:rPr>
      </w:pPr>
      <w:r w:rsidRPr="00E97B15">
        <w:rPr>
          <w:b/>
          <w:bCs/>
        </w:rPr>
        <w:t>Author list:</w:t>
      </w:r>
    </w:p>
    <w:p w14:paraId="311F595E" w14:textId="77777777" w:rsidR="00345659" w:rsidRDefault="00C370CB" w:rsidP="00A16C74">
      <w:pPr>
        <w:spacing w:line="480" w:lineRule="auto"/>
      </w:pPr>
      <w:r>
        <w:t>*</w:t>
      </w:r>
      <w:r w:rsidR="00345659">
        <w:t>Sarah Denny</w:t>
      </w:r>
      <w:r>
        <w:t>^</w:t>
      </w:r>
      <w:r w:rsidR="006F1A4D">
        <w:t xml:space="preserve"> </w:t>
      </w:r>
      <w:r w:rsidR="006F1A4D" w:rsidRPr="00FC16E5">
        <w:rPr>
          <w:vertAlign w:val="superscript"/>
        </w:rPr>
        <w:t>1</w:t>
      </w:r>
    </w:p>
    <w:p w14:paraId="1AB43A33" w14:textId="77777777" w:rsidR="00345659" w:rsidRDefault="00345659" w:rsidP="00A16C74">
      <w:pPr>
        <w:spacing w:line="480" w:lineRule="auto"/>
      </w:pPr>
      <w:r>
        <w:t xml:space="preserve">Alireza </w:t>
      </w:r>
      <w:proofErr w:type="spellStart"/>
      <w:r>
        <w:t>Abdolrasouli</w:t>
      </w:r>
      <w:proofErr w:type="spellEnd"/>
      <w:r w:rsidR="00C370CB">
        <w:t>^</w:t>
      </w:r>
      <w:r w:rsidR="006F1A4D">
        <w:t xml:space="preserve"> </w:t>
      </w:r>
      <w:r w:rsidR="006F1A4D" w:rsidRPr="00FC16E5">
        <w:rPr>
          <w:vertAlign w:val="superscript"/>
        </w:rPr>
        <w:t>2</w:t>
      </w:r>
    </w:p>
    <w:p w14:paraId="0F298235" w14:textId="77777777" w:rsidR="00345659" w:rsidRDefault="00345659" w:rsidP="00A16C74">
      <w:pPr>
        <w:spacing w:line="480" w:lineRule="auto"/>
      </w:pPr>
      <w:proofErr w:type="spellStart"/>
      <w:r>
        <w:t>Tamador</w:t>
      </w:r>
      <w:proofErr w:type="spellEnd"/>
      <w:r>
        <w:t xml:space="preserve"> </w:t>
      </w:r>
      <w:proofErr w:type="spellStart"/>
      <w:r>
        <w:t>Elamin</w:t>
      </w:r>
      <w:proofErr w:type="spellEnd"/>
      <w:r w:rsidR="004C2973">
        <w:t xml:space="preserve"> </w:t>
      </w:r>
      <w:r w:rsidR="004C2973" w:rsidRPr="00FC16E5">
        <w:rPr>
          <w:vertAlign w:val="superscript"/>
        </w:rPr>
        <w:t>3</w:t>
      </w:r>
    </w:p>
    <w:p w14:paraId="4674F043" w14:textId="77777777" w:rsidR="00345659" w:rsidRDefault="00345659" w:rsidP="00A16C74">
      <w:pPr>
        <w:spacing w:line="480" w:lineRule="auto"/>
      </w:pPr>
      <w:r>
        <w:t>Ximena Gonzalo</w:t>
      </w:r>
      <w:r w:rsidR="006F1A4D">
        <w:t xml:space="preserve"> </w:t>
      </w:r>
      <w:r w:rsidR="004C2973" w:rsidRPr="00FC16E5">
        <w:rPr>
          <w:vertAlign w:val="superscript"/>
        </w:rPr>
        <w:t>2, 4, 5</w:t>
      </w:r>
    </w:p>
    <w:p w14:paraId="0F321F59" w14:textId="77777777" w:rsidR="00345659" w:rsidRDefault="00345659" w:rsidP="00A16C74">
      <w:pPr>
        <w:spacing w:line="480" w:lineRule="auto"/>
      </w:pPr>
      <w:r>
        <w:t>Scott Pallett</w:t>
      </w:r>
      <w:r w:rsidR="006F1A4D">
        <w:t xml:space="preserve"> </w:t>
      </w:r>
      <w:r w:rsidR="006F1A4D" w:rsidRPr="00FC16E5">
        <w:rPr>
          <w:vertAlign w:val="superscript"/>
        </w:rPr>
        <w:t xml:space="preserve">1, </w:t>
      </w:r>
      <w:r w:rsidR="004C2973" w:rsidRPr="00FC16E5">
        <w:rPr>
          <w:vertAlign w:val="superscript"/>
        </w:rPr>
        <w:t>6</w:t>
      </w:r>
    </w:p>
    <w:p w14:paraId="10E9471E" w14:textId="77777777" w:rsidR="00345659" w:rsidRDefault="00345659" w:rsidP="00A16C74">
      <w:pPr>
        <w:spacing w:line="480" w:lineRule="auto"/>
      </w:pPr>
      <w:proofErr w:type="spellStart"/>
      <w:r>
        <w:t>Esmita</w:t>
      </w:r>
      <w:proofErr w:type="spellEnd"/>
      <w:r>
        <w:t xml:space="preserve"> </w:t>
      </w:r>
      <w:proofErr w:type="spellStart"/>
      <w:r>
        <w:t>Charani</w:t>
      </w:r>
      <w:proofErr w:type="spellEnd"/>
      <w:r w:rsidR="006F1A4D">
        <w:t xml:space="preserve"> </w:t>
      </w:r>
      <w:r w:rsidR="004C2973" w:rsidRPr="00FC16E5">
        <w:rPr>
          <w:vertAlign w:val="superscript"/>
        </w:rPr>
        <w:t>5</w:t>
      </w:r>
    </w:p>
    <w:p w14:paraId="6059FCB3" w14:textId="77777777" w:rsidR="00345659" w:rsidRDefault="00345659" w:rsidP="00A16C74">
      <w:pPr>
        <w:spacing w:line="480" w:lineRule="auto"/>
      </w:pPr>
      <w:proofErr w:type="spellStart"/>
      <w:r>
        <w:t>Aatish</w:t>
      </w:r>
      <w:proofErr w:type="spellEnd"/>
      <w:r>
        <w:t xml:space="preserve"> Patel</w:t>
      </w:r>
      <w:r w:rsidR="006F1A4D">
        <w:t xml:space="preserve"> </w:t>
      </w:r>
      <w:r w:rsidR="006F1A4D" w:rsidRPr="00FC16E5">
        <w:rPr>
          <w:vertAlign w:val="superscript"/>
        </w:rPr>
        <w:t>1</w:t>
      </w:r>
    </w:p>
    <w:p w14:paraId="77403EB5" w14:textId="77777777" w:rsidR="00345659" w:rsidRDefault="00345659" w:rsidP="00A16C74">
      <w:pPr>
        <w:spacing w:line="480" w:lineRule="auto"/>
      </w:pPr>
      <w:r>
        <w:t>Hugo Donaldson</w:t>
      </w:r>
      <w:r w:rsidR="00FC16E5">
        <w:t xml:space="preserve"> </w:t>
      </w:r>
      <w:r w:rsidR="004C2973" w:rsidRPr="00FC16E5">
        <w:rPr>
          <w:vertAlign w:val="superscript"/>
        </w:rPr>
        <w:t>2, 3</w:t>
      </w:r>
    </w:p>
    <w:p w14:paraId="76B2A43B" w14:textId="77777777" w:rsidR="00C74E24" w:rsidRDefault="00C74E24" w:rsidP="00A16C74">
      <w:pPr>
        <w:spacing w:line="480" w:lineRule="auto"/>
      </w:pPr>
      <w:r>
        <w:t xml:space="preserve">Stephen Hughes </w:t>
      </w:r>
      <w:r w:rsidRPr="00501D20">
        <w:rPr>
          <w:vertAlign w:val="superscript"/>
        </w:rPr>
        <w:t>1</w:t>
      </w:r>
    </w:p>
    <w:p w14:paraId="3E535CA7" w14:textId="77777777" w:rsidR="00C74E24" w:rsidRDefault="00C74E24" w:rsidP="00A16C74">
      <w:pPr>
        <w:spacing w:line="480" w:lineRule="auto"/>
      </w:pPr>
      <w:r>
        <w:t>Darius Armstrong</w:t>
      </w:r>
      <w:r w:rsidR="00703A91">
        <w:t>-James</w:t>
      </w:r>
      <w:r>
        <w:t xml:space="preserve"> </w:t>
      </w:r>
      <w:r w:rsidRPr="00501D20">
        <w:rPr>
          <w:vertAlign w:val="superscript"/>
        </w:rPr>
        <w:t>4,5</w:t>
      </w:r>
    </w:p>
    <w:p w14:paraId="1F1637D4" w14:textId="77777777" w:rsidR="00345659" w:rsidRDefault="00345659" w:rsidP="00A16C74">
      <w:pPr>
        <w:spacing w:line="480" w:lineRule="auto"/>
      </w:pPr>
      <w:r>
        <w:t xml:space="preserve">Luke </w:t>
      </w:r>
      <w:r w:rsidR="00C370CB">
        <w:t xml:space="preserve">SP </w:t>
      </w:r>
      <w:r>
        <w:t>Moore</w:t>
      </w:r>
      <w:r w:rsidR="006F1A4D">
        <w:t xml:space="preserve"> </w:t>
      </w:r>
      <w:r w:rsidR="006F1A4D" w:rsidRPr="00FC16E5">
        <w:rPr>
          <w:vertAlign w:val="superscript"/>
        </w:rPr>
        <w:t>1,</w:t>
      </w:r>
      <w:r w:rsidR="004C2973" w:rsidRPr="00FC16E5">
        <w:rPr>
          <w:vertAlign w:val="superscript"/>
        </w:rPr>
        <w:t xml:space="preserve"> 2, 5</w:t>
      </w:r>
    </w:p>
    <w:p w14:paraId="32688C98" w14:textId="77777777" w:rsidR="00345659" w:rsidRDefault="00345659" w:rsidP="00A16C74">
      <w:pPr>
        <w:spacing w:line="480" w:lineRule="auto"/>
      </w:pPr>
      <w:r>
        <w:t>Nabeela Mughal</w:t>
      </w:r>
      <w:r w:rsidR="006F1A4D">
        <w:t xml:space="preserve"> </w:t>
      </w:r>
      <w:r w:rsidR="006F1A4D" w:rsidRPr="00FC16E5">
        <w:rPr>
          <w:vertAlign w:val="superscript"/>
        </w:rPr>
        <w:t>1,</w:t>
      </w:r>
      <w:r w:rsidR="004C2973" w:rsidRPr="00FC16E5">
        <w:rPr>
          <w:vertAlign w:val="superscript"/>
        </w:rPr>
        <w:t xml:space="preserve"> 2, 5</w:t>
      </w:r>
    </w:p>
    <w:p w14:paraId="6FE66F1E" w14:textId="77777777" w:rsidR="00345659" w:rsidRDefault="00345659" w:rsidP="00A16C74">
      <w:pPr>
        <w:spacing w:line="480" w:lineRule="auto"/>
      </w:pPr>
    </w:p>
    <w:p w14:paraId="7641D22C" w14:textId="77777777" w:rsidR="00047E3C" w:rsidRPr="00C370CB" w:rsidRDefault="00E97B15" w:rsidP="00A16C74">
      <w:pPr>
        <w:spacing w:line="480" w:lineRule="auto"/>
        <w:rPr>
          <w:b/>
          <w:bCs/>
        </w:rPr>
      </w:pPr>
      <w:r w:rsidRPr="00E97B15">
        <w:rPr>
          <w:b/>
          <w:bCs/>
        </w:rPr>
        <w:t>Affiliations:</w:t>
      </w:r>
    </w:p>
    <w:p w14:paraId="5628E0FD" w14:textId="77777777" w:rsidR="006F1A4D" w:rsidRPr="00F25A53" w:rsidRDefault="006F1A4D" w:rsidP="002844FC">
      <w:pPr>
        <w:spacing w:beforeLines="1" w:before="2" w:afterLines="1" w:after="2" w:line="480" w:lineRule="auto"/>
        <w:rPr>
          <w:rFonts w:ascii="Times" w:hAnsi="Times" w:cs="Times New Roman"/>
          <w:szCs w:val="20"/>
          <w:lang w:val="en-GB"/>
        </w:rPr>
      </w:pPr>
      <w:r w:rsidRPr="00F25A53">
        <w:rPr>
          <w:rFonts w:ascii="Calibri" w:hAnsi="Calibri" w:cs="Times New Roman"/>
          <w:szCs w:val="22"/>
          <w:lang w:val="en-GB"/>
        </w:rPr>
        <w:t xml:space="preserve">1. Chelsea and Westminster NHS Foundation Trust, 369 Fulham Road, London, SW10 9NH, UK. </w:t>
      </w:r>
    </w:p>
    <w:p w14:paraId="794C1F40" w14:textId="77777777" w:rsidR="006F1A4D" w:rsidRPr="00F25A53" w:rsidRDefault="006F1A4D" w:rsidP="002844FC">
      <w:pPr>
        <w:spacing w:beforeLines="1" w:before="2" w:afterLines="1" w:after="2" w:line="480" w:lineRule="auto"/>
        <w:rPr>
          <w:rFonts w:ascii="Calibri" w:hAnsi="Calibri" w:cs="Times New Roman"/>
          <w:szCs w:val="22"/>
          <w:lang w:val="en-GB"/>
        </w:rPr>
      </w:pPr>
      <w:r w:rsidRPr="00F25A53">
        <w:rPr>
          <w:rFonts w:ascii="Calibri" w:hAnsi="Calibri" w:cs="Times New Roman"/>
          <w:szCs w:val="22"/>
          <w:lang w:val="en-GB"/>
        </w:rPr>
        <w:t xml:space="preserve">2. North West London Pathology, Fulham Palace Road, London, W6 8RF, UK. </w:t>
      </w:r>
    </w:p>
    <w:p w14:paraId="7857D62E" w14:textId="77777777" w:rsidR="006F1A4D" w:rsidRPr="00F25A53" w:rsidRDefault="006F1A4D" w:rsidP="002844FC">
      <w:pPr>
        <w:spacing w:beforeLines="1" w:before="2" w:afterLines="1" w:after="2" w:line="480" w:lineRule="auto"/>
        <w:rPr>
          <w:rFonts w:ascii="Calibri" w:hAnsi="Calibri" w:cs="Times New Roman"/>
          <w:szCs w:val="22"/>
          <w:lang w:val="en-GB"/>
        </w:rPr>
      </w:pPr>
      <w:r w:rsidRPr="00F25A53">
        <w:rPr>
          <w:rFonts w:ascii="Calibri" w:hAnsi="Calibri" w:cs="Times New Roman"/>
          <w:szCs w:val="22"/>
          <w:lang w:val="en-GB"/>
        </w:rPr>
        <w:t>3. West Middlesex University Hospital, Twickenham R</w:t>
      </w:r>
      <w:r w:rsidR="004C2973" w:rsidRPr="00F25A53">
        <w:rPr>
          <w:rFonts w:ascii="Calibri" w:hAnsi="Calibri" w:cs="Times New Roman"/>
          <w:szCs w:val="22"/>
          <w:lang w:val="en-GB"/>
        </w:rPr>
        <w:t>oad, Isleworth, Middlesex, TW7 6AF</w:t>
      </w:r>
    </w:p>
    <w:p w14:paraId="5CC08D55" w14:textId="77777777" w:rsidR="006F1A4D" w:rsidRPr="00F25A53" w:rsidRDefault="004C2973" w:rsidP="002844FC">
      <w:pPr>
        <w:spacing w:beforeLines="1" w:before="2" w:afterLines="1" w:after="2" w:line="480" w:lineRule="auto"/>
        <w:rPr>
          <w:rFonts w:ascii="Times" w:hAnsi="Times" w:cs="Times New Roman"/>
          <w:szCs w:val="20"/>
          <w:lang w:val="en-GB"/>
        </w:rPr>
      </w:pPr>
      <w:r w:rsidRPr="00F25A53">
        <w:rPr>
          <w:rFonts w:ascii="Calibri" w:hAnsi="Calibri" w:cs="Times New Roman"/>
          <w:szCs w:val="22"/>
          <w:lang w:val="en-GB"/>
        </w:rPr>
        <w:t>4</w:t>
      </w:r>
      <w:r w:rsidR="006F1A4D" w:rsidRPr="00F25A53">
        <w:rPr>
          <w:rFonts w:ascii="Calibri" w:hAnsi="Calibri" w:cs="Times New Roman"/>
          <w:szCs w:val="22"/>
          <w:lang w:val="en-GB"/>
        </w:rPr>
        <w:t xml:space="preserve">. Imperial College Healthcare NHS Trust, </w:t>
      </w:r>
      <w:proofErr w:type="spellStart"/>
      <w:r w:rsidR="006F1A4D" w:rsidRPr="00F25A53">
        <w:rPr>
          <w:rFonts w:ascii="Calibri" w:hAnsi="Calibri" w:cs="Times New Roman"/>
          <w:szCs w:val="22"/>
          <w:lang w:val="en-GB"/>
        </w:rPr>
        <w:t>Praed</w:t>
      </w:r>
      <w:proofErr w:type="spellEnd"/>
      <w:r w:rsidR="006F1A4D" w:rsidRPr="00F25A53">
        <w:rPr>
          <w:rFonts w:ascii="Calibri" w:hAnsi="Calibri" w:cs="Times New Roman"/>
          <w:szCs w:val="22"/>
          <w:lang w:val="en-GB"/>
        </w:rPr>
        <w:t xml:space="preserve"> Street, London W2 1NY, UK. </w:t>
      </w:r>
    </w:p>
    <w:p w14:paraId="61FAE200" w14:textId="77777777" w:rsidR="006F1A4D" w:rsidRPr="00F25A53" w:rsidRDefault="004C2973" w:rsidP="002844FC">
      <w:pPr>
        <w:spacing w:beforeLines="1" w:before="2" w:afterLines="1" w:after="2" w:line="480" w:lineRule="auto"/>
        <w:rPr>
          <w:rFonts w:ascii="Times" w:hAnsi="Times" w:cs="Times New Roman"/>
          <w:szCs w:val="20"/>
          <w:lang w:val="en-GB"/>
        </w:rPr>
      </w:pPr>
      <w:r w:rsidRPr="00F25A53">
        <w:rPr>
          <w:rFonts w:ascii="Calibri" w:hAnsi="Calibri" w:cs="Times New Roman"/>
          <w:szCs w:val="22"/>
          <w:lang w:val="en-GB"/>
        </w:rPr>
        <w:lastRenderedPageBreak/>
        <w:t>5</w:t>
      </w:r>
      <w:r w:rsidR="006F1A4D" w:rsidRPr="00F25A53">
        <w:rPr>
          <w:rFonts w:ascii="Calibri" w:hAnsi="Calibri" w:cs="Times New Roman"/>
          <w:szCs w:val="22"/>
          <w:lang w:val="en-GB"/>
        </w:rPr>
        <w:t xml:space="preserve">. Imperial College London, Department of Infectious Diseases, </w:t>
      </w:r>
      <w:r w:rsidR="0085744D">
        <w:rPr>
          <w:rFonts w:ascii="Calibri" w:hAnsi="Calibri" w:cs="Times New Roman"/>
          <w:szCs w:val="22"/>
          <w:lang w:val="en-GB"/>
        </w:rPr>
        <w:t>Flowers Buildin</w:t>
      </w:r>
      <w:r w:rsidR="00B803B4">
        <w:rPr>
          <w:rFonts w:ascii="Calibri" w:hAnsi="Calibri" w:cs="Times New Roman"/>
          <w:szCs w:val="22"/>
          <w:lang w:val="en-GB"/>
        </w:rPr>
        <w:t>g</w:t>
      </w:r>
      <w:r w:rsidR="006F1A4D" w:rsidRPr="00F25A53">
        <w:rPr>
          <w:rFonts w:ascii="Calibri" w:hAnsi="Calibri" w:cs="Times New Roman"/>
          <w:szCs w:val="22"/>
          <w:lang w:val="en-GB"/>
        </w:rPr>
        <w:t xml:space="preserve">, </w:t>
      </w:r>
      <w:r w:rsidR="0085744D">
        <w:rPr>
          <w:rFonts w:ascii="Calibri" w:hAnsi="Calibri" w:cs="Times New Roman"/>
          <w:szCs w:val="22"/>
          <w:lang w:val="en-GB"/>
        </w:rPr>
        <w:t>Armstrong Road</w:t>
      </w:r>
      <w:r w:rsidR="006F1A4D" w:rsidRPr="00F25A53">
        <w:rPr>
          <w:rFonts w:ascii="Calibri" w:hAnsi="Calibri" w:cs="Times New Roman"/>
          <w:szCs w:val="22"/>
          <w:lang w:val="en-GB"/>
        </w:rPr>
        <w:t xml:space="preserve">, London, </w:t>
      </w:r>
      <w:r w:rsidR="0085744D">
        <w:rPr>
          <w:rFonts w:ascii="Calibri" w:hAnsi="Calibri" w:cs="Times New Roman"/>
          <w:szCs w:val="22"/>
          <w:lang w:val="en-GB"/>
        </w:rPr>
        <w:t>SW7 2AZ</w:t>
      </w:r>
      <w:r w:rsidR="006F1A4D" w:rsidRPr="00F25A53">
        <w:rPr>
          <w:rFonts w:ascii="Calibri" w:hAnsi="Calibri" w:cs="Times New Roman"/>
          <w:szCs w:val="22"/>
          <w:lang w:val="en-GB"/>
        </w:rPr>
        <w:t xml:space="preserve">, UK. </w:t>
      </w:r>
    </w:p>
    <w:p w14:paraId="70BCF7F5" w14:textId="77777777" w:rsidR="006F1A4D" w:rsidRPr="00F25A53" w:rsidRDefault="004C2973" w:rsidP="002844FC">
      <w:pPr>
        <w:spacing w:beforeLines="1" w:before="2" w:afterLines="1" w:after="2" w:line="480" w:lineRule="auto"/>
        <w:rPr>
          <w:rFonts w:ascii="Times" w:hAnsi="Times" w:cs="Times New Roman"/>
          <w:szCs w:val="20"/>
          <w:lang w:val="en-GB"/>
        </w:rPr>
      </w:pPr>
      <w:r w:rsidRPr="00F25A53">
        <w:rPr>
          <w:rFonts w:ascii="Calibri" w:hAnsi="Calibri" w:cs="Times New Roman"/>
          <w:szCs w:val="22"/>
          <w:lang w:val="en-GB"/>
        </w:rPr>
        <w:t>6</w:t>
      </w:r>
      <w:r w:rsidR="006F1A4D" w:rsidRPr="00F25A53">
        <w:rPr>
          <w:rFonts w:ascii="Calibri" w:hAnsi="Calibri" w:cs="Times New Roman"/>
          <w:szCs w:val="22"/>
          <w:lang w:val="en-GB"/>
        </w:rPr>
        <w:t xml:space="preserve">. Centre of Defence Pathology, Royal Centre for Defence Medicine, Queen Elizabeth Hospital Birmingham, </w:t>
      </w:r>
      <w:proofErr w:type="spellStart"/>
      <w:r w:rsidR="006F1A4D" w:rsidRPr="00F25A53">
        <w:rPr>
          <w:rFonts w:ascii="Calibri" w:hAnsi="Calibri" w:cs="Times New Roman"/>
          <w:szCs w:val="22"/>
          <w:lang w:val="en-GB"/>
        </w:rPr>
        <w:t>Mindelsohn</w:t>
      </w:r>
      <w:proofErr w:type="spellEnd"/>
      <w:r w:rsidR="006F1A4D" w:rsidRPr="00F25A53">
        <w:rPr>
          <w:rFonts w:ascii="Calibri" w:hAnsi="Calibri" w:cs="Times New Roman"/>
          <w:szCs w:val="22"/>
          <w:lang w:val="en-GB"/>
        </w:rPr>
        <w:t xml:space="preserve"> Way, Edgbaston, Birmingham, B15 2WB. </w:t>
      </w:r>
    </w:p>
    <w:p w14:paraId="1C8169AB" w14:textId="77777777" w:rsidR="006F1A4D" w:rsidRDefault="006F1A4D" w:rsidP="00A16C74">
      <w:pPr>
        <w:spacing w:line="480" w:lineRule="auto"/>
      </w:pPr>
    </w:p>
    <w:p w14:paraId="2BBF7BBF" w14:textId="77777777" w:rsidR="009D76C9" w:rsidRPr="009D76C9" w:rsidRDefault="009D76C9" w:rsidP="00A16C74">
      <w:pPr>
        <w:spacing w:line="480" w:lineRule="auto"/>
        <w:rPr>
          <w:b/>
        </w:rPr>
      </w:pPr>
      <w:r w:rsidRPr="009D76C9">
        <w:rPr>
          <w:b/>
        </w:rPr>
        <w:t>Keywords:</w:t>
      </w:r>
    </w:p>
    <w:p w14:paraId="6BFB11D2" w14:textId="77777777" w:rsidR="009D76C9" w:rsidRDefault="009D76C9" w:rsidP="00A16C74">
      <w:pPr>
        <w:spacing w:line="480" w:lineRule="auto"/>
      </w:pPr>
      <w:r>
        <w:t>Microbiology</w:t>
      </w:r>
    </w:p>
    <w:p w14:paraId="19E7916A" w14:textId="77777777" w:rsidR="009D76C9" w:rsidRDefault="009D76C9" w:rsidP="00A16C74">
      <w:pPr>
        <w:spacing w:line="480" w:lineRule="auto"/>
      </w:pPr>
      <w:proofErr w:type="spellStart"/>
      <w:r>
        <w:t>Candidaemia</w:t>
      </w:r>
      <w:proofErr w:type="spellEnd"/>
    </w:p>
    <w:p w14:paraId="63C2472D" w14:textId="77777777" w:rsidR="009D76C9" w:rsidRDefault="009D76C9" w:rsidP="00A16C74">
      <w:pPr>
        <w:spacing w:line="480" w:lineRule="auto"/>
      </w:pPr>
      <w:r>
        <w:t>Coronavirus</w:t>
      </w:r>
    </w:p>
    <w:p w14:paraId="2F3187FA" w14:textId="77777777" w:rsidR="009D76C9" w:rsidRDefault="009D76C9" w:rsidP="00A16C74">
      <w:pPr>
        <w:spacing w:line="480" w:lineRule="auto"/>
      </w:pPr>
      <w:r>
        <w:t>SARS-CoV-2</w:t>
      </w:r>
    </w:p>
    <w:p w14:paraId="1A3A5A9D" w14:textId="77777777" w:rsidR="00522243" w:rsidRDefault="00522243" w:rsidP="00A16C74">
      <w:pPr>
        <w:spacing w:line="480" w:lineRule="auto"/>
      </w:pPr>
    </w:p>
    <w:p w14:paraId="4BB2F5E0" w14:textId="77777777" w:rsidR="00047E3C" w:rsidRPr="00C370CB" w:rsidRDefault="00E97B15" w:rsidP="00A16C74">
      <w:pPr>
        <w:spacing w:line="480" w:lineRule="auto"/>
        <w:rPr>
          <w:b/>
          <w:bCs/>
        </w:rPr>
      </w:pPr>
      <w:r w:rsidRPr="00E97B15">
        <w:rPr>
          <w:b/>
          <w:bCs/>
        </w:rPr>
        <w:t>*Corresponding author:</w:t>
      </w:r>
    </w:p>
    <w:p w14:paraId="2B8F7F19" w14:textId="77777777" w:rsidR="006F1A4D" w:rsidRDefault="006F1A4D" w:rsidP="00A16C74">
      <w:pPr>
        <w:pStyle w:val="NormalWeb"/>
        <w:spacing w:before="2" w:after="2" w:line="480" w:lineRule="auto"/>
        <w:rPr>
          <w:rFonts w:asciiTheme="minorHAnsi" w:hAnsiTheme="minorHAnsi"/>
          <w:sz w:val="24"/>
          <w:szCs w:val="22"/>
        </w:rPr>
      </w:pPr>
      <w:r w:rsidRPr="006F1A4D">
        <w:rPr>
          <w:rFonts w:asciiTheme="minorHAnsi" w:hAnsiTheme="minorHAnsi"/>
          <w:sz w:val="24"/>
          <w:szCs w:val="22"/>
        </w:rPr>
        <w:t>Dr Sarah Denny, Chelsea and Westminster NHS Fou</w:t>
      </w:r>
      <w:r>
        <w:rPr>
          <w:rFonts w:asciiTheme="minorHAnsi" w:hAnsiTheme="minorHAnsi"/>
          <w:sz w:val="24"/>
          <w:szCs w:val="22"/>
        </w:rPr>
        <w:t xml:space="preserve">ndation Trust, 369 Fulham Road, </w:t>
      </w:r>
      <w:r w:rsidRPr="006F1A4D">
        <w:rPr>
          <w:rFonts w:asciiTheme="minorHAnsi" w:hAnsiTheme="minorHAnsi"/>
          <w:sz w:val="24"/>
          <w:szCs w:val="22"/>
        </w:rPr>
        <w:t xml:space="preserve">London, SW10 9NH, UK. Email: </w:t>
      </w:r>
      <w:r w:rsidRPr="006F1A4D">
        <w:rPr>
          <w:rFonts w:asciiTheme="minorHAnsi" w:hAnsiTheme="minorHAnsi"/>
          <w:color w:val="0000FF"/>
          <w:sz w:val="24"/>
          <w:szCs w:val="22"/>
        </w:rPr>
        <w:t xml:space="preserve">sarahdenny1@nhs.net </w:t>
      </w:r>
      <w:r w:rsidRPr="006F1A4D">
        <w:rPr>
          <w:rFonts w:asciiTheme="minorHAnsi" w:hAnsiTheme="minorHAnsi"/>
          <w:sz w:val="24"/>
          <w:szCs w:val="22"/>
        </w:rPr>
        <w:t xml:space="preserve">Telephone: +442033158273 </w:t>
      </w:r>
    </w:p>
    <w:p w14:paraId="3B0BAB10" w14:textId="77777777" w:rsidR="00FC16E5" w:rsidRDefault="00FC16E5" w:rsidP="00A16C74">
      <w:pPr>
        <w:pStyle w:val="NormalWeb"/>
        <w:spacing w:before="2" w:after="2" w:line="480" w:lineRule="auto"/>
        <w:rPr>
          <w:rFonts w:asciiTheme="minorHAnsi" w:hAnsiTheme="minorHAnsi"/>
          <w:sz w:val="24"/>
          <w:szCs w:val="22"/>
        </w:rPr>
      </w:pPr>
    </w:p>
    <w:p w14:paraId="49AE5B81" w14:textId="77777777" w:rsidR="00FC16E5" w:rsidRPr="006F1A4D" w:rsidRDefault="00C370CB" w:rsidP="00A16C74">
      <w:pPr>
        <w:pStyle w:val="NormalWeb"/>
        <w:spacing w:before="2" w:after="2" w:line="480" w:lineRule="auto"/>
        <w:rPr>
          <w:rFonts w:asciiTheme="minorHAnsi" w:hAnsiTheme="minorHAnsi"/>
          <w:sz w:val="24"/>
        </w:rPr>
      </w:pPr>
      <w:r>
        <w:rPr>
          <w:rFonts w:asciiTheme="minorHAnsi" w:hAnsiTheme="minorHAnsi"/>
          <w:sz w:val="24"/>
          <w:szCs w:val="22"/>
        </w:rPr>
        <w:t xml:space="preserve">^ </w:t>
      </w:r>
      <w:r w:rsidR="00FC16E5">
        <w:rPr>
          <w:rFonts w:asciiTheme="minorHAnsi" w:hAnsiTheme="minorHAnsi"/>
          <w:sz w:val="24"/>
          <w:szCs w:val="22"/>
        </w:rPr>
        <w:t>First and second author contributed equally.</w:t>
      </w:r>
    </w:p>
    <w:p w14:paraId="40F943C6" w14:textId="77777777" w:rsidR="006F1A4D" w:rsidDel="006F1A4D" w:rsidRDefault="006F1A4D" w:rsidP="00A16C74">
      <w:pPr>
        <w:spacing w:line="480" w:lineRule="auto"/>
      </w:pPr>
    </w:p>
    <w:p w14:paraId="35A9C997" w14:textId="77777777" w:rsidR="00047E3C" w:rsidRPr="00C370CB" w:rsidRDefault="00E97B15" w:rsidP="00A16C74">
      <w:pPr>
        <w:spacing w:line="480" w:lineRule="auto"/>
        <w:rPr>
          <w:b/>
          <w:bCs/>
        </w:rPr>
      </w:pPr>
      <w:r w:rsidRPr="00E97B15">
        <w:rPr>
          <w:b/>
          <w:bCs/>
        </w:rPr>
        <w:t xml:space="preserve">Word Count: </w:t>
      </w:r>
    </w:p>
    <w:p w14:paraId="4DA76458" w14:textId="77777777" w:rsidR="00FC512F" w:rsidRDefault="00FC512F" w:rsidP="00A16C74">
      <w:pPr>
        <w:spacing w:line="480" w:lineRule="auto"/>
      </w:pPr>
      <w:r>
        <w:t>1</w:t>
      </w:r>
      <w:r w:rsidR="00206A1C">
        <w:t>000</w:t>
      </w:r>
    </w:p>
    <w:p w14:paraId="29C1708B" w14:textId="77777777" w:rsidR="00FC512F" w:rsidRDefault="00FC512F" w:rsidP="00A16C74">
      <w:pPr>
        <w:spacing w:line="480" w:lineRule="auto"/>
      </w:pPr>
      <w:r>
        <w:t>Dear editor</w:t>
      </w:r>
    </w:p>
    <w:p w14:paraId="7D073F89" w14:textId="77777777" w:rsidR="009E1177" w:rsidRPr="00FC512F" w:rsidRDefault="00FC512F" w:rsidP="00A16C74">
      <w:pPr>
        <w:spacing w:line="480" w:lineRule="auto"/>
      </w:pPr>
      <w:r>
        <w:t>It is with great interest that we read the</w:t>
      </w:r>
      <w:r w:rsidR="00FD6CE8">
        <w:t xml:space="preserve"> recent article </w:t>
      </w:r>
      <w:r>
        <w:t>by De Francesco et al</w:t>
      </w:r>
      <w:r w:rsidR="00D74F6D">
        <w:t xml:space="preserve"> (1)</w:t>
      </w:r>
      <w:r>
        <w:t xml:space="preserve">, who reported on chlamydia pneumoniae and mycoplasma pneumoniae co-infection in patients with COVID-19. Here, we report our experience with </w:t>
      </w:r>
      <w:proofErr w:type="spellStart"/>
      <w:r>
        <w:t>candidaemia</w:t>
      </w:r>
      <w:proofErr w:type="spellEnd"/>
      <w:r>
        <w:t xml:space="preserve"> co-infection with COVID-19. </w:t>
      </w:r>
      <w:r w:rsidR="001352FC">
        <w:rPr>
          <w:rFonts w:cs="Calibri"/>
          <w:color w:val="000000"/>
          <w:szCs w:val="22"/>
        </w:rPr>
        <w:t>An</w:t>
      </w:r>
      <w:r w:rsidR="008C2A03">
        <w:rPr>
          <w:rFonts w:cs="Calibri"/>
          <w:color w:val="000000"/>
          <w:szCs w:val="22"/>
        </w:rPr>
        <w:t xml:space="preserve"> increased incidence of </w:t>
      </w:r>
      <w:proofErr w:type="spellStart"/>
      <w:r w:rsidR="008C2A03">
        <w:rPr>
          <w:rFonts w:cs="Calibri"/>
          <w:color w:val="000000"/>
          <w:szCs w:val="22"/>
        </w:rPr>
        <w:t>candidaemia</w:t>
      </w:r>
      <w:proofErr w:type="spellEnd"/>
      <w:r w:rsidR="008C2A03">
        <w:rPr>
          <w:rFonts w:cs="Calibri"/>
          <w:color w:val="000000"/>
          <w:szCs w:val="22"/>
        </w:rPr>
        <w:t xml:space="preserve"> </w:t>
      </w:r>
      <w:r w:rsidR="001352FC">
        <w:rPr>
          <w:rFonts w:cs="Calibri"/>
          <w:color w:val="000000"/>
          <w:szCs w:val="22"/>
        </w:rPr>
        <w:t xml:space="preserve">has been </w:t>
      </w:r>
      <w:r w:rsidR="008C2A03">
        <w:rPr>
          <w:rFonts w:cs="Calibri"/>
          <w:color w:val="000000"/>
          <w:szCs w:val="22"/>
        </w:rPr>
        <w:t xml:space="preserve">noted in </w:t>
      </w:r>
      <w:r w:rsidR="0059799D">
        <w:rPr>
          <w:rFonts w:cs="Calibri"/>
          <w:color w:val="000000"/>
          <w:szCs w:val="22"/>
        </w:rPr>
        <w:t>patients with</w:t>
      </w:r>
      <w:r w:rsidR="001667C4">
        <w:rPr>
          <w:rFonts w:cs="Calibri"/>
          <w:color w:val="000000"/>
          <w:szCs w:val="22"/>
        </w:rPr>
        <w:t xml:space="preserve"> </w:t>
      </w:r>
      <w:r w:rsidR="0072170C">
        <w:rPr>
          <w:rFonts w:cs="Calibri"/>
          <w:color w:val="000000"/>
          <w:szCs w:val="22"/>
        </w:rPr>
        <w:t>COVID-19</w:t>
      </w:r>
      <w:r>
        <w:rPr>
          <w:rFonts w:cs="Calibri"/>
          <w:color w:val="000000"/>
          <w:szCs w:val="22"/>
        </w:rPr>
        <w:t xml:space="preserve"> </w:t>
      </w:r>
      <w:r w:rsidR="005270FB">
        <w:rPr>
          <w:rFonts w:cs="Calibri"/>
          <w:szCs w:val="22"/>
        </w:rPr>
        <w:t xml:space="preserve">and </w:t>
      </w:r>
      <w:r w:rsidR="005270FB">
        <w:rPr>
          <w:rFonts w:cs="Calibri"/>
          <w:szCs w:val="22"/>
        </w:rPr>
        <w:lastRenderedPageBreak/>
        <w:t>a</w:t>
      </w:r>
      <w:r w:rsidR="001667C4" w:rsidRPr="00CD4BB3">
        <w:rPr>
          <w:rFonts w:cs="Calibri"/>
          <w:szCs w:val="22"/>
        </w:rPr>
        <w:t xml:space="preserve">lthough patient characteristics, investigations and antifungal </w:t>
      </w:r>
      <w:r w:rsidR="00CB5C42" w:rsidRPr="00CD4BB3">
        <w:rPr>
          <w:rFonts w:cs="Calibri"/>
          <w:szCs w:val="22"/>
        </w:rPr>
        <w:t>therap</w:t>
      </w:r>
      <w:r w:rsidR="00B40F47">
        <w:rPr>
          <w:rFonts w:cs="Calibri"/>
          <w:szCs w:val="22"/>
        </w:rPr>
        <w:t>ies</w:t>
      </w:r>
      <w:r w:rsidR="00CB5C42" w:rsidRPr="00CD4BB3">
        <w:rPr>
          <w:rFonts w:cs="Calibri"/>
          <w:szCs w:val="22"/>
        </w:rPr>
        <w:t xml:space="preserve"> </w:t>
      </w:r>
      <w:r w:rsidR="001667C4" w:rsidRPr="00CD4BB3">
        <w:rPr>
          <w:rFonts w:cs="Calibri"/>
          <w:szCs w:val="22"/>
        </w:rPr>
        <w:t>have been described</w:t>
      </w:r>
      <w:r w:rsidR="002F3B47">
        <w:rPr>
          <w:rFonts w:cs="Calibri"/>
          <w:szCs w:val="22"/>
        </w:rPr>
        <w:t xml:space="preserve"> </w:t>
      </w:r>
      <w:r w:rsidR="001667C4" w:rsidRPr="00CD4BB3">
        <w:rPr>
          <w:rFonts w:cs="Calibri"/>
          <w:szCs w:val="22"/>
        </w:rPr>
        <w:t xml:space="preserve">(2), to our </w:t>
      </w:r>
      <w:r w:rsidR="001667C4">
        <w:rPr>
          <w:rFonts w:cs="Calibri"/>
          <w:color w:val="000000"/>
          <w:szCs w:val="22"/>
        </w:rPr>
        <w:t xml:space="preserve">knowledge, </w:t>
      </w:r>
      <w:r w:rsidR="002D4655">
        <w:rPr>
          <w:rFonts w:cs="Calibri"/>
          <w:color w:val="000000"/>
          <w:szCs w:val="22"/>
        </w:rPr>
        <w:t xml:space="preserve">compliance with </w:t>
      </w:r>
      <w:proofErr w:type="spellStart"/>
      <w:r w:rsidR="002D4655">
        <w:rPr>
          <w:rFonts w:cs="Calibri"/>
          <w:color w:val="000000"/>
          <w:szCs w:val="22"/>
        </w:rPr>
        <w:t>candidaemia</w:t>
      </w:r>
      <w:proofErr w:type="spellEnd"/>
      <w:r w:rsidR="002D4655">
        <w:rPr>
          <w:rFonts w:cs="Calibri"/>
          <w:color w:val="000000"/>
          <w:szCs w:val="22"/>
        </w:rPr>
        <w:t xml:space="preserve"> </w:t>
      </w:r>
      <w:r w:rsidR="00D806F2">
        <w:rPr>
          <w:rFonts w:cs="Calibri"/>
          <w:color w:val="000000"/>
          <w:szCs w:val="22"/>
        </w:rPr>
        <w:t>man</w:t>
      </w:r>
      <w:r w:rsidR="00D71A37">
        <w:rPr>
          <w:rFonts w:cs="Calibri"/>
          <w:color w:val="000000"/>
          <w:szCs w:val="22"/>
        </w:rPr>
        <w:t>a</w:t>
      </w:r>
      <w:r w:rsidR="00D806F2">
        <w:rPr>
          <w:rFonts w:cs="Calibri"/>
          <w:color w:val="000000"/>
          <w:szCs w:val="22"/>
        </w:rPr>
        <w:t xml:space="preserve">gement </w:t>
      </w:r>
      <w:r w:rsidR="002D4655">
        <w:rPr>
          <w:rFonts w:cs="Calibri"/>
          <w:color w:val="000000"/>
          <w:szCs w:val="22"/>
        </w:rPr>
        <w:t>bundles</w:t>
      </w:r>
      <w:r w:rsidR="00B92F6E">
        <w:rPr>
          <w:rFonts w:cs="Calibri"/>
          <w:color w:val="000000"/>
          <w:szCs w:val="22"/>
        </w:rPr>
        <w:t xml:space="preserve"> has not</w:t>
      </w:r>
      <w:r>
        <w:rPr>
          <w:rFonts w:cs="Calibri"/>
          <w:color w:val="000000"/>
          <w:szCs w:val="22"/>
        </w:rPr>
        <w:t xml:space="preserve"> </w:t>
      </w:r>
      <w:r w:rsidR="002D4655">
        <w:rPr>
          <w:rFonts w:cs="Calibri"/>
          <w:color w:val="000000"/>
          <w:szCs w:val="22"/>
        </w:rPr>
        <w:t>(3).</w:t>
      </w:r>
      <w:r w:rsidR="001667C4">
        <w:rPr>
          <w:rFonts w:cs="Calibri"/>
          <w:color w:val="000000"/>
          <w:szCs w:val="22"/>
        </w:rPr>
        <w:t xml:space="preserve">  </w:t>
      </w:r>
    </w:p>
    <w:p w14:paraId="1A1D7012" w14:textId="77777777" w:rsidR="009E1177" w:rsidRDefault="00FC512F" w:rsidP="00C370F7">
      <w:pPr>
        <w:spacing w:line="480" w:lineRule="auto"/>
        <w:ind w:firstLine="720"/>
        <w:rPr>
          <w:rFonts w:cs="Calibri"/>
          <w:color w:val="000000"/>
          <w:szCs w:val="22"/>
        </w:rPr>
      </w:pPr>
      <w:r>
        <w:rPr>
          <w:rFonts w:cs="Calibri"/>
          <w:color w:val="000000"/>
          <w:szCs w:val="22"/>
        </w:rPr>
        <w:t>Here, we present a</w:t>
      </w:r>
      <w:r w:rsidR="00BF5867">
        <w:rPr>
          <w:rFonts w:cs="Calibri"/>
          <w:color w:val="000000"/>
          <w:szCs w:val="22"/>
        </w:rPr>
        <w:t xml:space="preserve"> retrospective review of </w:t>
      </w:r>
      <w:proofErr w:type="spellStart"/>
      <w:r w:rsidR="005B3122">
        <w:rPr>
          <w:rFonts w:cs="Calibri"/>
          <w:color w:val="000000"/>
          <w:szCs w:val="22"/>
        </w:rPr>
        <w:t>candidaemias</w:t>
      </w:r>
      <w:proofErr w:type="spellEnd"/>
      <w:r w:rsidR="005B3122">
        <w:rPr>
          <w:rFonts w:cs="Calibri"/>
          <w:color w:val="000000"/>
          <w:szCs w:val="22"/>
        </w:rPr>
        <w:t xml:space="preserve"> in </w:t>
      </w:r>
      <w:r w:rsidR="00B40F47">
        <w:rPr>
          <w:rFonts w:cs="Calibri"/>
          <w:color w:val="000000"/>
          <w:szCs w:val="22"/>
        </w:rPr>
        <w:t xml:space="preserve">adult </w:t>
      </w:r>
      <w:r w:rsidR="005B3122">
        <w:rPr>
          <w:rFonts w:cs="Calibri"/>
          <w:color w:val="000000"/>
          <w:szCs w:val="22"/>
        </w:rPr>
        <w:t xml:space="preserve">patients </w:t>
      </w:r>
      <w:r w:rsidR="00B40F47">
        <w:rPr>
          <w:rFonts w:cs="Calibri"/>
          <w:color w:val="000000"/>
          <w:szCs w:val="22"/>
        </w:rPr>
        <w:t>(&gt;</w:t>
      </w:r>
      <w:r w:rsidR="005B3122">
        <w:rPr>
          <w:rFonts w:cs="Calibri"/>
          <w:color w:val="000000"/>
          <w:szCs w:val="22"/>
        </w:rPr>
        <w:t xml:space="preserve">17 </w:t>
      </w:r>
      <w:r w:rsidR="00B40F47">
        <w:rPr>
          <w:rFonts w:cs="Calibri"/>
          <w:color w:val="000000"/>
          <w:szCs w:val="22"/>
        </w:rPr>
        <w:t>years)</w:t>
      </w:r>
      <w:r w:rsidR="00A42A0D">
        <w:rPr>
          <w:rFonts w:cs="Calibri"/>
          <w:color w:val="000000"/>
          <w:szCs w:val="22"/>
        </w:rPr>
        <w:t xml:space="preserve"> </w:t>
      </w:r>
      <w:r w:rsidR="006415BB">
        <w:rPr>
          <w:rFonts w:cs="Calibri"/>
          <w:color w:val="000000"/>
          <w:szCs w:val="22"/>
        </w:rPr>
        <w:t>with PCR proven CO</w:t>
      </w:r>
      <w:r w:rsidR="005B3122">
        <w:rPr>
          <w:rFonts w:cs="Calibri"/>
          <w:color w:val="000000"/>
          <w:szCs w:val="22"/>
        </w:rPr>
        <w:t>VID-19 between 1</w:t>
      </w:r>
      <w:r w:rsidR="005B3122" w:rsidRPr="005B3122">
        <w:rPr>
          <w:rFonts w:cs="Calibri"/>
          <w:color w:val="000000"/>
          <w:szCs w:val="22"/>
          <w:vertAlign w:val="superscript"/>
        </w:rPr>
        <w:t>st</w:t>
      </w:r>
      <w:r w:rsidR="005B3122">
        <w:rPr>
          <w:rFonts w:cs="Calibri"/>
          <w:color w:val="000000"/>
          <w:szCs w:val="22"/>
        </w:rPr>
        <w:t xml:space="preserve"> March 2020</w:t>
      </w:r>
      <w:r w:rsidR="00582DD2">
        <w:rPr>
          <w:rFonts w:cs="Calibri"/>
          <w:color w:val="000000"/>
          <w:szCs w:val="22"/>
        </w:rPr>
        <w:t xml:space="preserve"> - </w:t>
      </w:r>
      <w:r w:rsidR="005B3122">
        <w:rPr>
          <w:rFonts w:cs="Calibri"/>
          <w:color w:val="000000"/>
          <w:szCs w:val="22"/>
        </w:rPr>
        <w:t>31</w:t>
      </w:r>
      <w:r w:rsidR="005B3122" w:rsidRPr="005B3122">
        <w:rPr>
          <w:rFonts w:cs="Calibri"/>
          <w:color w:val="000000"/>
          <w:szCs w:val="22"/>
          <w:vertAlign w:val="superscript"/>
        </w:rPr>
        <w:t>st</w:t>
      </w:r>
      <w:r w:rsidR="005B3122">
        <w:rPr>
          <w:rFonts w:cs="Calibri"/>
          <w:color w:val="000000"/>
          <w:szCs w:val="22"/>
        </w:rPr>
        <w:t xml:space="preserve"> May 2020</w:t>
      </w:r>
      <w:r w:rsidR="0005695D">
        <w:rPr>
          <w:rFonts w:cs="Calibri"/>
          <w:color w:val="000000"/>
          <w:szCs w:val="22"/>
        </w:rPr>
        <w:t xml:space="preserve"> </w:t>
      </w:r>
      <w:r w:rsidR="006415BB">
        <w:rPr>
          <w:rFonts w:cs="Calibri"/>
          <w:color w:val="000000"/>
          <w:szCs w:val="22"/>
        </w:rPr>
        <w:t>across six</w:t>
      </w:r>
      <w:r w:rsidR="00156A62">
        <w:rPr>
          <w:rFonts w:cs="Calibri"/>
          <w:color w:val="000000"/>
          <w:szCs w:val="22"/>
        </w:rPr>
        <w:t xml:space="preserve"> acute </w:t>
      </w:r>
      <w:r w:rsidR="00582DD2">
        <w:rPr>
          <w:rFonts w:cs="Calibri"/>
          <w:color w:val="000000"/>
          <w:szCs w:val="22"/>
        </w:rPr>
        <w:t xml:space="preserve">London </w:t>
      </w:r>
      <w:r w:rsidR="00156A62">
        <w:rPr>
          <w:rFonts w:cs="Calibri"/>
          <w:color w:val="000000"/>
          <w:szCs w:val="22"/>
        </w:rPr>
        <w:t>hospitals</w:t>
      </w:r>
      <w:r w:rsidR="005B3122">
        <w:rPr>
          <w:rFonts w:cs="Calibri"/>
          <w:color w:val="000000"/>
          <w:szCs w:val="22"/>
        </w:rPr>
        <w:t>.</w:t>
      </w:r>
      <w:r w:rsidR="00ED0397">
        <w:rPr>
          <w:rFonts w:cs="Calibri"/>
          <w:color w:val="000000"/>
          <w:szCs w:val="22"/>
        </w:rPr>
        <w:t xml:space="preserve"> </w:t>
      </w:r>
      <w:r w:rsidR="00D2604C">
        <w:rPr>
          <w:rFonts w:cs="Calibri"/>
          <w:color w:val="000000"/>
          <w:szCs w:val="22"/>
        </w:rPr>
        <w:t>A</w:t>
      </w:r>
      <w:r w:rsidR="00BF5867">
        <w:rPr>
          <w:rFonts w:cs="Calibri"/>
          <w:color w:val="000000"/>
          <w:szCs w:val="22"/>
        </w:rPr>
        <w:t>ll yeasts isolated from</w:t>
      </w:r>
      <w:r w:rsidR="00D2604C">
        <w:rPr>
          <w:rFonts w:cs="Calibri"/>
          <w:color w:val="000000"/>
          <w:szCs w:val="22"/>
        </w:rPr>
        <w:t xml:space="preserve"> blood cultures were </w:t>
      </w:r>
      <w:r w:rsidR="009521AF" w:rsidRPr="006A5334">
        <w:rPr>
          <w:rFonts w:cs="Calibri"/>
          <w:color w:val="000000"/>
          <w:szCs w:val="22"/>
        </w:rPr>
        <w:t>identified by matrix assisted las</w:t>
      </w:r>
      <w:r w:rsidR="006A5334" w:rsidRPr="006A5334">
        <w:rPr>
          <w:rFonts w:cs="Calibri"/>
          <w:color w:val="000000"/>
          <w:szCs w:val="22"/>
        </w:rPr>
        <w:t>er</w:t>
      </w:r>
      <w:r w:rsidR="006A5334" w:rsidRPr="006A5334">
        <w:rPr>
          <w:rFonts w:ascii="Calibri" w:hAnsi="Calibri"/>
          <w:szCs w:val="22"/>
        </w:rPr>
        <w:t xml:space="preserve"> desorption/</w:t>
      </w:r>
      <w:proofErr w:type="spellStart"/>
      <w:r w:rsidR="006A5334" w:rsidRPr="006A5334">
        <w:rPr>
          <w:rFonts w:ascii="Calibri" w:hAnsi="Calibri"/>
          <w:szCs w:val="22"/>
        </w:rPr>
        <w:t>ionisation</w:t>
      </w:r>
      <w:proofErr w:type="spellEnd"/>
      <w:r w:rsidR="006A5334" w:rsidRPr="006A5334">
        <w:rPr>
          <w:rFonts w:ascii="Calibri" w:hAnsi="Calibri"/>
          <w:szCs w:val="22"/>
        </w:rPr>
        <w:t xml:space="preserve">-time-of-flight (MALDI-TOF) mass spectroscopy (Bruker </w:t>
      </w:r>
      <w:proofErr w:type="spellStart"/>
      <w:r w:rsidR="006A5334" w:rsidRPr="006A5334">
        <w:rPr>
          <w:rFonts w:ascii="Calibri" w:hAnsi="Calibri"/>
          <w:szCs w:val="22"/>
        </w:rPr>
        <w:t>Daltonik</w:t>
      </w:r>
      <w:proofErr w:type="spellEnd"/>
      <w:r w:rsidR="006A5334" w:rsidRPr="006A5334">
        <w:rPr>
          <w:rFonts w:ascii="Calibri" w:hAnsi="Calibri"/>
          <w:szCs w:val="22"/>
        </w:rPr>
        <w:t xml:space="preserve"> GmbH, Bremen, Germany).</w:t>
      </w:r>
      <w:r w:rsidR="00C76450">
        <w:rPr>
          <w:rFonts w:ascii="Calibri" w:hAnsi="Calibri"/>
          <w:szCs w:val="22"/>
        </w:rPr>
        <w:t xml:space="preserve"> </w:t>
      </w:r>
      <w:r w:rsidR="00D2604C" w:rsidRPr="006415BB">
        <w:rPr>
          <w:rFonts w:ascii="Calibri" w:hAnsi="Calibri"/>
          <w:szCs w:val="22"/>
        </w:rPr>
        <w:t xml:space="preserve">Antifungal susceptibility testing was carried out </w:t>
      </w:r>
      <w:r w:rsidR="00C370CB">
        <w:rPr>
          <w:rFonts w:ascii="Calibri" w:hAnsi="Calibri"/>
          <w:szCs w:val="22"/>
        </w:rPr>
        <w:t xml:space="preserve">using </w:t>
      </w:r>
      <w:r w:rsidR="00D2604C" w:rsidRPr="006415BB">
        <w:rPr>
          <w:rFonts w:ascii="Calibri" w:hAnsi="Calibri"/>
          <w:szCs w:val="22"/>
        </w:rPr>
        <w:t xml:space="preserve">broth micro-dilution </w:t>
      </w:r>
      <w:r w:rsidR="00D806F2">
        <w:rPr>
          <w:rFonts w:ascii="Calibri" w:hAnsi="Calibri"/>
          <w:szCs w:val="22"/>
        </w:rPr>
        <w:t xml:space="preserve">in accordance with </w:t>
      </w:r>
      <w:r w:rsidR="002D4655">
        <w:rPr>
          <w:rFonts w:ascii="Calibri" w:hAnsi="Calibri"/>
          <w:szCs w:val="22"/>
        </w:rPr>
        <w:t>EUCAST guidelines</w:t>
      </w:r>
      <w:r w:rsidR="00C370F7">
        <w:rPr>
          <w:rFonts w:ascii="Calibri" w:hAnsi="Calibri"/>
          <w:szCs w:val="22"/>
        </w:rPr>
        <w:t xml:space="preserve"> </w:t>
      </w:r>
      <w:r w:rsidR="002D4655">
        <w:rPr>
          <w:rFonts w:ascii="Calibri" w:hAnsi="Calibri"/>
          <w:szCs w:val="22"/>
        </w:rPr>
        <w:t>(4</w:t>
      </w:r>
      <w:r w:rsidR="006415BB" w:rsidRPr="006415BB">
        <w:rPr>
          <w:rFonts w:ascii="Calibri" w:hAnsi="Calibri"/>
          <w:szCs w:val="22"/>
        </w:rPr>
        <w:t>)</w:t>
      </w:r>
      <w:r w:rsidR="00D2604C" w:rsidRPr="006415BB">
        <w:rPr>
          <w:rFonts w:ascii="Calibri" w:hAnsi="Calibri"/>
          <w:szCs w:val="22"/>
        </w:rPr>
        <w:t>.</w:t>
      </w:r>
      <w:r w:rsidR="00D2604C">
        <w:rPr>
          <w:rFonts w:cs="Calibri"/>
          <w:color w:val="FF0000"/>
          <w:szCs w:val="22"/>
        </w:rPr>
        <w:t xml:space="preserve"> </w:t>
      </w:r>
      <w:r w:rsidR="00C370F7">
        <w:rPr>
          <w:rFonts w:cs="Calibri"/>
          <w:color w:val="000000"/>
          <w:szCs w:val="22"/>
        </w:rPr>
        <w:t>An</w:t>
      </w:r>
      <w:r w:rsidR="0019569B">
        <w:rPr>
          <w:rFonts w:cs="Calibri"/>
          <w:color w:val="000000"/>
          <w:szCs w:val="22"/>
        </w:rPr>
        <w:t xml:space="preserve"> </w:t>
      </w:r>
      <w:r w:rsidR="007017A4">
        <w:rPr>
          <w:rFonts w:cs="Calibri"/>
          <w:color w:val="000000"/>
          <w:szCs w:val="22"/>
        </w:rPr>
        <w:t xml:space="preserve">episode of </w:t>
      </w:r>
      <w:proofErr w:type="spellStart"/>
      <w:r w:rsidR="0019569B">
        <w:rPr>
          <w:rFonts w:cs="Calibri"/>
          <w:color w:val="000000"/>
          <w:szCs w:val="22"/>
        </w:rPr>
        <w:t>candidaemia</w:t>
      </w:r>
      <w:proofErr w:type="spellEnd"/>
      <w:r w:rsidR="0019569B">
        <w:rPr>
          <w:rFonts w:cs="Calibri"/>
          <w:color w:val="000000"/>
          <w:szCs w:val="22"/>
        </w:rPr>
        <w:t xml:space="preserve"> was defined as blood culture growth of any </w:t>
      </w:r>
      <w:r w:rsidR="00E97B15" w:rsidRPr="00E97B15">
        <w:rPr>
          <w:rFonts w:cs="Calibri"/>
          <w:i/>
          <w:iCs/>
          <w:color w:val="000000"/>
          <w:szCs w:val="22"/>
        </w:rPr>
        <w:t>Candida</w:t>
      </w:r>
      <w:r w:rsidR="0019569B">
        <w:rPr>
          <w:rFonts w:cs="Calibri"/>
          <w:color w:val="000000"/>
          <w:szCs w:val="22"/>
        </w:rPr>
        <w:t xml:space="preserve"> </w:t>
      </w:r>
      <w:r w:rsidR="008C2A03">
        <w:rPr>
          <w:rFonts w:cs="Calibri"/>
          <w:color w:val="000000"/>
          <w:szCs w:val="22"/>
        </w:rPr>
        <w:t>species</w:t>
      </w:r>
      <w:r w:rsidR="0019569B">
        <w:rPr>
          <w:rFonts w:cs="Calibri"/>
          <w:color w:val="000000"/>
          <w:szCs w:val="22"/>
        </w:rPr>
        <w:t>.</w:t>
      </w:r>
      <w:r w:rsidR="00C370F7">
        <w:rPr>
          <w:rFonts w:cs="Calibri"/>
          <w:color w:val="000000"/>
          <w:szCs w:val="22"/>
        </w:rPr>
        <w:tab/>
      </w:r>
    </w:p>
    <w:p w14:paraId="76611B68" w14:textId="77777777" w:rsidR="00AB330B" w:rsidRPr="00D2604C" w:rsidRDefault="0085744D" w:rsidP="00C370F7">
      <w:pPr>
        <w:spacing w:line="480" w:lineRule="auto"/>
        <w:ind w:firstLine="720"/>
        <w:rPr>
          <w:rFonts w:cs="Calibri"/>
          <w:color w:val="FF0000"/>
          <w:szCs w:val="22"/>
        </w:rPr>
      </w:pPr>
      <w:r>
        <w:rPr>
          <w:rFonts w:cs="Calibri"/>
          <w:color w:val="000000"/>
          <w:szCs w:val="22"/>
        </w:rPr>
        <w:t>E</w:t>
      </w:r>
      <w:r w:rsidR="00AB330B">
        <w:rPr>
          <w:rFonts w:cs="Calibri"/>
          <w:color w:val="000000"/>
          <w:szCs w:val="22"/>
        </w:rPr>
        <w:t xml:space="preserve">leven patients </w:t>
      </w:r>
      <w:r w:rsidR="008C2A03">
        <w:rPr>
          <w:rFonts w:cs="Calibri"/>
          <w:color w:val="000000"/>
          <w:szCs w:val="22"/>
        </w:rPr>
        <w:t xml:space="preserve">with concurrent </w:t>
      </w:r>
      <w:proofErr w:type="spellStart"/>
      <w:r w:rsidR="008C2A03">
        <w:rPr>
          <w:rFonts w:cs="Calibri"/>
          <w:color w:val="000000"/>
          <w:szCs w:val="22"/>
        </w:rPr>
        <w:t>candidaemia</w:t>
      </w:r>
      <w:proofErr w:type="spellEnd"/>
      <w:r w:rsidR="008C2A03">
        <w:rPr>
          <w:rFonts w:cs="Calibri"/>
          <w:color w:val="000000"/>
          <w:szCs w:val="22"/>
        </w:rPr>
        <w:t xml:space="preserve"> and </w:t>
      </w:r>
      <w:r w:rsidR="00AB330B" w:rsidRPr="00AB330B">
        <w:rPr>
          <w:rFonts w:cs="Calibri"/>
          <w:szCs w:val="22"/>
        </w:rPr>
        <w:t>PCR</w:t>
      </w:r>
      <w:r w:rsidR="00F037C5">
        <w:rPr>
          <w:rFonts w:cs="Calibri"/>
          <w:szCs w:val="22"/>
        </w:rPr>
        <w:t>-</w:t>
      </w:r>
      <w:r w:rsidR="008C2A03">
        <w:rPr>
          <w:rFonts w:cs="Calibri"/>
          <w:szCs w:val="22"/>
        </w:rPr>
        <w:t>proven</w:t>
      </w:r>
      <w:r w:rsidR="00AB330B" w:rsidRPr="00AB330B">
        <w:rPr>
          <w:rFonts w:cs="Calibri"/>
          <w:szCs w:val="22"/>
        </w:rPr>
        <w:t xml:space="preserve"> C</w:t>
      </w:r>
      <w:r w:rsidR="00822DE7">
        <w:rPr>
          <w:rFonts w:cs="Calibri"/>
          <w:szCs w:val="22"/>
        </w:rPr>
        <w:t>O</w:t>
      </w:r>
      <w:r w:rsidR="00AB330B" w:rsidRPr="00AB330B">
        <w:rPr>
          <w:rFonts w:cs="Calibri"/>
          <w:szCs w:val="22"/>
        </w:rPr>
        <w:t>VID-19</w:t>
      </w:r>
      <w:r w:rsidR="008C2A03">
        <w:rPr>
          <w:rFonts w:cs="Calibri"/>
          <w:szCs w:val="22"/>
        </w:rPr>
        <w:t xml:space="preserve"> were identified during the study period</w:t>
      </w:r>
      <w:r w:rsidR="00800B55">
        <w:rPr>
          <w:rFonts w:cs="Calibri"/>
          <w:szCs w:val="22"/>
        </w:rPr>
        <w:t xml:space="preserve">; </w:t>
      </w:r>
      <w:r w:rsidR="00800B55">
        <w:rPr>
          <w:rFonts w:cs="Calibri"/>
          <w:color w:val="000000"/>
          <w:szCs w:val="22"/>
        </w:rPr>
        <w:t>t</w:t>
      </w:r>
      <w:r w:rsidR="00B91F8B">
        <w:rPr>
          <w:rFonts w:cs="Calibri"/>
          <w:color w:val="000000"/>
          <w:szCs w:val="22"/>
        </w:rPr>
        <w:t xml:space="preserve">en </w:t>
      </w:r>
      <w:r w:rsidR="00800B55">
        <w:rPr>
          <w:rFonts w:cs="Calibri"/>
          <w:color w:val="000000"/>
          <w:szCs w:val="22"/>
        </w:rPr>
        <w:t xml:space="preserve">were male (90.9%), </w:t>
      </w:r>
      <w:r w:rsidR="009717BA">
        <w:rPr>
          <w:rFonts w:cs="Calibri"/>
          <w:color w:val="000000"/>
          <w:szCs w:val="22"/>
        </w:rPr>
        <w:t>mean</w:t>
      </w:r>
      <w:r w:rsidR="00800B55">
        <w:rPr>
          <w:rFonts w:cs="Calibri"/>
          <w:color w:val="000000"/>
          <w:szCs w:val="22"/>
        </w:rPr>
        <w:t xml:space="preserve"> age </w:t>
      </w:r>
      <w:r w:rsidR="00F34F7A">
        <w:rPr>
          <w:rFonts w:cs="Calibri"/>
          <w:color w:val="000000"/>
          <w:szCs w:val="22"/>
        </w:rPr>
        <w:t>62 (33</w:t>
      </w:r>
      <w:r w:rsidR="00BB4FA7">
        <w:rPr>
          <w:rFonts w:cs="Calibri"/>
          <w:color w:val="000000"/>
          <w:szCs w:val="22"/>
        </w:rPr>
        <w:t>-</w:t>
      </w:r>
      <w:r w:rsidR="00B91F8B">
        <w:rPr>
          <w:rFonts w:cs="Calibri"/>
          <w:color w:val="000000"/>
          <w:szCs w:val="22"/>
        </w:rPr>
        <w:t>77 years). Underlying comorbidities were predominantly c</w:t>
      </w:r>
      <w:r w:rsidR="00F34F7A">
        <w:rPr>
          <w:rFonts w:cs="Calibri"/>
          <w:color w:val="000000"/>
          <w:szCs w:val="22"/>
        </w:rPr>
        <w:t xml:space="preserve">ardiovascular (10/11). Two patients were </w:t>
      </w:r>
      <w:r w:rsidR="00B91F8B">
        <w:rPr>
          <w:rFonts w:cs="Calibri"/>
          <w:color w:val="000000"/>
          <w:szCs w:val="22"/>
        </w:rPr>
        <w:t>i</w:t>
      </w:r>
      <w:r w:rsidR="0005695D">
        <w:rPr>
          <w:rFonts w:cs="Calibri"/>
          <w:color w:val="000000"/>
          <w:szCs w:val="22"/>
        </w:rPr>
        <w:t xml:space="preserve">mmunosuppressed </w:t>
      </w:r>
      <w:r w:rsidR="005706B5">
        <w:rPr>
          <w:rFonts w:cs="Calibri"/>
          <w:color w:val="000000"/>
          <w:szCs w:val="22"/>
        </w:rPr>
        <w:t>(see Table 1)</w:t>
      </w:r>
      <w:r w:rsidR="005900D2">
        <w:rPr>
          <w:rFonts w:cs="Calibri"/>
          <w:color w:val="000000"/>
          <w:szCs w:val="22"/>
        </w:rPr>
        <w:t>, but n</w:t>
      </w:r>
      <w:r w:rsidR="002A3D94">
        <w:rPr>
          <w:rFonts w:cs="Calibri"/>
          <w:color w:val="000000"/>
          <w:szCs w:val="22"/>
        </w:rPr>
        <w:t xml:space="preserve">eutropenia was not </w:t>
      </w:r>
      <w:r w:rsidR="005900D2">
        <w:rPr>
          <w:rFonts w:cs="Calibri"/>
          <w:color w:val="000000"/>
          <w:szCs w:val="22"/>
        </w:rPr>
        <w:t>identified</w:t>
      </w:r>
      <w:r w:rsidR="002A3D94">
        <w:rPr>
          <w:rFonts w:cs="Calibri"/>
          <w:color w:val="000000"/>
          <w:szCs w:val="22"/>
        </w:rPr>
        <w:t>.</w:t>
      </w:r>
      <w:r w:rsidR="00B3384A">
        <w:rPr>
          <w:rFonts w:cs="Calibri"/>
          <w:color w:val="000000"/>
          <w:szCs w:val="22"/>
        </w:rPr>
        <w:t xml:space="preserve"> </w:t>
      </w:r>
    </w:p>
    <w:p w14:paraId="06655FD1" w14:textId="77777777" w:rsidR="00630E62" w:rsidRDefault="003E2C19" w:rsidP="00630E62">
      <w:pPr>
        <w:spacing w:line="480" w:lineRule="auto"/>
        <w:ind w:firstLine="720"/>
        <w:rPr>
          <w:rFonts w:cs="Calibri"/>
          <w:color w:val="000000"/>
          <w:szCs w:val="22"/>
        </w:rPr>
      </w:pPr>
      <w:r>
        <w:rPr>
          <w:rFonts w:cs="Calibri"/>
          <w:color w:val="000000"/>
          <w:szCs w:val="22"/>
        </w:rPr>
        <w:t xml:space="preserve">Ten </w:t>
      </w:r>
      <w:r w:rsidR="008D2AB0">
        <w:rPr>
          <w:rFonts w:cs="Calibri"/>
          <w:color w:val="000000"/>
          <w:szCs w:val="22"/>
        </w:rPr>
        <w:t>patients (90.9%</w:t>
      </w:r>
      <w:r w:rsidR="00023EEB">
        <w:rPr>
          <w:rFonts w:cs="Calibri"/>
          <w:color w:val="000000"/>
          <w:szCs w:val="22"/>
        </w:rPr>
        <w:t>)</w:t>
      </w:r>
      <w:r w:rsidR="008D2AB0">
        <w:rPr>
          <w:rFonts w:cs="Calibri"/>
          <w:color w:val="000000"/>
          <w:szCs w:val="22"/>
        </w:rPr>
        <w:t xml:space="preserve"> were</w:t>
      </w:r>
      <w:r w:rsidR="000B7411">
        <w:rPr>
          <w:rFonts w:cs="Calibri"/>
          <w:color w:val="000000"/>
          <w:szCs w:val="22"/>
        </w:rPr>
        <w:t xml:space="preserve"> admitted to </w:t>
      </w:r>
      <w:r w:rsidR="002A3D94">
        <w:rPr>
          <w:rFonts w:cs="Calibri"/>
          <w:color w:val="000000"/>
          <w:szCs w:val="22"/>
        </w:rPr>
        <w:t>an intensive care unit (</w:t>
      </w:r>
      <w:r w:rsidR="000B7411">
        <w:rPr>
          <w:rFonts w:cs="Calibri"/>
          <w:color w:val="000000"/>
          <w:szCs w:val="22"/>
        </w:rPr>
        <w:t>ICU</w:t>
      </w:r>
      <w:r w:rsidR="0023191E">
        <w:rPr>
          <w:rFonts w:cs="Calibri"/>
          <w:color w:val="000000"/>
          <w:szCs w:val="22"/>
        </w:rPr>
        <w:t>)</w:t>
      </w:r>
      <w:r w:rsidR="0095170A">
        <w:rPr>
          <w:rFonts w:cs="Calibri"/>
          <w:color w:val="000000"/>
          <w:szCs w:val="22"/>
        </w:rPr>
        <w:t xml:space="preserve"> prior to their </w:t>
      </w:r>
      <w:proofErr w:type="spellStart"/>
      <w:r w:rsidR="0095170A">
        <w:rPr>
          <w:rFonts w:cs="Calibri"/>
          <w:color w:val="000000"/>
          <w:szCs w:val="22"/>
        </w:rPr>
        <w:t>candidaemia</w:t>
      </w:r>
      <w:proofErr w:type="spellEnd"/>
      <w:r w:rsidR="00F037C5">
        <w:rPr>
          <w:rFonts w:cs="Calibri"/>
          <w:color w:val="000000"/>
          <w:szCs w:val="22"/>
        </w:rPr>
        <w:t xml:space="preserve"> diagnosis</w:t>
      </w:r>
      <w:r w:rsidR="0095170A">
        <w:rPr>
          <w:rFonts w:cs="Calibri"/>
          <w:color w:val="000000"/>
          <w:szCs w:val="22"/>
        </w:rPr>
        <w:t>.</w:t>
      </w:r>
      <w:r w:rsidR="000B7411">
        <w:rPr>
          <w:rFonts w:cs="Calibri"/>
          <w:color w:val="000000"/>
          <w:szCs w:val="22"/>
        </w:rPr>
        <w:t xml:space="preserve"> </w:t>
      </w:r>
      <w:r w:rsidR="0095170A">
        <w:rPr>
          <w:rFonts w:cs="Calibri"/>
          <w:color w:val="000000"/>
          <w:szCs w:val="22"/>
        </w:rPr>
        <w:t xml:space="preserve">Of the ICU patients (n=10), all were intubated and ventilated, had an intravascular and urinary catheter </w:t>
      </w:r>
      <w:r w:rsidR="00D806F2">
        <w:rPr>
          <w:rFonts w:cs="Calibri"/>
          <w:color w:val="000000"/>
          <w:szCs w:val="22"/>
        </w:rPr>
        <w:t xml:space="preserve">and received inotropes. </w:t>
      </w:r>
      <w:r w:rsidR="00C755DD">
        <w:rPr>
          <w:rFonts w:cs="Calibri"/>
          <w:color w:val="000000"/>
          <w:szCs w:val="22"/>
        </w:rPr>
        <w:t xml:space="preserve">The </w:t>
      </w:r>
      <w:r w:rsidR="002A0AD5">
        <w:rPr>
          <w:rFonts w:cs="Calibri"/>
          <w:color w:val="000000"/>
          <w:szCs w:val="22"/>
        </w:rPr>
        <w:t>non-</w:t>
      </w:r>
      <w:r w:rsidR="00B2078B">
        <w:rPr>
          <w:rFonts w:cs="Calibri"/>
          <w:color w:val="000000"/>
          <w:szCs w:val="22"/>
        </w:rPr>
        <w:t xml:space="preserve">ICU </w:t>
      </w:r>
      <w:r w:rsidR="002A0AD5">
        <w:rPr>
          <w:rFonts w:cs="Calibri"/>
          <w:color w:val="000000"/>
          <w:szCs w:val="22"/>
        </w:rPr>
        <w:t xml:space="preserve">patient </w:t>
      </w:r>
      <w:r w:rsidR="00B2078B">
        <w:rPr>
          <w:rFonts w:cs="Calibri"/>
          <w:color w:val="000000"/>
          <w:szCs w:val="22"/>
        </w:rPr>
        <w:t xml:space="preserve">also had a urinary catheter. </w:t>
      </w:r>
      <w:r>
        <w:rPr>
          <w:rFonts w:cs="Calibri"/>
          <w:color w:val="000000"/>
          <w:szCs w:val="22"/>
        </w:rPr>
        <w:t xml:space="preserve">Nine </w:t>
      </w:r>
      <w:r w:rsidR="0095170A">
        <w:rPr>
          <w:rFonts w:cs="Calibri"/>
          <w:color w:val="000000"/>
          <w:szCs w:val="22"/>
        </w:rPr>
        <w:t xml:space="preserve">(90%) </w:t>
      </w:r>
      <w:r>
        <w:rPr>
          <w:rFonts w:cs="Calibri"/>
          <w:color w:val="000000"/>
          <w:szCs w:val="22"/>
        </w:rPr>
        <w:t xml:space="preserve">of the </w:t>
      </w:r>
      <w:r w:rsidR="0095170A">
        <w:rPr>
          <w:rFonts w:cs="Calibri"/>
          <w:color w:val="000000"/>
          <w:szCs w:val="22"/>
        </w:rPr>
        <w:t xml:space="preserve">ICU </w:t>
      </w:r>
      <w:r>
        <w:rPr>
          <w:rFonts w:cs="Calibri"/>
          <w:color w:val="000000"/>
          <w:szCs w:val="22"/>
        </w:rPr>
        <w:t xml:space="preserve">patients </w:t>
      </w:r>
      <w:r w:rsidR="0095170A">
        <w:rPr>
          <w:rFonts w:cs="Calibri"/>
          <w:color w:val="000000"/>
          <w:szCs w:val="22"/>
        </w:rPr>
        <w:t xml:space="preserve">received </w:t>
      </w:r>
      <w:proofErr w:type="spellStart"/>
      <w:r w:rsidR="0095170A">
        <w:rPr>
          <w:rFonts w:cs="Calibri"/>
          <w:color w:val="000000"/>
          <w:szCs w:val="22"/>
        </w:rPr>
        <w:t>haemofiltration</w:t>
      </w:r>
      <w:proofErr w:type="spellEnd"/>
      <w:r w:rsidR="0095170A">
        <w:rPr>
          <w:rFonts w:cs="Calibri"/>
          <w:color w:val="000000"/>
          <w:szCs w:val="22"/>
        </w:rPr>
        <w:t>.</w:t>
      </w:r>
      <w:r w:rsidR="0095170A" w:rsidRPr="003C713B">
        <w:rPr>
          <w:rFonts w:cs="Calibri"/>
          <w:color w:val="000000"/>
          <w:szCs w:val="22"/>
        </w:rPr>
        <w:t xml:space="preserve"> </w:t>
      </w:r>
      <w:r w:rsidR="0095170A">
        <w:rPr>
          <w:rFonts w:cs="Calibri"/>
          <w:color w:val="000000"/>
          <w:szCs w:val="22"/>
        </w:rPr>
        <w:t xml:space="preserve">None of the patients </w:t>
      </w:r>
      <w:r w:rsidR="00643903">
        <w:rPr>
          <w:rFonts w:cs="Calibri"/>
          <w:color w:val="000000"/>
          <w:szCs w:val="22"/>
        </w:rPr>
        <w:t>in our cohort</w:t>
      </w:r>
      <w:r w:rsidR="005C7C1C">
        <w:rPr>
          <w:rFonts w:cs="Calibri"/>
          <w:color w:val="000000"/>
          <w:szCs w:val="22"/>
        </w:rPr>
        <w:t xml:space="preserve"> </w:t>
      </w:r>
      <w:r w:rsidR="0095170A">
        <w:rPr>
          <w:rFonts w:cs="Calibri"/>
          <w:color w:val="000000"/>
          <w:szCs w:val="22"/>
        </w:rPr>
        <w:t>received total parenteral nutrition.</w:t>
      </w:r>
    </w:p>
    <w:p w14:paraId="7A19924A" w14:textId="77777777" w:rsidR="0095170A" w:rsidRDefault="000B7411" w:rsidP="00630E62">
      <w:pPr>
        <w:spacing w:line="480" w:lineRule="auto"/>
        <w:ind w:firstLine="720"/>
        <w:rPr>
          <w:rFonts w:cs="Calibri"/>
          <w:color w:val="000000"/>
          <w:szCs w:val="22"/>
        </w:rPr>
      </w:pPr>
      <w:r>
        <w:rPr>
          <w:rFonts w:cs="Calibri"/>
          <w:color w:val="000000"/>
          <w:szCs w:val="22"/>
        </w:rPr>
        <w:t>All</w:t>
      </w:r>
      <w:r w:rsidR="001F543A">
        <w:rPr>
          <w:rFonts w:cs="Calibri"/>
          <w:color w:val="000000"/>
          <w:szCs w:val="22"/>
        </w:rPr>
        <w:t xml:space="preserve"> eleven patients </w:t>
      </w:r>
      <w:r w:rsidR="008D2AB0">
        <w:rPr>
          <w:rFonts w:cs="Calibri"/>
          <w:color w:val="000000"/>
          <w:szCs w:val="22"/>
        </w:rPr>
        <w:t>received broad</w:t>
      </w:r>
      <w:r w:rsidR="00C10427">
        <w:rPr>
          <w:rFonts w:cs="Calibri"/>
          <w:color w:val="000000"/>
          <w:szCs w:val="22"/>
        </w:rPr>
        <w:t>-</w:t>
      </w:r>
      <w:r w:rsidR="008D2AB0">
        <w:rPr>
          <w:rFonts w:cs="Calibri"/>
          <w:color w:val="000000"/>
          <w:szCs w:val="22"/>
        </w:rPr>
        <w:t xml:space="preserve">spectrum </w:t>
      </w:r>
      <w:proofErr w:type="spellStart"/>
      <w:r w:rsidR="008D2AB0">
        <w:rPr>
          <w:rFonts w:cs="Calibri"/>
          <w:color w:val="000000"/>
          <w:szCs w:val="22"/>
        </w:rPr>
        <w:t>ant</w:t>
      </w:r>
      <w:r w:rsidR="008671B9">
        <w:rPr>
          <w:rFonts w:cs="Calibri"/>
          <w:color w:val="000000"/>
          <w:szCs w:val="22"/>
        </w:rPr>
        <w:t>ibacterials</w:t>
      </w:r>
      <w:proofErr w:type="spellEnd"/>
      <w:r w:rsidR="0095170A">
        <w:rPr>
          <w:rFonts w:cs="Calibri"/>
          <w:color w:val="000000"/>
          <w:szCs w:val="22"/>
        </w:rPr>
        <w:t xml:space="preserve">. </w:t>
      </w:r>
      <w:r w:rsidR="003C713B">
        <w:rPr>
          <w:rFonts w:cs="Calibri"/>
          <w:color w:val="000000"/>
          <w:szCs w:val="22"/>
        </w:rPr>
        <w:t>O</w:t>
      </w:r>
      <w:r w:rsidR="007F30F4">
        <w:rPr>
          <w:rFonts w:cs="Calibri"/>
          <w:color w:val="000000"/>
          <w:szCs w:val="22"/>
        </w:rPr>
        <w:t>ne</w:t>
      </w:r>
      <w:r w:rsidR="003C713B">
        <w:rPr>
          <w:rFonts w:cs="Calibri"/>
          <w:color w:val="000000"/>
          <w:szCs w:val="22"/>
        </w:rPr>
        <w:t xml:space="preserve"> patient received prior antifungal </w:t>
      </w:r>
      <w:r w:rsidR="001F543A">
        <w:rPr>
          <w:rFonts w:cs="Calibri"/>
          <w:color w:val="000000"/>
          <w:szCs w:val="22"/>
        </w:rPr>
        <w:t xml:space="preserve">treatment </w:t>
      </w:r>
      <w:r w:rsidR="008C2A03">
        <w:rPr>
          <w:rFonts w:cs="Calibri"/>
          <w:color w:val="000000"/>
          <w:szCs w:val="22"/>
        </w:rPr>
        <w:t xml:space="preserve">in hospital </w:t>
      </w:r>
      <w:r w:rsidR="001F543A">
        <w:rPr>
          <w:rFonts w:cs="Calibri"/>
          <w:color w:val="000000"/>
          <w:szCs w:val="22"/>
        </w:rPr>
        <w:t>with topical c</w:t>
      </w:r>
      <w:r w:rsidR="00B40F47">
        <w:rPr>
          <w:rFonts w:cs="Calibri"/>
          <w:color w:val="000000"/>
          <w:szCs w:val="22"/>
        </w:rPr>
        <w:t>l</w:t>
      </w:r>
      <w:r w:rsidR="001F543A">
        <w:rPr>
          <w:rFonts w:cs="Calibri"/>
          <w:color w:val="000000"/>
          <w:szCs w:val="22"/>
        </w:rPr>
        <w:t xml:space="preserve">otrimazole and </w:t>
      </w:r>
      <w:r w:rsidR="003C713B">
        <w:rPr>
          <w:rFonts w:cs="Calibri"/>
          <w:color w:val="000000"/>
          <w:szCs w:val="22"/>
        </w:rPr>
        <w:t>oral terbinafine for a tinea infection.</w:t>
      </w:r>
      <w:r w:rsidR="000A286C">
        <w:rPr>
          <w:rFonts w:cs="Calibri"/>
          <w:color w:val="000000"/>
          <w:szCs w:val="22"/>
        </w:rPr>
        <w:t xml:space="preserve"> </w:t>
      </w:r>
    </w:p>
    <w:p w14:paraId="420E1805" w14:textId="77777777" w:rsidR="00D2604C" w:rsidRDefault="00AD438D" w:rsidP="00630E62">
      <w:pPr>
        <w:spacing w:line="480" w:lineRule="auto"/>
        <w:ind w:firstLine="720"/>
        <w:rPr>
          <w:rFonts w:cs="Calibri"/>
          <w:color w:val="000000"/>
          <w:szCs w:val="22"/>
        </w:rPr>
      </w:pPr>
      <w:r>
        <w:rPr>
          <w:rFonts w:cs="Calibri"/>
          <w:color w:val="000000"/>
          <w:szCs w:val="22"/>
        </w:rPr>
        <w:t>T</w:t>
      </w:r>
      <w:r w:rsidR="00A90945">
        <w:rPr>
          <w:rFonts w:cs="Calibri"/>
          <w:color w:val="000000"/>
          <w:szCs w:val="22"/>
        </w:rPr>
        <w:t xml:space="preserve">he average number of days from </w:t>
      </w:r>
      <w:r w:rsidR="0031295B">
        <w:rPr>
          <w:rFonts w:cs="Calibri"/>
          <w:color w:val="000000"/>
          <w:szCs w:val="22"/>
        </w:rPr>
        <w:t>PCR</w:t>
      </w:r>
      <w:r w:rsidR="00C755DD">
        <w:rPr>
          <w:rFonts w:cs="Calibri"/>
          <w:color w:val="000000"/>
          <w:szCs w:val="22"/>
        </w:rPr>
        <w:t>-</w:t>
      </w:r>
      <w:r w:rsidR="0031295B">
        <w:rPr>
          <w:rFonts w:cs="Calibri"/>
          <w:color w:val="000000"/>
          <w:szCs w:val="22"/>
        </w:rPr>
        <w:t xml:space="preserve">proven </w:t>
      </w:r>
      <w:r w:rsidR="006441A6">
        <w:rPr>
          <w:rFonts w:cs="Calibri"/>
          <w:color w:val="000000"/>
          <w:szCs w:val="22"/>
        </w:rPr>
        <w:t xml:space="preserve">COVID-19 </w:t>
      </w:r>
      <w:r w:rsidR="005C7C1C">
        <w:rPr>
          <w:rFonts w:cs="Calibri"/>
          <w:color w:val="000000"/>
          <w:szCs w:val="22"/>
        </w:rPr>
        <w:t xml:space="preserve">to </w:t>
      </w:r>
      <w:proofErr w:type="spellStart"/>
      <w:r w:rsidR="005C7C1C">
        <w:rPr>
          <w:rFonts w:cs="Calibri"/>
          <w:color w:val="000000"/>
          <w:szCs w:val="22"/>
        </w:rPr>
        <w:t>candidaemia</w:t>
      </w:r>
      <w:proofErr w:type="spellEnd"/>
      <w:r w:rsidR="005C7C1C">
        <w:rPr>
          <w:rFonts w:cs="Calibri"/>
          <w:color w:val="000000"/>
          <w:szCs w:val="22"/>
        </w:rPr>
        <w:t xml:space="preserve"> was </w:t>
      </w:r>
      <w:r w:rsidR="00FF0C12">
        <w:rPr>
          <w:rFonts w:cs="Calibri"/>
          <w:color w:val="000000"/>
          <w:szCs w:val="22"/>
        </w:rPr>
        <w:t xml:space="preserve">14.8 days and from </w:t>
      </w:r>
      <w:r w:rsidR="00A90945">
        <w:rPr>
          <w:rFonts w:cs="Calibri"/>
          <w:color w:val="000000"/>
          <w:szCs w:val="22"/>
        </w:rPr>
        <w:t>IC</w:t>
      </w:r>
      <w:r>
        <w:rPr>
          <w:rFonts w:cs="Calibri"/>
          <w:color w:val="000000"/>
          <w:szCs w:val="22"/>
        </w:rPr>
        <w:t xml:space="preserve">U admission to </w:t>
      </w:r>
      <w:proofErr w:type="spellStart"/>
      <w:r>
        <w:rPr>
          <w:rFonts w:cs="Calibri"/>
          <w:color w:val="000000"/>
          <w:szCs w:val="22"/>
        </w:rPr>
        <w:t>candidaemia</w:t>
      </w:r>
      <w:proofErr w:type="spellEnd"/>
      <w:r w:rsidR="00FF0C12">
        <w:rPr>
          <w:rFonts w:cs="Calibri"/>
          <w:color w:val="000000"/>
          <w:szCs w:val="22"/>
        </w:rPr>
        <w:t>,</w:t>
      </w:r>
      <w:r>
        <w:rPr>
          <w:rFonts w:cs="Calibri"/>
          <w:color w:val="000000"/>
          <w:szCs w:val="22"/>
        </w:rPr>
        <w:t xml:space="preserve"> 15.5 days (range 6–24 days)</w:t>
      </w:r>
      <w:r w:rsidR="0095170A">
        <w:rPr>
          <w:rFonts w:cs="Calibri"/>
          <w:color w:val="000000"/>
          <w:szCs w:val="22"/>
        </w:rPr>
        <w:t xml:space="preserve">. </w:t>
      </w:r>
      <w:r w:rsidR="00D2604C">
        <w:rPr>
          <w:rFonts w:cs="Calibri"/>
          <w:color w:val="000000"/>
          <w:szCs w:val="22"/>
        </w:rPr>
        <w:t xml:space="preserve">Seven out of </w:t>
      </w:r>
      <w:r w:rsidR="00D2604C">
        <w:rPr>
          <w:rFonts w:cs="Calibri"/>
          <w:color w:val="000000"/>
          <w:szCs w:val="22"/>
        </w:rPr>
        <w:lastRenderedPageBreak/>
        <w:t xml:space="preserve">eleven </w:t>
      </w:r>
      <w:proofErr w:type="spellStart"/>
      <w:r w:rsidR="004A3650">
        <w:rPr>
          <w:rFonts w:cs="Calibri"/>
          <w:color w:val="000000"/>
          <w:szCs w:val="22"/>
        </w:rPr>
        <w:t>candidaemias</w:t>
      </w:r>
      <w:proofErr w:type="spellEnd"/>
      <w:r w:rsidR="00BD79FB">
        <w:rPr>
          <w:rFonts w:cs="Calibri"/>
          <w:color w:val="000000"/>
          <w:szCs w:val="22"/>
        </w:rPr>
        <w:t xml:space="preserve"> </w:t>
      </w:r>
      <w:r w:rsidR="00D2604C">
        <w:rPr>
          <w:rFonts w:cs="Calibri"/>
          <w:color w:val="000000"/>
          <w:szCs w:val="22"/>
        </w:rPr>
        <w:t xml:space="preserve">(63.6%) </w:t>
      </w:r>
      <w:r w:rsidR="004A3650">
        <w:rPr>
          <w:rFonts w:cs="Calibri"/>
          <w:color w:val="000000"/>
          <w:szCs w:val="22"/>
        </w:rPr>
        <w:t>were</w:t>
      </w:r>
      <w:r w:rsidR="008561EE">
        <w:rPr>
          <w:rFonts w:cs="Calibri"/>
          <w:i/>
          <w:color w:val="000000"/>
          <w:szCs w:val="22"/>
        </w:rPr>
        <w:t xml:space="preserve"> </w:t>
      </w:r>
      <w:proofErr w:type="spellStart"/>
      <w:proofErr w:type="gramStart"/>
      <w:r w:rsidR="004A3650">
        <w:rPr>
          <w:rFonts w:cs="Calibri"/>
          <w:i/>
          <w:color w:val="000000"/>
          <w:szCs w:val="22"/>
        </w:rPr>
        <w:t>C.</w:t>
      </w:r>
      <w:r w:rsidR="007D6727" w:rsidRPr="007D6727">
        <w:rPr>
          <w:rFonts w:cs="Calibri"/>
          <w:i/>
          <w:color w:val="000000"/>
          <w:szCs w:val="22"/>
        </w:rPr>
        <w:t>albican</w:t>
      </w:r>
      <w:r w:rsidR="00D2604C">
        <w:rPr>
          <w:rFonts w:cs="Calibri"/>
          <w:color w:val="000000"/>
          <w:szCs w:val="22"/>
        </w:rPr>
        <w:t>s</w:t>
      </w:r>
      <w:proofErr w:type="spellEnd"/>
      <w:proofErr w:type="gramEnd"/>
      <w:r w:rsidR="00D2604C">
        <w:rPr>
          <w:rFonts w:cs="Calibri"/>
          <w:color w:val="000000"/>
          <w:szCs w:val="22"/>
        </w:rPr>
        <w:t xml:space="preserve">, two (18.2%) </w:t>
      </w:r>
      <w:proofErr w:type="spellStart"/>
      <w:r w:rsidR="007D6727" w:rsidRPr="007D6727">
        <w:rPr>
          <w:rFonts w:cs="Calibri"/>
          <w:i/>
          <w:color w:val="000000"/>
          <w:szCs w:val="22"/>
        </w:rPr>
        <w:t>C</w:t>
      </w:r>
      <w:r w:rsidR="004A3650">
        <w:rPr>
          <w:rFonts w:cs="Calibri"/>
          <w:i/>
          <w:color w:val="000000"/>
          <w:szCs w:val="22"/>
        </w:rPr>
        <w:t>.</w:t>
      </w:r>
      <w:r w:rsidR="007D6727" w:rsidRPr="007D6727">
        <w:rPr>
          <w:rFonts w:cs="Calibri"/>
          <w:i/>
          <w:color w:val="000000"/>
          <w:szCs w:val="22"/>
        </w:rPr>
        <w:t>parapsilosis</w:t>
      </w:r>
      <w:proofErr w:type="spellEnd"/>
      <w:r w:rsidR="00D2604C">
        <w:rPr>
          <w:rFonts w:cs="Calibri"/>
          <w:color w:val="000000"/>
          <w:szCs w:val="22"/>
        </w:rPr>
        <w:t xml:space="preserve">, one (9.1%) </w:t>
      </w:r>
      <w:r w:rsidR="004A3650">
        <w:rPr>
          <w:rFonts w:cs="Calibri"/>
          <w:i/>
          <w:color w:val="000000"/>
          <w:szCs w:val="22"/>
        </w:rPr>
        <w:t>C.</w:t>
      </w:r>
      <w:r w:rsidR="007D6727" w:rsidRPr="007D6727">
        <w:rPr>
          <w:rFonts w:cs="Calibri"/>
          <w:i/>
          <w:color w:val="000000"/>
          <w:szCs w:val="22"/>
        </w:rPr>
        <w:t xml:space="preserve"> glabrata</w:t>
      </w:r>
      <w:r w:rsidR="00D2604C">
        <w:rPr>
          <w:rFonts w:cs="Calibri"/>
          <w:color w:val="000000"/>
          <w:szCs w:val="22"/>
        </w:rPr>
        <w:t xml:space="preserve"> and one (9.1%) </w:t>
      </w:r>
      <w:proofErr w:type="spellStart"/>
      <w:r w:rsidR="007D6727" w:rsidRPr="007D6727">
        <w:rPr>
          <w:rFonts w:cs="Calibri"/>
          <w:i/>
          <w:color w:val="000000"/>
          <w:szCs w:val="22"/>
        </w:rPr>
        <w:t>C</w:t>
      </w:r>
      <w:r w:rsidR="004A3650">
        <w:rPr>
          <w:rFonts w:cs="Calibri"/>
          <w:i/>
          <w:color w:val="000000"/>
          <w:szCs w:val="22"/>
        </w:rPr>
        <w:t>.</w:t>
      </w:r>
      <w:r w:rsidR="007D6727" w:rsidRPr="007D6727">
        <w:rPr>
          <w:rFonts w:cs="Calibri"/>
          <w:i/>
          <w:color w:val="000000"/>
          <w:szCs w:val="22"/>
        </w:rPr>
        <w:t>dubliniensis</w:t>
      </w:r>
      <w:proofErr w:type="spellEnd"/>
      <w:r w:rsidR="00D2604C">
        <w:rPr>
          <w:rFonts w:cs="Calibri"/>
          <w:color w:val="000000"/>
          <w:szCs w:val="22"/>
        </w:rPr>
        <w:t xml:space="preserve">. </w:t>
      </w:r>
      <w:r w:rsidR="004A3650">
        <w:rPr>
          <w:rFonts w:cs="Calibri"/>
          <w:color w:val="000000"/>
          <w:szCs w:val="22"/>
        </w:rPr>
        <w:t xml:space="preserve">All isolates were </w:t>
      </w:r>
      <w:r w:rsidR="003F7463">
        <w:rPr>
          <w:rFonts w:cs="Calibri"/>
          <w:color w:val="000000"/>
          <w:szCs w:val="22"/>
        </w:rPr>
        <w:t>flucon</w:t>
      </w:r>
      <w:r w:rsidR="004A3650">
        <w:rPr>
          <w:rFonts w:cs="Calibri"/>
          <w:color w:val="000000"/>
          <w:szCs w:val="22"/>
        </w:rPr>
        <w:t xml:space="preserve">azole </w:t>
      </w:r>
      <w:r w:rsidR="00C755DD">
        <w:rPr>
          <w:rFonts w:cs="Calibri"/>
          <w:color w:val="000000"/>
          <w:szCs w:val="22"/>
        </w:rPr>
        <w:t xml:space="preserve">susceptible, </w:t>
      </w:r>
      <w:r w:rsidR="002A0AD5">
        <w:rPr>
          <w:rFonts w:cs="Calibri"/>
          <w:color w:val="000000"/>
          <w:szCs w:val="22"/>
        </w:rPr>
        <w:t>except one</w:t>
      </w:r>
      <w:r w:rsidR="00BD79FB">
        <w:rPr>
          <w:rFonts w:cs="Calibri"/>
          <w:color w:val="000000"/>
          <w:szCs w:val="22"/>
        </w:rPr>
        <w:t xml:space="preserve"> </w:t>
      </w:r>
      <w:r w:rsidR="00D2604C">
        <w:rPr>
          <w:rFonts w:cs="Calibri"/>
          <w:color w:val="000000"/>
          <w:szCs w:val="22"/>
        </w:rPr>
        <w:t>(</w:t>
      </w:r>
      <w:r w:rsidR="007D6727" w:rsidRPr="007D6727">
        <w:rPr>
          <w:rFonts w:cs="Calibri"/>
          <w:i/>
          <w:color w:val="000000"/>
          <w:szCs w:val="22"/>
        </w:rPr>
        <w:t>Candida glabrata</w:t>
      </w:r>
      <w:r w:rsidR="00D2604C">
        <w:rPr>
          <w:rFonts w:cs="Calibri"/>
          <w:color w:val="000000"/>
          <w:szCs w:val="22"/>
        </w:rPr>
        <w:t>)</w:t>
      </w:r>
      <w:r w:rsidR="00C755DD">
        <w:rPr>
          <w:rFonts w:cs="Calibri"/>
          <w:color w:val="000000"/>
          <w:szCs w:val="22"/>
        </w:rPr>
        <w:t>,</w:t>
      </w:r>
      <w:r w:rsidR="00D2604C">
        <w:rPr>
          <w:rFonts w:cs="Calibri"/>
          <w:color w:val="000000"/>
          <w:szCs w:val="22"/>
        </w:rPr>
        <w:t xml:space="preserve"> </w:t>
      </w:r>
      <w:r w:rsidR="004A3650">
        <w:rPr>
          <w:rFonts w:cs="Calibri"/>
          <w:color w:val="000000"/>
          <w:szCs w:val="22"/>
        </w:rPr>
        <w:t xml:space="preserve">which </w:t>
      </w:r>
      <w:r w:rsidR="00D2604C">
        <w:rPr>
          <w:rFonts w:cs="Calibri"/>
          <w:color w:val="000000"/>
          <w:szCs w:val="22"/>
        </w:rPr>
        <w:t>showed intermedia</w:t>
      </w:r>
      <w:r w:rsidR="006441A6">
        <w:rPr>
          <w:rFonts w:cs="Calibri"/>
          <w:color w:val="000000"/>
          <w:szCs w:val="22"/>
        </w:rPr>
        <w:t>te susceptibility</w:t>
      </w:r>
      <w:r w:rsidR="00D2604C">
        <w:rPr>
          <w:rFonts w:cs="Calibri"/>
          <w:color w:val="000000"/>
          <w:szCs w:val="22"/>
        </w:rPr>
        <w:t xml:space="preserve">, </w:t>
      </w:r>
      <w:r w:rsidR="004A3650">
        <w:rPr>
          <w:rFonts w:cs="Calibri"/>
          <w:color w:val="000000"/>
          <w:szCs w:val="22"/>
        </w:rPr>
        <w:t>although</w:t>
      </w:r>
      <w:r w:rsidR="00D2604C">
        <w:rPr>
          <w:rFonts w:cs="Calibri"/>
          <w:color w:val="000000"/>
          <w:szCs w:val="22"/>
        </w:rPr>
        <w:t xml:space="preserve"> </w:t>
      </w:r>
      <w:r w:rsidR="004A3650">
        <w:rPr>
          <w:rFonts w:cs="Calibri"/>
          <w:color w:val="000000"/>
          <w:szCs w:val="22"/>
        </w:rPr>
        <w:t xml:space="preserve">the patient was successfully </w:t>
      </w:r>
      <w:r w:rsidR="00D71A37">
        <w:rPr>
          <w:rFonts w:cs="Calibri"/>
          <w:color w:val="000000"/>
          <w:szCs w:val="22"/>
        </w:rPr>
        <w:t xml:space="preserve">treated with azole therapy </w:t>
      </w:r>
      <w:r w:rsidR="00571CD4">
        <w:rPr>
          <w:rFonts w:cs="Calibri"/>
          <w:color w:val="000000"/>
          <w:szCs w:val="22"/>
        </w:rPr>
        <w:t>through</w:t>
      </w:r>
      <w:r w:rsidR="006441A6">
        <w:rPr>
          <w:rFonts w:cs="Calibri"/>
          <w:color w:val="000000"/>
          <w:szCs w:val="22"/>
        </w:rPr>
        <w:t xml:space="preserve"> dose-</w:t>
      </w:r>
      <w:proofErr w:type="spellStart"/>
      <w:r w:rsidR="006C56D4">
        <w:rPr>
          <w:rFonts w:cs="Calibri"/>
          <w:color w:val="000000"/>
          <w:szCs w:val="22"/>
        </w:rPr>
        <w:t>optimisation</w:t>
      </w:r>
      <w:proofErr w:type="spellEnd"/>
      <w:r w:rsidR="004A3650">
        <w:rPr>
          <w:rFonts w:cs="Calibri"/>
          <w:color w:val="000000"/>
          <w:szCs w:val="22"/>
        </w:rPr>
        <w:t>.</w:t>
      </w:r>
    </w:p>
    <w:p w14:paraId="31BC4A77" w14:textId="77777777" w:rsidR="00D2604C" w:rsidRDefault="00BD79FB" w:rsidP="00630E62">
      <w:pPr>
        <w:spacing w:line="480" w:lineRule="auto"/>
        <w:ind w:firstLine="720"/>
        <w:rPr>
          <w:rFonts w:cs="Calibri"/>
          <w:color w:val="000000"/>
          <w:szCs w:val="22"/>
        </w:rPr>
      </w:pPr>
      <w:r>
        <w:rPr>
          <w:rFonts w:cs="Calibri"/>
          <w:color w:val="000000"/>
          <w:szCs w:val="22"/>
        </w:rPr>
        <w:t>An</w:t>
      </w:r>
      <w:r w:rsidR="00023EEB">
        <w:rPr>
          <w:rFonts w:cs="Calibri"/>
          <w:color w:val="000000"/>
          <w:szCs w:val="22"/>
        </w:rPr>
        <w:t xml:space="preserve"> echinocandin </w:t>
      </w:r>
      <w:r w:rsidR="003C713B">
        <w:rPr>
          <w:rFonts w:cs="Calibri"/>
          <w:color w:val="000000"/>
          <w:szCs w:val="22"/>
        </w:rPr>
        <w:t xml:space="preserve">was </w:t>
      </w:r>
      <w:r w:rsidR="00735F5D">
        <w:rPr>
          <w:rFonts w:cs="Calibri"/>
          <w:color w:val="000000"/>
          <w:szCs w:val="22"/>
        </w:rPr>
        <w:t xml:space="preserve">commenced </w:t>
      </w:r>
      <w:r w:rsidR="003C713B">
        <w:rPr>
          <w:rFonts w:cs="Calibri"/>
          <w:color w:val="000000"/>
          <w:szCs w:val="22"/>
        </w:rPr>
        <w:t>for ten pat</w:t>
      </w:r>
      <w:r w:rsidR="0092761D">
        <w:rPr>
          <w:rFonts w:cs="Calibri"/>
          <w:color w:val="000000"/>
          <w:szCs w:val="22"/>
        </w:rPr>
        <w:t>ients, as per local guidelines</w:t>
      </w:r>
      <w:r w:rsidR="004A3650">
        <w:rPr>
          <w:rFonts w:cs="Calibri"/>
          <w:color w:val="000000"/>
          <w:szCs w:val="22"/>
        </w:rPr>
        <w:t xml:space="preserve">, pending </w:t>
      </w:r>
      <w:r w:rsidR="006441A6">
        <w:rPr>
          <w:rFonts w:cs="Calibri"/>
          <w:color w:val="000000"/>
          <w:szCs w:val="22"/>
        </w:rPr>
        <w:t>susceptibility testing. O</w:t>
      </w:r>
      <w:r w:rsidR="004A3650">
        <w:rPr>
          <w:rFonts w:cs="Calibri"/>
          <w:color w:val="000000"/>
          <w:szCs w:val="22"/>
        </w:rPr>
        <w:t xml:space="preserve">ne </w:t>
      </w:r>
      <w:r w:rsidR="003C713B">
        <w:rPr>
          <w:rFonts w:cs="Calibri"/>
          <w:color w:val="000000"/>
          <w:szCs w:val="22"/>
        </w:rPr>
        <w:t>patient died prior to blood culture positivity</w:t>
      </w:r>
      <w:r w:rsidR="004B697E">
        <w:rPr>
          <w:rFonts w:cs="Calibri"/>
          <w:color w:val="000000"/>
          <w:szCs w:val="22"/>
        </w:rPr>
        <w:t xml:space="preserve"> and treatment</w:t>
      </w:r>
      <w:r w:rsidR="003C713B">
        <w:rPr>
          <w:rFonts w:cs="Calibri"/>
          <w:color w:val="000000"/>
          <w:szCs w:val="22"/>
        </w:rPr>
        <w:t xml:space="preserve">. Four out of ten (40%) patients were </w:t>
      </w:r>
      <w:r w:rsidR="004B697E">
        <w:rPr>
          <w:rFonts w:cs="Calibri"/>
          <w:color w:val="000000"/>
          <w:szCs w:val="22"/>
        </w:rPr>
        <w:t>switched</w:t>
      </w:r>
      <w:r w:rsidR="004A3650">
        <w:rPr>
          <w:rFonts w:cs="Calibri"/>
          <w:color w:val="000000"/>
          <w:szCs w:val="22"/>
        </w:rPr>
        <w:t xml:space="preserve"> </w:t>
      </w:r>
      <w:r w:rsidR="003C713B">
        <w:rPr>
          <w:rFonts w:cs="Calibri"/>
          <w:color w:val="000000"/>
          <w:szCs w:val="22"/>
        </w:rPr>
        <w:t xml:space="preserve">to </w:t>
      </w:r>
      <w:r w:rsidR="009159E6">
        <w:rPr>
          <w:rFonts w:cs="Calibri"/>
          <w:color w:val="000000"/>
          <w:szCs w:val="22"/>
        </w:rPr>
        <w:t>flucon</w:t>
      </w:r>
      <w:r w:rsidR="003C713B">
        <w:rPr>
          <w:rFonts w:cs="Calibri"/>
          <w:color w:val="000000"/>
          <w:szCs w:val="22"/>
        </w:rPr>
        <w:t xml:space="preserve">azole </w:t>
      </w:r>
      <w:r w:rsidR="004A3650">
        <w:rPr>
          <w:rFonts w:cs="Calibri"/>
          <w:color w:val="000000"/>
          <w:szCs w:val="22"/>
        </w:rPr>
        <w:t>to</w:t>
      </w:r>
      <w:r w:rsidR="003C713B">
        <w:rPr>
          <w:rFonts w:cs="Calibri"/>
          <w:color w:val="000000"/>
          <w:szCs w:val="22"/>
        </w:rPr>
        <w:t xml:space="preserve"> complete </w:t>
      </w:r>
      <w:r w:rsidR="004A3650">
        <w:rPr>
          <w:rFonts w:cs="Calibri"/>
          <w:color w:val="000000"/>
          <w:szCs w:val="22"/>
        </w:rPr>
        <w:t>treatment</w:t>
      </w:r>
      <w:r w:rsidR="003C713B">
        <w:rPr>
          <w:rFonts w:cs="Calibri"/>
          <w:color w:val="000000"/>
          <w:szCs w:val="22"/>
        </w:rPr>
        <w:t>.</w:t>
      </w:r>
      <w:r w:rsidR="000A286C">
        <w:rPr>
          <w:rFonts w:cs="Calibri"/>
          <w:color w:val="000000"/>
          <w:szCs w:val="22"/>
        </w:rPr>
        <w:t xml:space="preserve"> </w:t>
      </w:r>
      <w:r w:rsidR="004A3650">
        <w:rPr>
          <w:rFonts w:cs="Calibri"/>
          <w:color w:val="000000"/>
          <w:szCs w:val="22"/>
        </w:rPr>
        <w:t>In line with recommended practice (</w:t>
      </w:r>
      <w:r w:rsidR="00600BC7">
        <w:rPr>
          <w:rFonts w:cs="Calibri"/>
          <w:color w:val="000000"/>
          <w:szCs w:val="22"/>
        </w:rPr>
        <w:t>3</w:t>
      </w:r>
      <w:r w:rsidR="00F15A0F">
        <w:rPr>
          <w:rFonts w:cs="Calibri"/>
          <w:color w:val="000000"/>
          <w:szCs w:val="22"/>
        </w:rPr>
        <w:t>)</w:t>
      </w:r>
      <w:r w:rsidR="004A3650">
        <w:rPr>
          <w:rFonts w:cs="Calibri"/>
          <w:color w:val="000000"/>
          <w:szCs w:val="22"/>
        </w:rPr>
        <w:t xml:space="preserve"> s</w:t>
      </w:r>
      <w:r w:rsidR="00D2604C">
        <w:rPr>
          <w:rFonts w:cs="Calibri"/>
          <w:color w:val="000000"/>
          <w:szCs w:val="22"/>
        </w:rPr>
        <w:t>ix out of eleven patients (54.5%) had repeat blood cultur</w:t>
      </w:r>
      <w:r w:rsidR="006441A6">
        <w:rPr>
          <w:rFonts w:cs="Calibri"/>
          <w:color w:val="000000"/>
          <w:szCs w:val="22"/>
        </w:rPr>
        <w:t>es within 48 hours of treatment</w:t>
      </w:r>
      <w:r w:rsidR="008561EE">
        <w:rPr>
          <w:rFonts w:cs="Calibri"/>
          <w:color w:val="000000"/>
          <w:szCs w:val="22"/>
        </w:rPr>
        <w:t xml:space="preserve">, </w:t>
      </w:r>
      <w:r w:rsidR="00D2604C">
        <w:rPr>
          <w:rFonts w:cs="Calibri"/>
          <w:color w:val="000000"/>
          <w:szCs w:val="22"/>
        </w:rPr>
        <w:t xml:space="preserve">eight (72.7%) patients had an echocardiogram, but only one (9.1%) had fundoscopy. </w:t>
      </w:r>
      <w:r w:rsidR="00D2604C" w:rsidRPr="006C56D4">
        <w:rPr>
          <w:rFonts w:cs="Calibri"/>
          <w:color w:val="000000"/>
        </w:rPr>
        <w:t xml:space="preserve">Serum </w:t>
      </w:r>
      <w:r w:rsidR="007D6727" w:rsidRPr="007D6727">
        <w:rPr>
          <w:rFonts w:cs="Times"/>
          <w:color w:val="141413"/>
        </w:rPr>
        <w:t>(1</w:t>
      </w:r>
      <w:r w:rsidR="00FF0C12">
        <w:rPr>
          <w:rFonts w:cs="Times New Roman"/>
          <w:color w:val="141413"/>
        </w:rPr>
        <w:t>-</w:t>
      </w:r>
      <w:r w:rsidR="007D6727" w:rsidRPr="007D6727">
        <w:rPr>
          <w:rFonts w:cs="Times"/>
          <w:color w:val="141413"/>
        </w:rPr>
        <w:t>3)-β-D-</w:t>
      </w:r>
      <w:proofErr w:type="gramStart"/>
      <w:r w:rsidR="007D6727" w:rsidRPr="007D6727">
        <w:rPr>
          <w:rFonts w:cs="Times"/>
          <w:color w:val="141413"/>
        </w:rPr>
        <w:t>glucan(</w:t>
      </w:r>
      <w:proofErr w:type="gramEnd"/>
      <w:r w:rsidR="007D6727" w:rsidRPr="007D6727">
        <w:rPr>
          <w:rFonts w:cs="Times"/>
          <w:color w:val="141413"/>
        </w:rPr>
        <w:t>BDG) testing</w:t>
      </w:r>
      <w:r w:rsidR="00FD394B">
        <w:rPr>
          <w:rFonts w:cs="Times"/>
          <w:color w:val="141413"/>
        </w:rPr>
        <w:t xml:space="preserve"> </w:t>
      </w:r>
      <w:r w:rsidR="004A3650">
        <w:rPr>
          <w:rFonts w:cs="Calibri"/>
          <w:color w:val="000000"/>
          <w:szCs w:val="22"/>
        </w:rPr>
        <w:t>was performed</w:t>
      </w:r>
      <w:r w:rsidR="00D2604C">
        <w:rPr>
          <w:rFonts w:cs="Calibri"/>
          <w:color w:val="000000"/>
          <w:szCs w:val="22"/>
        </w:rPr>
        <w:t xml:space="preserve"> in 54.4% (6/11) of patients</w:t>
      </w:r>
      <w:r w:rsidR="00D71A37">
        <w:rPr>
          <w:rFonts w:cs="Calibri"/>
          <w:color w:val="000000"/>
          <w:szCs w:val="22"/>
        </w:rPr>
        <w:t>;</w:t>
      </w:r>
      <w:r w:rsidR="0092761D">
        <w:rPr>
          <w:rFonts w:cs="Calibri"/>
          <w:color w:val="000000"/>
          <w:szCs w:val="22"/>
        </w:rPr>
        <w:t xml:space="preserve"> three </w:t>
      </w:r>
      <w:r w:rsidR="00D2604C">
        <w:rPr>
          <w:rFonts w:cs="Calibri"/>
          <w:color w:val="000000"/>
          <w:szCs w:val="22"/>
        </w:rPr>
        <w:t>were positive</w:t>
      </w:r>
      <w:r w:rsidR="0023191E">
        <w:rPr>
          <w:rFonts w:cs="Calibri"/>
          <w:color w:val="000000"/>
          <w:szCs w:val="22"/>
        </w:rPr>
        <w:t>(see Table 1)</w:t>
      </w:r>
      <w:r w:rsidR="00D2604C">
        <w:rPr>
          <w:rFonts w:cs="Calibri"/>
          <w:color w:val="000000"/>
          <w:szCs w:val="22"/>
        </w:rPr>
        <w:t>.</w:t>
      </w:r>
    </w:p>
    <w:p w14:paraId="1F81781F" w14:textId="77777777" w:rsidR="00963A11" w:rsidRDefault="00963A11" w:rsidP="00630E62">
      <w:pPr>
        <w:spacing w:line="480" w:lineRule="auto"/>
        <w:ind w:firstLine="720"/>
        <w:rPr>
          <w:rFonts w:cs="Calibri"/>
          <w:color w:val="000000"/>
          <w:szCs w:val="22"/>
        </w:rPr>
      </w:pPr>
      <w:r>
        <w:rPr>
          <w:rFonts w:cs="Calibri"/>
          <w:color w:val="000000"/>
          <w:szCs w:val="22"/>
        </w:rPr>
        <w:t>Intravascular catheters were removed for n</w:t>
      </w:r>
      <w:r w:rsidR="003C713B">
        <w:rPr>
          <w:rFonts w:cs="Calibri"/>
          <w:color w:val="000000"/>
          <w:szCs w:val="22"/>
        </w:rPr>
        <w:t>ine out of ten patients (90%)</w:t>
      </w:r>
      <w:r w:rsidR="008561EE">
        <w:rPr>
          <w:rFonts w:cs="Calibri"/>
          <w:color w:val="000000"/>
          <w:szCs w:val="22"/>
        </w:rPr>
        <w:t>,</w:t>
      </w:r>
      <w:r w:rsidR="00206A19">
        <w:rPr>
          <w:rFonts w:cs="Calibri"/>
          <w:color w:val="000000"/>
          <w:szCs w:val="22"/>
        </w:rPr>
        <w:t xml:space="preserve"> </w:t>
      </w:r>
      <w:r>
        <w:rPr>
          <w:rFonts w:cs="Calibri"/>
          <w:color w:val="000000"/>
          <w:szCs w:val="22"/>
        </w:rPr>
        <w:t xml:space="preserve">the last patient </w:t>
      </w:r>
      <w:r w:rsidR="005151F8">
        <w:rPr>
          <w:rFonts w:cs="Calibri"/>
          <w:color w:val="000000"/>
          <w:szCs w:val="22"/>
        </w:rPr>
        <w:t>dying</w:t>
      </w:r>
      <w:r>
        <w:rPr>
          <w:rFonts w:cs="Calibri"/>
          <w:color w:val="000000"/>
          <w:szCs w:val="22"/>
        </w:rPr>
        <w:t xml:space="preserve"> prior to </w:t>
      </w:r>
      <w:proofErr w:type="spellStart"/>
      <w:r w:rsidR="00D71A37">
        <w:rPr>
          <w:rFonts w:cs="Calibri"/>
          <w:color w:val="000000"/>
          <w:szCs w:val="22"/>
        </w:rPr>
        <w:t>candidaemia</w:t>
      </w:r>
      <w:proofErr w:type="spellEnd"/>
      <w:r w:rsidR="00D71A37">
        <w:rPr>
          <w:rFonts w:cs="Calibri"/>
          <w:color w:val="000000"/>
          <w:szCs w:val="22"/>
        </w:rPr>
        <w:t xml:space="preserve"> notification</w:t>
      </w:r>
      <w:r w:rsidR="003C713B">
        <w:rPr>
          <w:rFonts w:cs="Calibri"/>
          <w:color w:val="000000"/>
          <w:szCs w:val="22"/>
        </w:rPr>
        <w:t xml:space="preserve">. </w:t>
      </w:r>
      <w:r w:rsidR="009F1DD9">
        <w:rPr>
          <w:rFonts w:cs="Calibri"/>
          <w:color w:val="000000"/>
          <w:szCs w:val="22"/>
        </w:rPr>
        <w:t xml:space="preserve">Seven out of nine </w:t>
      </w:r>
      <w:r>
        <w:rPr>
          <w:rFonts w:cs="Calibri"/>
          <w:color w:val="000000"/>
          <w:szCs w:val="22"/>
        </w:rPr>
        <w:t>patients had line</w:t>
      </w:r>
      <w:r w:rsidR="009F1DD9">
        <w:rPr>
          <w:rFonts w:cs="Calibri"/>
          <w:color w:val="000000"/>
          <w:szCs w:val="22"/>
        </w:rPr>
        <w:t xml:space="preserve"> </w:t>
      </w:r>
      <w:r w:rsidR="0092761D">
        <w:rPr>
          <w:rFonts w:cs="Calibri"/>
          <w:color w:val="000000"/>
          <w:szCs w:val="22"/>
        </w:rPr>
        <w:t>tips sent for culture</w:t>
      </w:r>
      <w:r w:rsidR="006C56D4">
        <w:rPr>
          <w:rFonts w:cs="Calibri"/>
          <w:color w:val="000000"/>
          <w:szCs w:val="22"/>
        </w:rPr>
        <w:t>;</w:t>
      </w:r>
      <w:r>
        <w:rPr>
          <w:rFonts w:cs="Calibri"/>
          <w:color w:val="000000"/>
          <w:szCs w:val="22"/>
        </w:rPr>
        <w:t xml:space="preserve"> </w:t>
      </w:r>
      <w:r w:rsidR="0092761D">
        <w:rPr>
          <w:rFonts w:cs="Calibri"/>
          <w:color w:val="000000"/>
          <w:szCs w:val="22"/>
        </w:rPr>
        <w:t xml:space="preserve">two </w:t>
      </w:r>
      <w:r w:rsidR="009F1DD9">
        <w:rPr>
          <w:rFonts w:cs="Calibri"/>
          <w:color w:val="000000"/>
          <w:szCs w:val="22"/>
        </w:rPr>
        <w:t xml:space="preserve">were positive for yeasts. One </w:t>
      </w:r>
      <w:r>
        <w:rPr>
          <w:rFonts w:cs="Calibri"/>
          <w:color w:val="000000"/>
          <w:szCs w:val="22"/>
        </w:rPr>
        <w:t xml:space="preserve">line tip </w:t>
      </w:r>
      <w:r w:rsidR="009F1DD9">
        <w:rPr>
          <w:rFonts w:cs="Calibri"/>
          <w:color w:val="000000"/>
          <w:szCs w:val="22"/>
        </w:rPr>
        <w:t>confirmed</w:t>
      </w:r>
      <w:r w:rsidR="00D71A37">
        <w:rPr>
          <w:rFonts w:cs="Calibri"/>
          <w:color w:val="000000"/>
          <w:szCs w:val="22"/>
        </w:rPr>
        <w:t xml:space="preserve"> an</w:t>
      </w:r>
      <w:r w:rsidR="009F1DD9">
        <w:rPr>
          <w:rFonts w:cs="Calibri"/>
          <w:color w:val="000000"/>
          <w:szCs w:val="22"/>
        </w:rPr>
        <w:t xml:space="preserve"> </w:t>
      </w:r>
      <w:r w:rsidR="00571CD4">
        <w:rPr>
          <w:rFonts w:cs="Calibri"/>
          <w:color w:val="000000"/>
          <w:szCs w:val="22"/>
        </w:rPr>
        <w:t xml:space="preserve">identical </w:t>
      </w:r>
      <w:r w:rsidR="00E97B15" w:rsidRPr="00E97B15">
        <w:rPr>
          <w:rFonts w:cs="Calibri"/>
          <w:i/>
          <w:iCs/>
          <w:color w:val="000000"/>
          <w:szCs w:val="22"/>
        </w:rPr>
        <w:t>Candida</w:t>
      </w:r>
      <w:r w:rsidR="009F1DD9">
        <w:rPr>
          <w:rFonts w:cs="Calibri"/>
          <w:color w:val="000000"/>
          <w:szCs w:val="22"/>
        </w:rPr>
        <w:t xml:space="preserve"> spp.</w:t>
      </w:r>
      <w:r w:rsidR="0023191E">
        <w:rPr>
          <w:rFonts w:cs="Calibri"/>
          <w:color w:val="000000"/>
          <w:szCs w:val="22"/>
        </w:rPr>
        <w:t xml:space="preserve">, and hence </w:t>
      </w:r>
      <w:r w:rsidR="00FF0C12">
        <w:rPr>
          <w:rFonts w:cs="Calibri"/>
          <w:color w:val="000000"/>
          <w:szCs w:val="22"/>
        </w:rPr>
        <w:t xml:space="preserve">constituted </w:t>
      </w:r>
      <w:r w:rsidR="0023191E">
        <w:rPr>
          <w:rFonts w:cs="Calibri"/>
          <w:color w:val="000000"/>
          <w:szCs w:val="22"/>
        </w:rPr>
        <w:t>a line infection</w:t>
      </w:r>
      <w:r w:rsidR="009F1DD9">
        <w:rPr>
          <w:rFonts w:cs="Calibri"/>
          <w:color w:val="000000"/>
          <w:szCs w:val="22"/>
        </w:rPr>
        <w:t xml:space="preserve">, but </w:t>
      </w:r>
      <w:r>
        <w:rPr>
          <w:rFonts w:cs="Calibri"/>
          <w:color w:val="000000"/>
          <w:szCs w:val="22"/>
        </w:rPr>
        <w:t>no further identification was available for the second</w:t>
      </w:r>
      <w:r w:rsidR="009F1DD9">
        <w:rPr>
          <w:rFonts w:cs="Calibri"/>
          <w:color w:val="000000"/>
          <w:szCs w:val="22"/>
        </w:rPr>
        <w:t>.</w:t>
      </w:r>
    </w:p>
    <w:p w14:paraId="44E9FC47" w14:textId="77777777" w:rsidR="003160F0" w:rsidRPr="000A286C" w:rsidRDefault="00B83CF0" w:rsidP="00630E62">
      <w:pPr>
        <w:spacing w:line="480" w:lineRule="auto"/>
        <w:ind w:firstLine="720"/>
        <w:rPr>
          <w:rFonts w:cs="Calibri"/>
          <w:color w:val="000000"/>
          <w:szCs w:val="22"/>
        </w:rPr>
      </w:pPr>
      <w:r>
        <w:rPr>
          <w:rFonts w:cs="Calibri"/>
          <w:color w:val="000000"/>
          <w:szCs w:val="22"/>
        </w:rPr>
        <w:t>Four patients had p</w:t>
      </w:r>
      <w:r w:rsidR="00963A11">
        <w:rPr>
          <w:rFonts w:cs="Calibri"/>
          <w:color w:val="000000"/>
          <w:szCs w:val="22"/>
        </w:rPr>
        <w:t>rior colonization with yeasts</w:t>
      </w:r>
      <w:r>
        <w:rPr>
          <w:rFonts w:cs="Calibri"/>
          <w:szCs w:val="22"/>
        </w:rPr>
        <w:t>; o</w:t>
      </w:r>
      <w:r w:rsidR="00963A11">
        <w:rPr>
          <w:rFonts w:cs="Calibri"/>
          <w:szCs w:val="22"/>
        </w:rPr>
        <w:t xml:space="preserve">ne </w:t>
      </w:r>
      <w:r w:rsidR="00963A11" w:rsidRPr="003160F0">
        <w:rPr>
          <w:rFonts w:cs="Calibri"/>
          <w:szCs w:val="22"/>
        </w:rPr>
        <w:t xml:space="preserve">with the same species </w:t>
      </w:r>
      <w:r w:rsidR="00963A11">
        <w:rPr>
          <w:rFonts w:cs="Calibri"/>
          <w:szCs w:val="22"/>
        </w:rPr>
        <w:t>as</w:t>
      </w:r>
      <w:r w:rsidR="00963A11" w:rsidRPr="003160F0">
        <w:rPr>
          <w:rFonts w:cs="Calibri"/>
          <w:szCs w:val="22"/>
        </w:rPr>
        <w:t xml:space="preserve"> the</w:t>
      </w:r>
      <w:r w:rsidR="00963A11">
        <w:rPr>
          <w:rFonts w:cs="Calibri"/>
          <w:szCs w:val="22"/>
        </w:rPr>
        <w:t xml:space="preserve">ir </w:t>
      </w:r>
      <w:proofErr w:type="spellStart"/>
      <w:r w:rsidR="00963A11">
        <w:rPr>
          <w:rFonts w:cs="Calibri"/>
          <w:szCs w:val="22"/>
        </w:rPr>
        <w:t>candidaemia</w:t>
      </w:r>
      <w:proofErr w:type="spellEnd"/>
      <w:r>
        <w:rPr>
          <w:rFonts w:cs="Calibri"/>
          <w:szCs w:val="22"/>
        </w:rPr>
        <w:t>,</w:t>
      </w:r>
      <w:r w:rsidR="00963A11">
        <w:rPr>
          <w:rFonts w:cs="Calibri"/>
          <w:szCs w:val="22"/>
        </w:rPr>
        <w:t xml:space="preserve"> no further identification was available for the remaining three. </w:t>
      </w:r>
      <w:r w:rsidR="003160F0" w:rsidRPr="003160F0">
        <w:rPr>
          <w:rFonts w:cs="Calibri"/>
          <w:szCs w:val="22"/>
        </w:rPr>
        <w:t xml:space="preserve">Five </w:t>
      </w:r>
      <w:r w:rsidR="00571CD4">
        <w:rPr>
          <w:rFonts w:cs="Calibri"/>
          <w:szCs w:val="22"/>
        </w:rPr>
        <w:t xml:space="preserve">patients </w:t>
      </w:r>
      <w:r w:rsidR="003160F0" w:rsidRPr="003160F0">
        <w:rPr>
          <w:rFonts w:cs="Calibri"/>
          <w:szCs w:val="22"/>
        </w:rPr>
        <w:t xml:space="preserve">were not colonized </w:t>
      </w:r>
      <w:r w:rsidR="00963A11">
        <w:rPr>
          <w:rFonts w:cs="Calibri"/>
          <w:szCs w:val="22"/>
        </w:rPr>
        <w:t xml:space="preserve">and </w:t>
      </w:r>
      <w:r w:rsidR="003160F0" w:rsidRPr="003160F0">
        <w:rPr>
          <w:rFonts w:cs="Calibri"/>
          <w:szCs w:val="22"/>
        </w:rPr>
        <w:t xml:space="preserve">two had an unknown status </w:t>
      </w:r>
      <w:r w:rsidR="00963A11">
        <w:rPr>
          <w:rFonts w:cs="Calibri"/>
          <w:szCs w:val="22"/>
        </w:rPr>
        <w:t>following</w:t>
      </w:r>
      <w:r w:rsidR="003160F0" w:rsidRPr="003160F0">
        <w:rPr>
          <w:rFonts w:cs="Calibri"/>
          <w:szCs w:val="22"/>
        </w:rPr>
        <w:t xml:space="preserve"> transfer from other </w:t>
      </w:r>
      <w:r w:rsidR="00735F5D">
        <w:rPr>
          <w:rFonts w:cs="Calibri"/>
          <w:szCs w:val="22"/>
        </w:rPr>
        <w:t>secondary care providers</w:t>
      </w:r>
      <w:r w:rsidR="006C56D4">
        <w:rPr>
          <w:rFonts w:cs="Calibri"/>
          <w:szCs w:val="22"/>
        </w:rPr>
        <w:t>, d</w:t>
      </w:r>
      <w:r w:rsidR="003160F0" w:rsidRPr="003160F0">
        <w:rPr>
          <w:rFonts w:cs="Calibri"/>
          <w:szCs w:val="22"/>
        </w:rPr>
        <w:t>evelop</w:t>
      </w:r>
      <w:r w:rsidR="00CD4BB3">
        <w:rPr>
          <w:rFonts w:cs="Calibri"/>
          <w:szCs w:val="22"/>
        </w:rPr>
        <w:t>ing</w:t>
      </w:r>
      <w:r w:rsidR="003160F0" w:rsidRPr="003160F0">
        <w:rPr>
          <w:rFonts w:cs="Calibri"/>
          <w:szCs w:val="22"/>
        </w:rPr>
        <w:t xml:space="preserve"> </w:t>
      </w:r>
      <w:proofErr w:type="spellStart"/>
      <w:r w:rsidR="003160F0" w:rsidRPr="003160F0">
        <w:rPr>
          <w:rFonts w:cs="Calibri"/>
          <w:szCs w:val="22"/>
        </w:rPr>
        <w:t>candi</w:t>
      </w:r>
      <w:r w:rsidR="0092761D">
        <w:rPr>
          <w:rFonts w:cs="Calibri"/>
          <w:szCs w:val="22"/>
        </w:rPr>
        <w:t>daemia</w:t>
      </w:r>
      <w:proofErr w:type="spellEnd"/>
      <w:r w:rsidR="0092761D">
        <w:rPr>
          <w:rFonts w:cs="Calibri"/>
          <w:szCs w:val="22"/>
        </w:rPr>
        <w:t xml:space="preserve"> shortly after</w:t>
      </w:r>
      <w:r w:rsidR="00963A11">
        <w:rPr>
          <w:rFonts w:cs="Calibri"/>
          <w:szCs w:val="22"/>
        </w:rPr>
        <w:t xml:space="preserve"> transfer</w:t>
      </w:r>
      <w:r w:rsidR="0092761D">
        <w:rPr>
          <w:rFonts w:cs="Calibri"/>
          <w:szCs w:val="22"/>
        </w:rPr>
        <w:t xml:space="preserve">. </w:t>
      </w:r>
    </w:p>
    <w:p w14:paraId="5F80006A" w14:textId="77777777" w:rsidR="00F241F7" w:rsidRDefault="00FF0C12" w:rsidP="00630E62">
      <w:pPr>
        <w:spacing w:line="480" w:lineRule="auto"/>
        <w:ind w:firstLine="720"/>
        <w:rPr>
          <w:rFonts w:cs="Calibri"/>
          <w:color w:val="000000"/>
          <w:szCs w:val="22"/>
        </w:rPr>
      </w:pPr>
      <w:r>
        <w:rPr>
          <w:rFonts w:cs="Calibri"/>
          <w:color w:val="000000"/>
          <w:szCs w:val="22"/>
        </w:rPr>
        <w:t>In concordance with Mastrangelo et al</w:t>
      </w:r>
      <w:r w:rsidR="001327FD">
        <w:rPr>
          <w:rFonts w:cs="Calibri"/>
          <w:color w:val="000000"/>
          <w:szCs w:val="22"/>
        </w:rPr>
        <w:t xml:space="preserve"> </w:t>
      </w:r>
      <w:r>
        <w:rPr>
          <w:rFonts w:cs="Calibri"/>
          <w:color w:val="000000"/>
          <w:szCs w:val="22"/>
        </w:rPr>
        <w:t xml:space="preserve">(1), </w:t>
      </w:r>
      <w:r w:rsidR="002526B7">
        <w:rPr>
          <w:rFonts w:cs="Calibri"/>
          <w:color w:val="000000"/>
          <w:szCs w:val="22"/>
        </w:rPr>
        <w:t>there was a high 30</w:t>
      </w:r>
      <w:r w:rsidR="00206A19">
        <w:rPr>
          <w:rFonts w:cs="Calibri"/>
          <w:color w:val="000000"/>
          <w:szCs w:val="22"/>
        </w:rPr>
        <w:t>-</w:t>
      </w:r>
      <w:r w:rsidR="00F241F7">
        <w:rPr>
          <w:rFonts w:cs="Calibri"/>
          <w:color w:val="000000"/>
          <w:szCs w:val="22"/>
        </w:rPr>
        <w:t xml:space="preserve">day mortality </w:t>
      </w:r>
      <w:r w:rsidR="002526B7">
        <w:rPr>
          <w:rFonts w:cs="Calibri"/>
          <w:color w:val="000000"/>
          <w:szCs w:val="22"/>
        </w:rPr>
        <w:t xml:space="preserve">of </w:t>
      </w:r>
      <w:r w:rsidR="00F241F7">
        <w:rPr>
          <w:rFonts w:cs="Calibri"/>
          <w:color w:val="000000"/>
          <w:szCs w:val="22"/>
        </w:rPr>
        <w:t>54.4% (6/11)</w:t>
      </w:r>
      <w:r>
        <w:rPr>
          <w:rFonts w:cs="Calibri"/>
          <w:color w:val="000000"/>
          <w:szCs w:val="22"/>
        </w:rPr>
        <w:t xml:space="preserve"> in our patient cohort</w:t>
      </w:r>
      <w:r w:rsidR="002526B7">
        <w:rPr>
          <w:rFonts w:cs="Calibri"/>
          <w:color w:val="000000"/>
          <w:szCs w:val="22"/>
        </w:rPr>
        <w:t>.</w:t>
      </w:r>
      <w:r w:rsidR="00F241F7">
        <w:rPr>
          <w:rFonts w:cs="Calibri"/>
          <w:color w:val="000000"/>
          <w:szCs w:val="22"/>
        </w:rPr>
        <w:t xml:space="preserve"> </w:t>
      </w:r>
      <w:r w:rsidR="002526B7">
        <w:rPr>
          <w:rFonts w:cs="Calibri"/>
          <w:color w:val="000000"/>
          <w:szCs w:val="22"/>
        </w:rPr>
        <w:t>The f</w:t>
      </w:r>
      <w:r w:rsidR="00F241F7">
        <w:rPr>
          <w:rFonts w:cs="Calibri"/>
          <w:color w:val="000000"/>
          <w:szCs w:val="22"/>
        </w:rPr>
        <w:t xml:space="preserve">our </w:t>
      </w:r>
      <w:r w:rsidR="0059799D">
        <w:rPr>
          <w:rFonts w:cs="Calibri"/>
          <w:color w:val="000000"/>
          <w:szCs w:val="22"/>
        </w:rPr>
        <w:t xml:space="preserve">surviving </w:t>
      </w:r>
      <w:r w:rsidR="00F241F7">
        <w:rPr>
          <w:rFonts w:cs="Calibri"/>
          <w:color w:val="000000"/>
          <w:szCs w:val="22"/>
        </w:rPr>
        <w:t xml:space="preserve">patients (36.6%) </w:t>
      </w:r>
      <w:r w:rsidR="002526B7">
        <w:rPr>
          <w:rFonts w:cs="Calibri"/>
          <w:color w:val="000000"/>
          <w:szCs w:val="22"/>
        </w:rPr>
        <w:t xml:space="preserve">were </w:t>
      </w:r>
      <w:r w:rsidR="00F241F7">
        <w:rPr>
          <w:rFonts w:cs="Calibri"/>
          <w:color w:val="000000"/>
          <w:szCs w:val="22"/>
        </w:rPr>
        <w:t>discharged</w:t>
      </w:r>
      <w:r w:rsidR="0051697A">
        <w:rPr>
          <w:rFonts w:cs="Calibri"/>
          <w:color w:val="000000"/>
          <w:szCs w:val="22"/>
        </w:rPr>
        <w:t>;</w:t>
      </w:r>
      <w:r w:rsidR="00F241F7">
        <w:rPr>
          <w:rFonts w:cs="Calibri"/>
          <w:color w:val="000000"/>
          <w:szCs w:val="22"/>
        </w:rPr>
        <w:t xml:space="preserve"> average </w:t>
      </w:r>
      <w:r w:rsidR="006D51C0">
        <w:rPr>
          <w:rFonts w:cs="Calibri"/>
          <w:color w:val="000000"/>
          <w:szCs w:val="22"/>
        </w:rPr>
        <w:t xml:space="preserve">total </w:t>
      </w:r>
      <w:r w:rsidR="00F241F7">
        <w:rPr>
          <w:rFonts w:cs="Calibri"/>
          <w:color w:val="000000"/>
          <w:szCs w:val="22"/>
        </w:rPr>
        <w:t>length of stay 58 days (range 31</w:t>
      </w:r>
      <w:r w:rsidR="008561EE">
        <w:rPr>
          <w:rFonts w:cs="Calibri"/>
          <w:color w:val="000000"/>
          <w:szCs w:val="22"/>
        </w:rPr>
        <w:t>-</w:t>
      </w:r>
      <w:r w:rsidR="00F241F7">
        <w:rPr>
          <w:rFonts w:cs="Calibri"/>
          <w:color w:val="000000"/>
          <w:szCs w:val="22"/>
        </w:rPr>
        <w:t>78 days)</w:t>
      </w:r>
      <w:r w:rsidR="0051697A">
        <w:rPr>
          <w:rFonts w:cs="Calibri"/>
          <w:color w:val="000000"/>
          <w:szCs w:val="22"/>
        </w:rPr>
        <w:t>. O</w:t>
      </w:r>
      <w:r w:rsidR="00F241F7">
        <w:rPr>
          <w:rFonts w:cs="Calibri"/>
          <w:color w:val="000000"/>
          <w:szCs w:val="22"/>
        </w:rPr>
        <w:t xml:space="preserve">ne patient was stepped down after nine weeks in ICU </w:t>
      </w:r>
      <w:r w:rsidR="002526B7">
        <w:rPr>
          <w:rFonts w:cs="Calibri"/>
          <w:color w:val="000000"/>
          <w:szCs w:val="22"/>
        </w:rPr>
        <w:t>but remained</w:t>
      </w:r>
      <w:r w:rsidR="00F241F7">
        <w:rPr>
          <w:rFonts w:cs="Calibri"/>
          <w:color w:val="000000"/>
          <w:szCs w:val="22"/>
        </w:rPr>
        <w:t xml:space="preserve"> an inpatient</w:t>
      </w:r>
      <w:r w:rsidR="005151F8">
        <w:rPr>
          <w:rFonts w:cs="Calibri"/>
          <w:color w:val="000000"/>
          <w:szCs w:val="22"/>
        </w:rPr>
        <w:t xml:space="preserve"> until </w:t>
      </w:r>
      <w:r w:rsidR="00611C7E">
        <w:rPr>
          <w:rFonts w:cs="Calibri"/>
          <w:color w:val="000000"/>
          <w:szCs w:val="22"/>
        </w:rPr>
        <w:t xml:space="preserve">the </w:t>
      </w:r>
      <w:r w:rsidR="005151F8">
        <w:rPr>
          <w:rFonts w:cs="Calibri"/>
          <w:color w:val="000000"/>
          <w:szCs w:val="22"/>
        </w:rPr>
        <w:t>end of our study period</w:t>
      </w:r>
      <w:r w:rsidR="00F241F7">
        <w:rPr>
          <w:rFonts w:cs="Calibri"/>
          <w:color w:val="000000"/>
          <w:szCs w:val="22"/>
        </w:rPr>
        <w:t>.</w:t>
      </w:r>
    </w:p>
    <w:p w14:paraId="4C9CCD6E" w14:textId="77777777" w:rsidR="00270193" w:rsidRDefault="00F129CB" w:rsidP="00630E62">
      <w:pPr>
        <w:spacing w:line="480" w:lineRule="auto"/>
        <w:ind w:firstLine="720"/>
        <w:rPr>
          <w:rFonts w:cs="Calibri"/>
          <w:color w:val="000000"/>
          <w:szCs w:val="22"/>
        </w:rPr>
      </w:pPr>
      <w:r>
        <w:rPr>
          <w:rFonts w:cs="Calibri"/>
          <w:color w:val="000000"/>
          <w:szCs w:val="22"/>
        </w:rPr>
        <w:lastRenderedPageBreak/>
        <w:t>Given th</w:t>
      </w:r>
      <w:r w:rsidR="00301A3A">
        <w:rPr>
          <w:rFonts w:cs="Calibri"/>
          <w:color w:val="000000"/>
          <w:szCs w:val="22"/>
        </w:rPr>
        <w:t>e</w:t>
      </w:r>
      <w:r w:rsidR="002526B7">
        <w:rPr>
          <w:rFonts w:cs="Calibri"/>
          <w:color w:val="000000"/>
          <w:szCs w:val="22"/>
        </w:rPr>
        <w:t xml:space="preserve"> </w:t>
      </w:r>
      <w:r w:rsidR="00301A3A">
        <w:rPr>
          <w:rFonts w:cs="Calibri"/>
          <w:color w:val="000000"/>
          <w:szCs w:val="22"/>
        </w:rPr>
        <w:t xml:space="preserve">high </w:t>
      </w:r>
      <w:r w:rsidR="002526B7">
        <w:rPr>
          <w:rFonts w:cs="Calibri"/>
          <w:color w:val="000000"/>
          <w:szCs w:val="22"/>
        </w:rPr>
        <w:t>mortality rate</w:t>
      </w:r>
      <w:r>
        <w:rPr>
          <w:rFonts w:cs="Calibri"/>
          <w:color w:val="000000"/>
          <w:szCs w:val="22"/>
        </w:rPr>
        <w:t xml:space="preserve">, it is important to </w:t>
      </w:r>
      <w:r w:rsidR="00571CD4">
        <w:rPr>
          <w:rFonts w:cs="Calibri"/>
          <w:color w:val="000000"/>
          <w:szCs w:val="22"/>
        </w:rPr>
        <w:t xml:space="preserve">identify and </w:t>
      </w:r>
      <w:r>
        <w:rPr>
          <w:rFonts w:cs="Calibri"/>
          <w:color w:val="000000"/>
          <w:szCs w:val="22"/>
        </w:rPr>
        <w:t xml:space="preserve">address modifiable risk factors </w:t>
      </w:r>
      <w:proofErr w:type="gramStart"/>
      <w:r>
        <w:rPr>
          <w:rFonts w:cs="Calibri"/>
          <w:color w:val="000000"/>
          <w:szCs w:val="22"/>
        </w:rPr>
        <w:t>in an attempt to</w:t>
      </w:r>
      <w:proofErr w:type="gramEnd"/>
      <w:r>
        <w:rPr>
          <w:rFonts w:cs="Calibri"/>
          <w:color w:val="000000"/>
          <w:szCs w:val="22"/>
        </w:rPr>
        <w:t xml:space="preserve"> prevent the occurrence of </w:t>
      </w:r>
      <w:proofErr w:type="spellStart"/>
      <w:r>
        <w:rPr>
          <w:rFonts w:cs="Calibri"/>
          <w:color w:val="000000"/>
          <w:szCs w:val="22"/>
        </w:rPr>
        <w:t>candidaemia</w:t>
      </w:r>
      <w:proofErr w:type="spellEnd"/>
      <w:r>
        <w:rPr>
          <w:rFonts w:cs="Calibri"/>
          <w:color w:val="000000"/>
          <w:szCs w:val="22"/>
        </w:rPr>
        <w:t xml:space="preserve">. </w:t>
      </w:r>
      <w:r w:rsidR="0072170C">
        <w:rPr>
          <w:rFonts w:cs="Calibri"/>
          <w:color w:val="000000"/>
          <w:szCs w:val="22"/>
        </w:rPr>
        <w:t>Firstly, a</w:t>
      </w:r>
      <w:r>
        <w:rPr>
          <w:rFonts w:cs="Calibri"/>
          <w:color w:val="000000"/>
          <w:szCs w:val="22"/>
        </w:rPr>
        <w:t xml:space="preserve">ll </w:t>
      </w:r>
      <w:r w:rsidR="00227308">
        <w:rPr>
          <w:rFonts w:cs="Calibri"/>
          <w:color w:val="000000"/>
          <w:szCs w:val="22"/>
        </w:rPr>
        <w:t xml:space="preserve">our patients </w:t>
      </w:r>
      <w:r w:rsidR="002526B7">
        <w:rPr>
          <w:rFonts w:cs="Calibri"/>
          <w:color w:val="000000"/>
          <w:szCs w:val="22"/>
        </w:rPr>
        <w:t>r</w:t>
      </w:r>
      <w:r w:rsidR="00227308">
        <w:rPr>
          <w:rFonts w:cs="Calibri"/>
          <w:color w:val="000000"/>
          <w:szCs w:val="22"/>
        </w:rPr>
        <w:t>eceived broad-</w:t>
      </w:r>
      <w:r>
        <w:rPr>
          <w:rFonts w:cs="Calibri"/>
          <w:color w:val="000000"/>
          <w:szCs w:val="22"/>
        </w:rPr>
        <w:t xml:space="preserve">spectrum </w:t>
      </w:r>
      <w:proofErr w:type="spellStart"/>
      <w:r w:rsidR="00BA43AC" w:rsidRPr="00E60CC4">
        <w:rPr>
          <w:rFonts w:cs="Calibri"/>
          <w:color w:val="000000"/>
          <w:szCs w:val="22"/>
        </w:rPr>
        <w:t>antibacterials</w:t>
      </w:r>
      <w:proofErr w:type="spellEnd"/>
      <w:r w:rsidR="00BA43AC" w:rsidRPr="00E60CC4">
        <w:rPr>
          <w:rFonts w:cs="Calibri"/>
          <w:color w:val="000000"/>
          <w:szCs w:val="22"/>
        </w:rPr>
        <w:t>,</w:t>
      </w:r>
      <w:r w:rsidR="00227308">
        <w:rPr>
          <w:rFonts w:cs="Calibri"/>
          <w:color w:val="000000"/>
          <w:szCs w:val="22"/>
        </w:rPr>
        <w:t xml:space="preserve"> a recognized risk factor for </w:t>
      </w:r>
      <w:proofErr w:type="spellStart"/>
      <w:r w:rsidR="00227308">
        <w:rPr>
          <w:rFonts w:cs="Calibri"/>
          <w:color w:val="000000"/>
          <w:szCs w:val="22"/>
        </w:rPr>
        <w:t>candidaemia</w:t>
      </w:r>
      <w:proofErr w:type="spellEnd"/>
      <w:r w:rsidR="00630E62">
        <w:rPr>
          <w:rFonts w:cs="Calibri"/>
          <w:color w:val="000000"/>
          <w:szCs w:val="22"/>
        </w:rPr>
        <w:t xml:space="preserve"> </w:t>
      </w:r>
      <w:r w:rsidR="00227308">
        <w:rPr>
          <w:rFonts w:cs="Calibri"/>
          <w:color w:val="000000"/>
          <w:szCs w:val="22"/>
        </w:rPr>
        <w:t>(5</w:t>
      </w:r>
      <w:r w:rsidR="00225527">
        <w:rPr>
          <w:rFonts w:cs="Calibri"/>
          <w:color w:val="000000"/>
          <w:szCs w:val="22"/>
        </w:rPr>
        <w:t>,6</w:t>
      </w:r>
      <w:r w:rsidR="00227308">
        <w:rPr>
          <w:rFonts w:cs="Calibri"/>
          <w:color w:val="000000"/>
          <w:szCs w:val="22"/>
        </w:rPr>
        <w:t>)</w:t>
      </w:r>
      <w:r>
        <w:rPr>
          <w:rFonts w:cs="Calibri"/>
          <w:color w:val="000000"/>
          <w:szCs w:val="22"/>
        </w:rPr>
        <w:t>. A r</w:t>
      </w:r>
      <w:r w:rsidR="002D4655">
        <w:rPr>
          <w:rFonts w:cs="Calibri"/>
          <w:color w:val="000000"/>
          <w:szCs w:val="22"/>
        </w:rPr>
        <w:t>ecent stu</w:t>
      </w:r>
      <w:r w:rsidR="00225527">
        <w:rPr>
          <w:rFonts w:cs="Calibri"/>
          <w:color w:val="000000"/>
          <w:szCs w:val="22"/>
        </w:rPr>
        <w:t>dy from Hughes et al</w:t>
      </w:r>
      <w:r w:rsidR="00630E62">
        <w:rPr>
          <w:rFonts w:cs="Calibri"/>
          <w:color w:val="000000"/>
          <w:szCs w:val="22"/>
        </w:rPr>
        <w:t xml:space="preserve"> </w:t>
      </w:r>
      <w:r w:rsidR="00225527">
        <w:rPr>
          <w:rFonts w:cs="Calibri"/>
          <w:color w:val="000000"/>
          <w:szCs w:val="22"/>
        </w:rPr>
        <w:t>(7</w:t>
      </w:r>
      <w:r>
        <w:rPr>
          <w:rFonts w:cs="Calibri"/>
          <w:color w:val="000000"/>
          <w:szCs w:val="22"/>
        </w:rPr>
        <w:t>) demonstrated a low frequency (3.2%) of early bacterial co-infection in patients hospitalized with C</w:t>
      </w:r>
      <w:r w:rsidR="002526B7">
        <w:rPr>
          <w:rFonts w:cs="Calibri"/>
          <w:color w:val="000000"/>
          <w:szCs w:val="22"/>
        </w:rPr>
        <w:t>O</w:t>
      </w:r>
      <w:r>
        <w:rPr>
          <w:rFonts w:cs="Calibri"/>
          <w:color w:val="000000"/>
          <w:szCs w:val="22"/>
        </w:rPr>
        <w:t xml:space="preserve">VID-19, suggesting </w:t>
      </w:r>
      <w:r w:rsidR="00571CD4">
        <w:rPr>
          <w:rFonts w:cs="Calibri"/>
          <w:color w:val="000000"/>
          <w:szCs w:val="22"/>
        </w:rPr>
        <w:t xml:space="preserve">early </w:t>
      </w:r>
      <w:r>
        <w:rPr>
          <w:rFonts w:cs="Calibri"/>
          <w:color w:val="000000"/>
          <w:szCs w:val="22"/>
        </w:rPr>
        <w:t>broad</w:t>
      </w:r>
      <w:r w:rsidR="00206A19">
        <w:rPr>
          <w:rFonts w:cs="Calibri"/>
          <w:color w:val="000000"/>
          <w:szCs w:val="22"/>
        </w:rPr>
        <w:t>-</w:t>
      </w:r>
      <w:r>
        <w:rPr>
          <w:rFonts w:cs="Calibri"/>
          <w:color w:val="000000"/>
          <w:szCs w:val="22"/>
        </w:rPr>
        <w:t xml:space="preserve">spectrum </w:t>
      </w:r>
      <w:proofErr w:type="spellStart"/>
      <w:r w:rsidR="00BA43AC" w:rsidRPr="00E60CC4">
        <w:rPr>
          <w:rFonts w:cs="Calibri"/>
          <w:color w:val="000000"/>
          <w:szCs w:val="22"/>
        </w:rPr>
        <w:t>anti</w:t>
      </w:r>
      <w:r w:rsidR="00E60CC4" w:rsidRPr="00E60CC4">
        <w:rPr>
          <w:rFonts w:cs="Calibri"/>
          <w:color w:val="000000"/>
          <w:szCs w:val="22"/>
        </w:rPr>
        <w:t>bacter</w:t>
      </w:r>
      <w:r w:rsidR="00BA43AC" w:rsidRPr="00E60CC4">
        <w:rPr>
          <w:rFonts w:cs="Calibri"/>
          <w:color w:val="000000"/>
          <w:szCs w:val="22"/>
        </w:rPr>
        <w:t>ials</w:t>
      </w:r>
      <w:proofErr w:type="spellEnd"/>
      <w:r>
        <w:rPr>
          <w:rFonts w:cs="Calibri"/>
          <w:color w:val="000000"/>
          <w:szCs w:val="22"/>
        </w:rPr>
        <w:t xml:space="preserve"> may not be warranted</w:t>
      </w:r>
      <w:r w:rsidR="0072170C">
        <w:rPr>
          <w:rFonts w:cs="Calibri"/>
          <w:color w:val="000000"/>
          <w:szCs w:val="22"/>
        </w:rPr>
        <w:t>. Hence</w:t>
      </w:r>
      <w:r w:rsidR="005B3B8B">
        <w:rPr>
          <w:rFonts w:cs="Calibri"/>
          <w:color w:val="000000"/>
          <w:szCs w:val="22"/>
        </w:rPr>
        <w:t>,</w:t>
      </w:r>
      <w:r w:rsidR="0072170C">
        <w:rPr>
          <w:rFonts w:cs="Calibri"/>
          <w:color w:val="000000"/>
          <w:szCs w:val="22"/>
        </w:rPr>
        <w:t xml:space="preserve"> antimicrobial stewardship initiatives</w:t>
      </w:r>
      <w:r w:rsidR="00FD27B5">
        <w:rPr>
          <w:rFonts w:cs="Calibri"/>
          <w:color w:val="000000"/>
          <w:szCs w:val="22"/>
        </w:rPr>
        <w:t xml:space="preserve"> </w:t>
      </w:r>
      <w:r w:rsidR="005B3B8B">
        <w:rPr>
          <w:rFonts w:cs="Calibri"/>
          <w:color w:val="000000"/>
          <w:szCs w:val="22"/>
        </w:rPr>
        <w:t>to review</w:t>
      </w:r>
      <w:r w:rsidR="0072170C">
        <w:rPr>
          <w:rFonts w:cs="Calibri"/>
          <w:color w:val="000000"/>
          <w:szCs w:val="22"/>
        </w:rPr>
        <w:t xml:space="preserve"> unnecessary </w:t>
      </w:r>
      <w:r w:rsidR="00BA43AC" w:rsidRPr="00E60CC4">
        <w:rPr>
          <w:rFonts w:cs="Calibri"/>
          <w:color w:val="000000"/>
          <w:szCs w:val="22"/>
        </w:rPr>
        <w:t>anti</w:t>
      </w:r>
      <w:r w:rsidR="00E60CC4">
        <w:rPr>
          <w:rFonts w:cs="Calibri"/>
          <w:color w:val="000000"/>
          <w:szCs w:val="22"/>
        </w:rPr>
        <w:t>bacter</w:t>
      </w:r>
      <w:r w:rsidR="00BA43AC" w:rsidRPr="00E60CC4">
        <w:rPr>
          <w:rFonts w:cs="Calibri"/>
          <w:color w:val="000000"/>
          <w:szCs w:val="22"/>
        </w:rPr>
        <w:t>ial</w:t>
      </w:r>
      <w:r w:rsidR="005B3B8B">
        <w:rPr>
          <w:rFonts w:cs="Calibri"/>
          <w:color w:val="000000"/>
          <w:szCs w:val="22"/>
        </w:rPr>
        <w:t xml:space="preserve"> use</w:t>
      </w:r>
      <w:r w:rsidR="0072170C">
        <w:rPr>
          <w:rFonts w:cs="Calibri"/>
          <w:color w:val="000000"/>
          <w:szCs w:val="22"/>
        </w:rPr>
        <w:t xml:space="preserve"> remain important.</w:t>
      </w:r>
    </w:p>
    <w:p w14:paraId="3681D685" w14:textId="77777777" w:rsidR="00630E62" w:rsidRDefault="00270193" w:rsidP="00630E62">
      <w:pPr>
        <w:spacing w:line="480" w:lineRule="auto"/>
        <w:ind w:firstLine="720"/>
        <w:rPr>
          <w:rFonts w:cs="Calibri"/>
          <w:color w:val="000000"/>
          <w:szCs w:val="22"/>
        </w:rPr>
      </w:pPr>
      <w:r>
        <w:rPr>
          <w:rFonts w:cs="Calibri"/>
          <w:color w:val="000000"/>
          <w:szCs w:val="22"/>
        </w:rPr>
        <w:t>Secondly, intravascular catheters</w:t>
      </w:r>
      <w:r w:rsidR="006441A6">
        <w:rPr>
          <w:rFonts w:cs="Calibri"/>
          <w:color w:val="000000"/>
          <w:szCs w:val="22"/>
        </w:rPr>
        <w:t xml:space="preserve"> </w:t>
      </w:r>
      <w:r w:rsidR="001A2E72">
        <w:rPr>
          <w:rFonts w:cs="Calibri"/>
          <w:color w:val="000000"/>
          <w:szCs w:val="22"/>
        </w:rPr>
        <w:t xml:space="preserve">are </w:t>
      </w:r>
      <w:r>
        <w:rPr>
          <w:rFonts w:cs="Calibri"/>
          <w:color w:val="000000"/>
          <w:szCs w:val="22"/>
        </w:rPr>
        <w:t>a well-</w:t>
      </w:r>
      <w:proofErr w:type="spellStart"/>
      <w:r>
        <w:rPr>
          <w:rFonts w:cs="Calibri"/>
          <w:color w:val="000000"/>
          <w:szCs w:val="22"/>
        </w:rPr>
        <w:t>recognised</w:t>
      </w:r>
      <w:proofErr w:type="spellEnd"/>
      <w:r>
        <w:rPr>
          <w:rFonts w:cs="Calibri"/>
          <w:color w:val="000000"/>
          <w:szCs w:val="22"/>
        </w:rPr>
        <w:t xml:space="preserve"> risk factor for </w:t>
      </w:r>
      <w:proofErr w:type="spellStart"/>
      <w:r>
        <w:rPr>
          <w:rFonts w:cs="Calibri"/>
          <w:color w:val="000000"/>
          <w:szCs w:val="22"/>
        </w:rPr>
        <w:t>candidaemia</w:t>
      </w:r>
      <w:proofErr w:type="spellEnd"/>
      <w:r w:rsidR="002F3B47">
        <w:rPr>
          <w:rFonts w:cs="Calibri"/>
          <w:color w:val="000000"/>
          <w:szCs w:val="22"/>
        </w:rPr>
        <w:t xml:space="preserve"> </w:t>
      </w:r>
      <w:r>
        <w:rPr>
          <w:rFonts w:cs="Calibri"/>
          <w:color w:val="000000"/>
          <w:szCs w:val="22"/>
        </w:rPr>
        <w:t xml:space="preserve">(5) and over </w:t>
      </w:r>
      <w:r w:rsidR="00990659">
        <w:rPr>
          <w:rFonts w:cs="Calibri"/>
          <w:color w:val="000000"/>
          <w:szCs w:val="22"/>
        </w:rPr>
        <w:t>90%</w:t>
      </w:r>
      <w:r w:rsidR="00401EFD">
        <w:rPr>
          <w:rFonts w:cs="Calibri"/>
          <w:color w:val="000000"/>
          <w:szCs w:val="22"/>
        </w:rPr>
        <w:t xml:space="preserve"> </w:t>
      </w:r>
      <w:r>
        <w:rPr>
          <w:rFonts w:cs="Calibri"/>
          <w:color w:val="000000"/>
          <w:szCs w:val="22"/>
        </w:rPr>
        <w:t xml:space="preserve">of our patients had </w:t>
      </w:r>
      <w:r w:rsidR="005B3B8B">
        <w:rPr>
          <w:rFonts w:cs="Calibri"/>
          <w:color w:val="000000"/>
          <w:szCs w:val="22"/>
        </w:rPr>
        <w:t>these</w:t>
      </w:r>
      <w:r>
        <w:rPr>
          <w:rFonts w:cs="Calibri"/>
          <w:color w:val="000000"/>
          <w:szCs w:val="22"/>
        </w:rPr>
        <w:t xml:space="preserve">. The incidence of </w:t>
      </w:r>
      <w:proofErr w:type="spellStart"/>
      <w:r>
        <w:rPr>
          <w:rFonts w:cs="Calibri"/>
          <w:color w:val="000000"/>
          <w:szCs w:val="22"/>
        </w:rPr>
        <w:t>candidaemia</w:t>
      </w:r>
      <w:proofErr w:type="spellEnd"/>
      <w:r>
        <w:rPr>
          <w:rFonts w:cs="Calibri"/>
          <w:color w:val="000000"/>
          <w:szCs w:val="22"/>
        </w:rPr>
        <w:t xml:space="preserve"> observed warrants further consideration</w:t>
      </w:r>
      <w:r w:rsidR="001A2E72">
        <w:rPr>
          <w:rFonts w:cs="Calibri"/>
          <w:color w:val="000000"/>
          <w:szCs w:val="22"/>
        </w:rPr>
        <w:t>,</w:t>
      </w:r>
      <w:r>
        <w:rPr>
          <w:rFonts w:cs="Calibri"/>
          <w:color w:val="000000"/>
          <w:szCs w:val="22"/>
        </w:rPr>
        <w:t xml:space="preserve"> and whilst not compared to pre-COVID</w:t>
      </w:r>
      <w:r w:rsidR="00854690">
        <w:rPr>
          <w:rFonts w:cs="Calibri"/>
          <w:color w:val="000000"/>
          <w:szCs w:val="22"/>
        </w:rPr>
        <w:t>-19</w:t>
      </w:r>
      <w:r>
        <w:rPr>
          <w:rFonts w:cs="Calibri"/>
          <w:color w:val="000000"/>
          <w:szCs w:val="22"/>
        </w:rPr>
        <w:t xml:space="preserve"> incidence</w:t>
      </w:r>
      <w:r w:rsidR="00630E62">
        <w:rPr>
          <w:rFonts w:cs="Calibri"/>
          <w:color w:val="000000"/>
          <w:szCs w:val="22"/>
        </w:rPr>
        <w:t xml:space="preserve"> </w:t>
      </w:r>
      <w:r w:rsidR="005270FB">
        <w:rPr>
          <w:rFonts w:cs="Calibri"/>
          <w:color w:val="000000"/>
          <w:szCs w:val="22"/>
        </w:rPr>
        <w:t>(2</w:t>
      </w:r>
      <w:r w:rsidR="00C10427">
        <w:rPr>
          <w:rFonts w:cs="Calibri"/>
          <w:color w:val="000000"/>
          <w:szCs w:val="22"/>
        </w:rPr>
        <w:t>)</w:t>
      </w:r>
      <w:r>
        <w:rPr>
          <w:rFonts w:cs="Calibri"/>
          <w:color w:val="000000"/>
          <w:szCs w:val="22"/>
        </w:rPr>
        <w:t xml:space="preserve">, may potentially reflect </w:t>
      </w:r>
      <w:r w:rsidR="006441A6">
        <w:rPr>
          <w:rFonts w:cs="Calibri"/>
          <w:color w:val="000000"/>
          <w:szCs w:val="22"/>
        </w:rPr>
        <w:t>pandemic unique challenges</w:t>
      </w:r>
      <w:r>
        <w:rPr>
          <w:rFonts w:cs="Calibri"/>
          <w:color w:val="000000"/>
          <w:szCs w:val="22"/>
        </w:rPr>
        <w:t xml:space="preserve">. Examples include </w:t>
      </w:r>
      <w:r w:rsidR="001A2E72">
        <w:rPr>
          <w:rFonts w:cs="Calibri"/>
          <w:color w:val="000000"/>
          <w:szCs w:val="22"/>
        </w:rPr>
        <w:t xml:space="preserve">increased </w:t>
      </w:r>
      <w:r w:rsidR="00401EFD">
        <w:rPr>
          <w:rFonts w:cs="Calibri"/>
          <w:color w:val="000000"/>
          <w:szCs w:val="22"/>
        </w:rPr>
        <w:t>ICU</w:t>
      </w:r>
      <w:r w:rsidR="001A2E72">
        <w:rPr>
          <w:rFonts w:cs="Calibri"/>
          <w:color w:val="000000"/>
          <w:szCs w:val="22"/>
        </w:rPr>
        <w:t xml:space="preserve"> capacity, </w:t>
      </w:r>
      <w:r>
        <w:rPr>
          <w:rFonts w:cs="Calibri"/>
          <w:color w:val="000000"/>
          <w:szCs w:val="22"/>
        </w:rPr>
        <w:t>redeployment of less-experienced staff to ICU, challenges to aseptic technique with personal</w:t>
      </w:r>
      <w:r w:rsidR="00C6400D">
        <w:rPr>
          <w:rFonts w:cs="Calibri"/>
          <w:color w:val="000000"/>
          <w:szCs w:val="22"/>
        </w:rPr>
        <w:t xml:space="preserve"> protective equipment (PPE), </w:t>
      </w:r>
      <w:r w:rsidR="00BE2B05">
        <w:rPr>
          <w:rFonts w:cs="Calibri"/>
          <w:color w:val="000000"/>
          <w:szCs w:val="22"/>
        </w:rPr>
        <w:t xml:space="preserve">and </w:t>
      </w:r>
      <w:r>
        <w:rPr>
          <w:rFonts w:cs="Calibri"/>
          <w:color w:val="000000"/>
          <w:szCs w:val="22"/>
        </w:rPr>
        <w:t xml:space="preserve">patients requiring re-positioning </w:t>
      </w:r>
      <w:r w:rsidRPr="00BE7F17">
        <w:rPr>
          <w:rFonts w:cs="Calibri"/>
          <w:color w:val="000000"/>
        </w:rPr>
        <w:t xml:space="preserve">to improve </w:t>
      </w:r>
      <w:r w:rsidRPr="00754ED1">
        <w:rPr>
          <w:rFonts w:eastAsia="Times New Roman" w:cs="Times New Roman"/>
          <w:lang w:val="en-GB"/>
        </w:rPr>
        <w:t>oxygenation</w:t>
      </w:r>
      <w:r w:rsidR="00045FC5">
        <w:rPr>
          <w:rFonts w:eastAsia="Times New Roman" w:cs="Times New Roman"/>
          <w:lang w:val="en-GB"/>
        </w:rPr>
        <w:t>,</w:t>
      </w:r>
      <w:r>
        <w:rPr>
          <w:rFonts w:eastAsia="Times New Roman" w:cs="Times New Roman"/>
          <w:lang w:val="en-GB"/>
        </w:rPr>
        <w:t xml:space="preserve"> thus </w:t>
      </w:r>
      <w:r>
        <w:rPr>
          <w:rFonts w:cs="Calibri"/>
          <w:color w:val="000000"/>
          <w:szCs w:val="22"/>
        </w:rPr>
        <w:t>increasing possibility of line displacement</w:t>
      </w:r>
      <w:r w:rsidR="00301A3A">
        <w:rPr>
          <w:rFonts w:cs="Calibri"/>
          <w:color w:val="000000"/>
          <w:szCs w:val="22"/>
        </w:rPr>
        <w:t>/</w:t>
      </w:r>
      <w:r>
        <w:rPr>
          <w:rFonts w:cs="Calibri"/>
          <w:color w:val="000000"/>
          <w:szCs w:val="22"/>
        </w:rPr>
        <w:t xml:space="preserve">contamination. </w:t>
      </w:r>
      <w:r w:rsidR="00F373CA">
        <w:rPr>
          <w:rFonts w:cs="Calibri"/>
          <w:color w:val="000000"/>
          <w:szCs w:val="22"/>
        </w:rPr>
        <w:t>I</w:t>
      </w:r>
      <w:r>
        <w:rPr>
          <w:rFonts w:cs="Calibri"/>
          <w:color w:val="000000"/>
          <w:szCs w:val="22"/>
        </w:rPr>
        <w:t xml:space="preserve">mproved aseptic </w:t>
      </w:r>
      <w:r w:rsidR="00401EFD">
        <w:rPr>
          <w:rFonts w:cs="Calibri"/>
          <w:color w:val="000000"/>
          <w:szCs w:val="22"/>
        </w:rPr>
        <w:t xml:space="preserve">intravascular catheter training </w:t>
      </w:r>
      <w:r>
        <w:rPr>
          <w:rFonts w:cs="Calibri"/>
          <w:color w:val="000000"/>
          <w:szCs w:val="22"/>
        </w:rPr>
        <w:t>focus</w:t>
      </w:r>
      <w:r w:rsidR="00401EFD">
        <w:rPr>
          <w:rFonts w:cs="Calibri"/>
          <w:color w:val="000000"/>
          <w:szCs w:val="22"/>
        </w:rPr>
        <w:t>ing</w:t>
      </w:r>
      <w:r>
        <w:rPr>
          <w:rFonts w:cs="Calibri"/>
          <w:color w:val="000000"/>
          <w:szCs w:val="22"/>
        </w:rPr>
        <w:t xml:space="preserve"> on PPE may </w:t>
      </w:r>
      <w:r w:rsidR="00990659">
        <w:rPr>
          <w:rFonts w:cs="Calibri"/>
          <w:color w:val="000000"/>
          <w:szCs w:val="22"/>
        </w:rPr>
        <w:t xml:space="preserve">be </w:t>
      </w:r>
      <w:r>
        <w:rPr>
          <w:rFonts w:cs="Calibri"/>
          <w:color w:val="000000"/>
          <w:szCs w:val="22"/>
        </w:rPr>
        <w:t>beneficial.</w:t>
      </w:r>
    </w:p>
    <w:p w14:paraId="2E0F72D3" w14:textId="77777777" w:rsidR="00750805" w:rsidRDefault="00750805" w:rsidP="00750805">
      <w:pPr>
        <w:spacing w:line="480" w:lineRule="auto"/>
        <w:ind w:firstLine="720"/>
        <w:rPr>
          <w:rFonts w:cs="Calibri"/>
          <w:color w:val="000000"/>
          <w:szCs w:val="22"/>
        </w:rPr>
      </w:pPr>
      <w:r>
        <w:rPr>
          <w:rFonts w:cs="Calibri"/>
          <w:color w:val="000000"/>
          <w:szCs w:val="22"/>
        </w:rPr>
        <w:t>In addition, although we were unable to identify u</w:t>
      </w:r>
      <w:r w:rsidR="00401EFD">
        <w:rPr>
          <w:rFonts w:cs="Calibri"/>
          <w:color w:val="000000"/>
          <w:szCs w:val="22"/>
        </w:rPr>
        <w:t>rinary catheters as a</w:t>
      </w:r>
      <w:r>
        <w:rPr>
          <w:rFonts w:cs="Calibri"/>
          <w:color w:val="000000"/>
          <w:szCs w:val="22"/>
        </w:rPr>
        <w:t xml:space="preserve"> source in our cohort, they are a</w:t>
      </w:r>
      <w:r w:rsidR="00270193">
        <w:rPr>
          <w:rFonts w:cs="Calibri"/>
          <w:color w:val="000000"/>
          <w:szCs w:val="22"/>
        </w:rPr>
        <w:t xml:space="preserve"> recognized risk factor for </w:t>
      </w:r>
      <w:proofErr w:type="spellStart"/>
      <w:r w:rsidR="00270193">
        <w:rPr>
          <w:rFonts w:cs="Calibri"/>
          <w:color w:val="000000"/>
          <w:szCs w:val="22"/>
        </w:rPr>
        <w:t>candidaemia</w:t>
      </w:r>
      <w:proofErr w:type="spellEnd"/>
      <w:r w:rsidR="00630E62">
        <w:rPr>
          <w:rFonts w:cs="Calibri"/>
          <w:color w:val="000000"/>
          <w:szCs w:val="22"/>
        </w:rPr>
        <w:t xml:space="preserve"> </w:t>
      </w:r>
      <w:r w:rsidR="00270193">
        <w:rPr>
          <w:rFonts w:cs="Calibri"/>
          <w:color w:val="000000"/>
          <w:szCs w:val="22"/>
        </w:rPr>
        <w:t>(6)</w:t>
      </w:r>
      <w:r w:rsidR="00571CD4">
        <w:rPr>
          <w:rFonts w:cs="Calibri"/>
          <w:color w:val="000000"/>
          <w:szCs w:val="22"/>
        </w:rPr>
        <w:t xml:space="preserve"> and all patients in our </w:t>
      </w:r>
      <w:r w:rsidR="00685D1D">
        <w:rPr>
          <w:rFonts w:cs="Calibri"/>
          <w:color w:val="000000"/>
          <w:szCs w:val="22"/>
        </w:rPr>
        <w:t>cohort</w:t>
      </w:r>
      <w:r w:rsidR="00571CD4">
        <w:rPr>
          <w:rFonts w:cs="Calibri"/>
          <w:color w:val="000000"/>
          <w:szCs w:val="22"/>
        </w:rPr>
        <w:t xml:space="preserve"> had </w:t>
      </w:r>
      <w:r w:rsidR="00685D1D">
        <w:rPr>
          <w:rFonts w:cs="Calibri"/>
          <w:color w:val="000000"/>
          <w:szCs w:val="22"/>
        </w:rPr>
        <w:t>these</w:t>
      </w:r>
      <w:r>
        <w:rPr>
          <w:rFonts w:cs="Calibri"/>
          <w:color w:val="000000"/>
          <w:szCs w:val="22"/>
        </w:rPr>
        <w:t xml:space="preserve">. </w:t>
      </w:r>
      <w:r w:rsidR="00571CD4">
        <w:rPr>
          <w:rFonts w:cs="Calibri"/>
          <w:color w:val="000000"/>
          <w:szCs w:val="22"/>
        </w:rPr>
        <w:t xml:space="preserve"> </w:t>
      </w:r>
    </w:p>
    <w:p w14:paraId="21B4DF92" w14:textId="77777777" w:rsidR="00745650" w:rsidRDefault="00270193" w:rsidP="00750805">
      <w:pPr>
        <w:spacing w:line="480" w:lineRule="auto"/>
        <w:ind w:firstLine="720"/>
        <w:rPr>
          <w:rFonts w:cs="Calibri"/>
          <w:color w:val="000000"/>
          <w:szCs w:val="22"/>
        </w:rPr>
      </w:pPr>
      <w:r>
        <w:rPr>
          <w:rFonts w:cs="Calibri"/>
          <w:color w:val="000000"/>
          <w:szCs w:val="22"/>
        </w:rPr>
        <w:t xml:space="preserve">One patient </w:t>
      </w:r>
      <w:r w:rsidR="00FD27B5">
        <w:rPr>
          <w:rFonts w:cs="Calibri"/>
          <w:color w:val="000000"/>
          <w:szCs w:val="22"/>
        </w:rPr>
        <w:t>died</w:t>
      </w:r>
      <w:r>
        <w:rPr>
          <w:rFonts w:cs="Calibri"/>
          <w:color w:val="000000"/>
          <w:szCs w:val="22"/>
        </w:rPr>
        <w:t xml:space="preserve"> prior to </w:t>
      </w:r>
      <w:proofErr w:type="spellStart"/>
      <w:r>
        <w:rPr>
          <w:rFonts w:cs="Calibri"/>
          <w:color w:val="000000"/>
          <w:szCs w:val="22"/>
        </w:rPr>
        <w:t>candidaemia</w:t>
      </w:r>
      <w:proofErr w:type="spellEnd"/>
      <w:r w:rsidR="00F373CA">
        <w:rPr>
          <w:rFonts w:cs="Calibri"/>
          <w:color w:val="000000"/>
          <w:szCs w:val="22"/>
        </w:rPr>
        <w:t xml:space="preserve"> notification</w:t>
      </w:r>
      <w:r w:rsidR="008B194D">
        <w:rPr>
          <w:rFonts w:cs="Calibri"/>
          <w:color w:val="000000"/>
          <w:szCs w:val="22"/>
        </w:rPr>
        <w:t>.</w:t>
      </w:r>
      <w:r>
        <w:rPr>
          <w:rFonts w:cs="Calibri"/>
          <w:color w:val="000000"/>
          <w:szCs w:val="22"/>
        </w:rPr>
        <w:t xml:space="preserve"> </w:t>
      </w:r>
      <w:r w:rsidR="003C6715">
        <w:rPr>
          <w:rFonts w:cs="Calibri"/>
          <w:color w:val="000000"/>
          <w:szCs w:val="22"/>
        </w:rPr>
        <w:t>Ti</w:t>
      </w:r>
      <w:r w:rsidR="008B194D">
        <w:rPr>
          <w:rFonts w:cs="Calibri"/>
          <w:color w:val="000000"/>
          <w:szCs w:val="22"/>
        </w:rPr>
        <w:t>me</w:t>
      </w:r>
      <w:r>
        <w:rPr>
          <w:rFonts w:cs="Calibri"/>
          <w:color w:val="000000"/>
          <w:szCs w:val="22"/>
        </w:rPr>
        <w:t xml:space="preserve"> to</w:t>
      </w:r>
      <w:r w:rsidR="00206A19">
        <w:rPr>
          <w:rFonts w:cs="Calibri"/>
          <w:color w:val="000000"/>
          <w:szCs w:val="22"/>
        </w:rPr>
        <w:t xml:space="preserve"> </w:t>
      </w:r>
      <w:r w:rsidR="00745650">
        <w:rPr>
          <w:rFonts w:cs="Calibri"/>
          <w:color w:val="000000"/>
          <w:szCs w:val="22"/>
        </w:rPr>
        <w:t xml:space="preserve">blood culture positivity may be delayed, particularly </w:t>
      </w:r>
      <w:r w:rsidR="002D4655">
        <w:rPr>
          <w:rFonts w:cs="Calibri"/>
          <w:color w:val="000000"/>
          <w:szCs w:val="22"/>
        </w:rPr>
        <w:t>for non</w:t>
      </w:r>
      <w:r w:rsidR="00225527">
        <w:rPr>
          <w:rFonts w:cs="Calibri"/>
          <w:color w:val="000000"/>
          <w:szCs w:val="22"/>
        </w:rPr>
        <w:t xml:space="preserve">-albicans </w:t>
      </w:r>
      <w:proofErr w:type="spellStart"/>
      <w:r w:rsidR="00225527">
        <w:rPr>
          <w:rFonts w:cs="Calibri"/>
          <w:color w:val="000000"/>
          <w:szCs w:val="22"/>
        </w:rPr>
        <w:t>candidaemias</w:t>
      </w:r>
      <w:proofErr w:type="spellEnd"/>
      <w:r w:rsidR="00630E62">
        <w:rPr>
          <w:rFonts w:cs="Calibri"/>
          <w:color w:val="000000"/>
          <w:szCs w:val="22"/>
        </w:rPr>
        <w:t xml:space="preserve"> </w:t>
      </w:r>
      <w:r w:rsidR="00225527">
        <w:rPr>
          <w:rFonts w:cs="Calibri"/>
          <w:color w:val="000000"/>
          <w:szCs w:val="22"/>
        </w:rPr>
        <w:t>(</w:t>
      </w:r>
      <w:r w:rsidR="00063EA8">
        <w:rPr>
          <w:rFonts w:cs="Calibri"/>
          <w:color w:val="000000"/>
          <w:szCs w:val="22"/>
        </w:rPr>
        <w:t>8</w:t>
      </w:r>
      <w:r w:rsidR="00745650">
        <w:rPr>
          <w:rFonts w:cs="Calibri"/>
          <w:color w:val="000000"/>
          <w:szCs w:val="22"/>
        </w:rPr>
        <w:t>)</w:t>
      </w:r>
      <w:r w:rsidR="009074DE">
        <w:rPr>
          <w:rFonts w:cs="Calibri"/>
          <w:color w:val="000000"/>
          <w:szCs w:val="22"/>
        </w:rPr>
        <w:t>,</w:t>
      </w:r>
      <w:r w:rsidR="00745650">
        <w:rPr>
          <w:rFonts w:cs="Calibri"/>
          <w:color w:val="000000"/>
          <w:szCs w:val="22"/>
        </w:rPr>
        <w:t xml:space="preserve"> and delay in treatment </w:t>
      </w:r>
      <w:r w:rsidR="004F316E">
        <w:rPr>
          <w:rFonts w:cs="Calibri"/>
          <w:color w:val="000000"/>
          <w:szCs w:val="22"/>
        </w:rPr>
        <w:t xml:space="preserve">is </w:t>
      </w:r>
      <w:r w:rsidR="00745650">
        <w:rPr>
          <w:rFonts w:cs="Calibri"/>
          <w:color w:val="000000"/>
          <w:szCs w:val="22"/>
        </w:rPr>
        <w:t>kno</w:t>
      </w:r>
      <w:r w:rsidR="00AB53F8">
        <w:rPr>
          <w:rFonts w:cs="Calibri"/>
          <w:color w:val="000000"/>
          <w:szCs w:val="22"/>
        </w:rPr>
        <w:t>wn to inc</w:t>
      </w:r>
      <w:r w:rsidR="002D4655">
        <w:rPr>
          <w:rFonts w:cs="Calibri"/>
          <w:color w:val="000000"/>
          <w:szCs w:val="22"/>
        </w:rPr>
        <w:t>rease mortality</w:t>
      </w:r>
      <w:r w:rsidR="00630E62">
        <w:rPr>
          <w:rFonts w:cs="Calibri"/>
          <w:color w:val="000000"/>
          <w:szCs w:val="22"/>
        </w:rPr>
        <w:t xml:space="preserve"> </w:t>
      </w:r>
      <w:r w:rsidR="002D4655">
        <w:rPr>
          <w:rFonts w:cs="Calibri"/>
          <w:color w:val="000000"/>
          <w:szCs w:val="22"/>
        </w:rPr>
        <w:t>(</w:t>
      </w:r>
      <w:r w:rsidR="00063EA8">
        <w:rPr>
          <w:rFonts w:cs="Calibri"/>
          <w:color w:val="000000"/>
          <w:szCs w:val="22"/>
        </w:rPr>
        <w:t>9</w:t>
      </w:r>
      <w:r w:rsidR="00AB53F8">
        <w:rPr>
          <w:rFonts w:cs="Calibri"/>
          <w:color w:val="000000"/>
          <w:szCs w:val="22"/>
        </w:rPr>
        <w:t>)</w:t>
      </w:r>
      <w:r w:rsidR="004F316E">
        <w:rPr>
          <w:rFonts w:cs="Calibri"/>
          <w:color w:val="000000"/>
          <w:szCs w:val="22"/>
        </w:rPr>
        <w:t xml:space="preserve">, </w:t>
      </w:r>
      <w:r w:rsidR="003C6715">
        <w:rPr>
          <w:rFonts w:cs="Calibri"/>
          <w:color w:val="000000"/>
          <w:szCs w:val="22"/>
        </w:rPr>
        <w:t xml:space="preserve">therefore, </w:t>
      </w:r>
      <w:r w:rsidR="004F316E">
        <w:rPr>
          <w:rFonts w:cs="Calibri"/>
          <w:color w:val="000000"/>
          <w:szCs w:val="22"/>
        </w:rPr>
        <w:t>non-culture</w:t>
      </w:r>
      <w:r w:rsidR="00F373CA">
        <w:rPr>
          <w:rFonts w:cs="Calibri"/>
          <w:color w:val="000000"/>
          <w:szCs w:val="22"/>
        </w:rPr>
        <w:t>-</w:t>
      </w:r>
      <w:r w:rsidR="004F316E">
        <w:rPr>
          <w:rFonts w:cs="Calibri"/>
          <w:color w:val="000000"/>
          <w:szCs w:val="22"/>
        </w:rPr>
        <w:t xml:space="preserve">based diagnostics such as </w:t>
      </w:r>
      <w:r w:rsidR="007D6727" w:rsidRPr="007D6727">
        <w:rPr>
          <w:rFonts w:cs="Times"/>
          <w:color w:val="141413"/>
        </w:rPr>
        <w:t>galactomannan antigen and BDG</w:t>
      </w:r>
      <w:r w:rsidR="004F316E">
        <w:rPr>
          <w:rFonts w:cs="Calibri"/>
          <w:color w:val="000000"/>
          <w:szCs w:val="22"/>
        </w:rPr>
        <w:t xml:space="preserve"> should be </w:t>
      </w:r>
      <w:r w:rsidR="003C6715">
        <w:rPr>
          <w:rFonts w:cs="Calibri"/>
          <w:color w:val="000000"/>
          <w:szCs w:val="22"/>
        </w:rPr>
        <w:t>combine with clinical data to aid diagnosis</w:t>
      </w:r>
      <w:r w:rsidR="002F3B47">
        <w:rPr>
          <w:rFonts w:cs="Calibri"/>
          <w:color w:val="000000"/>
          <w:szCs w:val="22"/>
        </w:rPr>
        <w:t xml:space="preserve"> </w:t>
      </w:r>
      <w:r w:rsidR="002D4655">
        <w:rPr>
          <w:rFonts w:cs="Calibri"/>
          <w:color w:val="000000"/>
          <w:szCs w:val="22"/>
        </w:rPr>
        <w:t>(1</w:t>
      </w:r>
      <w:r w:rsidR="00063EA8">
        <w:rPr>
          <w:rFonts w:cs="Calibri"/>
          <w:color w:val="000000"/>
          <w:szCs w:val="22"/>
        </w:rPr>
        <w:t>0</w:t>
      </w:r>
      <w:r w:rsidR="00745650">
        <w:rPr>
          <w:rFonts w:cs="Calibri"/>
          <w:color w:val="000000"/>
          <w:szCs w:val="22"/>
        </w:rPr>
        <w:t xml:space="preserve">).  </w:t>
      </w:r>
      <w:r w:rsidR="004B08AD">
        <w:rPr>
          <w:rFonts w:cs="Calibri"/>
          <w:color w:val="000000"/>
          <w:szCs w:val="22"/>
        </w:rPr>
        <w:t>54.4% (n=6)</w:t>
      </w:r>
      <w:r w:rsidR="00745650">
        <w:rPr>
          <w:rFonts w:cs="Calibri"/>
          <w:color w:val="000000"/>
          <w:szCs w:val="22"/>
        </w:rPr>
        <w:t xml:space="preserve"> of the patients </w:t>
      </w:r>
      <w:r w:rsidR="00D806F2">
        <w:rPr>
          <w:rFonts w:cs="Calibri"/>
          <w:color w:val="000000"/>
          <w:szCs w:val="22"/>
        </w:rPr>
        <w:t>were</w:t>
      </w:r>
      <w:r w:rsidR="00745650">
        <w:rPr>
          <w:rFonts w:cs="Calibri"/>
          <w:color w:val="000000"/>
          <w:szCs w:val="22"/>
        </w:rPr>
        <w:t xml:space="preserve"> tested </w:t>
      </w:r>
      <w:r w:rsidR="00792795">
        <w:rPr>
          <w:rFonts w:cs="Calibri"/>
          <w:color w:val="000000"/>
          <w:szCs w:val="22"/>
        </w:rPr>
        <w:t>for BDG</w:t>
      </w:r>
      <w:r w:rsidR="00745650">
        <w:rPr>
          <w:rFonts w:cs="Calibri"/>
          <w:color w:val="000000"/>
          <w:szCs w:val="22"/>
        </w:rPr>
        <w:t xml:space="preserve">, and of those, </w:t>
      </w:r>
      <w:r w:rsidR="00D806F2">
        <w:rPr>
          <w:rFonts w:cs="Calibri"/>
          <w:color w:val="000000"/>
          <w:szCs w:val="22"/>
        </w:rPr>
        <w:t xml:space="preserve">50% </w:t>
      </w:r>
      <w:r w:rsidR="00745650">
        <w:rPr>
          <w:rFonts w:cs="Calibri"/>
          <w:color w:val="000000"/>
          <w:szCs w:val="22"/>
        </w:rPr>
        <w:t xml:space="preserve">(n=3) were positive. </w:t>
      </w:r>
      <w:r w:rsidR="00495226" w:rsidRPr="00495226">
        <w:rPr>
          <w:rFonts w:cs="Calibri"/>
          <w:color w:val="000000"/>
          <w:szCs w:val="22"/>
        </w:rPr>
        <w:lastRenderedPageBreak/>
        <w:t xml:space="preserve">Although not </w:t>
      </w:r>
      <w:r w:rsidR="00495226">
        <w:rPr>
          <w:rFonts w:cs="Calibri"/>
          <w:color w:val="000000"/>
          <w:szCs w:val="22"/>
        </w:rPr>
        <w:t>possible to demonstrate</w:t>
      </w:r>
      <w:r w:rsidR="00495226" w:rsidRPr="00495226">
        <w:rPr>
          <w:rFonts w:cs="Calibri"/>
          <w:color w:val="000000"/>
          <w:szCs w:val="22"/>
        </w:rPr>
        <w:t xml:space="preserve"> in </w:t>
      </w:r>
      <w:r w:rsidR="00FD27B5">
        <w:rPr>
          <w:rFonts w:cs="Calibri"/>
          <w:color w:val="000000"/>
          <w:szCs w:val="22"/>
        </w:rPr>
        <w:t>this patient cohort</w:t>
      </w:r>
      <w:r w:rsidR="00745650" w:rsidRPr="00495226">
        <w:rPr>
          <w:rFonts w:cs="Calibri"/>
          <w:color w:val="000000"/>
          <w:szCs w:val="22"/>
        </w:rPr>
        <w:t xml:space="preserve">, </w:t>
      </w:r>
      <w:r w:rsidR="00D806F2">
        <w:rPr>
          <w:rFonts w:cs="Calibri"/>
          <w:color w:val="000000"/>
          <w:szCs w:val="22"/>
        </w:rPr>
        <w:t xml:space="preserve">an early </w:t>
      </w:r>
      <w:r w:rsidR="00990659">
        <w:rPr>
          <w:rFonts w:cs="Calibri"/>
          <w:color w:val="000000"/>
          <w:szCs w:val="22"/>
        </w:rPr>
        <w:t xml:space="preserve">positive </w:t>
      </w:r>
      <w:r w:rsidR="00F373CA">
        <w:rPr>
          <w:rFonts w:cs="Calibri"/>
          <w:color w:val="000000"/>
          <w:szCs w:val="22"/>
        </w:rPr>
        <w:t>BDG</w:t>
      </w:r>
      <w:r w:rsidR="00D806F2">
        <w:rPr>
          <w:rFonts w:cs="Calibri"/>
          <w:color w:val="000000"/>
          <w:szCs w:val="22"/>
        </w:rPr>
        <w:t xml:space="preserve"> may herald</w:t>
      </w:r>
      <w:r w:rsidR="00745650" w:rsidRPr="00495226">
        <w:rPr>
          <w:rFonts w:cs="Calibri"/>
          <w:color w:val="000000"/>
          <w:szCs w:val="22"/>
        </w:rPr>
        <w:t xml:space="preserve"> </w:t>
      </w:r>
      <w:r w:rsidR="00571CD4">
        <w:rPr>
          <w:rFonts w:cs="Calibri"/>
          <w:color w:val="000000"/>
          <w:szCs w:val="22"/>
        </w:rPr>
        <w:t>invasive fungal infection</w:t>
      </w:r>
      <w:r w:rsidR="00745650" w:rsidRPr="00495226">
        <w:rPr>
          <w:rFonts w:cs="Calibri"/>
          <w:color w:val="000000"/>
          <w:szCs w:val="22"/>
        </w:rPr>
        <w:t xml:space="preserve">, </w:t>
      </w:r>
      <w:r w:rsidR="00D806F2">
        <w:rPr>
          <w:rFonts w:cs="Calibri"/>
          <w:color w:val="000000"/>
          <w:szCs w:val="22"/>
        </w:rPr>
        <w:t>enabling</w:t>
      </w:r>
      <w:r w:rsidR="00745650" w:rsidRPr="00495226">
        <w:rPr>
          <w:rFonts w:cs="Calibri"/>
          <w:color w:val="000000"/>
          <w:szCs w:val="22"/>
        </w:rPr>
        <w:t xml:space="preserve"> </w:t>
      </w:r>
      <w:r w:rsidR="00D806F2">
        <w:rPr>
          <w:rFonts w:cs="Calibri"/>
          <w:color w:val="000000"/>
          <w:szCs w:val="22"/>
        </w:rPr>
        <w:t>timely</w:t>
      </w:r>
      <w:r w:rsidR="00D806F2" w:rsidRPr="00495226">
        <w:rPr>
          <w:rFonts w:cs="Calibri"/>
          <w:color w:val="000000"/>
          <w:szCs w:val="22"/>
        </w:rPr>
        <w:t xml:space="preserve"> </w:t>
      </w:r>
      <w:r w:rsidR="00745650" w:rsidRPr="00495226">
        <w:rPr>
          <w:rFonts w:cs="Calibri"/>
          <w:color w:val="000000"/>
          <w:szCs w:val="22"/>
        </w:rPr>
        <w:t>initiation of empirical antifungal</w:t>
      </w:r>
      <w:r w:rsidR="00D806F2">
        <w:rPr>
          <w:rFonts w:cs="Calibri"/>
          <w:color w:val="000000"/>
          <w:szCs w:val="22"/>
        </w:rPr>
        <w:t xml:space="preserve"> therapy</w:t>
      </w:r>
      <w:r w:rsidR="00745650" w:rsidRPr="00495226">
        <w:rPr>
          <w:rFonts w:cs="Calibri"/>
          <w:color w:val="000000"/>
          <w:szCs w:val="22"/>
        </w:rPr>
        <w:t>.</w:t>
      </w:r>
      <w:r w:rsidR="00745650">
        <w:rPr>
          <w:rFonts w:cs="Calibri"/>
          <w:color w:val="000000"/>
          <w:szCs w:val="22"/>
        </w:rPr>
        <w:t xml:space="preserve"> </w:t>
      </w:r>
    </w:p>
    <w:p w14:paraId="32F1B27D" w14:textId="77777777" w:rsidR="00745650" w:rsidRDefault="00745650" w:rsidP="00630E62">
      <w:pPr>
        <w:spacing w:line="480" w:lineRule="auto"/>
        <w:ind w:firstLine="720"/>
        <w:rPr>
          <w:rFonts w:cs="Calibri"/>
          <w:color w:val="000000"/>
          <w:szCs w:val="22"/>
        </w:rPr>
      </w:pPr>
      <w:r>
        <w:rPr>
          <w:rFonts w:cs="Calibri"/>
          <w:color w:val="000000"/>
          <w:szCs w:val="22"/>
        </w:rPr>
        <w:t xml:space="preserve">Guidelines </w:t>
      </w:r>
      <w:r w:rsidR="00B47B68">
        <w:rPr>
          <w:rFonts w:cs="Calibri"/>
          <w:color w:val="000000"/>
          <w:szCs w:val="22"/>
        </w:rPr>
        <w:t xml:space="preserve">for </w:t>
      </w:r>
      <w:r>
        <w:rPr>
          <w:rFonts w:cs="Calibri"/>
          <w:color w:val="000000"/>
          <w:szCs w:val="22"/>
        </w:rPr>
        <w:t xml:space="preserve">management of </w:t>
      </w:r>
      <w:proofErr w:type="spellStart"/>
      <w:r>
        <w:rPr>
          <w:rFonts w:cs="Calibri"/>
          <w:color w:val="000000"/>
          <w:szCs w:val="22"/>
        </w:rPr>
        <w:t>candidaemia</w:t>
      </w:r>
      <w:proofErr w:type="spellEnd"/>
      <w:r>
        <w:rPr>
          <w:rFonts w:cs="Calibri"/>
          <w:color w:val="000000"/>
          <w:szCs w:val="22"/>
        </w:rPr>
        <w:t xml:space="preserve"> recommend </w:t>
      </w:r>
      <w:r w:rsidR="005D4753">
        <w:rPr>
          <w:rFonts w:cs="Calibri"/>
          <w:color w:val="000000"/>
          <w:szCs w:val="22"/>
        </w:rPr>
        <w:t xml:space="preserve">a </w:t>
      </w:r>
      <w:r w:rsidR="001F55C0">
        <w:rPr>
          <w:rFonts w:cs="Calibri"/>
          <w:color w:val="000000"/>
          <w:szCs w:val="22"/>
        </w:rPr>
        <w:t xml:space="preserve">care </w:t>
      </w:r>
      <w:r w:rsidR="005D4753">
        <w:rPr>
          <w:rFonts w:cs="Calibri"/>
          <w:color w:val="000000"/>
          <w:szCs w:val="22"/>
        </w:rPr>
        <w:t>bundle</w:t>
      </w:r>
      <w:r w:rsidR="001F55C0">
        <w:rPr>
          <w:rFonts w:cs="Calibri"/>
          <w:color w:val="000000"/>
          <w:szCs w:val="22"/>
        </w:rPr>
        <w:t xml:space="preserve">, </w:t>
      </w:r>
      <w:r w:rsidR="005D4753">
        <w:rPr>
          <w:rFonts w:cs="Calibri"/>
          <w:color w:val="000000"/>
          <w:szCs w:val="22"/>
        </w:rPr>
        <w:t>includ</w:t>
      </w:r>
      <w:r w:rsidR="001F55C0">
        <w:rPr>
          <w:rFonts w:cs="Calibri"/>
          <w:color w:val="000000"/>
          <w:szCs w:val="22"/>
        </w:rPr>
        <w:t>ing</w:t>
      </w:r>
      <w:r w:rsidR="005D4753">
        <w:rPr>
          <w:rFonts w:cs="Calibri"/>
          <w:color w:val="000000"/>
          <w:szCs w:val="22"/>
        </w:rPr>
        <w:t xml:space="preserve"> </w:t>
      </w:r>
      <w:r>
        <w:rPr>
          <w:rFonts w:cs="Calibri"/>
          <w:color w:val="000000"/>
          <w:szCs w:val="22"/>
        </w:rPr>
        <w:t>repeat blood cultures at 48 hours, echocardiogram</w:t>
      </w:r>
      <w:r w:rsidR="00B47B68">
        <w:rPr>
          <w:rFonts w:cs="Calibri"/>
          <w:color w:val="000000"/>
          <w:szCs w:val="22"/>
        </w:rPr>
        <w:t>,</w:t>
      </w:r>
      <w:r>
        <w:rPr>
          <w:rFonts w:cs="Calibri"/>
          <w:color w:val="000000"/>
          <w:szCs w:val="22"/>
        </w:rPr>
        <w:t xml:space="preserve"> and fundoscopy </w:t>
      </w:r>
      <w:r w:rsidR="002D4655">
        <w:rPr>
          <w:rFonts w:cs="Calibri"/>
          <w:color w:val="000000"/>
          <w:szCs w:val="22"/>
        </w:rPr>
        <w:t xml:space="preserve">to </w:t>
      </w:r>
      <w:r w:rsidR="00571CD4">
        <w:rPr>
          <w:rFonts w:cs="Calibri"/>
          <w:color w:val="000000"/>
          <w:szCs w:val="22"/>
        </w:rPr>
        <w:t>identify disseminated</w:t>
      </w:r>
      <w:r w:rsidR="00227035">
        <w:rPr>
          <w:rFonts w:cs="Calibri"/>
          <w:color w:val="000000"/>
          <w:szCs w:val="22"/>
        </w:rPr>
        <w:t xml:space="preserve"> infection</w:t>
      </w:r>
      <w:r>
        <w:rPr>
          <w:rFonts w:cs="Calibri"/>
          <w:color w:val="000000"/>
          <w:szCs w:val="22"/>
        </w:rPr>
        <w:t xml:space="preserve">. In our cohort, only 54.5 % (6/11) of patients had repeat blood cultures within 48 hours, 72.7 % </w:t>
      </w:r>
      <w:r w:rsidRPr="002602ED">
        <w:rPr>
          <w:rFonts w:cs="Calibri"/>
          <w:szCs w:val="22"/>
        </w:rPr>
        <w:t>(</w:t>
      </w:r>
      <w:r w:rsidR="002602ED" w:rsidRPr="002602ED">
        <w:rPr>
          <w:rFonts w:cs="Calibri"/>
          <w:szCs w:val="22"/>
        </w:rPr>
        <w:t>8</w:t>
      </w:r>
      <w:r w:rsidRPr="002602ED">
        <w:rPr>
          <w:rFonts w:cs="Calibri"/>
          <w:szCs w:val="22"/>
        </w:rPr>
        <w:t>/11) an</w:t>
      </w:r>
      <w:r>
        <w:rPr>
          <w:rFonts w:cs="Calibri"/>
          <w:color w:val="000000"/>
          <w:szCs w:val="22"/>
        </w:rPr>
        <w:t xml:space="preserve"> echocardiogram and </w:t>
      </w:r>
      <w:r w:rsidR="00B028A2">
        <w:rPr>
          <w:rFonts w:cs="Calibri"/>
          <w:color w:val="000000"/>
          <w:szCs w:val="22"/>
        </w:rPr>
        <w:t>o</w:t>
      </w:r>
      <w:r w:rsidR="002D4655">
        <w:rPr>
          <w:rFonts w:cs="Calibri"/>
          <w:color w:val="000000"/>
          <w:szCs w:val="22"/>
        </w:rPr>
        <w:t xml:space="preserve">nly 9.1% (1/11) </w:t>
      </w:r>
      <w:r w:rsidR="00643903">
        <w:rPr>
          <w:rFonts w:cs="Calibri"/>
          <w:color w:val="000000"/>
          <w:szCs w:val="22"/>
        </w:rPr>
        <w:t>fundoscopy</w:t>
      </w:r>
      <w:r w:rsidR="001F55C0">
        <w:rPr>
          <w:rFonts w:cs="Calibri"/>
          <w:color w:val="000000"/>
          <w:szCs w:val="22"/>
        </w:rPr>
        <w:t>. COVID-19</w:t>
      </w:r>
      <w:r w:rsidR="00854690">
        <w:rPr>
          <w:rFonts w:cs="Calibri"/>
          <w:color w:val="000000"/>
          <w:szCs w:val="22"/>
        </w:rPr>
        <w:t xml:space="preserve"> infection control concerns,</w:t>
      </w:r>
      <w:r w:rsidR="001F55C0">
        <w:rPr>
          <w:rFonts w:cs="Calibri"/>
          <w:color w:val="000000"/>
          <w:szCs w:val="22"/>
        </w:rPr>
        <w:t xml:space="preserve"> </w:t>
      </w:r>
      <w:r w:rsidR="00990659">
        <w:rPr>
          <w:rFonts w:cs="Calibri"/>
          <w:color w:val="000000"/>
          <w:szCs w:val="22"/>
        </w:rPr>
        <w:t xml:space="preserve">patient </w:t>
      </w:r>
      <w:proofErr w:type="gramStart"/>
      <w:r w:rsidR="001F55C0">
        <w:rPr>
          <w:rFonts w:cs="Calibri"/>
          <w:color w:val="000000"/>
          <w:szCs w:val="22"/>
        </w:rPr>
        <w:t>positioning</w:t>
      </w:r>
      <w:proofErr w:type="gramEnd"/>
      <w:r w:rsidR="001F55C0">
        <w:rPr>
          <w:rFonts w:cs="Calibri"/>
          <w:color w:val="000000"/>
          <w:szCs w:val="22"/>
        </w:rPr>
        <w:t xml:space="preserve"> and PPE</w:t>
      </w:r>
      <w:r w:rsidR="00212554">
        <w:rPr>
          <w:rFonts w:cs="Calibri"/>
          <w:color w:val="000000"/>
          <w:szCs w:val="22"/>
        </w:rPr>
        <w:t>,</w:t>
      </w:r>
      <w:r w:rsidR="001F55C0">
        <w:rPr>
          <w:rFonts w:cs="Calibri"/>
          <w:color w:val="000000"/>
          <w:szCs w:val="22"/>
        </w:rPr>
        <w:t xml:space="preserve"> </w:t>
      </w:r>
      <w:r w:rsidR="00212554">
        <w:rPr>
          <w:rFonts w:cs="Calibri"/>
          <w:color w:val="000000"/>
          <w:szCs w:val="22"/>
        </w:rPr>
        <w:t>with resultant</w:t>
      </w:r>
      <w:r w:rsidR="001F55C0">
        <w:rPr>
          <w:rFonts w:cs="Calibri"/>
          <w:color w:val="000000"/>
          <w:szCs w:val="22"/>
        </w:rPr>
        <w:t xml:space="preserve"> challenges to ophthalmic examination, may account for the poor </w:t>
      </w:r>
      <w:r w:rsidR="00B47B68">
        <w:rPr>
          <w:rFonts w:cs="Calibri"/>
          <w:color w:val="000000"/>
          <w:szCs w:val="22"/>
        </w:rPr>
        <w:t>fundoscopy</w:t>
      </w:r>
      <w:r w:rsidR="001F55C0">
        <w:rPr>
          <w:rFonts w:cs="Calibri"/>
          <w:color w:val="000000"/>
          <w:szCs w:val="22"/>
        </w:rPr>
        <w:t xml:space="preserve"> compliance</w:t>
      </w:r>
      <w:r w:rsidR="00212554">
        <w:rPr>
          <w:rFonts w:cs="Calibri"/>
          <w:color w:val="000000"/>
          <w:szCs w:val="22"/>
        </w:rPr>
        <w:t>, adding further weight to the need for COVID-19 specific practical training.</w:t>
      </w:r>
    </w:p>
    <w:p w14:paraId="7D594610" w14:textId="77777777" w:rsidR="00D33B4B" w:rsidRDefault="007413C9" w:rsidP="00A16C74">
      <w:pPr>
        <w:spacing w:line="480" w:lineRule="auto"/>
        <w:rPr>
          <w:rFonts w:cs="Calibri"/>
          <w:color w:val="000000"/>
          <w:szCs w:val="22"/>
        </w:rPr>
      </w:pPr>
      <w:r>
        <w:rPr>
          <w:rFonts w:cs="Calibri"/>
          <w:color w:val="000000"/>
          <w:szCs w:val="22"/>
        </w:rPr>
        <w:tab/>
      </w:r>
      <w:r w:rsidR="006C01B7">
        <w:rPr>
          <w:rFonts w:cs="Calibri"/>
          <w:color w:val="000000"/>
          <w:szCs w:val="22"/>
        </w:rPr>
        <w:t>To conclude</w:t>
      </w:r>
      <w:r w:rsidR="003915D2">
        <w:rPr>
          <w:rFonts w:cs="Calibri"/>
          <w:color w:val="000000"/>
          <w:szCs w:val="22"/>
        </w:rPr>
        <w:t>, during</w:t>
      </w:r>
      <w:r w:rsidR="0007781D">
        <w:rPr>
          <w:rFonts w:cs="Calibri"/>
          <w:color w:val="000000"/>
          <w:szCs w:val="22"/>
        </w:rPr>
        <w:t xml:space="preserve"> t</w:t>
      </w:r>
      <w:r w:rsidR="006C01B7">
        <w:rPr>
          <w:rFonts w:cs="Calibri"/>
          <w:color w:val="000000"/>
          <w:szCs w:val="22"/>
        </w:rPr>
        <w:t>he ongoing COVID-19 pandemic</w:t>
      </w:r>
      <w:r w:rsidR="0007781D">
        <w:rPr>
          <w:rFonts w:cs="Calibri"/>
          <w:color w:val="000000"/>
          <w:szCs w:val="22"/>
        </w:rPr>
        <w:t xml:space="preserve"> it remains important to consider modifiable risk factors for </w:t>
      </w:r>
      <w:proofErr w:type="spellStart"/>
      <w:r w:rsidR="0007781D">
        <w:rPr>
          <w:rFonts w:cs="Calibri"/>
          <w:color w:val="000000"/>
          <w:szCs w:val="22"/>
        </w:rPr>
        <w:t>candidaemia</w:t>
      </w:r>
      <w:proofErr w:type="spellEnd"/>
      <w:r w:rsidR="0007781D">
        <w:rPr>
          <w:rFonts w:cs="Calibri"/>
          <w:color w:val="000000"/>
          <w:szCs w:val="22"/>
        </w:rPr>
        <w:t xml:space="preserve">, non-culture based </w:t>
      </w:r>
      <w:proofErr w:type="spellStart"/>
      <w:r w:rsidR="0007781D">
        <w:rPr>
          <w:rFonts w:cs="Calibri"/>
          <w:color w:val="000000"/>
          <w:szCs w:val="22"/>
        </w:rPr>
        <w:t>diagnositics</w:t>
      </w:r>
      <w:proofErr w:type="spellEnd"/>
      <w:r w:rsidR="0007781D">
        <w:rPr>
          <w:rFonts w:cs="Calibri"/>
          <w:color w:val="000000"/>
          <w:szCs w:val="22"/>
        </w:rPr>
        <w:t xml:space="preserve"> to aid </w:t>
      </w:r>
      <w:r w:rsidR="00BA33D4">
        <w:rPr>
          <w:rFonts w:cs="Calibri"/>
          <w:color w:val="000000"/>
          <w:szCs w:val="22"/>
        </w:rPr>
        <w:t xml:space="preserve">early </w:t>
      </w:r>
      <w:r w:rsidR="0007781D">
        <w:rPr>
          <w:rFonts w:cs="Calibri"/>
          <w:color w:val="000000"/>
          <w:szCs w:val="22"/>
        </w:rPr>
        <w:t>diagnosis, as well as adherence to established treatment bundles.</w:t>
      </w:r>
    </w:p>
    <w:p w14:paraId="64E1E027" w14:textId="77777777" w:rsidR="009D7C52" w:rsidRDefault="009D7C52" w:rsidP="00A16C74">
      <w:pPr>
        <w:spacing w:line="480" w:lineRule="auto"/>
        <w:rPr>
          <w:rFonts w:eastAsia="Times New Roman" w:cs="Times New Roman"/>
          <w:color w:val="505050"/>
          <w:shd w:val="clear" w:color="auto" w:fill="FFFFFF"/>
          <w:lang w:val="en-GB"/>
        </w:rPr>
      </w:pPr>
    </w:p>
    <w:p w14:paraId="48611A40" w14:textId="77777777" w:rsidR="009D7C52" w:rsidRPr="009D7C52" w:rsidRDefault="009D7C52" w:rsidP="00A16C74">
      <w:pPr>
        <w:spacing w:line="480" w:lineRule="auto"/>
        <w:rPr>
          <w:rFonts w:cs="Calibri"/>
        </w:rPr>
      </w:pPr>
      <w:r w:rsidRPr="009D7C52">
        <w:rPr>
          <w:rFonts w:cs="Calibri"/>
          <w:b/>
        </w:rPr>
        <w:t>Declarations</w:t>
      </w:r>
    </w:p>
    <w:p w14:paraId="5038DA2C" w14:textId="77777777" w:rsidR="009D7C52" w:rsidRPr="009D7C52" w:rsidRDefault="009D7C52" w:rsidP="00A16C74">
      <w:pPr>
        <w:spacing w:line="480" w:lineRule="auto"/>
        <w:rPr>
          <w:rFonts w:cs="Calibri"/>
          <w:b/>
        </w:rPr>
      </w:pPr>
      <w:r w:rsidRPr="009D7C52">
        <w:rPr>
          <w:rFonts w:cs="Calibri"/>
          <w:b/>
        </w:rPr>
        <w:t>Acknowledgements</w:t>
      </w:r>
    </w:p>
    <w:p w14:paraId="3016AA6B" w14:textId="77777777" w:rsidR="009D7C52" w:rsidRPr="009D7C52" w:rsidRDefault="009D7C52" w:rsidP="00A16C74">
      <w:pPr>
        <w:spacing w:line="480" w:lineRule="auto"/>
        <w:jc w:val="both"/>
        <w:rPr>
          <w:rFonts w:cs="Calibri"/>
        </w:rPr>
      </w:pPr>
      <w:r w:rsidRPr="009D7C52">
        <w:rPr>
          <w:rFonts w:cs="Calibri"/>
        </w:rPr>
        <w:t>LSPM acknowledge</w:t>
      </w:r>
      <w:r>
        <w:rPr>
          <w:rFonts w:cs="Calibri"/>
        </w:rPr>
        <w:t>s</w:t>
      </w:r>
      <w:r w:rsidRPr="009D7C52">
        <w:rPr>
          <w:rFonts w:cs="Calibri"/>
        </w:rPr>
        <w:t xml:space="preserve"> support from the National Institute of Health Research (NIHR) Imperial Biomedical Research Centre (BRC) and the National Institute for Health Research Health Protection Research Unit (HPRU) in Healthcare Associated Infection and Antimicrobial Resistance at Imperial College London in partnership with Public Health England. The views expressed in this publication are those of the authors and not necessarily those of the NHS, the National Institute for Health Research, The </w:t>
      </w:r>
      <w:proofErr w:type="spellStart"/>
      <w:r w:rsidRPr="009D7C52">
        <w:rPr>
          <w:rFonts w:cs="Calibri"/>
        </w:rPr>
        <w:t>Wellcome</w:t>
      </w:r>
      <w:proofErr w:type="spellEnd"/>
      <w:r w:rsidRPr="009D7C52">
        <w:rPr>
          <w:rFonts w:cs="Calibri"/>
        </w:rPr>
        <w:t xml:space="preserve"> </w:t>
      </w:r>
      <w:proofErr w:type="gramStart"/>
      <w:r w:rsidRPr="009D7C52">
        <w:rPr>
          <w:rFonts w:cs="Calibri"/>
        </w:rPr>
        <w:t>Trust</w:t>
      </w:r>
      <w:proofErr w:type="gramEnd"/>
      <w:r w:rsidRPr="009D7C52">
        <w:rPr>
          <w:rFonts w:cs="Calibri"/>
        </w:rPr>
        <w:t xml:space="preserve"> or the UK Department of Health. </w:t>
      </w:r>
      <w:r w:rsidR="0085744D">
        <w:rPr>
          <w:rFonts w:cs="Calibri"/>
        </w:rPr>
        <w:t xml:space="preserve">DAJ </w:t>
      </w:r>
      <w:r w:rsidR="0085744D" w:rsidRPr="0085744D">
        <w:rPr>
          <w:rFonts w:cs="Calibri"/>
        </w:rPr>
        <w:t xml:space="preserve">is funded by the DHSC Centre for Antimicrobial </w:t>
      </w:r>
      <w:proofErr w:type="spellStart"/>
      <w:r w:rsidR="0085744D" w:rsidRPr="0085744D">
        <w:rPr>
          <w:rFonts w:cs="Calibri"/>
        </w:rPr>
        <w:t>Optimisation</w:t>
      </w:r>
      <w:proofErr w:type="spellEnd"/>
      <w:r w:rsidR="0085744D" w:rsidRPr="0085744D">
        <w:rPr>
          <w:rFonts w:cs="Calibri"/>
        </w:rPr>
        <w:t xml:space="preserve">, at Imperial College, London. The views expressed in this publication are those of the author(s) and not necessarily those of the Department of Health and Social Care, NHS, or the National </w:t>
      </w:r>
      <w:r w:rsidR="0085744D" w:rsidRPr="0085744D">
        <w:rPr>
          <w:rFonts w:cs="Calibri"/>
        </w:rPr>
        <w:lastRenderedPageBreak/>
        <w:t>Institute for Health Research</w:t>
      </w:r>
      <w:r w:rsidR="0085744D">
        <w:rPr>
          <w:rFonts w:cs="Calibri"/>
        </w:rPr>
        <w:t xml:space="preserve">. DAJ is also funded by a Cystic Fibrosis Trust Strategic Research Centre (SRC015) and a </w:t>
      </w:r>
      <w:proofErr w:type="spellStart"/>
      <w:r w:rsidR="0085744D">
        <w:rPr>
          <w:rFonts w:cs="Calibri"/>
        </w:rPr>
        <w:t>Wellcome</w:t>
      </w:r>
      <w:proofErr w:type="spellEnd"/>
      <w:r w:rsidR="0085744D">
        <w:rPr>
          <w:rFonts w:cs="Calibri"/>
        </w:rPr>
        <w:t xml:space="preserve"> Trust Collaborative Award (</w:t>
      </w:r>
      <w:r w:rsidR="0085744D" w:rsidRPr="0085744D">
        <w:rPr>
          <w:rFonts w:cs="Calibri"/>
        </w:rPr>
        <w:t>219551/Z/19/Z</w:t>
      </w:r>
      <w:r w:rsidR="0085744D">
        <w:rPr>
          <w:rFonts w:cs="Calibri"/>
        </w:rPr>
        <w:t xml:space="preserve">). </w:t>
      </w:r>
    </w:p>
    <w:p w14:paraId="70949BF1" w14:textId="77777777" w:rsidR="009D7C52" w:rsidRPr="009D7C52" w:rsidRDefault="009D7C52" w:rsidP="00A16C74">
      <w:pPr>
        <w:spacing w:line="480" w:lineRule="auto"/>
        <w:rPr>
          <w:rFonts w:cs="Calibri"/>
        </w:rPr>
      </w:pPr>
    </w:p>
    <w:p w14:paraId="102F5AEC" w14:textId="77777777" w:rsidR="00501D20" w:rsidRDefault="00501D20" w:rsidP="00A16C74">
      <w:pPr>
        <w:spacing w:line="480" w:lineRule="auto"/>
        <w:rPr>
          <w:rFonts w:cs="Calibri"/>
          <w:b/>
        </w:rPr>
      </w:pPr>
      <w:r>
        <w:rPr>
          <w:rFonts w:cs="Calibri"/>
          <w:b/>
        </w:rPr>
        <w:t>Ethics</w:t>
      </w:r>
    </w:p>
    <w:p w14:paraId="03BFD8A5" w14:textId="77777777" w:rsidR="00501D20" w:rsidRPr="002567C4" w:rsidRDefault="00501D20" w:rsidP="00A16C74">
      <w:pPr>
        <w:spacing w:line="480" w:lineRule="auto"/>
        <w:rPr>
          <w:rFonts w:cs="Calibri"/>
        </w:rPr>
      </w:pPr>
      <w:r w:rsidRPr="002567C4">
        <w:rPr>
          <w:rFonts w:cs="Calibri"/>
        </w:rPr>
        <w:t xml:space="preserve">Ethical approval was not required </w:t>
      </w:r>
      <w:r w:rsidR="002567C4" w:rsidRPr="002567C4">
        <w:rPr>
          <w:rFonts w:cs="Calibri"/>
        </w:rPr>
        <w:t>for this</w:t>
      </w:r>
      <w:r w:rsidRPr="002567C4">
        <w:rPr>
          <w:rFonts w:cs="Calibri"/>
        </w:rPr>
        <w:t xml:space="preserve"> service evaluation and audit of practice.</w:t>
      </w:r>
    </w:p>
    <w:p w14:paraId="71E6DB4D" w14:textId="77777777" w:rsidR="00501D20" w:rsidRDefault="00501D20" w:rsidP="00A16C74">
      <w:pPr>
        <w:spacing w:line="480" w:lineRule="auto"/>
        <w:rPr>
          <w:rFonts w:cs="Calibri"/>
          <w:b/>
        </w:rPr>
      </w:pPr>
    </w:p>
    <w:p w14:paraId="4077FD01" w14:textId="77777777" w:rsidR="009D7C52" w:rsidRPr="009D7C52" w:rsidRDefault="009D7C52" w:rsidP="00A16C74">
      <w:pPr>
        <w:spacing w:line="480" w:lineRule="auto"/>
        <w:rPr>
          <w:rFonts w:cs="Calibri"/>
          <w:b/>
        </w:rPr>
      </w:pPr>
      <w:r w:rsidRPr="009D7C52">
        <w:rPr>
          <w:rFonts w:cs="Calibri"/>
          <w:b/>
        </w:rPr>
        <w:t>Authors’ contributions</w:t>
      </w:r>
    </w:p>
    <w:p w14:paraId="5631D5B8" w14:textId="77777777" w:rsidR="009D7C52" w:rsidRPr="009D7C52" w:rsidRDefault="009D7C52" w:rsidP="00A16C74">
      <w:pPr>
        <w:spacing w:line="480" w:lineRule="auto"/>
        <w:rPr>
          <w:rFonts w:cs="Calibri"/>
        </w:rPr>
      </w:pPr>
      <w:r w:rsidRPr="009D7C52">
        <w:rPr>
          <w:rFonts w:cs="Calibri"/>
        </w:rPr>
        <w:t>SD</w:t>
      </w:r>
      <w:r>
        <w:rPr>
          <w:rFonts w:cs="Calibri"/>
        </w:rPr>
        <w:t xml:space="preserve">, </w:t>
      </w:r>
      <w:proofErr w:type="gramStart"/>
      <w:r>
        <w:rPr>
          <w:rFonts w:cs="Calibri"/>
        </w:rPr>
        <w:t>AR</w:t>
      </w:r>
      <w:proofErr w:type="gramEnd"/>
      <w:r>
        <w:rPr>
          <w:rFonts w:cs="Calibri"/>
        </w:rPr>
        <w:t xml:space="preserve"> and NM</w:t>
      </w:r>
      <w:r w:rsidRPr="009D7C52">
        <w:rPr>
          <w:rFonts w:cs="Calibri"/>
        </w:rPr>
        <w:t xml:space="preserve"> designed the study methodology. SD</w:t>
      </w:r>
      <w:r>
        <w:rPr>
          <w:rFonts w:cs="Calibri"/>
        </w:rPr>
        <w:t>, TE and XG</w:t>
      </w:r>
      <w:r w:rsidRPr="009D7C52">
        <w:rPr>
          <w:rFonts w:cs="Calibri"/>
        </w:rPr>
        <w:t xml:space="preserve"> collated the data. SD drafted the initial manuscript with all authors contributing significantly to revising this for submission. All authors agreed on the final version for submission to the journal.</w:t>
      </w:r>
    </w:p>
    <w:p w14:paraId="50E0E330" w14:textId="77777777" w:rsidR="009D7C52" w:rsidRPr="009D7C52" w:rsidRDefault="009D7C52" w:rsidP="00A16C74">
      <w:pPr>
        <w:spacing w:line="480" w:lineRule="auto"/>
        <w:rPr>
          <w:rFonts w:cs="Calibri"/>
        </w:rPr>
      </w:pPr>
    </w:p>
    <w:p w14:paraId="5E787F21" w14:textId="77777777" w:rsidR="009D7C52" w:rsidRPr="009D7C52" w:rsidRDefault="009D7C52" w:rsidP="00A16C74">
      <w:pPr>
        <w:spacing w:line="480" w:lineRule="auto"/>
        <w:rPr>
          <w:rFonts w:cs="Calibri"/>
          <w:b/>
        </w:rPr>
      </w:pPr>
      <w:r w:rsidRPr="009D7C52">
        <w:rPr>
          <w:rFonts w:cs="Calibri"/>
          <w:b/>
        </w:rPr>
        <w:t>Funding</w:t>
      </w:r>
    </w:p>
    <w:p w14:paraId="4FB1F4E5" w14:textId="77777777" w:rsidR="009D7C52" w:rsidRPr="009D7C52" w:rsidRDefault="009D7C52" w:rsidP="00A16C74">
      <w:pPr>
        <w:spacing w:line="480" w:lineRule="auto"/>
        <w:rPr>
          <w:rFonts w:cs="Calibri"/>
        </w:rPr>
      </w:pPr>
      <w:r w:rsidRPr="009D7C52">
        <w:rPr>
          <w:rFonts w:cs="Calibri"/>
        </w:rPr>
        <w:t>This research did not receive any grant from funding agencies in the public or commercial sectors.</w:t>
      </w:r>
    </w:p>
    <w:p w14:paraId="790CE235" w14:textId="77777777" w:rsidR="009D7C52" w:rsidRPr="009D7C52" w:rsidRDefault="009D7C52" w:rsidP="00A16C74">
      <w:pPr>
        <w:spacing w:line="480" w:lineRule="auto"/>
        <w:rPr>
          <w:rFonts w:cs="Calibri"/>
        </w:rPr>
      </w:pPr>
    </w:p>
    <w:p w14:paraId="7E4F1678" w14:textId="77777777" w:rsidR="009D7C52" w:rsidRPr="009D7C52" w:rsidRDefault="009D7C52" w:rsidP="00A16C74">
      <w:pPr>
        <w:spacing w:line="480" w:lineRule="auto"/>
        <w:rPr>
          <w:rFonts w:cs="Calibri"/>
          <w:b/>
        </w:rPr>
      </w:pPr>
      <w:r w:rsidRPr="009D7C52">
        <w:rPr>
          <w:rFonts w:cs="Calibri"/>
          <w:b/>
        </w:rPr>
        <w:t>Potential conflicts of interests</w:t>
      </w:r>
    </w:p>
    <w:p w14:paraId="3B1DE651" w14:textId="77777777" w:rsidR="002C26CE" w:rsidRDefault="002C26CE" w:rsidP="002C26CE">
      <w:pPr>
        <w:spacing w:line="480" w:lineRule="auto"/>
        <w:jc w:val="both"/>
        <w:rPr>
          <w:rFonts w:cs="Calibri"/>
        </w:rPr>
      </w:pPr>
      <w:r>
        <w:rPr>
          <w:rFonts w:cs="Calibri"/>
        </w:rPr>
        <w:t>SC has received a research grants from the Scientific Exploration Society.</w:t>
      </w:r>
    </w:p>
    <w:p w14:paraId="05197A7C" w14:textId="77777777" w:rsidR="00B24BD6" w:rsidRDefault="00B24BD6" w:rsidP="002C26CE">
      <w:pPr>
        <w:spacing w:line="480" w:lineRule="auto"/>
        <w:jc w:val="both"/>
        <w:rPr>
          <w:rFonts w:cs="Calibri"/>
        </w:rPr>
      </w:pPr>
      <w:r>
        <w:rPr>
          <w:rFonts w:cs="Calibri"/>
        </w:rPr>
        <w:t xml:space="preserve">EC has been paid for consultancy fees by </w:t>
      </w:r>
      <w:proofErr w:type="spellStart"/>
      <w:r w:rsidRPr="009D7C52">
        <w:rPr>
          <w:rFonts w:cs="Calibri"/>
        </w:rPr>
        <w:t>bioMerieux</w:t>
      </w:r>
      <w:proofErr w:type="spellEnd"/>
      <w:r>
        <w:rPr>
          <w:rFonts w:cs="Calibri"/>
        </w:rPr>
        <w:t>.</w:t>
      </w:r>
    </w:p>
    <w:p w14:paraId="3D7C9E58" w14:textId="77777777" w:rsidR="00C134CA" w:rsidRDefault="00C134CA" w:rsidP="002C26CE">
      <w:pPr>
        <w:spacing w:line="480" w:lineRule="auto"/>
        <w:jc w:val="both"/>
        <w:rPr>
          <w:rFonts w:cs="Calibri"/>
        </w:rPr>
      </w:pPr>
      <w:r>
        <w:rPr>
          <w:rFonts w:cs="Calibri"/>
        </w:rPr>
        <w:t>SH reports personal fees from Pfizer and Shionogi.</w:t>
      </w:r>
    </w:p>
    <w:p w14:paraId="70D371C1" w14:textId="77777777" w:rsidR="002C26CE" w:rsidRPr="009D7C52" w:rsidRDefault="002C26CE" w:rsidP="002C26CE">
      <w:pPr>
        <w:spacing w:line="480" w:lineRule="auto"/>
        <w:jc w:val="both"/>
        <w:rPr>
          <w:rFonts w:cs="Calibri"/>
        </w:rPr>
      </w:pPr>
      <w:r>
        <w:rPr>
          <w:rFonts w:cs="Calibri"/>
        </w:rPr>
        <w:t xml:space="preserve">DAJ holds share options in </w:t>
      </w:r>
      <w:proofErr w:type="spellStart"/>
      <w:r>
        <w:rPr>
          <w:rFonts w:cs="Calibri"/>
        </w:rPr>
        <w:t>Pulmocide</w:t>
      </w:r>
      <w:proofErr w:type="spellEnd"/>
      <w:r>
        <w:rPr>
          <w:rFonts w:cs="Calibri"/>
        </w:rPr>
        <w:t xml:space="preserve"> Ltd and has received research grants from </w:t>
      </w:r>
      <w:proofErr w:type="spellStart"/>
      <w:r>
        <w:rPr>
          <w:rFonts w:cs="Calibri"/>
        </w:rPr>
        <w:t>Pulmocide</w:t>
      </w:r>
      <w:proofErr w:type="spellEnd"/>
      <w:r>
        <w:rPr>
          <w:rFonts w:cs="Calibri"/>
        </w:rPr>
        <w:t xml:space="preserve"> Ltd, Gilead Sciences, Astellas and Pfizer. He has received speaker and consultancy fees from </w:t>
      </w:r>
      <w:proofErr w:type="gramStart"/>
      <w:r>
        <w:rPr>
          <w:rFonts w:cs="Calibri"/>
        </w:rPr>
        <w:t>Astra-Zeneca</w:t>
      </w:r>
      <w:proofErr w:type="gramEnd"/>
      <w:r>
        <w:rPr>
          <w:rFonts w:cs="Calibri"/>
        </w:rPr>
        <w:t xml:space="preserve">, Pfizer, Gilead, and Astellas. </w:t>
      </w:r>
    </w:p>
    <w:p w14:paraId="7ABFE681" w14:textId="77777777" w:rsidR="009D7C52" w:rsidRPr="009D7C52" w:rsidRDefault="009D7C52" w:rsidP="00A16C74">
      <w:pPr>
        <w:spacing w:line="480" w:lineRule="auto"/>
        <w:jc w:val="both"/>
        <w:rPr>
          <w:rFonts w:cs="Calibri"/>
        </w:rPr>
      </w:pPr>
      <w:r w:rsidRPr="009D7C52">
        <w:rPr>
          <w:rFonts w:cs="Calibri"/>
        </w:rPr>
        <w:t xml:space="preserve">LSPM has consulted for </w:t>
      </w:r>
      <w:proofErr w:type="spellStart"/>
      <w:r w:rsidRPr="009D7C52">
        <w:rPr>
          <w:rFonts w:cs="Calibri"/>
        </w:rPr>
        <w:t>DNAelectronics</w:t>
      </w:r>
      <w:proofErr w:type="spellEnd"/>
      <w:r w:rsidRPr="009D7C52">
        <w:rPr>
          <w:rFonts w:cs="Calibri"/>
        </w:rPr>
        <w:t xml:space="preserve"> (2015-18), Dairy Crest (2017–2018), </w:t>
      </w:r>
      <w:proofErr w:type="spellStart"/>
      <w:r w:rsidRPr="009D7C52">
        <w:rPr>
          <w:rFonts w:cs="Calibri"/>
        </w:rPr>
        <w:t>Umovis</w:t>
      </w:r>
      <w:proofErr w:type="spellEnd"/>
      <w:r w:rsidRPr="009D7C52">
        <w:rPr>
          <w:rFonts w:cs="Calibri"/>
        </w:rPr>
        <w:t xml:space="preserve"> Lab (2020), </w:t>
      </w:r>
      <w:proofErr w:type="spellStart"/>
      <w:r w:rsidRPr="009D7C52">
        <w:rPr>
          <w:rFonts w:cs="Calibri"/>
        </w:rPr>
        <w:t>bioMerieux</w:t>
      </w:r>
      <w:proofErr w:type="spellEnd"/>
      <w:r w:rsidRPr="009D7C52">
        <w:rPr>
          <w:rFonts w:cs="Calibri"/>
        </w:rPr>
        <w:t xml:space="preserve"> (2013-2020), received speaker fees from Profile Pharma (2018) and </w:t>
      </w:r>
      <w:r w:rsidRPr="009D7C52">
        <w:rPr>
          <w:rFonts w:cs="Calibri"/>
        </w:rPr>
        <w:lastRenderedPageBreak/>
        <w:t xml:space="preserve">Pfizer (2018-2020), received research grants from the National Institute for Health Research (2013-2020), CW+ Charity (2018-2020), and Leo Pharma (2016), and received educational support from </w:t>
      </w:r>
      <w:proofErr w:type="spellStart"/>
      <w:r w:rsidRPr="009D7C52">
        <w:rPr>
          <w:rFonts w:cs="Calibri"/>
        </w:rPr>
        <w:t>Eumedica</w:t>
      </w:r>
      <w:proofErr w:type="spellEnd"/>
      <w:r w:rsidRPr="009D7C52">
        <w:rPr>
          <w:rFonts w:cs="Calibri"/>
        </w:rPr>
        <w:t xml:space="preserve"> (2016–2018). </w:t>
      </w:r>
    </w:p>
    <w:p w14:paraId="2EFAEA8F" w14:textId="77777777" w:rsidR="009D7C52" w:rsidRDefault="009D7C52" w:rsidP="00A16C74">
      <w:pPr>
        <w:spacing w:line="480" w:lineRule="auto"/>
        <w:jc w:val="both"/>
        <w:rPr>
          <w:rFonts w:cs="Calibri"/>
        </w:rPr>
      </w:pPr>
      <w:r w:rsidRPr="009D7C52">
        <w:rPr>
          <w:rFonts w:cs="Calibri"/>
        </w:rPr>
        <w:t xml:space="preserve">NM has received speaker fees from Beyer (2016) and Pfizer (2019) and received educational support from </w:t>
      </w:r>
      <w:proofErr w:type="spellStart"/>
      <w:r w:rsidRPr="009D7C52">
        <w:rPr>
          <w:rFonts w:cs="Calibri"/>
        </w:rPr>
        <w:t>Eumedica</w:t>
      </w:r>
      <w:proofErr w:type="spellEnd"/>
      <w:r w:rsidRPr="009D7C52">
        <w:rPr>
          <w:rFonts w:cs="Calibri"/>
        </w:rPr>
        <w:t xml:space="preserve"> (2016) and Baxter (2017).</w:t>
      </w:r>
    </w:p>
    <w:p w14:paraId="6B0547FD" w14:textId="77777777" w:rsidR="009D7C52" w:rsidRPr="009D7C52" w:rsidRDefault="009D7C52" w:rsidP="00A16C74">
      <w:pPr>
        <w:spacing w:line="480" w:lineRule="auto"/>
        <w:jc w:val="both"/>
        <w:rPr>
          <w:rFonts w:cs="Calibri"/>
        </w:rPr>
      </w:pPr>
      <w:r w:rsidRPr="009D7C52">
        <w:rPr>
          <w:rFonts w:cs="Calibri"/>
          <w:highlight w:val="yellow"/>
        </w:rPr>
        <w:t xml:space="preserve">All other authors have no conflicts of interest to declare. </w:t>
      </w:r>
    </w:p>
    <w:p w14:paraId="44A79F29" w14:textId="77777777" w:rsidR="009D7C52" w:rsidRPr="009D7C52" w:rsidRDefault="009D7C52" w:rsidP="00A16C74">
      <w:pPr>
        <w:spacing w:line="480" w:lineRule="auto"/>
        <w:rPr>
          <w:rFonts w:cs="Calibri"/>
        </w:rPr>
      </w:pPr>
    </w:p>
    <w:p w14:paraId="6D91B13F" w14:textId="77777777" w:rsidR="009D7C52" w:rsidRPr="009D7C52" w:rsidRDefault="009D7C52" w:rsidP="00A16C74">
      <w:pPr>
        <w:spacing w:line="480" w:lineRule="auto"/>
        <w:jc w:val="both"/>
        <w:rPr>
          <w:rFonts w:cs="Calibri"/>
          <w:b/>
          <w:bCs/>
        </w:rPr>
      </w:pPr>
      <w:r w:rsidRPr="009D7C52">
        <w:rPr>
          <w:rFonts w:cs="Calibri"/>
          <w:b/>
          <w:bCs/>
        </w:rPr>
        <w:t>Availability of data and materials</w:t>
      </w:r>
    </w:p>
    <w:p w14:paraId="0949B76D" w14:textId="77777777" w:rsidR="009D7C52" w:rsidRPr="009D7C52" w:rsidRDefault="009D7C52" w:rsidP="00A16C74">
      <w:pPr>
        <w:pStyle w:val="MediumGrid1-Accent21"/>
        <w:spacing w:line="480" w:lineRule="auto"/>
        <w:ind w:left="0"/>
        <w:jc w:val="both"/>
        <w:rPr>
          <w:rFonts w:asciiTheme="minorHAnsi" w:hAnsiTheme="minorHAnsi" w:cs="Calibri"/>
          <w:szCs w:val="22"/>
        </w:rPr>
      </w:pPr>
      <w:r w:rsidRPr="009D7C52">
        <w:rPr>
          <w:rFonts w:asciiTheme="minorHAnsi" w:hAnsiTheme="minorHAnsi" w:cs="Calibri"/>
          <w:szCs w:val="22"/>
        </w:rPr>
        <w:t xml:space="preserve">The data </w:t>
      </w:r>
      <w:proofErr w:type="spellStart"/>
      <w:r w:rsidRPr="009D7C52">
        <w:rPr>
          <w:rFonts w:asciiTheme="minorHAnsi" w:hAnsiTheme="minorHAnsi" w:cs="Calibri"/>
          <w:szCs w:val="22"/>
        </w:rPr>
        <w:t>analysed</w:t>
      </w:r>
      <w:proofErr w:type="spellEnd"/>
      <w:r w:rsidRPr="009D7C52">
        <w:rPr>
          <w:rFonts w:asciiTheme="minorHAnsi" w:hAnsiTheme="minorHAnsi" w:cs="Calibri"/>
          <w:szCs w:val="22"/>
        </w:rPr>
        <w:t xml:space="preserve"> during the current study and further details on the assays are available from the corresponding author (SD; </w:t>
      </w:r>
      <w:hyperlink r:id="rId7" w:history="1">
        <w:r w:rsidRPr="009D7C52">
          <w:rPr>
            <w:rStyle w:val="Hyperlink"/>
            <w:rFonts w:asciiTheme="minorHAnsi" w:hAnsiTheme="minorHAnsi" w:cs="Calibri"/>
            <w:szCs w:val="22"/>
          </w:rPr>
          <w:t>sarahdenny1@nhs.net</w:t>
        </w:r>
      </w:hyperlink>
      <w:r w:rsidRPr="009D7C52">
        <w:rPr>
          <w:rFonts w:asciiTheme="minorHAnsi" w:hAnsiTheme="minorHAnsi" w:cs="Calibri"/>
          <w:szCs w:val="22"/>
        </w:rPr>
        <w:t xml:space="preserve">) on reasonable request, </w:t>
      </w:r>
      <w:proofErr w:type="gramStart"/>
      <w:r w:rsidRPr="009D7C52">
        <w:rPr>
          <w:rFonts w:asciiTheme="minorHAnsi" w:hAnsiTheme="minorHAnsi" w:cs="Calibri"/>
          <w:szCs w:val="22"/>
        </w:rPr>
        <w:t>as long as</w:t>
      </w:r>
      <w:proofErr w:type="gramEnd"/>
      <w:r w:rsidRPr="009D7C52">
        <w:rPr>
          <w:rFonts w:asciiTheme="minorHAnsi" w:hAnsiTheme="minorHAnsi" w:cs="Calibri"/>
          <w:szCs w:val="22"/>
        </w:rPr>
        <w:t xml:space="preserve"> this meets local ethical and research governance criteria.</w:t>
      </w:r>
    </w:p>
    <w:p w14:paraId="6C0E75AF" w14:textId="77777777" w:rsidR="009D7C52" w:rsidRDefault="009D7C52" w:rsidP="00A16C74">
      <w:pPr>
        <w:spacing w:line="480" w:lineRule="auto"/>
        <w:rPr>
          <w:rFonts w:cs="Calibri"/>
          <w:color w:val="FF0000"/>
          <w:szCs w:val="22"/>
        </w:rPr>
      </w:pPr>
    </w:p>
    <w:p w14:paraId="01C5B769" w14:textId="77777777" w:rsidR="008973F0" w:rsidRPr="008973F0" w:rsidRDefault="008973F0" w:rsidP="00A16C74">
      <w:pPr>
        <w:spacing w:line="480" w:lineRule="auto"/>
        <w:rPr>
          <w:rFonts w:cs="Calibri"/>
          <w:color w:val="FF0000"/>
          <w:szCs w:val="22"/>
        </w:rPr>
      </w:pPr>
    </w:p>
    <w:p w14:paraId="1919DBF0" w14:textId="77777777" w:rsidR="007B663A" w:rsidRDefault="007B663A" w:rsidP="00A16C74">
      <w:pPr>
        <w:spacing w:line="480" w:lineRule="auto"/>
      </w:pPr>
    </w:p>
    <w:p w14:paraId="101740C9" w14:textId="77777777" w:rsidR="007B663A" w:rsidRDefault="007B663A" w:rsidP="00A16C74">
      <w:pPr>
        <w:spacing w:line="480" w:lineRule="auto"/>
      </w:pPr>
    </w:p>
    <w:p w14:paraId="671D2B25" w14:textId="77777777" w:rsidR="00416FCA" w:rsidRDefault="00416FCA" w:rsidP="00A16C74">
      <w:pPr>
        <w:spacing w:line="480" w:lineRule="auto"/>
      </w:pPr>
    </w:p>
    <w:p w14:paraId="650D1942" w14:textId="77777777" w:rsidR="00416FCA" w:rsidRDefault="00416FCA" w:rsidP="00A16C74">
      <w:pPr>
        <w:spacing w:line="480" w:lineRule="auto"/>
      </w:pPr>
    </w:p>
    <w:p w14:paraId="428EEB9E" w14:textId="77777777" w:rsidR="00416FCA" w:rsidRDefault="00416FCA" w:rsidP="00A16C74">
      <w:pPr>
        <w:spacing w:line="480" w:lineRule="auto"/>
      </w:pPr>
    </w:p>
    <w:p w14:paraId="7FF1E2CA" w14:textId="77777777" w:rsidR="00416FCA" w:rsidRDefault="00416FCA" w:rsidP="00A16C74">
      <w:pPr>
        <w:spacing w:line="480" w:lineRule="auto"/>
      </w:pPr>
    </w:p>
    <w:p w14:paraId="7D9649C7" w14:textId="77777777" w:rsidR="00416FCA" w:rsidRDefault="00416FCA" w:rsidP="00A16C74">
      <w:pPr>
        <w:spacing w:line="480" w:lineRule="auto"/>
      </w:pPr>
    </w:p>
    <w:p w14:paraId="099954CD" w14:textId="77777777" w:rsidR="00416FCA" w:rsidRDefault="00416FCA" w:rsidP="00A16C74">
      <w:pPr>
        <w:spacing w:line="480" w:lineRule="auto"/>
      </w:pPr>
    </w:p>
    <w:p w14:paraId="5A56F98A" w14:textId="77777777" w:rsidR="00416FCA" w:rsidRDefault="00416FCA" w:rsidP="00A16C74">
      <w:pPr>
        <w:spacing w:line="480" w:lineRule="auto"/>
      </w:pPr>
    </w:p>
    <w:p w14:paraId="55AFFE65" w14:textId="77777777" w:rsidR="00416FCA" w:rsidRDefault="00416FCA" w:rsidP="00A16C74">
      <w:pPr>
        <w:spacing w:line="480" w:lineRule="auto"/>
      </w:pPr>
    </w:p>
    <w:p w14:paraId="5BBF4BAC" w14:textId="77777777" w:rsidR="00416FCA" w:rsidRDefault="00416FCA" w:rsidP="00A16C74">
      <w:pPr>
        <w:spacing w:line="480" w:lineRule="auto"/>
      </w:pPr>
    </w:p>
    <w:p w14:paraId="54C6DD4D" w14:textId="77777777" w:rsidR="00225527" w:rsidRPr="007B663A" w:rsidRDefault="00225527" w:rsidP="00A16C74">
      <w:pPr>
        <w:spacing w:line="480" w:lineRule="auto"/>
        <w:rPr>
          <w:b/>
        </w:rPr>
      </w:pPr>
      <w:r w:rsidRPr="007B663A">
        <w:rPr>
          <w:b/>
        </w:rPr>
        <w:lastRenderedPageBreak/>
        <w:t>References</w:t>
      </w:r>
    </w:p>
    <w:p w14:paraId="6C24A850" w14:textId="77777777" w:rsidR="00A3513E" w:rsidRPr="00A3513E" w:rsidRDefault="00A3513E" w:rsidP="00A3513E">
      <w:pPr>
        <w:pStyle w:val="ListParagraph"/>
        <w:numPr>
          <w:ilvl w:val="0"/>
          <w:numId w:val="2"/>
        </w:numPr>
        <w:spacing w:after="200" w:line="480" w:lineRule="auto"/>
        <w:rPr>
          <w:szCs w:val="20"/>
          <w:lang w:val="en-GB"/>
        </w:rPr>
      </w:pPr>
      <w:r w:rsidRPr="00A3513E">
        <w:rPr>
          <w:color w:val="222222"/>
          <w:szCs w:val="26"/>
          <w:shd w:val="clear" w:color="auto" w:fill="FFFFFF"/>
          <w:lang w:val="en-GB"/>
        </w:rPr>
        <w:t xml:space="preserve">De Francesco MA, </w:t>
      </w:r>
      <w:proofErr w:type="spellStart"/>
      <w:r w:rsidRPr="00A3513E">
        <w:rPr>
          <w:color w:val="222222"/>
          <w:szCs w:val="26"/>
          <w:shd w:val="clear" w:color="auto" w:fill="FFFFFF"/>
          <w:lang w:val="en-GB"/>
        </w:rPr>
        <w:t>Poiesi</w:t>
      </w:r>
      <w:proofErr w:type="spellEnd"/>
      <w:r w:rsidRPr="00A3513E">
        <w:rPr>
          <w:color w:val="222222"/>
          <w:szCs w:val="26"/>
          <w:shd w:val="clear" w:color="auto" w:fill="FFFFFF"/>
          <w:lang w:val="en-GB"/>
        </w:rPr>
        <w:t xml:space="preserve"> C, Gargiulo F, Bonfanti C, </w:t>
      </w:r>
      <w:proofErr w:type="spellStart"/>
      <w:r w:rsidRPr="00A3513E">
        <w:rPr>
          <w:color w:val="222222"/>
          <w:szCs w:val="26"/>
          <w:shd w:val="clear" w:color="auto" w:fill="FFFFFF"/>
          <w:lang w:val="en-GB"/>
        </w:rPr>
        <w:t>Pollara</w:t>
      </w:r>
      <w:proofErr w:type="spellEnd"/>
      <w:r w:rsidRPr="00A3513E">
        <w:rPr>
          <w:color w:val="222222"/>
          <w:szCs w:val="26"/>
          <w:shd w:val="clear" w:color="auto" w:fill="FFFFFF"/>
          <w:lang w:val="en-GB"/>
        </w:rPr>
        <w:t xml:space="preserve"> P, </w:t>
      </w:r>
      <w:proofErr w:type="spellStart"/>
      <w:r w:rsidRPr="00A3513E">
        <w:rPr>
          <w:color w:val="222222"/>
          <w:szCs w:val="26"/>
          <w:shd w:val="clear" w:color="auto" w:fill="FFFFFF"/>
          <w:lang w:val="en-GB"/>
        </w:rPr>
        <w:t>Fiorentini</w:t>
      </w:r>
      <w:proofErr w:type="spellEnd"/>
      <w:r w:rsidRPr="00A3513E">
        <w:rPr>
          <w:color w:val="222222"/>
          <w:szCs w:val="26"/>
          <w:shd w:val="clear" w:color="auto" w:fill="FFFFFF"/>
          <w:lang w:val="en-GB"/>
        </w:rPr>
        <w:t xml:space="preserve"> S, </w:t>
      </w:r>
      <w:proofErr w:type="spellStart"/>
      <w:r w:rsidRPr="00A3513E">
        <w:rPr>
          <w:color w:val="222222"/>
          <w:szCs w:val="26"/>
          <w:shd w:val="clear" w:color="auto" w:fill="FFFFFF"/>
          <w:lang w:val="en-GB"/>
        </w:rPr>
        <w:t>Caccuri</w:t>
      </w:r>
      <w:proofErr w:type="spellEnd"/>
      <w:r w:rsidRPr="00A3513E">
        <w:rPr>
          <w:color w:val="222222"/>
          <w:szCs w:val="26"/>
          <w:shd w:val="clear" w:color="auto" w:fill="FFFFFF"/>
          <w:lang w:val="en-GB"/>
        </w:rPr>
        <w:t xml:space="preserve"> F, Carta V, </w:t>
      </w:r>
      <w:proofErr w:type="spellStart"/>
      <w:r w:rsidRPr="00A3513E">
        <w:rPr>
          <w:color w:val="222222"/>
          <w:szCs w:val="26"/>
          <w:shd w:val="clear" w:color="auto" w:fill="FFFFFF"/>
          <w:lang w:val="en-GB"/>
        </w:rPr>
        <w:t>Mangeri</w:t>
      </w:r>
      <w:proofErr w:type="spellEnd"/>
      <w:r w:rsidRPr="00A3513E">
        <w:rPr>
          <w:color w:val="222222"/>
          <w:szCs w:val="26"/>
          <w:shd w:val="clear" w:color="auto" w:fill="FFFFFF"/>
          <w:lang w:val="en-GB"/>
        </w:rPr>
        <w:t xml:space="preserve"> L, </w:t>
      </w:r>
      <w:proofErr w:type="spellStart"/>
      <w:r w:rsidRPr="00A3513E">
        <w:rPr>
          <w:color w:val="222222"/>
          <w:szCs w:val="26"/>
          <w:shd w:val="clear" w:color="auto" w:fill="FFFFFF"/>
          <w:lang w:val="en-GB"/>
        </w:rPr>
        <w:t>Pellizzeri</w:t>
      </w:r>
      <w:proofErr w:type="spellEnd"/>
      <w:r w:rsidRPr="00A3513E">
        <w:rPr>
          <w:color w:val="222222"/>
          <w:szCs w:val="26"/>
          <w:shd w:val="clear" w:color="auto" w:fill="FFFFFF"/>
          <w:lang w:val="en-GB"/>
        </w:rPr>
        <w:t xml:space="preserve"> S, </w:t>
      </w:r>
      <w:proofErr w:type="spellStart"/>
      <w:r w:rsidRPr="00A3513E">
        <w:rPr>
          <w:color w:val="222222"/>
          <w:szCs w:val="26"/>
          <w:shd w:val="clear" w:color="auto" w:fill="FFFFFF"/>
          <w:lang w:val="en-GB"/>
        </w:rPr>
        <w:t>Rizzoni</w:t>
      </w:r>
      <w:proofErr w:type="spellEnd"/>
      <w:r w:rsidRPr="00A3513E">
        <w:rPr>
          <w:color w:val="222222"/>
          <w:szCs w:val="26"/>
          <w:shd w:val="clear" w:color="auto" w:fill="FFFFFF"/>
          <w:lang w:val="en-GB"/>
        </w:rPr>
        <w:t xml:space="preserve"> D. Co-infection of Chlamydia pneumoniae and Mycoplasma pneumoniae with SARS-CoV-2 is associated with more severe features. The Journal of infection. 2021 Jan 19.</w:t>
      </w:r>
    </w:p>
    <w:p w14:paraId="555A00FE" w14:textId="77777777" w:rsidR="00835AD7" w:rsidRPr="00C10427" w:rsidRDefault="00835AD7" w:rsidP="00A16C74">
      <w:pPr>
        <w:pStyle w:val="ListParagraph"/>
        <w:numPr>
          <w:ilvl w:val="0"/>
          <w:numId w:val="2"/>
        </w:numPr>
        <w:spacing w:line="480" w:lineRule="auto"/>
        <w:rPr>
          <w:szCs w:val="20"/>
          <w:lang w:val="en-GB"/>
        </w:rPr>
      </w:pPr>
      <w:r w:rsidRPr="00C10427">
        <w:rPr>
          <w:color w:val="222222"/>
          <w:szCs w:val="17"/>
          <w:shd w:val="clear" w:color="auto" w:fill="FFFFFF"/>
          <w:lang w:val="en-GB"/>
        </w:rPr>
        <w:t xml:space="preserve">Mastrangelo A, </w:t>
      </w:r>
      <w:proofErr w:type="spellStart"/>
      <w:r w:rsidRPr="00C10427">
        <w:rPr>
          <w:color w:val="222222"/>
          <w:szCs w:val="17"/>
          <w:shd w:val="clear" w:color="auto" w:fill="FFFFFF"/>
          <w:lang w:val="en-GB"/>
        </w:rPr>
        <w:t>Germinario</w:t>
      </w:r>
      <w:proofErr w:type="spellEnd"/>
      <w:r w:rsidRPr="00C10427">
        <w:rPr>
          <w:color w:val="222222"/>
          <w:szCs w:val="17"/>
          <w:shd w:val="clear" w:color="auto" w:fill="FFFFFF"/>
          <w:lang w:val="en-GB"/>
        </w:rPr>
        <w:t xml:space="preserve"> BN, Ferrante M, </w:t>
      </w:r>
      <w:proofErr w:type="spellStart"/>
      <w:r w:rsidRPr="00C10427">
        <w:rPr>
          <w:color w:val="222222"/>
          <w:szCs w:val="17"/>
          <w:shd w:val="clear" w:color="auto" w:fill="FFFFFF"/>
          <w:lang w:val="en-GB"/>
        </w:rPr>
        <w:t>Frangi</w:t>
      </w:r>
      <w:proofErr w:type="spellEnd"/>
      <w:r w:rsidRPr="00C10427">
        <w:rPr>
          <w:color w:val="222222"/>
          <w:szCs w:val="17"/>
          <w:shd w:val="clear" w:color="auto" w:fill="FFFFFF"/>
          <w:lang w:val="en-GB"/>
        </w:rPr>
        <w:t xml:space="preserve"> C, </w:t>
      </w:r>
      <w:proofErr w:type="spellStart"/>
      <w:r w:rsidRPr="00C10427">
        <w:rPr>
          <w:color w:val="222222"/>
          <w:szCs w:val="17"/>
          <w:shd w:val="clear" w:color="auto" w:fill="FFFFFF"/>
          <w:lang w:val="en-GB"/>
        </w:rPr>
        <w:t>Voti</w:t>
      </w:r>
      <w:proofErr w:type="spellEnd"/>
      <w:r w:rsidRPr="00C10427">
        <w:rPr>
          <w:color w:val="222222"/>
          <w:szCs w:val="17"/>
          <w:shd w:val="clear" w:color="auto" w:fill="FFFFFF"/>
          <w:lang w:val="en-GB"/>
        </w:rPr>
        <w:t xml:space="preserve"> RL, </w:t>
      </w:r>
      <w:proofErr w:type="spellStart"/>
      <w:r w:rsidRPr="00C10427">
        <w:rPr>
          <w:color w:val="222222"/>
          <w:szCs w:val="17"/>
          <w:shd w:val="clear" w:color="auto" w:fill="FFFFFF"/>
          <w:lang w:val="en-GB"/>
        </w:rPr>
        <w:t>Muccini</w:t>
      </w:r>
      <w:proofErr w:type="spellEnd"/>
      <w:r w:rsidRPr="00C10427">
        <w:rPr>
          <w:color w:val="222222"/>
          <w:szCs w:val="17"/>
          <w:shd w:val="clear" w:color="auto" w:fill="FFFFFF"/>
          <w:lang w:val="en-GB"/>
        </w:rPr>
        <w:t xml:space="preserve"> C, </w:t>
      </w:r>
      <w:proofErr w:type="spellStart"/>
      <w:r w:rsidRPr="00C10427">
        <w:rPr>
          <w:color w:val="222222"/>
          <w:szCs w:val="17"/>
          <w:shd w:val="clear" w:color="auto" w:fill="FFFFFF"/>
          <w:lang w:val="en-GB"/>
        </w:rPr>
        <w:t>Ripa</w:t>
      </w:r>
      <w:proofErr w:type="spellEnd"/>
      <w:r w:rsidRPr="00C10427">
        <w:rPr>
          <w:color w:val="222222"/>
          <w:szCs w:val="17"/>
          <w:shd w:val="clear" w:color="auto" w:fill="FFFFFF"/>
          <w:lang w:val="en-GB"/>
        </w:rPr>
        <w:t xml:space="preserve"> M, COVID-</w:t>
      </w:r>
      <w:proofErr w:type="spellStart"/>
      <w:r w:rsidRPr="00C10427">
        <w:rPr>
          <w:color w:val="222222"/>
          <w:szCs w:val="17"/>
          <w:shd w:val="clear" w:color="auto" w:fill="FFFFFF"/>
          <w:lang w:val="en-GB"/>
        </w:rPr>
        <w:t>BioB</w:t>
      </w:r>
      <w:proofErr w:type="spellEnd"/>
      <w:r w:rsidRPr="00C10427">
        <w:rPr>
          <w:color w:val="222222"/>
          <w:szCs w:val="17"/>
          <w:shd w:val="clear" w:color="auto" w:fill="FFFFFF"/>
          <w:lang w:val="en-GB"/>
        </w:rPr>
        <w:t xml:space="preserve"> Study Group. Candidemia in COVID-19 patients: incidence and characteristics in a prospective cohort compared to historical non-COVID-19 controls. Clinical infectious diseases: an official publication of the Infectious Diseases Society of America. 2020 Oct </w:t>
      </w:r>
      <w:proofErr w:type="gramStart"/>
      <w:r w:rsidRPr="00C10427">
        <w:rPr>
          <w:color w:val="222222"/>
          <w:szCs w:val="17"/>
          <w:shd w:val="clear" w:color="auto" w:fill="FFFFFF"/>
          <w:lang w:val="en-GB"/>
        </w:rPr>
        <w:t>30:ciaa</w:t>
      </w:r>
      <w:proofErr w:type="gramEnd"/>
      <w:r w:rsidRPr="00C10427">
        <w:rPr>
          <w:color w:val="222222"/>
          <w:szCs w:val="17"/>
          <w:shd w:val="clear" w:color="auto" w:fill="FFFFFF"/>
          <w:lang w:val="en-GB"/>
        </w:rPr>
        <w:t>1594.</w:t>
      </w:r>
    </w:p>
    <w:p w14:paraId="78E4FAE5" w14:textId="77777777" w:rsidR="00E6632D" w:rsidRPr="00C10427" w:rsidRDefault="00E6632D" w:rsidP="00A16C74">
      <w:pPr>
        <w:numPr>
          <w:ilvl w:val="0"/>
          <w:numId w:val="2"/>
        </w:numPr>
        <w:spacing w:line="480" w:lineRule="auto"/>
        <w:contextualSpacing/>
        <w:rPr>
          <w:u w:val="single"/>
        </w:rPr>
      </w:pPr>
      <w:proofErr w:type="spellStart"/>
      <w:r w:rsidRPr="00C10427">
        <w:rPr>
          <w:rFonts w:cs="Arial"/>
          <w:szCs w:val="26"/>
        </w:rPr>
        <w:t>Cornely</w:t>
      </w:r>
      <w:proofErr w:type="spellEnd"/>
      <w:r w:rsidRPr="00C10427">
        <w:rPr>
          <w:rFonts w:cs="Arial"/>
          <w:szCs w:val="26"/>
        </w:rPr>
        <w:t xml:space="preserve"> OA, </w:t>
      </w:r>
      <w:proofErr w:type="spellStart"/>
      <w:r w:rsidRPr="00C10427">
        <w:rPr>
          <w:rFonts w:cs="Arial"/>
          <w:szCs w:val="26"/>
        </w:rPr>
        <w:t>Bassetti</w:t>
      </w:r>
      <w:proofErr w:type="spellEnd"/>
      <w:r w:rsidRPr="00C10427">
        <w:rPr>
          <w:rFonts w:cs="Arial"/>
          <w:szCs w:val="26"/>
        </w:rPr>
        <w:t xml:space="preserve"> M, Calandra T, </w:t>
      </w:r>
      <w:proofErr w:type="spellStart"/>
      <w:r w:rsidRPr="00C10427">
        <w:rPr>
          <w:rFonts w:cs="Arial"/>
          <w:szCs w:val="26"/>
        </w:rPr>
        <w:t>Garbino</w:t>
      </w:r>
      <w:proofErr w:type="spellEnd"/>
      <w:r w:rsidRPr="00C10427">
        <w:rPr>
          <w:rFonts w:cs="Arial"/>
          <w:szCs w:val="26"/>
        </w:rPr>
        <w:t xml:space="preserve"> J, Kullberg BJ, </w:t>
      </w:r>
      <w:proofErr w:type="spellStart"/>
      <w:r w:rsidRPr="00C10427">
        <w:rPr>
          <w:rFonts w:cs="Arial"/>
          <w:szCs w:val="26"/>
        </w:rPr>
        <w:t>Lortholary</w:t>
      </w:r>
      <w:proofErr w:type="spellEnd"/>
      <w:r w:rsidRPr="00C10427">
        <w:rPr>
          <w:rFonts w:cs="Arial"/>
          <w:szCs w:val="26"/>
        </w:rPr>
        <w:t xml:space="preserve"> O, </w:t>
      </w:r>
      <w:proofErr w:type="spellStart"/>
      <w:r w:rsidRPr="00C10427">
        <w:rPr>
          <w:rFonts w:cs="Arial"/>
          <w:szCs w:val="26"/>
        </w:rPr>
        <w:t>Meersseman</w:t>
      </w:r>
      <w:proofErr w:type="spellEnd"/>
      <w:r w:rsidRPr="00C10427">
        <w:rPr>
          <w:rFonts w:cs="Arial"/>
          <w:szCs w:val="26"/>
        </w:rPr>
        <w:t xml:space="preserve"> W, </w:t>
      </w:r>
      <w:proofErr w:type="spellStart"/>
      <w:r w:rsidRPr="00C10427">
        <w:rPr>
          <w:rFonts w:cs="Arial"/>
          <w:szCs w:val="26"/>
        </w:rPr>
        <w:t>Akova</w:t>
      </w:r>
      <w:proofErr w:type="spellEnd"/>
      <w:r w:rsidRPr="00C10427">
        <w:rPr>
          <w:rFonts w:cs="Arial"/>
          <w:szCs w:val="26"/>
        </w:rPr>
        <w:t xml:space="preserve"> M, </w:t>
      </w:r>
      <w:proofErr w:type="spellStart"/>
      <w:r w:rsidRPr="00C10427">
        <w:rPr>
          <w:rFonts w:cs="Arial"/>
          <w:szCs w:val="26"/>
        </w:rPr>
        <w:t>Arendrup</w:t>
      </w:r>
      <w:proofErr w:type="spellEnd"/>
      <w:r w:rsidRPr="00C10427">
        <w:rPr>
          <w:rFonts w:cs="Arial"/>
          <w:szCs w:val="26"/>
        </w:rPr>
        <w:t xml:space="preserve"> MC, </w:t>
      </w:r>
      <w:proofErr w:type="spellStart"/>
      <w:r w:rsidRPr="00C10427">
        <w:rPr>
          <w:rFonts w:cs="Arial"/>
          <w:szCs w:val="26"/>
        </w:rPr>
        <w:t>Arikan</w:t>
      </w:r>
      <w:r w:rsidRPr="00C10427">
        <w:rPr>
          <w:rFonts w:cs="Noteworthy Light"/>
          <w:szCs w:val="26"/>
        </w:rPr>
        <w:t>‐</w:t>
      </w:r>
      <w:r w:rsidRPr="00C10427">
        <w:rPr>
          <w:rFonts w:cs="Arial"/>
          <w:szCs w:val="26"/>
        </w:rPr>
        <w:t>Akdagli</w:t>
      </w:r>
      <w:proofErr w:type="spellEnd"/>
      <w:r w:rsidRPr="00C10427">
        <w:rPr>
          <w:rFonts w:cs="Arial"/>
          <w:szCs w:val="26"/>
        </w:rPr>
        <w:t xml:space="preserve"> S, </w:t>
      </w:r>
      <w:proofErr w:type="spellStart"/>
      <w:r w:rsidRPr="00C10427">
        <w:rPr>
          <w:rFonts w:cs="Arial"/>
          <w:szCs w:val="26"/>
        </w:rPr>
        <w:t>Bille</w:t>
      </w:r>
      <w:proofErr w:type="spellEnd"/>
      <w:r w:rsidRPr="00C10427">
        <w:rPr>
          <w:rFonts w:cs="Arial"/>
          <w:szCs w:val="26"/>
        </w:rPr>
        <w:t xml:space="preserve"> J. ESCMID* guideline for the diagnosis and management of Candida diseases 2012: non</w:t>
      </w:r>
      <w:r w:rsidRPr="00C10427">
        <w:rPr>
          <w:rFonts w:cs="Noteworthy Light"/>
          <w:szCs w:val="26"/>
        </w:rPr>
        <w:t>‐</w:t>
      </w:r>
      <w:r w:rsidRPr="00C10427">
        <w:rPr>
          <w:rFonts w:cs="Arial"/>
          <w:szCs w:val="26"/>
        </w:rPr>
        <w:t xml:space="preserve">neutropenic adult patients. Clinical Microbiology and Infection. 2012 </w:t>
      </w:r>
      <w:proofErr w:type="gramStart"/>
      <w:r w:rsidRPr="00C10427">
        <w:rPr>
          <w:rFonts w:cs="Arial"/>
          <w:szCs w:val="26"/>
        </w:rPr>
        <w:t>Dec;18:19</w:t>
      </w:r>
      <w:proofErr w:type="gramEnd"/>
      <w:r w:rsidRPr="00C10427">
        <w:rPr>
          <w:rFonts w:cs="Arial"/>
          <w:szCs w:val="26"/>
        </w:rPr>
        <w:t>-37.</w:t>
      </w:r>
    </w:p>
    <w:p w14:paraId="037A0F3E" w14:textId="77777777" w:rsidR="00225527" w:rsidRPr="00C10427" w:rsidRDefault="00741AB2" w:rsidP="00A16C74">
      <w:pPr>
        <w:numPr>
          <w:ilvl w:val="0"/>
          <w:numId w:val="2"/>
        </w:numPr>
        <w:spacing w:line="480" w:lineRule="auto"/>
        <w:contextualSpacing/>
        <w:rPr>
          <w:u w:val="single"/>
        </w:rPr>
      </w:pPr>
      <w:r w:rsidRPr="00C10427">
        <w:t xml:space="preserve">EUCAST – antifungal MIC method for yeast 2020 [Available from: </w:t>
      </w:r>
      <w:hyperlink r:id="rId8" w:history="1">
        <w:r w:rsidR="00225527" w:rsidRPr="008973F0">
          <w:rPr>
            <w:rStyle w:val="Hyperlink"/>
            <w:color w:val="auto"/>
            <w:u w:val="none"/>
          </w:rPr>
          <w:t>https://www.eucast.org/fileadmin/src/media/PDFs/EUCAST_files/AFST/Files/EUCAST_E_Def_7.3.2_Yeast_testing_definitive_revised_2020.pdf</w:t>
        </w:r>
      </w:hyperlink>
    </w:p>
    <w:p w14:paraId="7CA76E4C" w14:textId="77777777" w:rsidR="00E6632D" w:rsidRPr="00C10427" w:rsidRDefault="00E6632D" w:rsidP="00A16C74">
      <w:pPr>
        <w:numPr>
          <w:ilvl w:val="0"/>
          <w:numId w:val="2"/>
        </w:numPr>
        <w:spacing w:line="480" w:lineRule="auto"/>
        <w:contextualSpacing/>
        <w:rPr>
          <w:u w:val="single"/>
        </w:rPr>
      </w:pPr>
      <w:proofErr w:type="spellStart"/>
      <w:r w:rsidRPr="00C10427">
        <w:rPr>
          <w:rFonts w:cs="Arial"/>
          <w:szCs w:val="26"/>
        </w:rPr>
        <w:t>Barberino</w:t>
      </w:r>
      <w:proofErr w:type="spellEnd"/>
      <w:r w:rsidRPr="00C10427">
        <w:rPr>
          <w:rFonts w:cs="Arial"/>
          <w:szCs w:val="26"/>
        </w:rPr>
        <w:t xml:space="preserve"> MG, Silva N, </w:t>
      </w:r>
      <w:proofErr w:type="spellStart"/>
      <w:r w:rsidRPr="00C10427">
        <w:rPr>
          <w:rFonts w:cs="Arial"/>
          <w:szCs w:val="26"/>
        </w:rPr>
        <w:t>Rebouças</w:t>
      </w:r>
      <w:proofErr w:type="spellEnd"/>
      <w:r w:rsidRPr="00C10427">
        <w:rPr>
          <w:rFonts w:cs="Arial"/>
          <w:szCs w:val="26"/>
        </w:rPr>
        <w:t xml:space="preserve"> C, Barreiro K, </w:t>
      </w:r>
      <w:proofErr w:type="spellStart"/>
      <w:r w:rsidRPr="00C10427">
        <w:rPr>
          <w:rFonts w:cs="Arial"/>
          <w:szCs w:val="26"/>
        </w:rPr>
        <w:t>Alcântara</w:t>
      </w:r>
      <w:proofErr w:type="spellEnd"/>
      <w:r w:rsidRPr="00C10427">
        <w:rPr>
          <w:rFonts w:cs="Arial"/>
          <w:szCs w:val="26"/>
        </w:rPr>
        <w:t xml:space="preserve"> AP, </w:t>
      </w:r>
      <w:proofErr w:type="spellStart"/>
      <w:r w:rsidRPr="00C10427">
        <w:rPr>
          <w:rFonts w:cs="Arial"/>
          <w:szCs w:val="26"/>
        </w:rPr>
        <w:t>Netto</w:t>
      </w:r>
      <w:proofErr w:type="spellEnd"/>
      <w:r w:rsidRPr="00C10427">
        <w:rPr>
          <w:rFonts w:cs="Arial"/>
          <w:szCs w:val="26"/>
        </w:rPr>
        <w:t xml:space="preserve"> EM, Albuquerque L, </w:t>
      </w:r>
      <w:proofErr w:type="spellStart"/>
      <w:r w:rsidRPr="00C10427">
        <w:rPr>
          <w:rFonts w:cs="Arial"/>
          <w:szCs w:val="26"/>
        </w:rPr>
        <w:t>Brites</w:t>
      </w:r>
      <w:proofErr w:type="spellEnd"/>
      <w:r w:rsidRPr="00C10427">
        <w:rPr>
          <w:rFonts w:cs="Arial"/>
          <w:szCs w:val="26"/>
        </w:rPr>
        <w:t xml:space="preserve"> C. Evaluation of blood stream infections by Candida in three tertiary hospitals in Salvador, Brazil: a case-control study. Brazilian Journal of Infectious Diseases. 2006 Feb;10(1):36-40.</w:t>
      </w:r>
    </w:p>
    <w:p w14:paraId="3E3F6354" w14:textId="77777777" w:rsidR="00950FFE" w:rsidRPr="00C10427" w:rsidRDefault="00E6632D" w:rsidP="00A16C74">
      <w:pPr>
        <w:numPr>
          <w:ilvl w:val="0"/>
          <w:numId w:val="2"/>
        </w:numPr>
        <w:spacing w:line="480" w:lineRule="auto"/>
        <w:contextualSpacing/>
        <w:rPr>
          <w:u w:val="single"/>
        </w:rPr>
      </w:pPr>
      <w:proofErr w:type="spellStart"/>
      <w:r w:rsidRPr="00C10427">
        <w:rPr>
          <w:rFonts w:cs="Arial"/>
          <w:szCs w:val="26"/>
        </w:rPr>
        <w:t>Yapar</w:t>
      </w:r>
      <w:proofErr w:type="spellEnd"/>
      <w:r w:rsidRPr="00C10427">
        <w:rPr>
          <w:rFonts w:cs="Arial"/>
          <w:szCs w:val="26"/>
        </w:rPr>
        <w:t xml:space="preserve"> N, </w:t>
      </w:r>
      <w:proofErr w:type="spellStart"/>
      <w:r w:rsidRPr="00C10427">
        <w:rPr>
          <w:rFonts w:cs="Arial"/>
          <w:szCs w:val="26"/>
        </w:rPr>
        <w:t>Pullukcu</w:t>
      </w:r>
      <w:proofErr w:type="spellEnd"/>
      <w:r w:rsidRPr="00C10427">
        <w:rPr>
          <w:rFonts w:cs="Arial"/>
          <w:szCs w:val="26"/>
        </w:rPr>
        <w:t xml:space="preserve"> H, </w:t>
      </w:r>
      <w:proofErr w:type="spellStart"/>
      <w:r w:rsidRPr="00C10427">
        <w:rPr>
          <w:rFonts w:cs="Arial"/>
          <w:szCs w:val="26"/>
        </w:rPr>
        <w:t>Avkan-Oguz</w:t>
      </w:r>
      <w:proofErr w:type="spellEnd"/>
      <w:r w:rsidRPr="00C10427">
        <w:rPr>
          <w:rFonts w:cs="Arial"/>
          <w:szCs w:val="26"/>
        </w:rPr>
        <w:t xml:space="preserve"> V, </w:t>
      </w:r>
      <w:proofErr w:type="spellStart"/>
      <w:r w:rsidRPr="00C10427">
        <w:rPr>
          <w:rFonts w:cs="Arial"/>
          <w:szCs w:val="26"/>
        </w:rPr>
        <w:t>Sayin-Kutlu</w:t>
      </w:r>
      <w:proofErr w:type="spellEnd"/>
      <w:r w:rsidRPr="00C10427">
        <w:rPr>
          <w:rFonts w:cs="Arial"/>
          <w:szCs w:val="26"/>
        </w:rPr>
        <w:t xml:space="preserve"> S, </w:t>
      </w:r>
      <w:proofErr w:type="spellStart"/>
      <w:r w:rsidRPr="00C10427">
        <w:rPr>
          <w:rFonts w:cs="Arial"/>
          <w:szCs w:val="26"/>
        </w:rPr>
        <w:t>Ertugrul</w:t>
      </w:r>
      <w:proofErr w:type="spellEnd"/>
      <w:r w:rsidRPr="00C10427">
        <w:rPr>
          <w:rFonts w:cs="Arial"/>
          <w:szCs w:val="26"/>
        </w:rPr>
        <w:t xml:space="preserve"> B, </w:t>
      </w:r>
      <w:proofErr w:type="spellStart"/>
      <w:r w:rsidRPr="00C10427">
        <w:rPr>
          <w:rFonts w:cs="Arial"/>
          <w:szCs w:val="26"/>
        </w:rPr>
        <w:t>Sacar</w:t>
      </w:r>
      <w:proofErr w:type="spellEnd"/>
      <w:r w:rsidRPr="00C10427">
        <w:rPr>
          <w:rFonts w:cs="Arial"/>
          <w:szCs w:val="26"/>
        </w:rPr>
        <w:t xml:space="preserve"> S, Cetin B, Kaya O. Evaluation of species distribution and risk factors of candidemia: a multicenter case-control study. Medical mycology. 2011 Jan 1;49(1):26-31.</w:t>
      </w:r>
    </w:p>
    <w:p w14:paraId="20D261F6" w14:textId="77777777" w:rsidR="00950FFE" w:rsidRPr="00C10427" w:rsidRDefault="00950FFE" w:rsidP="00A16C74">
      <w:pPr>
        <w:numPr>
          <w:ilvl w:val="0"/>
          <w:numId w:val="2"/>
        </w:numPr>
        <w:spacing w:line="480" w:lineRule="auto"/>
        <w:contextualSpacing/>
        <w:rPr>
          <w:u w:val="single"/>
        </w:rPr>
      </w:pPr>
      <w:r w:rsidRPr="00C10427">
        <w:rPr>
          <w:rFonts w:cs="Arial"/>
          <w:szCs w:val="26"/>
        </w:rPr>
        <w:lastRenderedPageBreak/>
        <w:t xml:space="preserve">Hughes S, </w:t>
      </w:r>
      <w:proofErr w:type="spellStart"/>
      <w:r w:rsidRPr="00C10427">
        <w:rPr>
          <w:rFonts w:cs="Arial"/>
          <w:szCs w:val="26"/>
        </w:rPr>
        <w:t>Troise</w:t>
      </w:r>
      <w:proofErr w:type="spellEnd"/>
      <w:r w:rsidRPr="00C10427">
        <w:rPr>
          <w:rFonts w:cs="Arial"/>
          <w:szCs w:val="26"/>
        </w:rPr>
        <w:t xml:space="preserve"> O, Donaldson H, Mughal N, Moore LS. Bacterial and fungal coinfection among hospitalized patients with COVID-19: a retrospective cohort study in a UK secondary-care setting. Clinical Microbiology and Infection. 2020 Oct 1;26(10):1395-9.</w:t>
      </w:r>
    </w:p>
    <w:p w14:paraId="4204E90B" w14:textId="77777777" w:rsidR="00225527" w:rsidRPr="00C10427" w:rsidRDefault="00950FFE" w:rsidP="00A16C74">
      <w:pPr>
        <w:numPr>
          <w:ilvl w:val="0"/>
          <w:numId w:val="2"/>
        </w:numPr>
        <w:spacing w:line="480" w:lineRule="auto"/>
        <w:contextualSpacing/>
        <w:rPr>
          <w:u w:val="single"/>
        </w:rPr>
      </w:pPr>
      <w:r w:rsidRPr="00C10427">
        <w:rPr>
          <w:rFonts w:cs="Arial"/>
          <w:szCs w:val="26"/>
        </w:rPr>
        <w:t xml:space="preserve">Fernandez J, </w:t>
      </w:r>
      <w:proofErr w:type="spellStart"/>
      <w:r w:rsidRPr="00C10427">
        <w:rPr>
          <w:rFonts w:cs="Arial"/>
          <w:szCs w:val="26"/>
        </w:rPr>
        <w:t>Erstad</w:t>
      </w:r>
      <w:proofErr w:type="spellEnd"/>
      <w:r w:rsidRPr="00C10427">
        <w:rPr>
          <w:rFonts w:cs="Arial"/>
          <w:szCs w:val="26"/>
        </w:rPr>
        <w:t xml:space="preserve"> BL, Petty W, Nix DE. Time to positive culture and identification for Candida blood stream infections. Diagnostic microbiology and infectious disease. 2009 Aug 1;64(4):402-7.</w:t>
      </w:r>
    </w:p>
    <w:p w14:paraId="516D1A32" w14:textId="77777777" w:rsidR="00950FFE" w:rsidRPr="00C10427" w:rsidRDefault="00950FFE" w:rsidP="00A16C74">
      <w:pPr>
        <w:numPr>
          <w:ilvl w:val="0"/>
          <w:numId w:val="2"/>
        </w:numPr>
        <w:spacing w:line="480" w:lineRule="auto"/>
        <w:contextualSpacing/>
        <w:rPr>
          <w:szCs w:val="22"/>
          <w:u w:val="single"/>
        </w:rPr>
      </w:pPr>
      <w:r w:rsidRPr="00C10427">
        <w:rPr>
          <w:rFonts w:cs="Arial"/>
          <w:szCs w:val="26"/>
        </w:rPr>
        <w:t xml:space="preserve">Morrell M, Fraser VJ, </w:t>
      </w:r>
      <w:proofErr w:type="spellStart"/>
      <w:r w:rsidRPr="00C10427">
        <w:rPr>
          <w:rFonts w:cs="Arial"/>
          <w:szCs w:val="26"/>
        </w:rPr>
        <w:t>Kollef</w:t>
      </w:r>
      <w:proofErr w:type="spellEnd"/>
      <w:r w:rsidRPr="00C10427">
        <w:rPr>
          <w:rFonts w:cs="Arial"/>
          <w:szCs w:val="26"/>
        </w:rPr>
        <w:t xml:space="preserve"> MH. Delaying the empiric treatment of Candida bloodstream infection until positive blood culture results are obtained: a potential risk factor for hospital mortality. Antimicrobial agents and chemotherapy. 2005 Sep 1;49(9):3640-5.</w:t>
      </w:r>
    </w:p>
    <w:p w14:paraId="6192C9C7" w14:textId="77777777" w:rsidR="00225527" w:rsidRPr="008973F0" w:rsidRDefault="00950FFE" w:rsidP="00A16C74">
      <w:pPr>
        <w:numPr>
          <w:ilvl w:val="0"/>
          <w:numId w:val="2"/>
        </w:numPr>
        <w:spacing w:line="480" w:lineRule="auto"/>
        <w:contextualSpacing/>
        <w:rPr>
          <w:szCs w:val="22"/>
          <w:u w:val="single"/>
        </w:rPr>
      </w:pPr>
      <w:r w:rsidRPr="00C10427">
        <w:rPr>
          <w:rFonts w:cs="Arial"/>
          <w:szCs w:val="26"/>
        </w:rPr>
        <w:t xml:space="preserve">Del Bono V, Delfino E, </w:t>
      </w:r>
      <w:proofErr w:type="spellStart"/>
      <w:r w:rsidRPr="00C10427">
        <w:rPr>
          <w:rFonts w:cs="Arial"/>
          <w:szCs w:val="26"/>
        </w:rPr>
        <w:t>Furfaro</w:t>
      </w:r>
      <w:proofErr w:type="spellEnd"/>
      <w:r w:rsidRPr="00C10427">
        <w:rPr>
          <w:rFonts w:cs="Arial"/>
          <w:szCs w:val="26"/>
        </w:rPr>
        <w:t xml:space="preserve"> E, </w:t>
      </w:r>
      <w:proofErr w:type="spellStart"/>
      <w:r w:rsidRPr="00C10427">
        <w:rPr>
          <w:rFonts w:cs="Arial"/>
          <w:szCs w:val="26"/>
        </w:rPr>
        <w:t>Mikulska</w:t>
      </w:r>
      <w:proofErr w:type="spellEnd"/>
      <w:r w:rsidRPr="00C10427">
        <w:rPr>
          <w:rFonts w:cs="Arial"/>
          <w:szCs w:val="26"/>
        </w:rPr>
        <w:t xml:space="preserve"> M, </w:t>
      </w:r>
      <w:proofErr w:type="spellStart"/>
      <w:r w:rsidRPr="00C10427">
        <w:rPr>
          <w:rFonts w:cs="Arial"/>
          <w:szCs w:val="26"/>
        </w:rPr>
        <w:t>Nicco</w:t>
      </w:r>
      <w:proofErr w:type="spellEnd"/>
      <w:r w:rsidRPr="00C10427">
        <w:rPr>
          <w:rFonts w:cs="Arial"/>
          <w:szCs w:val="26"/>
        </w:rPr>
        <w:t xml:space="preserve"> E, </w:t>
      </w:r>
      <w:proofErr w:type="spellStart"/>
      <w:r w:rsidRPr="00C10427">
        <w:rPr>
          <w:rFonts w:cs="Arial"/>
          <w:szCs w:val="26"/>
        </w:rPr>
        <w:t>Bruzzi</w:t>
      </w:r>
      <w:proofErr w:type="spellEnd"/>
      <w:r w:rsidRPr="00C10427">
        <w:rPr>
          <w:rFonts w:cs="Arial"/>
          <w:szCs w:val="26"/>
        </w:rPr>
        <w:t xml:space="preserve"> P, </w:t>
      </w:r>
      <w:proofErr w:type="spellStart"/>
      <w:r w:rsidRPr="00C10427">
        <w:rPr>
          <w:rFonts w:cs="Arial"/>
          <w:szCs w:val="26"/>
        </w:rPr>
        <w:t>Mularoni</w:t>
      </w:r>
      <w:proofErr w:type="spellEnd"/>
      <w:r w:rsidRPr="00C10427">
        <w:rPr>
          <w:rFonts w:cs="Arial"/>
          <w:szCs w:val="26"/>
        </w:rPr>
        <w:t xml:space="preserve"> A, </w:t>
      </w:r>
      <w:proofErr w:type="spellStart"/>
      <w:r w:rsidRPr="00C10427">
        <w:rPr>
          <w:rFonts w:cs="Arial"/>
          <w:szCs w:val="26"/>
        </w:rPr>
        <w:t>Bassetti</w:t>
      </w:r>
      <w:proofErr w:type="spellEnd"/>
      <w:r w:rsidRPr="00C10427">
        <w:rPr>
          <w:rFonts w:cs="Arial"/>
          <w:szCs w:val="26"/>
        </w:rPr>
        <w:t xml:space="preserve"> M, </w:t>
      </w:r>
      <w:proofErr w:type="spellStart"/>
      <w:r w:rsidRPr="00C10427">
        <w:rPr>
          <w:rFonts w:cs="Arial"/>
          <w:szCs w:val="26"/>
        </w:rPr>
        <w:t>Viscoli</w:t>
      </w:r>
      <w:proofErr w:type="spellEnd"/>
      <w:r w:rsidRPr="00C10427">
        <w:rPr>
          <w:rFonts w:cs="Arial"/>
          <w:szCs w:val="26"/>
        </w:rPr>
        <w:t xml:space="preserve"> C. Clinical performance of the (1, 3)-β-d-glucan </w:t>
      </w:r>
      <w:proofErr w:type="gramStart"/>
      <w:r w:rsidRPr="00C10427">
        <w:rPr>
          <w:rFonts w:cs="Arial"/>
          <w:szCs w:val="26"/>
        </w:rPr>
        <w:t>assay</w:t>
      </w:r>
      <w:proofErr w:type="gramEnd"/>
      <w:r w:rsidRPr="00C10427">
        <w:rPr>
          <w:rFonts w:cs="Arial"/>
          <w:szCs w:val="26"/>
        </w:rPr>
        <w:t xml:space="preserve"> in early diagnosis of nosocomial Candida bloodstream infections. Clinical and Vaccine Immunology. 2011 Dec 1;18(12):2113-7.</w:t>
      </w:r>
    </w:p>
    <w:p w14:paraId="5753BA6C" w14:textId="77777777" w:rsidR="00EF7F65" w:rsidRDefault="00EF7F65" w:rsidP="00A16C74">
      <w:pPr>
        <w:spacing w:line="480" w:lineRule="auto"/>
        <w:ind w:left="360"/>
        <w:contextualSpacing/>
        <w:rPr>
          <w:rFonts w:cs="Arial"/>
          <w:szCs w:val="26"/>
        </w:rPr>
      </w:pPr>
    </w:p>
    <w:p w14:paraId="4223A6FD" w14:textId="77777777" w:rsidR="00416FCA" w:rsidRDefault="00416FCA" w:rsidP="00A16C74">
      <w:pPr>
        <w:spacing w:line="480" w:lineRule="auto"/>
        <w:ind w:left="360"/>
        <w:contextualSpacing/>
        <w:rPr>
          <w:rFonts w:cs="Arial"/>
          <w:szCs w:val="26"/>
        </w:rPr>
      </w:pPr>
    </w:p>
    <w:p w14:paraId="6CCA0502" w14:textId="77777777" w:rsidR="00BC2F6A" w:rsidRDefault="00BC2F6A" w:rsidP="00A16C74">
      <w:pPr>
        <w:spacing w:line="480" w:lineRule="auto"/>
        <w:ind w:left="360"/>
        <w:contextualSpacing/>
        <w:rPr>
          <w:rFonts w:cs="Arial"/>
          <w:szCs w:val="26"/>
        </w:rPr>
      </w:pPr>
    </w:p>
    <w:p w14:paraId="1D2F1A69" w14:textId="77777777" w:rsidR="00BC2F6A" w:rsidRDefault="00BC2F6A" w:rsidP="00A16C74">
      <w:pPr>
        <w:spacing w:line="480" w:lineRule="auto"/>
        <w:ind w:left="360"/>
        <w:contextualSpacing/>
        <w:rPr>
          <w:rFonts w:cs="Arial"/>
          <w:szCs w:val="26"/>
        </w:rPr>
      </w:pPr>
    </w:p>
    <w:p w14:paraId="3314EB36" w14:textId="77777777" w:rsidR="00BC2F6A" w:rsidRDefault="00BC2F6A" w:rsidP="00A16C74">
      <w:pPr>
        <w:spacing w:line="480" w:lineRule="auto"/>
        <w:ind w:left="360"/>
        <w:contextualSpacing/>
        <w:rPr>
          <w:rFonts w:cs="Arial"/>
          <w:szCs w:val="26"/>
        </w:rPr>
      </w:pPr>
    </w:p>
    <w:p w14:paraId="449051E1" w14:textId="77777777" w:rsidR="00BC2F6A" w:rsidRDefault="00BC2F6A" w:rsidP="00A16C74">
      <w:pPr>
        <w:spacing w:line="480" w:lineRule="auto"/>
        <w:ind w:left="360"/>
        <w:contextualSpacing/>
        <w:rPr>
          <w:rFonts w:cs="Arial"/>
          <w:szCs w:val="26"/>
        </w:rPr>
      </w:pPr>
    </w:p>
    <w:p w14:paraId="6FA207B7" w14:textId="77777777" w:rsidR="00BC2F6A" w:rsidRDefault="00BC2F6A" w:rsidP="00A16C74">
      <w:pPr>
        <w:spacing w:line="480" w:lineRule="auto"/>
        <w:ind w:left="360"/>
        <w:contextualSpacing/>
        <w:rPr>
          <w:rFonts w:cs="Arial"/>
          <w:szCs w:val="26"/>
        </w:rPr>
      </w:pPr>
    </w:p>
    <w:p w14:paraId="360EF5A9" w14:textId="77777777" w:rsidR="00BC2F6A" w:rsidRDefault="00BC2F6A" w:rsidP="00A16C74">
      <w:pPr>
        <w:spacing w:line="480" w:lineRule="auto"/>
        <w:ind w:left="360"/>
        <w:contextualSpacing/>
        <w:rPr>
          <w:rFonts w:cs="Arial"/>
          <w:szCs w:val="26"/>
        </w:rPr>
      </w:pPr>
    </w:p>
    <w:p w14:paraId="76F329BC" w14:textId="77777777" w:rsidR="00BC2F6A" w:rsidRDefault="00BC2F6A" w:rsidP="00A16C74">
      <w:pPr>
        <w:spacing w:line="480" w:lineRule="auto"/>
        <w:ind w:left="360"/>
        <w:contextualSpacing/>
        <w:rPr>
          <w:rFonts w:cs="Arial"/>
          <w:szCs w:val="26"/>
        </w:rPr>
      </w:pPr>
    </w:p>
    <w:tbl>
      <w:tblPr>
        <w:tblStyle w:val="TableGrid"/>
        <w:tblW w:w="0" w:type="auto"/>
        <w:tblLook w:val="00A0" w:firstRow="1" w:lastRow="0" w:firstColumn="1" w:lastColumn="0" w:noHBand="0" w:noVBand="0"/>
      </w:tblPr>
      <w:tblGrid>
        <w:gridCol w:w="4258"/>
        <w:gridCol w:w="4258"/>
      </w:tblGrid>
      <w:tr w:rsidR="00EF7F65" w14:paraId="4AA2F659" w14:textId="77777777">
        <w:tc>
          <w:tcPr>
            <w:tcW w:w="4258" w:type="dxa"/>
          </w:tcPr>
          <w:p w14:paraId="69950D3A" w14:textId="77777777" w:rsidR="00EF7F65" w:rsidRPr="007E614B" w:rsidRDefault="00EF7F65" w:rsidP="00841F14">
            <w:pPr>
              <w:spacing w:before="2"/>
              <w:rPr>
                <w:b/>
                <w:sz w:val="22"/>
              </w:rPr>
            </w:pPr>
            <w:r w:rsidRPr="007E614B">
              <w:rPr>
                <w:b/>
                <w:sz w:val="22"/>
              </w:rPr>
              <w:lastRenderedPageBreak/>
              <w:t>Demographics</w:t>
            </w:r>
          </w:p>
        </w:tc>
        <w:tc>
          <w:tcPr>
            <w:tcW w:w="4258" w:type="dxa"/>
          </w:tcPr>
          <w:p w14:paraId="162954B2" w14:textId="77777777" w:rsidR="00EF7F65" w:rsidRPr="007E614B" w:rsidRDefault="00EF7F65" w:rsidP="00841F14">
            <w:pPr>
              <w:spacing w:before="2"/>
              <w:rPr>
                <w:sz w:val="22"/>
              </w:rPr>
            </w:pPr>
            <w:r w:rsidRPr="007E614B">
              <w:rPr>
                <w:sz w:val="22"/>
              </w:rPr>
              <w:t>N=11</w:t>
            </w:r>
          </w:p>
        </w:tc>
      </w:tr>
      <w:tr w:rsidR="00EF7F65" w14:paraId="1BACD6F1" w14:textId="77777777">
        <w:tc>
          <w:tcPr>
            <w:tcW w:w="4258" w:type="dxa"/>
          </w:tcPr>
          <w:p w14:paraId="68D18B52" w14:textId="77777777" w:rsidR="00EF7F65" w:rsidRPr="007E614B" w:rsidRDefault="00EF7F65" w:rsidP="00841F14">
            <w:pPr>
              <w:spacing w:before="2"/>
              <w:rPr>
                <w:sz w:val="22"/>
              </w:rPr>
            </w:pPr>
            <w:r w:rsidRPr="007E614B">
              <w:rPr>
                <w:sz w:val="22"/>
              </w:rPr>
              <w:t>Age, years</w:t>
            </w:r>
          </w:p>
          <w:p w14:paraId="49DAC492" w14:textId="77777777" w:rsidR="00EF7F65" w:rsidRPr="007E614B" w:rsidRDefault="00EF7F65" w:rsidP="00841F14">
            <w:pPr>
              <w:spacing w:before="2"/>
              <w:rPr>
                <w:sz w:val="22"/>
              </w:rPr>
            </w:pPr>
          </w:p>
          <w:p w14:paraId="68B3F193" w14:textId="77777777" w:rsidR="00EF7F65" w:rsidRPr="007E614B" w:rsidRDefault="00EF7F65" w:rsidP="00841F14">
            <w:pPr>
              <w:spacing w:before="2"/>
              <w:rPr>
                <w:sz w:val="22"/>
              </w:rPr>
            </w:pPr>
            <w:r w:rsidRPr="007E614B">
              <w:rPr>
                <w:sz w:val="22"/>
              </w:rPr>
              <w:t>Sex, male</w:t>
            </w:r>
          </w:p>
        </w:tc>
        <w:tc>
          <w:tcPr>
            <w:tcW w:w="4258" w:type="dxa"/>
          </w:tcPr>
          <w:p w14:paraId="5A477AC1" w14:textId="77777777" w:rsidR="00EF7F65" w:rsidRPr="007E614B" w:rsidRDefault="00EF7F65" w:rsidP="00841F14">
            <w:pPr>
              <w:spacing w:before="2"/>
              <w:rPr>
                <w:sz w:val="22"/>
              </w:rPr>
            </w:pPr>
            <w:r w:rsidRPr="007E614B">
              <w:rPr>
                <w:sz w:val="22"/>
              </w:rPr>
              <w:t>62 (33-77)</w:t>
            </w:r>
          </w:p>
          <w:p w14:paraId="033D1C9A" w14:textId="77777777" w:rsidR="00EF7F65" w:rsidRPr="007E614B" w:rsidRDefault="00EF7F65" w:rsidP="00841F14">
            <w:pPr>
              <w:spacing w:before="2"/>
              <w:rPr>
                <w:sz w:val="22"/>
              </w:rPr>
            </w:pPr>
          </w:p>
          <w:p w14:paraId="5A7EF54B" w14:textId="77777777" w:rsidR="00EF7F65" w:rsidRPr="007E614B" w:rsidRDefault="00EF7F65" w:rsidP="00841F14">
            <w:pPr>
              <w:spacing w:before="2"/>
              <w:rPr>
                <w:sz w:val="22"/>
              </w:rPr>
            </w:pPr>
            <w:r w:rsidRPr="007E614B">
              <w:rPr>
                <w:sz w:val="22"/>
              </w:rPr>
              <w:t>10 (90.9%)</w:t>
            </w:r>
          </w:p>
          <w:p w14:paraId="539524AD" w14:textId="77777777" w:rsidR="00EF7F65" w:rsidRPr="007E614B" w:rsidRDefault="00EF7F65" w:rsidP="00841F14">
            <w:pPr>
              <w:spacing w:before="2"/>
              <w:rPr>
                <w:sz w:val="22"/>
              </w:rPr>
            </w:pPr>
          </w:p>
        </w:tc>
      </w:tr>
      <w:tr w:rsidR="00EF7F65" w14:paraId="458F56E6" w14:textId="77777777">
        <w:tc>
          <w:tcPr>
            <w:tcW w:w="4258" w:type="dxa"/>
          </w:tcPr>
          <w:p w14:paraId="50BEAA13" w14:textId="77777777" w:rsidR="00EF7F65" w:rsidRPr="007E614B" w:rsidRDefault="00EF7F65" w:rsidP="00841F14">
            <w:pPr>
              <w:spacing w:before="2"/>
              <w:rPr>
                <w:b/>
                <w:sz w:val="22"/>
              </w:rPr>
            </w:pPr>
            <w:r w:rsidRPr="007E614B">
              <w:rPr>
                <w:b/>
                <w:sz w:val="22"/>
              </w:rPr>
              <w:t>Past medical history</w:t>
            </w:r>
          </w:p>
        </w:tc>
        <w:tc>
          <w:tcPr>
            <w:tcW w:w="4258" w:type="dxa"/>
          </w:tcPr>
          <w:p w14:paraId="3D8F8287" w14:textId="77777777" w:rsidR="00EF7F65" w:rsidRPr="007E614B" w:rsidRDefault="00EF7F65" w:rsidP="00841F14">
            <w:pPr>
              <w:spacing w:before="2"/>
              <w:rPr>
                <w:sz w:val="22"/>
              </w:rPr>
            </w:pPr>
          </w:p>
        </w:tc>
      </w:tr>
      <w:tr w:rsidR="00EF7F65" w14:paraId="28560B9D" w14:textId="77777777">
        <w:tc>
          <w:tcPr>
            <w:tcW w:w="4258" w:type="dxa"/>
          </w:tcPr>
          <w:p w14:paraId="270597F0" w14:textId="77777777" w:rsidR="00EF7F65" w:rsidRPr="007E614B" w:rsidRDefault="00EF7F65" w:rsidP="00841F14">
            <w:pPr>
              <w:spacing w:before="2"/>
              <w:rPr>
                <w:sz w:val="22"/>
              </w:rPr>
            </w:pPr>
            <w:r w:rsidRPr="007E614B">
              <w:rPr>
                <w:sz w:val="22"/>
              </w:rPr>
              <w:t>Type 2 diabetes</w:t>
            </w:r>
          </w:p>
          <w:p w14:paraId="1CA2989F" w14:textId="77777777" w:rsidR="00EF7F65" w:rsidRPr="007E614B" w:rsidRDefault="00EF7F65" w:rsidP="00841F14">
            <w:pPr>
              <w:spacing w:before="2"/>
              <w:rPr>
                <w:sz w:val="22"/>
              </w:rPr>
            </w:pPr>
          </w:p>
          <w:p w14:paraId="24C5DBB6" w14:textId="77777777" w:rsidR="00EF7F65" w:rsidRPr="007E614B" w:rsidRDefault="00EF7F65" w:rsidP="00841F14">
            <w:pPr>
              <w:spacing w:before="2"/>
              <w:rPr>
                <w:sz w:val="22"/>
              </w:rPr>
            </w:pPr>
            <w:proofErr w:type="spellStart"/>
            <w:r w:rsidRPr="007E614B">
              <w:rPr>
                <w:sz w:val="22"/>
              </w:rPr>
              <w:t>Hypercholesterolaemia</w:t>
            </w:r>
            <w:proofErr w:type="spellEnd"/>
          </w:p>
          <w:p w14:paraId="558AA7B0" w14:textId="77777777" w:rsidR="00EF7F65" w:rsidRPr="007E614B" w:rsidRDefault="00EF7F65" w:rsidP="00841F14">
            <w:pPr>
              <w:spacing w:before="2"/>
              <w:rPr>
                <w:sz w:val="22"/>
              </w:rPr>
            </w:pPr>
          </w:p>
          <w:p w14:paraId="434FEB38" w14:textId="77777777" w:rsidR="00EF7F65" w:rsidRPr="007E614B" w:rsidRDefault="00EF7F65" w:rsidP="00841F14">
            <w:pPr>
              <w:spacing w:before="2"/>
              <w:rPr>
                <w:sz w:val="22"/>
              </w:rPr>
            </w:pPr>
            <w:r w:rsidRPr="007E614B">
              <w:rPr>
                <w:sz w:val="22"/>
              </w:rPr>
              <w:t>Hypertension</w:t>
            </w:r>
          </w:p>
          <w:p w14:paraId="6BFFACD7" w14:textId="77777777" w:rsidR="00EF7F65" w:rsidRPr="007E614B" w:rsidRDefault="00EF7F65" w:rsidP="00841F14">
            <w:pPr>
              <w:spacing w:before="2"/>
              <w:rPr>
                <w:sz w:val="22"/>
              </w:rPr>
            </w:pPr>
          </w:p>
          <w:p w14:paraId="4A96AAB7" w14:textId="77777777" w:rsidR="00EF7F65" w:rsidRPr="007E614B" w:rsidRDefault="00EF7F65" w:rsidP="00841F14">
            <w:pPr>
              <w:spacing w:before="2"/>
              <w:rPr>
                <w:sz w:val="22"/>
              </w:rPr>
            </w:pPr>
            <w:proofErr w:type="spellStart"/>
            <w:r w:rsidRPr="007E614B">
              <w:rPr>
                <w:sz w:val="22"/>
              </w:rPr>
              <w:t>Ischaemic</w:t>
            </w:r>
            <w:proofErr w:type="spellEnd"/>
            <w:r w:rsidRPr="007E614B">
              <w:rPr>
                <w:sz w:val="22"/>
              </w:rPr>
              <w:t xml:space="preserve"> Heart Disease</w:t>
            </w:r>
          </w:p>
          <w:p w14:paraId="11201D01" w14:textId="77777777" w:rsidR="00EF7F65" w:rsidRPr="007E614B" w:rsidRDefault="00EF7F65" w:rsidP="00841F14">
            <w:pPr>
              <w:spacing w:before="2"/>
              <w:rPr>
                <w:sz w:val="22"/>
              </w:rPr>
            </w:pPr>
          </w:p>
          <w:p w14:paraId="18055FC5" w14:textId="77777777" w:rsidR="00EF7F65" w:rsidRPr="007E614B" w:rsidRDefault="00EF7F65" w:rsidP="00841F14">
            <w:pPr>
              <w:spacing w:before="2"/>
              <w:rPr>
                <w:sz w:val="22"/>
              </w:rPr>
            </w:pPr>
            <w:r w:rsidRPr="007E614B">
              <w:rPr>
                <w:sz w:val="22"/>
              </w:rPr>
              <w:t>Permanent Pacemaker</w:t>
            </w:r>
          </w:p>
          <w:p w14:paraId="2137C915" w14:textId="77777777" w:rsidR="00EF7F65" w:rsidRPr="007E614B" w:rsidRDefault="00EF7F65" w:rsidP="00841F14">
            <w:pPr>
              <w:spacing w:before="2"/>
              <w:rPr>
                <w:sz w:val="22"/>
              </w:rPr>
            </w:pPr>
          </w:p>
          <w:p w14:paraId="7429ED2A" w14:textId="77777777" w:rsidR="00EF7F65" w:rsidRPr="007E614B" w:rsidRDefault="00EF7F65" w:rsidP="00841F14">
            <w:pPr>
              <w:spacing w:before="2"/>
              <w:rPr>
                <w:sz w:val="22"/>
              </w:rPr>
            </w:pPr>
            <w:proofErr w:type="spellStart"/>
            <w:r w:rsidRPr="007E614B">
              <w:rPr>
                <w:sz w:val="22"/>
              </w:rPr>
              <w:t>Myaesthenia</w:t>
            </w:r>
            <w:proofErr w:type="spellEnd"/>
            <w:r w:rsidRPr="007E614B">
              <w:rPr>
                <w:sz w:val="22"/>
              </w:rPr>
              <w:t xml:space="preserve"> Gravis</w:t>
            </w:r>
          </w:p>
          <w:p w14:paraId="077C497D" w14:textId="77777777" w:rsidR="00EF7F65" w:rsidRPr="007E614B" w:rsidRDefault="00EF7F65" w:rsidP="00841F14">
            <w:pPr>
              <w:spacing w:before="2"/>
              <w:rPr>
                <w:sz w:val="22"/>
              </w:rPr>
            </w:pPr>
          </w:p>
          <w:p w14:paraId="461C032C" w14:textId="77777777" w:rsidR="00EF7F65" w:rsidRPr="007E614B" w:rsidRDefault="00EF7F65" w:rsidP="00841F14">
            <w:pPr>
              <w:spacing w:before="2"/>
              <w:rPr>
                <w:sz w:val="22"/>
              </w:rPr>
            </w:pPr>
            <w:r w:rsidRPr="007E614B">
              <w:rPr>
                <w:sz w:val="22"/>
              </w:rPr>
              <w:t>Previous solid organ malignancy</w:t>
            </w:r>
          </w:p>
          <w:p w14:paraId="3BB282C1" w14:textId="77777777" w:rsidR="00EF7F65" w:rsidRPr="007E614B" w:rsidRDefault="00EF7F65" w:rsidP="00841F14">
            <w:pPr>
              <w:spacing w:before="2"/>
              <w:rPr>
                <w:sz w:val="22"/>
              </w:rPr>
            </w:pPr>
          </w:p>
          <w:p w14:paraId="4A4F02CD" w14:textId="77777777" w:rsidR="00EF7F65" w:rsidRPr="007E614B" w:rsidRDefault="00EF7F65" w:rsidP="00841F14">
            <w:pPr>
              <w:spacing w:before="2"/>
              <w:rPr>
                <w:sz w:val="22"/>
              </w:rPr>
            </w:pPr>
            <w:r w:rsidRPr="007E614B">
              <w:rPr>
                <w:sz w:val="22"/>
              </w:rPr>
              <w:t>Gastro-</w:t>
            </w:r>
            <w:proofErr w:type="spellStart"/>
            <w:r w:rsidRPr="007E614B">
              <w:rPr>
                <w:sz w:val="22"/>
              </w:rPr>
              <w:t>oesophageal</w:t>
            </w:r>
            <w:proofErr w:type="spellEnd"/>
            <w:r w:rsidRPr="007E614B">
              <w:rPr>
                <w:sz w:val="22"/>
              </w:rPr>
              <w:t xml:space="preserve"> Reflux Disease</w:t>
            </w:r>
          </w:p>
          <w:p w14:paraId="542B4066" w14:textId="77777777" w:rsidR="00EF7F65" w:rsidRPr="007E614B" w:rsidRDefault="00EF7F65" w:rsidP="00841F14">
            <w:pPr>
              <w:spacing w:before="2"/>
              <w:rPr>
                <w:sz w:val="22"/>
              </w:rPr>
            </w:pPr>
          </w:p>
          <w:p w14:paraId="1A525F4D" w14:textId="77777777" w:rsidR="00EF7F65" w:rsidRPr="007E614B" w:rsidRDefault="00EF7F65" w:rsidP="00841F14">
            <w:pPr>
              <w:spacing w:before="2"/>
              <w:rPr>
                <w:sz w:val="22"/>
              </w:rPr>
            </w:pPr>
            <w:r w:rsidRPr="007E614B">
              <w:rPr>
                <w:sz w:val="22"/>
              </w:rPr>
              <w:t>Benign prostatic hypertrophy</w:t>
            </w:r>
          </w:p>
          <w:p w14:paraId="651EC312" w14:textId="77777777" w:rsidR="00EF7F65" w:rsidRPr="007E614B" w:rsidRDefault="00EF7F65" w:rsidP="00841F14">
            <w:pPr>
              <w:spacing w:before="2"/>
              <w:rPr>
                <w:sz w:val="22"/>
              </w:rPr>
            </w:pPr>
          </w:p>
          <w:p w14:paraId="682E68EC" w14:textId="77777777" w:rsidR="00EF7F65" w:rsidRPr="007E614B" w:rsidRDefault="00EF7F65" w:rsidP="00841F14">
            <w:pPr>
              <w:spacing w:before="2"/>
              <w:rPr>
                <w:sz w:val="22"/>
              </w:rPr>
            </w:pPr>
            <w:r w:rsidRPr="007E614B">
              <w:rPr>
                <w:sz w:val="22"/>
              </w:rPr>
              <w:t>Hypopituitarism</w:t>
            </w:r>
          </w:p>
        </w:tc>
        <w:tc>
          <w:tcPr>
            <w:tcW w:w="4258" w:type="dxa"/>
          </w:tcPr>
          <w:p w14:paraId="577C0857" w14:textId="77777777" w:rsidR="00EF7F65" w:rsidRPr="007E614B" w:rsidRDefault="00EF7F65" w:rsidP="00841F14">
            <w:pPr>
              <w:spacing w:before="2"/>
              <w:rPr>
                <w:sz w:val="22"/>
              </w:rPr>
            </w:pPr>
            <w:r w:rsidRPr="007E614B">
              <w:rPr>
                <w:sz w:val="22"/>
              </w:rPr>
              <w:t>8 (72.7 %)</w:t>
            </w:r>
          </w:p>
          <w:p w14:paraId="4C58CCF1" w14:textId="77777777" w:rsidR="00EF7F65" w:rsidRPr="007E614B" w:rsidRDefault="00EF7F65" w:rsidP="00841F14">
            <w:pPr>
              <w:spacing w:before="2"/>
              <w:rPr>
                <w:sz w:val="22"/>
              </w:rPr>
            </w:pPr>
          </w:p>
          <w:p w14:paraId="05BB2381" w14:textId="77777777" w:rsidR="00EF7F65" w:rsidRPr="007E614B" w:rsidRDefault="00EF7F65" w:rsidP="00841F14">
            <w:pPr>
              <w:spacing w:before="2"/>
              <w:rPr>
                <w:sz w:val="22"/>
              </w:rPr>
            </w:pPr>
            <w:r w:rsidRPr="007E614B">
              <w:rPr>
                <w:sz w:val="22"/>
              </w:rPr>
              <w:t>8 (72.7%)</w:t>
            </w:r>
          </w:p>
          <w:p w14:paraId="774DB931" w14:textId="77777777" w:rsidR="00EF7F65" w:rsidRPr="007E614B" w:rsidRDefault="00EF7F65" w:rsidP="00841F14">
            <w:pPr>
              <w:spacing w:before="2"/>
              <w:rPr>
                <w:sz w:val="22"/>
              </w:rPr>
            </w:pPr>
          </w:p>
          <w:p w14:paraId="7BC688E1" w14:textId="77777777" w:rsidR="00EF7F65" w:rsidRPr="007E614B" w:rsidRDefault="00EF7F65" w:rsidP="00841F14">
            <w:pPr>
              <w:spacing w:before="2"/>
              <w:rPr>
                <w:sz w:val="22"/>
              </w:rPr>
            </w:pPr>
            <w:r w:rsidRPr="007E614B">
              <w:rPr>
                <w:sz w:val="22"/>
              </w:rPr>
              <w:t>3 (27.3%)</w:t>
            </w:r>
          </w:p>
          <w:p w14:paraId="0A7E1827" w14:textId="77777777" w:rsidR="00EF7F65" w:rsidRPr="007E614B" w:rsidRDefault="00EF7F65" w:rsidP="00841F14">
            <w:pPr>
              <w:spacing w:before="2"/>
              <w:rPr>
                <w:sz w:val="22"/>
              </w:rPr>
            </w:pPr>
          </w:p>
          <w:p w14:paraId="22713FC0" w14:textId="77777777" w:rsidR="00EF7F65" w:rsidRPr="007E614B" w:rsidRDefault="00EF7F65" w:rsidP="00841F14">
            <w:pPr>
              <w:spacing w:before="2"/>
              <w:rPr>
                <w:sz w:val="22"/>
              </w:rPr>
            </w:pPr>
            <w:r w:rsidRPr="007E614B">
              <w:rPr>
                <w:sz w:val="22"/>
              </w:rPr>
              <w:t>1 (9.1%)</w:t>
            </w:r>
          </w:p>
          <w:p w14:paraId="6DA76956" w14:textId="77777777" w:rsidR="00EF7F65" w:rsidRPr="007E614B" w:rsidRDefault="00EF7F65" w:rsidP="00841F14">
            <w:pPr>
              <w:spacing w:before="2"/>
              <w:rPr>
                <w:sz w:val="22"/>
              </w:rPr>
            </w:pPr>
          </w:p>
          <w:p w14:paraId="4A80F81C" w14:textId="77777777" w:rsidR="00EF7F65" w:rsidRPr="007E614B" w:rsidRDefault="00EF7F65" w:rsidP="00841F14">
            <w:pPr>
              <w:spacing w:before="2"/>
              <w:rPr>
                <w:sz w:val="22"/>
              </w:rPr>
            </w:pPr>
            <w:r w:rsidRPr="007E614B">
              <w:rPr>
                <w:sz w:val="22"/>
              </w:rPr>
              <w:t>1 (9.1%)</w:t>
            </w:r>
          </w:p>
          <w:p w14:paraId="50BB2B5A" w14:textId="77777777" w:rsidR="00EF7F65" w:rsidRPr="007E614B" w:rsidRDefault="00EF7F65" w:rsidP="00841F14">
            <w:pPr>
              <w:spacing w:before="2"/>
              <w:rPr>
                <w:sz w:val="22"/>
              </w:rPr>
            </w:pPr>
          </w:p>
          <w:p w14:paraId="377B0C17" w14:textId="77777777" w:rsidR="00EF7F65" w:rsidRPr="007E614B" w:rsidRDefault="00EF7F65" w:rsidP="00841F14">
            <w:pPr>
              <w:spacing w:before="2"/>
              <w:rPr>
                <w:sz w:val="22"/>
              </w:rPr>
            </w:pPr>
            <w:r w:rsidRPr="007E614B">
              <w:rPr>
                <w:sz w:val="22"/>
              </w:rPr>
              <w:t>1 (9.1%)</w:t>
            </w:r>
          </w:p>
          <w:p w14:paraId="068B9385" w14:textId="77777777" w:rsidR="00EF7F65" w:rsidRPr="007E614B" w:rsidRDefault="00EF7F65" w:rsidP="00841F14">
            <w:pPr>
              <w:spacing w:before="2"/>
              <w:rPr>
                <w:sz w:val="22"/>
              </w:rPr>
            </w:pPr>
          </w:p>
          <w:p w14:paraId="33A6FB88" w14:textId="77777777" w:rsidR="00EF7F65" w:rsidRPr="007E614B" w:rsidRDefault="00EF7F65" w:rsidP="00841F14">
            <w:pPr>
              <w:spacing w:before="2"/>
              <w:rPr>
                <w:sz w:val="22"/>
              </w:rPr>
            </w:pPr>
            <w:r w:rsidRPr="007E614B">
              <w:rPr>
                <w:sz w:val="22"/>
              </w:rPr>
              <w:t>2 (18.2%)</w:t>
            </w:r>
          </w:p>
          <w:p w14:paraId="280C5C4F" w14:textId="77777777" w:rsidR="00EF7F65" w:rsidRPr="007E614B" w:rsidRDefault="00EF7F65" w:rsidP="00841F14">
            <w:pPr>
              <w:spacing w:before="2"/>
              <w:rPr>
                <w:sz w:val="22"/>
              </w:rPr>
            </w:pPr>
          </w:p>
          <w:p w14:paraId="7D3E1C9C" w14:textId="77777777" w:rsidR="00EF7F65" w:rsidRPr="007E614B" w:rsidRDefault="00EF7F65" w:rsidP="00841F14">
            <w:pPr>
              <w:spacing w:before="2"/>
              <w:rPr>
                <w:sz w:val="22"/>
              </w:rPr>
            </w:pPr>
            <w:r w:rsidRPr="007E614B">
              <w:rPr>
                <w:sz w:val="22"/>
              </w:rPr>
              <w:t>1 (9.1%)</w:t>
            </w:r>
          </w:p>
          <w:p w14:paraId="52DC8BAD" w14:textId="77777777" w:rsidR="00EF7F65" w:rsidRPr="007E614B" w:rsidRDefault="00EF7F65" w:rsidP="00841F14">
            <w:pPr>
              <w:spacing w:before="2"/>
              <w:rPr>
                <w:sz w:val="22"/>
              </w:rPr>
            </w:pPr>
          </w:p>
          <w:p w14:paraId="71E74130" w14:textId="77777777" w:rsidR="00EF7F65" w:rsidRPr="007E614B" w:rsidRDefault="00EF7F65" w:rsidP="00841F14">
            <w:pPr>
              <w:spacing w:before="2"/>
              <w:rPr>
                <w:sz w:val="22"/>
              </w:rPr>
            </w:pPr>
            <w:r w:rsidRPr="007E614B">
              <w:rPr>
                <w:sz w:val="22"/>
              </w:rPr>
              <w:t>1 (9.1%)</w:t>
            </w:r>
          </w:p>
          <w:p w14:paraId="4FBCCA5E" w14:textId="77777777" w:rsidR="00EF7F65" w:rsidRPr="007E614B" w:rsidRDefault="00EF7F65" w:rsidP="00841F14">
            <w:pPr>
              <w:spacing w:before="2"/>
              <w:rPr>
                <w:sz w:val="22"/>
              </w:rPr>
            </w:pPr>
          </w:p>
          <w:p w14:paraId="18AC62C6" w14:textId="77777777" w:rsidR="00EF7F65" w:rsidRPr="007E614B" w:rsidRDefault="00EF7F65" w:rsidP="00841F14">
            <w:pPr>
              <w:spacing w:before="2"/>
              <w:rPr>
                <w:sz w:val="22"/>
              </w:rPr>
            </w:pPr>
            <w:r w:rsidRPr="007E614B">
              <w:rPr>
                <w:sz w:val="22"/>
              </w:rPr>
              <w:t xml:space="preserve">1 (9.1%) </w:t>
            </w:r>
          </w:p>
        </w:tc>
      </w:tr>
      <w:tr w:rsidR="00EF7F65" w14:paraId="5CDC7BE7" w14:textId="77777777">
        <w:tc>
          <w:tcPr>
            <w:tcW w:w="4258" w:type="dxa"/>
          </w:tcPr>
          <w:p w14:paraId="08085D08" w14:textId="77777777" w:rsidR="00EF7F65" w:rsidRPr="007E614B" w:rsidRDefault="00EF7F65" w:rsidP="00841F14">
            <w:pPr>
              <w:spacing w:before="2"/>
              <w:rPr>
                <w:b/>
                <w:sz w:val="22"/>
              </w:rPr>
            </w:pPr>
            <w:r w:rsidRPr="007E614B">
              <w:rPr>
                <w:b/>
                <w:sz w:val="22"/>
              </w:rPr>
              <w:t xml:space="preserve">Risk factors for </w:t>
            </w:r>
            <w:proofErr w:type="spellStart"/>
            <w:r w:rsidRPr="007E614B">
              <w:rPr>
                <w:b/>
                <w:sz w:val="22"/>
              </w:rPr>
              <w:t>candidaemia</w:t>
            </w:r>
            <w:proofErr w:type="spellEnd"/>
          </w:p>
        </w:tc>
        <w:tc>
          <w:tcPr>
            <w:tcW w:w="4258" w:type="dxa"/>
          </w:tcPr>
          <w:p w14:paraId="43E5AAF6" w14:textId="77777777" w:rsidR="00EF7F65" w:rsidRPr="007E614B" w:rsidRDefault="00EF7F65" w:rsidP="00841F14">
            <w:pPr>
              <w:spacing w:before="2"/>
              <w:rPr>
                <w:sz w:val="22"/>
              </w:rPr>
            </w:pPr>
          </w:p>
        </w:tc>
      </w:tr>
      <w:tr w:rsidR="00EF7F65" w14:paraId="19753754" w14:textId="77777777">
        <w:tc>
          <w:tcPr>
            <w:tcW w:w="4258" w:type="dxa"/>
          </w:tcPr>
          <w:p w14:paraId="118A3346" w14:textId="77777777" w:rsidR="00EF7F65" w:rsidRPr="007E614B" w:rsidRDefault="00EF7F65" w:rsidP="00841F14">
            <w:pPr>
              <w:spacing w:before="2"/>
              <w:rPr>
                <w:sz w:val="22"/>
              </w:rPr>
            </w:pPr>
            <w:r w:rsidRPr="007E614B">
              <w:rPr>
                <w:sz w:val="22"/>
              </w:rPr>
              <w:t xml:space="preserve">Immunosuppression </w:t>
            </w:r>
          </w:p>
          <w:p w14:paraId="7DDDBC8C" w14:textId="77777777" w:rsidR="00EF7F65" w:rsidRPr="007E614B" w:rsidRDefault="00EF7F65" w:rsidP="00841F14">
            <w:pPr>
              <w:spacing w:before="2"/>
              <w:rPr>
                <w:sz w:val="22"/>
              </w:rPr>
            </w:pPr>
          </w:p>
          <w:p w14:paraId="3E9748EF" w14:textId="77777777" w:rsidR="00EF7F65" w:rsidRPr="007E614B" w:rsidRDefault="00EF7F65" w:rsidP="00841F14">
            <w:pPr>
              <w:spacing w:before="2"/>
              <w:rPr>
                <w:sz w:val="22"/>
              </w:rPr>
            </w:pPr>
            <w:r w:rsidRPr="007E614B">
              <w:rPr>
                <w:sz w:val="22"/>
              </w:rPr>
              <w:t>Broad spectrum antimicrobials</w:t>
            </w:r>
          </w:p>
          <w:p w14:paraId="4CD5DF40" w14:textId="77777777" w:rsidR="00EF7F65" w:rsidRPr="007E614B" w:rsidRDefault="00EF7F65" w:rsidP="00841F14">
            <w:pPr>
              <w:spacing w:before="2"/>
              <w:rPr>
                <w:sz w:val="22"/>
              </w:rPr>
            </w:pPr>
          </w:p>
          <w:p w14:paraId="43E27FB4" w14:textId="77777777" w:rsidR="00EF7F65" w:rsidRPr="007E614B" w:rsidRDefault="00EF7F65" w:rsidP="00841F14">
            <w:pPr>
              <w:spacing w:before="2"/>
              <w:rPr>
                <w:sz w:val="22"/>
              </w:rPr>
            </w:pPr>
            <w:r w:rsidRPr="007E614B">
              <w:rPr>
                <w:sz w:val="22"/>
              </w:rPr>
              <w:t>Neutropenic</w:t>
            </w:r>
          </w:p>
          <w:p w14:paraId="6349F3FB" w14:textId="77777777" w:rsidR="00EF7F65" w:rsidRPr="007E614B" w:rsidRDefault="00EF7F65" w:rsidP="00841F14">
            <w:pPr>
              <w:spacing w:before="2"/>
              <w:rPr>
                <w:sz w:val="22"/>
              </w:rPr>
            </w:pPr>
          </w:p>
          <w:p w14:paraId="2721CAFD" w14:textId="77777777" w:rsidR="00EF7F65" w:rsidRPr="007E614B" w:rsidRDefault="00EF7F65" w:rsidP="00841F14">
            <w:pPr>
              <w:spacing w:before="2"/>
              <w:rPr>
                <w:sz w:val="22"/>
              </w:rPr>
            </w:pPr>
            <w:r w:rsidRPr="007E614B">
              <w:rPr>
                <w:sz w:val="22"/>
              </w:rPr>
              <w:t>Intensive care (ICU) admission</w:t>
            </w:r>
          </w:p>
          <w:p w14:paraId="5675077A" w14:textId="77777777" w:rsidR="00EF7F65" w:rsidRPr="007E614B" w:rsidRDefault="00EF7F65" w:rsidP="00841F14">
            <w:pPr>
              <w:spacing w:before="2"/>
              <w:rPr>
                <w:sz w:val="22"/>
              </w:rPr>
            </w:pPr>
          </w:p>
          <w:p w14:paraId="62ACBCAB" w14:textId="77777777" w:rsidR="00EF7F65" w:rsidRPr="007E614B" w:rsidRDefault="00EF7F65" w:rsidP="00841F14">
            <w:pPr>
              <w:spacing w:before="2"/>
              <w:rPr>
                <w:sz w:val="22"/>
              </w:rPr>
            </w:pPr>
            <w:r w:rsidRPr="007E614B">
              <w:rPr>
                <w:sz w:val="22"/>
              </w:rPr>
              <w:t>Intravenous catheter</w:t>
            </w:r>
          </w:p>
          <w:p w14:paraId="17CED4CC" w14:textId="77777777" w:rsidR="00EF7F65" w:rsidRPr="007E614B" w:rsidRDefault="00EF7F65" w:rsidP="00841F14">
            <w:pPr>
              <w:pStyle w:val="ListParagraph"/>
              <w:numPr>
                <w:ilvl w:val="0"/>
                <w:numId w:val="5"/>
              </w:numPr>
              <w:spacing w:before="2"/>
              <w:rPr>
                <w:sz w:val="22"/>
              </w:rPr>
            </w:pPr>
            <w:r w:rsidRPr="007E614B">
              <w:rPr>
                <w:sz w:val="22"/>
              </w:rPr>
              <w:t>Average catheter day</w:t>
            </w:r>
          </w:p>
          <w:p w14:paraId="74C6666E" w14:textId="77777777" w:rsidR="00EF7F65" w:rsidRPr="007E614B" w:rsidRDefault="00EF7F65" w:rsidP="00841F14">
            <w:pPr>
              <w:pStyle w:val="ListParagraph"/>
              <w:numPr>
                <w:ilvl w:val="0"/>
                <w:numId w:val="5"/>
              </w:numPr>
              <w:spacing w:before="2"/>
              <w:rPr>
                <w:sz w:val="22"/>
              </w:rPr>
            </w:pPr>
            <w:r w:rsidRPr="007E614B">
              <w:rPr>
                <w:sz w:val="22"/>
              </w:rPr>
              <w:t xml:space="preserve">Number of patients </w:t>
            </w:r>
            <w:proofErr w:type="gramStart"/>
            <w:r w:rsidRPr="007E614B">
              <w:rPr>
                <w:sz w:val="22"/>
              </w:rPr>
              <w:t>where</w:t>
            </w:r>
            <w:proofErr w:type="gramEnd"/>
            <w:r w:rsidRPr="007E614B">
              <w:rPr>
                <w:sz w:val="22"/>
              </w:rPr>
              <w:t xml:space="preserve"> catheter day unknown</w:t>
            </w:r>
          </w:p>
          <w:p w14:paraId="7A547F5F" w14:textId="77777777" w:rsidR="00EF7F65" w:rsidRPr="007E614B" w:rsidRDefault="00EF7F65" w:rsidP="00841F14">
            <w:pPr>
              <w:spacing w:before="2"/>
              <w:ind w:left="360"/>
              <w:rPr>
                <w:sz w:val="22"/>
              </w:rPr>
            </w:pPr>
          </w:p>
          <w:p w14:paraId="16A751A1" w14:textId="77777777" w:rsidR="00EF7F65" w:rsidRPr="007E614B" w:rsidRDefault="00EF7F65" w:rsidP="00841F14">
            <w:pPr>
              <w:spacing w:before="2"/>
              <w:rPr>
                <w:sz w:val="22"/>
              </w:rPr>
            </w:pPr>
            <w:r w:rsidRPr="007E614B">
              <w:rPr>
                <w:sz w:val="22"/>
              </w:rPr>
              <w:t>Ventilated</w:t>
            </w:r>
          </w:p>
          <w:p w14:paraId="2BF3598B" w14:textId="77777777" w:rsidR="00EF7F65" w:rsidRPr="007E614B" w:rsidRDefault="00EF7F65" w:rsidP="00841F14">
            <w:pPr>
              <w:spacing w:before="2"/>
              <w:rPr>
                <w:sz w:val="22"/>
              </w:rPr>
            </w:pPr>
          </w:p>
          <w:p w14:paraId="31BEEAFC" w14:textId="77777777" w:rsidR="00EF7F65" w:rsidRPr="007E614B" w:rsidRDefault="00EF7F65" w:rsidP="00841F14">
            <w:pPr>
              <w:spacing w:before="2"/>
              <w:rPr>
                <w:sz w:val="22"/>
              </w:rPr>
            </w:pPr>
            <w:r w:rsidRPr="007E614B">
              <w:rPr>
                <w:sz w:val="22"/>
              </w:rPr>
              <w:t>Inotropic support</w:t>
            </w:r>
          </w:p>
          <w:p w14:paraId="044995F3" w14:textId="77777777" w:rsidR="00EF7F65" w:rsidRPr="007E614B" w:rsidRDefault="00EF7F65" w:rsidP="00841F14">
            <w:pPr>
              <w:spacing w:before="2"/>
              <w:rPr>
                <w:sz w:val="22"/>
              </w:rPr>
            </w:pPr>
          </w:p>
          <w:p w14:paraId="160A3AEF" w14:textId="77777777" w:rsidR="00EF7F65" w:rsidRPr="007E614B" w:rsidRDefault="00EF7F65" w:rsidP="00841F14">
            <w:pPr>
              <w:spacing w:before="2"/>
              <w:rPr>
                <w:sz w:val="22"/>
              </w:rPr>
            </w:pPr>
            <w:proofErr w:type="spellStart"/>
            <w:r w:rsidRPr="007E614B">
              <w:rPr>
                <w:sz w:val="22"/>
              </w:rPr>
              <w:t>Haemofiltration</w:t>
            </w:r>
            <w:proofErr w:type="spellEnd"/>
          </w:p>
          <w:p w14:paraId="2183AA62" w14:textId="77777777" w:rsidR="00EF7F65" w:rsidRPr="007E614B" w:rsidRDefault="00EF7F65" w:rsidP="00841F14">
            <w:pPr>
              <w:spacing w:before="2"/>
              <w:rPr>
                <w:sz w:val="22"/>
              </w:rPr>
            </w:pPr>
          </w:p>
          <w:p w14:paraId="532C36FC" w14:textId="77777777" w:rsidR="00EF7F65" w:rsidRPr="007E614B" w:rsidRDefault="00EF7F65" w:rsidP="00841F14">
            <w:pPr>
              <w:spacing w:before="2"/>
              <w:rPr>
                <w:sz w:val="22"/>
              </w:rPr>
            </w:pPr>
            <w:r w:rsidRPr="007E614B">
              <w:rPr>
                <w:sz w:val="22"/>
              </w:rPr>
              <w:t>Urinary catheter</w:t>
            </w:r>
          </w:p>
          <w:p w14:paraId="62464307" w14:textId="77777777" w:rsidR="00EF7F65" w:rsidRPr="007E614B" w:rsidRDefault="00EF7F65" w:rsidP="00841F14">
            <w:pPr>
              <w:spacing w:before="2"/>
              <w:rPr>
                <w:sz w:val="22"/>
              </w:rPr>
            </w:pPr>
          </w:p>
          <w:p w14:paraId="3C864972" w14:textId="77777777" w:rsidR="00EF7F65" w:rsidRPr="007E614B" w:rsidRDefault="00EF7F65" w:rsidP="00841F14">
            <w:pPr>
              <w:spacing w:before="2"/>
              <w:rPr>
                <w:sz w:val="22"/>
              </w:rPr>
            </w:pPr>
            <w:r w:rsidRPr="007E614B">
              <w:rPr>
                <w:sz w:val="22"/>
              </w:rPr>
              <w:t>Total parenteral nutrition</w:t>
            </w:r>
          </w:p>
          <w:p w14:paraId="06BC7575" w14:textId="77777777" w:rsidR="00EF7F65" w:rsidRPr="007E614B" w:rsidRDefault="00EF7F65" w:rsidP="00841F14">
            <w:pPr>
              <w:spacing w:before="2"/>
              <w:rPr>
                <w:sz w:val="22"/>
              </w:rPr>
            </w:pPr>
          </w:p>
          <w:p w14:paraId="06F2B138" w14:textId="77777777" w:rsidR="00EF7F65" w:rsidRPr="007E614B" w:rsidRDefault="00EF7F65" w:rsidP="00841F14">
            <w:pPr>
              <w:spacing w:before="2"/>
              <w:rPr>
                <w:sz w:val="22"/>
              </w:rPr>
            </w:pPr>
            <w:r w:rsidRPr="007E614B">
              <w:rPr>
                <w:sz w:val="22"/>
              </w:rPr>
              <w:t xml:space="preserve">Candida </w:t>
            </w:r>
            <w:proofErr w:type="spellStart"/>
            <w:r w:rsidRPr="007E614B">
              <w:rPr>
                <w:sz w:val="22"/>
              </w:rPr>
              <w:t>colonisation</w:t>
            </w:r>
            <w:proofErr w:type="spellEnd"/>
            <w:r w:rsidRPr="007E614B">
              <w:rPr>
                <w:sz w:val="22"/>
              </w:rPr>
              <w:t xml:space="preserve"> </w:t>
            </w:r>
          </w:p>
          <w:p w14:paraId="27856F29" w14:textId="77777777" w:rsidR="00EF7F65" w:rsidRPr="007E614B" w:rsidRDefault="00EF7F65" w:rsidP="00841F14">
            <w:pPr>
              <w:pStyle w:val="ListParagraph"/>
              <w:numPr>
                <w:ilvl w:val="0"/>
                <w:numId w:val="5"/>
              </w:numPr>
              <w:spacing w:before="2"/>
              <w:rPr>
                <w:sz w:val="22"/>
              </w:rPr>
            </w:pPr>
            <w:r w:rsidRPr="007E614B">
              <w:rPr>
                <w:sz w:val="22"/>
              </w:rPr>
              <w:t>Yes</w:t>
            </w:r>
          </w:p>
          <w:p w14:paraId="45064C1D" w14:textId="77777777" w:rsidR="00EF7F65" w:rsidRPr="007E614B" w:rsidRDefault="00EF7F65" w:rsidP="00841F14">
            <w:pPr>
              <w:pStyle w:val="ListParagraph"/>
              <w:numPr>
                <w:ilvl w:val="0"/>
                <w:numId w:val="5"/>
              </w:numPr>
              <w:spacing w:before="2"/>
              <w:rPr>
                <w:sz w:val="22"/>
              </w:rPr>
            </w:pPr>
            <w:r w:rsidRPr="007E614B">
              <w:rPr>
                <w:sz w:val="22"/>
              </w:rPr>
              <w:lastRenderedPageBreak/>
              <w:t>No</w:t>
            </w:r>
          </w:p>
          <w:p w14:paraId="1DA2D4AC" w14:textId="77777777" w:rsidR="00EF7F65" w:rsidRPr="007E614B" w:rsidRDefault="00EF7F65" w:rsidP="00841F14">
            <w:pPr>
              <w:pStyle w:val="ListParagraph"/>
              <w:numPr>
                <w:ilvl w:val="0"/>
                <w:numId w:val="5"/>
              </w:numPr>
              <w:spacing w:before="2"/>
              <w:rPr>
                <w:sz w:val="22"/>
              </w:rPr>
            </w:pPr>
            <w:r w:rsidRPr="007E614B">
              <w:rPr>
                <w:sz w:val="22"/>
              </w:rPr>
              <w:t>Unknown</w:t>
            </w:r>
          </w:p>
        </w:tc>
        <w:tc>
          <w:tcPr>
            <w:tcW w:w="4258" w:type="dxa"/>
          </w:tcPr>
          <w:p w14:paraId="0AC57FB0" w14:textId="77777777" w:rsidR="00EF7F65" w:rsidRPr="007E614B" w:rsidRDefault="00EF7F65" w:rsidP="00841F14">
            <w:pPr>
              <w:spacing w:before="2"/>
              <w:rPr>
                <w:sz w:val="22"/>
              </w:rPr>
            </w:pPr>
            <w:r w:rsidRPr="007E614B">
              <w:rPr>
                <w:sz w:val="22"/>
              </w:rPr>
              <w:lastRenderedPageBreak/>
              <w:t xml:space="preserve">2 (18.2%) </w:t>
            </w:r>
            <w:r w:rsidRPr="00FC16E5">
              <w:rPr>
                <w:sz w:val="22"/>
                <w:vertAlign w:val="superscript"/>
              </w:rPr>
              <w:t>a</w:t>
            </w:r>
          </w:p>
          <w:p w14:paraId="55C03510" w14:textId="77777777" w:rsidR="00EF7F65" w:rsidRPr="007E614B" w:rsidRDefault="00EF7F65" w:rsidP="00841F14">
            <w:pPr>
              <w:spacing w:before="2"/>
              <w:rPr>
                <w:sz w:val="22"/>
              </w:rPr>
            </w:pPr>
          </w:p>
          <w:p w14:paraId="49C09482" w14:textId="77777777" w:rsidR="00EF7F65" w:rsidRPr="007E614B" w:rsidRDefault="00EF7F65" w:rsidP="00841F14">
            <w:pPr>
              <w:spacing w:before="2"/>
              <w:rPr>
                <w:sz w:val="22"/>
              </w:rPr>
            </w:pPr>
            <w:r w:rsidRPr="007E614B">
              <w:rPr>
                <w:sz w:val="22"/>
              </w:rPr>
              <w:t>11 (100%)</w:t>
            </w:r>
          </w:p>
          <w:p w14:paraId="7C0E1611" w14:textId="77777777" w:rsidR="00EF7F65" w:rsidRPr="007E614B" w:rsidRDefault="00EF7F65" w:rsidP="00841F14">
            <w:pPr>
              <w:spacing w:before="2"/>
              <w:rPr>
                <w:sz w:val="22"/>
              </w:rPr>
            </w:pPr>
          </w:p>
          <w:p w14:paraId="43717805" w14:textId="77777777" w:rsidR="00EF7F65" w:rsidRPr="007E614B" w:rsidRDefault="00EF7F65" w:rsidP="00841F14">
            <w:pPr>
              <w:spacing w:before="2"/>
              <w:rPr>
                <w:sz w:val="22"/>
              </w:rPr>
            </w:pPr>
            <w:r w:rsidRPr="007E614B">
              <w:rPr>
                <w:sz w:val="22"/>
              </w:rPr>
              <w:t>0 (0%)</w:t>
            </w:r>
          </w:p>
          <w:p w14:paraId="73163CBE" w14:textId="77777777" w:rsidR="00EF7F65" w:rsidRPr="007E614B" w:rsidRDefault="00EF7F65" w:rsidP="00841F14">
            <w:pPr>
              <w:spacing w:before="2"/>
              <w:rPr>
                <w:sz w:val="22"/>
              </w:rPr>
            </w:pPr>
          </w:p>
          <w:p w14:paraId="37253890" w14:textId="77777777" w:rsidR="00EF7F65" w:rsidRPr="007E614B" w:rsidRDefault="00EF7F65" w:rsidP="00841F14">
            <w:pPr>
              <w:spacing w:before="2"/>
              <w:rPr>
                <w:sz w:val="22"/>
              </w:rPr>
            </w:pPr>
            <w:r w:rsidRPr="007E614B">
              <w:rPr>
                <w:sz w:val="22"/>
              </w:rPr>
              <w:t>10 (90.9%)</w:t>
            </w:r>
          </w:p>
          <w:p w14:paraId="29F7C9C0" w14:textId="77777777" w:rsidR="00EF7F65" w:rsidRPr="007E614B" w:rsidRDefault="00EF7F65" w:rsidP="00841F14">
            <w:pPr>
              <w:spacing w:before="2"/>
              <w:rPr>
                <w:sz w:val="22"/>
              </w:rPr>
            </w:pPr>
          </w:p>
          <w:p w14:paraId="220391A2" w14:textId="77777777" w:rsidR="00EF7F65" w:rsidRPr="007E614B" w:rsidRDefault="00EF7F65" w:rsidP="00841F14">
            <w:pPr>
              <w:spacing w:before="2"/>
              <w:rPr>
                <w:sz w:val="22"/>
              </w:rPr>
            </w:pPr>
            <w:r w:rsidRPr="007E614B">
              <w:rPr>
                <w:sz w:val="22"/>
              </w:rPr>
              <w:t>10 (90.9%)</w:t>
            </w:r>
          </w:p>
          <w:p w14:paraId="7DF6C73E" w14:textId="77777777" w:rsidR="00EF7F65" w:rsidRPr="007E614B" w:rsidRDefault="00EF7F65" w:rsidP="00841F14">
            <w:pPr>
              <w:spacing w:before="2"/>
              <w:rPr>
                <w:sz w:val="22"/>
              </w:rPr>
            </w:pPr>
            <w:r w:rsidRPr="007E614B">
              <w:rPr>
                <w:sz w:val="22"/>
              </w:rPr>
              <w:t>6.3 (3-9)</w:t>
            </w:r>
          </w:p>
          <w:p w14:paraId="7F469C17" w14:textId="77777777" w:rsidR="00EF7F65" w:rsidRPr="007E614B" w:rsidRDefault="00EF7F65" w:rsidP="00841F14">
            <w:pPr>
              <w:spacing w:before="2"/>
              <w:rPr>
                <w:sz w:val="22"/>
              </w:rPr>
            </w:pPr>
            <w:r w:rsidRPr="007E614B">
              <w:rPr>
                <w:sz w:val="22"/>
              </w:rPr>
              <w:t>4 (40%)</w:t>
            </w:r>
          </w:p>
          <w:p w14:paraId="52DF2740" w14:textId="77777777" w:rsidR="00EF7F65" w:rsidRPr="007E614B" w:rsidRDefault="00EF7F65" w:rsidP="00841F14">
            <w:pPr>
              <w:spacing w:before="2"/>
              <w:rPr>
                <w:sz w:val="22"/>
              </w:rPr>
            </w:pPr>
          </w:p>
          <w:p w14:paraId="55F196B1" w14:textId="77777777" w:rsidR="00EF7F65" w:rsidRPr="007E614B" w:rsidRDefault="00EF7F65" w:rsidP="00841F14">
            <w:pPr>
              <w:spacing w:before="2"/>
              <w:rPr>
                <w:sz w:val="22"/>
              </w:rPr>
            </w:pPr>
          </w:p>
          <w:p w14:paraId="302EF957" w14:textId="77777777" w:rsidR="00EF7F65" w:rsidRPr="007E614B" w:rsidRDefault="00EF7F65" w:rsidP="00841F14">
            <w:pPr>
              <w:spacing w:before="2"/>
              <w:rPr>
                <w:sz w:val="22"/>
              </w:rPr>
            </w:pPr>
            <w:r w:rsidRPr="007E614B">
              <w:rPr>
                <w:sz w:val="22"/>
              </w:rPr>
              <w:t>10 (90.9%)</w:t>
            </w:r>
          </w:p>
          <w:p w14:paraId="15204DCF" w14:textId="77777777" w:rsidR="00EF7F65" w:rsidRPr="007E614B" w:rsidRDefault="00EF7F65" w:rsidP="00841F14">
            <w:pPr>
              <w:spacing w:before="2"/>
              <w:rPr>
                <w:sz w:val="22"/>
              </w:rPr>
            </w:pPr>
          </w:p>
          <w:p w14:paraId="1355B174" w14:textId="77777777" w:rsidR="00EF7F65" w:rsidRPr="007E614B" w:rsidRDefault="00EF7F65" w:rsidP="00841F14">
            <w:pPr>
              <w:spacing w:before="2"/>
              <w:rPr>
                <w:sz w:val="22"/>
              </w:rPr>
            </w:pPr>
            <w:r w:rsidRPr="007E614B">
              <w:rPr>
                <w:sz w:val="22"/>
              </w:rPr>
              <w:t>10 (90.9%)</w:t>
            </w:r>
          </w:p>
          <w:p w14:paraId="59856BE8" w14:textId="77777777" w:rsidR="00EF7F65" w:rsidRPr="007E614B" w:rsidRDefault="00EF7F65" w:rsidP="00841F14">
            <w:pPr>
              <w:spacing w:before="2"/>
              <w:rPr>
                <w:sz w:val="22"/>
              </w:rPr>
            </w:pPr>
          </w:p>
          <w:p w14:paraId="6E898908" w14:textId="77777777" w:rsidR="00EF7F65" w:rsidRPr="007E614B" w:rsidRDefault="00EF7F65" w:rsidP="00841F14">
            <w:pPr>
              <w:spacing w:before="2"/>
              <w:rPr>
                <w:sz w:val="22"/>
              </w:rPr>
            </w:pPr>
            <w:r w:rsidRPr="007E614B">
              <w:rPr>
                <w:sz w:val="22"/>
              </w:rPr>
              <w:t>9 (81.8)</w:t>
            </w:r>
          </w:p>
          <w:p w14:paraId="2D5AEB5F" w14:textId="77777777" w:rsidR="00EF7F65" w:rsidRPr="007E614B" w:rsidRDefault="00EF7F65" w:rsidP="00841F14">
            <w:pPr>
              <w:spacing w:before="2"/>
              <w:rPr>
                <w:sz w:val="22"/>
              </w:rPr>
            </w:pPr>
          </w:p>
          <w:p w14:paraId="140471E8" w14:textId="77777777" w:rsidR="00EF7F65" w:rsidRPr="007E614B" w:rsidRDefault="00EF7F65" w:rsidP="00841F14">
            <w:pPr>
              <w:spacing w:before="2"/>
              <w:rPr>
                <w:sz w:val="22"/>
              </w:rPr>
            </w:pPr>
            <w:r w:rsidRPr="007E614B">
              <w:rPr>
                <w:sz w:val="22"/>
              </w:rPr>
              <w:t>11 (100%)</w:t>
            </w:r>
          </w:p>
          <w:p w14:paraId="09929552" w14:textId="77777777" w:rsidR="00EF7F65" w:rsidRPr="007E614B" w:rsidRDefault="00EF7F65" w:rsidP="00841F14">
            <w:pPr>
              <w:spacing w:before="2"/>
              <w:rPr>
                <w:sz w:val="22"/>
              </w:rPr>
            </w:pPr>
          </w:p>
          <w:p w14:paraId="57771B91" w14:textId="77777777" w:rsidR="00EF7F65" w:rsidRPr="007E614B" w:rsidRDefault="00EF7F65" w:rsidP="00841F14">
            <w:pPr>
              <w:spacing w:before="2"/>
              <w:rPr>
                <w:sz w:val="22"/>
              </w:rPr>
            </w:pPr>
            <w:r w:rsidRPr="007E614B">
              <w:rPr>
                <w:sz w:val="22"/>
              </w:rPr>
              <w:t>0 (0%)</w:t>
            </w:r>
          </w:p>
          <w:p w14:paraId="0F696D09" w14:textId="77777777" w:rsidR="00EF7F65" w:rsidRPr="007E614B" w:rsidRDefault="00EF7F65" w:rsidP="00841F14">
            <w:pPr>
              <w:spacing w:before="2"/>
              <w:rPr>
                <w:sz w:val="22"/>
              </w:rPr>
            </w:pPr>
          </w:p>
          <w:p w14:paraId="5A88A033" w14:textId="77777777" w:rsidR="00EF7F65" w:rsidRPr="007E614B" w:rsidRDefault="00EF7F65" w:rsidP="00841F14">
            <w:pPr>
              <w:spacing w:before="2"/>
              <w:rPr>
                <w:sz w:val="22"/>
              </w:rPr>
            </w:pPr>
          </w:p>
          <w:p w14:paraId="4676ABA1" w14:textId="77777777" w:rsidR="00EF7F65" w:rsidRPr="007E614B" w:rsidRDefault="00EF7F65" w:rsidP="00841F14">
            <w:pPr>
              <w:spacing w:before="2"/>
              <w:rPr>
                <w:sz w:val="22"/>
              </w:rPr>
            </w:pPr>
            <w:r w:rsidRPr="007E614B">
              <w:rPr>
                <w:sz w:val="22"/>
              </w:rPr>
              <w:t xml:space="preserve">4 </w:t>
            </w:r>
          </w:p>
          <w:p w14:paraId="51A316EE" w14:textId="77777777" w:rsidR="00EF7F65" w:rsidRPr="007E614B" w:rsidRDefault="00EF7F65" w:rsidP="00841F14">
            <w:pPr>
              <w:spacing w:before="2"/>
              <w:rPr>
                <w:sz w:val="22"/>
              </w:rPr>
            </w:pPr>
            <w:r w:rsidRPr="007E614B">
              <w:rPr>
                <w:sz w:val="22"/>
              </w:rPr>
              <w:lastRenderedPageBreak/>
              <w:t>5</w:t>
            </w:r>
          </w:p>
          <w:p w14:paraId="78B38153" w14:textId="77777777" w:rsidR="00EF7F65" w:rsidRPr="007E614B" w:rsidRDefault="00EF7F65" w:rsidP="00841F14">
            <w:pPr>
              <w:spacing w:before="2"/>
              <w:rPr>
                <w:sz w:val="22"/>
              </w:rPr>
            </w:pPr>
            <w:r w:rsidRPr="007E614B">
              <w:rPr>
                <w:sz w:val="22"/>
              </w:rPr>
              <w:t>2</w:t>
            </w:r>
          </w:p>
        </w:tc>
      </w:tr>
      <w:tr w:rsidR="00EF7F65" w14:paraId="248A24A8" w14:textId="77777777">
        <w:tc>
          <w:tcPr>
            <w:tcW w:w="4258" w:type="dxa"/>
          </w:tcPr>
          <w:p w14:paraId="40D853D4" w14:textId="77777777" w:rsidR="00EF7F65" w:rsidRPr="007E614B" w:rsidRDefault="00EF7F65" w:rsidP="00841F14">
            <w:pPr>
              <w:spacing w:before="2"/>
              <w:rPr>
                <w:b/>
                <w:sz w:val="22"/>
              </w:rPr>
            </w:pPr>
            <w:r w:rsidRPr="007E614B">
              <w:rPr>
                <w:b/>
                <w:sz w:val="22"/>
              </w:rPr>
              <w:lastRenderedPageBreak/>
              <w:t>Clinical course</w:t>
            </w:r>
          </w:p>
        </w:tc>
        <w:tc>
          <w:tcPr>
            <w:tcW w:w="4258" w:type="dxa"/>
          </w:tcPr>
          <w:p w14:paraId="4614BC57" w14:textId="77777777" w:rsidR="00EF7F65" w:rsidRPr="007E614B" w:rsidRDefault="00EF7F65" w:rsidP="00841F14">
            <w:pPr>
              <w:spacing w:before="2"/>
              <w:rPr>
                <w:sz w:val="22"/>
              </w:rPr>
            </w:pPr>
          </w:p>
        </w:tc>
      </w:tr>
      <w:tr w:rsidR="00EF7F65" w14:paraId="67AF5AFF" w14:textId="77777777">
        <w:tc>
          <w:tcPr>
            <w:tcW w:w="4258" w:type="dxa"/>
          </w:tcPr>
          <w:p w14:paraId="62AD0CB5" w14:textId="77777777" w:rsidR="00EF7F65" w:rsidRPr="007E614B" w:rsidRDefault="00EF7F65" w:rsidP="00841F14">
            <w:pPr>
              <w:spacing w:before="2"/>
              <w:rPr>
                <w:sz w:val="22"/>
              </w:rPr>
            </w:pPr>
            <w:r w:rsidRPr="007E614B">
              <w:rPr>
                <w:sz w:val="22"/>
              </w:rPr>
              <w:t xml:space="preserve">Days to </w:t>
            </w:r>
            <w:proofErr w:type="spellStart"/>
            <w:r w:rsidRPr="007E614B">
              <w:rPr>
                <w:sz w:val="22"/>
              </w:rPr>
              <w:t>candidaemia</w:t>
            </w:r>
            <w:proofErr w:type="spellEnd"/>
            <w:r w:rsidRPr="007E614B">
              <w:rPr>
                <w:sz w:val="22"/>
              </w:rPr>
              <w:t xml:space="preserve"> since COVID-19 diagnosis</w:t>
            </w:r>
          </w:p>
          <w:p w14:paraId="23CD6721" w14:textId="77777777" w:rsidR="00EF7F65" w:rsidRPr="007E614B" w:rsidRDefault="00EF7F65" w:rsidP="00841F14">
            <w:pPr>
              <w:spacing w:before="2"/>
              <w:rPr>
                <w:sz w:val="22"/>
              </w:rPr>
            </w:pPr>
          </w:p>
          <w:p w14:paraId="19FA1BA2" w14:textId="77777777" w:rsidR="00EF7F65" w:rsidRPr="007E614B" w:rsidRDefault="00EF7F65" w:rsidP="00841F14">
            <w:pPr>
              <w:spacing w:before="2"/>
              <w:rPr>
                <w:sz w:val="22"/>
              </w:rPr>
            </w:pPr>
            <w:r w:rsidRPr="007E614B">
              <w:rPr>
                <w:sz w:val="22"/>
              </w:rPr>
              <w:t xml:space="preserve">Days to </w:t>
            </w:r>
            <w:proofErr w:type="spellStart"/>
            <w:r w:rsidRPr="007E614B">
              <w:rPr>
                <w:sz w:val="22"/>
              </w:rPr>
              <w:t>candidaemia</w:t>
            </w:r>
            <w:proofErr w:type="spellEnd"/>
            <w:r w:rsidRPr="007E614B">
              <w:rPr>
                <w:sz w:val="22"/>
              </w:rPr>
              <w:t xml:space="preserve"> since ICU admission</w:t>
            </w:r>
          </w:p>
          <w:p w14:paraId="2B02C3A2" w14:textId="77777777" w:rsidR="00EF7F65" w:rsidRPr="007E614B" w:rsidRDefault="00EF7F65" w:rsidP="00841F14">
            <w:pPr>
              <w:spacing w:before="2"/>
              <w:rPr>
                <w:sz w:val="22"/>
              </w:rPr>
            </w:pPr>
          </w:p>
          <w:p w14:paraId="2417F705" w14:textId="77777777" w:rsidR="00EF7F65" w:rsidRPr="007E614B" w:rsidRDefault="00EF7F65" w:rsidP="00841F14">
            <w:pPr>
              <w:spacing w:before="2"/>
              <w:rPr>
                <w:sz w:val="22"/>
              </w:rPr>
            </w:pPr>
            <w:r w:rsidRPr="007E614B">
              <w:rPr>
                <w:sz w:val="22"/>
              </w:rPr>
              <w:t xml:space="preserve">Repeat blood cultures taken at 48 </w:t>
            </w:r>
            <w:proofErr w:type="gramStart"/>
            <w:r w:rsidRPr="007E614B">
              <w:rPr>
                <w:sz w:val="22"/>
              </w:rPr>
              <w:t>hours</w:t>
            </w:r>
            <w:proofErr w:type="gramEnd"/>
            <w:r w:rsidRPr="007E614B">
              <w:rPr>
                <w:sz w:val="22"/>
              </w:rPr>
              <w:t xml:space="preserve"> </w:t>
            </w:r>
          </w:p>
          <w:p w14:paraId="466C3423" w14:textId="77777777" w:rsidR="00EF7F65" w:rsidRPr="007E614B" w:rsidRDefault="00EF7F65" w:rsidP="00841F14">
            <w:pPr>
              <w:spacing w:before="2"/>
              <w:rPr>
                <w:sz w:val="22"/>
              </w:rPr>
            </w:pPr>
          </w:p>
          <w:p w14:paraId="4018FAD5" w14:textId="77777777" w:rsidR="00EF7F65" w:rsidRPr="007E614B" w:rsidRDefault="00EF7F65" w:rsidP="00841F14">
            <w:pPr>
              <w:spacing w:before="2"/>
              <w:rPr>
                <w:sz w:val="22"/>
              </w:rPr>
            </w:pPr>
            <w:r w:rsidRPr="007E614B">
              <w:rPr>
                <w:sz w:val="22"/>
              </w:rPr>
              <w:t xml:space="preserve">Days to </w:t>
            </w:r>
            <w:proofErr w:type="spellStart"/>
            <w:r w:rsidRPr="007E614B">
              <w:rPr>
                <w:sz w:val="22"/>
              </w:rPr>
              <w:t>candidaemia</w:t>
            </w:r>
            <w:proofErr w:type="spellEnd"/>
            <w:r w:rsidRPr="007E614B">
              <w:rPr>
                <w:sz w:val="22"/>
              </w:rPr>
              <w:t xml:space="preserve"> clearance</w:t>
            </w:r>
          </w:p>
          <w:p w14:paraId="195B883C" w14:textId="77777777" w:rsidR="00EF7F65" w:rsidRPr="007E614B" w:rsidRDefault="00EF7F65" w:rsidP="00841F14">
            <w:pPr>
              <w:spacing w:before="2"/>
              <w:rPr>
                <w:sz w:val="22"/>
              </w:rPr>
            </w:pPr>
          </w:p>
          <w:p w14:paraId="67862AE1" w14:textId="77777777" w:rsidR="00EF7F65" w:rsidRPr="007E614B" w:rsidRDefault="00EF7F65" w:rsidP="00841F14">
            <w:pPr>
              <w:spacing w:before="2"/>
              <w:rPr>
                <w:sz w:val="22"/>
              </w:rPr>
            </w:pPr>
            <w:r w:rsidRPr="007E614B">
              <w:rPr>
                <w:sz w:val="22"/>
              </w:rPr>
              <w:t xml:space="preserve">Non-albicans </w:t>
            </w:r>
            <w:proofErr w:type="spellStart"/>
            <w:r w:rsidRPr="007E614B">
              <w:rPr>
                <w:sz w:val="22"/>
              </w:rPr>
              <w:t>candidaemia</w:t>
            </w:r>
            <w:proofErr w:type="spellEnd"/>
          </w:p>
          <w:p w14:paraId="2127E5B6" w14:textId="77777777" w:rsidR="00EF7F65" w:rsidRPr="007E614B" w:rsidRDefault="00EF7F65" w:rsidP="00841F14">
            <w:pPr>
              <w:spacing w:before="2"/>
              <w:rPr>
                <w:sz w:val="22"/>
              </w:rPr>
            </w:pPr>
          </w:p>
          <w:p w14:paraId="12A44725" w14:textId="77777777" w:rsidR="00EF7F65" w:rsidRPr="007E614B" w:rsidRDefault="00EF7F65" w:rsidP="00841F14">
            <w:pPr>
              <w:spacing w:before="2"/>
              <w:rPr>
                <w:sz w:val="22"/>
              </w:rPr>
            </w:pPr>
            <w:r w:rsidRPr="007E614B">
              <w:rPr>
                <w:sz w:val="22"/>
              </w:rPr>
              <w:t xml:space="preserve">Beta-D-glucan </w:t>
            </w:r>
            <w:proofErr w:type="gramStart"/>
            <w:r w:rsidRPr="007E614B">
              <w:rPr>
                <w:sz w:val="22"/>
              </w:rPr>
              <w:t>performed</w:t>
            </w:r>
            <w:proofErr w:type="gramEnd"/>
          </w:p>
          <w:p w14:paraId="434A099E" w14:textId="77777777" w:rsidR="00EF7F65" w:rsidRPr="007E614B" w:rsidRDefault="00EF7F65" w:rsidP="00841F14">
            <w:pPr>
              <w:pStyle w:val="ListParagraph"/>
              <w:numPr>
                <w:ilvl w:val="0"/>
                <w:numId w:val="5"/>
              </w:numPr>
              <w:spacing w:before="2"/>
              <w:rPr>
                <w:sz w:val="22"/>
              </w:rPr>
            </w:pPr>
            <w:r w:rsidRPr="007E614B">
              <w:rPr>
                <w:sz w:val="22"/>
              </w:rPr>
              <w:t>positive</w:t>
            </w:r>
          </w:p>
          <w:p w14:paraId="0A5FCE90" w14:textId="77777777" w:rsidR="00EF7F65" w:rsidRPr="007E614B" w:rsidRDefault="00EF7F65" w:rsidP="00841F14">
            <w:pPr>
              <w:pStyle w:val="ListParagraph"/>
              <w:numPr>
                <w:ilvl w:val="0"/>
                <w:numId w:val="5"/>
              </w:numPr>
              <w:spacing w:before="2"/>
              <w:rPr>
                <w:sz w:val="22"/>
              </w:rPr>
            </w:pPr>
            <w:r w:rsidRPr="007E614B">
              <w:rPr>
                <w:sz w:val="22"/>
              </w:rPr>
              <w:t>negative</w:t>
            </w:r>
          </w:p>
          <w:p w14:paraId="18842DD3" w14:textId="77777777" w:rsidR="00EF7F65" w:rsidRPr="007E614B" w:rsidRDefault="00EF7F65" w:rsidP="00841F14">
            <w:pPr>
              <w:spacing w:before="2"/>
              <w:rPr>
                <w:sz w:val="22"/>
              </w:rPr>
            </w:pPr>
          </w:p>
          <w:p w14:paraId="21DEC462" w14:textId="77777777" w:rsidR="00EF7F65" w:rsidRPr="007E614B" w:rsidRDefault="00EF7F65" w:rsidP="00841F14">
            <w:pPr>
              <w:spacing w:before="2"/>
              <w:rPr>
                <w:sz w:val="22"/>
              </w:rPr>
            </w:pPr>
            <w:r w:rsidRPr="007E614B">
              <w:rPr>
                <w:sz w:val="22"/>
              </w:rPr>
              <w:t xml:space="preserve">Galactomannan </w:t>
            </w:r>
            <w:proofErr w:type="gramStart"/>
            <w:r w:rsidRPr="007E614B">
              <w:rPr>
                <w:sz w:val="22"/>
              </w:rPr>
              <w:t>performed</w:t>
            </w:r>
            <w:proofErr w:type="gramEnd"/>
            <w:r w:rsidRPr="007E614B">
              <w:rPr>
                <w:sz w:val="22"/>
              </w:rPr>
              <w:t xml:space="preserve"> </w:t>
            </w:r>
          </w:p>
          <w:p w14:paraId="7A209713" w14:textId="77777777" w:rsidR="00EF7F65" w:rsidRPr="007E614B" w:rsidRDefault="00EF7F65" w:rsidP="00841F14">
            <w:pPr>
              <w:pStyle w:val="ListParagraph"/>
              <w:numPr>
                <w:ilvl w:val="0"/>
                <w:numId w:val="5"/>
              </w:numPr>
              <w:spacing w:before="2"/>
              <w:rPr>
                <w:sz w:val="22"/>
              </w:rPr>
            </w:pPr>
            <w:r w:rsidRPr="007E614B">
              <w:rPr>
                <w:sz w:val="22"/>
              </w:rPr>
              <w:t>positive</w:t>
            </w:r>
          </w:p>
          <w:p w14:paraId="4F50ABF0" w14:textId="77777777" w:rsidR="00EF7F65" w:rsidRPr="007E614B" w:rsidRDefault="00EF7F65" w:rsidP="00841F14">
            <w:pPr>
              <w:pStyle w:val="ListParagraph"/>
              <w:numPr>
                <w:ilvl w:val="0"/>
                <w:numId w:val="5"/>
              </w:numPr>
              <w:spacing w:before="2"/>
              <w:rPr>
                <w:sz w:val="22"/>
              </w:rPr>
            </w:pPr>
            <w:r w:rsidRPr="007E614B">
              <w:rPr>
                <w:sz w:val="22"/>
              </w:rPr>
              <w:t>negative</w:t>
            </w:r>
          </w:p>
          <w:p w14:paraId="64E0EFBA" w14:textId="77777777" w:rsidR="00EF7F65" w:rsidRPr="007E614B" w:rsidRDefault="00EF7F65" w:rsidP="00841F14">
            <w:pPr>
              <w:spacing w:before="2"/>
              <w:rPr>
                <w:sz w:val="22"/>
              </w:rPr>
            </w:pPr>
          </w:p>
          <w:p w14:paraId="24598EBC" w14:textId="77777777" w:rsidR="00EF7F65" w:rsidRPr="007E614B" w:rsidRDefault="00EF7F65" w:rsidP="00841F14">
            <w:pPr>
              <w:spacing w:before="2"/>
              <w:rPr>
                <w:sz w:val="22"/>
              </w:rPr>
            </w:pPr>
            <w:r w:rsidRPr="007E614B">
              <w:rPr>
                <w:sz w:val="22"/>
              </w:rPr>
              <w:t xml:space="preserve">Intravascular catheter </w:t>
            </w:r>
            <w:proofErr w:type="gramStart"/>
            <w:r w:rsidRPr="007E614B">
              <w:rPr>
                <w:sz w:val="22"/>
              </w:rPr>
              <w:t>removed</w:t>
            </w:r>
            <w:proofErr w:type="gramEnd"/>
          </w:p>
          <w:p w14:paraId="1AC585CF" w14:textId="77777777" w:rsidR="00EF7F65" w:rsidRPr="007E614B" w:rsidRDefault="00EF7F65" w:rsidP="00841F14">
            <w:pPr>
              <w:pStyle w:val="ListParagraph"/>
              <w:numPr>
                <w:ilvl w:val="0"/>
                <w:numId w:val="5"/>
              </w:numPr>
              <w:spacing w:before="2"/>
              <w:rPr>
                <w:sz w:val="22"/>
              </w:rPr>
            </w:pPr>
            <w:r w:rsidRPr="007E614B">
              <w:rPr>
                <w:sz w:val="22"/>
              </w:rPr>
              <w:t>culture confirmation of same Candida spp.</w:t>
            </w:r>
          </w:p>
          <w:p w14:paraId="26AB22ED" w14:textId="77777777" w:rsidR="00EF7F65" w:rsidRPr="007E614B" w:rsidRDefault="00EF7F65" w:rsidP="00841F14">
            <w:pPr>
              <w:pStyle w:val="ListParagraph"/>
              <w:spacing w:before="2"/>
              <w:rPr>
                <w:sz w:val="22"/>
              </w:rPr>
            </w:pPr>
          </w:p>
          <w:p w14:paraId="0E67B7F1" w14:textId="77777777" w:rsidR="00EF7F65" w:rsidRPr="007E614B" w:rsidRDefault="00EF7F65" w:rsidP="00841F14">
            <w:pPr>
              <w:spacing w:before="2"/>
              <w:rPr>
                <w:sz w:val="22"/>
              </w:rPr>
            </w:pPr>
            <w:r w:rsidRPr="007E614B">
              <w:rPr>
                <w:sz w:val="22"/>
              </w:rPr>
              <w:t xml:space="preserve">Echocardiogram </w:t>
            </w:r>
            <w:proofErr w:type="gramStart"/>
            <w:r w:rsidRPr="007E614B">
              <w:rPr>
                <w:sz w:val="22"/>
              </w:rPr>
              <w:t>performed</w:t>
            </w:r>
            <w:proofErr w:type="gramEnd"/>
          </w:p>
          <w:p w14:paraId="3C0843DC" w14:textId="77777777" w:rsidR="00EF7F65" w:rsidRPr="007E614B" w:rsidRDefault="00EF7F65" w:rsidP="00841F14">
            <w:pPr>
              <w:pStyle w:val="ListParagraph"/>
              <w:numPr>
                <w:ilvl w:val="0"/>
                <w:numId w:val="5"/>
              </w:numPr>
              <w:spacing w:before="2"/>
              <w:rPr>
                <w:sz w:val="22"/>
              </w:rPr>
            </w:pPr>
            <w:r w:rsidRPr="007E614B">
              <w:rPr>
                <w:sz w:val="22"/>
              </w:rPr>
              <w:t xml:space="preserve">positive </w:t>
            </w:r>
          </w:p>
          <w:p w14:paraId="24202850" w14:textId="77777777" w:rsidR="00EF7F65" w:rsidRPr="007E614B" w:rsidRDefault="00EF7F65" w:rsidP="00841F14">
            <w:pPr>
              <w:pStyle w:val="ListParagraph"/>
              <w:numPr>
                <w:ilvl w:val="0"/>
                <w:numId w:val="5"/>
              </w:numPr>
              <w:spacing w:before="2"/>
              <w:rPr>
                <w:sz w:val="22"/>
              </w:rPr>
            </w:pPr>
            <w:r w:rsidRPr="007E614B">
              <w:rPr>
                <w:sz w:val="22"/>
              </w:rPr>
              <w:t>negative</w:t>
            </w:r>
          </w:p>
          <w:p w14:paraId="00B7534B" w14:textId="77777777" w:rsidR="00EF7F65" w:rsidRPr="007E614B" w:rsidRDefault="00EF7F65" w:rsidP="00841F14">
            <w:pPr>
              <w:spacing w:before="2"/>
              <w:rPr>
                <w:sz w:val="22"/>
              </w:rPr>
            </w:pPr>
          </w:p>
          <w:p w14:paraId="140309A3" w14:textId="77777777" w:rsidR="00EF7F65" w:rsidRPr="007E614B" w:rsidRDefault="00EF7F65" w:rsidP="00841F14">
            <w:pPr>
              <w:spacing w:before="2"/>
              <w:rPr>
                <w:sz w:val="22"/>
              </w:rPr>
            </w:pPr>
            <w:r w:rsidRPr="007E614B">
              <w:rPr>
                <w:sz w:val="22"/>
              </w:rPr>
              <w:t xml:space="preserve">Fundoscopy </w:t>
            </w:r>
            <w:proofErr w:type="spellStart"/>
            <w:r w:rsidRPr="007E614B">
              <w:rPr>
                <w:sz w:val="22"/>
              </w:rPr>
              <w:t>peformed</w:t>
            </w:r>
            <w:proofErr w:type="spellEnd"/>
          </w:p>
          <w:p w14:paraId="53957E31" w14:textId="77777777" w:rsidR="00EF7F65" w:rsidRPr="007E614B" w:rsidRDefault="00EF7F65" w:rsidP="00841F14">
            <w:pPr>
              <w:pStyle w:val="ListParagraph"/>
              <w:numPr>
                <w:ilvl w:val="0"/>
                <w:numId w:val="5"/>
              </w:numPr>
              <w:spacing w:before="2"/>
              <w:rPr>
                <w:sz w:val="22"/>
              </w:rPr>
            </w:pPr>
            <w:r w:rsidRPr="007E614B">
              <w:rPr>
                <w:sz w:val="22"/>
              </w:rPr>
              <w:t>positive</w:t>
            </w:r>
          </w:p>
          <w:p w14:paraId="29170A30" w14:textId="77777777" w:rsidR="00EF7F65" w:rsidRPr="007E614B" w:rsidRDefault="00EF7F65" w:rsidP="00841F14">
            <w:pPr>
              <w:pStyle w:val="ListParagraph"/>
              <w:numPr>
                <w:ilvl w:val="0"/>
                <w:numId w:val="5"/>
              </w:numPr>
              <w:spacing w:before="2"/>
              <w:rPr>
                <w:sz w:val="22"/>
              </w:rPr>
            </w:pPr>
            <w:r w:rsidRPr="007E614B">
              <w:rPr>
                <w:sz w:val="22"/>
              </w:rPr>
              <w:t>negative</w:t>
            </w:r>
          </w:p>
          <w:p w14:paraId="73EE9047" w14:textId="77777777" w:rsidR="00EF7F65" w:rsidRPr="007E614B" w:rsidRDefault="00EF7F65" w:rsidP="00841F14">
            <w:pPr>
              <w:spacing w:before="2"/>
              <w:rPr>
                <w:sz w:val="22"/>
              </w:rPr>
            </w:pPr>
          </w:p>
          <w:p w14:paraId="2221E084" w14:textId="77777777" w:rsidR="00EF7F65" w:rsidRPr="007E614B" w:rsidRDefault="00EF7F65" w:rsidP="00841F14">
            <w:pPr>
              <w:spacing w:before="2"/>
              <w:rPr>
                <w:sz w:val="22"/>
              </w:rPr>
            </w:pPr>
            <w:r w:rsidRPr="007E614B">
              <w:rPr>
                <w:sz w:val="22"/>
              </w:rPr>
              <w:t>Death at 30 days</w:t>
            </w:r>
          </w:p>
        </w:tc>
        <w:tc>
          <w:tcPr>
            <w:tcW w:w="4258" w:type="dxa"/>
          </w:tcPr>
          <w:p w14:paraId="08AEF103" w14:textId="77777777" w:rsidR="00EF7F65" w:rsidRPr="007E614B" w:rsidRDefault="00EF7F65" w:rsidP="00841F14">
            <w:pPr>
              <w:spacing w:before="2"/>
              <w:rPr>
                <w:sz w:val="22"/>
              </w:rPr>
            </w:pPr>
            <w:r w:rsidRPr="007E614B">
              <w:rPr>
                <w:sz w:val="22"/>
              </w:rPr>
              <w:t>14.8 (7-24)</w:t>
            </w:r>
          </w:p>
          <w:p w14:paraId="3A60B763" w14:textId="77777777" w:rsidR="00EF7F65" w:rsidRPr="007E614B" w:rsidRDefault="00EF7F65" w:rsidP="00841F14">
            <w:pPr>
              <w:spacing w:before="2"/>
              <w:rPr>
                <w:sz w:val="22"/>
              </w:rPr>
            </w:pPr>
          </w:p>
          <w:p w14:paraId="2B682CC1" w14:textId="77777777" w:rsidR="00EF7F65" w:rsidRPr="007E614B" w:rsidRDefault="00EF7F65" w:rsidP="00841F14">
            <w:pPr>
              <w:spacing w:before="2"/>
              <w:rPr>
                <w:sz w:val="22"/>
              </w:rPr>
            </w:pPr>
          </w:p>
          <w:p w14:paraId="5689AF25" w14:textId="77777777" w:rsidR="00EF7F65" w:rsidRPr="007E614B" w:rsidRDefault="00EF7F65" w:rsidP="00841F14">
            <w:pPr>
              <w:spacing w:before="2"/>
              <w:rPr>
                <w:sz w:val="22"/>
              </w:rPr>
            </w:pPr>
            <w:r w:rsidRPr="007E614B">
              <w:rPr>
                <w:sz w:val="22"/>
              </w:rPr>
              <w:t>15.5 (6-24)</w:t>
            </w:r>
          </w:p>
          <w:p w14:paraId="7B10FFC5" w14:textId="77777777" w:rsidR="00EF7F65" w:rsidRPr="007E614B" w:rsidRDefault="00EF7F65" w:rsidP="00841F14">
            <w:pPr>
              <w:spacing w:before="2"/>
              <w:rPr>
                <w:sz w:val="22"/>
              </w:rPr>
            </w:pPr>
          </w:p>
          <w:p w14:paraId="563126E5" w14:textId="77777777" w:rsidR="00EF7F65" w:rsidRPr="007E614B" w:rsidRDefault="00EF7F65" w:rsidP="00841F14">
            <w:pPr>
              <w:spacing w:before="2"/>
              <w:rPr>
                <w:sz w:val="22"/>
              </w:rPr>
            </w:pPr>
            <w:r w:rsidRPr="007E614B">
              <w:rPr>
                <w:sz w:val="22"/>
              </w:rPr>
              <w:t>6 (54.5%)</w:t>
            </w:r>
          </w:p>
          <w:p w14:paraId="36AE029F" w14:textId="77777777" w:rsidR="00EF7F65" w:rsidRPr="007E614B" w:rsidRDefault="00EF7F65" w:rsidP="00841F14">
            <w:pPr>
              <w:spacing w:before="2"/>
              <w:rPr>
                <w:sz w:val="22"/>
              </w:rPr>
            </w:pPr>
          </w:p>
          <w:p w14:paraId="4CA76906" w14:textId="77777777" w:rsidR="00EF7F65" w:rsidRPr="007E614B" w:rsidRDefault="00EF7F65" w:rsidP="00841F14">
            <w:pPr>
              <w:spacing w:before="2"/>
              <w:rPr>
                <w:sz w:val="22"/>
              </w:rPr>
            </w:pPr>
            <w:r w:rsidRPr="007E614B">
              <w:rPr>
                <w:sz w:val="22"/>
              </w:rPr>
              <w:t>2.3 (1-3)</w:t>
            </w:r>
          </w:p>
          <w:p w14:paraId="4D74EE29" w14:textId="77777777" w:rsidR="00EF7F65" w:rsidRPr="007E614B" w:rsidRDefault="00EF7F65" w:rsidP="00841F14">
            <w:pPr>
              <w:spacing w:before="2"/>
              <w:rPr>
                <w:sz w:val="22"/>
              </w:rPr>
            </w:pPr>
          </w:p>
          <w:p w14:paraId="19E172B7" w14:textId="77777777" w:rsidR="00EF7F65" w:rsidRPr="007E614B" w:rsidRDefault="00EF7F65" w:rsidP="00841F14">
            <w:pPr>
              <w:spacing w:before="2"/>
              <w:rPr>
                <w:sz w:val="22"/>
              </w:rPr>
            </w:pPr>
            <w:r w:rsidRPr="007E614B">
              <w:rPr>
                <w:sz w:val="22"/>
              </w:rPr>
              <w:t>4 (36.4%)</w:t>
            </w:r>
          </w:p>
          <w:p w14:paraId="78FA8575" w14:textId="77777777" w:rsidR="00EF7F65" w:rsidRPr="007E614B" w:rsidRDefault="00EF7F65" w:rsidP="00841F14">
            <w:pPr>
              <w:spacing w:before="2"/>
              <w:rPr>
                <w:sz w:val="22"/>
              </w:rPr>
            </w:pPr>
          </w:p>
          <w:p w14:paraId="3DDED570" w14:textId="77777777" w:rsidR="00EF7F65" w:rsidRPr="007E614B" w:rsidRDefault="00EF7F65" w:rsidP="00841F14">
            <w:pPr>
              <w:spacing w:before="2"/>
              <w:rPr>
                <w:sz w:val="22"/>
              </w:rPr>
            </w:pPr>
            <w:r w:rsidRPr="007E614B">
              <w:rPr>
                <w:sz w:val="22"/>
              </w:rPr>
              <w:t>6 (54.5%)</w:t>
            </w:r>
          </w:p>
          <w:p w14:paraId="28AEEDF3" w14:textId="77777777" w:rsidR="00EF7F65" w:rsidRPr="007E614B" w:rsidRDefault="00EF7F65" w:rsidP="00841F14">
            <w:pPr>
              <w:spacing w:before="2"/>
              <w:rPr>
                <w:sz w:val="22"/>
              </w:rPr>
            </w:pPr>
            <w:r w:rsidRPr="007E614B">
              <w:rPr>
                <w:sz w:val="22"/>
              </w:rPr>
              <w:t xml:space="preserve">3 (50%) </w:t>
            </w:r>
            <w:r w:rsidRPr="008973F0">
              <w:rPr>
                <w:sz w:val="22"/>
                <w:vertAlign w:val="superscript"/>
              </w:rPr>
              <w:t>b</w:t>
            </w:r>
          </w:p>
          <w:p w14:paraId="59EB48F6" w14:textId="77777777" w:rsidR="00EF7F65" w:rsidRPr="007E614B" w:rsidRDefault="00EF7F65" w:rsidP="00841F14">
            <w:pPr>
              <w:spacing w:before="2"/>
              <w:rPr>
                <w:sz w:val="22"/>
              </w:rPr>
            </w:pPr>
            <w:r w:rsidRPr="007E614B">
              <w:rPr>
                <w:sz w:val="22"/>
              </w:rPr>
              <w:t>3 (50%)</w:t>
            </w:r>
          </w:p>
          <w:p w14:paraId="325ADC5C" w14:textId="77777777" w:rsidR="00EF7F65" w:rsidRPr="007E614B" w:rsidRDefault="00EF7F65" w:rsidP="00841F14">
            <w:pPr>
              <w:spacing w:before="2"/>
              <w:rPr>
                <w:sz w:val="22"/>
              </w:rPr>
            </w:pPr>
          </w:p>
          <w:p w14:paraId="62C48AD7" w14:textId="77777777" w:rsidR="00EF7F65" w:rsidRPr="007E614B" w:rsidRDefault="00EF7F65" w:rsidP="00841F14">
            <w:pPr>
              <w:spacing w:before="2"/>
              <w:rPr>
                <w:sz w:val="22"/>
              </w:rPr>
            </w:pPr>
            <w:proofErr w:type="gramStart"/>
            <w:r w:rsidRPr="007E614B">
              <w:rPr>
                <w:sz w:val="22"/>
              </w:rPr>
              <w:t>5  (</w:t>
            </w:r>
            <w:proofErr w:type="gramEnd"/>
            <w:r w:rsidRPr="007E614B">
              <w:rPr>
                <w:sz w:val="22"/>
              </w:rPr>
              <w:t>45.5%)</w:t>
            </w:r>
          </w:p>
          <w:p w14:paraId="290F36A5" w14:textId="77777777" w:rsidR="00EF7F65" w:rsidRPr="007E614B" w:rsidRDefault="00EF7F65" w:rsidP="00841F14">
            <w:pPr>
              <w:spacing w:before="2"/>
              <w:rPr>
                <w:sz w:val="22"/>
              </w:rPr>
            </w:pPr>
            <w:r w:rsidRPr="007E614B">
              <w:rPr>
                <w:sz w:val="22"/>
              </w:rPr>
              <w:t>0 (0%)</w:t>
            </w:r>
          </w:p>
          <w:p w14:paraId="47B017EE" w14:textId="77777777" w:rsidR="00EF7F65" w:rsidRPr="007E614B" w:rsidRDefault="00EF7F65" w:rsidP="00841F14">
            <w:pPr>
              <w:spacing w:before="2"/>
              <w:rPr>
                <w:sz w:val="22"/>
              </w:rPr>
            </w:pPr>
            <w:r w:rsidRPr="007E614B">
              <w:rPr>
                <w:sz w:val="22"/>
              </w:rPr>
              <w:t>5 (100%)</w:t>
            </w:r>
          </w:p>
          <w:p w14:paraId="4992E3F2" w14:textId="77777777" w:rsidR="00EF7F65" w:rsidRPr="007E614B" w:rsidRDefault="00EF7F65" w:rsidP="00841F14">
            <w:pPr>
              <w:spacing w:before="2"/>
              <w:rPr>
                <w:sz w:val="22"/>
              </w:rPr>
            </w:pPr>
          </w:p>
          <w:p w14:paraId="233F96A1" w14:textId="77777777" w:rsidR="00EF7F65" w:rsidRPr="007E614B" w:rsidRDefault="00EF7F65" w:rsidP="00841F14">
            <w:pPr>
              <w:spacing w:before="2"/>
              <w:rPr>
                <w:sz w:val="22"/>
              </w:rPr>
            </w:pPr>
            <w:r w:rsidRPr="007E614B">
              <w:rPr>
                <w:sz w:val="22"/>
              </w:rPr>
              <w:t>9 (90%)</w:t>
            </w:r>
          </w:p>
          <w:p w14:paraId="59825E8D" w14:textId="77777777" w:rsidR="00EF7F65" w:rsidRPr="007E614B" w:rsidRDefault="00EF7F65" w:rsidP="00841F14">
            <w:pPr>
              <w:spacing w:before="2"/>
              <w:rPr>
                <w:sz w:val="22"/>
              </w:rPr>
            </w:pPr>
            <w:r w:rsidRPr="007E614B">
              <w:rPr>
                <w:sz w:val="22"/>
              </w:rPr>
              <w:t>1 (10%)</w:t>
            </w:r>
          </w:p>
          <w:p w14:paraId="79722CAC" w14:textId="77777777" w:rsidR="00EF7F65" w:rsidRPr="007E614B" w:rsidRDefault="00EF7F65" w:rsidP="00841F14">
            <w:pPr>
              <w:spacing w:before="2"/>
              <w:rPr>
                <w:sz w:val="22"/>
              </w:rPr>
            </w:pPr>
          </w:p>
          <w:p w14:paraId="2C28C071" w14:textId="77777777" w:rsidR="00EF7F65" w:rsidRPr="007E614B" w:rsidRDefault="00EF7F65" w:rsidP="00841F14">
            <w:pPr>
              <w:spacing w:before="2"/>
              <w:rPr>
                <w:sz w:val="22"/>
              </w:rPr>
            </w:pPr>
          </w:p>
          <w:p w14:paraId="326B6F91" w14:textId="77777777" w:rsidR="00EF7F65" w:rsidRPr="007E614B" w:rsidRDefault="00EF7F65" w:rsidP="00841F14">
            <w:pPr>
              <w:spacing w:before="2"/>
              <w:rPr>
                <w:sz w:val="22"/>
              </w:rPr>
            </w:pPr>
            <w:r w:rsidRPr="007E614B">
              <w:rPr>
                <w:sz w:val="22"/>
              </w:rPr>
              <w:t>8 (72.7%)</w:t>
            </w:r>
          </w:p>
          <w:p w14:paraId="5EA3D036" w14:textId="77777777" w:rsidR="00EF7F65" w:rsidRPr="007E614B" w:rsidRDefault="00EF7F65" w:rsidP="00841F14">
            <w:pPr>
              <w:spacing w:before="2"/>
              <w:rPr>
                <w:sz w:val="22"/>
              </w:rPr>
            </w:pPr>
            <w:r w:rsidRPr="007E614B">
              <w:rPr>
                <w:sz w:val="22"/>
              </w:rPr>
              <w:t>0 (0%)</w:t>
            </w:r>
          </w:p>
          <w:p w14:paraId="4D778CD8" w14:textId="77777777" w:rsidR="00EF7F65" w:rsidRPr="007E614B" w:rsidRDefault="00EF7F65" w:rsidP="00841F14">
            <w:pPr>
              <w:spacing w:before="2"/>
              <w:rPr>
                <w:sz w:val="22"/>
              </w:rPr>
            </w:pPr>
            <w:r w:rsidRPr="007E614B">
              <w:rPr>
                <w:sz w:val="22"/>
              </w:rPr>
              <w:t>8 (100%)</w:t>
            </w:r>
          </w:p>
          <w:p w14:paraId="7E632384" w14:textId="77777777" w:rsidR="00EF7F65" w:rsidRPr="007E614B" w:rsidRDefault="00EF7F65" w:rsidP="00841F14">
            <w:pPr>
              <w:spacing w:before="2"/>
              <w:rPr>
                <w:sz w:val="22"/>
              </w:rPr>
            </w:pPr>
          </w:p>
          <w:p w14:paraId="3C56721E" w14:textId="77777777" w:rsidR="00EF7F65" w:rsidRPr="007E614B" w:rsidRDefault="00EF7F65" w:rsidP="00841F14">
            <w:pPr>
              <w:spacing w:before="2"/>
              <w:rPr>
                <w:sz w:val="22"/>
              </w:rPr>
            </w:pPr>
            <w:r w:rsidRPr="007E614B">
              <w:rPr>
                <w:sz w:val="22"/>
              </w:rPr>
              <w:t>1 (9.1%)</w:t>
            </w:r>
          </w:p>
          <w:p w14:paraId="5B64C9C8" w14:textId="77777777" w:rsidR="00EF7F65" w:rsidRPr="007E614B" w:rsidRDefault="00EF7F65" w:rsidP="00841F14">
            <w:pPr>
              <w:spacing w:before="2"/>
              <w:rPr>
                <w:sz w:val="22"/>
              </w:rPr>
            </w:pPr>
            <w:r w:rsidRPr="007E614B">
              <w:rPr>
                <w:sz w:val="22"/>
              </w:rPr>
              <w:t>0 (0%)</w:t>
            </w:r>
          </w:p>
          <w:p w14:paraId="449DD22D" w14:textId="77777777" w:rsidR="00EF7F65" w:rsidRPr="007E614B" w:rsidRDefault="00EF7F65" w:rsidP="00841F14">
            <w:pPr>
              <w:spacing w:before="2"/>
              <w:rPr>
                <w:sz w:val="22"/>
              </w:rPr>
            </w:pPr>
            <w:r w:rsidRPr="007E614B">
              <w:rPr>
                <w:sz w:val="22"/>
              </w:rPr>
              <w:t>1 (100%)</w:t>
            </w:r>
          </w:p>
          <w:p w14:paraId="7594DDFD" w14:textId="77777777" w:rsidR="00EF7F65" w:rsidRPr="007E614B" w:rsidRDefault="00EF7F65" w:rsidP="00841F14">
            <w:pPr>
              <w:spacing w:before="2"/>
              <w:rPr>
                <w:sz w:val="22"/>
              </w:rPr>
            </w:pPr>
          </w:p>
          <w:p w14:paraId="6B152459" w14:textId="77777777" w:rsidR="00EF7F65" w:rsidRPr="007E614B" w:rsidRDefault="00EF7F65" w:rsidP="00841F14">
            <w:pPr>
              <w:spacing w:before="2"/>
              <w:rPr>
                <w:sz w:val="22"/>
              </w:rPr>
            </w:pPr>
            <w:r w:rsidRPr="007E614B">
              <w:rPr>
                <w:sz w:val="22"/>
              </w:rPr>
              <w:t>6 (54.5%)</w:t>
            </w:r>
          </w:p>
          <w:p w14:paraId="25206AD6" w14:textId="77777777" w:rsidR="00EF7F65" w:rsidRPr="007E614B" w:rsidRDefault="00EF7F65" w:rsidP="00841F14">
            <w:pPr>
              <w:spacing w:before="2"/>
              <w:rPr>
                <w:sz w:val="22"/>
              </w:rPr>
            </w:pPr>
          </w:p>
        </w:tc>
      </w:tr>
      <w:tr w:rsidR="00EF7F65" w14:paraId="434CA57E" w14:textId="77777777">
        <w:tc>
          <w:tcPr>
            <w:tcW w:w="8516" w:type="dxa"/>
            <w:gridSpan w:val="2"/>
          </w:tcPr>
          <w:p w14:paraId="4D42DEE0" w14:textId="77777777" w:rsidR="00EF7F65" w:rsidRPr="007E614B" w:rsidRDefault="00EF7F65" w:rsidP="00841F14">
            <w:pPr>
              <w:spacing w:before="2"/>
              <w:rPr>
                <w:sz w:val="22"/>
              </w:rPr>
            </w:pPr>
            <w:r w:rsidRPr="007E614B">
              <w:rPr>
                <w:sz w:val="22"/>
              </w:rPr>
              <w:t>Values are reported as mean and range or frequency (%)</w:t>
            </w:r>
          </w:p>
          <w:p w14:paraId="196D02FB" w14:textId="77777777" w:rsidR="00EF7F65" w:rsidRPr="007E614B" w:rsidRDefault="00EF7F65" w:rsidP="00841F14">
            <w:pPr>
              <w:spacing w:before="2"/>
              <w:rPr>
                <w:sz w:val="22"/>
              </w:rPr>
            </w:pPr>
          </w:p>
          <w:p w14:paraId="0618153A" w14:textId="77777777" w:rsidR="00EF7F65" w:rsidRPr="007E614B" w:rsidRDefault="00EF7F65" w:rsidP="00841F14">
            <w:pPr>
              <w:spacing w:before="2"/>
              <w:rPr>
                <w:sz w:val="22"/>
              </w:rPr>
            </w:pPr>
            <w:r w:rsidRPr="007E614B">
              <w:rPr>
                <w:sz w:val="22"/>
              </w:rPr>
              <w:t>a: One patient received 9mg prednisolone once daily plus 500mg mycophenolate mofetil twice daily for myasthenia gravis A second patient received hydrocortisone 10mg/5mg/5mg for hypopituitarism.</w:t>
            </w:r>
          </w:p>
          <w:p w14:paraId="64F314D4" w14:textId="77777777" w:rsidR="00EF7F65" w:rsidRPr="007E614B" w:rsidRDefault="00EF7F65" w:rsidP="00841F14">
            <w:pPr>
              <w:spacing w:before="2"/>
              <w:rPr>
                <w:sz w:val="22"/>
              </w:rPr>
            </w:pPr>
          </w:p>
          <w:p w14:paraId="5C730326" w14:textId="77777777" w:rsidR="00EF7F65" w:rsidRPr="007E614B" w:rsidRDefault="00EF7F65" w:rsidP="00841F14">
            <w:pPr>
              <w:spacing w:before="2"/>
              <w:rPr>
                <w:sz w:val="22"/>
              </w:rPr>
            </w:pPr>
            <w:r w:rsidRPr="007E614B">
              <w:rPr>
                <w:sz w:val="22"/>
              </w:rPr>
              <w:t xml:space="preserve">b: Positive results included values of 256 </w:t>
            </w:r>
            <w:proofErr w:type="spellStart"/>
            <w:r w:rsidRPr="007E614B">
              <w:rPr>
                <w:sz w:val="22"/>
              </w:rPr>
              <w:t>pg</w:t>
            </w:r>
            <w:proofErr w:type="spellEnd"/>
            <w:r w:rsidRPr="007E614B">
              <w:rPr>
                <w:sz w:val="22"/>
              </w:rPr>
              <w:t xml:space="preserve">/ml, 154 </w:t>
            </w:r>
            <w:proofErr w:type="spellStart"/>
            <w:r w:rsidRPr="007E614B">
              <w:rPr>
                <w:sz w:val="22"/>
              </w:rPr>
              <w:t>pg</w:t>
            </w:r>
            <w:proofErr w:type="spellEnd"/>
            <w:r w:rsidRPr="007E614B">
              <w:rPr>
                <w:sz w:val="22"/>
              </w:rPr>
              <w:t>/</w:t>
            </w:r>
            <w:proofErr w:type="gramStart"/>
            <w:r w:rsidRPr="007E614B">
              <w:rPr>
                <w:sz w:val="22"/>
              </w:rPr>
              <w:t>ml</w:t>
            </w:r>
            <w:proofErr w:type="gramEnd"/>
            <w:r w:rsidRPr="007E614B">
              <w:rPr>
                <w:sz w:val="22"/>
              </w:rPr>
              <w:t xml:space="preserve"> and 110 </w:t>
            </w:r>
            <w:proofErr w:type="spellStart"/>
            <w:r w:rsidRPr="007E614B">
              <w:rPr>
                <w:sz w:val="22"/>
              </w:rPr>
              <w:t>pg</w:t>
            </w:r>
            <w:proofErr w:type="spellEnd"/>
            <w:r w:rsidRPr="007E614B">
              <w:rPr>
                <w:sz w:val="22"/>
              </w:rPr>
              <w:t>/ml</w:t>
            </w:r>
          </w:p>
        </w:tc>
      </w:tr>
    </w:tbl>
    <w:p w14:paraId="6E75A0B2" w14:textId="77777777" w:rsidR="00EF7F65" w:rsidRPr="00EF7F65" w:rsidRDefault="00EF7F65" w:rsidP="00A16C74">
      <w:pPr>
        <w:spacing w:line="480" w:lineRule="auto"/>
        <w:ind w:left="360"/>
        <w:contextualSpacing/>
        <w:rPr>
          <w:szCs w:val="22"/>
          <w:u w:val="single"/>
        </w:rPr>
      </w:pPr>
    </w:p>
    <w:p w14:paraId="31A2C945" w14:textId="77777777" w:rsidR="0049188F" w:rsidRPr="00EF7F65" w:rsidRDefault="00EF7F65" w:rsidP="00A16C74">
      <w:pPr>
        <w:spacing w:line="480" w:lineRule="auto"/>
      </w:pPr>
      <w:r w:rsidRPr="007B663A">
        <w:rPr>
          <w:b/>
        </w:rPr>
        <w:t>Table 1</w:t>
      </w:r>
      <w:r w:rsidRPr="00EF7F65">
        <w:t xml:space="preserve">: Characteristics of patients with concurrent COVID-19 and </w:t>
      </w:r>
      <w:proofErr w:type="spellStart"/>
      <w:r w:rsidRPr="00EF7F65">
        <w:t>candidaemia</w:t>
      </w:r>
      <w:proofErr w:type="spellEnd"/>
      <w:r w:rsidRPr="00EF7F65">
        <w:t>.</w:t>
      </w:r>
    </w:p>
    <w:sectPr w:rsidR="0049188F" w:rsidRPr="00EF7F65" w:rsidSect="00A16C74">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1C43" w14:textId="77777777" w:rsidR="005A7998" w:rsidRDefault="005A7998" w:rsidP="00A16C74">
      <w:r>
        <w:separator/>
      </w:r>
    </w:p>
  </w:endnote>
  <w:endnote w:type="continuationSeparator" w:id="0">
    <w:p w14:paraId="109441FD" w14:textId="77777777" w:rsidR="005A7998" w:rsidRDefault="005A7998" w:rsidP="00A1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eworthy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180937"/>
      <w:docPartObj>
        <w:docPartGallery w:val="Page Numbers (Bottom of Page)"/>
        <w:docPartUnique/>
      </w:docPartObj>
    </w:sdtPr>
    <w:sdtEndPr>
      <w:rPr>
        <w:noProof/>
      </w:rPr>
    </w:sdtEndPr>
    <w:sdtContent>
      <w:p w14:paraId="36996C3A" w14:textId="77777777" w:rsidR="006441A6" w:rsidRDefault="00206A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9B48E" w14:textId="77777777" w:rsidR="006441A6" w:rsidRDefault="0064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FD3CB" w14:textId="77777777" w:rsidR="005A7998" w:rsidRDefault="005A7998" w:rsidP="00A16C74">
      <w:r>
        <w:separator/>
      </w:r>
    </w:p>
  </w:footnote>
  <w:footnote w:type="continuationSeparator" w:id="0">
    <w:p w14:paraId="2A477A16" w14:textId="77777777" w:rsidR="005A7998" w:rsidRDefault="005A7998" w:rsidP="00A1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7C6"/>
    <w:multiLevelType w:val="multilevel"/>
    <w:tmpl w:val="0BDC51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67855"/>
    <w:multiLevelType w:val="multilevel"/>
    <w:tmpl w:val="6CE4F2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E285D"/>
    <w:multiLevelType w:val="hybridMultilevel"/>
    <w:tmpl w:val="34E25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A20DC"/>
    <w:multiLevelType w:val="hybridMultilevel"/>
    <w:tmpl w:val="CBAACC26"/>
    <w:lvl w:ilvl="0" w:tplc="21DC5E0E">
      <w:numFmt w:val="bullet"/>
      <w:lvlText w:val="-"/>
      <w:lvlJc w:val="left"/>
      <w:pPr>
        <w:ind w:left="720" w:hanging="360"/>
      </w:pPr>
      <w:rPr>
        <w:rFonts w:ascii="Calibri" w:eastAsiaTheme="minorHAnsi" w:hAnsi="Calibri" w:cs="Wingdings" w:hint="default"/>
        <w:color w:val="000000"/>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16730"/>
    <w:multiLevelType w:val="hybridMultilevel"/>
    <w:tmpl w:val="C430E616"/>
    <w:lvl w:ilvl="0" w:tplc="4900D7E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3C"/>
    <w:rsid w:val="00006CB7"/>
    <w:rsid w:val="0002009F"/>
    <w:rsid w:val="00023EEB"/>
    <w:rsid w:val="00044237"/>
    <w:rsid w:val="00045FC5"/>
    <w:rsid w:val="00047E3C"/>
    <w:rsid w:val="0005695D"/>
    <w:rsid w:val="00063EA8"/>
    <w:rsid w:val="0007781D"/>
    <w:rsid w:val="000A141E"/>
    <w:rsid w:val="000A286C"/>
    <w:rsid w:val="000A3C60"/>
    <w:rsid w:val="000A66B5"/>
    <w:rsid w:val="000B7411"/>
    <w:rsid w:val="000E207C"/>
    <w:rsid w:val="00124CCC"/>
    <w:rsid w:val="00130AFD"/>
    <w:rsid w:val="001327FD"/>
    <w:rsid w:val="001352FC"/>
    <w:rsid w:val="0013686F"/>
    <w:rsid w:val="001409CB"/>
    <w:rsid w:val="0014457C"/>
    <w:rsid w:val="00150FA9"/>
    <w:rsid w:val="00152D22"/>
    <w:rsid w:val="00156356"/>
    <w:rsid w:val="00156A62"/>
    <w:rsid w:val="001667C4"/>
    <w:rsid w:val="00183AB5"/>
    <w:rsid w:val="0019569B"/>
    <w:rsid w:val="001A2E72"/>
    <w:rsid w:val="001A314B"/>
    <w:rsid w:val="001D01EE"/>
    <w:rsid w:val="001F543A"/>
    <w:rsid w:val="001F55C0"/>
    <w:rsid w:val="00206A19"/>
    <w:rsid w:val="00206A1C"/>
    <w:rsid w:val="002112C0"/>
    <w:rsid w:val="00212554"/>
    <w:rsid w:val="00213120"/>
    <w:rsid w:val="002149D0"/>
    <w:rsid w:val="00225527"/>
    <w:rsid w:val="00227035"/>
    <w:rsid w:val="00227308"/>
    <w:rsid w:val="0023191E"/>
    <w:rsid w:val="002526B7"/>
    <w:rsid w:val="00255DD8"/>
    <w:rsid w:val="002567C4"/>
    <w:rsid w:val="002602ED"/>
    <w:rsid w:val="00270193"/>
    <w:rsid w:val="00271DC2"/>
    <w:rsid w:val="00280F66"/>
    <w:rsid w:val="002844FC"/>
    <w:rsid w:val="00286C90"/>
    <w:rsid w:val="002A0AD5"/>
    <w:rsid w:val="002A3D94"/>
    <w:rsid w:val="002C18B7"/>
    <w:rsid w:val="002C26CE"/>
    <w:rsid w:val="002D4655"/>
    <w:rsid w:val="002F3B47"/>
    <w:rsid w:val="00301A3A"/>
    <w:rsid w:val="0031295B"/>
    <w:rsid w:val="00314E21"/>
    <w:rsid w:val="003160F0"/>
    <w:rsid w:val="003361F0"/>
    <w:rsid w:val="003410E5"/>
    <w:rsid w:val="00345659"/>
    <w:rsid w:val="003563D7"/>
    <w:rsid w:val="003644A6"/>
    <w:rsid w:val="003915D2"/>
    <w:rsid w:val="003A2FB2"/>
    <w:rsid w:val="003C6715"/>
    <w:rsid w:val="003C713B"/>
    <w:rsid w:val="003D06E4"/>
    <w:rsid w:val="003E2C19"/>
    <w:rsid w:val="003F4BE9"/>
    <w:rsid w:val="003F7463"/>
    <w:rsid w:val="00401EFD"/>
    <w:rsid w:val="004158D2"/>
    <w:rsid w:val="00416FCA"/>
    <w:rsid w:val="00432647"/>
    <w:rsid w:val="00447450"/>
    <w:rsid w:val="00467A5E"/>
    <w:rsid w:val="0049188F"/>
    <w:rsid w:val="00495226"/>
    <w:rsid w:val="004A3650"/>
    <w:rsid w:val="004B08AD"/>
    <w:rsid w:val="004B697E"/>
    <w:rsid w:val="004C2973"/>
    <w:rsid w:val="004D3B52"/>
    <w:rsid w:val="004D5577"/>
    <w:rsid w:val="004F28C4"/>
    <w:rsid w:val="004F316E"/>
    <w:rsid w:val="00501D20"/>
    <w:rsid w:val="00501E9C"/>
    <w:rsid w:val="005151F8"/>
    <w:rsid w:val="0051697A"/>
    <w:rsid w:val="00522243"/>
    <w:rsid w:val="00522F86"/>
    <w:rsid w:val="005270FB"/>
    <w:rsid w:val="00546DA5"/>
    <w:rsid w:val="00564296"/>
    <w:rsid w:val="005706B5"/>
    <w:rsid w:val="00571CD4"/>
    <w:rsid w:val="00574B2D"/>
    <w:rsid w:val="00582DD2"/>
    <w:rsid w:val="005900D2"/>
    <w:rsid w:val="0059799D"/>
    <w:rsid w:val="005A7998"/>
    <w:rsid w:val="005B3122"/>
    <w:rsid w:val="005B3B8B"/>
    <w:rsid w:val="005C7C1C"/>
    <w:rsid w:val="005D04C8"/>
    <w:rsid w:val="005D4753"/>
    <w:rsid w:val="005E3FC3"/>
    <w:rsid w:val="005E6199"/>
    <w:rsid w:val="00600BC7"/>
    <w:rsid w:val="00611C7E"/>
    <w:rsid w:val="00623AAC"/>
    <w:rsid w:val="00630E62"/>
    <w:rsid w:val="006415BB"/>
    <w:rsid w:val="00643903"/>
    <w:rsid w:val="006441A6"/>
    <w:rsid w:val="006729AF"/>
    <w:rsid w:val="006800C9"/>
    <w:rsid w:val="00685D1D"/>
    <w:rsid w:val="00691D7F"/>
    <w:rsid w:val="006A5334"/>
    <w:rsid w:val="006C01B7"/>
    <w:rsid w:val="006C084B"/>
    <w:rsid w:val="006C56D4"/>
    <w:rsid w:val="006D51C0"/>
    <w:rsid w:val="006F1A4D"/>
    <w:rsid w:val="006F27CD"/>
    <w:rsid w:val="006F5B1C"/>
    <w:rsid w:val="00700970"/>
    <w:rsid w:val="007017A4"/>
    <w:rsid w:val="00703A91"/>
    <w:rsid w:val="0072170C"/>
    <w:rsid w:val="007337B5"/>
    <w:rsid w:val="00734DAD"/>
    <w:rsid w:val="00735F5D"/>
    <w:rsid w:val="007413C9"/>
    <w:rsid w:val="00741AB2"/>
    <w:rsid w:val="007450DB"/>
    <w:rsid w:val="00745650"/>
    <w:rsid w:val="00750805"/>
    <w:rsid w:val="007553C8"/>
    <w:rsid w:val="00792795"/>
    <w:rsid w:val="007B3B68"/>
    <w:rsid w:val="007B663A"/>
    <w:rsid w:val="007D6727"/>
    <w:rsid w:val="007E614B"/>
    <w:rsid w:val="007F30F4"/>
    <w:rsid w:val="00800B55"/>
    <w:rsid w:val="00806876"/>
    <w:rsid w:val="00822DE7"/>
    <w:rsid w:val="00835AD7"/>
    <w:rsid w:val="00841F14"/>
    <w:rsid w:val="00854690"/>
    <w:rsid w:val="008561EE"/>
    <w:rsid w:val="0085744D"/>
    <w:rsid w:val="008575E6"/>
    <w:rsid w:val="008671B9"/>
    <w:rsid w:val="00880846"/>
    <w:rsid w:val="008973F0"/>
    <w:rsid w:val="008B194D"/>
    <w:rsid w:val="008C2A03"/>
    <w:rsid w:val="008D2AB0"/>
    <w:rsid w:val="009074DE"/>
    <w:rsid w:val="009159E6"/>
    <w:rsid w:val="0092761D"/>
    <w:rsid w:val="00950FFE"/>
    <w:rsid w:val="0095170A"/>
    <w:rsid w:val="009521AF"/>
    <w:rsid w:val="0095788C"/>
    <w:rsid w:val="00963A11"/>
    <w:rsid w:val="009717BA"/>
    <w:rsid w:val="009742E8"/>
    <w:rsid w:val="00990659"/>
    <w:rsid w:val="0099395D"/>
    <w:rsid w:val="009B06AF"/>
    <w:rsid w:val="009B0831"/>
    <w:rsid w:val="009B4E78"/>
    <w:rsid w:val="009C7AAF"/>
    <w:rsid w:val="009D76C9"/>
    <w:rsid w:val="009D7C52"/>
    <w:rsid w:val="009E0465"/>
    <w:rsid w:val="009E1177"/>
    <w:rsid w:val="009F0148"/>
    <w:rsid w:val="009F1DD9"/>
    <w:rsid w:val="00A02950"/>
    <w:rsid w:val="00A16C74"/>
    <w:rsid w:val="00A24B3A"/>
    <w:rsid w:val="00A3513E"/>
    <w:rsid w:val="00A42764"/>
    <w:rsid w:val="00A42A0D"/>
    <w:rsid w:val="00A55B0A"/>
    <w:rsid w:val="00A71CDE"/>
    <w:rsid w:val="00A8120D"/>
    <w:rsid w:val="00A90945"/>
    <w:rsid w:val="00A96855"/>
    <w:rsid w:val="00AA5B26"/>
    <w:rsid w:val="00AB330B"/>
    <w:rsid w:val="00AB53F8"/>
    <w:rsid w:val="00AD438D"/>
    <w:rsid w:val="00AD7D76"/>
    <w:rsid w:val="00B028A2"/>
    <w:rsid w:val="00B2078B"/>
    <w:rsid w:val="00B24BD6"/>
    <w:rsid w:val="00B3384A"/>
    <w:rsid w:val="00B40F47"/>
    <w:rsid w:val="00B47B68"/>
    <w:rsid w:val="00B62966"/>
    <w:rsid w:val="00B76AA9"/>
    <w:rsid w:val="00B803B4"/>
    <w:rsid w:val="00B83CF0"/>
    <w:rsid w:val="00B85DDB"/>
    <w:rsid w:val="00B91F8B"/>
    <w:rsid w:val="00B92F6E"/>
    <w:rsid w:val="00BA14F0"/>
    <w:rsid w:val="00BA2B2E"/>
    <w:rsid w:val="00BA33D4"/>
    <w:rsid w:val="00BA43AC"/>
    <w:rsid w:val="00BB4FA7"/>
    <w:rsid w:val="00BC2E30"/>
    <w:rsid w:val="00BC2F6A"/>
    <w:rsid w:val="00BD258D"/>
    <w:rsid w:val="00BD79FB"/>
    <w:rsid w:val="00BE2B05"/>
    <w:rsid w:val="00BE7F17"/>
    <w:rsid w:val="00BF5867"/>
    <w:rsid w:val="00C02664"/>
    <w:rsid w:val="00C10427"/>
    <w:rsid w:val="00C134CA"/>
    <w:rsid w:val="00C1520F"/>
    <w:rsid w:val="00C24F91"/>
    <w:rsid w:val="00C25016"/>
    <w:rsid w:val="00C2501C"/>
    <w:rsid w:val="00C35880"/>
    <w:rsid w:val="00C370CB"/>
    <w:rsid w:val="00C370F7"/>
    <w:rsid w:val="00C6400D"/>
    <w:rsid w:val="00C74E24"/>
    <w:rsid w:val="00C755DD"/>
    <w:rsid w:val="00C76450"/>
    <w:rsid w:val="00C848AC"/>
    <w:rsid w:val="00C86A40"/>
    <w:rsid w:val="00C91EBD"/>
    <w:rsid w:val="00CA0AFA"/>
    <w:rsid w:val="00CB1A6A"/>
    <w:rsid w:val="00CB5C42"/>
    <w:rsid w:val="00CC1CD3"/>
    <w:rsid w:val="00CD4BB3"/>
    <w:rsid w:val="00D07CBC"/>
    <w:rsid w:val="00D2604C"/>
    <w:rsid w:val="00D33B4B"/>
    <w:rsid w:val="00D71A37"/>
    <w:rsid w:val="00D74F6D"/>
    <w:rsid w:val="00D806F2"/>
    <w:rsid w:val="00D82CF8"/>
    <w:rsid w:val="00DF72A8"/>
    <w:rsid w:val="00E070F5"/>
    <w:rsid w:val="00E13F1F"/>
    <w:rsid w:val="00E302B3"/>
    <w:rsid w:val="00E3107E"/>
    <w:rsid w:val="00E40887"/>
    <w:rsid w:val="00E57354"/>
    <w:rsid w:val="00E60CC4"/>
    <w:rsid w:val="00E6632D"/>
    <w:rsid w:val="00E72EBC"/>
    <w:rsid w:val="00E86DC3"/>
    <w:rsid w:val="00E97B15"/>
    <w:rsid w:val="00EA476F"/>
    <w:rsid w:val="00EA7270"/>
    <w:rsid w:val="00EB70CF"/>
    <w:rsid w:val="00EC5F60"/>
    <w:rsid w:val="00EC7C30"/>
    <w:rsid w:val="00ED0397"/>
    <w:rsid w:val="00ED4D4F"/>
    <w:rsid w:val="00EE701C"/>
    <w:rsid w:val="00EF1755"/>
    <w:rsid w:val="00EF7F65"/>
    <w:rsid w:val="00F037C5"/>
    <w:rsid w:val="00F129CB"/>
    <w:rsid w:val="00F15A0F"/>
    <w:rsid w:val="00F20F2A"/>
    <w:rsid w:val="00F21E7F"/>
    <w:rsid w:val="00F23CF8"/>
    <w:rsid w:val="00F241F7"/>
    <w:rsid w:val="00F25A53"/>
    <w:rsid w:val="00F34F7A"/>
    <w:rsid w:val="00F373CA"/>
    <w:rsid w:val="00F409B4"/>
    <w:rsid w:val="00F42DCC"/>
    <w:rsid w:val="00F4646D"/>
    <w:rsid w:val="00F57B35"/>
    <w:rsid w:val="00FA07BA"/>
    <w:rsid w:val="00FB5CAB"/>
    <w:rsid w:val="00FC16E5"/>
    <w:rsid w:val="00FC512F"/>
    <w:rsid w:val="00FD1ADD"/>
    <w:rsid w:val="00FD27B5"/>
    <w:rsid w:val="00FD394B"/>
    <w:rsid w:val="00FD6CE8"/>
    <w:rsid w:val="00FE7A48"/>
    <w:rsid w:val="00FF0C1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5484"/>
  <w15:docId w15:val="{E83E5D32-EC87-4A06-A995-75AFCC13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E3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E3C"/>
    <w:rPr>
      <w:sz w:val="16"/>
      <w:szCs w:val="16"/>
    </w:rPr>
  </w:style>
  <w:style w:type="paragraph" w:styleId="CommentText">
    <w:name w:val="annotation text"/>
    <w:basedOn w:val="Normal"/>
    <w:link w:val="CommentTextChar"/>
    <w:uiPriority w:val="99"/>
    <w:semiHidden/>
    <w:unhideWhenUsed/>
    <w:rsid w:val="00047E3C"/>
    <w:rPr>
      <w:sz w:val="20"/>
      <w:szCs w:val="20"/>
    </w:rPr>
  </w:style>
  <w:style w:type="character" w:customStyle="1" w:styleId="CommentTextChar">
    <w:name w:val="Comment Text Char"/>
    <w:basedOn w:val="DefaultParagraphFont"/>
    <w:link w:val="CommentText"/>
    <w:uiPriority w:val="99"/>
    <w:semiHidden/>
    <w:rsid w:val="00047E3C"/>
    <w:rPr>
      <w:sz w:val="20"/>
      <w:szCs w:val="20"/>
      <w:lang w:val="en-US"/>
    </w:rPr>
  </w:style>
  <w:style w:type="paragraph" w:styleId="BalloonText">
    <w:name w:val="Balloon Text"/>
    <w:basedOn w:val="Normal"/>
    <w:link w:val="BalloonTextChar"/>
    <w:uiPriority w:val="99"/>
    <w:semiHidden/>
    <w:unhideWhenUsed/>
    <w:rsid w:val="00047E3C"/>
    <w:rPr>
      <w:rFonts w:ascii="Tahoma" w:hAnsi="Tahoma" w:cs="Tahoma"/>
      <w:sz w:val="16"/>
      <w:szCs w:val="16"/>
    </w:rPr>
  </w:style>
  <w:style w:type="character" w:customStyle="1" w:styleId="BalloonTextChar">
    <w:name w:val="Balloon Text Char"/>
    <w:basedOn w:val="DefaultParagraphFont"/>
    <w:link w:val="BalloonText"/>
    <w:uiPriority w:val="99"/>
    <w:semiHidden/>
    <w:rsid w:val="00047E3C"/>
    <w:rPr>
      <w:rFonts w:ascii="Tahoma" w:hAnsi="Tahoma" w:cs="Tahoma"/>
      <w:sz w:val="16"/>
      <w:szCs w:val="16"/>
      <w:lang w:val="en-US"/>
    </w:rPr>
  </w:style>
  <w:style w:type="paragraph" w:styleId="ListParagraph">
    <w:name w:val="List Paragraph"/>
    <w:basedOn w:val="Normal"/>
    <w:uiPriority w:val="34"/>
    <w:qFormat/>
    <w:rsid w:val="00745650"/>
    <w:pPr>
      <w:ind w:left="720"/>
      <w:contextualSpacing/>
    </w:pPr>
  </w:style>
  <w:style w:type="character" w:styleId="Hyperlink">
    <w:name w:val="Hyperlink"/>
    <w:basedOn w:val="DefaultParagraphFont"/>
    <w:uiPriority w:val="99"/>
    <w:unhideWhenUsed/>
    <w:rsid w:val="00225527"/>
    <w:rPr>
      <w:color w:val="0000FF" w:themeColor="hyperlink"/>
      <w:u w:val="single"/>
    </w:rPr>
  </w:style>
  <w:style w:type="character" w:styleId="FollowedHyperlink">
    <w:name w:val="FollowedHyperlink"/>
    <w:basedOn w:val="DefaultParagraphFont"/>
    <w:rsid w:val="00741AB2"/>
    <w:rPr>
      <w:color w:val="800080" w:themeColor="followedHyperlink"/>
      <w:u w:val="single"/>
    </w:rPr>
  </w:style>
  <w:style w:type="paragraph" w:styleId="CommentSubject">
    <w:name w:val="annotation subject"/>
    <w:basedOn w:val="CommentText"/>
    <w:next w:val="CommentText"/>
    <w:link w:val="CommentSubjectChar"/>
    <w:rsid w:val="00691D7F"/>
    <w:rPr>
      <w:b/>
      <w:bCs/>
    </w:rPr>
  </w:style>
  <w:style w:type="character" w:customStyle="1" w:styleId="CommentSubjectChar">
    <w:name w:val="Comment Subject Char"/>
    <w:basedOn w:val="CommentTextChar"/>
    <w:link w:val="CommentSubject"/>
    <w:rsid w:val="00691D7F"/>
    <w:rPr>
      <w:b/>
      <w:bCs/>
      <w:sz w:val="20"/>
      <w:szCs w:val="20"/>
      <w:lang w:val="en-US"/>
    </w:rPr>
  </w:style>
  <w:style w:type="paragraph" w:styleId="Revision">
    <w:name w:val="Revision"/>
    <w:hidden/>
    <w:rsid w:val="002A3D94"/>
    <w:pPr>
      <w:spacing w:after="0" w:line="240" w:lineRule="auto"/>
    </w:pPr>
    <w:rPr>
      <w:sz w:val="24"/>
      <w:szCs w:val="24"/>
      <w:lang w:val="en-US"/>
    </w:rPr>
  </w:style>
  <w:style w:type="paragraph" w:styleId="NormalWeb">
    <w:name w:val="Normal (Web)"/>
    <w:basedOn w:val="Normal"/>
    <w:uiPriority w:val="99"/>
    <w:rsid w:val="006F1A4D"/>
    <w:pPr>
      <w:spacing w:beforeLines="1" w:afterLines="1"/>
    </w:pPr>
    <w:rPr>
      <w:rFonts w:ascii="Times" w:hAnsi="Times" w:cs="Times New Roman"/>
      <w:sz w:val="20"/>
      <w:szCs w:val="20"/>
      <w:lang w:val="en-GB"/>
    </w:rPr>
  </w:style>
  <w:style w:type="table" w:styleId="TableGrid">
    <w:name w:val="Table Grid"/>
    <w:basedOn w:val="TableNormal"/>
    <w:uiPriority w:val="59"/>
    <w:rsid w:val="00EF7F65"/>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diumGrid1-Accent21">
    <w:name w:val="Medium Grid 1 - Accent 21"/>
    <w:basedOn w:val="Normal"/>
    <w:qFormat/>
    <w:rsid w:val="009D7C52"/>
    <w:pPr>
      <w:ind w:left="720"/>
      <w:contextualSpacing/>
    </w:pPr>
    <w:rPr>
      <w:rFonts w:ascii="Cambria" w:eastAsia="Cambria" w:hAnsi="Cambria" w:cs="Times New Roman"/>
    </w:rPr>
  </w:style>
  <w:style w:type="character" w:styleId="LineNumber">
    <w:name w:val="line number"/>
    <w:basedOn w:val="DefaultParagraphFont"/>
    <w:semiHidden/>
    <w:unhideWhenUsed/>
    <w:rsid w:val="00C86A40"/>
  </w:style>
  <w:style w:type="paragraph" w:styleId="Header">
    <w:name w:val="header"/>
    <w:basedOn w:val="Normal"/>
    <w:link w:val="HeaderChar"/>
    <w:unhideWhenUsed/>
    <w:rsid w:val="00A16C74"/>
    <w:pPr>
      <w:tabs>
        <w:tab w:val="center" w:pos="4513"/>
        <w:tab w:val="right" w:pos="9026"/>
      </w:tabs>
    </w:pPr>
  </w:style>
  <w:style w:type="character" w:customStyle="1" w:styleId="HeaderChar">
    <w:name w:val="Header Char"/>
    <w:basedOn w:val="DefaultParagraphFont"/>
    <w:link w:val="Header"/>
    <w:rsid w:val="00A16C74"/>
    <w:rPr>
      <w:sz w:val="24"/>
      <w:szCs w:val="24"/>
      <w:lang w:val="en-US"/>
    </w:rPr>
  </w:style>
  <w:style w:type="paragraph" w:styleId="Footer">
    <w:name w:val="footer"/>
    <w:basedOn w:val="Normal"/>
    <w:link w:val="FooterChar"/>
    <w:uiPriority w:val="99"/>
    <w:unhideWhenUsed/>
    <w:rsid w:val="00A16C74"/>
    <w:pPr>
      <w:tabs>
        <w:tab w:val="center" w:pos="4513"/>
        <w:tab w:val="right" w:pos="9026"/>
      </w:tabs>
    </w:pPr>
  </w:style>
  <w:style w:type="character" w:customStyle="1" w:styleId="FooterChar">
    <w:name w:val="Footer Char"/>
    <w:basedOn w:val="DefaultParagraphFont"/>
    <w:link w:val="Footer"/>
    <w:uiPriority w:val="99"/>
    <w:rsid w:val="00A16C7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1203">
      <w:bodyDiv w:val="1"/>
      <w:marLeft w:val="0"/>
      <w:marRight w:val="0"/>
      <w:marTop w:val="0"/>
      <w:marBottom w:val="0"/>
      <w:divBdr>
        <w:top w:val="none" w:sz="0" w:space="0" w:color="auto"/>
        <w:left w:val="none" w:sz="0" w:space="0" w:color="auto"/>
        <w:bottom w:val="none" w:sz="0" w:space="0" w:color="auto"/>
        <w:right w:val="none" w:sz="0" w:space="0" w:color="auto"/>
      </w:divBdr>
      <w:divsChild>
        <w:div w:id="2086757653">
          <w:marLeft w:val="0"/>
          <w:marRight w:val="0"/>
          <w:marTop w:val="0"/>
          <w:marBottom w:val="0"/>
          <w:divBdr>
            <w:top w:val="none" w:sz="0" w:space="0" w:color="auto"/>
            <w:left w:val="none" w:sz="0" w:space="0" w:color="auto"/>
            <w:bottom w:val="none" w:sz="0" w:space="0" w:color="auto"/>
            <w:right w:val="none" w:sz="0" w:space="0" w:color="auto"/>
          </w:divBdr>
          <w:divsChild>
            <w:div w:id="1857693238">
              <w:marLeft w:val="0"/>
              <w:marRight w:val="0"/>
              <w:marTop w:val="0"/>
              <w:marBottom w:val="0"/>
              <w:divBdr>
                <w:top w:val="none" w:sz="0" w:space="0" w:color="auto"/>
                <w:left w:val="none" w:sz="0" w:space="0" w:color="auto"/>
                <w:bottom w:val="none" w:sz="0" w:space="0" w:color="auto"/>
                <w:right w:val="none" w:sz="0" w:space="0" w:color="auto"/>
              </w:divBdr>
              <w:divsChild>
                <w:div w:id="20590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7418">
      <w:bodyDiv w:val="1"/>
      <w:marLeft w:val="0"/>
      <w:marRight w:val="0"/>
      <w:marTop w:val="0"/>
      <w:marBottom w:val="0"/>
      <w:divBdr>
        <w:top w:val="none" w:sz="0" w:space="0" w:color="auto"/>
        <w:left w:val="none" w:sz="0" w:space="0" w:color="auto"/>
        <w:bottom w:val="none" w:sz="0" w:space="0" w:color="auto"/>
        <w:right w:val="none" w:sz="0" w:space="0" w:color="auto"/>
      </w:divBdr>
    </w:div>
    <w:div w:id="162354856">
      <w:bodyDiv w:val="1"/>
      <w:marLeft w:val="0"/>
      <w:marRight w:val="0"/>
      <w:marTop w:val="0"/>
      <w:marBottom w:val="0"/>
      <w:divBdr>
        <w:top w:val="none" w:sz="0" w:space="0" w:color="auto"/>
        <w:left w:val="none" w:sz="0" w:space="0" w:color="auto"/>
        <w:bottom w:val="none" w:sz="0" w:space="0" w:color="auto"/>
        <w:right w:val="none" w:sz="0" w:space="0" w:color="auto"/>
      </w:divBdr>
    </w:div>
    <w:div w:id="326595687">
      <w:bodyDiv w:val="1"/>
      <w:marLeft w:val="0"/>
      <w:marRight w:val="0"/>
      <w:marTop w:val="0"/>
      <w:marBottom w:val="0"/>
      <w:divBdr>
        <w:top w:val="none" w:sz="0" w:space="0" w:color="auto"/>
        <w:left w:val="none" w:sz="0" w:space="0" w:color="auto"/>
        <w:bottom w:val="none" w:sz="0" w:space="0" w:color="auto"/>
        <w:right w:val="none" w:sz="0" w:space="0" w:color="auto"/>
      </w:divBdr>
      <w:divsChild>
        <w:div w:id="1397587297">
          <w:marLeft w:val="0"/>
          <w:marRight w:val="0"/>
          <w:marTop w:val="0"/>
          <w:marBottom w:val="0"/>
          <w:divBdr>
            <w:top w:val="none" w:sz="0" w:space="0" w:color="auto"/>
            <w:left w:val="none" w:sz="0" w:space="0" w:color="auto"/>
            <w:bottom w:val="none" w:sz="0" w:space="0" w:color="auto"/>
            <w:right w:val="none" w:sz="0" w:space="0" w:color="auto"/>
          </w:divBdr>
          <w:divsChild>
            <w:div w:id="305739975">
              <w:marLeft w:val="0"/>
              <w:marRight w:val="0"/>
              <w:marTop w:val="0"/>
              <w:marBottom w:val="0"/>
              <w:divBdr>
                <w:top w:val="none" w:sz="0" w:space="0" w:color="auto"/>
                <w:left w:val="none" w:sz="0" w:space="0" w:color="auto"/>
                <w:bottom w:val="none" w:sz="0" w:space="0" w:color="auto"/>
                <w:right w:val="none" w:sz="0" w:space="0" w:color="auto"/>
              </w:divBdr>
              <w:divsChild>
                <w:div w:id="1585846331">
                  <w:marLeft w:val="0"/>
                  <w:marRight w:val="0"/>
                  <w:marTop w:val="0"/>
                  <w:marBottom w:val="0"/>
                  <w:divBdr>
                    <w:top w:val="none" w:sz="0" w:space="0" w:color="auto"/>
                    <w:left w:val="none" w:sz="0" w:space="0" w:color="auto"/>
                    <w:bottom w:val="none" w:sz="0" w:space="0" w:color="auto"/>
                    <w:right w:val="none" w:sz="0" w:space="0" w:color="auto"/>
                  </w:divBdr>
                  <w:divsChild>
                    <w:div w:id="133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2854">
      <w:bodyDiv w:val="1"/>
      <w:marLeft w:val="0"/>
      <w:marRight w:val="0"/>
      <w:marTop w:val="0"/>
      <w:marBottom w:val="0"/>
      <w:divBdr>
        <w:top w:val="none" w:sz="0" w:space="0" w:color="auto"/>
        <w:left w:val="none" w:sz="0" w:space="0" w:color="auto"/>
        <w:bottom w:val="none" w:sz="0" w:space="0" w:color="auto"/>
        <w:right w:val="none" w:sz="0" w:space="0" w:color="auto"/>
      </w:divBdr>
    </w:div>
    <w:div w:id="466779004">
      <w:bodyDiv w:val="1"/>
      <w:marLeft w:val="0"/>
      <w:marRight w:val="0"/>
      <w:marTop w:val="0"/>
      <w:marBottom w:val="0"/>
      <w:divBdr>
        <w:top w:val="none" w:sz="0" w:space="0" w:color="auto"/>
        <w:left w:val="none" w:sz="0" w:space="0" w:color="auto"/>
        <w:bottom w:val="none" w:sz="0" w:space="0" w:color="auto"/>
        <w:right w:val="none" w:sz="0" w:space="0" w:color="auto"/>
      </w:divBdr>
      <w:divsChild>
        <w:div w:id="1282299427">
          <w:marLeft w:val="0"/>
          <w:marRight w:val="0"/>
          <w:marTop w:val="0"/>
          <w:marBottom w:val="0"/>
          <w:divBdr>
            <w:top w:val="none" w:sz="0" w:space="0" w:color="auto"/>
            <w:left w:val="none" w:sz="0" w:space="0" w:color="auto"/>
            <w:bottom w:val="none" w:sz="0" w:space="0" w:color="auto"/>
            <w:right w:val="none" w:sz="0" w:space="0" w:color="auto"/>
          </w:divBdr>
          <w:divsChild>
            <w:div w:id="1344163897">
              <w:marLeft w:val="0"/>
              <w:marRight w:val="0"/>
              <w:marTop w:val="0"/>
              <w:marBottom w:val="0"/>
              <w:divBdr>
                <w:top w:val="none" w:sz="0" w:space="0" w:color="auto"/>
                <w:left w:val="none" w:sz="0" w:space="0" w:color="auto"/>
                <w:bottom w:val="none" w:sz="0" w:space="0" w:color="auto"/>
                <w:right w:val="none" w:sz="0" w:space="0" w:color="auto"/>
              </w:divBdr>
              <w:divsChild>
                <w:div w:id="1167013951">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7483">
      <w:bodyDiv w:val="1"/>
      <w:marLeft w:val="0"/>
      <w:marRight w:val="0"/>
      <w:marTop w:val="0"/>
      <w:marBottom w:val="0"/>
      <w:divBdr>
        <w:top w:val="none" w:sz="0" w:space="0" w:color="auto"/>
        <w:left w:val="none" w:sz="0" w:space="0" w:color="auto"/>
        <w:bottom w:val="none" w:sz="0" w:space="0" w:color="auto"/>
        <w:right w:val="none" w:sz="0" w:space="0" w:color="auto"/>
      </w:divBdr>
      <w:divsChild>
        <w:div w:id="1119299501">
          <w:marLeft w:val="0"/>
          <w:marRight w:val="0"/>
          <w:marTop w:val="0"/>
          <w:marBottom w:val="0"/>
          <w:divBdr>
            <w:top w:val="none" w:sz="0" w:space="0" w:color="auto"/>
            <w:left w:val="none" w:sz="0" w:space="0" w:color="auto"/>
            <w:bottom w:val="none" w:sz="0" w:space="0" w:color="auto"/>
            <w:right w:val="none" w:sz="0" w:space="0" w:color="auto"/>
          </w:divBdr>
          <w:divsChild>
            <w:div w:id="1309630576">
              <w:marLeft w:val="0"/>
              <w:marRight w:val="0"/>
              <w:marTop w:val="0"/>
              <w:marBottom w:val="0"/>
              <w:divBdr>
                <w:top w:val="none" w:sz="0" w:space="0" w:color="auto"/>
                <w:left w:val="none" w:sz="0" w:space="0" w:color="auto"/>
                <w:bottom w:val="none" w:sz="0" w:space="0" w:color="auto"/>
                <w:right w:val="none" w:sz="0" w:space="0" w:color="auto"/>
              </w:divBdr>
              <w:divsChild>
                <w:div w:id="921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5908">
      <w:bodyDiv w:val="1"/>
      <w:marLeft w:val="0"/>
      <w:marRight w:val="0"/>
      <w:marTop w:val="0"/>
      <w:marBottom w:val="0"/>
      <w:divBdr>
        <w:top w:val="none" w:sz="0" w:space="0" w:color="auto"/>
        <w:left w:val="none" w:sz="0" w:space="0" w:color="auto"/>
        <w:bottom w:val="none" w:sz="0" w:space="0" w:color="auto"/>
        <w:right w:val="none" w:sz="0" w:space="0" w:color="auto"/>
      </w:divBdr>
      <w:divsChild>
        <w:div w:id="118690081">
          <w:marLeft w:val="0"/>
          <w:marRight w:val="0"/>
          <w:marTop w:val="0"/>
          <w:marBottom w:val="0"/>
          <w:divBdr>
            <w:top w:val="none" w:sz="0" w:space="0" w:color="auto"/>
            <w:left w:val="none" w:sz="0" w:space="0" w:color="auto"/>
            <w:bottom w:val="none" w:sz="0" w:space="0" w:color="auto"/>
            <w:right w:val="none" w:sz="0" w:space="0" w:color="auto"/>
          </w:divBdr>
          <w:divsChild>
            <w:div w:id="784276655">
              <w:marLeft w:val="0"/>
              <w:marRight w:val="0"/>
              <w:marTop w:val="0"/>
              <w:marBottom w:val="0"/>
              <w:divBdr>
                <w:top w:val="none" w:sz="0" w:space="0" w:color="auto"/>
                <w:left w:val="none" w:sz="0" w:space="0" w:color="auto"/>
                <w:bottom w:val="none" w:sz="0" w:space="0" w:color="auto"/>
                <w:right w:val="none" w:sz="0" w:space="0" w:color="auto"/>
              </w:divBdr>
              <w:divsChild>
                <w:div w:id="1625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37965">
      <w:bodyDiv w:val="1"/>
      <w:marLeft w:val="0"/>
      <w:marRight w:val="0"/>
      <w:marTop w:val="0"/>
      <w:marBottom w:val="0"/>
      <w:divBdr>
        <w:top w:val="none" w:sz="0" w:space="0" w:color="auto"/>
        <w:left w:val="none" w:sz="0" w:space="0" w:color="auto"/>
        <w:bottom w:val="none" w:sz="0" w:space="0" w:color="auto"/>
        <w:right w:val="none" w:sz="0" w:space="0" w:color="auto"/>
      </w:divBdr>
    </w:div>
    <w:div w:id="987395189">
      <w:bodyDiv w:val="1"/>
      <w:marLeft w:val="0"/>
      <w:marRight w:val="0"/>
      <w:marTop w:val="0"/>
      <w:marBottom w:val="0"/>
      <w:divBdr>
        <w:top w:val="none" w:sz="0" w:space="0" w:color="auto"/>
        <w:left w:val="none" w:sz="0" w:space="0" w:color="auto"/>
        <w:bottom w:val="none" w:sz="0" w:space="0" w:color="auto"/>
        <w:right w:val="none" w:sz="0" w:space="0" w:color="auto"/>
      </w:divBdr>
      <w:divsChild>
        <w:div w:id="2028673327">
          <w:marLeft w:val="0"/>
          <w:marRight w:val="0"/>
          <w:marTop w:val="0"/>
          <w:marBottom w:val="0"/>
          <w:divBdr>
            <w:top w:val="none" w:sz="0" w:space="0" w:color="auto"/>
            <w:left w:val="none" w:sz="0" w:space="0" w:color="auto"/>
            <w:bottom w:val="none" w:sz="0" w:space="0" w:color="auto"/>
            <w:right w:val="none" w:sz="0" w:space="0" w:color="auto"/>
          </w:divBdr>
          <w:divsChild>
            <w:div w:id="1119494026">
              <w:marLeft w:val="0"/>
              <w:marRight w:val="0"/>
              <w:marTop w:val="0"/>
              <w:marBottom w:val="0"/>
              <w:divBdr>
                <w:top w:val="none" w:sz="0" w:space="0" w:color="auto"/>
                <w:left w:val="none" w:sz="0" w:space="0" w:color="auto"/>
                <w:bottom w:val="none" w:sz="0" w:space="0" w:color="auto"/>
                <w:right w:val="none" w:sz="0" w:space="0" w:color="auto"/>
              </w:divBdr>
              <w:divsChild>
                <w:div w:id="64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1976">
      <w:bodyDiv w:val="1"/>
      <w:marLeft w:val="0"/>
      <w:marRight w:val="0"/>
      <w:marTop w:val="0"/>
      <w:marBottom w:val="0"/>
      <w:divBdr>
        <w:top w:val="none" w:sz="0" w:space="0" w:color="auto"/>
        <w:left w:val="none" w:sz="0" w:space="0" w:color="auto"/>
        <w:bottom w:val="none" w:sz="0" w:space="0" w:color="auto"/>
        <w:right w:val="none" w:sz="0" w:space="0" w:color="auto"/>
      </w:divBdr>
    </w:div>
    <w:div w:id="1065449584">
      <w:bodyDiv w:val="1"/>
      <w:marLeft w:val="0"/>
      <w:marRight w:val="0"/>
      <w:marTop w:val="0"/>
      <w:marBottom w:val="0"/>
      <w:divBdr>
        <w:top w:val="none" w:sz="0" w:space="0" w:color="auto"/>
        <w:left w:val="none" w:sz="0" w:space="0" w:color="auto"/>
        <w:bottom w:val="none" w:sz="0" w:space="0" w:color="auto"/>
        <w:right w:val="none" w:sz="0" w:space="0" w:color="auto"/>
      </w:divBdr>
    </w:div>
    <w:div w:id="1322541281">
      <w:bodyDiv w:val="1"/>
      <w:marLeft w:val="0"/>
      <w:marRight w:val="0"/>
      <w:marTop w:val="0"/>
      <w:marBottom w:val="0"/>
      <w:divBdr>
        <w:top w:val="none" w:sz="0" w:space="0" w:color="auto"/>
        <w:left w:val="none" w:sz="0" w:space="0" w:color="auto"/>
        <w:bottom w:val="none" w:sz="0" w:space="0" w:color="auto"/>
        <w:right w:val="none" w:sz="0" w:space="0" w:color="auto"/>
      </w:divBdr>
    </w:div>
    <w:div w:id="1356931189">
      <w:bodyDiv w:val="1"/>
      <w:marLeft w:val="0"/>
      <w:marRight w:val="0"/>
      <w:marTop w:val="0"/>
      <w:marBottom w:val="0"/>
      <w:divBdr>
        <w:top w:val="none" w:sz="0" w:space="0" w:color="auto"/>
        <w:left w:val="none" w:sz="0" w:space="0" w:color="auto"/>
        <w:bottom w:val="none" w:sz="0" w:space="0" w:color="auto"/>
        <w:right w:val="none" w:sz="0" w:space="0" w:color="auto"/>
      </w:divBdr>
      <w:divsChild>
        <w:div w:id="55327123">
          <w:marLeft w:val="0"/>
          <w:marRight w:val="0"/>
          <w:marTop w:val="0"/>
          <w:marBottom w:val="0"/>
          <w:divBdr>
            <w:top w:val="none" w:sz="0" w:space="0" w:color="auto"/>
            <w:left w:val="none" w:sz="0" w:space="0" w:color="auto"/>
            <w:bottom w:val="none" w:sz="0" w:space="0" w:color="auto"/>
            <w:right w:val="none" w:sz="0" w:space="0" w:color="auto"/>
          </w:divBdr>
          <w:divsChild>
            <w:div w:id="1738239257">
              <w:marLeft w:val="0"/>
              <w:marRight w:val="0"/>
              <w:marTop w:val="0"/>
              <w:marBottom w:val="0"/>
              <w:divBdr>
                <w:top w:val="none" w:sz="0" w:space="0" w:color="auto"/>
                <w:left w:val="none" w:sz="0" w:space="0" w:color="auto"/>
                <w:bottom w:val="none" w:sz="0" w:space="0" w:color="auto"/>
                <w:right w:val="none" w:sz="0" w:space="0" w:color="auto"/>
              </w:divBdr>
              <w:divsChild>
                <w:div w:id="983122444">
                  <w:marLeft w:val="0"/>
                  <w:marRight w:val="0"/>
                  <w:marTop w:val="0"/>
                  <w:marBottom w:val="0"/>
                  <w:divBdr>
                    <w:top w:val="none" w:sz="0" w:space="0" w:color="auto"/>
                    <w:left w:val="none" w:sz="0" w:space="0" w:color="auto"/>
                    <w:bottom w:val="none" w:sz="0" w:space="0" w:color="auto"/>
                    <w:right w:val="none" w:sz="0" w:space="0" w:color="auto"/>
                  </w:divBdr>
                  <w:divsChild>
                    <w:div w:id="4944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0143">
      <w:bodyDiv w:val="1"/>
      <w:marLeft w:val="0"/>
      <w:marRight w:val="0"/>
      <w:marTop w:val="0"/>
      <w:marBottom w:val="0"/>
      <w:divBdr>
        <w:top w:val="none" w:sz="0" w:space="0" w:color="auto"/>
        <w:left w:val="none" w:sz="0" w:space="0" w:color="auto"/>
        <w:bottom w:val="none" w:sz="0" w:space="0" w:color="auto"/>
        <w:right w:val="none" w:sz="0" w:space="0" w:color="auto"/>
      </w:divBdr>
    </w:div>
    <w:div w:id="1623920619">
      <w:bodyDiv w:val="1"/>
      <w:marLeft w:val="0"/>
      <w:marRight w:val="0"/>
      <w:marTop w:val="0"/>
      <w:marBottom w:val="0"/>
      <w:divBdr>
        <w:top w:val="none" w:sz="0" w:space="0" w:color="auto"/>
        <w:left w:val="none" w:sz="0" w:space="0" w:color="auto"/>
        <w:bottom w:val="none" w:sz="0" w:space="0" w:color="auto"/>
        <w:right w:val="none" w:sz="0" w:space="0" w:color="auto"/>
      </w:divBdr>
    </w:div>
    <w:div w:id="1731617424">
      <w:bodyDiv w:val="1"/>
      <w:marLeft w:val="0"/>
      <w:marRight w:val="0"/>
      <w:marTop w:val="0"/>
      <w:marBottom w:val="0"/>
      <w:divBdr>
        <w:top w:val="none" w:sz="0" w:space="0" w:color="auto"/>
        <w:left w:val="none" w:sz="0" w:space="0" w:color="auto"/>
        <w:bottom w:val="none" w:sz="0" w:space="0" w:color="auto"/>
        <w:right w:val="none" w:sz="0" w:space="0" w:color="auto"/>
      </w:divBdr>
    </w:div>
    <w:div w:id="1821144782">
      <w:bodyDiv w:val="1"/>
      <w:marLeft w:val="0"/>
      <w:marRight w:val="0"/>
      <w:marTop w:val="0"/>
      <w:marBottom w:val="0"/>
      <w:divBdr>
        <w:top w:val="none" w:sz="0" w:space="0" w:color="auto"/>
        <w:left w:val="none" w:sz="0" w:space="0" w:color="auto"/>
        <w:bottom w:val="none" w:sz="0" w:space="0" w:color="auto"/>
        <w:right w:val="none" w:sz="0" w:space="0" w:color="auto"/>
      </w:divBdr>
      <w:divsChild>
        <w:div w:id="2112041163">
          <w:marLeft w:val="0"/>
          <w:marRight w:val="0"/>
          <w:marTop w:val="0"/>
          <w:marBottom w:val="0"/>
          <w:divBdr>
            <w:top w:val="none" w:sz="0" w:space="0" w:color="auto"/>
            <w:left w:val="none" w:sz="0" w:space="0" w:color="auto"/>
            <w:bottom w:val="none" w:sz="0" w:space="0" w:color="auto"/>
            <w:right w:val="none" w:sz="0" w:space="0" w:color="auto"/>
          </w:divBdr>
          <w:divsChild>
            <w:div w:id="1189949043">
              <w:marLeft w:val="0"/>
              <w:marRight w:val="0"/>
              <w:marTop w:val="0"/>
              <w:marBottom w:val="0"/>
              <w:divBdr>
                <w:top w:val="none" w:sz="0" w:space="0" w:color="auto"/>
                <w:left w:val="none" w:sz="0" w:space="0" w:color="auto"/>
                <w:bottom w:val="none" w:sz="0" w:space="0" w:color="auto"/>
                <w:right w:val="none" w:sz="0" w:space="0" w:color="auto"/>
              </w:divBdr>
              <w:divsChild>
                <w:div w:id="1580943904">
                  <w:marLeft w:val="0"/>
                  <w:marRight w:val="0"/>
                  <w:marTop w:val="0"/>
                  <w:marBottom w:val="0"/>
                  <w:divBdr>
                    <w:top w:val="none" w:sz="0" w:space="0" w:color="auto"/>
                    <w:left w:val="none" w:sz="0" w:space="0" w:color="auto"/>
                    <w:bottom w:val="none" w:sz="0" w:space="0" w:color="auto"/>
                    <w:right w:val="none" w:sz="0" w:space="0" w:color="auto"/>
                  </w:divBdr>
                  <w:divsChild>
                    <w:div w:id="21082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sarahdenny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Sarah</dc:creator>
  <cp:keywords/>
  <cp:lastModifiedBy>Luke Moore</cp:lastModifiedBy>
  <cp:revision>2</cp:revision>
  <dcterms:created xsi:type="dcterms:W3CDTF">2021-02-24T13:51:00Z</dcterms:created>
  <dcterms:modified xsi:type="dcterms:W3CDTF">2021-02-24T13:51:00Z</dcterms:modified>
</cp:coreProperties>
</file>