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A87AE" w14:textId="389C7BB9" w:rsidR="0087389A" w:rsidRPr="00666E0D" w:rsidRDefault="00DD0740" w:rsidP="00DD0740">
      <w:pPr>
        <w:spacing w:line="360" w:lineRule="auto"/>
        <w:rPr>
          <w:b/>
          <w:bCs/>
        </w:rPr>
      </w:pPr>
      <w:r w:rsidRPr="00666E0D">
        <w:rPr>
          <w:b/>
          <w:bCs/>
        </w:rPr>
        <w:t xml:space="preserve">Comparison of </w:t>
      </w:r>
      <w:r w:rsidR="00D11B6F" w:rsidRPr="00666E0D">
        <w:rPr>
          <w:b/>
          <w:bCs/>
        </w:rPr>
        <w:t>diabetic ketoacidosis</w:t>
      </w:r>
      <w:r w:rsidRPr="00666E0D">
        <w:rPr>
          <w:b/>
          <w:bCs/>
        </w:rPr>
        <w:t xml:space="preserve"> </w:t>
      </w:r>
      <w:r w:rsidR="00110710">
        <w:rPr>
          <w:b/>
          <w:bCs/>
        </w:rPr>
        <w:t xml:space="preserve">in adults, </w:t>
      </w:r>
      <w:r w:rsidRPr="00666E0D">
        <w:rPr>
          <w:b/>
          <w:bCs/>
        </w:rPr>
        <w:t xml:space="preserve">during </w:t>
      </w:r>
      <w:r w:rsidR="008B3F6B">
        <w:rPr>
          <w:b/>
          <w:bCs/>
        </w:rPr>
        <w:t>the SARS-CoV-2 outbreak</w:t>
      </w:r>
      <w:r w:rsidRPr="00666E0D">
        <w:rPr>
          <w:b/>
          <w:bCs/>
        </w:rPr>
        <w:t xml:space="preserve"> and </w:t>
      </w:r>
      <w:r w:rsidR="008B3F6B">
        <w:rPr>
          <w:b/>
          <w:bCs/>
        </w:rPr>
        <w:t>over</w:t>
      </w:r>
      <w:r w:rsidR="00507CC7">
        <w:rPr>
          <w:b/>
          <w:bCs/>
        </w:rPr>
        <w:t xml:space="preserve"> the same</w:t>
      </w:r>
      <w:r w:rsidR="001B5858" w:rsidRPr="00666E0D">
        <w:rPr>
          <w:b/>
          <w:bCs/>
        </w:rPr>
        <w:t xml:space="preserve"> time period </w:t>
      </w:r>
      <w:r w:rsidR="004B3591">
        <w:rPr>
          <w:b/>
          <w:bCs/>
        </w:rPr>
        <w:t>for</w:t>
      </w:r>
      <w:r w:rsidR="001B5858" w:rsidRPr="00666E0D">
        <w:rPr>
          <w:b/>
          <w:bCs/>
        </w:rPr>
        <w:t xml:space="preserve"> the</w:t>
      </w:r>
      <w:r w:rsidRPr="00666E0D">
        <w:rPr>
          <w:b/>
          <w:bCs/>
        </w:rPr>
        <w:t xml:space="preserve"> </w:t>
      </w:r>
      <w:r w:rsidR="008B3F6B">
        <w:rPr>
          <w:b/>
          <w:bCs/>
        </w:rPr>
        <w:t>3</w:t>
      </w:r>
      <w:r w:rsidRPr="00666E0D">
        <w:rPr>
          <w:b/>
          <w:bCs/>
        </w:rPr>
        <w:t xml:space="preserve"> preceding years</w:t>
      </w:r>
    </w:p>
    <w:p w14:paraId="52A5AAED" w14:textId="389B19A5" w:rsidR="00DD0740" w:rsidRPr="00666E0D" w:rsidRDefault="00DD0740" w:rsidP="00DD0740">
      <w:pPr>
        <w:spacing w:line="360" w:lineRule="auto"/>
      </w:pPr>
    </w:p>
    <w:p w14:paraId="71A9F83F" w14:textId="20A586FE" w:rsidR="000D5099" w:rsidRPr="00081ED3" w:rsidRDefault="000D5099" w:rsidP="00DD0740">
      <w:pPr>
        <w:spacing w:line="360" w:lineRule="auto"/>
      </w:pPr>
    </w:p>
    <w:p w14:paraId="11235FE8" w14:textId="3F2FE5F6" w:rsidR="00F30EE6" w:rsidRDefault="00C125EA" w:rsidP="006075F3">
      <w:pPr>
        <w:spacing w:line="360" w:lineRule="auto"/>
        <w:rPr>
          <w:vertAlign w:val="superscript"/>
        </w:rPr>
      </w:pPr>
      <w:r w:rsidRPr="00081ED3">
        <w:rPr>
          <w:b/>
          <w:bCs/>
        </w:rPr>
        <w:t>Authors:</w:t>
      </w:r>
      <w:r w:rsidRPr="00081ED3">
        <w:t xml:space="preserve"> S</w:t>
      </w:r>
      <w:r>
        <w:t>hivani</w:t>
      </w:r>
      <w:r w:rsidRPr="00081ED3">
        <w:t xml:space="preserve"> Misra</w:t>
      </w:r>
      <w:r w:rsidRPr="00081ED3">
        <w:rPr>
          <w:vertAlign w:val="superscript"/>
        </w:rPr>
        <w:t>1,2,3</w:t>
      </w:r>
      <w:r w:rsidRPr="00081ED3">
        <w:t xml:space="preserve">, </w:t>
      </w:r>
      <w:proofErr w:type="spellStart"/>
      <w:r w:rsidRPr="00081ED3">
        <w:t>B</w:t>
      </w:r>
      <w:r>
        <w:t>aktash</w:t>
      </w:r>
      <w:proofErr w:type="spellEnd"/>
      <w:r w:rsidRPr="00081ED3">
        <w:t xml:space="preserve"> Khozoee</w:t>
      </w:r>
      <w:r w:rsidRPr="00081ED3">
        <w:rPr>
          <w:vertAlign w:val="superscript"/>
        </w:rPr>
        <w:t>1</w:t>
      </w:r>
      <w:r w:rsidRPr="00081ED3">
        <w:t>, P</w:t>
      </w:r>
      <w:r>
        <w:t>eter</w:t>
      </w:r>
      <w:r w:rsidRPr="00081ED3">
        <w:t xml:space="preserve"> Huang Jiawei</w:t>
      </w:r>
      <w:r w:rsidRPr="00081ED3">
        <w:rPr>
          <w:vertAlign w:val="superscript"/>
        </w:rPr>
        <w:t>1</w:t>
      </w:r>
      <w:r w:rsidRPr="00081ED3">
        <w:t xml:space="preserve">, </w:t>
      </w:r>
      <w:proofErr w:type="spellStart"/>
      <w:r w:rsidRPr="00081ED3">
        <w:t>K</w:t>
      </w:r>
      <w:r>
        <w:t>yriaki</w:t>
      </w:r>
      <w:proofErr w:type="spellEnd"/>
      <w:r w:rsidRPr="00081ED3">
        <w:t xml:space="preserve"> Mitsaki</w:t>
      </w:r>
      <w:r w:rsidRPr="00081ED3">
        <w:rPr>
          <w:vertAlign w:val="superscript"/>
        </w:rPr>
        <w:t>1</w:t>
      </w:r>
      <w:r w:rsidRPr="00081ED3">
        <w:t>, M</w:t>
      </w:r>
      <w:r>
        <w:t>onika</w:t>
      </w:r>
      <w:r w:rsidRPr="00081ED3">
        <w:t xml:space="preserve"> Reddy</w:t>
      </w:r>
      <w:r w:rsidRPr="00081ED3">
        <w:rPr>
          <w:vertAlign w:val="superscript"/>
        </w:rPr>
        <w:t>1</w:t>
      </w:r>
      <w:r w:rsidRPr="00081ED3">
        <w:t>, V</w:t>
      </w:r>
      <w:r>
        <w:t>ictoria</w:t>
      </w:r>
      <w:r w:rsidRPr="00081ED3">
        <w:t xml:space="preserve"> Salem</w:t>
      </w:r>
      <w:r w:rsidRPr="00081ED3">
        <w:rPr>
          <w:vertAlign w:val="superscript"/>
        </w:rPr>
        <w:t>2</w:t>
      </w:r>
      <w:r w:rsidRPr="00081ED3">
        <w:t>, T</w:t>
      </w:r>
      <w:r>
        <w:t>ricia</w:t>
      </w:r>
      <w:r w:rsidRPr="00081ED3">
        <w:t xml:space="preserve"> Tan</w:t>
      </w:r>
      <w:r w:rsidRPr="00081ED3">
        <w:rPr>
          <w:vertAlign w:val="superscript"/>
        </w:rPr>
        <w:t>1,2,3</w:t>
      </w:r>
      <w:r w:rsidRPr="00081ED3">
        <w:t>,  G</w:t>
      </w:r>
      <w:r>
        <w:t>eorge</w:t>
      </w:r>
      <w:r w:rsidRPr="00081ED3">
        <w:t xml:space="preserve"> Tharakan</w:t>
      </w:r>
      <w:r w:rsidRPr="00081ED3">
        <w:rPr>
          <w:vertAlign w:val="superscript"/>
        </w:rPr>
        <w:t>1</w:t>
      </w:r>
      <w:r w:rsidRPr="00081ED3">
        <w:t>, D</w:t>
      </w:r>
      <w:r>
        <w:t>avid</w:t>
      </w:r>
      <w:r w:rsidRPr="00081ED3">
        <w:t xml:space="preserve"> Gable</w:t>
      </w:r>
      <w:r w:rsidRPr="00081ED3">
        <w:rPr>
          <w:vertAlign w:val="superscript"/>
        </w:rPr>
        <w:t>1</w:t>
      </w:r>
      <w:r w:rsidRPr="00081ED3">
        <w:t xml:space="preserve">, </w:t>
      </w:r>
      <w:proofErr w:type="spellStart"/>
      <w:r w:rsidRPr="00081ED3">
        <w:t>V</w:t>
      </w:r>
      <w:r>
        <w:t>assiliki</w:t>
      </w:r>
      <w:proofErr w:type="spellEnd"/>
      <w:r w:rsidRPr="00081ED3">
        <w:t xml:space="preserve"> Bravis</w:t>
      </w:r>
      <w:r w:rsidRPr="00081ED3">
        <w:rPr>
          <w:vertAlign w:val="superscript"/>
        </w:rPr>
        <w:t>1</w:t>
      </w:r>
      <w:r w:rsidRPr="00081ED3">
        <w:t xml:space="preserve"> &amp; J</w:t>
      </w:r>
      <w:r>
        <w:t>onathan</w:t>
      </w:r>
      <w:r w:rsidRPr="00081ED3">
        <w:t xml:space="preserve"> Valabhji</w:t>
      </w:r>
      <w:r w:rsidRPr="00081ED3">
        <w:rPr>
          <w:vertAlign w:val="superscript"/>
        </w:rPr>
        <w:t>1</w:t>
      </w:r>
      <w:r>
        <w:rPr>
          <w:vertAlign w:val="superscript"/>
        </w:rPr>
        <w:t>,3</w:t>
      </w:r>
    </w:p>
    <w:p w14:paraId="1FEE0A42" w14:textId="2608A6CB" w:rsidR="00DD0740" w:rsidRPr="00081ED3" w:rsidRDefault="00DD0740" w:rsidP="00DD0740">
      <w:pPr>
        <w:spacing w:line="360" w:lineRule="auto"/>
      </w:pPr>
    </w:p>
    <w:p w14:paraId="34F385B9" w14:textId="7EB09CD5" w:rsidR="00D11B6F" w:rsidRPr="00081ED3" w:rsidRDefault="00081ED3" w:rsidP="00DD0740">
      <w:pPr>
        <w:spacing w:line="360" w:lineRule="auto"/>
      </w:pPr>
      <w:r w:rsidRPr="00081ED3">
        <w:t>Affiliations</w:t>
      </w:r>
    </w:p>
    <w:p w14:paraId="4CE6F2BF" w14:textId="587D9867" w:rsidR="00081ED3" w:rsidRDefault="00081ED3" w:rsidP="00081ED3">
      <w:pPr>
        <w:pStyle w:val="ListParagraph"/>
        <w:numPr>
          <w:ilvl w:val="0"/>
          <w:numId w:val="5"/>
        </w:numPr>
        <w:spacing w:line="360" w:lineRule="auto"/>
        <w:rPr>
          <w:rFonts w:ascii="Times New Roman" w:hAnsi="Times New Roman" w:cs="Times New Roman"/>
        </w:rPr>
      </w:pPr>
      <w:r w:rsidRPr="00081ED3">
        <w:rPr>
          <w:rFonts w:ascii="Times New Roman" w:hAnsi="Times New Roman" w:cs="Times New Roman"/>
        </w:rPr>
        <w:t>Department of Diabetes, Endocrinology &amp; Metabolism, Imperial College Healthcare NHS Trust</w:t>
      </w:r>
    </w:p>
    <w:p w14:paraId="654C9F87" w14:textId="0F198D95" w:rsidR="00081ED3" w:rsidRDefault="00081ED3" w:rsidP="00081ED3">
      <w:pPr>
        <w:pStyle w:val="ListParagraph"/>
        <w:numPr>
          <w:ilvl w:val="0"/>
          <w:numId w:val="5"/>
        </w:numPr>
        <w:spacing w:line="360" w:lineRule="auto"/>
        <w:rPr>
          <w:rFonts w:ascii="Times New Roman" w:hAnsi="Times New Roman" w:cs="Times New Roman"/>
        </w:rPr>
      </w:pPr>
      <w:r>
        <w:rPr>
          <w:rFonts w:ascii="Times New Roman" w:hAnsi="Times New Roman" w:cs="Times New Roman"/>
        </w:rPr>
        <w:t>Clinical Biochemistry, Blood Sciences, North West London Pathology</w:t>
      </w:r>
    </w:p>
    <w:p w14:paraId="625952CF" w14:textId="5ED3A961" w:rsidR="00081ED3" w:rsidRPr="00081ED3" w:rsidRDefault="00081ED3" w:rsidP="00081ED3">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Division of </w:t>
      </w:r>
      <w:r w:rsidR="000F1B05">
        <w:rPr>
          <w:rFonts w:ascii="Times New Roman" w:hAnsi="Times New Roman" w:cs="Times New Roman"/>
        </w:rPr>
        <w:t>Metabolism</w:t>
      </w:r>
      <w:r>
        <w:rPr>
          <w:rFonts w:ascii="Times New Roman" w:hAnsi="Times New Roman" w:cs="Times New Roman"/>
        </w:rPr>
        <w:t>,</w:t>
      </w:r>
      <w:r w:rsidR="000F1B05">
        <w:rPr>
          <w:rFonts w:ascii="Times New Roman" w:hAnsi="Times New Roman" w:cs="Times New Roman"/>
        </w:rPr>
        <w:t xml:space="preserve"> Digestion &amp; Reproduction, </w:t>
      </w:r>
      <w:r>
        <w:rPr>
          <w:rFonts w:ascii="Times New Roman" w:hAnsi="Times New Roman" w:cs="Times New Roman"/>
        </w:rPr>
        <w:t xml:space="preserve"> Imperial College London</w:t>
      </w:r>
    </w:p>
    <w:p w14:paraId="1710A5E1" w14:textId="74B85804" w:rsidR="00D11B6F" w:rsidRPr="00081ED3" w:rsidRDefault="00D11B6F" w:rsidP="00DD0740">
      <w:pPr>
        <w:spacing w:line="360" w:lineRule="auto"/>
        <w:rPr>
          <w:sz w:val="22"/>
          <w:szCs w:val="22"/>
        </w:rPr>
      </w:pPr>
    </w:p>
    <w:p w14:paraId="5F1582E5" w14:textId="25A41D9C" w:rsidR="00D11B6F" w:rsidRPr="00081ED3" w:rsidRDefault="00D11B6F" w:rsidP="00DD0740">
      <w:pPr>
        <w:spacing w:line="360" w:lineRule="auto"/>
        <w:rPr>
          <w:sz w:val="22"/>
          <w:szCs w:val="22"/>
        </w:rPr>
      </w:pPr>
    </w:p>
    <w:p w14:paraId="2410B607" w14:textId="3023E18B" w:rsidR="00E766C7" w:rsidRDefault="00E766C7" w:rsidP="00DD0740">
      <w:pPr>
        <w:spacing w:line="360" w:lineRule="auto"/>
        <w:rPr>
          <w:sz w:val="22"/>
          <w:szCs w:val="22"/>
        </w:rPr>
      </w:pPr>
    </w:p>
    <w:p w14:paraId="31012E24" w14:textId="77777777" w:rsidR="00D11B6F" w:rsidRPr="00666E0D" w:rsidRDefault="00D11B6F" w:rsidP="00D11B6F">
      <w:pPr>
        <w:spacing w:line="360" w:lineRule="auto"/>
        <w:jc w:val="both"/>
        <w:rPr>
          <w:b/>
          <w:sz w:val="22"/>
          <w:szCs w:val="22"/>
        </w:rPr>
      </w:pPr>
      <w:r w:rsidRPr="00666E0D">
        <w:rPr>
          <w:b/>
          <w:sz w:val="22"/>
          <w:szCs w:val="22"/>
        </w:rPr>
        <w:t>Corresponding author</w:t>
      </w:r>
    </w:p>
    <w:p w14:paraId="1553E256" w14:textId="77777777" w:rsidR="00D11B6F" w:rsidRPr="00666E0D" w:rsidRDefault="00D11B6F" w:rsidP="00D11B6F">
      <w:pPr>
        <w:spacing w:line="360" w:lineRule="auto"/>
        <w:jc w:val="both"/>
        <w:rPr>
          <w:sz w:val="22"/>
          <w:szCs w:val="22"/>
        </w:rPr>
      </w:pPr>
      <w:r w:rsidRPr="00666E0D">
        <w:rPr>
          <w:sz w:val="22"/>
          <w:szCs w:val="22"/>
        </w:rPr>
        <w:t>Dr Shivani Misra</w:t>
      </w:r>
    </w:p>
    <w:p w14:paraId="4E1ECD1D" w14:textId="77777777" w:rsidR="00D11B6F" w:rsidRPr="00666E0D" w:rsidRDefault="00D11B6F" w:rsidP="00D11B6F">
      <w:pPr>
        <w:pStyle w:val="Heading2"/>
        <w:numPr>
          <w:ilvl w:val="0"/>
          <w:numId w:val="0"/>
        </w:numPr>
        <w:jc w:val="both"/>
        <w:rPr>
          <w:rFonts w:ascii="Times New Roman" w:hAnsi="Times New Roman" w:cs="Times New Roman"/>
          <w:color w:val="000000" w:themeColor="text1"/>
          <w:sz w:val="22"/>
          <w:szCs w:val="22"/>
        </w:rPr>
      </w:pPr>
      <w:r w:rsidRPr="00666E0D">
        <w:rPr>
          <w:rFonts w:ascii="Times New Roman" w:hAnsi="Times New Roman" w:cs="Times New Roman"/>
          <w:color w:val="000000" w:themeColor="text1"/>
          <w:sz w:val="22"/>
          <w:szCs w:val="22"/>
        </w:rPr>
        <w:t>Diabetes, Endocrinology &amp; Metabolism</w:t>
      </w:r>
    </w:p>
    <w:p w14:paraId="0EAFC381" w14:textId="77777777" w:rsidR="00D11B6F" w:rsidRPr="00666E0D" w:rsidRDefault="00D11B6F" w:rsidP="00D11B6F">
      <w:pPr>
        <w:rPr>
          <w:sz w:val="22"/>
          <w:szCs w:val="22"/>
        </w:rPr>
      </w:pPr>
      <w:r w:rsidRPr="00666E0D">
        <w:rPr>
          <w:sz w:val="22"/>
          <w:szCs w:val="22"/>
        </w:rPr>
        <w:t>Ground floor, Medical School Building</w:t>
      </w:r>
    </w:p>
    <w:p w14:paraId="07EBE9E8" w14:textId="77777777" w:rsidR="00D11B6F" w:rsidRPr="00666E0D" w:rsidRDefault="00D11B6F" w:rsidP="00D11B6F">
      <w:pPr>
        <w:pStyle w:val="Heading2"/>
        <w:numPr>
          <w:ilvl w:val="0"/>
          <w:numId w:val="0"/>
        </w:numPr>
        <w:jc w:val="both"/>
        <w:rPr>
          <w:rFonts w:ascii="Times New Roman" w:hAnsi="Times New Roman" w:cs="Times New Roman"/>
          <w:color w:val="000000" w:themeColor="text1"/>
          <w:sz w:val="22"/>
          <w:szCs w:val="22"/>
        </w:rPr>
      </w:pPr>
      <w:r w:rsidRPr="00666E0D">
        <w:rPr>
          <w:rFonts w:ascii="Times New Roman" w:hAnsi="Times New Roman" w:cs="Times New Roman"/>
          <w:color w:val="000000" w:themeColor="text1"/>
          <w:sz w:val="22"/>
          <w:szCs w:val="22"/>
        </w:rPr>
        <w:t>Imperial College London</w:t>
      </w:r>
    </w:p>
    <w:p w14:paraId="00792C0C" w14:textId="77777777" w:rsidR="00D11B6F" w:rsidRPr="00666E0D" w:rsidRDefault="00D11B6F" w:rsidP="00D11B6F">
      <w:pPr>
        <w:spacing w:line="360" w:lineRule="auto"/>
        <w:rPr>
          <w:sz w:val="22"/>
          <w:szCs w:val="22"/>
        </w:rPr>
      </w:pPr>
      <w:r w:rsidRPr="00666E0D">
        <w:rPr>
          <w:sz w:val="22"/>
          <w:szCs w:val="22"/>
        </w:rPr>
        <w:t>St Marys Hospital Campus</w:t>
      </w:r>
    </w:p>
    <w:p w14:paraId="439B75C4" w14:textId="77777777" w:rsidR="00D11B6F" w:rsidRPr="00666E0D" w:rsidRDefault="00D11B6F" w:rsidP="00D11B6F">
      <w:pPr>
        <w:spacing w:line="360" w:lineRule="auto"/>
        <w:rPr>
          <w:sz w:val="22"/>
          <w:szCs w:val="22"/>
        </w:rPr>
      </w:pPr>
      <w:r w:rsidRPr="00666E0D">
        <w:rPr>
          <w:sz w:val="22"/>
          <w:szCs w:val="22"/>
        </w:rPr>
        <w:t>Norfolk Place</w:t>
      </w:r>
    </w:p>
    <w:p w14:paraId="3E01BCE4" w14:textId="77777777" w:rsidR="00D11B6F" w:rsidRPr="00666E0D" w:rsidRDefault="00D11B6F" w:rsidP="00D11B6F">
      <w:pPr>
        <w:spacing w:line="360" w:lineRule="auto"/>
        <w:rPr>
          <w:sz w:val="22"/>
          <w:szCs w:val="22"/>
        </w:rPr>
      </w:pPr>
      <w:r w:rsidRPr="00666E0D">
        <w:rPr>
          <w:sz w:val="22"/>
          <w:szCs w:val="22"/>
        </w:rPr>
        <w:t>London</w:t>
      </w:r>
    </w:p>
    <w:p w14:paraId="63B85037" w14:textId="77777777" w:rsidR="00D11B6F" w:rsidRPr="00666E0D" w:rsidRDefault="00D11B6F" w:rsidP="00D11B6F">
      <w:pPr>
        <w:spacing w:line="360" w:lineRule="auto"/>
        <w:rPr>
          <w:sz w:val="22"/>
          <w:szCs w:val="22"/>
        </w:rPr>
      </w:pPr>
      <w:r w:rsidRPr="00666E0D">
        <w:rPr>
          <w:sz w:val="22"/>
          <w:szCs w:val="22"/>
        </w:rPr>
        <w:t>W2 1PG</w:t>
      </w:r>
    </w:p>
    <w:p w14:paraId="30EA4292" w14:textId="77777777" w:rsidR="00D11B6F" w:rsidRPr="00666E0D" w:rsidRDefault="00D11B6F" w:rsidP="00D11B6F">
      <w:pPr>
        <w:spacing w:line="360" w:lineRule="auto"/>
        <w:rPr>
          <w:sz w:val="22"/>
          <w:szCs w:val="22"/>
        </w:rPr>
      </w:pPr>
      <w:r w:rsidRPr="00666E0D">
        <w:rPr>
          <w:sz w:val="22"/>
          <w:szCs w:val="22"/>
        </w:rPr>
        <w:t xml:space="preserve">Email: </w:t>
      </w:r>
      <w:hyperlink r:id="rId8" w:history="1">
        <w:r w:rsidRPr="00666E0D">
          <w:rPr>
            <w:rStyle w:val="Hyperlink"/>
            <w:sz w:val="22"/>
            <w:szCs w:val="22"/>
          </w:rPr>
          <w:t>s.misra@imperial.ac.uk</w:t>
        </w:r>
      </w:hyperlink>
    </w:p>
    <w:p w14:paraId="6C0454ED" w14:textId="7D3AFFC1" w:rsidR="00DD0740" w:rsidRPr="00666E0D" w:rsidRDefault="00DD0740" w:rsidP="00DD0740">
      <w:pPr>
        <w:spacing w:line="360" w:lineRule="auto"/>
      </w:pPr>
    </w:p>
    <w:p w14:paraId="30F2E0B1" w14:textId="2D91DA31" w:rsidR="00F51C5A" w:rsidRDefault="00F51C5A" w:rsidP="00DD0740">
      <w:pPr>
        <w:spacing w:line="360" w:lineRule="auto"/>
      </w:pPr>
    </w:p>
    <w:p w14:paraId="4F6C5866" w14:textId="4EE5705F" w:rsidR="00081ED3" w:rsidRDefault="00F6104C" w:rsidP="00DD0740">
      <w:pPr>
        <w:spacing w:line="360" w:lineRule="auto"/>
      </w:pPr>
      <w:r>
        <w:t xml:space="preserve">Word Count: </w:t>
      </w:r>
      <w:r w:rsidR="000B5817">
        <w:t>829</w:t>
      </w:r>
    </w:p>
    <w:p w14:paraId="2598D10B" w14:textId="5B6628F0" w:rsidR="00081ED3" w:rsidRDefault="00F6104C" w:rsidP="00DD0740">
      <w:pPr>
        <w:spacing w:line="360" w:lineRule="auto"/>
      </w:pPr>
      <w:r>
        <w:t xml:space="preserve">Tables: </w:t>
      </w:r>
      <w:r w:rsidR="008319DD">
        <w:t>1</w:t>
      </w:r>
    </w:p>
    <w:p w14:paraId="582A723D" w14:textId="6F6D6FF0" w:rsidR="00081ED3" w:rsidRDefault="00081ED3" w:rsidP="00DD0740">
      <w:pPr>
        <w:spacing w:line="360" w:lineRule="auto"/>
      </w:pPr>
    </w:p>
    <w:p w14:paraId="12297919" w14:textId="636361F9" w:rsidR="00081ED3" w:rsidRDefault="00081ED3" w:rsidP="00DD0740">
      <w:pPr>
        <w:spacing w:line="360" w:lineRule="auto"/>
      </w:pPr>
    </w:p>
    <w:p w14:paraId="76B2868A" w14:textId="39E04A5A" w:rsidR="008319DD" w:rsidRDefault="008319DD" w:rsidP="00DD0740">
      <w:pPr>
        <w:spacing w:line="360" w:lineRule="auto"/>
      </w:pPr>
    </w:p>
    <w:p w14:paraId="6C914006" w14:textId="77777777" w:rsidR="008319DD" w:rsidRDefault="008319DD" w:rsidP="00DD0740">
      <w:pPr>
        <w:spacing w:line="360" w:lineRule="auto"/>
      </w:pPr>
    </w:p>
    <w:p w14:paraId="6FB07FCE" w14:textId="77777777" w:rsidR="004F726A" w:rsidRDefault="004F726A" w:rsidP="00454973">
      <w:pPr>
        <w:spacing w:line="360" w:lineRule="auto"/>
        <w:jc w:val="both"/>
      </w:pPr>
    </w:p>
    <w:p w14:paraId="3CBD9444" w14:textId="797A5989" w:rsidR="001B5858" w:rsidRPr="00D15B05" w:rsidRDefault="00454071" w:rsidP="004E69C5">
      <w:pPr>
        <w:tabs>
          <w:tab w:val="left" w:pos="6327"/>
        </w:tabs>
        <w:spacing w:line="360" w:lineRule="auto"/>
        <w:rPr>
          <w:i/>
          <w:iCs/>
        </w:rPr>
      </w:pPr>
      <w:r w:rsidRPr="00D15B05">
        <w:rPr>
          <w:i/>
          <w:iCs/>
        </w:rPr>
        <w:lastRenderedPageBreak/>
        <w:t>Dear Editor</w:t>
      </w:r>
      <w:r w:rsidR="004E69C5">
        <w:rPr>
          <w:i/>
          <w:iCs/>
        </w:rPr>
        <w:tab/>
      </w:r>
    </w:p>
    <w:p w14:paraId="09E15F7D" w14:textId="77777777" w:rsidR="00454071" w:rsidRDefault="00454071" w:rsidP="00DD0740">
      <w:pPr>
        <w:spacing w:line="360" w:lineRule="auto"/>
      </w:pPr>
    </w:p>
    <w:p w14:paraId="7AD73E54" w14:textId="6689651F" w:rsidR="00800C2C" w:rsidRDefault="001B5858" w:rsidP="008E4693">
      <w:pPr>
        <w:spacing w:line="360" w:lineRule="auto"/>
        <w:jc w:val="both"/>
      </w:pPr>
      <w:r w:rsidRPr="00666E0D">
        <w:t>Diabetic ketoacidosis</w:t>
      </w:r>
      <w:r w:rsidR="00B846D5" w:rsidRPr="00666E0D">
        <w:t xml:space="preserve"> (DKA)</w:t>
      </w:r>
      <w:r w:rsidRPr="00666E0D">
        <w:t xml:space="preserve"> is </w:t>
      </w:r>
      <w:r w:rsidR="009B09C2">
        <w:t>a</w:t>
      </w:r>
      <w:r w:rsidR="009A763D">
        <w:t xml:space="preserve"> </w:t>
      </w:r>
      <w:r w:rsidR="00660E21">
        <w:t xml:space="preserve">life-threatening </w:t>
      </w:r>
      <w:r w:rsidR="003D1F5F">
        <w:t>metabolic decompensation</w:t>
      </w:r>
      <w:r w:rsidR="00800C2C">
        <w:t xml:space="preserve"> </w:t>
      </w:r>
      <w:r w:rsidR="00887583">
        <w:t>occurring</w:t>
      </w:r>
      <w:r w:rsidR="004F726A">
        <w:t xml:space="preserve"> </w:t>
      </w:r>
      <w:r w:rsidR="00702DA8">
        <w:t xml:space="preserve">with </w:t>
      </w:r>
      <w:r w:rsidR="00887583">
        <w:t>any</w:t>
      </w:r>
      <w:r w:rsidR="00702DA8">
        <w:t xml:space="preserve"> diabetes</w:t>
      </w:r>
      <w:r w:rsidR="00887583">
        <w:t xml:space="preserve"> subtype</w:t>
      </w:r>
      <w:r w:rsidR="00660E21">
        <w:t>,</w:t>
      </w:r>
      <w:r w:rsidR="00702DA8">
        <w:t xml:space="preserve"> </w:t>
      </w:r>
      <w:r w:rsidR="00660E21">
        <w:t>often</w:t>
      </w:r>
      <w:r w:rsidR="004E69C5">
        <w:t xml:space="preserve"> precipitated by </w:t>
      </w:r>
      <w:r w:rsidR="00702DA8">
        <w:t xml:space="preserve">infection. </w:t>
      </w:r>
      <w:r w:rsidR="00887583">
        <w:t>D</w:t>
      </w:r>
      <w:r w:rsidRPr="00666E0D">
        <w:t>uring the SARS-CoV-2 outbreak</w:t>
      </w:r>
      <w:r w:rsidR="005B213F" w:rsidRPr="00666E0D">
        <w:t>,</w:t>
      </w:r>
      <w:r w:rsidRPr="00666E0D">
        <w:t xml:space="preserve"> reports</w:t>
      </w:r>
      <w:r w:rsidR="00202648">
        <w:t xml:space="preserve"> </w:t>
      </w:r>
      <w:r w:rsidRPr="00666E0D">
        <w:t>emerge</w:t>
      </w:r>
      <w:r w:rsidR="00202648">
        <w:t xml:space="preserve">d suggesting </w:t>
      </w:r>
      <w:r w:rsidR="00660E21">
        <w:t>Coronavirus disease-19 (Covid-19)</w:t>
      </w:r>
      <w:r w:rsidR="00D97A56" w:rsidRPr="00666E0D">
        <w:t xml:space="preserve"> is associated with</w:t>
      </w:r>
      <w:r w:rsidR="001D1DB3">
        <w:t xml:space="preserve"> a</w:t>
      </w:r>
      <w:r w:rsidR="00D97A56" w:rsidRPr="00666E0D">
        <w:t xml:space="preserve"> higher </w:t>
      </w:r>
      <w:r w:rsidR="001D1DB3">
        <w:t>frequency</w:t>
      </w:r>
      <w:r w:rsidR="00D97A56" w:rsidRPr="00666E0D">
        <w:t xml:space="preserve"> of </w:t>
      </w:r>
      <w:r w:rsidR="001D1DB3">
        <w:t>DKA</w:t>
      </w:r>
      <w:r w:rsidR="00D97A56">
        <w:t xml:space="preserve"> </w:t>
      </w:r>
      <w:r w:rsidR="00800C2C">
        <w:t xml:space="preserve">with atypical presentations </w:t>
      </w:r>
      <w:r w:rsidR="00202648">
        <w:fldChar w:fldCharType="begin" w:fldLock="1"/>
      </w:r>
      <w:r w:rsidR="007A2A1B">
        <w:instrText>ADDIN CSL_CITATION {"citationItems":[{"id":"ITEM-1","itemData":{"DOI":"10.1111/dom.14057","ISSN":"14631326","PMID":"32314455","abstract":"This study included 658 hospitalized patients with confirmed COVID-19. Forty-two (6.4%) out of 658 patients presented with ketosis on admission with no obvious fever or diarrhea. They had a median age of 47.0 years (IQR, 38.0–70.3), while 16 (38.1%) were men. Patients with ketosis were younger (median age: 47.0 vs 58.0 years, P = 0.003) and had greater prevalence of fatigue (31.0% vs 10.6%, P &lt; 0.001), diabetes (35.7% vs 18.5%, P = 0.007), and digestive disorders (31.0% vs 12.0%, P &lt; 0.001). However, they had longer length of hospital stay (19.0 [12.8–33.3] days vs 16.0 [10.0–24.0] days, P &lt; 0.001) and higher mortality rate (21.4% vs 8.9%, P = 0.017). Three (20.0%) out of the 15 cases with diabetic ketosis developed acidosis, 5 cases (26.7%) with diabetic ketosis died, and one (25.0%) of the deaths presented with acidosis. Two (7.4%) and four (14.3%) cases of the 27 non-diabetic ketotic patients developed severe acidosis and died, respectively, and one (25.0%) of the deaths presented with acidosis. This suggested that COVID-19 infection caused ketosis or ketoacidosis, and induced DKA for those patients with diabetes. Ketosis increased the length of hospital stay and mortality. Meanwhile, diabetes increased the length of hospital stay for patients with ketosis but had no effect on their mortality. This article is protected by copyright. All rights reserved.","author":[{"dropping-particle":"","family":"Li","given":"Juyi","non-dropping-particle":"","parse-names":false,"suffix":""},{"dropping-particle":"","family":"Wang","given":"Xiufang","non-dropping-particle":"","parse-names":false,"suffix":""},{"dropping-particle":"","family":"Chen","given":"Jian","non-dropping-particle":"","parse-names":false,"suffix":""},{"dropping-particle":"","family":"Zuo","given":"Xiuran","non-dropping-particle":"","parse-names":false,"suffix":""},{"dropping-particle":"","family":"Zhang","given":"Hongmei","non-dropping-particle":"","parse-names":false,"suffix":""},{"dropping-particle":"","family":"Deng","given":"Aiping","non-dropping-particle":"","parse-names":false,"suffix":""}],"container-title":"Diabetes, Obesity and Metabolism","id":"ITEM-1","issued":{"date-parts":[["2020"]]},"title":"COVID-19 infection may cause ketosis and ketoacidosis","type":"article-journal"},"uris":["http://www.mendeley.com/documents/?uuid=5d186147-8d1d-40f2-a2b0-1bd26aa677a5"]},{"id":"ITEM-2","itemData":{"DOI":"10.1016/S2213-8587(20)30221-7","ISSN":"2213-8587","author":[{"dropping-particle":"","family":"Armeni","given":"Eleni","non-dropping-particle":"","parse-names":false,"suffix":""},{"dropping-particle":"","family":"Aziz","given":"Umaira","non-dropping-particle":"","parse-names":false,"suffix":""},{"dropping-particle":"","family":"Qamar","given":"Sulmaaz","non-dropping-particle":"","parse-names":false,"suffix":""},{"dropping-particle":"","family":"Nasir","given":"Sadia","non-dropping-particle":"","parse-names":false,"suffix":""},{"dropping-particle":"","family":"Nethaji","given":"Chidambaram","non-dropping-particle":"","parse-names":false,"suffix":""},{"dropping-particle":"","family":"Negus","given":"Rupert","non-dropping-particle":"","parse-names":false,"suffix":""},{"dropping-particle":"","family":"Murch","given":"Nicholas","non-dropping-particle":"","parse-names":false,"suffix":""},{"dropping-particle":"","family":"Beynon","given":"Huw Clarke","non-dropping-particle":"","parse-names":false,"suffix":""},{"dropping-particle":"","family":"Bouloux","given":"Pierre","non-dropping-particle":"","parse-names":false,"suffix":""},{"dropping-particle":"","family":"Rosenthal","given":"Miranda","non-dropping-particle":"","parse-names":false,"suffix":""},{"dropping-particle":"","family":"Khan","given":"Sidrah","non-dropping-particle":"","parse-names":false,"suffix":""},{"dropping-particle":"","family":"Yousseif","given":"Ahmed","non-dropping-particle":"","parse-names":false,"suffix":""},{"dropping-particle":"","family":"Menon","given":"Ravi","non-dropping-particle":"","parse-names":false,"suffix":""},{"dropping-particle":"","family":"Karra","given":"Efthimia","non-dropping-particle":"","parse-names":false,"suffix":""}],"container-title":"The Lancet Diabetes &amp; Endocrinology","id":"ITEM-2","issued":{"date-parts":[["2020","7","5"]]},"note":"doi: 10.1016/S2213-8587(20)30221-7","publisher":"Elsevier","title":"Protracted ketonaemia in hyperglycaemic emergencies in COVID-19: a retrospective case series","type":"article-journal"},"uris":["http://www.mendeley.com/documents/?uuid=da1e101b-74f7-4076-8753-217adb60f03d"]}],"mendeley":{"formattedCitation":"(1,2)","plainTextFormattedCitation":"(1,2)","previouslyFormattedCitation":"(1,2)"},"properties":{"noteIndex":0},"schema":"https://github.com/citation-style-language/schema/raw/master/csl-citation.json"}</w:instrText>
      </w:r>
      <w:r w:rsidR="00202648">
        <w:fldChar w:fldCharType="separate"/>
      </w:r>
      <w:r w:rsidR="007A2A1B" w:rsidRPr="007A2A1B">
        <w:rPr>
          <w:noProof/>
        </w:rPr>
        <w:t>(1,2)</w:t>
      </w:r>
      <w:r w:rsidR="00202648">
        <w:fldChar w:fldCharType="end"/>
      </w:r>
      <w:r w:rsidR="00202648">
        <w:t xml:space="preserve"> </w:t>
      </w:r>
      <w:r w:rsidR="009E7861">
        <w:t>and led some to</w:t>
      </w:r>
      <w:r w:rsidR="00803530">
        <w:t xml:space="preserve"> hypothesise a direct effect of SARS-CoV-2 on </w:t>
      </w:r>
      <w:r w:rsidR="00F36610">
        <w:t xml:space="preserve">the pancreas itself </w:t>
      </w:r>
      <w:r w:rsidR="00F36610">
        <w:fldChar w:fldCharType="begin" w:fldLock="1"/>
      </w:r>
      <w:r w:rsidR="007A2A1B">
        <w:instrText>ADDIN CSL_CITATION {"citationItems":[{"id":"ITEM-1","itemData":{"DOI":"https://doi.org/10.1016/j.stem.2020.06.015","ISSN":"1934-5909","abstract":"Summary SARS-CoV-2 has caused the COVID-19 pandemic. There is an urgent need for physiological models to study SARS-CoV-2 infection using human disease-relevant cells. COVID-19 pathophysiology includes respiratory failure but involves other organ systems including gut, liver, heart, and pancreas. We present an experimental platform comprised of cell and organoid derivatives from human pluripotent stem cells (hPSCs). A Spike-enabled pseudo-entry virus infects pancreatic endocrine cells, liver organoids, cardiomyocytes, and dopaminergic neurons. Recent clinical studies show a strong association with COVID-19 and diabetes. We find that human pancreatic beta cells and liver organoids are highly permissive to SARS-CoV-2 infection, further validated using adult primary human islets and adult hepatocyte and cholangiocyte organoids. SARS-CoV-2 infection caused striking expression of chemokines, as also seen in primary human COVID-19 pulmonary autopsy samples. hPSC-derived cells/organoids provide valuable models for understanding the cellular responses of human tissues to SARS-CoV-2 infection and for disease modeling of COVID-19.","author":[{"dropping-particle":"","family":"Yang","given":"Liuliu","non-dropping-particle":"","parse-names":false,"suffix":""},{"dropping-particle":"","family":"Han","given":"Yuling","non-dropping-particle":"","parse-names":false,"suffix":""},{"dropping-particle":"","family":"Nilsson-Payant","given":"Benjamin E","non-dropping-particle":"","parse-names":false,"suffix":""},{"dropping-particle":"","family":"Gupta","given":"Vikas","non-dropping-particle":"","parse-names":false,"suffix":""},{"dropping-particle":"","family":"Wang","given":"Pengfei","non-dropping-particle":"","parse-names":false,"suffix":""},{"dropping-particle":"","family":"Duan","given":"Xiaohua","non-dropping-particle":"","parse-names":false,"suffix":""},{"dropping-particle":"","family":"Tang","given":"Xuming","non-dropping-particle":"","parse-names":false,"suffix":""},{"dropping-particle":"","family":"Zhu","given":"Jiajun","non-dropping-particle":"","parse-names":false,"suffix":""},{"dropping-particle":"","family":"Zhao","given":"Zeping","non-dropping-particle":"","parse-names":false,"suffix":""},{"dropping-particle":"","family":"Jaffré","given":"Fabrice","non-dropping-particle":"","parse-names":false,"suffix":""},{"dropping-particle":"","family":"Zhang","given":"Tuo","non-dropping-particle":"","parse-names":false,"suffix":""},{"dropping-particle":"","family":"Kim","given":"Tae Wan","non-dropping-particle":"","parse-names":false,"suffix":""},{"dropping-particle":"","family":"Harschnitz","given":"Oliver","non-dropping-particle":"","parse-names":false,"suffix":""},{"dropping-particle":"","family":"Redmond","given":"David","non-dropping-particle":"","parse-names":false,"suffix":""},{"dropping-particle":"","family":"Houghton","given":"Sean","non-dropping-particle":"","parse-names":false,"suffix":""},{"dropping-particle":"","family":"Liu","given":"Chengyang","non-dropping-particle":"","parse-names":false,"suffix":""},{"dropping-particle":"","family":"Naji","given":"Ali","non-dropping-particle":"","parse-names":false,"suffix":""},{"dropping-particle":"","family":"Ciceri","given":"Gabriele","non-dropping-particle":"","parse-names":false,"suffix":""},{"dropping-particle":"","family":"Guttikonda","given":"Sudha","non-dropping-particle":"","parse-names":false,"suffix":""},{"dropping-particle":"","family":"Bram","given":"Yaron","non-dropping-particle":"","parse-names":false,"suffix":""},{"dropping-particle":"","family":"Nguyen","given":"Duc-Huy T","non-dropping-particle":"","parse-names":false,"suffix":""},{"dropping-particle":"","family":"Cioffi","given":"Michele","non-dropping-particle":"","parse-names":false,"suffix":""},{"dropping-particle":"","family":"Chandar","given":"Vasuretha","non-dropping-particle":"","parse-names":false,"suffix":""},{"dropping-particle":"","family":"Hoagland","given":"Daisy A","non-dropping-particle":"","parse-names":false,"suffix":""},{"dropping-particle":"","family":"Huang","given":"Yaoxing","non-dropping-particle":"","parse-names":false,"suffix":""},{"dropping-particle":"","family":"Xiang","given":"Jenny","non-dropping-particle":"","parse-names":false,"suffix":""},{"dropping-particle":"","family":"Wang","given":"Hui","non-dropping-particle":"","parse-names":false,"suffix":""},{"dropping-particle":"","family":"Lyden","given":"David","non-dropping-particle":"","parse-names":false,"suffix":""},{"dropping-particle":"","family":"Borczuk","given":"Alain","non-dropping-particle":"","parse-names":false,"suffix":""},{"dropping-particle":"","family":"Chen","given":"Huanhuan Joyce","non-dropping-particle":"","parse-names":false,"suffix":""},{"dropping-particle":"","family":"Studer","given":"Lorenz","non-dropping-particle":"","parse-names":false,"suffix":""},{"dropping-particle":"","family":"Pan","given":"Fong Cheng","non-dropping-particle":"","parse-names":false,"suffix":""},{"dropping-particle":"","family":"Ho","given":"David D","non-dropping-particle":"","parse-names":false,"suffix":""},{"dropping-particle":"","family":"tenOever","given":"Benjamin R","non-dropping-particle":"","parse-names":false,"suffix":""},{"dropping-particle":"","family":"Evans","given":"Todd","non-dropping-particle":"","parse-names":false,"suffix":""},{"dropping-particle":"","family":"Schwartz","given":"Robert E","non-dropping-particle":"","parse-names":false,"suffix":""},{"dropping-particle":"","family":"Chen","given":"Shuibing","non-dropping-particle":"","parse-names":false,"suffix":""}],"container-title":"Cell Stem Cell","id":"ITEM-1","issue":"1","issued":{"date-parts":[["2020"]]},"page":"125-136.e7","title":"A Human Pluripotent Stem Cell-based Platform to Study SARS-CoV-2 Tropism and Model Virus Infection in Human Cells and Organoids","type":"article-journal","volume":"27"},"uris":["http://www.mendeley.com/documents/?uuid=bf2ddfcd-a422-42cd-bd23-ef7fb458c2b1"]}],"mendeley":{"formattedCitation":"(3)","plainTextFormattedCitation":"(3)","previouslyFormattedCitation":"(3)"},"properties":{"noteIndex":0},"schema":"https://github.com/citation-style-language/schema/raw/master/csl-citation.json"}</w:instrText>
      </w:r>
      <w:r w:rsidR="00F36610">
        <w:fldChar w:fldCharType="separate"/>
      </w:r>
      <w:r w:rsidR="007A2A1B" w:rsidRPr="007A2A1B">
        <w:rPr>
          <w:noProof/>
        </w:rPr>
        <w:t>(3)</w:t>
      </w:r>
      <w:r w:rsidR="00F36610">
        <w:fldChar w:fldCharType="end"/>
      </w:r>
      <w:r w:rsidR="00803530">
        <w:t>.</w:t>
      </w:r>
      <w:r w:rsidR="008E4693">
        <w:t xml:space="preserve"> </w:t>
      </w:r>
    </w:p>
    <w:p w14:paraId="11C2FD54" w14:textId="35437A2D" w:rsidR="00E850BA" w:rsidRPr="00666E0D" w:rsidRDefault="00BD2506" w:rsidP="00190EE8">
      <w:pPr>
        <w:spacing w:line="360" w:lineRule="auto"/>
        <w:jc w:val="both"/>
      </w:pPr>
      <w:r w:rsidRPr="00666E0D">
        <w:t xml:space="preserve">We </w:t>
      </w:r>
      <w:r w:rsidR="00887583">
        <w:t>address</w:t>
      </w:r>
      <w:r w:rsidR="009B28DC">
        <w:t>ed</w:t>
      </w:r>
      <w:r w:rsidR="00887583">
        <w:t xml:space="preserve"> </w:t>
      </w:r>
      <w:r w:rsidR="004E69C5">
        <w:t>the</w:t>
      </w:r>
      <w:r w:rsidR="00887583">
        <w:t xml:space="preserve"> observational bias</w:t>
      </w:r>
      <w:r w:rsidR="004E69C5">
        <w:t xml:space="preserve"> of </w:t>
      </w:r>
      <w:r w:rsidR="00202648">
        <w:t>such</w:t>
      </w:r>
      <w:r w:rsidR="004E69C5">
        <w:t xml:space="preserve"> reports</w:t>
      </w:r>
      <w:r w:rsidR="00887583">
        <w:t xml:space="preserve">, </w:t>
      </w:r>
      <w:r w:rsidRPr="00666E0D">
        <w:t xml:space="preserve">by comparing </w:t>
      </w:r>
      <w:r w:rsidR="00887583">
        <w:t xml:space="preserve">DKA </w:t>
      </w:r>
      <w:r w:rsidRPr="00666E0D">
        <w:t>cases</w:t>
      </w:r>
      <w:r w:rsidR="00202648">
        <w:t xml:space="preserve"> and </w:t>
      </w:r>
      <w:r w:rsidR="009E7861">
        <w:t>characteristics</w:t>
      </w:r>
      <w:r w:rsidR="00110710">
        <w:t xml:space="preserve"> in adults</w:t>
      </w:r>
      <w:r w:rsidRPr="00666E0D">
        <w:t xml:space="preserve"> during the outbreak</w:t>
      </w:r>
      <w:r w:rsidR="00B846D5" w:rsidRPr="00666E0D">
        <w:t>,</w:t>
      </w:r>
      <w:r w:rsidRPr="00666E0D">
        <w:t xml:space="preserve"> </w:t>
      </w:r>
      <w:r w:rsidR="000A1FC8" w:rsidRPr="00666E0D">
        <w:t>to matched</w:t>
      </w:r>
      <w:r w:rsidRPr="00666E0D">
        <w:t xml:space="preserve"> </w:t>
      </w:r>
      <w:r w:rsidR="00F92A46" w:rsidRPr="00666E0D">
        <w:t>4-month</w:t>
      </w:r>
      <w:r w:rsidRPr="00666E0D">
        <w:t xml:space="preserve"> period</w:t>
      </w:r>
      <w:r w:rsidR="00162084" w:rsidRPr="00666E0D">
        <w:t>s (1</w:t>
      </w:r>
      <w:r w:rsidR="00162084" w:rsidRPr="00666E0D">
        <w:rPr>
          <w:vertAlign w:val="superscript"/>
        </w:rPr>
        <w:t>st</w:t>
      </w:r>
      <w:r w:rsidR="00162084" w:rsidRPr="00666E0D">
        <w:t xml:space="preserve"> February – 31</w:t>
      </w:r>
      <w:r w:rsidR="00162084" w:rsidRPr="00666E0D">
        <w:rPr>
          <w:vertAlign w:val="superscript"/>
        </w:rPr>
        <w:t>st</w:t>
      </w:r>
      <w:r w:rsidR="00162084" w:rsidRPr="00666E0D">
        <w:t xml:space="preserve"> May)</w:t>
      </w:r>
      <w:r w:rsidRPr="00666E0D">
        <w:t xml:space="preserve"> </w:t>
      </w:r>
      <w:r w:rsidR="009E7861">
        <w:t>from 2017-2019</w:t>
      </w:r>
      <w:r w:rsidR="000A1FC8">
        <w:t xml:space="preserve">, at a </w:t>
      </w:r>
      <w:r w:rsidR="00803530">
        <w:t xml:space="preserve">large </w:t>
      </w:r>
      <w:r w:rsidR="000A1FC8">
        <w:t>London NHS Trust</w:t>
      </w:r>
      <w:r w:rsidRPr="00666E0D">
        <w:t>.</w:t>
      </w:r>
      <w:r w:rsidR="008E4693">
        <w:t xml:space="preserve"> </w:t>
      </w:r>
    </w:p>
    <w:p w14:paraId="798259A9" w14:textId="64BB717D" w:rsidR="004E372C" w:rsidRPr="00666E0D" w:rsidRDefault="000C39EA" w:rsidP="00DB5A0D">
      <w:pPr>
        <w:spacing w:line="360" w:lineRule="auto"/>
        <w:jc w:val="both"/>
      </w:pPr>
      <w:r>
        <w:t>Analysing</w:t>
      </w:r>
      <w:r w:rsidR="00F24CBB" w:rsidRPr="00666E0D">
        <w:t xml:space="preserve"> </w:t>
      </w:r>
      <w:r w:rsidR="000C2691">
        <w:t>175</w:t>
      </w:r>
      <w:r w:rsidR="00F24CBB" w:rsidRPr="00666E0D">
        <w:t xml:space="preserve"> </w:t>
      </w:r>
      <w:r w:rsidR="009E7861">
        <w:t>biochemically confirmed</w:t>
      </w:r>
      <w:r w:rsidR="009E7861" w:rsidRPr="00666E0D">
        <w:t xml:space="preserve"> </w:t>
      </w:r>
      <w:r w:rsidR="009E7861">
        <w:t xml:space="preserve">DKA </w:t>
      </w:r>
      <w:r w:rsidR="00F24CBB" w:rsidRPr="00666E0D">
        <w:t>cases</w:t>
      </w:r>
      <w:r w:rsidR="00202648">
        <w:t>, the</w:t>
      </w:r>
      <w:r w:rsidR="00F24CBB" w:rsidRPr="00666E0D">
        <w:t xml:space="preserve"> 3-year average for cases</w:t>
      </w:r>
      <w:r w:rsidR="00B715EA">
        <w:t xml:space="preserve"> </w:t>
      </w:r>
      <w:r w:rsidR="000D23D9" w:rsidRPr="00666E0D">
        <w:t xml:space="preserve">admitted </w:t>
      </w:r>
      <w:r w:rsidR="00104A1E">
        <w:t xml:space="preserve">over the </w:t>
      </w:r>
      <w:r w:rsidR="00F476DA">
        <w:t>4-month</w:t>
      </w:r>
      <w:r w:rsidR="00104A1E">
        <w:t xml:space="preserve"> period</w:t>
      </w:r>
      <w:r w:rsidR="00531D97" w:rsidRPr="00666E0D">
        <w:t xml:space="preserve"> was 4</w:t>
      </w:r>
      <w:r w:rsidR="00F55D7A">
        <w:t>4</w:t>
      </w:r>
      <w:r w:rsidR="00B715EA">
        <w:t xml:space="preserve"> </w:t>
      </w:r>
      <w:r w:rsidR="00104A1E">
        <w:t xml:space="preserve">(exact Poisson confidence interval, </w:t>
      </w:r>
      <w:r w:rsidR="00F459D0">
        <w:t>32-59</w:t>
      </w:r>
      <w:r w:rsidR="00B715EA">
        <w:t>)</w:t>
      </w:r>
      <w:r w:rsidR="00B715EA" w:rsidRPr="00666E0D">
        <w:t xml:space="preserve"> </w:t>
      </w:r>
      <w:r w:rsidR="00531D97" w:rsidRPr="00666E0D">
        <w:t xml:space="preserve"> </w:t>
      </w:r>
      <w:r w:rsidR="00202648">
        <w:t>versus</w:t>
      </w:r>
      <w:r w:rsidR="00531D97" w:rsidRPr="00666E0D">
        <w:t xml:space="preserve"> </w:t>
      </w:r>
      <w:r w:rsidR="00A46046">
        <w:t>4</w:t>
      </w:r>
      <w:r w:rsidR="00F55D7A">
        <w:t>3</w:t>
      </w:r>
      <w:r w:rsidR="00531D97" w:rsidRPr="00666E0D">
        <w:t xml:space="preserve"> </w:t>
      </w:r>
      <w:r w:rsidR="00F459D0">
        <w:t xml:space="preserve">(31-58) </w:t>
      </w:r>
      <w:r w:rsidR="00531D97" w:rsidRPr="00666E0D">
        <w:t xml:space="preserve">during the outbreak. </w:t>
      </w:r>
      <w:r w:rsidR="00F459D0">
        <w:t>A</w:t>
      </w:r>
      <w:r w:rsidR="00F66BE6" w:rsidRPr="00F66BE6">
        <w:t xml:space="preserve">lthough adult medical admissions reduced by 33% </w:t>
      </w:r>
      <w:r w:rsidR="00AC40F6">
        <w:t xml:space="preserve">(3-year average for the same time period 26,831 vs 19,267) </w:t>
      </w:r>
      <w:r w:rsidR="00F66BE6" w:rsidRPr="00F66BE6">
        <w:t xml:space="preserve">the proportion of individuals presenting with DKA during the outbreak was 0.22% of all admissions compared to a 3-year average of 0.16%, p=0.16. </w:t>
      </w:r>
    </w:p>
    <w:p w14:paraId="719553AF" w14:textId="2E932766" w:rsidR="00AD70C7" w:rsidRDefault="00D04E12" w:rsidP="0008270B">
      <w:pPr>
        <w:spacing w:line="360" w:lineRule="auto"/>
        <w:jc w:val="both"/>
      </w:pPr>
      <w:r>
        <w:t>Among those presenting with</w:t>
      </w:r>
      <w:r w:rsidR="004E372C" w:rsidRPr="00666E0D">
        <w:t xml:space="preserve"> DKA</w:t>
      </w:r>
      <w:r>
        <w:t>, the proportion</w:t>
      </w:r>
      <w:r w:rsidR="005879CC">
        <w:t xml:space="preserve"> with </w:t>
      </w:r>
      <w:r>
        <w:t xml:space="preserve">a diagnosis of </w:t>
      </w:r>
      <w:r w:rsidR="005879CC">
        <w:t>type 2 diabetes</w:t>
      </w:r>
      <w:r w:rsidR="004E372C" w:rsidRPr="00666E0D">
        <w:t xml:space="preserve"> during the SARS-CoV-2 outbreak</w:t>
      </w:r>
      <w:r w:rsidR="005879CC">
        <w:t xml:space="preserve"> was higher</w:t>
      </w:r>
      <w:r w:rsidR="004E372C" w:rsidRPr="00666E0D">
        <w:t xml:space="preserve"> compared to the preceding 3-year</w:t>
      </w:r>
      <w:r w:rsidR="005879CC">
        <w:t>s</w:t>
      </w:r>
      <w:r w:rsidR="004E372C" w:rsidRPr="00666E0D">
        <w:t xml:space="preserve"> (</w:t>
      </w:r>
      <w:r w:rsidR="00430198">
        <w:t>3</w:t>
      </w:r>
      <w:r w:rsidR="004E372C" w:rsidRPr="00666E0D">
        <w:t>7% vs 1</w:t>
      </w:r>
      <w:r w:rsidR="00430198">
        <w:t>7</w:t>
      </w:r>
      <w:r w:rsidR="004E372C" w:rsidRPr="00666E0D">
        <w:t>%, p=0.</w:t>
      </w:r>
      <w:r w:rsidR="00DD74E6" w:rsidRPr="00666E0D">
        <w:t>0</w:t>
      </w:r>
      <w:r w:rsidR="00430198">
        <w:t>1</w:t>
      </w:r>
      <w:r w:rsidR="004E372C" w:rsidRPr="00666E0D">
        <w:t>)</w:t>
      </w:r>
      <w:r w:rsidR="00DD74E6">
        <w:t xml:space="preserve"> (table </w:t>
      </w:r>
      <w:r w:rsidR="00AC40F6">
        <w:t>1</w:t>
      </w:r>
      <w:r w:rsidR="00660E21">
        <w:t>) and</w:t>
      </w:r>
      <w:r w:rsidR="005879CC">
        <w:t xml:space="preserve"> type 1 diabetes cases reduced</w:t>
      </w:r>
      <w:r w:rsidR="00AC40F6">
        <w:t xml:space="preserve"> </w:t>
      </w:r>
      <w:r w:rsidR="00202648">
        <w:t>from</w:t>
      </w:r>
      <w:r w:rsidR="005879CC">
        <w:t xml:space="preserve"> 68% </w:t>
      </w:r>
      <w:r w:rsidR="009B28DC">
        <w:t>pre-pandemic</w:t>
      </w:r>
      <w:r w:rsidR="005879CC">
        <w:t xml:space="preserve"> </w:t>
      </w:r>
      <w:r w:rsidR="00202648">
        <w:t>to</w:t>
      </w:r>
      <w:r w:rsidR="005879CC">
        <w:t xml:space="preserve"> 44%. </w:t>
      </w:r>
      <w:r w:rsidR="002C5CA7">
        <w:t xml:space="preserve">Adults </w:t>
      </w:r>
      <w:r w:rsidR="00DB5A0D" w:rsidRPr="00666E0D">
        <w:t xml:space="preserve">with type 2 diabetes had </w:t>
      </w:r>
      <w:r w:rsidR="00575906" w:rsidRPr="00666E0D">
        <w:t xml:space="preserve">a </w:t>
      </w:r>
      <w:r w:rsidR="00DB5A0D" w:rsidRPr="00666E0D">
        <w:t xml:space="preserve">significantly higher proportion of positivity to SARS-CoV-2 than those </w:t>
      </w:r>
      <w:r w:rsidR="00887583">
        <w:t>with other types of diabetes</w:t>
      </w:r>
      <w:r w:rsidR="00DB5A0D" w:rsidRPr="00666E0D">
        <w:t>; 89</w:t>
      </w:r>
      <w:r w:rsidR="0008270B">
        <w:t>%</w:t>
      </w:r>
      <w:r w:rsidR="00945474">
        <w:t xml:space="preserve"> </w:t>
      </w:r>
      <w:r w:rsidR="00DB5A0D" w:rsidRPr="00666E0D">
        <w:t xml:space="preserve">vs </w:t>
      </w:r>
      <w:r w:rsidR="00945474">
        <w:t>2</w:t>
      </w:r>
      <w:r w:rsidR="0054240A">
        <w:t>7</w:t>
      </w:r>
      <w:r w:rsidR="00DB5A0D" w:rsidRPr="00666E0D">
        <w:t>% respectively, p=0.0</w:t>
      </w:r>
      <w:r w:rsidR="008E3B6F">
        <w:t>0</w:t>
      </w:r>
      <w:r w:rsidR="0008270B">
        <w:t>9</w:t>
      </w:r>
      <w:r w:rsidR="0070036C">
        <w:t>.</w:t>
      </w:r>
    </w:p>
    <w:p w14:paraId="148A5CDF" w14:textId="68B877D1" w:rsidR="00202648" w:rsidRDefault="000C39EA" w:rsidP="0008270B">
      <w:pPr>
        <w:spacing w:line="360" w:lineRule="auto"/>
        <w:jc w:val="both"/>
      </w:pPr>
      <w:r>
        <w:t xml:space="preserve">Adults (n=43) presenting during the outbreak were older than those (n=132) in preceding years, median age 53 vs 44 years, p=0.03 and fewer </w:t>
      </w:r>
      <w:r w:rsidRPr="00666E0D">
        <w:t>were insulin-treated; 8</w:t>
      </w:r>
      <w:r>
        <w:t>9</w:t>
      </w:r>
      <w:r w:rsidRPr="00666E0D">
        <w:t xml:space="preserve">% </w:t>
      </w:r>
      <w:r>
        <w:t>vs</w:t>
      </w:r>
      <w:r w:rsidRPr="00666E0D">
        <w:t xml:space="preserve"> 60%</w:t>
      </w:r>
      <w:r>
        <w:t>,</w:t>
      </w:r>
      <w:r w:rsidRPr="00666E0D">
        <w:t xml:space="preserve"> p&lt;0.0001.</w:t>
      </w:r>
    </w:p>
    <w:p w14:paraId="4B4F2AC6" w14:textId="1E46C20C" w:rsidR="00893ED9" w:rsidRDefault="00893ED9" w:rsidP="0008270B">
      <w:pPr>
        <w:spacing w:line="360" w:lineRule="auto"/>
        <w:jc w:val="both"/>
      </w:pPr>
      <w:r>
        <w:t>Comparing n=89 type 1 diabetes</w:t>
      </w:r>
      <w:r w:rsidR="000C39EA">
        <w:t xml:space="preserve"> DKA cases</w:t>
      </w:r>
      <w:r>
        <w:t xml:space="preserve"> pre-pandemic to n=19 during the outbreak, we observed no significant differences in demographic or biochemical characteristics</w:t>
      </w:r>
      <w:r w:rsidR="0072199D">
        <w:t xml:space="preserve"> (pH, ketone </w:t>
      </w:r>
      <w:r w:rsidR="00E247F9">
        <w:t>or</w:t>
      </w:r>
      <w:r w:rsidR="0072199D">
        <w:t xml:space="preserve"> bicarbonate level)</w:t>
      </w:r>
      <w:r>
        <w:t xml:space="preserve"> of DKA </w:t>
      </w:r>
      <w:r w:rsidR="00E56C02">
        <w:t xml:space="preserve">and </w:t>
      </w:r>
      <w:r>
        <w:t xml:space="preserve">noted </w:t>
      </w:r>
      <w:r w:rsidR="00E56C02">
        <w:t xml:space="preserve">markedly </w:t>
      </w:r>
      <w:r>
        <w:t>elevated HbA1c</w:t>
      </w:r>
      <w:r w:rsidR="000C39EA">
        <w:t xml:space="preserve"> </w:t>
      </w:r>
      <w:r>
        <w:t xml:space="preserve"> </w:t>
      </w:r>
      <w:r w:rsidR="000C39EA">
        <w:t>(11.1% /</w:t>
      </w:r>
      <w:r>
        <w:t>98</w:t>
      </w:r>
      <w:r w:rsidR="000C39EA">
        <w:t xml:space="preserve"> mmol/mol</w:t>
      </w:r>
      <w:r>
        <w:t xml:space="preserve"> pre-pandemic vs </w:t>
      </w:r>
      <w:r w:rsidR="000C39EA">
        <w:t>12.9%/</w:t>
      </w:r>
      <w:r>
        <w:t>118 (p=0.1)</w:t>
      </w:r>
      <w:r w:rsidR="000C39EA">
        <w:t>)</w:t>
      </w:r>
      <w:r w:rsidR="00E56C02">
        <w:t xml:space="preserve"> across both timeframes</w:t>
      </w:r>
      <w:r w:rsidR="000C39EA">
        <w:t>.</w:t>
      </w:r>
      <w:r w:rsidR="0072199D">
        <w:t xml:space="preserve"> </w:t>
      </w:r>
    </w:p>
    <w:p w14:paraId="15B3126C" w14:textId="7C3B879A" w:rsidR="00A2766F" w:rsidRDefault="00660E21" w:rsidP="00113330">
      <w:pPr>
        <w:spacing w:line="360" w:lineRule="auto"/>
        <w:jc w:val="both"/>
      </w:pPr>
      <w:r>
        <w:t>Adults</w:t>
      </w:r>
      <w:r w:rsidR="00893ED9">
        <w:t xml:space="preserve"> (n=22)</w:t>
      </w:r>
      <w:r w:rsidR="00887583">
        <w:t xml:space="preserve"> </w:t>
      </w:r>
      <w:r w:rsidR="00775F3E" w:rsidRPr="00666E0D">
        <w:t xml:space="preserve">with type 2 diabetes </w:t>
      </w:r>
      <w:r w:rsidR="000C39EA">
        <w:t>in</w:t>
      </w:r>
      <w:r w:rsidR="00775F3E" w:rsidRPr="00666E0D">
        <w:t xml:space="preserve"> DKA</w:t>
      </w:r>
      <w:r w:rsidR="00893ED9">
        <w:t xml:space="preserve"> during the outbreak</w:t>
      </w:r>
      <w:r w:rsidR="00775F3E" w:rsidRPr="00666E0D">
        <w:t xml:space="preserve"> were </w:t>
      </w:r>
      <w:r w:rsidR="00984665">
        <w:t xml:space="preserve">of similar age to </w:t>
      </w:r>
      <w:r w:rsidR="00E56C02">
        <w:t xml:space="preserve">pre-pandemic </w:t>
      </w:r>
      <w:r w:rsidR="00893ED9">
        <w:t xml:space="preserve">(69 vs 63 years p=0.5) </w:t>
      </w:r>
      <w:r w:rsidR="00E247F9">
        <w:t>and</w:t>
      </w:r>
      <w:r w:rsidR="008C2D13">
        <w:t xml:space="preserve"> </w:t>
      </w:r>
      <w:r w:rsidR="00893ED9">
        <w:t xml:space="preserve">no demographic or biochemical differences </w:t>
      </w:r>
      <w:r w:rsidR="00E247F9">
        <w:t xml:space="preserve">were </w:t>
      </w:r>
      <w:r w:rsidR="00893ED9">
        <w:t>observed</w:t>
      </w:r>
      <w:r w:rsidR="007D3F6C">
        <w:t xml:space="preserve"> including</w:t>
      </w:r>
      <w:r w:rsidR="00893ED9">
        <w:t xml:space="preserve"> </w:t>
      </w:r>
      <w:r w:rsidR="00A2766F">
        <w:t xml:space="preserve">SGLT-2 </w:t>
      </w:r>
      <w:r w:rsidR="00BC21C6">
        <w:t>inhibitor</w:t>
      </w:r>
      <w:r w:rsidR="00A2766F">
        <w:t xml:space="preserve"> use </w:t>
      </w:r>
      <w:r w:rsidR="007D3F6C">
        <w:t>(table 1).</w:t>
      </w:r>
    </w:p>
    <w:p w14:paraId="0E44A97F" w14:textId="1CD9F0D2" w:rsidR="00515FF9" w:rsidRDefault="000C39EA" w:rsidP="00113330">
      <w:pPr>
        <w:spacing w:line="360" w:lineRule="auto"/>
        <w:jc w:val="both"/>
      </w:pPr>
      <w:r>
        <w:t xml:space="preserve">People </w:t>
      </w:r>
      <w:r w:rsidR="00BC295B" w:rsidRPr="00666E0D">
        <w:t>with type 2 diabetes in DKA who ha</w:t>
      </w:r>
      <w:r w:rsidR="001C276F">
        <w:t>d</w:t>
      </w:r>
      <w:r w:rsidR="00BC295B" w:rsidRPr="00666E0D">
        <w:t xml:space="preserve"> </w:t>
      </w:r>
      <w:r w:rsidR="00660E21">
        <w:t>Covid-19</w:t>
      </w:r>
      <w:r>
        <w:t xml:space="preserve"> (n=8)</w:t>
      </w:r>
      <w:r w:rsidR="00660E21">
        <w:t xml:space="preserve"> </w:t>
      </w:r>
      <w:r w:rsidR="00B73AAE">
        <w:t>were more likely to be of non-white ethnicity (100% vs 35%, p=0.0</w:t>
      </w:r>
      <w:r w:rsidR="00893ED9">
        <w:t>15</w:t>
      </w:r>
      <w:r w:rsidR="00B73AAE">
        <w:t>)</w:t>
      </w:r>
      <w:r>
        <w:t xml:space="preserve"> than cases pre-pandemic (n=22) </w:t>
      </w:r>
      <w:r w:rsidR="00893ED9">
        <w:t>and equally likely to not be insulin treated (50% vs 50%)</w:t>
      </w:r>
      <w:r w:rsidR="00B73AAE">
        <w:t>.</w:t>
      </w:r>
      <w:r w:rsidR="009E7861">
        <w:t xml:space="preserve"> </w:t>
      </w:r>
      <w:r w:rsidR="00BA5318">
        <w:t>In total 5/</w:t>
      </w:r>
      <w:r w:rsidR="002132C3">
        <w:t>43</w:t>
      </w:r>
      <w:r w:rsidR="00515FF9">
        <w:t xml:space="preserve"> (</w:t>
      </w:r>
      <w:r w:rsidR="002132C3">
        <w:t>12</w:t>
      </w:r>
      <w:r w:rsidR="00515FF9">
        <w:t>%)</w:t>
      </w:r>
      <w:r w:rsidR="00BA5318">
        <w:t xml:space="preserve"> individuals</w:t>
      </w:r>
      <w:r w:rsidR="00893ED9">
        <w:t xml:space="preserve"> (all with type 2 diabetes and 4/5 with Covid-19)</w:t>
      </w:r>
      <w:r w:rsidR="00BA5318">
        <w:t xml:space="preserve"> died during their admission with DKA </w:t>
      </w:r>
      <w:r w:rsidR="00515FF9">
        <w:t>compared to 3/1</w:t>
      </w:r>
      <w:r w:rsidR="002132C3">
        <w:t>3</w:t>
      </w:r>
      <w:r w:rsidR="00984665">
        <w:t>0</w:t>
      </w:r>
      <w:r w:rsidR="00515FF9">
        <w:t xml:space="preserve"> (2.</w:t>
      </w:r>
      <w:r w:rsidR="002132C3">
        <w:t>3</w:t>
      </w:r>
      <w:r w:rsidR="00515FF9">
        <w:t xml:space="preserve">%),  </w:t>
      </w:r>
      <w:r w:rsidR="00515FF9">
        <w:lastRenderedPageBreak/>
        <w:t>p=0.0</w:t>
      </w:r>
      <w:r w:rsidR="002132C3">
        <w:t>23</w:t>
      </w:r>
      <w:r w:rsidR="00660E21">
        <w:t xml:space="preserve">, </w:t>
      </w:r>
      <w:r w:rsidR="00515FF9">
        <w:t>pre-</w:t>
      </w:r>
      <w:r w:rsidR="00515FF9" w:rsidRPr="00C36740">
        <w:t>pandemic</w:t>
      </w:r>
      <w:r w:rsidR="009D5EBB">
        <w:t xml:space="preserve"> (table 1)</w:t>
      </w:r>
      <w:r w:rsidR="00515FF9" w:rsidRPr="00C36740">
        <w:t xml:space="preserve">. </w:t>
      </w:r>
      <w:r w:rsidR="00C36740">
        <w:t>Those</w:t>
      </w:r>
      <w:r w:rsidR="00C947B4" w:rsidRPr="00C36740">
        <w:t xml:space="preserve"> who died </w:t>
      </w:r>
      <w:r w:rsidR="00C947B4" w:rsidRPr="00105025">
        <w:rPr>
          <w:color w:val="000000"/>
        </w:rPr>
        <w:t xml:space="preserve">had </w:t>
      </w:r>
      <w:r w:rsidR="00C36740" w:rsidRPr="00105025">
        <w:rPr>
          <w:color w:val="000000"/>
        </w:rPr>
        <w:t>significant</w:t>
      </w:r>
      <w:r w:rsidR="00C947B4" w:rsidRPr="00105025">
        <w:rPr>
          <w:color w:val="000000"/>
        </w:rPr>
        <w:t xml:space="preserve"> comorbidities</w:t>
      </w:r>
      <w:r w:rsidR="00C36740" w:rsidRPr="00105025">
        <w:rPr>
          <w:color w:val="000000"/>
        </w:rPr>
        <w:t xml:space="preserve"> or</w:t>
      </w:r>
      <w:r w:rsidR="00C947B4" w:rsidRPr="00105025">
        <w:rPr>
          <w:color w:val="000000"/>
        </w:rPr>
        <w:t xml:space="preserve"> multi-organ failure </w:t>
      </w:r>
      <w:r w:rsidR="000B5817">
        <w:rPr>
          <w:color w:val="000000"/>
        </w:rPr>
        <w:t>at</w:t>
      </w:r>
      <w:r w:rsidR="00C947B4" w:rsidRPr="00105025">
        <w:rPr>
          <w:color w:val="000000"/>
        </w:rPr>
        <w:t xml:space="preserve"> admission and were not deemed appropriate for intensive care or ventilatory support.</w:t>
      </w:r>
    </w:p>
    <w:p w14:paraId="3B57964E" w14:textId="77777777" w:rsidR="00573A51" w:rsidRPr="00DA3A60" w:rsidRDefault="00573A51" w:rsidP="00113330">
      <w:pPr>
        <w:spacing w:line="360" w:lineRule="auto"/>
        <w:jc w:val="both"/>
        <w:rPr>
          <w:rFonts w:ascii="Courier New" w:hAnsi="Courier New" w:cs="Courier New"/>
          <w:sz w:val="18"/>
          <w:szCs w:val="18"/>
        </w:rPr>
      </w:pPr>
    </w:p>
    <w:p w14:paraId="347D46B5" w14:textId="2267766A" w:rsidR="00660E21" w:rsidRDefault="00660E21" w:rsidP="006570D4">
      <w:pPr>
        <w:spacing w:line="360" w:lineRule="auto"/>
        <w:jc w:val="both"/>
      </w:pPr>
      <w:r>
        <w:t>In this</w:t>
      </w:r>
      <w:r w:rsidR="005A6A16">
        <w:t xml:space="preserve"> systematic</w:t>
      </w:r>
      <w:r w:rsidR="005A6A16" w:rsidRPr="00666E0D">
        <w:t xml:space="preserve"> analysis of DKA presentations during the SARS-CoV-2 pandemic</w:t>
      </w:r>
      <w:r>
        <w:t xml:space="preserve"> </w:t>
      </w:r>
      <w:r w:rsidR="005A6A16" w:rsidRPr="00666E0D">
        <w:t>compa</w:t>
      </w:r>
      <w:r w:rsidR="00887583">
        <w:t>red</w:t>
      </w:r>
      <w:r w:rsidR="005A6A16" w:rsidRPr="00666E0D">
        <w:t xml:space="preserve"> </w:t>
      </w:r>
      <w:r w:rsidR="00887583">
        <w:t>to</w:t>
      </w:r>
      <w:r w:rsidR="005A6A16" w:rsidRPr="00666E0D">
        <w:t xml:space="preserve"> previous years</w:t>
      </w:r>
      <w:r>
        <w:t>, no</w:t>
      </w:r>
      <w:r w:rsidR="00573A51">
        <w:t xml:space="preserve"> significant change</w:t>
      </w:r>
      <w:r w:rsidR="00D15B05">
        <w:t>s</w:t>
      </w:r>
      <w:r w:rsidR="00573A51">
        <w:t xml:space="preserve"> </w:t>
      </w:r>
      <w:r w:rsidR="009E7861">
        <w:t>in</w:t>
      </w:r>
      <w:r w:rsidR="000C39EA">
        <w:t xml:space="preserve"> absolute</w:t>
      </w:r>
      <w:r w:rsidR="009E7861">
        <w:t xml:space="preserve"> </w:t>
      </w:r>
      <w:r w:rsidR="00573A51">
        <w:t>numbers of DKA cases</w:t>
      </w:r>
      <w:r>
        <w:t xml:space="preserve"> were observed</w:t>
      </w:r>
      <w:r w:rsidR="00F63522">
        <w:t xml:space="preserve"> but </w:t>
      </w:r>
      <w:r w:rsidR="00594B8F">
        <w:t>adults</w:t>
      </w:r>
      <w:r w:rsidR="0049341E" w:rsidRPr="00666E0D">
        <w:t xml:space="preserve"> with type 2 diabetes</w:t>
      </w:r>
      <w:r w:rsidR="00D11B6F" w:rsidRPr="00666E0D">
        <w:t xml:space="preserve"> disproportionately</w:t>
      </w:r>
      <w:r w:rsidR="0049341E" w:rsidRPr="00666E0D">
        <w:t xml:space="preserve"> </w:t>
      </w:r>
      <w:r w:rsidR="00D11B6F" w:rsidRPr="00666E0D">
        <w:t>contributed</w:t>
      </w:r>
      <w:r w:rsidR="0049341E" w:rsidRPr="00666E0D">
        <w:t xml:space="preserve"> to</w:t>
      </w:r>
      <w:r w:rsidR="00EF048E">
        <w:t xml:space="preserve"> cases. The</w:t>
      </w:r>
      <w:r w:rsidR="00D11B6F" w:rsidRPr="00666E0D">
        <w:t xml:space="preserve"> presentations of DKA in people with type 2 diabetes </w:t>
      </w:r>
      <w:r w:rsidR="006570D4">
        <w:t>were</w:t>
      </w:r>
      <w:r w:rsidR="00D11B6F" w:rsidRPr="00666E0D">
        <w:t xml:space="preserve"> significantly associated with</w:t>
      </w:r>
      <w:r w:rsidR="00DA5CE5">
        <w:t xml:space="preserve"> </w:t>
      </w:r>
      <w:r w:rsidR="00D11B6F" w:rsidRPr="00666E0D">
        <w:t>Covid-19</w:t>
      </w:r>
      <w:r w:rsidR="00D9247F">
        <w:t xml:space="preserve"> infection</w:t>
      </w:r>
      <w:r w:rsidR="00D11B6F" w:rsidRPr="00666E0D">
        <w:t xml:space="preserve">, whilst </w:t>
      </w:r>
      <w:r w:rsidR="00AE24B6">
        <w:t xml:space="preserve">proportions of </w:t>
      </w:r>
      <w:r w:rsidR="00D11B6F" w:rsidRPr="00666E0D">
        <w:t xml:space="preserve">people presenting in DKA with known type 1 diabetes </w:t>
      </w:r>
      <w:r w:rsidR="000C39EA">
        <w:t>reduced and</w:t>
      </w:r>
      <w:r w:rsidR="009E7861">
        <w:t xml:space="preserve"> </w:t>
      </w:r>
      <w:r w:rsidR="00D11B6F" w:rsidRPr="00666E0D">
        <w:t xml:space="preserve">were less likely to test positive. </w:t>
      </w:r>
    </w:p>
    <w:p w14:paraId="0ADC97EC" w14:textId="50EC054B" w:rsidR="00EF6DFB" w:rsidRDefault="00157FCB" w:rsidP="0054110F">
      <w:pPr>
        <w:spacing w:line="360" w:lineRule="auto"/>
        <w:jc w:val="both"/>
      </w:pPr>
      <w:r>
        <w:t xml:space="preserve">We </w:t>
      </w:r>
      <w:r w:rsidR="00887583">
        <w:t>hypothesise</w:t>
      </w:r>
      <w:r>
        <w:t xml:space="preserve"> </w:t>
      </w:r>
      <w:r w:rsidR="00C07737">
        <w:t xml:space="preserve">that the characteristics of those over-represented in the DKA cohort during the pandemic, reflect the characteristics of those most </w:t>
      </w:r>
      <w:r w:rsidR="00DE6B0A">
        <w:t>at risk of</w:t>
      </w:r>
      <w:r w:rsidR="00C07737">
        <w:t xml:space="preserve"> the severe manifestations of Covid-19</w:t>
      </w:r>
      <w:r w:rsidR="00DA5CE5">
        <w:t xml:space="preserve"> </w:t>
      </w:r>
      <w:r w:rsidR="00DA5CE5">
        <w:fldChar w:fldCharType="begin" w:fldLock="1"/>
      </w:r>
      <w:r w:rsidR="007A2A1B">
        <w:instrText>ADDIN CSL_CITATION {"citationItems":[{"id":"ITEM-1","itemData":{"URL":"https://www.england.nhs.uk/wp-content/uploads/2020/05/valabhji-COVID-19-and-Diabetes-Paper-1.pdf","accessed":{"date-parts":[["2020","7","16"]]},"author":[{"dropping-particle":"","family":"Barron","given":"Emma","non-dropping-particle":"","parse-names":false,"suffix":""},{"dropping-particle":"","family":"Bakhai","given":"Chirag","non-dropping-particle":"","parse-names":false,"suffix":""},{"dropping-particle":"","family":"Kar","given":"Partha","non-dropping-particle":"","parse-names":false,"suffix":""},{"dropping-particle":"","family":"Weaver","given":"Andy","non-dropping-particle":"","parse-names":false,"suffix":""},{"dropping-particle":"","family":"Bradley","given":"Dominique","non-dropping-particle":"","parse-names":false,"suffix":""},{"dropping-particle":"","family":"Ismail","given":"Hassan","non-dropping-particle":"","parse-names":false,"suffix":""},{"dropping-particle":"","family":"Knighton","given":"Peter","non-dropping-particle":"","parse-names":false,"suffix":""},{"dropping-particle":"","family":"Holman, Naomi Holman PhD, Khunit","given":"Kamlesh","non-dropping-particle":"","parse-names":false,"suffix":""},{"dropping-particle":"","family":"Naveed","given":"Sattar","non-dropping-particle":"","parse-names":false,"suffix":""},{"dropping-particle":"","family":"Wareham","given":"Nick","non-dropping-particle":"","parse-names":false,"suffix":""},{"dropping-particle":"","family":"Youn","given":"Bob","non-dropping-particle":"","parse-names":false,"suffix":""},{"dropping-particle":"","family":"Valbhji","given":"Jonathan","non-dropping-particle":"","parse-names":false,"suffix":""}],"id":"ITEM-1","issued":{"date-parts":[["2020"]]},"title":"Type 1 and Type 2 diabetes and COVID-19 related mortality in England: a whole population study","type":"webpage"},"uris":["http://www.mendeley.com/documents/?uuid=3e554741-46a5-4b83-ac29-016cbbe41ede"]}],"mendeley":{"formattedCitation":"(4)","plainTextFormattedCitation":"(4)","previouslyFormattedCitation":"(4)"},"properties":{"noteIndex":0},"schema":"https://github.com/citation-style-language/schema/raw/master/csl-citation.json"}</w:instrText>
      </w:r>
      <w:r w:rsidR="00DA5CE5">
        <w:fldChar w:fldCharType="separate"/>
      </w:r>
      <w:r w:rsidR="007A2A1B" w:rsidRPr="007A2A1B">
        <w:rPr>
          <w:noProof/>
        </w:rPr>
        <w:t>(4)</w:t>
      </w:r>
      <w:r w:rsidR="00DA5CE5">
        <w:fldChar w:fldCharType="end"/>
      </w:r>
      <w:r w:rsidR="00C07737">
        <w:t>; older individuals</w:t>
      </w:r>
      <w:r w:rsidR="00660E21">
        <w:t xml:space="preserve">, </w:t>
      </w:r>
      <w:r w:rsidR="005A6A16">
        <w:t xml:space="preserve">with suboptimal glycaemic control </w:t>
      </w:r>
      <w:r w:rsidR="00887583">
        <w:t>and</w:t>
      </w:r>
      <w:r w:rsidR="005A6A16">
        <w:t xml:space="preserve"> a propensity towards people from non-white ethnic groups</w:t>
      </w:r>
      <w:r w:rsidR="00887583">
        <w:t xml:space="preserve">, in those with Covid-19. </w:t>
      </w:r>
      <w:r w:rsidR="00660E21">
        <w:t xml:space="preserve"> </w:t>
      </w:r>
      <w:r w:rsidR="000D7272" w:rsidRPr="00666E0D">
        <w:t xml:space="preserve">A study of </w:t>
      </w:r>
      <w:r w:rsidR="00F476DA">
        <w:t>n=</w:t>
      </w:r>
      <w:r w:rsidR="000D7272" w:rsidRPr="00666E0D">
        <w:t xml:space="preserve">35 </w:t>
      </w:r>
      <w:r w:rsidR="000B22A7" w:rsidRPr="00666E0D">
        <w:t>hyperglycaemic emergencies</w:t>
      </w:r>
      <w:r w:rsidR="009E6325" w:rsidRPr="00666E0D">
        <w:t xml:space="preserve"> </w:t>
      </w:r>
      <w:r w:rsidR="009E6325" w:rsidRPr="00666E0D">
        <w:fldChar w:fldCharType="begin" w:fldLock="1"/>
      </w:r>
      <w:r w:rsidR="007A2A1B">
        <w:instrText>ADDIN CSL_CITATION {"citationItems":[{"id":"ITEM-1","itemData":{"DOI":"10.1016/S2213-8587(20)30221-7","ISSN":"2213-8587","author":[{"dropping-particle":"","family":"Armeni","given":"Eleni","non-dropping-particle":"","parse-names":false,"suffix":""},{"dropping-particle":"","family":"Aziz","given":"Umaira","non-dropping-particle":"","parse-names":false,"suffix":""},{"dropping-particle":"","family":"Qamar","given":"Sulmaaz","non-dropping-particle":"","parse-names":false,"suffix":""},{"dropping-particle":"","family":"Nasir","given":"Sadia","non-dropping-particle":"","parse-names":false,"suffix":""},{"dropping-particle":"","family":"Nethaji","given":"Chidambaram","non-dropping-particle":"","parse-names":false,"suffix":""},{"dropping-particle":"","family":"Negus","given":"Rupert","non-dropping-particle":"","parse-names":false,"suffix":""},{"dropping-particle":"","family":"Murch","given":"Nicholas","non-dropping-particle":"","parse-names":false,"suffix":""},{"dropping-particle":"","family":"Beynon","given":"Huw Clarke","non-dropping-particle":"","parse-names":false,"suffix":""},{"dropping-particle":"","family":"Bouloux","given":"Pierre","non-dropping-particle":"","parse-names":false,"suffix":""},{"dropping-particle":"","family":"Rosenthal","given":"Miranda","non-dropping-particle":"","parse-names":false,"suffix":""},{"dropping-particle":"","family":"Khan","given":"Sidrah","non-dropping-particle":"","parse-names":false,"suffix":""},{"dropping-particle":"","family":"Yousseif","given":"Ahmed","non-dropping-particle":"","parse-names":false,"suffix":""},{"dropping-particle":"","family":"Menon","given":"Ravi","non-dropping-particle":"","parse-names":false,"suffix":""},{"dropping-particle":"","family":"Karra","given":"Efthimia","non-dropping-particle":"","parse-names":false,"suffix":""}],"container-title":"The Lancet Diabetes &amp; Endocrinology","id":"ITEM-1","issued":{"date-parts":[["2020","7","5"]]},"note":"doi: 10.1016/S2213-8587(20)30221-7","publisher":"Elsevier","title":"Protracted ketonaemia in hyperglycaemic emergencies in COVID-19: a retrospective case series","type":"article-journal"},"uris":["http://www.mendeley.com/documents/?uuid=da1e101b-74f7-4076-8753-217adb60f03d"]}],"mendeley":{"formattedCitation":"(2)","plainTextFormattedCitation":"(2)","previouslyFormattedCitation":"(2)"},"properties":{"noteIndex":0},"schema":"https://github.com/citation-style-language/schema/raw/master/csl-citation.json"}</w:instrText>
      </w:r>
      <w:r w:rsidR="009E6325" w:rsidRPr="00666E0D">
        <w:fldChar w:fldCharType="separate"/>
      </w:r>
      <w:r w:rsidR="007A2A1B" w:rsidRPr="007A2A1B">
        <w:rPr>
          <w:noProof/>
        </w:rPr>
        <w:t>(2)</w:t>
      </w:r>
      <w:r w:rsidR="009E6325" w:rsidRPr="00666E0D">
        <w:fldChar w:fldCharType="end"/>
      </w:r>
      <w:r w:rsidR="000D7272" w:rsidRPr="00666E0D">
        <w:t xml:space="preserve"> in SARS-CoV-2 positive patients </w:t>
      </w:r>
      <w:r w:rsidR="0054110F" w:rsidRPr="00666E0D">
        <w:t>supports</w:t>
      </w:r>
      <w:r w:rsidR="000D7272" w:rsidRPr="00666E0D">
        <w:t xml:space="preserve"> our observation </w:t>
      </w:r>
      <w:r w:rsidR="00893ED9">
        <w:t>of excess</w:t>
      </w:r>
      <w:r w:rsidR="000D7272" w:rsidRPr="00666E0D">
        <w:t xml:space="preserve"> type 2 diabetes</w:t>
      </w:r>
      <w:r w:rsidR="00893ED9">
        <w:t xml:space="preserve"> presentations</w:t>
      </w:r>
      <w:r w:rsidR="000D7272" w:rsidRPr="00666E0D">
        <w:t xml:space="preserve">. </w:t>
      </w:r>
    </w:p>
    <w:p w14:paraId="1C45D864" w14:textId="12CE0ED1" w:rsidR="00D15B05" w:rsidRDefault="00D15B05" w:rsidP="00D15B05">
      <w:pPr>
        <w:spacing w:line="360" w:lineRule="auto"/>
        <w:jc w:val="both"/>
      </w:pPr>
      <w:r>
        <w:t>The</w:t>
      </w:r>
      <w:r w:rsidRPr="00666E0D">
        <w:t xml:space="preserve"> ‘stress response’ associated with Covid-19 </w:t>
      </w:r>
      <w:r>
        <w:t xml:space="preserve">may account for the higher proportion of DKA in those with type 2 diabetes; </w:t>
      </w:r>
      <w:r w:rsidR="00893ED9">
        <w:t>relative insulin deficiency from</w:t>
      </w:r>
      <w:r>
        <w:t xml:space="preserve"> </w:t>
      </w:r>
      <w:r w:rsidRPr="00666E0D">
        <w:t>ris</w:t>
      </w:r>
      <w:r>
        <w:t>ing</w:t>
      </w:r>
      <w:r w:rsidRPr="00666E0D">
        <w:t xml:space="preserve"> </w:t>
      </w:r>
      <w:r>
        <w:t xml:space="preserve">glucagon and cortisol </w:t>
      </w:r>
      <w:r w:rsidRPr="00666E0D">
        <w:t>contribute</w:t>
      </w:r>
      <w:r w:rsidR="009E7861">
        <w:t>s</w:t>
      </w:r>
      <w:r w:rsidRPr="00666E0D">
        <w:t xml:space="preserve"> </w:t>
      </w:r>
      <w:r w:rsidR="000C39EA">
        <w:t xml:space="preserve">to </w:t>
      </w:r>
      <w:r w:rsidRPr="00666E0D">
        <w:t>DK</w:t>
      </w:r>
      <w:r w:rsidR="00546E84">
        <w:t>A</w:t>
      </w:r>
      <w:r w:rsidR="00893ED9">
        <w:t xml:space="preserve"> development</w:t>
      </w:r>
      <w:r w:rsidR="00660E21">
        <w:t xml:space="preserve">, particularly in those </w:t>
      </w:r>
      <w:r w:rsidR="000C39EA">
        <w:t>not insulin-treated</w:t>
      </w:r>
      <w:r w:rsidR="00660E21">
        <w:t>.</w:t>
      </w:r>
      <w:r w:rsidRPr="00666E0D">
        <w:t xml:space="preserve">  </w:t>
      </w:r>
      <w:r w:rsidR="000C39EA">
        <w:t>Excess</w:t>
      </w:r>
      <w:r w:rsidR="00660E21">
        <w:t xml:space="preserve"> DKA </w:t>
      </w:r>
      <w:r w:rsidR="000C39EA">
        <w:t>was</w:t>
      </w:r>
      <w:r w:rsidR="00660E21">
        <w:t xml:space="preserve"> noted in</w:t>
      </w:r>
      <w:r w:rsidRPr="00666E0D">
        <w:t xml:space="preserve"> a previous influenza epidemic when ~70% of the typical </w:t>
      </w:r>
      <w:r>
        <w:t xml:space="preserve">DKA </w:t>
      </w:r>
      <w:r w:rsidRPr="00666E0D">
        <w:t xml:space="preserve">cases/ year occurred in an 8 week period </w:t>
      </w:r>
      <w:r w:rsidRPr="00666E0D">
        <w:fldChar w:fldCharType="begin" w:fldLock="1"/>
      </w:r>
      <w:r w:rsidR="007A2A1B">
        <w:instrText>ADDIN CSL_CITATION {"citationItems":[{"id":"ITEM-1","itemData":{"DOI":"10.1136/bmj.4.5727.89","ISSN":"00071447","abstract":"During eight weeks of a recent influenza epidemic 29 patients with ketoacidosis were admitted to the General Hospital, Birmingham. This was an exceptionally large number of cases. Of these, 14 had complained of a cough, nine had clinical evidence of respiratory infection, and four extensive bronchopneumonia. Hypokalaemia was present on admission in several instances and caused respiratory failure and death in three patients. Since the dangers of initial hypokalaemia are increased during the treatment of ketoacidosis, especially when sodium bicarbonate is used, serum potassium levels must be estimated initially and, if necessary, potassium chloride given intravenously at more frequent intervals than usual. © 1970, British Medical Journal Publishing Group. All rights reserved.","author":[{"dropping-particle":"","family":"Watkins","given":"P. J.","non-dropping-particle":"","parse-names":false,"suffix":""},{"dropping-particle":"","family":"Soler","given":"N. G.","non-dropping-particle":"","parse-names":false,"suffix":""},{"dropping-particle":"","family":"Fitzgerald","given":"M. G.","non-dropping-particle":"","parse-names":false,"suffix":""},{"dropping-particle":"","family":"Malins","given":"J. M.","non-dropping-particle":"","parse-names":false,"suffix":""}],"container-title":"British Medical Journal","id":"ITEM-1","issued":{"date-parts":[["1970"]]},"title":"Diabetic Ketoacidosis During the Influenza Epidemic","type":"article-journal"},"uris":["http://www.mendeley.com/documents/?uuid=5f4c0b07-f77b-4b68-b622-17c0f930de63"]}],"mendeley":{"formattedCitation":"(5)","plainTextFormattedCitation":"(5)","previouslyFormattedCitation":"(5)"},"properties":{"noteIndex":0},"schema":"https://github.com/citation-style-language/schema/raw/master/csl-citation.json"}</w:instrText>
      </w:r>
      <w:r w:rsidRPr="00666E0D">
        <w:fldChar w:fldCharType="separate"/>
      </w:r>
      <w:r w:rsidR="007A2A1B" w:rsidRPr="007A2A1B">
        <w:rPr>
          <w:noProof/>
        </w:rPr>
        <w:t>(5)</w:t>
      </w:r>
      <w:r w:rsidRPr="00666E0D">
        <w:fldChar w:fldCharType="end"/>
      </w:r>
      <w:r w:rsidR="000C39EA">
        <w:t>, suggesting DKA in at risk individuals may be an expected feature of any</w:t>
      </w:r>
      <w:r w:rsidR="0057091B">
        <w:t xml:space="preserve"> severe viral infection</w:t>
      </w:r>
      <w:r w:rsidR="000C39EA">
        <w:t>.</w:t>
      </w:r>
    </w:p>
    <w:p w14:paraId="45C4A98D" w14:textId="52A2B98B" w:rsidR="00666E0D" w:rsidRDefault="00660E21" w:rsidP="0054110F">
      <w:pPr>
        <w:spacing w:line="360" w:lineRule="auto"/>
        <w:jc w:val="both"/>
      </w:pPr>
      <w:r>
        <w:t>We</w:t>
      </w:r>
      <w:r w:rsidR="009E7861">
        <w:t xml:space="preserve"> observed</w:t>
      </w:r>
      <w:r w:rsidR="006C267A" w:rsidRPr="00666E0D">
        <w:t xml:space="preserve"> </w:t>
      </w:r>
      <w:r w:rsidR="002F4C1B" w:rsidRPr="00666E0D">
        <w:t>no</w:t>
      </w:r>
      <w:r w:rsidR="00877B45" w:rsidRPr="00666E0D">
        <w:t xml:space="preserve"> </w:t>
      </w:r>
      <w:r w:rsidR="009E7861">
        <w:t xml:space="preserve">differences in the </w:t>
      </w:r>
      <w:r w:rsidR="000F1B05">
        <w:t xml:space="preserve">biochemical </w:t>
      </w:r>
      <w:r w:rsidR="00893ED9">
        <w:t xml:space="preserve">characteristics or </w:t>
      </w:r>
      <w:r w:rsidR="009E7861">
        <w:t xml:space="preserve">severity </w:t>
      </w:r>
      <w:r>
        <w:t>of DKA</w:t>
      </w:r>
      <w:r w:rsidR="000F1B05">
        <w:t>, however despite this</w:t>
      </w:r>
      <w:r w:rsidR="000B5817">
        <w:t>,</w:t>
      </w:r>
      <w:r w:rsidR="000F1B05">
        <w:t xml:space="preserve"> a higher death rate was observed, specifically in those with Covid-19</w:t>
      </w:r>
      <w:r w:rsidR="00893ED9">
        <w:t xml:space="preserve">. </w:t>
      </w:r>
      <w:r w:rsidR="00362C09">
        <w:t>W</w:t>
      </w:r>
      <w:r w:rsidR="00877B45" w:rsidRPr="00666E0D">
        <w:t xml:space="preserve">ith larger numbers </w:t>
      </w:r>
      <w:r w:rsidR="000F1B05">
        <w:t xml:space="preserve">biochemical </w:t>
      </w:r>
      <w:r w:rsidR="00877B45" w:rsidRPr="00666E0D">
        <w:t xml:space="preserve">differences may emerge, however the higher frequency of type 2 diabetes may account for </w:t>
      </w:r>
      <w:r w:rsidR="00893ED9">
        <w:t xml:space="preserve">observations of </w:t>
      </w:r>
      <w:r>
        <w:t>‘atypical presentations’</w:t>
      </w:r>
      <w:r w:rsidR="00877B45" w:rsidRPr="00666E0D">
        <w:t xml:space="preserve"> as practitioners maybe </w:t>
      </w:r>
      <w:r w:rsidR="00276651">
        <w:t xml:space="preserve">more </w:t>
      </w:r>
      <w:r w:rsidR="00C720E7">
        <w:t>accustomed</w:t>
      </w:r>
      <w:r w:rsidR="00276651">
        <w:t xml:space="preserve"> </w:t>
      </w:r>
      <w:r w:rsidR="00C720E7">
        <w:t>to</w:t>
      </w:r>
      <w:r w:rsidR="00276651">
        <w:t xml:space="preserve"> </w:t>
      </w:r>
      <w:r>
        <w:t>managing</w:t>
      </w:r>
      <w:r w:rsidR="00C720E7">
        <w:t xml:space="preserve"> </w:t>
      </w:r>
      <w:r w:rsidR="00877B45" w:rsidRPr="00666E0D">
        <w:t xml:space="preserve">DKA in people with type 1 diabetes. </w:t>
      </w:r>
    </w:p>
    <w:p w14:paraId="7AB879A3" w14:textId="061B22C0" w:rsidR="00882640" w:rsidRPr="00AD70C7" w:rsidRDefault="00882640" w:rsidP="0054110F">
      <w:pPr>
        <w:spacing w:line="360" w:lineRule="auto"/>
        <w:jc w:val="both"/>
      </w:pPr>
      <w:r>
        <w:rPr>
          <w:color w:val="000000"/>
        </w:rPr>
        <w:t xml:space="preserve">We acknowledge national testing strategies employed early in the outbreak may have missed some cases of Covid-19; </w:t>
      </w:r>
      <w:r w:rsidR="000B5817">
        <w:rPr>
          <w:color w:val="000000"/>
        </w:rPr>
        <w:t>up until</w:t>
      </w:r>
      <w:r>
        <w:rPr>
          <w:color w:val="000000"/>
        </w:rPr>
        <w:t xml:space="preserve"> 26</w:t>
      </w:r>
      <w:r w:rsidRPr="00105025">
        <w:rPr>
          <w:color w:val="000000"/>
          <w:vertAlign w:val="superscript"/>
        </w:rPr>
        <w:t>th</w:t>
      </w:r>
      <w:r>
        <w:rPr>
          <w:color w:val="000000"/>
        </w:rPr>
        <w:t xml:space="preserve"> April,</w:t>
      </w:r>
      <w:r w:rsidR="00AD70C7" w:rsidRPr="00105025">
        <w:rPr>
          <w:color w:val="000000"/>
        </w:rPr>
        <w:t xml:space="preserve"> specific criteria had to be met </w:t>
      </w:r>
      <w:r w:rsidR="00C36740">
        <w:rPr>
          <w:color w:val="000000"/>
        </w:rPr>
        <w:t>(</w:t>
      </w:r>
      <w:r w:rsidR="00AD70C7" w:rsidRPr="00105025">
        <w:rPr>
          <w:color w:val="000000"/>
        </w:rPr>
        <w:t>fever, cough, breathlessness</w:t>
      </w:r>
      <w:r w:rsidR="00C36740">
        <w:rPr>
          <w:color w:val="000000"/>
        </w:rPr>
        <w:t>)</w:t>
      </w:r>
      <w:r w:rsidR="00AD70C7" w:rsidRPr="00105025">
        <w:rPr>
          <w:color w:val="000000"/>
        </w:rPr>
        <w:t xml:space="preserve"> </w:t>
      </w:r>
      <w:r w:rsidR="00C36740">
        <w:rPr>
          <w:color w:val="000000"/>
        </w:rPr>
        <w:t>to be tested</w:t>
      </w:r>
      <w:r w:rsidR="00AD70C7" w:rsidRPr="00105025">
        <w:rPr>
          <w:color w:val="000000"/>
        </w:rPr>
        <w:t xml:space="preserve">, however </w:t>
      </w:r>
      <w:r w:rsidR="000B5817">
        <w:rPr>
          <w:color w:val="000000"/>
        </w:rPr>
        <w:t>beyond this,</w:t>
      </w:r>
      <w:r w:rsidR="00AD70C7" w:rsidRPr="00105025">
        <w:rPr>
          <w:color w:val="000000"/>
        </w:rPr>
        <w:t xml:space="preserve"> all admissions were tested. </w:t>
      </w:r>
    </w:p>
    <w:p w14:paraId="3DFFD180" w14:textId="77777777" w:rsidR="00362C09" w:rsidRPr="00666E0D" w:rsidRDefault="00362C09" w:rsidP="0054110F">
      <w:pPr>
        <w:spacing w:line="360" w:lineRule="auto"/>
        <w:jc w:val="both"/>
      </w:pPr>
    </w:p>
    <w:p w14:paraId="2BF8A496" w14:textId="2EF378E2" w:rsidR="00157FCB" w:rsidRDefault="00F3178E" w:rsidP="00700F4B">
      <w:pPr>
        <w:spacing w:line="360" w:lineRule="auto"/>
        <w:jc w:val="both"/>
      </w:pPr>
      <w:r>
        <w:t>In conclusion, t</w:t>
      </w:r>
      <w:r w:rsidR="00666E0D">
        <w:t>he</w:t>
      </w:r>
      <w:r w:rsidR="00CF3494" w:rsidRPr="00666E0D">
        <w:t xml:space="preserve"> SARS-CoV-2 outbreak </w:t>
      </w:r>
      <w:r w:rsidR="00666E0D">
        <w:t xml:space="preserve">was </w:t>
      </w:r>
      <w:r w:rsidR="00CF3494" w:rsidRPr="00666E0D">
        <w:t>a</w:t>
      </w:r>
      <w:r w:rsidR="00666E0D">
        <w:t xml:space="preserve">ssociated with </w:t>
      </w:r>
      <w:r w:rsidR="002205F3">
        <w:t>similar numbers</w:t>
      </w:r>
      <w:r w:rsidR="00CF3494" w:rsidRPr="00666E0D">
        <w:t xml:space="preserve"> of DKA</w:t>
      </w:r>
      <w:r w:rsidR="00FC4048">
        <w:t xml:space="preserve"> cases in adults</w:t>
      </w:r>
      <w:r w:rsidR="00CF3494" w:rsidRPr="00666E0D">
        <w:t xml:space="preserve"> compared to previous years. </w:t>
      </w:r>
      <w:r w:rsidR="000C39EA">
        <w:t>H</w:t>
      </w:r>
      <w:r w:rsidR="00887583">
        <w:t>owever</w:t>
      </w:r>
      <w:r w:rsidR="000C39EA">
        <w:t>,</w:t>
      </w:r>
      <w:r w:rsidR="00887583">
        <w:t xml:space="preserve"> </w:t>
      </w:r>
      <w:r w:rsidR="000C39EA">
        <w:t>an excess of</w:t>
      </w:r>
      <w:r w:rsidR="00CF3494" w:rsidRPr="00666E0D">
        <w:t xml:space="preserve"> cases </w:t>
      </w:r>
      <w:r w:rsidR="000C39EA" w:rsidRPr="00666E0D">
        <w:t>occur</w:t>
      </w:r>
      <w:r w:rsidR="000C39EA">
        <w:t>red</w:t>
      </w:r>
      <w:r w:rsidR="00CF3494" w:rsidRPr="00666E0D">
        <w:t xml:space="preserve"> in </w:t>
      </w:r>
      <w:r w:rsidR="002205F3">
        <w:t>older individuals</w:t>
      </w:r>
      <w:r w:rsidR="002205F3" w:rsidRPr="00666E0D">
        <w:t xml:space="preserve"> </w:t>
      </w:r>
      <w:r w:rsidR="00CF3494" w:rsidRPr="00666E0D">
        <w:t>with type 2 diabetes</w:t>
      </w:r>
      <w:r w:rsidR="00893ED9">
        <w:t>, less likely to be insulin-treated</w:t>
      </w:r>
      <w:r w:rsidR="00FC4048">
        <w:t xml:space="preserve"> and </w:t>
      </w:r>
      <w:r w:rsidR="00887583">
        <w:t>these</w:t>
      </w:r>
      <w:r w:rsidR="00184427">
        <w:t xml:space="preserve"> presentations </w:t>
      </w:r>
      <w:r w:rsidR="000C39EA">
        <w:t>were</w:t>
      </w:r>
      <w:r w:rsidR="00184427">
        <w:t xml:space="preserve"> specifically associated with positivity to SARS-CoV-2</w:t>
      </w:r>
      <w:r w:rsidR="00887583">
        <w:t xml:space="preserve"> in non-white ethnic groups.</w:t>
      </w:r>
    </w:p>
    <w:p w14:paraId="3505F7BD" w14:textId="200D0FDB" w:rsidR="00184427" w:rsidRDefault="00184427" w:rsidP="0054110F">
      <w:pPr>
        <w:spacing w:line="360" w:lineRule="auto"/>
        <w:jc w:val="both"/>
      </w:pPr>
      <w:r>
        <w:lastRenderedPageBreak/>
        <w:t xml:space="preserve">Further work is needed to </w:t>
      </w:r>
      <w:r w:rsidR="009B28DC">
        <w:t>determine whether this represents</w:t>
      </w:r>
      <w:r>
        <w:t xml:space="preserve"> a specific SARS-CoV-2 effect on the beta-cell or </w:t>
      </w:r>
      <w:r w:rsidR="009B28DC">
        <w:t>if</w:t>
      </w:r>
      <w:r>
        <w:t xml:space="preserve"> they reflect the effects of widespread infection on risk of DKA</w:t>
      </w:r>
      <w:r w:rsidR="002205F3">
        <w:t>,</w:t>
      </w:r>
      <w:r>
        <w:t xml:space="preserve"> in susceptible</w:t>
      </w:r>
      <w:r w:rsidR="00887583">
        <w:t xml:space="preserve"> individuals</w:t>
      </w:r>
      <w:r>
        <w:t>.</w:t>
      </w:r>
    </w:p>
    <w:p w14:paraId="57607892" w14:textId="77777777" w:rsidR="00157FCB" w:rsidRPr="00666E0D" w:rsidRDefault="00157FCB" w:rsidP="0054110F">
      <w:pPr>
        <w:spacing w:line="360" w:lineRule="auto"/>
        <w:jc w:val="both"/>
      </w:pPr>
    </w:p>
    <w:p w14:paraId="1FCA1EFC" w14:textId="77777777" w:rsidR="007A2A1B" w:rsidRDefault="007A2A1B" w:rsidP="00364882">
      <w:pPr>
        <w:spacing w:line="360" w:lineRule="auto"/>
        <w:rPr>
          <w:i/>
          <w:iCs/>
        </w:rPr>
      </w:pPr>
    </w:p>
    <w:p w14:paraId="52E6F584" w14:textId="14C8FE88" w:rsidR="008B3F6B" w:rsidRPr="006C4C77" w:rsidRDefault="008B3F6B" w:rsidP="00901E02">
      <w:pPr>
        <w:spacing w:line="360" w:lineRule="auto"/>
        <w:rPr>
          <w:i/>
          <w:iCs/>
        </w:rPr>
      </w:pPr>
      <w:r w:rsidRPr="006C4C77">
        <w:rPr>
          <w:i/>
          <w:iCs/>
        </w:rPr>
        <w:t>Funding Statement</w:t>
      </w:r>
    </w:p>
    <w:p w14:paraId="037819F7" w14:textId="756B0F39" w:rsidR="001B17A6" w:rsidRPr="001B17A6" w:rsidRDefault="00BF3E49" w:rsidP="000F1B05">
      <w:pPr>
        <w:spacing w:line="360" w:lineRule="auto"/>
        <w:jc w:val="both"/>
      </w:pPr>
      <w:r w:rsidRPr="001B17A6">
        <w:t>SM is supported by a Future Leaders Mentorship Award from the European Federation for the Study of Diabetes. VS is supported by a Harry Keen Fellowship from Diabetes UK.</w:t>
      </w:r>
    </w:p>
    <w:p w14:paraId="585985A9" w14:textId="18F39500" w:rsidR="001B17A6" w:rsidRPr="0057091B" w:rsidRDefault="001B17A6" w:rsidP="000F1B05">
      <w:pPr>
        <w:spacing w:line="360" w:lineRule="auto"/>
        <w:jc w:val="both"/>
        <w:rPr>
          <w:color w:val="000000"/>
        </w:rPr>
      </w:pPr>
      <w:r w:rsidRPr="0057091B">
        <w:rPr>
          <w:color w:val="000000"/>
        </w:rPr>
        <w:t>This manuscript presents independent research undertaken without funding but supported by the NIHR Biomedical Research Centre at Imperial College Healthcare NHS Trust. The views expressed are those of the author(s) and not necessarily those of the NHS, the NIHR or the Department of Health.</w:t>
      </w:r>
    </w:p>
    <w:p w14:paraId="3A27FC42" w14:textId="53E122DD" w:rsidR="00700F4B" w:rsidRDefault="001B17A6" w:rsidP="000F1B05">
      <w:pPr>
        <w:spacing w:line="360" w:lineRule="auto"/>
        <w:jc w:val="both"/>
      </w:pPr>
      <w:r w:rsidRPr="0057091B">
        <w:rPr>
          <w:color w:val="000000"/>
        </w:rPr>
        <w:t> </w:t>
      </w:r>
    </w:p>
    <w:p w14:paraId="6A9B6374" w14:textId="04037318" w:rsidR="00A1395D" w:rsidRPr="006C4C77" w:rsidRDefault="004E26E0" w:rsidP="00947739">
      <w:pPr>
        <w:spacing w:line="360" w:lineRule="auto"/>
        <w:rPr>
          <w:i/>
          <w:iCs/>
        </w:rPr>
      </w:pPr>
      <w:r w:rsidRPr="006C4C77">
        <w:rPr>
          <w:i/>
          <w:iCs/>
        </w:rPr>
        <w:t>Acknowledgements</w:t>
      </w:r>
    </w:p>
    <w:p w14:paraId="1363227C" w14:textId="5D2E9C74" w:rsidR="004E26E0" w:rsidRDefault="004E26E0" w:rsidP="00947739">
      <w:pPr>
        <w:spacing w:line="360" w:lineRule="auto"/>
      </w:pPr>
    </w:p>
    <w:p w14:paraId="02C58223" w14:textId="7F035737" w:rsidR="00700F4B" w:rsidRDefault="0095334D" w:rsidP="00947739">
      <w:pPr>
        <w:spacing w:line="360" w:lineRule="auto"/>
      </w:pPr>
      <w:r>
        <w:t xml:space="preserve">SM is the guarantor of the work presented. </w:t>
      </w:r>
      <w:r w:rsidR="004E26E0">
        <w:t xml:space="preserve">We thank members of the medical team who </w:t>
      </w:r>
      <w:r w:rsidR="00EE0805">
        <w:t>contributed to</w:t>
      </w:r>
      <w:r w:rsidR="004E26E0">
        <w:t xml:space="preserve"> data collection of the DKA cases during the outbreak; </w:t>
      </w:r>
      <w:r w:rsidR="0084516D">
        <w:t xml:space="preserve">Dr Julia </w:t>
      </w:r>
      <w:proofErr w:type="spellStart"/>
      <w:r w:rsidR="0084516D">
        <w:t>Kenkre</w:t>
      </w:r>
      <w:proofErr w:type="spellEnd"/>
      <w:r w:rsidR="0084516D">
        <w:t xml:space="preserve">, </w:t>
      </w:r>
      <w:r w:rsidR="004E26E0">
        <w:t xml:space="preserve">Dr </w:t>
      </w:r>
      <w:proofErr w:type="spellStart"/>
      <w:r w:rsidR="004E26E0">
        <w:t>Chioma</w:t>
      </w:r>
      <w:proofErr w:type="spellEnd"/>
      <w:r w:rsidR="004E26E0">
        <w:t xml:space="preserve"> </w:t>
      </w:r>
      <w:proofErr w:type="spellStart"/>
      <w:r w:rsidR="004E26E0">
        <w:t>Otti</w:t>
      </w:r>
      <w:proofErr w:type="spellEnd"/>
      <w:r w:rsidR="004E26E0">
        <w:t xml:space="preserve">, Dr </w:t>
      </w:r>
      <w:proofErr w:type="spellStart"/>
      <w:r w:rsidR="004E26E0">
        <w:t>Parizad</w:t>
      </w:r>
      <w:proofErr w:type="spellEnd"/>
      <w:r w:rsidR="004E26E0">
        <w:t xml:space="preserve"> </w:t>
      </w:r>
      <w:proofErr w:type="spellStart"/>
      <w:r w:rsidR="004E26E0">
        <w:t>Avari</w:t>
      </w:r>
      <w:proofErr w:type="spellEnd"/>
      <w:r w:rsidR="00956754">
        <w:t xml:space="preserve"> &amp; </w:t>
      </w:r>
      <w:r w:rsidR="004E26E0">
        <w:t>Dr Neil Hill</w:t>
      </w:r>
      <w:r w:rsidR="006C4C77">
        <w:t>. We also thank</w:t>
      </w:r>
      <w:r w:rsidR="00364882">
        <w:t xml:space="preserve"> </w:t>
      </w:r>
      <w:r w:rsidR="006C4C77">
        <w:t>Mr Tayyab Dar, data analyst</w:t>
      </w:r>
      <w:r w:rsidR="00364882">
        <w:t>,</w:t>
      </w:r>
      <w:r w:rsidR="006C4C77">
        <w:t xml:space="preserve"> for support in extracting relevant data</w:t>
      </w:r>
    </w:p>
    <w:p w14:paraId="60D96063" w14:textId="0E53A769" w:rsidR="00F30EE6" w:rsidRDefault="00F30EE6" w:rsidP="00947739">
      <w:pPr>
        <w:spacing w:line="360" w:lineRule="auto"/>
      </w:pPr>
    </w:p>
    <w:p w14:paraId="3A4A1AC5" w14:textId="3A62FD34" w:rsidR="00F30EE6" w:rsidRDefault="00F30EE6" w:rsidP="00947739">
      <w:pPr>
        <w:spacing w:line="360" w:lineRule="auto"/>
        <w:rPr>
          <w:i/>
          <w:iCs/>
        </w:rPr>
      </w:pPr>
      <w:r w:rsidRPr="00F30EE6">
        <w:rPr>
          <w:i/>
          <w:iCs/>
        </w:rPr>
        <w:t>Contributions</w:t>
      </w:r>
    </w:p>
    <w:p w14:paraId="02987FCD" w14:textId="77777777" w:rsidR="005E2F4A" w:rsidRPr="005E2F4A" w:rsidRDefault="005E2F4A" w:rsidP="00947739">
      <w:pPr>
        <w:spacing w:line="360" w:lineRule="auto"/>
        <w:rPr>
          <w:i/>
          <w:iCs/>
        </w:rPr>
      </w:pPr>
    </w:p>
    <w:p w14:paraId="44738820" w14:textId="67472185" w:rsidR="00F30EE6" w:rsidRDefault="005E2F4A" w:rsidP="00947739">
      <w:pPr>
        <w:spacing w:line="360" w:lineRule="auto"/>
      </w:pPr>
      <w:r w:rsidRPr="005E2F4A">
        <w:t>Study design &amp; methodology; SM, TT, DG, VB &amp; JV. Literature search; PHJ, SM. Data collection; SM, BK, PHJ, KM, MR, VS and GT. Data curation; SM, BK, PHJ. Formal analysis; SM, BK, TT, DG, VB &amp; JV All authors helped draft, edit and review the  submitted manuscript.</w:t>
      </w:r>
    </w:p>
    <w:p w14:paraId="2EDDE407" w14:textId="1181ABED" w:rsidR="00751CD1" w:rsidRDefault="00751CD1" w:rsidP="00947739">
      <w:pPr>
        <w:spacing w:line="360" w:lineRule="auto"/>
      </w:pPr>
    </w:p>
    <w:p w14:paraId="36AD4C3C" w14:textId="59B88972" w:rsidR="00751CD1" w:rsidRDefault="00751CD1" w:rsidP="00947739">
      <w:pPr>
        <w:spacing w:line="360" w:lineRule="auto"/>
      </w:pPr>
      <w:r>
        <w:t>Disclosures</w:t>
      </w:r>
    </w:p>
    <w:p w14:paraId="177DBE4C" w14:textId="6A875411" w:rsidR="00751CD1" w:rsidRDefault="00751CD1" w:rsidP="00947739">
      <w:pPr>
        <w:spacing w:line="360" w:lineRule="auto"/>
      </w:pPr>
      <w:r>
        <w:t>All authors disclose no conflicts of interest</w:t>
      </w:r>
    </w:p>
    <w:p w14:paraId="64B0F8A0" w14:textId="77777777" w:rsidR="00364882" w:rsidRDefault="00364882" w:rsidP="00947739">
      <w:pPr>
        <w:spacing w:line="360" w:lineRule="auto"/>
      </w:pPr>
    </w:p>
    <w:p w14:paraId="449744D3" w14:textId="05892641" w:rsidR="003937A5" w:rsidRPr="00751CD1" w:rsidRDefault="00EE0805" w:rsidP="00947739">
      <w:pPr>
        <w:spacing w:line="360" w:lineRule="auto"/>
        <w:rPr>
          <w:sz w:val="28"/>
          <w:szCs w:val="28"/>
        </w:rPr>
      </w:pPr>
      <w:r w:rsidRPr="00751CD1">
        <w:rPr>
          <w:sz w:val="28"/>
          <w:szCs w:val="28"/>
        </w:rPr>
        <w:t>References</w:t>
      </w:r>
    </w:p>
    <w:p w14:paraId="3F5873FE" w14:textId="77777777" w:rsidR="00F30EE6" w:rsidRDefault="00F30EE6" w:rsidP="00947739">
      <w:pPr>
        <w:spacing w:line="360" w:lineRule="auto"/>
      </w:pPr>
    </w:p>
    <w:p w14:paraId="3F7B17BE" w14:textId="704AA205" w:rsidR="00EE0805" w:rsidRDefault="00EE0805" w:rsidP="00947739">
      <w:pPr>
        <w:spacing w:line="360" w:lineRule="auto"/>
      </w:pPr>
    </w:p>
    <w:p w14:paraId="44D219B6" w14:textId="7104C9EC" w:rsidR="007A2A1B" w:rsidRPr="007A2A1B" w:rsidRDefault="00EE0805" w:rsidP="007A2A1B">
      <w:pPr>
        <w:widowControl w:val="0"/>
        <w:autoSpaceDE w:val="0"/>
        <w:autoSpaceDN w:val="0"/>
        <w:adjustRightInd w:val="0"/>
        <w:spacing w:line="360" w:lineRule="auto"/>
        <w:ind w:left="640" w:hanging="640"/>
        <w:rPr>
          <w:noProof/>
        </w:rPr>
      </w:pPr>
      <w:r>
        <w:lastRenderedPageBreak/>
        <w:fldChar w:fldCharType="begin" w:fldLock="1"/>
      </w:r>
      <w:r>
        <w:instrText xml:space="preserve">ADDIN Mendeley Bibliography CSL_BIBLIOGRAPHY </w:instrText>
      </w:r>
      <w:r>
        <w:fldChar w:fldCharType="separate"/>
      </w:r>
      <w:r w:rsidR="007A2A1B" w:rsidRPr="007A2A1B">
        <w:rPr>
          <w:noProof/>
        </w:rPr>
        <w:t xml:space="preserve">1. </w:t>
      </w:r>
      <w:r w:rsidR="007A2A1B" w:rsidRPr="007A2A1B">
        <w:rPr>
          <w:noProof/>
        </w:rPr>
        <w:tab/>
        <w:t xml:space="preserve">Li J, Wang X, Chen J, Zuo X, Zhang H, Deng A. COVID-19 infection may cause ketosis and ketoacidosis. Diabetes, Obes Metab. 2020; </w:t>
      </w:r>
    </w:p>
    <w:p w14:paraId="4B314417" w14:textId="77777777" w:rsidR="007A2A1B" w:rsidRPr="007A2A1B" w:rsidRDefault="007A2A1B" w:rsidP="007A2A1B">
      <w:pPr>
        <w:widowControl w:val="0"/>
        <w:autoSpaceDE w:val="0"/>
        <w:autoSpaceDN w:val="0"/>
        <w:adjustRightInd w:val="0"/>
        <w:spacing w:line="360" w:lineRule="auto"/>
        <w:ind w:left="640" w:hanging="640"/>
        <w:rPr>
          <w:noProof/>
        </w:rPr>
      </w:pPr>
      <w:r w:rsidRPr="007A2A1B">
        <w:rPr>
          <w:noProof/>
        </w:rPr>
        <w:t xml:space="preserve">2. </w:t>
      </w:r>
      <w:r w:rsidRPr="007A2A1B">
        <w:rPr>
          <w:noProof/>
        </w:rPr>
        <w:tab/>
        <w:t xml:space="preserve">Armeni E, Aziz U, Qamar S, Nasir S, Nethaji C, Negus R, et al. Protracted ketonaemia in hyperglycaemic emergencies in COVID-19: a retrospective case series. Lancet Diabetes Endocrinol. 2020 Jul 5; </w:t>
      </w:r>
    </w:p>
    <w:p w14:paraId="3C0E128D" w14:textId="77777777" w:rsidR="007A2A1B" w:rsidRPr="007A2A1B" w:rsidRDefault="007A2A1B" w:rsidP="007A2A1B">
      <w:pPr>
        <w:widowControl w:val="0"/>
        <w:autoSpaceDE w:val="0"/>
        <w:autoSpaceDN w:val="0"/>
        <w:adjustRightInd w:val="0"/>
        <w:spacing w:line="360" w:lineRule="auto"/>
        <w:ind w:left="640" w:hanging="640"/>
        <w:rPr>
          <w:noProof/>
        </w:rPr>
      </w:pPr>
      <w:r w:rsidRPr="007A2A1B">
        <w:rPr>
          <w:noProof/>
        </w:rPr>
        <w:t xml:space="preserve">3. </w:t>
      </w:r>
      <w:r w:rsidRPr="007A2A1B">
        <w:rPr>
          <w:noProof/>
        </w:rPr>
        <w:tab/>
        <w:t xml:space="preserve">Yang L, Han Y, Nilsson-Payant BE, Gupta V, Wang P, Duan X, et al. A Human Pluripotent Stem Cell-based Platform to Study SARS-CoV-2 Tropism and Model Virus Infection in Human Cells and Organoids. Cell Stem Cell. 2020;27(1):125-136.e7. </w:t>
      </w:r>
    </w:p>
    <w:p w14:paraId="02EA9028" w14:textId="77777777" w:rsidR="007A2A1B" w:rsidRPr="007A2A1B" w:rsidRDefault="007A2A1B" w:rsidP="007A2A1B">
      <w:pPr>
        <w:widowControl w:val="0"/>
        <w:autoSpaceDE w:val="0"/>
        <w:autoSpaceDN w:val="0"/>
        <w:adjustRightInd w:val="0"/>
        <w:spacing w:line="360" w:lineRule="auto"/>
        <w:ind w:left="640" w:hanging="640"/>
        <w:rPr>
          <w:noProof/>
        </w:rPr>
      </w:pPr>
      <w:r w:rsidRPr="007A2A1B">
        <w:rPr>
          <w:noProof/>
        </w:rPr>
        <w:t xml:space="preserve">4. </w:t>
      </w:r>
      <w:r w:rsidRPr="007A2A1B">
        <w:rPr>
          <w:noProof/>
        </w:rPr>
        <w:tab/>
        <w:t>Barron E, Bakhai C, Kar P, Weaver A, Bradley D, Ismail H, et al. Type 1 and Type 2 diabetes and COVID-19 related mortality in England: a whole population study [Internet]. 2020 [cited 2020 Jul 16]. Available from: https://www.england.nhs.uk/wp-content/uploads/2020/05/valabhji-COVID-19-and-Diabetes-Paper-1.pdf</w:t>
      </w:r>
    </w:p>
    <w:p w14:paraId="7BA8F557" w14:textId="77777777" w:rsidR="007A2A1B" w:rsidRPr="007A2A1B" w:rsidRDefault="007A2A1B" w:rsidP="007A2A1B">
      <w:pPr>
        <w:widowControl w:val="0"/>
        <w:autoSpaceDE w:val="0"/>
        <w:autoSpaceDN w:val="0"/>
        <w:adjustRightInd w:val="0"/>
        <w:spacing w:line="360" w:lineRule="auto"/>
        <w:ind w:left="640" w:hanging="640"/>
        <w:rPr>
          <w:noProof/>
        </w:rPr>
      </w:pPr>
      <w:r w:rsidRPr="007A2A1B">
        <w:rPr>
          <w:noProof/>
        </w:rPr>
        <w:t xml:space="preserve">5. </w:t>
      </w:r>
      <w:r w:rsidRPr="007A2A1B">
        <w:rPr>
          <w:noProof/>
        </w:rPr>
        <w:tab/>
        <w:t xml:space="preserve">Watkins PJ, Soler NG, Fitzgerald MG, Malins JM. Diabetic Ketoacidosis During the Influenza Epidemic. Br Med J. 1970; </w:t>
      </w:r>
    </w:p>
    <w:p w14:paraId="7A369D63" w14:textId="1BD90E42" w:rsidR="00EE0805" w:rsidRPr="00666E0D" w:rsidRDefault="00EE0805" w:rsidP="007A2A1B">
      <w:pPr>
        <w:widowControl w:val="0"/>
        <w:autoSpaceDE w:val="0"/>
        <w:autoSpaceDN w:val="0"/>
        <w:adjustRightInd w:val="0"/>
        <w:spacing w:line="360" w:lineRule="auto"/>
        <w:ind w:left="640" w:hanging="640"/>
      </w:pPr>
      <w:r>
        <w:fldChar w:fldCharType="end"/>
      </w:r>
    </w:p>
    <w:p w14:paraId="7D45680E" w14:textId="4DA5354E" w:rsidR="00A1395D" w:rsidRDefault="00A1395D" w:rsidP="00947739">
      <w:pPr>
        <w:spacing w:line="360" w:lineRule="auto"/>
      </w:pPr>
    </w:p>
    <w:p w14:paraId="55FAD3CA" w14:textId="129BE026" w:rsidR="005B5192" w:rsidRDefault="005B5192" w:rsidP="00947739">
      <w:pPr>
        <w:spacing w:line="360" w:lineRule="auto"/>
      </w:pPr>
    </w:p>
    <w:p w14:paraId="00F2DDA3" w14:textId="002D62CD" w:rsidR="005B5192" w:rsidRDefault="005B5192" w:rsidP="00947739">
      <w:pPr>
        <w:spacing w:line="360" w:lineRule="auto"/>
      </w:pPr>
    </w:p>
    <w:p w14:paraId="683408DF" w14:textId="2F453368" w:rsidR="005B5192" w:rsidRDefault="005B5192" w:rsidP="00947739">
      <w:pPr>
        <w:spacing w:line="360" w:lineRule="auto"/>
      </w:pPr>
    </w:p>
    <w:p w14:paraId="0CD1E970" w14:textId="4DDE9F02" w:rsidR="005B5192" w:rsidRDefault="005B5192" w:rsidP="00947739">
      <w:pPr>
        <w:spacing w:line="360" w:lineRule="auto"/>
      </w:pPr>
    </w:p>
    <w:p w14:paraId="7086FD0B" w14:textId="05A68FBA" w:rsidR="00C36740" w:rsidRDefault="00C36740" w:rsidP="00947739">
      <w:pPr>
        <w:spacing w:line="360" w:lineRule="auto"/>
      </w:pPr>
    </w:p>
    <w:p w14:paraId="61E48871" w14:textId="1B92AD02" w:rsidR="00C36740" w:rsidRDefault="00C36740" w:rsidP="00947739">
      <w:pPr>
        <w:spacing w:line="360" w:lineRule="auto"/>
      </w:pPr>
    </w:p>
    <w:p w14:paraId="6503F6A6" w14:textId="641A1EBC" w:rsidR="009D5EBB" w:rsidRDefault="009D5EBB" w:rsidP="00947739">
      <w:pPr>
        <w:spacing w:line="360" w:lineRule="auto"/>
      </w:pPr>
    </w:p>
    <w:p w14:paraId="591A09BB" w14:textId="56F4394D" w:rsidR="009D5EBB" w:rsidRDefault="009D5EBB" w:rsidP="00947739">
      <w:pPr>
        <w:spacing w:line="360" w:lineRule="auto"/>
      </w:pPr>
    </w:p>
    <w:p w14:paraId="72472E2A" w14:textId="2FC2F061" w:rsidR="009D5EBB" w:rsidRDefault="009D5EBB" w:rsidP="00947739">
      <w:pPr>
        <w:spacing w:line="360" w:lineRule="auto"/>
      </w:pPr>
    </w:p>
    <w:p w14:paraId="648C7B19" w14:textId="7C5B6152" w:rsidR="009D5EBB" w:rsidRDefault="009D5EBB" w:rsidP="00947739">
      <w:pPr>
        <w:spacing w:line="360" w:lineRule="auto"/>
      </w:pPr>
    </w:p>
    <w:p w14:paraId="58B16E90" w14:textId="29EB7A2F" w:rsidR="009D5EBB" w:rsidRDefault="009D5EBB" w:rsidP="00947739">
      <w:pPr>
        <w:spacing w:line="360" w:lineRule="auto"/>
      </w:pPr>
    </w:p>
    <w:p w14:paraId="49BB17D1" w14:textId="298D965A" w:rsidR="009D5EBB" w:rsidRDefault="009D5EBB" w:rsidP="00947739">
      <w:pPr>
        <w:spacing w:line="360" w:lineRule="auto"/>
      </w:pPr>
    </w:p>
    <w:p w14:paraId="37CDC3FA" w14:textId="6BE41A05" w:rsidR="009D5EBB" w:rsidRDefault="009D5EBB" w:rsidP="00947739">
      <w:pPr>
        <w:spacing w:line="360" w:lineRule="auto"/>
      </w:pPr>
    </w:p>
    <w:p w14:paraId="28C7279B" w14:textId="77777777" w:rsidR="009D5EBB" w:rsidRDefault="009D5EBB" w:rsidP="00947739">
      <w:pPr>
        <w:spacing w:line="360" w:lineRule="auto"/>
      </w:pPr>
    </w:p>
    <w:p w14:paraId="70F9E4CB" w14:textId="77777777" w:rsidR="00C36740" w:rsidRDefault="00C36740" w:rsidP="00947739">
      <w:pPr>
        <w:spacing w:line="360" w:lineRule="auto"/>
      </w:pPr>
    </w:p>
    <w:p w14:paraId="34FAC5F5" w14:textId="6C472057" w:rsidR="005B5192" w:rsidRDefault="005B5192" w:rsidP="00947739">
      <w:pPr>
        <w:spacing w:line="360" w:lineRule="auto"/>
      </w:pPr>
    </w:p>
    <w:p w14:paraId="7FB09426" w14:textId="34308166" w:rsidR="002D1C86" w:rsidRDefault="002D1C86" w:rsidP="00947739">
      <w:pPr>
        <w:spacing w:line="360" w:lineRule="auto"/>
      </w:pPr>
    </w:p>
    <w:p w14:paraId="53987C56" w14:textId="77777777" w:rsidR="000A7384" w:rsidRDefault="000A7384" w:rsidP="004834B9">
      <w:pPr>
        <w:jc w:val="both"/>
        <w:rPr>
          <w:b/>
          <w:bCs/>
        </w:rPr>
        <w:sectPr w:rsidR="000A7384" w:rsidSect="00E56C02">
          <w:pgSz w:w="11901" w:h="16817"/>
          <w:pgMar w:top="1440" w:right="1440" w:bottom="1440" w:left="1440" w:header="709" w:footer="709" w:gutter="0"/>
          <w:cols w:space="708"/>
          <w:docGrid w:linePitch="360"/>
        </w:sectPr>
      </w:pPr>
    </w:p>
    <w:p w14:paraId="12D6A96F" w14:textId="65A9161A" w:rsidR="00A4429D" w:rsidRDefault="00044853" w:rsidP="004834B9">
      <w:pPr>
        <w:jc w:val="both"/>
      </w:pPr>
      <w:r w:rsidRPr="00666E0D">
        <w:rPr>
          <w:b/>
          <w:bCs/>
        </w:rPr>
        <w:lastRenderedPageBreak/>
        <w:t xml:space="preserve">Table </w:t>
      </w:r>
      <w:r w:rsidR="00887583">
        <w:rPr>
          <w:b/>
          <w:bCs/>
        </w:rPr>
        <w:t>1</w:t>
      </w:r>
      <w:r w:rsidR="00972AF9" w:rsidRPr="00666E0D">
        <w:rPr>
          <w:b/>
          <w:bCs/>
        </w:rPr>
        <w:t>:</w:t>
      </w:r>
      <w:r w:rsidR="00464F70" w:rsidRPr="00666E0D">
        <w:t xml:space="preserve"> </w:t>
      </w:r>
      <w:r w:rsidR="004834B9" w:rsidRPr="00666E0D">
        <w:t>Proportion of cases presenting with diabetic ketoacidosis (DKA)</w:t>
      </w:r>
      <w:r w:rsidR="000B5817">
        <w:t xml:space="preserve"> during the outbreak </w:t>
      </w:r>
      <w:proofErr w:type="gramStart"/>
      <w:r w:rsidR="000B5817">
        <w:t xml:space="preserve">and in comparison </w:t>
      </w:r>
      <w:proofErr w:type="gramEnd"/>
      <w:r w:rsidR="000B5817">
        <w:t xml:space="preserve">to the 4-month period from </w:t>
      </w:r>
      <w:r w:rsidR="000B5817" w:rsidRPr="00666E0D">
        <w:t>1</w:t>
      </w:r>
      <w:r w:rsidR="000B5817" w:rsidRPr="00666E0D">
        <w:rPr>
          <w:vertAlign w:val="superscript"/>
        </w:rPr>
        <w:t>st</w:t>
      </w:r>
      <w:r w:rsidR="000B5817" w:rsidRPr="00666E0D">
        <w:t xml:space="preserve"> Feb- 31</w:t>
      </w:r>
      <w:r w:rsidR="000B5817" w:rsidRPr="00666E0D">
        <w:rPr>
          <w:vertAlign w:val="superscript"/>
        </w:rPr>
        <w:t>st</w:t>
      </w:r>
      <w:r w:rsidR="000B5817" w:rsidRPr="00666E0D">
        <w:t xml:space="preserve"> May</w:t>
      </w:r>
      <w:r w:rsidR="000B5817">
        <w:t xml:space="preserve"> between 2017-2019. Sub</w:t>
      </w:r>
      <w:r w:rsidR="003B1E55">
        <w:t>-</w:t>
      </w:r>
      <w:r w:rsidR="000B5817">
        <w:t>analysi</w:t>
      </w:r>
      <w:r w:rsidR="00A4429D">
        <w:t>s</w:t>
      </w:r>
      <w:r w:rsidR="000B5817">
        <w:t xml:space="preserve"> </w:t>
      </w:r>
      <w:r w:rsidR="004834B9" w:rsidRPr="00666E0D">
        <w:t xml:space="preserve"> by subtype of diabetes</w:t>
      </w:r>
      <w:r w:rsidR="00A4429D">
        <w:t xml:space="preserve"> and</w:t>
      </w:r>
      <w:r w:rsidR="000B5817">
        <w:t xml:space="preserve"> </w:t>
      </w:r>
      <w:r w:rsidR="00887583">
        <w:t>SAR</w:t>
      </w:r>
      <w:r w:rsidR="00751CD1">
        <w:t>S</w:t>
      </w:r>
      <w:r w:rsidR="00887583">
        <w:t>-CoV-</w:t>
      </w:r>
      <w:r w:rsidR="00156D6C">
        <w:t>2 s</w:t>
      </w:r>
      <w:r w:rsidR="00887583">
        <w:t xml:space="preserve">tatus </w:t>
      </w:r>
      <w:r w:rsidR="000A7384">
        <w:t>along with treatment and mortality data</w:t>
      </w:r>
      <w:r w:rsidR="00887583">
        <w:t>.</w:t>
      </w:r>
      <w:r w:rsidR="00BB5845">
        <w:t xml:space="preserve"> </w:t>
      </w:r>
      <w:r w:rsidR="009F2C12">
        <w:t>p-values</w:t>
      </w:r>
      <w:r w:rsidR="004834B9" w:rsidRPr="00666E0D">
        <w:t xml:space="preserve"> </w:t>
      </w:r>
      <w:r w:rsidR="00BB5845">
        <w:t xml:space="preserve">using </w:t>
      </w:r>
      <w:r w:rsidR="00222162">
        <w:t xml:space="preserve">a </w:t>
      </w:r>
      <w:r w:rsidR="00AC40F6">
        <w:t>F</w:t>
      </w:r>
      <w:r w:rsidR="00BB5845">
        <w:t>ishers exact test</w:t>
      </w:r>
      <w:r w:rsidR="009F2C12">
        <w:t>.</w:t>
      </w:r>
    </w:p>
    <w:p w14:paraId="63A62195" w14:textId="77777777" w:rsidR="00972AF9" w:rsidRPr="00666E0D" w:rsidRDefault="00972AF9" w:rsidP="00105025">
      <w:pPr>
        <w:jc w:val="both"/>
      </w:pPr>
    </w:p>
    <w:tbl>
      <w:tblPr>
        <w:tblStyle w:val="TableGridLight1"/>
        <w:tblW w:w="14884" w:type="dxa"/>
        <w:tblInd w:w="-714" w:type="dxa"/>
        <w:tblLayout w:type="fixed"/>
        <w:tblLook w:val="04A0" w:firstRow="1" w:lastRow="0" w:firstColumn="1" w:lastColumn="0" w:noHBand="0" w:noVBand="1"/>
      </w:tblPr>
      <w:tblGrid>
        <w:gridCol w:w="4253"/>
        <w:gridCol w:w="1276"/>
        <w:gridCol w:w="1276"/>
        <w:gridCol w:w="1559"/>
        <w:gridCol w:w="1843"/>
        <w:gridCol w:w="1559"/>
        <w:gridCol w:w="1559"/>
        <w:gridCol w:w="1559"/>
      </w:tblGrid>
      <w:tr w:rsidR="000A7384" w:rsidRPr="00666E0D" w14:paraId="13948BD5" w14:textId="0C85B296" w:rsidTr="00105025">
        <w:trPr>
          <w:trHeight w:val="634"/>
        </w:trPr>
        <w:tc>
          <w:tcPr>
            <w:tcW w:w="4253" w:type="dxa"/>
          </w:tcPr>
          <w:p w14:paraId="2A210BD3" w14:textId="562E27D1" w:rsidR="006612B6" w:rsidRPr="00222162" w:rsidRDefault="006612B6" w:rsidP="00464F70">
            <w:pPr>
              <w:jc w:val="center"/>
              <w:rPr>
                <w:sz w:val="22"/>
                <w:szCs w:val="22"/>
              </w:rPr>
            </w:pPr>
          </w:p>
        </w:tc>
        <w:tc>
          <w:tcPr>
            <w:tcW w:w="1276" w:type="dxa"/>
          </w:tcPr>
          <w:p w14:paraId="461E7E1D" w14:textId="4C36158E" w:rsidR="006612B6" w:rsidRPr="00A70684" w:rsidRDefault="006612B6" w:rsidP="00A70684">
            <w:pPr>
              <w:jc w:val="center"/>
              <w:rPr>
                <w:b/>
                <w:bCs/>
                <w:sz w:val="22"/>
                <w:szCs w:val="22"/>
              </w:rPr>
            </w:pPr>
            <w:r w:rsidRPr="00222162">
              <w:rPr>
                <w:sz w:val="22"/>
                <w:szCs w:val="22"/>
              </w:rPr>
              <w:t>Total</w:t>
            </w:r>
            <w:r w:rsidR="00A70684">
              <w:rPr>
                <w:b/>
                <w:bCs/>
                <w:sz w:val="22"/>
                <w:szCs w:val="22"/>
              </w:rPr>
              <w:t xml:space="preserve"> </w:t>
            </w:r>
            <w:r w:rsidRPr="00222162">
              <w:rPr>
                <w:sz w:val="22"/>
                <w:szCs w:val="22"/>
              </w:rPr>
              <w:t>2017</w:t>
            </w:r>
            <w:r w:rsidR="00A70684">
              <w:rPr>
                <w:sz w:val="22"/>
                <w:szCs w:val="22"/>
              </w:rPr>
              <w:t xml:space="preserve"> </w:t>
            </w:r>
            <w:r w:rsidRPr="00222162">
              <w:rPr>
                <w:sz w:val="22"/>
                <w:szCs w:val="22"/>
              </w:rPr>
              <w:t>201</w:t>
            </w:r>
            <w:r w:rsidR="00A70684">
              <w:rPr>
                <w:sz w:val="22"/>
                <w:szCs w:val="22"/>
              </w:rPr>
              <w:t>9</w:t>
            </w:r>
            <w:r>
              <w:rPr>
                <w:sz w:val="22"/>
                <w:szCs w:val="22"/>
              </w:rPr>
              <w:t xml:space="preserve"> n (%)</w:t>
            </w:r>
          </w:p>
        </w:tc>
        <w:tc>
          <w:tcPr>
            <w:tcW w:w="1276" w:type="dxa"/>
          </w:tcPr>
          <w:p w14:paraId="1AD90B55" w14:textId="0369C46D" w:rsidR="006612B6" w:rsidRPr="00222162" w:rsidRDefault="006612B6" w:rsidP="00A70684">
            <w:pPr>
              <w:jc w:val="center"/>
              <w:rPr>
                <w:sz w:val="22"/>
                <w:szCs w:val="22"/>
              </w:rPr>
            </w:pPr>
            <w:r w:rsidRPr="00222162">
              <w:rPr>
                <w:sz w:val="22"/>
                <w:szCs w:val="22"/>
              </w:rPr>
              <w:t>During Outbrea</w:t>
            </w:r>
            <w:r w:rsidR="00A70684">
              <w:rPr>
                <w:sz w:val="22"/>
                <w:szCs w:val="22"/>
              </w:rPr>
              <w:t xml:space="preserve">k </w:t>
            </w:r>
            <w:r>
              <w:rPr>
                <w:sz w:val="22"/>
                <w:szCs w:val="22"/>
              </w:rPr>
              <w:t xml:space="preserve">n </w:t>
            </w:r>
            <w:r w:rsidRPr="00222162">
              <w:rPr>
                <w:sz w:val="22"/>
                <w:szCs w:val="22"/>
              </w:rPr>
              <w:t>(%)</w:t>
            </w:r>
          </w:p>
        </w:tc>
        <w:tc>
          <w:tcPr>
            <w:tcW w:w="1559" w:type="dxa"/>
          </w:tcPr>
          <w:p w14:paraId="5807B2BA" w14:textId="5CF7C5F5" w:rsidR="006612B6" w:rsidRPr="00222162" w:rsidRDefault="006612B6" w:rsidP="00464F70">
            <w:pPr>
              <w:jc w:val="center"/>
              <w:rPr>
                <w:sz w:val="22"/>
                <w:szCs w:val="22"/>
              </w:rPr>
            </w:pPr>
            <w:r>
              <w:rPr>
                <w:sz w:val="22"/>
                <w:szCs w:val="22"/>
              </w:rPr>
              <w:t>p-value</w:t>
            </w:r>
            <w:r w:rsidR="00A4429D">
              <w:rPr>
                <w:sz w:val="22"/>
                <w:szCs w:val="22"/>
              </w:rPr>
              <w:t xml:space="preserve"> (before vs outbreak)</w:t>
            </w:r>
          </w:p>
        </w:tc>
        <w:tc>
          <w:tcPr>
            <w:tcW w:w="1843" w:type="dxa"/>
          </w:tcPr>
          <w:p w14:paraId="690F756A" w14:textId="06A6881B" w:rsidR="006612B6" w:rsidRPr="00222162" w:rsidRDefault="000A7384" w:rsidP="006A586B">
            <w:pPr>
              <w:jc w:val="center"/>
              <w:rPr>
                <w:sz w:val="22"/>
                <w:szCs w:val="22"/>
              </w:rPr>
            </w:pPr>
            <w:r>
              <w:rPr>
                <w:sz w:val="22"/>
                <w:szCs w:val="22"/>
              </w:rPr>
              <w:t>n</w:t>
            </w:r>
            <w:r w:rsidR="00A8332B">
              <w:rPr>
                <w:sz w:val="22"/>
                <w:szCs w:val="22"/>
              </w:rPr>
              <w:t xml:space="preserve"> (</w:t>
            </w:r>
            <w:r w:rsidR="006612B6">
              <w:rPr>
                <w:sz w:val="22"/>
                <w:szCs w:val="22"/>
              </w:rPr>
              <w:t>%</w:t>
            </w:r>
            <w:r w:rsidR="00A8332B">
              <w:rPr>
                <w:sz w:val="22"/>
                <w:szCs w:val="22"/>
              </w:rPr>
              <w:t>)</w:t>
            </w:r>
            <w:r w:rsidR="006612B6">
              <w:rPr>
                <w:sz w:val="22"/>
                <w:szCs w:val="22"/>
              </w:rPr>
              <w:t xml:space="preserve"> Tested</w:t>
            </w:r>
            <w:r w:rsidR="00A8332B">
              <w:rPr>
                <w:sz w:val="22"/>
                <w:szCs w:val="22"/>
              </w:rPr>
              <w:t xml:space="preserve"> for SARS-CoV-2</w:t>
            </w:r>
          </w:p>
        </w:tc>
        <w:tc>
          <w:tcPr>
            <w:tcW w:w="1559" w:type="dxa"/>
          </w:tcPr>
          <w:p w14:paraId="737E6DC5" w14:textId="41860C89" w:rsidR="006612B6" w:rsidRDefault="006612B6" w:rsidP="00A70684">
            <w:pPr>
              <w:jc w:val="center"/>
              <w:rPr>
                <w:sz w:val="22"/>
                <w:szCs w:val="22"/>
              </w:rPr>
            </w:pPr>
            <w:r w:rsidRPr="00222162">
              <w:rPr>
                <w:sz w:val="22"/>
                <w:szCs w:val="22"/>
              </w:rPr>
              <w:t>SARS-CoV-2</w:t>
            </w:r>
            <w:r w:rsidR="00A70684">
              <w:rPr>
                <w:sz w:val="22"/>
                <w:szCs w:val="22"/>
              </w:rPr>
              <w:t xml:space="preserve"> </w:t>
            </w:r>
            <w:r>
              <w:rPr>
                <w:sz w:val="22"/>
                <w:szCs w:val="22"/>
              </w:rPr>
              <w:t>Positive n (%)</w:t>
            </w:r>
            <w:r w:rsidRPr="00222162">
              <w:rPr>
                <w:sz w:val="22"/>
                <w:szCs w:val="22"/>
              </w:rPr>
              <w:t xml:space="preserve"> </w:t>
            </w:r>
          </w:p>
        </w:tc>
        <w:tc>
          <w:tcPr>
            <w:tcW w:w="1559" w:type="dxa"/>
          </w:tcPr>
          <w:p w14:paraId="4811E420" w14:textId="3BC49767" w:rsidR="006612B6" w:rsidRPr="00222162" w:rsidRDefault="006612B6" w:rsidP="00A70684">
            <w:pPr>
              <w:jc w:val="center"/>
              <w:rPr>
                <w:sz w:val="22"/>
                <w:szCs w:val="22"/>
              </w:rPr>
            </w:pPr>
            <w:r w:rsidRPr="00222162">
              <w:rPr>
                <w:sz w:val="22"/>
                <w:szCs w:val="22"/>
              </w:rPr>
              <w:t>SARS-Co</w:t>
            </w:r>
            <w:r w:rsidR="00A70684">
              <w:rPr>
                <w:sz w:val="22"/>
                <w:szCs w:val="22"/>
              </w:rPr>
              <w:t xml:space="preserve">v-2 </w:t>
            </w:r>
            <w:bookmarkStart w:id="0" w:name="_GoBack"/>
            <w:bookmarkEnd w:id="0"/>
            <w:r>
              <w:rPr>
                <w:sz w:val="22"/>
                <w:szCs w:val="22"/>
              </w:rPr>
              <w:t>Negative n (%)</w:t>
            </w:r>
          </w:p>
        </w:tc>
        <w:tc>
          <w:tcPr>
            <w:tcW w:w="1559" w:type="dxa"/>
          </w:tcPr>
          <w:p w14:paraId="5497FFF6" w14:textId="31A90342" w:rsidR="006612B6" w:rsidRPr="00222162" w:rsidRDefault="006612B6" w:rsidP="00FA64D3">
            <w:pPr>
              <w:jc w:val="center"/>
              <w:rPr>
                <w:sz w:val="22"/>
                <w:szCs w:val="22"/>
              </w:rPr>
            </w:pPr>
            <w:r>
              <w:rPr>
                <w:sz w:val="22"/>
                <w:szCs w:val="22"/>
              </w:rPr>
              <w:t>p-value</w:t>
            </w:r>
            <w:r w:rsidR="00A4429D">
              <w:rPr>
                <w:sz w:val="22"/>
                <w:szCs w:val="22"/>
              </w:rPr>
              <w:t xml:space="preserve"> (positive vs negative)</w:t>
            </w:r>
          </w:p>
        </w:tc>
      </w:tr>
      <w:tr w:rsidR="000A7384" w:rsidRPr="00666E0D" w14:paraId="0D2A13B0" w14:textId="77777777" w:rsidTr="00105025">
        <w:trPr>
          <w:trHeight w:val="308"/>
        </w:trPr>
        <w:tc>
          <w:tcPr>
            <w:tcW w:w="4253" w:type="dxa"/>
          </w:tcPr>
          <w:p w14:paraId="059C232B" w14:textId="505B20E6" w:rsidR="00A8332B" w:rsidRPr="00222162" w:rsidRDefault="00A94D8B" w:rsidP="00105025">
            <w:pPr>
              <w:rPr>
                <w:sz w:val="22"/>
                <w:szCs w:val="22"/>
              </w:rPr>
            </w:pPr>
            <w:r>
              <w:rPr>
                <w:sz w:val="22"/>
                <w:szCs w:val="22"/>
              </w:rPr>
              <w:t xml:space="preserve">Total </w:t>
            </w:r>
            <w:r w:rsidR="00A8332B">
              <w:rPr>
                <w:sz w:val="22"/>
                <w:szCs w:val="22"/>
              </w:rPr>
              <w:t>DKA cases</w:t>
            </w:r>
            <w:r>
              <w:rPr>
                <w:sz w:val="22"/>
                <w:szCs w:val="22"/>
              </w:rPr>
              <w:t xml:space="preserve"> (biochemically confirmed)</w:t>
            </w:r>
          </w:p>
        </w:tc>
        <w:tc>
          <w:tcPr>
            <w:tcW w:w="1276" w:type="dxa"/>
          </w:tcPr>
          <w:p w14:paraId="51FDD820" w14:textId="5A4D5562" w:rsidR="00A8332B" w:rsidRPr="00222162" w:rsidRDefault="00A8332B" w:rsidP="002C5CA7">
            <w:pPr>
              <w:jc w:val="center"/>
              <w:rPr>
                <w:sz w:val="22"/>
                <w:szCs w:val="22"/>
              </w:rPr>
            </w:pPr>
            <w:r>
              <w:rPr>
                <w:sz w:val="22"/>
                <w:szCs w:val="22"/>
              </w:rPr>
              <w:t>133</w:t>
            </w:r>
          </w:p>
        </w:tc>
        <w:tc>
          <w:tcPr>
            <w:tcW w:w="1276" w:type="dxa"/>
          </w:tcPr>
          <w:p w14:paraId="1259239C" w14:textId="73A28615" w:rsidR="00A8332B" w:rsidRPr="00222162" w:rsidRDefault="00A8332B" w:rsidP="002C5CA7">
            <w:pPr>
              <w:jc w:val="center"/>
              <w:rPr>
                <w:sz w:val="22"/>
                <w:szCs w:val="22"/>
              </w:rPr>
            </w:pPr>
            <w:r>
              <w:rPr>
                <w:sz w:val="22"/>
                <w:szCs w:val="22"/>
              </w:rPr>
              <w:t>43</w:t>
            </w:r>
          </w:p>
        </w:tc>
        <w:tc>
          <w:tcPr>
            <w:tcW w:w="1559" w:type="dxa"/>
          </w:tcPr>
          <w:p w14:paraId="00B7E54D" w14:textId="77777777" w:rsidR="00A8332B" w:rsidRDefault="00A8332B" w:rsidP="006612B6">
            <w:pPr>
              <w:rPr>
                <w:sz w:val="22"/>
                <w:szCs w:val="22"/>
              </w:rPr>
            </w:pPr>
          </w:p>
        </w:tc>
        <w:tc>
          <w:tcPr>
            <w:tcW w:w="1843" w:type="dxa"/>
          </w:tcPr>
          <w:p w14:paraId="29E47558" w14:textId="5EE0AD5A" w:rsidR="00A8332B" w:rsidRDefault="00A8332B" w:rsidP="002C5CA7">
            <w:pPr>
              <w:jc w:val="center"/>
              <w:rPr>
                <w:sz w:val="22"/>
                <w:szCs w:val="22"/>
              </w:rPr>
            </w:pPr>
            <w:r>
              <w:rPr>
                <w:sz w:val="22"/>
                <w:szCs w:val="22"/>
              </w:rPr>
              <w:t>24 (56)</w:t>
            </w:r>
          </w:p>
        </w:tc>
        <w:tc>
          <w:tcPr>
            <w:tcW w:w="1559" w:type="dxa"/>
          </w:tcPr>
          <w:p w14:paraId="3C76778E" w14:textId="31B0BE09" w:rsidR="00A8332B" w:rsidRPr="00222162" w:rsidRDefault="00A8332B" w:rsidP="002C5CA7">
            <w:pPr>
              <w:jc w:val="center"/>
              <w:rPr>
                <w:sz w:val="22"/>
                <w:szCs w:val="22"/>
              </w:rPr>
            </w:pPr>
            <w:r>
              <w:rPr>
                <w:sz w:val="22"/>
                <w:szCs w:val="22"/>
              </w:rPr>
              <w:t>12 (50)</w:t>
            </w:r>
          </w:p>
        </w:tc>
        <w:tc>
          <w:tcPr>
            <w:tcW w:w="1559" w:type="dxa"/>
          </w:tcPr>
          <w:p w14:paraId="27D5459C" w14:textId="3BBEF498" w:rsidR="00A8332B" w:rsidRPr="00222162" w:rsidRDefault="00A8332B" w:rsidP="002C5CA7">
            <w:pPr>
              <w:jc w:val="center"/>
              <w:rPr>
                <w:sz w:val="22"/>
                <w:szCs w:val="22"/>
              </w:rPr>
            </w:pPr>
            <w:r>
              <w:rPr>
                <w:sz w:val="22"/>
                <w:szCs w:val="22"/>
              </w:rPr>
              <w:t>12 (50)</w:t>
            </w:r>
          </w:p>
        </w:tc>
        <w:tc>
          <w:tcPr>
            <w:tcW w:w="1559" w:type="dxa"/>
          </w:tcPr>
          <w:p w14:paraId="3BDC4AB0" w14:textId="77777777" w:rsidR="00A8332B" w:rsidRDefault="00A8332B" w:rsidP="006612B6">
            <w:pPr>
              <w:rPr>
                <w:sz w:val="22"/>
                <w:szCs w:val="22"/>
              </w:rPr>
            </w:pPr>
          </w:p>
        </w:tc>
      </w:tr>
      <w:tr w:rsidR="000A7384" w:rsidRPr="00666E0D" w14:paraId="52E28C5D" w14:textId="77777777" w:rsidTr="00105025">
        <w:trPr>
          <w:trHeight w:val="308"/>
        </w:trPr>
        <w:tc>
          <w:tcPr>
            <w:tcW w:w="4253" w:type="dxa"/>
          </w:tcPr>
          <w:p w14:paraId="3909457E" w14:textId="7DEA946C" w:rsidR="00A8332B" w:rsidRDefault="00A8332B" w:rsidP="00A8332B">
            <w:pPr>
              <w:rPr>
                <w:sz w:val="22"/>
                <w:szCs w:val="22"/>
              </w:rPr>
            </w:pPr>
            <w:r>
              <w:rPr>
                <w:sz w:val="22"/>
                <w:szCs w:val="22"/>
              </w:rPr>
              <w:t>Subtypes of diabetes</w:t>
            </w:r>
          </w:p>
        </w:tc>
        <w:tc>
          <w:tcPr>
            <w:tcW w:w="1276" w:type="dxa"/>
          </w:tcPr>
          <w:p w14:paraId="33BBD647" w14:textId="77777777" w:rsidR="00A8332B" w:rsidRPr="00222162" w:rsidRDefault="00A8332B" w:rsidP="002C5CA7">
            <w:pPr>
              <w:jc w:val="center"/>
              <w:rPr>
                <w:sz w:val="22"/>
                <w:szCs w:val="22"/>
              </w:rPr>
            </w:pPr>
          </w:p>
        </w:tc>
        <w:tc>
          <w:tcPr>
            <w:tcW w:w="1276" w:type="dxa"/>
          </w:tcPr>
          <w:p w14:paraId="48184406" w14:textId="77777777" w:rsidR="00A8332B" w:rsidRPr="00222162" w:rsidRDefault="00A8332B" w:rsidP="002C5CA7">
            <w:pPr>
              <w:jc w:val="center"/>
              <w:rPr>
                <w:sz w:val="22"/>
                <w:szCs w:val="22"/>
              </w:rPr>
            </w:pPr>
          </w:p>
        </w:tc>
        <w:tc>
          <w:tcPr>
            <w:tcW w:w="1559" w:type="dxa"/>
          </w:tcPr>
          <w:p w14:paraId="65F67909" w14:textId="77777777" w:rsidR="00A8332B" w:rsidRDefault="00A8332B" w:rsidP="006612B6">
            <w:pPr>
              <w:rPr>
                <w:sz w:val="22"/>
                <w:szCs w:val="22"/>
              </w:rPr>
            </w:pPr>
          </w:p>
        </w:tc>
        <w:tc>
          <w:tcPr>
            <w:tcW w:w="1843" w:type="dxa"/>
          </w:tcPr>
          <w:p w14:paraId="3B8E4CD3" w14:textId="77777777" w:rsidR="00A8332B" w:rsidRDefault="00A8332B" w:rsidP="002C5CA7">
            <w:pPr>
              <w:jc w:val="center"/>
              <w:rPr>
                <w:sz w:val="22"/>
                <w:szCs w:val="22"/>
              </w:rPr>
            </w:pPr>
          </w:p>
        </w:tc>
        <w:tc>
          <w:tcPr>
            <w:tcW w:w="1559" w:type="dxa"/>
          </w:tcPr>
          <w:p w14:paraId="5D260C79" w14:textId="77777777" w:rsidR="00A8332B" w:rsidRPr="00222162" w:rsidRDefault="00A8332B" w:rsidP="002C5CA7">
            <w:pPr>
              <w:jc w:val="center"/>
              <w:rPr>
                <w:sz w:val="22"/>
                <w:szCs w:val="22"/>
              </w:rPr>
            </w:pPr>
          </w:p>
        </w:tc>
        <w:tc>
          <w:tcPr>
            <w:tcW w:w="1559" w:type="dxa"/>
          </w:tcPr>
          <w:p w14:paraId="17B96549" w14:textId="77777777" w:rsidR="00A8332B" w:rsidRPr="00222162" w:rsidRDefault="00A8332B" w:rsidP="002C5CA7">
            <w:pPr>
              <w:jc w:val="center"/>
              <w:rPr>
                <w:sz w:val="22"/>
                <w:szCs w:val="22"/>
              </w:rPr>
            </w:pPr>
          </w:p>
        </w:tc>
        <w:tc>
          <w:tcPr>
            <w:tcW w:w="1559" w:type="dxa"/>
          </w:tcPr>
          <w:p w14:paraId="3E6F6781" w14:textId="77777777" w:rsidR="00A8332B" w:rsidRDefault="00A8332B" w:rsidP="006612B6">
            <w:pPr>
              <w:rPr>
                <w:sz w:val="22"/>
                <w:szCs w:val="22"/>
              </w:rPr>
            </w:pPr>
          </w:p>
        </w:tc>
      </w:tr>
      <w:tr w:rsidR="000A7384" w:rsidRPr="00666E0D" w14:paraId="6F3F13A6" w14:textId="6E0EE64C" w:rsidTr="00105025">
        <w:trPr>
          <w:trHeight w:val="308"/>
        </w:trPr>
        <w:tc>
          <w:tcPr>
            <w:tcW w:w="4253" w:type="dxa"/>
          </w:tcPr>
          <w:p w14:paraId="44C51696" w14:textId="0208AC69" w:rsidR="006612B6" w:rsidRPr="00222162" w:rsidRDefault="006612B6" w:rsidP="00105025">
            <w:pPr>
              <w:jc w:val="right"/>
              <w:rPr>
                <w:b/>
                <w:bCs/>
                <w:sz w:val="22"/>
                <w:szCs w:val="22"/>
              </w:rPr>
            </w:pPr>
            <w:r w:rsidRPr="00222162">
              <w:rPr>
                <w:sz w:val="22"/>
                <w:szCs w:val="22"/>
              </w:rPr>
              <w:t>Known type 1 diabetes</w:t>
            </w:r>
          </w:p>
        </w:tc>
        <w:tc>
          <w:tcPr>
            <w:tcW w:w="1276" w:type="dxa"/>
          </w:tcPr>
          <w:p w14:paraId="423330B3" w14:textId="304246FF" w:rsidR="006612B6" w:rsidRPr="00222162" w:rsidRDefault="006612B6" w:rsidP="00A4429D">
            <w:pPr>
              <w:jc w:val="center"/>
              <w:rPr>
                <w:sz w:val="22"/>
                <w:szCs w:val="22"/>
              </w:rPr>
            </w:pPr>
            <w:r w:rsidRPr="00222162">
              <w:rPr>
                <w:sz w:val="22"/>
                <w:szCs w:val="22"/>
              </w:rPr>
              <w:t>89(68)</w:t>
            </w:r>
          </w:p>
        </w:tc>
        <w:tc>
          <w:tcPr>
            <w:tcW w:w="1276" w:type="dxa"/>
          </w:tcPr>
          <w:p w14:paraId="40E012D4" w14:textId="7793F102" w:rsidR="006612B6" w:rsidRPr="00222162" w:rsidRDefault="006612B6" w:rsidP="00A4429D">
            <w:pPr>
              <w:jc w:val="center"/>
              <w:rPr>
                <w:sz w:val="22"/>
                <w:szCs w:val="22"/>
              </w:rPr>
            </w:pPr>
            <w:r w:rsidRPr="00222162">
              <w:rPr>
                <w:sz w:val="22"/>
                <w:szCs w:val="22"/>
              </w:rPr>
              <w:t>19(44)</w:t>
            </w:r>
          </w:p>
        </w:tc>
        <w:tc>
          <w:tcPr>
            <w:tcW w:w="1559" w:type="dxa"/>
            <w:vMerge w:val="restart"/>
          </w:tcPr>
          <w:p w14:paraId="52B1074E" w14:textId="22C1C24E" w:rsidR="006612B6" w:rsidRPr="00222162" w:rsidRDefault="006612B6" w:rsidP="000B5817">
            <w:pPr>
              <w:jc w:val="center"/>
              <w:rPr>
                <w:sz w:val="22"/>
                <w:szCs w:val="22"/>
              </w:rPr>
            </w:pPr>
            <w:r>
              <w:rPr>
                <w:sz w:val="22"/>
                <w:szCs w:val="22"/>
              </w:rPr>
              <w:t>0.019</w:t>
            </w:r>
          </w:p>
        </w:tc>
        <w:tc>
          <w:tcPr>
            <w:tcW w:w="1843" w:type="dxa"/>
          </w:tcPr>
          <w:p w14:paraId="6D93F2D3" w14:textId="0558D469" w:rsidR="006612B6" w:rsidRPr="00222162" w:rsidRDefault="00A8332B" w:rsidP="002C5CA7">
            <w:pPr>
              <w:jc w:val="center"/>
              <w:rPr>
                <w:sz w:val="22"/>
                <w:szCs w:val="22"/>
              </w:rPr>
            </w:pPr>
            <w:r>
              <w:rPr>
                <w:sz w:val="22"/>
                <w:szCs w:val="22"/>
              </w:rPr>
              <w:t>9 (47)</w:t>
            </w:r>
          </w:p>
        </w:tc>
        <w:tc>
          <w:tcPr>
            <w:tcW w:w="1559" w:type="dxa"/>
          </w:tcPr>
          <w:p w14:paraId="16E1C34C" w14:textId="1118557A" w:rsidR="006612B6" w:rsidRPr="00222162" w:rsidRDefault="006612B6" w:rsidP="002C5CA7">
            <w:pPr>
              <w:jc w:val="center"/>
              <w:rPr>
                <w:sz w:val="22"/>
                <w:szCs w:val="22"/>
              </w:rPr>
            </w:pPr>
            <w:r w:rsidRPr="00222162">
              <w:rPr>
                <w:sz w:val="22"/>
                <w:szCs w:val="22"/>
              </w:rPr>
              <w:t>1 (11)</w:t>
            </w:r>
          </w:p>
        </w:tc>
        <w:tc>
          <w:tcPr>
            <w:tcW w:w="1559" w:type="dxa"/>
          </w:tcPr>
          <w:p w14:paraId="271A1A98" w14:textId="04E4D8B5" w:rsidR="006612B6" w:rsidRPr="00222162" w:rsidRDefault="006612B6" w:rsidP="002C5CA7">
            <w:pPr>
              <w:jc w:val="center"/>
              <w:rPr>
                <w:sz w:val="22"/>
                <w:szCs w:val="22"/>
              </w:rPr>
            </w:pPr>
            <w:r w:rsidRPr="00222162">
              <w:rPr>
                <w:sz w:val="22"/>
                <w:szCs w:val="22"/>
              </w:rPr>
              <w:t>8 (89)</w:t>
            </w:r>
          </w:p>
        </w:tc>
        <w:tc>
          <w:tcPr>
            <w:tcW w:w="1559" w:type="dxa"/>
            <w:vMerge w:val="restart"/>
          </w:tcPr>
          <w:p w14:paraId="06194171" w14:textId="7E480286" w:rsidR="006612B6" w:rsidRPr="00222162" w:rsidRDefault="006612B6" w:rsidP="000B5817">
            <w:pPr>
              <w:jc w:val="center"/>
              <w:rPr>
                <w:sz w:val="22"/>
                <w:szCs w:val="22"/>
              </w:rPr>
            </w:pPr>
            <w:r>
              <w:rPr>
                <w:sz w:val="22"/>
                <w:szCs w:val="22"/>
              </w:rPr>
              <w:t>0.002</w:t>
            </w:r>
          </w:p>
        </w:tc>
      </w:tr>
      <w:tr w:rsidR="000A7384" w:rsidRPr="00666E0D" w14:paraId="464C360A" w14:textId="144D6505" w:rsidTr="00105025">
        <w:trPr>
          <w:trHeight w:val="324"/>
        </w:trPr>
        <w:tc>
          <w:tcPr>
            <w:tcW w:w="4253" w:type="dxa"/>
          </w:tcPr>
          <w:p w14:paraId="61E1AFD4" w14:textId="21CAE195" w:rsidR="006612B6" w:rsidRPr="00222162" w:rsidRDefault="006612B6" w:rsidP="00105025">
            <w:pPr>
              <w:jc w:val="right"/>
              <w:rPr>
                <w:b/>
                <w:bCs/>
                <w:sz w:val="22"/>
                <w:szCs w:val="22"/>
              </w:rPr>
            </w:pPr>
            <w:r w:rsidRPr="00222162">
              <w:rPr>
                <w:sz w:val="22"/>
                <w:szCs w:val="22"/>
              </w:rPr>
              <w:t>Known type 2 diabetes</w:t>
            </w:r>
          </w:p>
        </w:tc>
        <w:tc>
          <w:tcPr>
            <w:tcW w:w="1276" w:type="dxa"/>
          </w:tcPr>
          <w:p w14:paraId="16EFF56F" w14:textId="0E6B51B3" w:rsidR="006612B6" w:rsidRPr="00222162" w:rsidRDefault="006612B6" w:rsidP="00A4429D">
            <w:pPr>
              <w:jc w:val="center"/>
              <w:rPr>
                <w:sz w:val="22"/>
                <w:szCs w:val="22"/>
              </w:rPr>
            </w:pPr>
            <w:r w:rsidRPr="00222162">
              <w:rPr>
                <w:sz w:val="22"/>
                <w:szCs w:val="22"/>
              </w:rPr>
              <w:t>22(17)</w:t>
            </w:r>
          </w:p>
        </w:tc>
        <w:tc>
          <w:tcPr>
            <w:tcW w:w="1276" w:type="dxa"/>
          </w:tcPr>
          <w:p w14:paraId="0EA7614B" w14:textId="1BD879A4" w:rsidR="006612B6" w:rsidRPr="00222162" w:rsidRDefault="006612B6" w:rsidP="00A4429D">
            <w:pPr>
              <w:jc w:val="center"/>
              <w:rPr>
                <w:sz w:val="22"/>
                <w:szCs w:val="22"/>
              </w:rPr>
            </w:pPr>
            <w:r w:rsidRPr="00222162">
              <w:rPr>
                <w:sz w:val="22"/>
                <w:szCs w:val="22"/>
              </w:rPr>
              <w:t>16(37)</w:t>
            </w:r>
          </w:p>
        </w:tc>
        <w:tc>
          <w:tcPr>
            <w:tcW w:w="1559" w:type="dxa"/>
            <w:vMerge/>
          </w:tcPr>
          <w:p w14:paraId="70B7249A" w14:textId="6F0B4FC7" w:rsidR="006612B6" w:rsidRPr="00222162" w:rsidRDefault="006612B6" w:rsidP="000B5817">
            <w:pPr>
              <w:jc w:val="center"/>
              <w:rPr>
                <w:sz w:val="22"/>
                <w:szCs w:val="22"/>
              </w:rPr>
            </w:pPr>
          </w:p>
        </w:tc>
        <w:tc>
          <w:tcPr>
            <w:tcW w:w="1843" w:type="dxa"/>
          </w:tcPr>
          <w:p w14:paraId="660120E6" w14:textId="118BB9F7" w:rsidR="006612B6" w:rsidRPr="00222162" w:rsidRDefault="00A8332B" w:rsidP="002C5CA7">
            <w:pPr>
              <w:jc w:val="center"/>
              <w:rPr>
                <w:sz w:val="22"/>
                <w:szCs w:val="22"/>
              </w:rPr>
            </w:pPr>
            <w:r>
              <w:rPr>
                <w:sz w:val="22"/>
                <w:szCs w:val="22"/>
              </w:rPr>
              <w:t>9 (56)</w:t>
            </w:r>
          </w:p>
        </w:tc>
        <w:tc>
          <w:tcPr>
            <w:tcW w:w="1559" w:type="dxa"/>
          </w:tcPr>
          <w:p w14:paraId="2AC66D63" w14:textId="5FD769C2" w:rsidR="006612B6" w:rsidRPr="00222162" w:rsidRDefault="006612B6" w:rsidP="002C5CA7">
            <w:pPr>
              <w:jc w:val="center"/>
              <w:rPr>
                <w:sz w:val="22"/>
                <w:szCs w:val="22"/>
              </w:rPr>
            </w:pPr>
            <w:r w:rsidRPr="00222162">
              <w:rPr>
                <w:sz w:val="22"/>
                <w:szCs w:val="22"/>
              </w:rPr>
              <w:t>8 (89)</w:t>
            </w:r>
          </w:p>
        </w:tc>
        <w:tc>
          <w:tcPr>
            <w:tcW w:w="1559" w:type="dxa"/>
          </w:tcPr>
          <w:p w14:paraId="1F661A52" w14:textId="5674D78D" w:rsidR="006612B6" w:rsidRPr="00222162" w:rsidRDefault="006612B6" w:rsidP="002C5CA7">
            <w:pPr>
              <w:jc w:val="center"/>
              <w:rPr>
                <w:sz w:val="22"/>
                <w:szCs w:val="22"/>
              </w:rPr>
            </w:pPr>
            <w:r w:rsidRPr="00222162">
              <w:rPr>
                <w:sz w:val="22"/>
                <w:szCs w:val="22"/>
              </w:rPr>
              <w:t>1 (11)</w:t>
            </w:r>
          </w:p>
        </w:tc>
        <w:tc>
          <w:tcPr>
            <w:tcW w:w="1559" w:type="dxa"/>
            <w:vMerge/>
          </w:tcPr>
          <w:p w14:paraId="48D32EF0" w14:textId="5D55F5DA" w:rsidR="006612B6" w:rsidRPr="00222162" w:rsidRDefault="006612B6" w:rsidP="000B5817">
            <w:pPr>
              <w:jc w:val="center"/>
              <w:rPr>
                <w:sz w:val="22"/>
                <w:szCs w:val="22"/>
              </w:rPr>
            </w:pPr>
          </w:p>
        </w:tc>
      </w:tr>
      <w:tr w:rsidR="000A7384" w:rsidRPr="00666E0D" w14:paraId="2D0A7758" w14:textId="5E173AC5" w:rsidTr="00105025">
        <w:trPr>
          <w:trHeight w:val="308"/>
        </w:trPr>
        <w:tc>
          <w:tcPr>
            <w:tcW w:w="4253" w:type="dxa"/>
          </w:tcPr>
          <w:p w14:paraId="74C1F585" w14:textId="7F3CD5C3" w:rsidR="006612B6" w:rsidRPr="00222162" w:rsidRDefault="006612B6" w:rsidP="00105025">
            <w:pPr>
              <w:jc w:val="right"/>
              <w:rPr>
                <w:b/>
                <w:bCs/>
                <w:sz w:val="22"/>
                <w:szCs w:val="22"/>
              </w:rPr>
            </w:pPr>
            <w:r w:rsidRPr="00222162">
              <w:rPr>
                <w:sz w:val="22"/>
                <w:szCs w:val="22"/>
              </w:rPr>
              <w:t>Known other type</w:t>
            </w:r>
          </w:p>
        </w:tc>
        <w:tc>
          <w:tcPr>
            <w:tcW w:w="1276" w:type="dxa"/>
          </w:tcPr>
          <w:p w14:paraId="548B27E4" w14:textId="5346FE85" w:rsidR="006612B6" w:rsidRPr="00222162" w:rsidRDefault="006612B6" w:rsidP="00A4429D">
            <w:pPr>
              <w:jc w:val="center"/>
              <w:rPr>
                <w:sz w:val="22"/>
                <w:szCs w:val="22"/>
              </w:rPr>
            </w:pPr>
            <w:r w:rsidRPr="00222162">
              <w:rPr>
                <w:sz w:val="22"/>
                <w:szCs w:val="22"/>
              </w:rPr>
              <w:t>4(3)</w:t>
            </w:r>
          </w:p>
        </w:tc>
        <w:tc>
          <w:tcPr>
            <w:tcW w:w="1276" w:type="dxa"/>
          </w:tcPr>
          <w:p w14:paraId="79863775" w14:textId="14407E3D" w:rsidR="006612B6" w:rsidRPr="00222162" w:rsidRDefault="006612B6" w:rsidP="00A4429D">
            <w:pPr>
              <w:jc w:val="center"/>
              <w:rPr>
                <w:sz w:val="22"/>
                <w:szCs w:val="22"/>
              </w:rPr>
            </w:pPr>
            <w:r w:rsidRPr="00222162">
              <w:rPr>
                <w:sz w:val="22"/>
                <w:szCs w:val="22"/>
              </w:rPr>
              <w:t>2(5)</w:t>
            </w:r>
          </w:p>
        </w:tc>
        <w:tc>
          <w:tcPr>
            <w:tcW w:w="1559" w:type="dxa"/>
            <w:vMerge/>
          </w:tcPr>
          <w:p w14:paraId="61ADA0C2" w14:textId="2F206250" w:rsidR="006612B6" w:rsidRPr="00222162" w:rsidRDefault="006612B6" w:rsidP="000B5817">
            <w:pPr>
              <w:jc w:val="center"/>
              <w:rPr>
                <w:sz w:val="22"/>
                <w:szCs w:val="22"/>
              </w:rPr>
            </w:pPr>
          </w:p>
        </w:tc>
        <w:tc>
          <w:tcPr>
            <w:tcW w:w="1843" w:type="dxa"/>
          </w:tcPr>
          <w:p w14:paraId="5018FBBB" w14:textId="60DCE82C" w:rsidR="006612B6" w:rsidRPr="00222162" w:rsidRDefault="00A8332B" w:rsidP="002C5CA7">
            <w:pPr>
              <w:jc w:val="center"/>
              <w:rPr>
                <w:sz w:val="22"/>
                <w:szCs w:val="22"/>
              </w:rPr>
            </w:pPr>
            <w:r>
              <w:rPr>
                <w:sz w:val="22"/>
                <w:szCs w:val="22"/>
              </w:rPr>
              <w:t>2 (100)</w:t>
            </w:r>
          </w:p>
        </w:tc>
        <w:tc>
          <w:tcPr>
            <w:tcW w:w="1559" w:type="dxa"/>
          </w:tcPr>
          <w:p w14:paraId="72D88DCA" w14:textId="54580732" w:rsidR="006612B6" w:rsidRPr="00222162" w:rsidRDefault="006612B6" w:rsidP="002C5CA7">
            <w:pPr>
              <w:jc w:val="center"/>
              <w:rPr>
                <w:sz w:val="22"/>
                <w:szCs w:val="22"/>
              </w:rPr>
            </w:pPr>
            <w:r w:rsidRPr="00222162">
              <w:rPr>
                <w:sz w:val="22"/>
                <w:szCs w:val="22"/>
              </w:rPr>
              <w:t>1 (50)</w:t>
            </w:r>
          </w:p>
        </w:tc>
        <w:tc>
          <w:tcPr>
            <w:tcW w:w="1559" w:type="dxa"/>
          </w:tcPr>
          <w:p w14:paraId="1BC3FF73" w14:textId="107FE5B6" w:rsidR="006612B6" w:rsidRPr="00222162" w:rsidRDefault="006612B6" w:rsidP="002C5CA7">
            <w:pPr>
              <w:jc w:val="center"/>
              <w:rPr>
                <w:sz w:val="22"/>
                <w:szCs w:val="22"/>
              </w:rPr>
            </w:pPr>
            <w:r w:rsidRPr="00222162">
              <w:rPr>
                <w:sz w:val="22"/>
                <w:szCs w:val="22"/>
              </w:rPr>
              <w:t>1 (50)</w:t>
            </w:r>
          </w:p>
        </w:tc>
        <w:tc>
          <w:tcPr>
            <w:tcW w:w="1559" w:type="dxa"/>
            <w:vMerge/>
          </w:tcPr>
          <w:p w14:paraId="258ED275" w14:textId="52A72A11" w:rsidR="006612B6" w:rsidRPr="00222162" w:rsidRDefault="006612B6" w:rsidP="000B5817">
            <w:pPr>
              <w:jc w:val="center"/>
              <w:rPr>
                <w:sz w:val="22"/>
                <w:szCs w:val="22"/>
              </w:rPr>
            </w:pPr>
          </w:p>
        </w:tc>
      </w:tr>
      <w:tr w:rsidR="000A7384" w:rsidRPr="00666E0D" w14:paraId="3700E240" w14:textId="10F125B7" w:rsidTr="00105025">
        <w:trPr>
          <w:trHeight w:val="308"/>
        </w:trPr>
        <w:tc>
          <w:tcPr>
            <w:tcW w:w="4253" w:type="dxa"/>
          </w:tcPr>
          <w:p w14:paraId="05913DEB" w14:textId="022933B2" w:rsidR="006612B6" w:rsidRPr="00105025" w:rsidRDefault="006612B6" w:rsidP="00105025">
            <w:pPr>
              <w:jc w:val="right"/>
              <w:rPr>
                <w:b/>
                <w:bCs/>
                <w:sz w:val="22"/>
                <w:szCs w:val="22"/>
                <w:vertAlign w:val="superscript"/>
              </w:rPr>
            </w:pPr>
            <w:r w:rsidRPr="00222162">
              <w:rPr>
                <w:sz w:val="22"/>
                <w:szCs w:val="22"/>
              </w:rPr>
              <w:t>New presentation</w:t>
            </w:r>
          </w:p>
        </w:tc>
        <w:tc>
          <w:tcPr>
            <w:tcW w:w="1276" w:type="dxa"/>
          </w:tcPr>
          <w:p w14:paraId="262F5EC0" w14:textId="78F8A398" w:rsidR="006612B6" w:rsidRPr="00222162" w:rsidRDefault="006612B6" w:rsidP="00A4429D">
            <w:pPr>
              <w:jc w:val="center"/>
              <w:rPr>
                <w:sz w:val="22"/>
                <w:szCs w:val="22"/>
              </w:rPr>
            </w:pPr>
            <w:r w:rsidRPr="00222162">
              <w:rPr>
                <w:sz w:val="22"/>
                <w:szCs w:val="22"/>
              </w:rPr>
              <w:t>15(12)</w:t>
            </w:r>
          </w:p>
        </w:tc>
        <w:tc>
          <w:tcPr>
            <w:tcW w:w="1276" w:type="dxa"/>
          </w:tcPr>
          <w:p w14:paraId="0252A141" w14:textId="01B0EF76" w:rsidR="006612B6" w:rsidRPr="00105025" w:rsidRDefault="006612B6" w:rsidP="00A4429D">
            <w:pPr>
              <w:jc w:val="center"/>
              <w:rPr>
                <w:sz w:val="22"/>
                <w:szCs w:val="22"/>
                <w:vertAlign w:val="superscript"/>
              </w:rPr>
            </w:pPr>
            <w:r w:rsidRPr="00222162">
              <w:rPr>
                <w:sz w:val="22"/>
                <w:szCs w:val="22"/>
              </w:rPr>
              <w:t>6(14)</w:t>
            </w:r>
            <w:r w:rsidR="009D5EBB">
              <w:rPr>
                <w:sz w:val="22"/>
                <w:szCs w:val="22"/>
                <w:vertAlign w:val="superscript"/>
              </w:rPr>
              <w:t>&amp;</w:t>
            </w:r>
          </w:p>
        </w:tc>
        <w:tc>
          <w:tcPr>
            <w:tcW w:w="1559" w:type="dxa"/>
            <w:vMerge/>
          </w:tcPr>
          <w:p w14:paraId="7754BCFA" w14:textId="4BBC59DB" w:rsidR="006612B6" w:rsidRPr="000F1B05" w:rsidRDefault="006612B6" w:rsidP="000B5817">
            <w:pPr>
              <w:jc w:val="center"/>
              <w:rPr>
                <w:sz w:val="22"/>
                <w:szCs w:val="22"/>
                <w:vertAlign w:val="superscript"/>
              </w:rPr>
            </w:pPr>
          </w:p>
        </w:tc>
        <w:tc>
          <w:tcPr>
            <w:tcW w:w="1843" w:type="dxa"/>
          </w:tcPr>
          <w:p w14:paraId="227A0594" w14:textId="6C39DEDB" w:rsidR="006612B6" w:rsidRPr="00222162" w:rsidRDefault="00A8332B" w:rsidP="002C5CA7">
            <w:pPr>
              <w:jc w:val="center"/>
              <w:rPr>
                <w:sz w:val="22"/>
                <w:szCs w:val="22"/>
              </w:rPr>
            </w:pPr>
            <w:r>
              <w:rPr>
                <w:sz w:val="22"/>
                <w:szCs w:val="22"/>
              </w:rPr>
              <w:t>4 (67)</w:t>
            </w:r>
          </w:p>
        </w:tc>
        <w:tc>
          <w:tcPr>
            <w:tcW w:w="1559" w:type="dxa"/>
          </w:tcPr>
          <w:p w14:paraId="20E38429" w14:textId="697E045B" w:rsidR="006612B6" w:rsidRPr="00222162" w:rsidRDefault="006612B6" w:rsidP="002C5CA7">
            <w:pPr>
              <w:jc w:val="center"/>
              <w:rPr>
                <w:sz w:val="22"/>
                <w:szCs w:val="22"/>
              </w:rPr>
            </w:pPr>
            <w:r w:rsidRPr="00222162">
              <w:rPr>
                <w:sz w:val="22"/>
                <w:szCs w:val="22"/>
              </w:rPr>
              <w:t>2 (50)</w:t>
            </w:r>
          </w:p>
        </w:tc>
        <w:tc>
          <w:tcPr>
            <w:tcW w:w="1559" w:type="dxa"/>
          </w:tcPr>
          <w:p w14:paraId="28B32C7C" w14:textId="226E62A7" w:rsidR="006612B6" w:rsidRPr="00222162" w:rsidRDefault="006612B6" w:rsidP="002C5CA7">
            <w:pPr>
              <w:jc w:val="center"/>
              <w:rPr>
                <w:sz w:val="22"/>
                <w:szCs w:val="22"/>
              </w:rPr>
            </w:pPr>
            <w:r w:rsidRPr="00222162">
              <w:rPr>
                <w:sz w:val="22"/>
                <w:szCs w:val="22"/>
              </w:rPr>
              <w:t>2 (50)</w:t>
            </w:r>
          </w:p>
        </w:tc>
        <w:tc>
          <w:tcPr>
            <w:tcW w:w="1559" w:type="dxa"/>
            <w:vMerge/>
          </w:tcPr>
          <w:p w14:paraId="0E957A6D" w14:textId="6DBC7BF8" w:rsidR="006612B6" w:rsidRPr="000F1B05" w:rsidRDefault="006612B6" w:rsidP="000B5817">
            <w:pPr>
              <w:jc w:val="center"/>
              <w:rPr>
                <w:sz w:val="22"/>
                <w:szCs w:val="22"/>
                <w:vertAlign w:val="superscript"/>
              </w:rPr>
            </w:pPr>
          </w:p>
        </w:tc>
      </w:tr>
      <w:tr w:rsidR="000A7384" w:rsidRPr="00666E0D" w14:paraId="4FC4952C" w14:textId="6061942B" w:rsidTr="00105025">
        <w:trPr>
          <w:trHeight w:val="308"/>
        </w:trPr>
        <w:tc>
          <w:tcPr>
            <w:tcW w:w="4253" w:type="dxa"/>
          </w:tcPr>
          <w:p w14:paraId="4441C9A3" w14:textId="012840F6" w:rsidR="006612B6" w:rsidRPr="00222162" w:rsidRDefault="006612B6" w:rsidP="00105025">
            <w:pPr>
              <w:jc w:val="right"/>
              <w:rPr>
                <w:b/>
                <w:bCs/>
                <w:color w:val="000000"/>
                <w:sz w:val="22"/>
                <w:szCs w:val="22"/>
              </w:rPr>
            </w:pPr>
            <w:r>
              <w:rPr>
                <w:color w:val="000000"/>
                <w:sz w:val="22"/>
                <w:szCs w:val="22"/>
              </w:rPr>
              <w:t>All n</w:t>
            </w:r>
            <w:r w:rsidRPr="00222162">
              <w:rPr>
                <w:color w:val="000000"/>
                <w:sz w:val="22"/>
                <w:szCs w:val="22"/>
              </w:rPr>
              <w:t>on-type 2 diabetes</w:t>
            </w:r>
          </w:p>
        </w:tc>
        <w:tc>
          <w:tcPr>
            <w:tcW w:w="1276" w:type="dxa"/>
          </w:tcPr>
          <w:p w14:paraId="4CBB9ED2" w14:textId="3DD1B41B" w:rsidR="006612B6" w:rsidRPr="00222162" w:rsidRDefault="006612B6" w:rsidP="00105025">
            <w:pPr>
              <w:jc w:val="center"/>
              <w:rPr>
                <w:color w:val="000000"/>
                <w:sz w:val="22"/>
                <w:szCs w:val="22"/>
              </w:rPr>
            </w:pPr>
            <w:r w:rsidRPr="00222162">
              <w:rPr>
                <w:color w:val="000000"/>
                <w:sz w:val="22"/>
                <w:szCs w:val="22"/>
              </w:rPr>
              <w:t>108(83)</w:t>
            </w:r>
          </w:p>
        </w:tc>
        <w:tc>
          <w:tcPr>
            <w:tcW w:w="1276" w:type="dxa"/>
          </w:tcPr>
          <w:p w14:paraId="3CACE471" w14:textId="682BD025" w:rsidR="006612B6" w:rsidRPr="00222162" w:rsidRDefault="006612B6" w:rsidP="00A4429D">
            <w:pPr>
              <w:jc w:val="center"/>
              <w:rPr>
                <w:color w:val="000000"/>
                <w:sz w:val="22"/>
                <w:szCs w:val="22"/>
              </w:rPr>
            </w:pPr>
            <w:r w:rsidRPr="00222162">
              <w:rPr>
                <w:color w:val="000000"/>
                <w:sz w:val="22"/>
                <w:szCs w:val="22"/>
              </w:rPr>
              <w:t>27(63)</w:t>
            </w:r>
          </w:p>
        </w:tc>
        <w:tc>
          <w:tcPr>
            <w:tcW w:w="1559" w:type="dxa"/>
          </w:tcPr>
          <w:p w14:paraId="39393AD8" w14:textId="2B95C6DE" w:rsidR="00A4429D" w:rsidRPr="00105025" w:rsidRDefault="006612B6" w:rsidP="00A4429D">
            <w:pPr>
              <w:jc w:val="center"/>
              <w:rPr>
                <w:sz w:val="22"/>
                <w:szCs w:val="22"/>
                <w:vertAlign w:val="superscript"/>
              </w:rPr>
            </w:pPr>
            <w:r>
              <w:rPr>
                <w:sz w:val="22"/>
                <w:szCs w:val="22"/>
              </w:rPr>
              <w:t>0.01</w:t>
            </w:r>
            <w:r w:rsidRPr="000F1B05">
              <w:rPr>
                <w:sz w:val="22"/>
                <w:szCs w:val="22"/>
                <w:vertAlign w:val="superscript"/>
              </w:rPr>
              <w:t>*</w:t>
            </w:r>
          </w:p>
        </w:tc>
        <w:tc>
          <w:tcPr>
            <w:tcW w:w="1843" w:type="dxa"/>
          </w:tcPr>
          <w:p w14:paraId="0BF0A949" w14:textId="02048F8E" w:rsidR="006612B6" w:rsidRPr="00222162" w:rsidRDefault="00156D6C" w:rsidP="002C5CA7">
            <w:pPr>
              <w:jc w:val="center"/>
              <w:rPr>
                <w:sz w:val="22"/>
                <w:szCs w:val="22"/>
              </w:rPr>
            </w:pPr>
            <w:r>
              <w:rPr>
                <w:sz w:val="22"/>
                <w:szCs w:val="22"/>
              </w:rPr>
              <w:t>15 (56)</w:t>
            </w:r>
          </w:p>
        </w:tc>
        <w:tc>
          <w:tcPr>
            <w:tcW w:w="1559" w:type="dxa"/>
          </w:tcPr>
          <w:p w14:paraId="4BF72087" w14:textId="3E34D588" w:rsidR="006612B6" w:rsidRPr="00222162" w:rsidRDefault="006612B6" w:rsidP="002C5CA7">
            <w:pPr>
              <w:jc w:val="center"/>
              <w:rPr>
                <w:color w:val="000000"/>
                <w:sz w:val="22"/>
                <w:szCs w:val="22"/>
              </w:rPr>
            </w:pPr>
            <w:r w:rsidRPr="00222162">
              <w:rPr>
                <w:sz w:val="22"/>
                <w:szCs w:val="22"/>
              </w:rPr>
              <w:t>4 (27)</w:t>
            </w:r>
          </w:p>
        </w:tc>
        <w:tc>
          <w:tcPr>
            <w:tcW w:w="1559" w:type="dxa"/>
          </w:tcPr>
          <w:p w14:paraId="60872B12" w14:textId="44F59081" w:rsidR="006612B6" w:rsidRPr="00222162" w:rsidRDefault="006612B6" w:rsidP="002C5CA7">
            <w:pPr>
              <w:jc w:val="center"/>
              <w:rPr>
                <w:color w:val="000000"/>
                <w:sz w:val="22"/>
                <w:szCs w:val="22"/>
              </w:rPr>
            </w:pPr>
            <w:r w:rsidRPr="00222162">
              <w:rPr>
                <w:sz w:val="22"/>
                <w:szCs w:val="22"/>
              </w:rPr>
              <w:t>11 (73)</w:t>
            </w:r>
          </w:p>
        </w:tc>
        <w:tc>
          <w:tcPr>
            <w:tcW w:w="1559" w:type="dxa"/>
          </w:tcPr>
          <w:p w14:paraId="0B01FEC5" w14:textId="55609404" w:rsidR="006612B6" w:rsidRPr="00222162" w:rsidRDefault="006612B6" w:rsidP="000B5817">
            <w:pPr>
              <w:jc w:val="center"/>
              <w:rPr>
                <w:sz w:val="22"/>
                <w:szCs w:val="22"/>
              </w:rPr>
            </w:pPr>
            <w:r>
              <w:rPr>
                <w:sz w:val="22"/>
                <w:szCs w:val="22"/>
              </w:rPr>
              <w:t>0.009</w:t>
            </w:r>
            <w:r w:rsidR="00A4429D" w:rsidRPr="00105025">
              <w:rPr>
                <w:sz w:val="22"/>
                <w:szCs w:val="22"/>
                <w:vertAlign w:val="superscript"/>
              </w:rPr>
              <w:t>*</w:t>
            </w:r>
          </w:p>
        </w:tc>
      </w:tr>
      <w:tr w:rsidR="000A7384" w14:paraId="76071BFE" w14:textId="7BA8259F" w:rsidTr="00105025">
        <w:trPr>
          <w:trHeight w:val="308"/>
        </w:trPr>
        <w:tc>
          <w:tcPr>
            <w:tcW w:w="4253" w:type="dxa"/>
          </w:tcPr>
          <w:p w14:paraId="4E333D4B" w14:textId="0050CB87" w:rsidR="006612B6" w:rsidRPr="00222162" w:rsidRDefault="006612B6" w:rsidP="00105025">
            <w:pPr>
              <w:jc w:val="right"/>
              <w:rPr>
                <w:b/>
                <w:bCs/>
                <w:color w:val="000000"/>
                <w:sz w:val="22"/>
                <w:szCs w:val="22"/>
              </w:rPr>
            </w:pPr>
            <w:r>
              <w:rPr>
                <w:color w:val="000000"/>
                <w:sz w:val="22"/>
                <w:szCs w:val="22"/>
              </w:rPr>
              <w:t>All k</w:t>
            </w:r>
            <w:r w:rsidRPr="00222162">
              <w:rPr>
                <w:color w:val="000000"/>
                <w:sz w:val="22"/>
                <w:szCs w:val="22"/>
              </w:rPr>
              <w:t>nown diabetes</w:t>
            </w:r>
          </w:p>
        </w:tc>
        <w:tc>
          <w:tcPr>
            <w:tcW w:w="1276" w:type="dxa"/>
          </w:tcPr>
          <w:p w14:paraId="25141585" w14:textId="120B6382" w:rsidR="006612B6" w:rsidRPr="00222162" w:rsidRDefault="006612B6" w:rsidP="00A4429D">
            <w:pPr>
              <w:jc w:val="center"/>
              <w:rPr>
                <w:color w:val="000000"/>
                <w:sz w:val="22"/>
                <w:szCs w:val="22"/>
              </w:rPr>
            </w:pPr>
            <w:r w:rsidRPr="00222162">
              <w:rPr>
                <w:color w:val="000000"/>
                <w:sz w:val="22"/>
                <w:szCs w:val="22"/>
              </w:rPr>
              <w:t>115(88)</w:t>
            </w:r>
          </w:p>
        </w:tc>
        <w:tc>
          <w:tcPr>
            <w:tcW w:w="1276" w:type="dxa"/>
          </w:tcPr>
          <w:p w14:paraId="6DD741E0" w14:textId="34BEE521" w:rsidR="006612B6" w:rsidRPr="00222162" w:rsidRDefault="006612B6" w:rsidP="00A4429D">
            <w:pPr>
              <w:jc w:val="center"/>
              <w:rPr>
                <w:color w:val="000000"/>
                <w:sz w:val="22"/>
                <w:szCs w:val="22"/>
              </w:rPr>
            </w:pPr>
            <w:r w:rsidRPr="00222162">
              <w:rPr>
                <w:color w:val="000000"/>
                <w:sz w:val="22"/>
                <w:szCs w:val="22"/>
              </w:rPr>
              <w:t>37(86)</w:t>
            </w:r>
          </w:p>
        </w:tc>
        <w:tc>
          <w:tcPr>
            <w:tcW w:w="1559" w:type="dxa"/>
          </w:tcPr>
          <w:p w14:paraId="6479D139" w14:textId="0B888829" w:rsidR="006612B6" w:rsidRPr="00222162" w:rsidRDefault="006612B6" w:rsidP="000B5817">
            <w:pPr>
              <w:jc w:val="center"/>
              <w:rPr>
                <w:color w:val="000000"/>
                <w:sz w:val="22"/>
                <w:szCs w:val="22"/>
              </w:rPr>
            </w:pPr>
            <w:r>
              <w:rPr>
                <w:color w:val="000000"/>
                <w:sz w:val="22"/>
                <w:szCs w:val="22"/>
              </w:rPr>
              <w:t>0.79</w:t>
            </w:r>
            <w:r w:rsidRPr="000F1B05">
              <w:rPr>
                <w:color w:val="000000"/>
                <w:sz w:val="22"/>
                <w:szCs w:val="22"/>
                <w:vertAlign w:val="superscript"/>
              </w:rPr>
              <w:t>$</w:t>
            </w:r>
          </w:p>
        </w:tc>
        <w:tc>
          <w:tcPr>
            <w:tcW w:w="1843" w:type="dxa"/>
          </w:tcPr>
          <w:p w14:paraId="1AF6B651" w14:textId="5ED4230B" w:rsidR="006612B6" w:rsidRPr="00222162" w:rsidRDefault="00156D6C" w:rsidP="002C5CA7">
            <w:pPr>
              <w:jc w:val="center"/>
              <w:rPr>
                <w:color w:val="000000"/>
                <w:sz w:val="22"/>
                <w:szCs w:val="22"/>
              </w:rPr>
            </w:pPr>
            <w:r>
              <w:rPr>
                <w:color w:val="000000"/>
                <w:sz w:val="22"/>
                <w:szCs w:val="22"/>
              </w:rPr>
              <w:t>20 (54)</w:t>
            </w:r>
          </w:p>
        </w:tc>
        <w:tc>
          <w:tcPr>
            <w:tcW w:w="1559" w:type="dxa"/>
          </w:tcPr>
          <w:p w14:paraId="5543C16A" w14:textId="2A9B180F" w:rsidR="006612B6" w:rsidRPr="00222162" w:rsidRDefault="006612B6" w:rsidP="002C5CA7">
            <w:pPr>
              <w:jc w:val="center"/>
              <w:rPr>
                <w:color w:val="000000"/>
                <w:sz w:val="22"/>
                <w:szCs w:val="22"/>
              </w:rPr>
            </w:pPr>
            <w:r w:rsidRPr="00222162">
              <w:rPr>
                <w:color w:val="000000"/>
                <w:sz w:val="22"/>
                <w:szCs w:val="22"/>
              </w:rPr>
              <w:t>10 (50)</w:t>
            </w:r>
          </w:p>
        </w:tc>
        <w:tc>
          <w:tcPr>
            <w:tcW w:w="1559" w:type="dxa"/>
          </w:tcPr>
          <w:p w14:paraId="6CFB5B67" w14:textId="4EF83AE9" w:rsidR="006612B6" w:rsidRPr="00222162" w:rsidRDefault="006612B6" w:rsidP="002C5CA7">
            <w:pPr>
              <w:jc w:val="center"/>
              <w:rPr>
                <w:color w:val="000000"/>
                <w:sz w:val="22"/>
                <w:szCs w:val="22"/>
              </w:rPr>
            </w:pPr>
            <w:r w:rsidRPr="00222162">
              <w:rPr>
                <w:color w:val="000000"/>
                <w:sz w:val="22"/>
                <w:szCs w:val="22"/>
              </w:rPr>
              <w:t>10 (5)</w:t>
            </w:r>
          </w:p>
        </w:tc>
        <w:tc>
          <w:tcPr>
            <w:tcW w:w="1559" w:type="dxa"/>
          </w:tcPr>
          <w:p w14:paraId="115BF8F5" w14:textId="57E9F4BA" w:rsidR="006612B6" w:rsidRPr="00EF55E4" w:rsidRDefault="006612B6" w:rsidP="00EF55E4">
            <w:pPr>
              <w:jc w:val="center"/>
              <w:rPr>
                <w:color w:val="000000"/>
                <w:sz w:val="22"/>
                <w:szCs w:val="22"/>
                <w:vertAlign w:val="superscript"/>
              </w:rPr>
            </w:pPr>
            <w:r>
              <w:rPr>
                <w:color w:val="000000"/>
                <w:sz w:val="22"/>
                <w:szCs w:val="22"/>
              </w:rPr>
              <w:t>1.0</w:t>
            </w:r>
            <w:r>
              <w:rPr>
                <w:color w:val="000000"/>
                <w:sz w:val="22"/>
                <w:szCs w:val="22"/>
                <w:vertAlign w:val="superscript"/>
              </w:rPr>
              <w:t>$</w:t>
            </w:r>
          </w:p>
        </w:tc>
      </w:tr>
      <w:tr w:rsidR="00A4429D" w14:paraId="3E3C85B6" w14:textId="77777777" w:rsidTr="00105025">
        <w:trPr>
          <w:trHeight w:val="308"/>
        </w:trPr>
        <w:tc>
          <w:tcPr>
            <w:tcW w:w="4253" w:type="dxa"/>
          </w:tcPr>
          <w:p w14:paraId="250C7698" w14:textId="24A7F51E" w:rsidR="006A586B" w:rsidRDefault="006A586B" w:rsidP="00105025">
            <w:pPr>
              <w:rPr>
                <w:color w:val="000000"/>
                <w:sz w:val="22"/>
                <w:szCs w:val="22"/>
              </w:rPr>
            </w:pPr>
            <w:r>
              <w:rPr>
                <w:color w:val="000000"/>
                <w:sz w:val="22"/>
                <w:szCs w:val="22"/>
              </w:rPr>
              <w:t>Treatment of</w:t>
            </w:r>
            <w:r w:rsidR="007D3F6C">
              <w:rPr>
                <w:color w:val="000000"/>
                <w:sz w:val="22"/>
                <w:szCs w:val="22"/>
              </w:rPr>
              <w:t xml:space="preserve"> type 2</w:t>
            </w:r>
            <w:r>
              <w:rPr>
                <w:color w:val="000000"/>
                <w:sz w:val="22"/>
                <w:szCs w:val="22"/>
              </w:rPr>
              <w:t xml:space="preserve"> diabetes</w:t>
            </w:r>
            <w:r w:rsidR="000206B6">
              <w:rPr>
                <w:color w:val="000000"/>
                <w:sz w:val="22"/>
                <w:szCs w:val="22"/>
              </w:rPr>
              <w:t xml:space="preserve"> at admission</w:t>
            </w:r>
          </w:p>
        </w:tc>
        <w:tc>
          <w:tcPr>
            <w:tcW w:w="1276" w:type="dxa"/>
          </w:tcPr>
          <w:p w14:paraId="6A2E7637" w14:textId="77777777" w:rsidR="006A586B" w:rsidRPr="00222162" w:rsidRDefault="006A586B" w:rsidP="002C5CA7">
            <w:pPr>
              <w:jc w:val="center"/>
              <w:rPr>
                <w:color w:val="000000"/>
                <w:sz w:val="22"/>
                <w:szCs w:val="22"/>
              </w:rPr>
            </w:pPr>
          </w:p>
        </w:tc>
        <w:tc>
          <w:tcPr>
            <w:tcW w:w="1276" w:type="dxa"/>
          </w:tcPr>
          <w:p w14:paraId="137A0362" w14:textId="77777777" w:rsidR="006A586B" w:rsidRPr="00222162" w:rsidRDefault="006A586B" w:rsidP="002C5CA7">
            <w:pPr>
              <w:jc w:val="center"/>
              <w:rPr>
                <w:color w:val="000000"/>
                <w:sz w:val="22"/>
                <w:szCs w:val="22"/>
              </w:rPr>
            </w:pPr>
          </w:p>
        </w:tc>
        <w:tc>
          <w:tcPr>
            <w:tcW w:w="1559" w:type="dxa"/>
          </w:tcPr>
          <w:p w14:paraId="4AE0938D" w14:textId="77777777" w:rsidR="006A586B" w:rsidRDefault="006A586B" w:rsidP="002C5CA7">
            <w:pPr>
              <w:jc w:val="center"/>
              <w:rPr>
                <w:color w:val="000000"/>
                <w:sz w:val="22"/>
                <w:szCs w:val="22"/>
              </w:rPr>
            </w:pPr>
          </w:p>
        </w:tc>
        <w:tc>
          <w:tcPr>
            <w:tcW w:w="1843" w:type="dxa"/>
          </w:tcPr>
          <w:p w14:paraId="248976F8" w14:textId="77777777" w:rsidR="006A586B" w:rsidRDefault="006A586B" w:rsidP="002C5CA7">
            <w:pPr>
              <w:jc w:val="center"/>
              <w:rPr>
                <w:color w:val="000000"/>
                <w:sz w:val="22"/>
                <w:szCs w:val="22"/>
              </w:rPr>
            </w:pPr>
          </w:p>
        </w:tc>
        <w:tc>
          <w:tcPr>
            <w:tcW w:w="1559" w:type="dxa"/>
          </w:tcPr>
          <w:p w14:paraId="48A5CD67" w14:textId="77777777" w:rsidR="006A586B" w:rsidRPr="00222162" w:rsidRDefault="006A586B" w:rsidP="002C5CA7">
            <w:pPr>
              <w:jc w:val="center"/>
              <w:rPr>
                <w:color w:val="000000"/>
                <w:sz w:val="22"/>
                <w:szCs w:val="22"/>
              </w:rPr>
            </w:pPr>
          </w:p>
        </w:tc>
        <w:tc>
          <w:tcPr>
            <w:tcW w:w="1559" w:type="dxa"/>
          </w:tcPr>
          <w:p w14:paraId="1BC5C2EF" w14:textId="77777777" w:rsidR="006A586B" w:rsidRPr="00222162" w:rsidRDefault="006A586B" w:rsidP="002C5CA7">
            <w:pPr>
              <w:jc w:val="center"/>
              <w:rPr>
                <w:color w:val="000000"/>
                <w:sz w:val="22"/>
                <w:szCs w:val="22"/>
              </w:rPr>
            </w:pPr>
          </w:p>
        </w:tc>
        <w:tc>
          <w:tcPr>
            <w:tcW w:w="1559" w:type="dxa"/>
          </w:tcPr>
          <w:p w14:paraId="0CD40E7D" w14:textId="77777777" w:rsidR="006A586B" w:rsidRDefault="006A586B" w:rsidP="002C5CA7">
            <w:pPr>
              <w:jc w:val="center"/>
              <w:rPr>
                <w:color w:val="000000"/>
                <w:sz w:val="22"/>
                <w:szCs w:val="22"/>
              </w:rPr>
            </w:pPr>
          </w:p>
        </w:tc>
      </w:tr>
      <w:tr w:rsidR="00A4429D" w14:paraId="6C792387" w14:textId="77777777" w:rsidTr="00105025">
        <w:trPr>
          <w:trHeight w:val="308"/>
        </w:trPr>
        <w:tc>
          <w:tcPr>
            <w:tcW w:w="4253" w:type="dxa"/>
          </w:tcPr>
          <w:p w14:paraId="01445BF6" w14:textId="4E5740BB" w:rsidR="006A586B" w:rsidRDefault="008125F7" w:rsidP="00105025">
            <w:pPr>
              <w:jc w:val="right"/>
              <w:rPr>
                <w:color w:val="000000"/>
                <w:sz w:val="22"/>
                <w:szCs w:val="22"/>
              </w:rPr>
            </w:pPr>
            <w:r>
              <w:rPr>
                <w:color w:val="000000"/>
                <w:sz w:val="22"/>
                <w:szCs w:val="22"/>
              </w:rPr>
              <w:t>I</w:t>
            </w:r>
            <w:r w:rsidR="006A586B">
              <w:rPr>
                <w:color w:val="000000"/>
                <w:sz w:val="22"/>
                <w:szCs w:val="22"/>
              </w:rPr>
              <w:t>nsulin-treated at admission</w:t>
            </w:r>
            <w:r>
              <w:rPr>
                <w:color w:val="000000"/>
                <w:sz w:val="22"/>
                <w:szCs w:val="22"/>
              </w:rPr>
              <w:t xml:space="preserve"> n (%)</w:t>
            </w:r>
          </w:p>
        </w:tc>
        <w:tc>
          <w:tcPr>
            <w:tcW w:w="1276" w:type="dxa"/>
          </w:tcPr>
          <w:p w14:paraId="3688B01A" w14:textId="2F0C7E15" w:rsidR="006A586B" w:rsidRPr="00222162" w:rsidRDefault="007D3F6C" w:rsidP="002C5CA7">
            <w:pPr>
              <w:jc w:val="center"/>
              <w:rPr>
                <w:color w:val="000000"/>
                <w:sz w:val="22"/>
                <w:szCs w:val="22"/>
              </w:rPr>
            </w:pPr>
            <w:r>
              <w:rPr>
                <w:color w:val="000000"/>
                <w:sz w:val="22"/>
                <w:szCs w:val="22"/>
              </w:rPr>
              <w:t>11 (58)</w:t>
            </w:r>
          </w:p>
        </w:tc>
        <w:tc>
          <w:tcPr>
            <w:tcW w:w="1276" w:type="dxa"/>
          </w:tcPr>
          <w:p w14:paraId="34D8B714" w14:textId="5106EEF2" w:rsidR="006A586B" w:rsidRPr="00222162" w:rsidRDefault="007D3F6C" w:rsidP="002C5CA7">
            <w:pPr>
              <w:jc w:val="center"/>
              <w:rPr>
                <w:color w:val="000000"/>
                <w:sz w:val="22"/>
                <w:szCs w:val="22"/>
              </w:rPr>
            </w:pPr>
            <w:r>
              <w:rPr>
                <w:color w:val="000000"/>
                <w:sz w:val="22"/>
                <w:szCs w:val="22"/>
              </w:rPr>
              <w:t>6 (38)</w:t>
            </w:r>
          </w:p>
        </w:tc>
        <w:tc>
          <w:tcPr>
            <w:tcW w:w="1559" w:type="dxa"/>
          </w:tcPr>
          <w:p w14:paraId="78F45334" w14:textId="5700E00A" w:rsidR="006A586B" w:rsidRDefault="007D3F6C" w:rsidP="002C5CA7">
            <w:pPr>
              <w:jc w:val="center"/>
              <w:rPr>
                <w:color w:val="000000"/>
                <w:sz w:val="22"/>
                <w:szCs w:val="22"/>
              </w:rPr>
            </w:pPr>
            <w:r>
              <w:rPr>
                <w:color w:val="000000"/>
                <w:sz w:val="22"/>
                <w:szCs w:val="22"/>
              </w:rPr>
              <w:t>0.32</w:t>
            </w:r>
          </w:p>
        </w:tc>
        <w:tc>
          <w:tcPr>
            <w:tcW w:w="1843" w:type="dxa"/>
          </w:tcPr>
          <w:p w14:paraId="5028E308" w14:textId="70F847B2" w:rsidR="006A586B" w:rsidRDefault="007D3F6C" w:rsidP="002C5CA7">
            <w:pPr>
              <w:jc w:val="center"/>
              <w:rPr>
                <w:color w:val="000000"/>
                <w:sz w:val="22"/>
                <w:szCs w:val="22"/>
              </w:rPr>
            </w:pPr>
            <w:r>
              <w:rPr>
                <w:color w:val="000000"/>
                <w:sz w:val="22"/>
                <w:szCs w:val="22"/>
              </w:rPr>
              <w:t>--</w:t>
            </w:r>
          </w:p>
        </w:tc>
        <w:tc>
          <w:tcPr>
            <w:tcW w:w="1559" w:type="dxa"/>
          </w:tcPr>
          <w:p w14:paraId="4B9A8E89" w14:textId="529A46EB" w:rsidR="006A586B" w:rsidRPr="00222162" w:rsidRDefault="007D3F6C" w:rsidP="002C5CA7">
            <w:pPr>
              <w:jc w:val="center"/>
              <w:rPr>
                <w:color w:val="000000"/>
                <w:sz w:val="22"/>
                <w:szCs w:val="22"/>
              </w:rPr>
            </w:pPr>
            <w:r>
              <w:rPr>
                <w:color w:val="000000"/>
                <w:sz w:val="22"/>
                <w:szCs w:val="22"/>
              </w:rPr>
              <w:t>--</w:t>
            </w:r>
          </w:p>
        </w:tc>
        <w:tc>
          <w:tcPr>
            <w:tcW w:w="1559" w:type="dxa"/>
          </w:tcPr>
          <w:p w14:paraId="035AF571" w14:textId="187890F3" w:rsidR="006A586B" w:rsidRPr="00222162" w:rsidRDefault="007D3F6C" w:rsidP="002C5CA7">
            <w:pPr>
              <w:jc w:val="center"/>
              <w:rPr>
                <w:color w:val="000000"/>
                <w:sz w:val="22"/>
                <w:szCs w:val="22"/>
              </w:rPr>
            </w:pPr>
            <w:r>
              <w:rPr>
                <w:color w:val="000000"/>
                <w:sz w:val="22"/>
                <w:szCs w:val="22"/>
              </w:rPr>
              <w:t>--</w:t>
            </w:r>
          </w:p>
        </w:tc>
        <w:tc>
          <w:tcPr>
            <w:tcW w:w="1559" w:type="dxa"/>
          </w:tcPr>
          <w:p w14:paraId="53869118" w14:textId="6E73A05A" w:rsidR="006A586B" w:rsidRDefault="007D3F6C" w:rsidP="002C5CA7">
            <w:pPr>
              <w:jc w:val="center"/>
              <w:rPr>
                <w:color w:val="000000"/>
                <w:sz w:val="22"/>
                <w:szCs w:val="22"/>
              </w:rPr>
            </w:pPr>
            <w:r>
              <w:rPr>
                <w:color w:val="000000"/>
                <w:sz w:val="22"/>
                <w:szCs w:val="22"/>
              </w:rPr>
              <w:t>--</w:t>
            </w:r>
          </w:p>
        </w:tc>
      </w:tr>
      <w:tr w:rsidR="00A4429D" w14:paraId="31DE28D8" w14:textId="77777777" w:rsidTr="00105025">
        <w:trPr>
          <w:trHeight w:val="308"/>
        </w:trPr>
        <w:tc>
          <w:tcPr>
            <w:tcW w:w="4253" w:type="dxa"/>
          </w:tcPr>
          <w:p w14:paraId="4B31455D" w14:textId="0AF45D78" w:rsidR="006A586B" w:rsidRDefault="000206B6" w:rsidP="00105025">
            <w:pPr>
              <w:jc w:val="right"/>
              <w:rPr>
                <w:color w:val="000000"/>
                <w:sz w:val="22"/>
                <w:szCs w:val="22"/>
              </w:rPr>
            </w:pPr>
            <w:r>
              <w:rPr>
                <w:color w:val="000000"/>
                <w:sz w:val="22"/>
                <w:szCs w:val="22"/>
              </w:rPr>
              <w:t xml:space="preserve"> </w:t>
            </w:r>
            <w:r w:rsidR="006A586B">
              <w:rPr>
                <w:color w:val="000000"/>
                <w:sz w:val="22"/>
                <w:szCs w:val="22"/>
              </w:rPr>
              <w:t>SGLT2-inhibtor</w:t>
            </w:r>
            <w:r w:rsidR="008125F7">
              <w:rPr>
                <w:color w:val="000000"/>
                <w:sz w:val="22"/>
                <w:szCs w:val="22"/>
              </w:rPr>
              <w:t xml:space="preserve"> n (%) </w:t>
            </w:r>
            <w:r w:rsidR="006A586B">
              <w:rPr>
                <w:color w:val="000000"/>
                <w:sz w:val="22"/>
                <w:szCs w:val="22"/>
              </w:rPr>
              <w:t xml:space="preserve"> </w:t>
            </w:r>
          </w:p>
        </w:tc>
        <w:tc>
          <w:tcPr>
            <w:tcW w:w="1276" w:type="dxa"/>
          </w:tcPr>
          <w:p w14:paraId="3C3EE604" w14:textId="12BD48C9" w:rsidR="006A586B" w:rsidRPr="00222162" w:rsidRDefault="007D3F6C" w:rsidP="002C5CA7">
            <w:pPr>
              <w:jc w:val="center"/>
              <w:rPr>
                <w:color w:val="000000"/>
                <w:sz w:val="22"/>
                <w:szCs w:val="22"/>
              </w:rPr>
            </w:pPr>
            <w:r>
              <w:rPr>
                <w:color w:val="000000"/>
                <w:sz w:val="22"/>
                <w:szCs w:val="22"/>
              </w:rPr>
              <w:t>3 (14)</w:t>
            </w:r>
          </w:p>
        </w:tc>
        <w:tc>
          <w:tcPr>
            <w:tcW w:w="1276" w:type="dxa"/>
          </w:tcPr>
          <w:p w14:paraId="540AEA23" w14:textId="00A876EF" w:rsidR="006A586B" w:rsidRPr="00222162" w:rsidRDefault="007D3F6C" w:rsidP="002C5CA7">
            <w:pPr>
              <w:jc w:val="center"/>
              <w:rPr>
                <w:color w:val="000000"/>
                <w:sz w:val="22"/>
                <w:szCs w:val="22"/>
              </w:rPr>
            </w:pPr>
            <w:r>
              <w:rPr>
                <w:color w:val="000000"/>
                <w:sz w:val="22"/>
                <w:szCs w:val="22"/>
              </w:rPr>
              <w:t>1 (6)</w:t>
            </w:r>
          </w:p>
        </w:tc>
        <w:tc>
          <w:tcPr>
            <w:tcW w:w="1559" w:type="dxa"/>
          </w:tcPr>
          <w:p w14:paraId="41C533E1" w14:textId="325DE641" w:rsidR="006A586B" w:rsidRDefault="007D3F6C" w:rsidP="002C5CA7">
            <w:pPr>
              <w:jc w:val="center"/>
              <w:rPr>
                <w:color w:val="000000"/>
                <w:sz w:val="22"/>
                <w:szCs w:val="22"/>
              </w:rPr>
            </w:pPr>
            <w:r>
              <w:rPr>
                <w:color w:val="000000"/>
                <w:sz w:val="22"/>
                <w:szCs w:val="22"/>
              </w:rPr>
              <w:t>0.62</w:t>
            </w:r>
          </w:p>
        </w:tc>
        <w:tc>
          <w:tcPr>
            <w:tcW w:w="1843" w:type="dxa"/>
          </w:tcPr>
          <w:p w14:paraId="45641F8C" w14:textId="5ECEF1D7" w:rsidR="006A586B" w:rsidRDefault="007D3F6C" w:rsidP="002C5CA7">
            <w:pPr>
              <w:jc w:val="center"/>
              <w:rPr>
                <w:color w:val="000000"/>
                <w:sz w:val="22"/>
                <w:szCs w:val="22"/>
              </w:rPr>
            </w:pPr>
            <w:r>
              <w:rPr>
                <w:color w:val="000000"/>
                <w:sz w:val="22"/>
                <w:szCs w:val="22"/>
              </w:rPr>
              <w:t>--</w:t>
            </w:r>
          </w:p>
        </w:tc>
        <w:tc>
          <w:tcPr>
            <w:tcW w:w="1559" w:type="dxa"/>
          </w:tcPr>
          <w:p w14:paraId="2D1B0B69" w14:textId="3910E2FB" w:rsidR="006A586B" w:rsidRPr="00222162" w:rsidRDefault="007D3F6C" w:rsidP="002C5CA7">
            <w:pPr>
              <w:jc w:val="center"/>
              <w:rPr>
                <w:color w:val="000000"/>
                <w:sz w:val="22"/>
                <w:szCs w:val="22"/>
              </w:rPr>
            </w:pPr>
            <w:r>
              <w:rPr>
                <w:color w:val="000000"/>
                <w:sz w:val="22"/>
                <w:szCs w:val="22"/>
              </w:rPr>
              <w:t>--</w:t>
            </w:r>
          </w:p>
        </w:tc>
        <w:tc>
          <w:tcPr>
            <w:tcW w:w="1559" w:type="dxa"/>
          </w:tcPr>
          <w:p w14:paraId="019194EA" w14:textId="0814783F" w:rsidR="006A586B" w:rsidRPr="00222162" w:rsidRDefault="007D3F6C" w:rsidP="002C5CA7">
            <w:pPr>
              <w:jc w:val="center"/>
              <w:rPr>
                <w:color w:val="000000"/>
                <w:sz w:val="22"/>
                <w:szCs w:val="22"/>
              </w:rPr>
            </w:pPr>
            <w:r>
              <w:rPr>
                <w:color w:val="000000"/>
                <w:sz w:val="22"/>
                <w:szCs w:val="22"/>
              </w:rPr>
              <w:t>--</w:t>
            </w:r>
          </w:p>
        </w:tc>
        <w:tc>
          <w:tcPr>
            <w:tcW w:w="1559" w:type="dxa"/>
          </w:tcPr>
          <w:p w14:paraId="490A7959" w14:textId="7F595F7E" w:rsidR="006A586B" w:rsidRDefault="007D3F6C" w:rsidP="002C5CA7">
            <w:pPr>
              <w:jc w:val="center"/>
              <w:rPr>
                <w:color w:val="000000"/>
                <w:sz w:val="22"/>
                <w:szCs w:val="22"/>
              </w:rPr>
            </w:pPr>
            <w:r>
              <w:rPr>
                <w:color w:val="000000"/>
                <w:sz w:val="22"/>
                <w:szCs w:val="22"/>
              </w:rPr>
              <w:t>--</w:t>
            </w:r>
          </w:p>
        </w:tc>
      </w:tr>
      <w:tr w:rsidR="000A7384" w14:paraId="647DE717" w14:textId="77777777" w:rsidTr="00105025">
        <w:trPr>
          <w:trHeight w:val="308"/>
        </w:trPr>
        <w:tc>
          <w:tcPr>
            <w:tcW w:w="4253" w:type="dxa"/>
          </w:tcPr>
          <w:p w14:paraId="44E49C28" w14:textId="6C6253A9" w:rsidR="000A7384" w:rsidRDefault="000A7384" w:rsidP="00105025">
            <w:pPr>
              <w:rPr>
                <w:color w:val="000000"/>
                <w:sz w:val="22"/>
                <w:szCs w:val="22"/>
              </w:rPr>
            </w:pPr>
            <w:r>
              <w:rPr>
                <w:color w:val="000000"/>
                <w:sz w:val="22"/>
                <w:szCs w:val="22"/>
              </w:rPr>
              <w:t>Mortality</w:t>
            </w:r>
          </w:p>
        </w:tc>
        <w:tc>
          <w:tcPr>
            <w:tcW w:w="1276" w:type="dxa"/>
          </w:tcPr>
          <w:p w14:paraId="11478340" w14:textId="77777777" w:rsidR="000A7384" w:rsidRDefault="000A7384" w:rsidP="002C5CA7">
            <w:pPr>
              <w:jc w:val="center"/>
              <w:rPr>
                <w:color w:val="000000"/>
                <w:sz w:val="22"/>
                <w:szCs w:val="22"/>
              </w:rPr>
            </w:pPr>
          </w:p>
        </w:tc>
        <w:tc>
          <w:tcPr>
            <w:tcW w:w="1276" w:type="dxa"/>
          </w:tcPr>
          <w:p w14:paraId="7F82E41F" w14:textId="77777777" w:rsidR="000A7384" w:rsidRDefault="000A7384" w:rsidP="002C5CA7">
            <w:pPr>
              <w:jc w:val="center"/>
              <w:rPr>
                <w:color w:val="000000"/>
                <w:sz w:val="22"/>
                <w:szCs w:val="22"/>
              </w:rPr>
            </w:pPr>
          </w:p>
        </w:tc>
        <w:tc>
          <w:tcPr>
            <w:tcW w:w="1559" w:type="dxa"/>
          </w:tcPr>
          <w:p w14:paraId="5B766A1A" w14:textId="77777777" w:rsidR="000A7384" w:rsidRDefault="000A7384" w:rsidP="002C5CA7">
            <w:pPr>
              <w:jc w:val="center"/>
              <w:rPr>
                <w:color w:val="000000"/>
                <w:sz w:val="22"/>
                <w:szCs w:val="22"/>
              </w:rPr>
            </w:pPr>
          </w:p>
        </w:tc>
        <w:tc>
          <w:tcPr>
            <w:tcW w:w="1843" w:type="dxa"/>
          </w:tcPr>
          <w:p w14:paraId="68D15690" w14:textId="77777777" w:rsidR="000A7384" w:rsidRDefault="000A7384" w:rsidP="002C5CA7">
            <w:pPr>
              <w:jc w:val="center"/>
              <w:rPr>
                <w:color w:val="000000"/>
                <w:sz w:val="22"/>
                <w:szCs w:val="22"/>
              </w:rPr>
            </w:pPr>
          </w:p>
        </w:tc>
        <w:tc>
          <w:tcPr>
            <w:tcW w:w="1559" w:type="dxa"/>
          </w:tcPr>
          <w:p w14:paraId="41F2BA77" w14:textId="77777777" w:rsidR="000A7384" w:rsidRDefault="000A7384" w:rsidP="002C5CA7">
            <w:pPr>
              <w:jc w:val="center"/>
              <w:rPr>
                <w:color w:val="000000"/>
                <w:sz w:val="22"/>
                <w:szCs w:val="22"/>
              </w:rPr>
            </w:pPr>
          </w:p>
        </w:tc>
        <w:tc>
          <w:tcPr>
            <w:tcW w:w="1559" w:type="dxa"/>
          </w:tcPr>
          <w:p w14:paraId="17E82D24" w14:textId="77777777" w:rsidR="000A7384" w:rsidRDefault="000A7384" w:rsidP="002C5CA7">
            <w:pPr>
              <w:jc w:val="center"/>
              <w:rPr>
                <w:color w:val="000000"/>
                <w:sz w:val="22"/>
                <w:szCs w:val="22"/>
              </w:rPr>
            </w:pPr>
          </w:p>
        </w:tc>
        <w:tc>
          <w:tcPr>
            <w:tcW w:w="1559" w:type="dxa"/>
          </w:tcPr>
          <w:p w14:paraId="4118839D" w14:textId="77777777" w:rsidR="000A7384" w:rsidRDefault="000A7384" w:rsidP="002C5CA7">
            <w:pPr>
              <w:jc w:val="center"/>
              <w:rPr>
                <w:color w:val="000000"/>
                <w:sz w:val="22"/>
                <w:szCs w:val="22"/>
              </w:rPr>
            </w:pPr>
          </w:p>
        </w:tc>
      </w:tr>
      <w:tr w:rsidR="00A4429D" w14:paraId="4C8C8B75" w14:textId="77777777" w:rsidTr="00105025">
        <w:trPr>
          <w:trHeight w:val="308"/>
        </w:trPr>
        <w:tc>
          <w:tcPr>
            <w:tcW w:w="4253" w:type="dxa"/>
          </w:tcPr>
          <w:p w14:paraId="797953F0" w14:textId="1BF459C8" w:rsidR="007D3F6C" w:rsidRDefault="000A7384" w:rsidP="009D5EBB">
            <w:pPr>
              <w:jc w:val="right"/>
              <w:rPr>
                <w:color w:val="000000"/>
                <w:sz w:val="22"/>
                <w:szCs w:val="22"/>
              </w:rPr>
            </w:pPr>
            <w:r>
              <w:rPr>
                <w:color w:val="000000"/>
                <w:sz w:val="22"/>
                <w:szCs w:val="22"/>
              </w:rPr>
              <w:t>O</w:t>
            </w:r>
            <w:r w:rsidR="007D3F6C">
              <w:rPr>
                <w:color w:val="000000"/>
                <w:sz w:val="22"/>
                <w:szCs w:val="22"/>
              </w:rPr>
              <w:t>verall</w:t>
            </w:r>
            <w:r w:rsidR="008B4933">
              <w:rPr>
                <w:color w:val="000000"/>
                <w:sz w:val="22"/>
                <w:szCs w:val="22"/>
              </w:rPr>
              <w:t xml:space="preserve"> n</w:t>
            </w:r>
            <w:r w:rsidR="008125F7">
              <w:rPr>
                <w:color w:val="000000"/>
                <w:sz w:val="22"/>
                <w:szCs w:val="22"/>
              </w:rPr>
              <w:t xml:space="preserve"> </w:t>
            </w:r>
            <w:r w:rsidR="008B4933">
              <w:rPr>
                <w:color w:val="000000"/>
                <w:sz w:val="22"/>
                <w:szCs w:val="22"/>
              </w:rPr>
              <w:t>(%)</w:t>
            </w:r>
          </w:p>
        </w:tc>
        <w:tc>
          <w:tcPr>
            <w:tcW w:w="1276" w:type="dxa"/>
          </w:tcPr>
          <w:p w14:paraId="3E9620A3" w14:textId="45E03859" w:rsidR="007D3F6C" w:rsidRDefault="002F7222" w:rsidP="002C5CA7">
            <w:pPr>
              <w:jc w:val="center"/>
              <w:rPr>
                <w:color w:val="000000"/>
                <w:sz w:val="22"/>
                <w:szCs w:val="22"/>
              </w:rPr>
            </w:pPr>
            <w:r>
              <w:rPr>
                <w:color w:val="000000"/>
                <w:sz w:val="22"/>
                <w:szCs w:val="22"/>
              </w:rPr>
              <w:t>3</w:t>
            </w:r>
            <w:r w:rsidR="008B4933">
              <w:rPr>
                <w:color w:val="000000"/>
                <w:sz w:val="22"/>
                <w:szCs w:val="22"/>
              </w:rPr>
              <w:t>/130</w:t>
            </w:r>
            <w:r>
              <w:rPr>
                <w:color w:val="000000"/>
                <w:sz w:val="22"/>
                <w:szCs w:val="22"/>
              </w:rPr>
              <w:t xml:space="preserve"> (2.3)</w:t>
            </w:r>
          </w:p>
        </w:tc>
        <w:tc>
          <w:tcPr>
            <w:tcW w:w="1276" w:type="dxa"/>
          </w:tcPr>
          <w:p w14:paraId="206EF033" w14:textId="691028F3" w:rsidR="007D3F6C" w:rsidRDefault="008B4933" w:rsidP="002C5CA7">
            <w:pPr>
              <w:jc w:val="center"/>
              <w:rPr>
                <w:color w:val="000000"/>
                <w:sz w:val="22"/>
                <w:szCs w:val="22"/>
              </w:rPr>
            </w:pPr>
            <w:r>
              <w:rPr>
                <w:color w:val="000000"/>
                <w:sz w:val="22"/>
                <w:szCs w:val="22"/>
              </w:rPr>
              <w:t>5/43 (12)</w:t>
            </w:r>
          </w:p>
        </w:tc>
        <w:tc>
          <w:tcPr>
            <w:tcW w:w="1559" w:type="dxa"/>
          </w:tcPr>
          <w:p w14:paraId="5B0185FB" w14:textId="70D4B843" w:rsidR="007D3F6C" w:rsidRDefault="008B4933" w:rsidP="002C5CA7">
            <w:pPr>
              <w:jc w:val="center"/>
              <w:rPr>
                <w:color w:val="000000"/>
                <w:sz w:val="22"/>
                <w:szCs w:val="22"/>
              </w:rPr>
            </w:pPr>
            <w:r>
              <w:rPr>
                <w:color w:val="000000"/>
                <w:sz w:val="22"/>
                <w:szCs w:val="22"/>
              </w:rPr>
              <w:t>0.023</w:t>
            </w:r>
          </w:p>
        </w:tc>
        <w:tc>
          <w:tcPr>
            <w:tcW w:w="1843" w:type="dxa"/>
          </w:tcPr>
          <w:p w14:paraId="647DC386" w14:textId="212AC6B6" w:rsidR="007D3F6C" w:rsidRDefault="009D5EBB" w:rsidP="002C5CA7">
            <w:pPr>
              <w:jc w:val="center"/>
              <w:rPr>
                <w:color w:val="000000"/>
                <w:sz w:val="22"/>
                <w:szCs w:val="22"/>
              </w:rPr>
            </w:pPr>
            <w:r>
              <w:rPr>
                <w:color w:val="000000"/>
                <w:sz w:val="22"/>
                <w:szCs w:val="22"/>
              </w:rPr>
              <w:t>4/5 (80)</w:t>
            </w:r>
          </w:p>
        </w:tc>
        <w:tc>
          <w:tcPr>
            <w:tcW w:w="1559" w:type="dxa"/>
          </w:tcPr>
          <w:p w14:paraId="47C2E79C" w14:textId="27862DD0" w:rsidR="007D3F6C" w:rsidRDefault="009D5EBB" w:rsidP="002C5CA7">
            <w:pPr>
              <w:jc w:val="center"/>
              <w:rPr>
                <w:color w:val="000000"/>
                <w:sz w:val="22"/>
                <w:szCs w:val="22"/>
              </w:rPr>
            </w:pPr>
            <w:r>
              <w:rPr>
                <w:color w:val="000000"/>
                <w:sz w:val="22"/>
                <w:szCs w:val="22"/>
              </w:rPr>
              <w:t>4/4 (100)</w:t>
            </w:r>
          </w:p>
        </w:tc>
        <w:tc>
          <w:tcPr>
            <w:tcW w:w="1559" w:type="dxa"/>
          </w:tcPr>
          <w:p w14:paraId="1B3C3626" w14:textId="15EA084F" w:rsidR="007D3F6C" w:rsidRDefault="009D5EBB" w:rsidP="002C5CA7">
            <w:pPr>
              <w:jc w:val="center"/>
              <w:rPr>
                <w:color w:val="000000"/>
                <w:sz w:val="22"/>
                <w:szCs w:val="22"/>
              </w:rPr>
            </w:pPr>
            <w:r>
              <w:rPr>
                <w:color w:val="000000"/>
                <w:sz w:val="22"/>
                <w:szCs w:val="22"/>
              </w:rPr>
              <w:t>0</w:t>
            </w:r>
          </w:p>
        </w:tc>
        <w:tc>
          <w:tcPr>
            <w:tcW w:w="1559" w:type="dxa"/>
          </w:tcPr>
          <w:p w14:paraId="6FF6078C" w14:textId="6763F099" w:rsidR="007D3F6C" w:rsidRDefault="009D5EBB" w:rsidP="002C5CA7">
            <w:pPr>
              <w:jc w:val="center"/>
              <w:rPr>
                <w:color w:val="000000"/>
                <w:sz w:val="22"/>
                <w:szCs w:val="22"/>
              </w:rPr>
            </w:pPr>
            <w:r>
              <w:rPr>
                <w:color w:val="000000"/>
                <w:sz w:val="22"/>
                <w:szCs w:val="22"/>
              </w:rPr>
              <w:t>--</w:t>
            </w:r>
          </w:p>
        </w:tc>
      </w:tr>
      <w:tr w:rsidR="00A4429D" w14:paraId="5F251456" w14:textId="77777777" w:rsidTr="00105025">
        <w:trPr>
          <w:trHeight w:val="308"/>
        </w:trPr>
        <w:tc>
          <w:tcPr>
            <w:tcW w:w="4253" w:type="dxa"/>
          </w:tcPr>
          <w:p w14:paraId="3BA1C0DB" w14:textId="6E094935" w:rsidR="009D5EBB" w:rsidRDefault="008125F7" w:rsidP="00105025">
            <w:pPr>
              <w:jc w:val="right"/>
              <w:rPr>
                <w:color w:val="000000"/>
                <w:sz w:val="22"/>
                <w:szCs w:val="22"/>
              </w:rPr>
            </w:pPr>
            <w:r>
              <w:rPr>
                <w:color w:val="000000"/>
                <w:sz w:val="22"/>
                <w:szCs w:val="22"/>
              </w:rPr>
              <w:t>T</w:t>
            </w:r>
            <w:r w:rsidR="009D5EBB">
              <w:rPr>
                <w:color w:val="000000"/>
                <w:sz w:val="22"/>
                <w:szCs w:val="22"/>
              </w:rPr>
              <w:t>ype 2 diabetes n</w:t>
            </w:r>
            <w:r>
              <w:rPr>
                <w:color w:val="000000"/>
                <w:sz w:val="22"/>
                <w:szCs w:val="22"/>
              </w:rPr>
              <w:t xml:space="preserve"> </w:t>
            </w:r>
            <w:r w:rsidR="009D5EBB">
              <w:rPr>
                <w:color w:val="000000"/>
                <w:sz w:val="22"/>
                <w:szCs w:val="22"/>
              </w:rPr>
              <w:t>(%)</w:t>
            </w:r>
          </w:p>
        </w:tc>
        <w:tc>
          <w:tcPr>
            <w:tcW w:w="1276" w:type="dxa"/>
          </w:tcPr>
          <w:p w14:paraId="4770730A" w14:textId="7D6F2692" w:rsidR="009D5EBB" w:rsidRDefault="009D5EBB" w:rsidP="009D5EBB">
            <w:pPr>
              <w:jc w:val="center"/>
              <w:rPr>
                <w:color w:val="000000"/>
                <w:sz w:val="22"/>
                <w:szCs w:val="22"/>
              </w:rPr>
            </w:pPr>
            <w:r>
              <w:rPr>
                <w:color w:val="000000"/>
                <w:sz w:val="22"/>
                <w:szCs w:val="22"/>
              </w:rPr>
              <w:t>2/22 (9)</w:t>
            </w:r>
          </w:p>
        </w:tc>
        <w:tc>
          <w:tcPr>
            <w:tcW w:w="1276" w:type="dxa"/>
          </w:tcPr>
          <w:p w14:paraId="3FFA2C89" w14:textId="56B71344" w:rsidR="009D5EBB" w:rsidRDefault="009D5EBB" w:rsidP="009D5EBB">
            <w:pPr>
              <w:jc w:val="center"/>
              <w:rPr>
                <w:color w:val="000000"/>
                <w:sz w:val="22"/>
                <w:szCs w:val="22"/>
              </w:rPr>
            </w:pPr>
            <w:r>
              <w:rPr>
                <w:color w:val="000000"/>
                <w:sz w:val="22"/>
                <w:szCs w:val="22"/>
              </w:rPr>
              <w:t>5/16 (31)</w:t>
            </w:r>
          </w:p>
        </w:tc>
        <w:tc>
          <w:tcPr>
            <w:tcW w:w="1559" w:type="dxa"/>
          </w:tcPr>
          <w:p w14:paraId="7B8B5ECE" w14:textId="68DF3248" w:rsidR="009D5EBB" w:rsidRDefault="009D5EBB" w:rsidP="009D5EBB">
            <w:pPr>
              <w:jc w:val="center"/>
              <w:rPr>
                <w:color w:val="000000"/>
                <w:sz w:val="22"/>
                <w:szCs w:val="22"/>
              </w:rPr>
            </w:pPr>
            <w:r>
              <w:rPr>
                <w:color w:val="000000"/>
                <w:sz w:val="22"/>
                <w:szCs w:val="22"/>
              </w:rPr>
              <w:t>0.12</w:t>
            </w:r>
          </w:p>
        </w:tc>
        <w:tc>
          <w:tcPr>
            <w:tcW w:w="1843" w:type="dxa"/>
          </w:tcPr>
          <w:p w14:paraId="2CC0F947" w14:textId="164F33FE" w:rsidR="009D5EBB" w:rsidRDefault="009D5EBB" w:rsidP="009D5EBB">
            <w:pPr>
              <w:jc w:val="center"/>
              <w:rPr>
                <w:color w:val="000000"/>
                <w:sz w:val="22"/>
                <w:szCs w:val="22"/>
              </w:rPr>
            </w:pPr>
            <w:r>
              <w:rPr>
                <w:color w:val="000000"/>
                <w:sz w:val="22"/>
                <w:szCs w:val="22"/>
              </w:rPr>
              <w:t>4/5 (80)</w:t>
            </w:r>
          </w:p>
        </w:tc>
        <w:tc>
          <w:tcPr>
            <w:tcW w:w="1559" w:type="dxa"/>
          </w:tcPr>
          <w:p w14:paraId="0227D6C3" w14:textId="778A67D1" w:rsidR="009D5EBB" w:rsidRDefault="009D5EBB" w:rsidP="009D5EBB">
            <w:pPr>
              <w:jc w:val="center"/>
              <w:rPr>
                <w:color w:val="000000"/>
                <w:sz w:val="22"/>
                <w:szCs w:val="22"/>
              </w:rPr>
            </w:pPr>
            <w:r>
              <w:rPr>
                <w:color w:val="000000"/>
                <w:sz w:val="22"/>
                <w:szCs w:val="22"/>
              </w:rPr>
              <w:t>4/4 (100)</w:t>
            </w:r>
          </w:p>
        </w:tc>
        <w:tc>
          <w:tcPr>
            <w:tcW w:w="1559" w:type="dxa"/>
          </w:tcPr>
          <w:p w14:paraId="4D66B2A2" w14:textId="13BDC73F" w:rsidR="009D5EBB" w:rsidRDefault="009D5EBB" w:rsidP="009D5EBB">
            <w:pPr>
              <w:jc w:val="center"/>
              <w:rPr>
                <w:color w:val="000000"/>
                <w:sz w:val="22"/>
                <w:szCs w:val="22"/>
              </w:rPr>
            </w:pPr>
            <w:r>
              <w:rPr>
                <w:color w:val="000000"/>
                <w:sz w:val="22"/>
                <w:szCs w:val="22"/>
              </w:rPr>
              <w:t>0</w:t>
            </w:r>
          </w:p>
        </w:tc>
        <w:tc>
          <w:tcPr>
            <w:tcW w:w="1559" w:type="dxa"/>
          </w:tcPr>
          <w:p w14:paraId="77DFC8BE" w14:textId="5235FFC4" w:rsidR="009D5EBB" w:rsidRDefault="009D5EBB" w:rsidP="009D5EBB">
            <w:pPr>
              <w:jc w:val="center"/>
              <w:rPr>
                <w:color w:val="000000"/>
                <w:sz w:val="22"/>
                <w:szCs w:val="22"/>
              </w:rPr>
            </w:pPr>
            <w:r>
              <w:rPr>
                <w:color w:val="000000"/>
                <w:sz w:val="22"/>
                <w:szCs w:val="22"/>
              </w:rPr>
              <w:t>--</w:t>
            </w:r>
          </w:p>
        </w:tc>
      </w:tr>
    </w:tbl>
    <w:p w14:paraId="6B2D8BEB" w14:textId="47498BCA" w:rsidR="00517A24" w:rsidRPr="00105025" w:rsidRDefault="00A4429D" w:rsidP="00105025">
      <w:pPr>
        <w:spacing w:line="360" w:lineRule="auto"/>
        <w:jc w:val="both"/>
        <w:rPr>
          <w:sz w:val="22"/>
          <w:szCs w:val="22"/>
        </w:rPr>
      </w:pPr>
      <w:r w:rsidRPr="00105025" w:rsidDel="00A4429D">
        <w:rPr>
          <w:sz w:val="22"/>
          <w:szCs w:val="22"/>
        </w:rPr>
        <w:t xml:space="preserve"> </w:t>
      </w:r>
    </w:p>
    <w:p w14:paraId="53B0E1ED" w14:textId="6B849D52" w:rsidR="00EA5761" w:rsidRPr="00105025" w:rsidRDefault="00010231" w:rsidP="00105025">
      <w:pPr>
        <w:pStyle w:val="ListParagraph"/>
        <w:spacing w:line="360" w:lineRule="auto"/>
        <w:jc w:val="both"/>
        <w:rPr>
          <w:rFonts w:ascii="Times New Roman" w:hAnsi="Times New Roman" w:cs="Times New Roman"/>
          <w:sz w:val="22"/>
          <w:szCs w:val="22"/>
        </w:rPr>
      </w:pPr>
      <w:r w:rsidRPr="00105025">
        <w:rPr>
          <w:rFonts w:ascii="Times New Roman" w:hAnsi="Times New Roman" w:cs="Times New Roman"/>
          <w:sz w:val="22"/>
          <w:szCs w:val="22"/>
        </w:rPr>
        <w:t>*Statistical comparison of all non-type 2 diabetes cases vs type 2 diabetes</w:t>
      </w:r>
    </w:p>
    <w:p w14:paraId="77D40BB9" w14:textId="7BDF3365" w:rsidR="00010231" w:rsidRPr="00105025" w:rsidRDefault="00010231" w:rsidP="00105025">
      <w:pPr>
        <w:pStyle w:val="ListParagraph"/>
        <w:spacing w:line="360" w:lineRule="auto"/>
        <w:jc w:val="both"/>
        <w:rPr>
          <w:rFonts w:ascii="Times New Roman" w:hAnsi="Times New Roman" w:cs="Times New Roman"/>
          <w:sz w:val="22"/>
          <w:szCs w:val="22"/>
        </w:rPr>
      </w:pPr>
      <w:r w:rsidRPr="00105025">
        <w:rPr>
          <w:rFonts w:ascii="Times New Roman" w:hAnsi="Times New Roman" w:cs="Times New Roman"/>
          <w:sz w:val="22"/>
          <w:szCs w:val="22"/>
        </w:rPr>
        <w:t xml:space="preserve">$ </w:t>
      </w:r>
      <w:r w:rsidR="008A56CD" w:rsidRPr="00105025">
        <w:rPr>
          <w:rFonts w:ascii="Times New Roman" w:hAnsi="Times New Roman" w:cs="Times New Roman"/>
          <w:sz w:val="22"/>
          <w:szCs w:val="22"/>
        </w:rPr>
        <w:t>Statistical</w:t>
      </w:r>
      <w:r w:rsidRPr="00105025">
        <w:rPr>
          <w:rFonts w:ascii="Times New Roman" w:hAnsi="Times New Roman" w:cs="Times New Roman"/>
          <w:sz w:val="22"/>
          <w:szCs w:val="22"/>
        </w:rPr>
        <w:t xml:space="preserve"> comparison of all known diabetes </w:t>
      </w:r>
      <w:r w:rsidR="000F1B05" w:rsidRPr="00105025">
        <w:rPr>
          <w:rFonts w:ascii="Times New Roman" w:hAnsi="Times New Roman" w:cs="Times New Roman"/>
          <w:sz w:val="22"/>
          <w:szCs w:val="22"/>
        </w:rPr>
        <w:t xml:space="preserve">DKA cases </w:t>
      </w:r>
      <w:r w:rsidR="00813751" w:rsidRPr="00105025">
        <w:rPr>
          <w:rFonts w:ascii="Times New Roman" w:hAnsi="Times New Roman" w:cs="Times New Roman"/>
          <w:sz w:val="22"/>
          <w:szCs w:val="22"/>
        </w:rPr>
        <w:t>versus</w:t>
      </w:r>
      <w:r w:rsidRPr="00105025">
        <w:rPr>
          <w:rFonts w:ascii="Times New Roman" w:hAnsi="Times New Roman" w:cs="Times New Roman"/>
          <w:sz w:val="22"/>
          <w:szCs w:val="22"/>
        </w:rPr>
        <w:t xml:space="preserve"> new </w:t>
      </w:r>
      <w:r w:rsidR="000F1B05" w:rsidRPr="00105025">
        <w:rPr>
          <w:rFonts w:ascii="Times New Roman" w:hAnsi="Times New Roman" w:cs="Times New Roman"/>
          <w:sz w:val="22"/>
          <w:szCs w:val="22"/>
        </w:rPr>
        <w:t>diabetes presentation DKA</w:t>
      </w:r>
      <w:r w:rsidRPr="00105025">
        <w:rPr>
          <w:rFonts w:ascii="Times New Roman" w:hAnsi="Times New Roman" w:cs="Times New Roman"/>
          <w:sz w:val="22"/>
          <w:szCs w:val="22"/>
        </w:rPr>
        <w:t xml:space="preserve"> cases</w:t>
      </w:r>
    </w:p>
    <w:p w14:paraId="0BBB1A53" w14:textId="0BDB450E" w:rsidR="000E0780" w:rsidRDefault="009D5EBB" w:rsidP="00105025">
      <w:pPr>
        <w:spacing w:line="360" w:lineRule="auto"/>
        <w:ind w:left="720"/>
        <w:rPr>
          <w:sz w:val="18"/>
          <w:szCs w:val="18"/>
        </w:rPr>
      </w:pPr>
      <w:r w:rsidRPr="00105025">
        <w:rPr>
          <w:sz w:val="22"/>
          <w:szCs w:val="22"/>
          <w:vertAlign w:val="superscript"/>
        </w:rPr>
        <w:t xml:space="preserve">&amp; </w:t>
      </w:r>
      <w:r w:rsidRPr="00105025">
        <w:rPr>
          <w:sz w:val="22"/>
          <w:szCs w:val="22"/>
        </w:rPr>
        <w:t>Of the six new diagnoses, reviewed retrospectively; three had type 1 diabetes (positive pancreatic-autoantibodies), one had type 2 diabetes, one had pancreatic type 3c diabetes and the final developed insulin-deficient diabetes after immune checkpoint inhibitor use, with negative autoantibodies. The checkpoint inhibitor case and a type 1 diabetes case were positive to SARS-CoV-2.</w:t>
      </w:r>
    </w:p>
    <w:sectPr w:rsidR="000E0780" w:rsidSect="00105025">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23995" w14:textId="77777777" w:rsidR="00007ABB" w:rsidRDefault="00007ABB" w:rsidP="0008270B">
      <w:r>
        <w:separator/>
      </w:r>
    </w:p>
  </w:endnote>
  <w:endnote w:type="continuationSeparator" w:id="0">
    <w:p w14:paraId="4245201D" w14:textId="77777777" w:rsidR="00007ABB" w:rsidRDefault="00007ABB" w:rsidP="0008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6A569" w14:textId="77777777" w:rsidR="00007ABB" w:rsidRDefault="00007ABB" w:rsidP="0008270B">
      <w:r>
        <w:separator/>
      </w:r>
    </w:p>
  </w:footnote>
  <w:footnote w:type="continuationSeparator" w:id="0">
    <w:p w14:paraId="4509EF31" w14:textId="77777777" w:rsidR="00007ABB" w:rsidRDefault="00007ABB" w:rsidP="0008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0C81"/>
    <w:multiLevelType w:val="hybridMultilevel"/>
    <w:tmpl w:val="006EE806"/>
    <w:lvl w:ilvl="0" w:tplc="B456B5E6">
      <w:start w:val="1"/>
      <w:numFmt w:val="decimal"/>
      <w:lvlText w:val="%1."/>
      <w:lvlJc w:val="left"/>
      <w:pPr>
        <w:ind w:left="720" w:hanging="360"/>
      </w:pPr>
      <w:rPr>
        <w:rFonts w:ascii="Arial" w:eastAsiaTheme="minorHAnsi"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4660E"/>
    <w:multiLevelType w:val="hybridMultilevel"/>
    <w:tmpl w:val="C1A43236"/>
    <w:lvl w:ilvl="0" w:tplc="ED1ABC0C">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70C63"/>
    <w:multiLevelType w:val="hybridMultilevel"/>
    <w:tmpl w:val="460C99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21396"/>
    <w:multiLevelType w:val="hybridMultilevel"/>
    <w:tmpl w:val="3558C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39163A"/>
    <w:multiLevelType w:val="hybridMultilevel"/>
    <w:tmpl w:val="9D8ECF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96ADB"/>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96"/>
    <w:rsid w:val="00007ABB"/>
    <w:rsid w:val="00010231"/>
    <w:rsid w:val="0001520D"/>
    <w:rsid w:val="000206B6"/>
    <w:rsid w:val="00021F21"/>
    <w:rsid w:val="00027CA9"/>
    <w:rsid w:val="00030F3D"/>
    <w:rsid w:val="00037F3D"/>
    <w:rsid w:val="00043542"/>
    <w:rsid w:val="00044853"/>
    <w:rsid w:val="00053627"/>
    <w:rsid w:val="00065183"/>
    <w:rsid w:val="000726C6"/>
    <w:rsid w:val="00081ED3"/>
    <w:rsid w:val="0008270B"/>
    <w:rsid w:val="00095438"/>
    <w:rsid w:val="000A0F0C"/>
    <w:rsid w:val="000A1FC8"/>
    <w:rsid w:val="000A2E0B"/>
    <w:rsid w:val="000A6BAF"/>
    <w:rsid w:val="000A7384"/>
    <w:rsid w:val="000B22A7"/>
    <w:rsid w:val="000B5817"/>
    <w:rsid w:val="000C08A1"/>
    <w:rsid w:val="000C2691"/>
    <w:rsid w:val="000C39EA"/>
    <w:rsid w:val="000C3FB6"/>
    <w:rsid w:val="000D0936"/>
    <w:rsid w:val="000D15F7"/>
    <w:rsid w:val="000D23D9"/>
    <w:rsid w:val="000D5099"/>
    <w:rsid w:val="000D7272"/>
    <w:rsid w:val="000E0780"/>
    <w:rsid w:val="000F12D7"/>
    <w:rsid w:val="000F1B05"/>
    <w:rsid w:val="000F45E0"/>
    <w:rsid w:val="000F7FCD"/>
    <w:rsid w:val="00104A1E"/>
    <w:rsid w:val="00105025"/>
    <w:rsid w:val="00110710"/>
    <w:rsid w:val="00113330"/>
    <w:rsid w:val="001235AD"/>
    <w:rsid w:val="001255D9"/>
    <w:rsid w:val="0013117B"/>
    <w:rsid w:val="00132248"/>
    <w:rsid w:val="00136BCE"/>
    <w:rsid w:val="001446F4"/>
    <w:rsid w:val="00154173"/>
    <w:rsid w:val="00156D6C"/>
    <w:rsid w:val="00157FCB"/>
    <w:rsid w:val="00162084"/>
    <w:rsid w:val="00164942"/>
    <w:rsid w:val="00173195"/>
    <w:rsid w:val="00176E18"/>
    <w:rsid w:val="0018287B"/>
    <w:rsid w:val="00182940"/>
    <w:rsid w:val="00184427"/>
    <w:rsid w:val="00186B20"/>
    <w:rsid w:val="00190B73"/>
    <w:rsid w:val="00190EE8"/>
    <w:rsid w:val="001B17A6"/>
    <w:rsid w:val="001B5858"/>
    <w:rsid w:val="001C276F"/>
    <w:rsid w:val="001D1DB3"/>
    <w:rsid w:val="001D726D"/>
    <w:rsid w:val="001E3EB8"/>
    <w:rsid w:val="001F594E"/>
    <w:rsid w:val="00202648"/>
    <w:rsid w:val="00206A3B"/>
    <w:rsid w:val="002132C3"/>
    <w:rsid w:val="0021752D"/>
    <w:rsid w:val="002205F3"/>
    <w:rsid w:val="00222162"/>
    <w:rsid w:val="00223109"/>
    <w:rsid w:val="00231589"/>
    <w:rsid w:val="00234BF1"/>
    <w:rsid w:val="00234D0E"/>
    <w:rsid w:val="00250A53"/>
    <w:rsid w:val="0025562A"/>
    <w:rsid w:val="00261133"/>
    <w:rsid w:val="00276651"/>
    <w:rsid w:val="002808C9"/>
    <w:rsid w:val="00291E73"/>
    <w:rsid w:val="002A7E85"/>
    <w:rsid w:val="002B3E64"/>
    <w:rsid w:val="002B5E68"/>
    <w:rsid w:val="002C13FE"/>
    <w:rsid w:val="002C1859"/>
    <w:rsid w:val="002C36C2"/>
    <w:rsid w:val="002C5CA7"/>
    <w:rsid w:val="002D02D1"/>
    <w:rsid w:val="002D1C86"/>
    <w:rsid w:val="002D43DB"/>
    <w:rsid w:val="002E2726"/>
    <w:rsid w:val="002E54AB"/>
    <w:rsid w:val="002F18A6"/>
    <w:rsid w:val="002F479E"/>
    <w:rsid w:val="002F4C1B"/>
    <w:rsid w:val="002F68FD"/>
    <w:rsid w:val="002F7222"/>
    <w:rsid w:val="00303462"/>
    <w:rsid w:val="00304625"/>
    <w:rsid w:val="00310281"/>
    <w:rsid w:val="0031171B"/>
    <w:rsid w:val="00322882"/>
    <w:rsid w:val="00322B9E"/>
    <w:rsid w:val="00333CAE"/>
    <w:rsid w:val="003345A6"/>
    <w:rsid w:val="00335CCE"/>
    <w:rsid w:val="00340F93"/>
    <w:rsid w:val="003430A2"/>
    <w:rsid w:val="00353CC1"/>
    <w:rsid w:val="00357530"/>
    <w:rsid w:val="003617C6"/>
    <w:rsid w:val="0036191B"/>
    <w:rsid w:val="00362C09"/>
    <w:rsid w:val="00364882"/>
    <w:rsid w:val="003652EC"/>
    <w:rsid w:val="003661FD"/>
    <w:rsid w:val="00366BE6"/>
    <w:rsid w:val="003937A5"/>
    <w:rsid w:val="00393AB5"/>
    <w:rsid w:val="003B1E55"/>
    <w:rsid w:val="003C370A"/>
    <w:rsid w:val="003C380E"/>
    <w:rsid w:val="003D1F5F"/>
    <w:rsid w:val="003E5FF4"/>
    <w:rsid w:val="003E6A3B"/>
    <w:rsid w:val="003E6DD7"/>
    <w:rsid w:val="003F2B19"/>
    <w:rsid w:val="003F649F"/>
    <w:rsid w:val="003F71BD"/>
    <w:rsid w:val="004101AD"/>
    <w:rsid w:val="00411E80"/>
    <w:rsid w:val="00420136"/>
    <w:rsid w:val="00426988"/>
    <w:rsid w:val="00430198"/>
    <w:rsid w:val="00442B39"/>
    <w:rsid w:val="0044546E"/>
    <w:rsid w:val="00445CF1"/>
    <w:rsid w:val="00454071"/>
    <w:rsid w:val="00454973"/>
    <w:rsid w:val="00454BB0"/>
    <w:rsid w:val="00462CFD"/>
    <w:rsid w:val="00464F70"/>
    <w:rsid w:val="00473AC8"/>
    <w:rsid w:val="00475911"/>
    <w:rsid w:val="00477CAF"/>
    <w:rsid w:val="004834B9"/>
    <w:rsid w:val="00487C6D"/>
    <w:rsid w:val="0049341E"/>
    <w:rsid w:val="00497AAC"/>
    <w:rsid w:val="004A7440"/>
    <w:rsid w:val="004B3591"/>
    <w:rsid w:val="004B3D2A"/>
    <w:rsid w:val="004B68FE"/>
    <w:rsid w:val="004C0097"/>
    <w:rsid w:val="004C0785"/>
    <w:rsid w:val="004C0895"/>
    <w:rsid w:val="004C2E9D"/>
    <w:rsid w:val="004E0EDE"/>
    <w:rsid w:val="004E26E0"/>
    <w:rsid w:val="004E372C"/>
    <w:rsid w:val="004E69C5"/>
    <w:rsid w:val="004F1757"/>
    <w:rsid w:val="004F3CAC"/>
    <w:rsid w:val="004F43F8"/>
    <w:rsid w:val="004F726A"/>
    <w:rsid w:val="00502F88"/>
    <w:rsid w:val="00503703"/>
    <w:rsid w:val="00507CC7"/>
    <w:rsid w:val="00513758"/>
    <w:rsid w:val="0051422D"/>
    <w:rsid w:val="00515250"/>
    <w:rsid w:val="00515E8B"/>
    <w:rsid w:val="00515FF9"/>
    <w:rsid w:val="00517A24"/>
    <w:rsid w:val="00520291"/>
    <w:rsid w:val="005241FE"/>
    <w:rsid w:val="00531D97"/>
    <w:rsid w:val="00534DEF"/>
    <w:rsid w:val="005363D8"/>
    <w:rsid w:val="0054110F"/>
    <w:rsid w:val="0054240A"/>
    <w:rsid w:val="0054603B"/>
    <w:rsid w:val="00546E84"/>
    <w:rsid w:val="00552001"/>
    <w:rsid w:val="00557C52"/>
    <w:rsid w:val="0056464E"/>
    <w:rsid w:val="0057091B"/>
    <w:rsid w:val="00570D96"/>
    <w:rsid w:val="00573A51"/>
    <w:rsid w:val="00575906"/>
    <w:rsid w:val="005812D9"/>
    <w:rsid w:val="005879CC"/>
    <w:rsid w:val="00593004"/>
    <w:rsid w:val="00594B8F"/>
    <w:rsid w:val="00596F9D"/>
    <w:rsid w:val="005A1D8D"/>
    <w:rsid w:val="005A6A16"/>
    <w:rsid w:val="005B213F"/>
    <w:rsid w:val="005B50EA"/>
    <w:rsid w:val="005B5192"/>
    <w:rsid w:val="005D2AB5"/>
    <w:rsid w:val="005D4BAE"/>
    <w:rsid w:val="005E2F4A"/>
    <w:rsid w:val="00605869"/>
    <w:rsid w:val="006075F3"/>
    <w:rsid w:val="00616EE5"/>
    <w:rsid w:val="00621561"/>
    <w:rsid w:val="00623895"/>
    <w:rsid w:val="00623E79"/>
    <w:rsid w:val="00652216"/>
    <w:rsid w:val="006546AE"/>
    <w:rsid w:val="00654F9E"/>
    <w:rsid w:val="006570D4"/>
    <w:rsid w:val="00660E21"/>
    <w:rsid w:val="006612B6"/>
    <w:rsid w:val="00665EF8"/>
    <w:rsid w:val="0066670C"/>
    <w:rsid w:val="00666AC9"/>
    <w:rsid w:val="00666E0D"/>
    <w:rsid w:val="0066702F"/>
    <w:rsid w:val="00670E3C"/>
    <w:rsid w:val="006742F5"/>
    <w:rsid w:val="006774E9"/>
    <w:rsid w:val="006838A0"/>
    <w:rsid w:val="00683E2B"/>
    <w:rsid w:val="006846CB"/>
    <w:rsid w:val="00697021"/>
    <w:rsid w:val="0069741B"/>
    <w:rsid w:val="006A1B4F"/>
    <w:rsid w:val="006A3657"/>
    <w:rsid w:val="006A586B"/>
    <w:rsid w:val="006A653A"/>
    <w:rsid w:val="006B09D5"/>
    <w:rsid w:val="006B23AC"/>
    <w:rsid w:val="006B4545"/>
    <w:rsid w:val="006B7242"/>
    <w:rsid w:val="006C171E"/>
    <w:rsid w:val="006C267A"/>
    <w:rsid w:val="006C4C77"/>
    <w:rsid w:val="006F31D8"/>
    <w:rsid w:val="006F4AE1"/>
    <w:rsid w:val="0070036C"/>
    <w:rsid w:val="00700C9A"/>
    <w:rsid w:val="00700F4B"/>
    <w:rsid w:val="00702A10"/>
    <w:rsid w:val="00702DA8"/>
    <w:rsid w:val="007114D0"/>
    <w:rsid w:val="0072199D"/>
    <w:rsid w:val="00731AAB"/>
    <w:rsid w:val="00743637"/>
    <w:rsid w:val="00751CD1"/>
    <w:rsid w:val="00753AA5"/>
    <w:rsid w:val="00755729"/>
    <w:rsid w:val="0075746F"/>
    <w:rsid w:val="00771E2A"/>
    <w:rsid w:val="00773028"/>
    <w:rsid w:val="00775F3E"/>
    <w:rsid w:val="00780090"/>
    <w:rsid w:val="00780E0E"/>
    <w:rsid w:val="0078253E"/>
    <w:rsid w:val="007A2A1B"/>
    <w:rsid w:val="007B18B6"/>
    <w:rsid w:val="007B7805"/>
    <w:rsid w:val="007C7DE0"/>
    <w:rsid w:val="007D365E"/>
    <w:rsid w:val="007D3F6C"/>
    <w:rsid w:val="007D55A2"/>
    <w:rsid w:val="007E2F4C"/>
    <w:rsid w:val="007F36C6"/>
    <w:rsid w:val="00800C2C"/>
    <w:rsid w:val="00803530"/>
    <w:rsid w:val="00806F54"/>
    <w:rsid w:val="008125F7"/>
    <w:rsid w:val="00813751"/>
    <w:rsid w:val="00814481"/>
    <w:rsid w:val="008207FC"/>
    <w:rsid w:val="00822F66"/>
    <w:rsid w:val="00824D40"/>
    <w:rsid w:val="008319DD"/>
    <w:rsid w:val="00834DD8"/>
    <w:rsid w:val="0083639C"/>
    <w:rsid w:val="008369CC"/>
    <w:rsid w:val="0084516D"/>
    <w:rsid w:val="0085304E"/>
    <w:rsid w:val="008658F6"/>
    <w:rsid w:val="0087389A"/>
    <w:rsid w:val="00877B45"/>
    <w:rsid w:val="00877ED9"/>
    <w:rsid w:val="0088178B"/>
    <w:rsid w:val="00882640"/>
    <w:rsid w:val="00887583"/>
    <w:rsid w:val="00893ED9"/>
    <w:rsid w:val="008A29C9"/>
    <w:rsid w:val="008A422D"/>
    <w:rsid w:val="008A56CD"/>
    <w:rsid w:val="008B3F6B"/>
    <w:rsid w:val="008B4933"/>
    <w:rsid w:val="008C0DF5"/>
    <w:rsid w:val="008C2D13"/>
    <w:rsid w:val="008C5209"/>
    <w:rsid w:val="008D2397"/>
    <w:rsid w:val="008E3206"/>
    <w:rsid w:val="008E3B6F"/>
    <w:rsid w:val="008E4693"/>
    <w:rsid w:val="008F7A63"/>
    <w:rsid w:val="00901E02"/>
    <w:rsid w:val="00902506"/>
    <w:rsid w:val="00905F5E"/>
    <w:rsid w:val="00917B7A"/>
    <w:rsid w:val="00925CD1"/>
    <w:rsid w:val="00934D3C"/>
    <w:rsid w:val="00935508"/>
    <w:rsid w:val="00945474"/>
    <w:rsid w:val="00947739"/>
    <w:rsid w:val="0095334D"/>
    <w:rsid w:val="00956754"/>
    <w:rsid w:val="0095689D"/>
    <w:rsid w:val="00956D7D"/>
    <w:rsid w:val="009576FA"/>
    <w:rsid w:val="00972AF9"/>
    <w:rsid w:val="00974DFE"/>
    <w:rsid w:val="00981F90"/>
    <w:rsid w:val="00984665"/>
    <w:rsid w:val="00986FDA"/>
    <w:rsid w:val="009872BF"/>
    <w:rsid w:val="00992B7E"/>
    <w:rsid w:val="009A2C4D"/>
    <w:rsid w:val="009A3B84"/>
    <w:rsid w:val="009A4997"/>
    <w:rsid w:val="009A763D"/>
    <w:rsid w:val="009A79BC"/>
    <w:rsid w:val="009B09C2"/>
    <w:rsid w:val="009B28DC"/>
    <w:rsid w:val="009B30E5"/>
    <w:rsid w:val="009B392E"/>
    <w:rsid w:val="009D5EBB"/>
    <w:rsid w:val="009E6325"/>
    <w:rsid w:val="009E7861"/>
    <w:rsid w:val="009F2233"/>
    <w:rsid w:val="009F2C12"/>
    <w:rsid w:val="009F5DAE"/>
    <w:rsid w:val="00A01A0F"/>
    <w:rsid w:val="00A04FE7"/>
    <w:rsid w:val="00A05BA0"/>
    <w:rsid w:val="00A05BB7"/>
    <w:rsid w:val="00A10372"/>
    <w:rsid w:val="00A12725"/>
    <w:rsid w:val="00A12D5A"/>
    <w:rsid w:val="00A1395D"/>
    <w:rsid w:val="00A155B4"/>
    <w:rsid w:val="00A20F90"/>
    <w:rsid w:val="00A2766F"/>
    <w:rsid w:val="00A35131"/>
    <w:rsid w:val="00A37EC9"/>
    <w:rsid w:val="00A40431"/>
    <w:rsid w:val="00A426E8"/>
    <w:rsid w:val="00A4429D"/>
    <w:rsid w:val="00A46046"/>
    <w:rsid w:val="00A54039"/>
    <w:rsid w:val="00A55697"/>
    <w:rsid w:val="00A623A9"/>
    <w:rsid w:val="00A70684"/>
    <w:rsid w:val="00A71CA5"/>
    <w:rsid w:val="00A727A0"/>
    <w:rsid w:val="00A8103A"/>
    <w:rsid w:val="00A8332B"/>
    <w:rsid w:val="00A936DF"/>
    <w:rsid w:val="00A94184"/>
    <w:rsid w:val="00A94D8B"/>
    <w:rsid w:val="00A9616D"/>
    <w:rsid w:val="00AA2517"/>
    <w:rsid w:val="00AC40F6"/>
    <w:rsid w:val="00AD128A"/>
    <w:rsid w:val="00AD52E2"/>
    <w:rsid w:val="00AD70C7"/>
    <w:rsid w:val="00AD7551"/>
    <w:rsid w:val="00AE24B6"/>
    <w:rsid w:val="00B006B4"/>
    <w:rsid w:val="00B1687A"/>
    <w:rsid w:val="00B2363F"/>
    <w:rsid w:val="00B24CFE"/>
    <w:rsid w:val="00B2684E"/>
    <w:rsid w:val="00B269A2"/>
    <w:rsid w:val="00B27C2F"/>
    <w:rsid w:val="00B50F78"/>
    <w:rsid w:val="00B52E9B"/>
    <w:rsid w:val="00B53FAF"/>
    <w:rsid w:val="00B65B46"/>
    <w:rsid w:val="00B715EA"/>
    <w:rsid w:val="00B72104"/>
    <w:rsid w:val="00B73AAE"/>
    <w:rsid w:val="00B7583E"/>
    <w:rsid w:val="00B7609E"/>
    <w:rsid w:val="00B806EB"/>
    <w:rsid w:val="00B846D5"/>
    <w:rsid w:val="00B95B2C"/>
    <w:rsid w:val="00B96020"/>
    <w:rsid w:val="00BA002F"/>
    <w:rsid w:val="00BA409E"/>
    <w:rsid w:val="00BA5318"/>
    <w:rsid w:val="00BB472C"/>
    <w:rsid w:val="00BB5845"/>
    <w:rsid w:val="00BC21C6"/>
    <w:rsid w:val="00BC295B"/>
    <w:rsid w:val="00BC3AE4"/>
    <w:rsid w:val="00BD2506"/>
    <w:rsid w:val="00BD7752"/>
    <w:rsid w:val="00BE174B"/>
    <w:rsid w:val="00BE534D"/>
    <w:rsid w:val="00BF3E49"/>
    <w:rsid w:val="00BF6789"/>
    <w:rsid w:val="00C01BA7"/>
    <w:rsid w:val="00C0376F"/>
    <w:rsid w:val="00C06EC5"/>
    <w:rsid w:val="00C07737"/>
    <w:rsid w:val="00C125EA"/>
    <w:rsid w:val="00C223D0"/>
    <w:rsid w:val="00C22BBE"/>
    <w:rsid w:val="00C36740"/>
    <w:rsid w:val="00C43125"/>
    <w:rsid w:val="00C504FB"/>
    <w:rsid w:val="00C520E5"/>
    <w:rsid w:val="00C60FB7"/>
    <w:rsid w:val="00C63603"/>
    <w:rsid w:val="00C720E7"/>
    <w:rsid w:val="00C74CD6"/>
    <w:rsid w:val="00C7525A"/>
    <w:rsid w:val="00C8555A"/>
    <w:rsid w:val="00C901BF"/>
    <w:rsid w:val="00C947B4"/>
    <w:rsid w:val="00CA2BFC"/>
    <w:rsid w:val="00CC1C17"/>
    <w:rsid w:val="00CC78D7"/>
    <w:rsid w:val="00CD594F"/>
    <w:rsid w:val="00CD71CE"/>
    <w:rsid w:val="00CE54EF"/>
    <w:rsid w:val="00CF3494"/>
    <w:rsid w:val="00D04E12"/>
    <w:rsid w:val="00D11B6F"/>
    <w:rsid w:val="00D15B05"/>
    <w:rsid w:val="00D2133F"/>
    <w:rsid w:val="00D22C39"/>
    <w:rsid w:val="00D23CB7"/>
    <w:rsid w:val="00D32BD5"/>
    <w:rsid w:val="00D33F6A"/>
    <w:rsid w:val="00D54F3A"/>
    <w:rsid w:val="00D6022D"/>
    <w:rsid w:val="00D60F31"/>
    <w:rsid w:val="00D809B3"/>
    <w:rsid w:val="00D9247F"/>
    <w:rsid w:val="00D97A56"/>
    <w:rsid w:val="00DA3A60"/>
    <w:rsid w:val="00DA4B98"/>
    <w:rsid w:val="00DA5CE5"/>
    <w:rsid w:val="00DA677B"/>
    <w:rsid w:val="00DB37CA"/>
    <w:rsid w:val="00DB42F8"/>
    <w:rsid w:val="00DB5A0D"/>
    <w:rsid w:val="00DC5462"/>
    <w:rsid w:val="00DD0740"/>
    <w:rsid w:val="00DD2279"/>
    <w:rsid w:val="00DD74E6"/>
    <w:rsid w:val="00DE484B"/>
    <w:rsid w:val="00DE6B0A"/>
    <w:rsid w:val="00E02DCC"/>
    <w:rsid w:val="00E043DD"/>
    <w:rsid w:val="00E120E9"/>
    <w:rsid w:val="00E1365D"/>
    <w:rsid w:val="00E247F9"/>
    <w:rsid w:val="00E25F49"/>
    <w:rsid w:val="00E2663C"/>
    <w:rsid w:val="00E26BFD"/>
    <w:rsid w:val="00E307D2"/>
    <w:rsid w:val="00E373C3"/>
    <w:rsid w:val="00E40F49"/>
    <w:rsid w:val="00E42855"/>
    <w:rsid w:val="00E54BF8"/>
    <w:rsid w:val="00E56C02"/>
    <w:rsid w:val="00E71038"/>
    <w:rsid w:val="00E728B9"/>
    <w:rsid w:val="00E766C7"/>
    <w:rsid w:val="00E7780C"/>
    <w:rsid w:val="00E850BA"/>
    <w:rsid w:val="00EA5761"/>
    <w:rsid w:val="00EC13FA"/>
    <w:rsid w:val="00EC1F03"/>
    <w:rsid w:val="00EC3096"/>
    <w:rsid w:val="00EE0805"/>
    <w:rsid w:val="00EE1A97"/>
    <w:rsid w:val="00EE398E"/>
    <w:rsid w:val="00EE5847"/>
    <w:rsid w:val="00EE745D"/>
    <w:rsid w:val="00EF00EB"/>
    <w:rsid w:val="00EF048E"/>
    <w:rsid w:val="00EF55E4"/>
    <w:rsid w:val="00EF6DFB"/>
    <w:rsid w:val="00F06601"/>
    <w:rsid w:val="00F074D2"/>
    <w:rsid w:val="00F12691"/>
    <w:rsid w:val="00F21657"/>
    <w:rsid w:val="00F2193B"/>
    <w:rsid w:val="00F24CBB"/>
    <w:rsid w:val="00F30EE6"/>
    <w:rsid w:val="00F3178E"/>
    <w:rsid w:val="00F36610"/>
    <w:rsid w:val="00F459D0"/>
    <w:rsid w:val="00F476DA"/>
    <w:rsid w:val="00F51C5A"/>
    <w:rsid w:val="00F521CC"/>
    <w:rsid w:val="00F55D7A"/>
    <w:rsid w:val="00F6104C"/>
    <w:rsid w:val="00F63522"/>
    <w:rsid w:val="00F666E0"/>
    <w:rsid w:val="00F66BE6"/>
    <w:rsid w:val="00F92A46"/>
    <w:rsid w:val="00FA64D3"/>
    <w:rsid w:val="00FA7079"/>
    <w:rsid w:val="00FB686A"/>
    <w:rsid w:val="00FB7661"/>
    <w:rsid w:val="00FC3A90"/>
    <w:rsid w:val="00FC4048"/>
    <w:rsid w:val="00FC4316"/>
    <w:rsid w:val="00FC6F7E"/>
    <w:rsid w:val="00FE3ED7"/>
    <w:rsid w:val="00FE400B"/>
    <w:rsid w:val="00FE7095"/>
    <w:rsid w:val="00FE75D5"/>
    <w:rsid w:val="00FF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88669"/>
  <w15:docId w15:val="{800F39A9-AE77-1D46-A883-11DE41D0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0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11B6F"/>
    <w:pPr>
      <w:keepNext/>
      <w:keepLines/>
      <w:numPr>
        <w:numId w:val="2"/>
      </w:numPr>
      <w:spacing w:before="240" w:line="36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D11B6F"/>
    <w:pPr>
      <w:keepNext/>
      <w:keepLines/>
      <w:numPr>
        <w:ilvl w:val="1"/>
        <w:numId w:val="2"/>
      </w:numPr>
      <w:spacing w:before="40" w:line="360" w:lineRule="auto"/>
      <w:outlineLvl w:val="1"/>
    </w:pPr>
    <w:rPr>
      <w:rFonts w:ascii="Arial" w:eastAsiaTheme="majorEastAsia" w:hAnsi="Arial"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D11B6F"/>
    <w:pPr>
      <w:keepNext/>
      <w:keepLines/>
      <w:numPr>
        <w:ilvl w:val="2"/>
        <w:numId w:val="2"/>
      </w:numPr>
      <w:spacing w:before="40" w:line="360"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D11B6F"/>
    <w:pPr>
      <w:keepNext/>
      <w:keepLines/>
      <w:numPr>
        <w:ilvl w:val="3"/>
        <w:numId w:val="2"/>
      </w:numPr>
      <w:spacing w:before="40" w:line="360" w:lineRule="auto"/>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D11B6F"/>
    <w:pPr>
      <w:keepNext/>
      <w:keepLines/>
      <w:numPr>
        <w:ilvl w:val="4"/>
        <w:numId w:val="2"/>
      </w:numPr>
      <w:spacing w:before="40" w:line="360" w:lineRule="auto"/>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D11B6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11B6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11B6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1B6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41"/>
    <w:rsid w:val="00A139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D2506"/>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D11B6F"/>
    <w:rPr>
      <w:sz w:val="18"/>
      <w:szCs w:val="18"/>
    </w:rPr>
  </w:style>
  <w:style w:type="character" w:customStyle="1" w:styleId="BalloonTextChar">
    <w:name w:val="Balloon Text Char"/>
    <w:basedOn w:val="DefaultParagraphFont"/>
    <w:link w:val="BalloonText"/>
    <w:uiPriority w:val="99"/>
    <w:semiHidden/>
    <w:rsid w:val="00D11B6F"/>
    <w:rPr>
      <w:rFonts w:ascii="Times New Roman" w:hAnsi="Times New Roman" w:cs="Times New Roman"/>
      <w:sz w:val="18"/>
      <w:szCs w:val="18"/>
    </w:rPr>
  </w:style>
  <w:style w:type="character" w:customStyle="1" w:styleId="Heading1Char">
    <w:name w:val="Heading 1 Char"/>
    <w:basedOn w:val="DefaultParagraphFont"/>
    <w:link w:val="Heading1"/>
    <w:uiPriority w:val="9"/>
    <w:rsid w:val="00D11B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1B6F"/>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D11B6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11B6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1B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11B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11B6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11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1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11B6F"/>
    <w:rPr>
      <w:color w:val="0000FF"/>
      <w:u w:val="single"/>
    </w:rPr>
  </w:style>
  <w:style w:type="character" w:styleId="CommentReference">
    <w:name w:val="annotation reference"/>
    <w:basedOn w:val="DefaultParagraphFont"/>
    <w:uiPriority w:val="99"/>
    <w:semiHidden/>
    <w:unhideWhenUsed/>
    <w:rsid w:val="00EE5847"/>
    <w:rPr>
      <w:sz w:val="16"/>
      <w:szCs w:val="16"/>
    </w:rPr>
  </w:style>
  <w:style w:type="paragraph" w:styleId="CommentText">
    <w:name w:val="annotation text"/>
    <w:basedOn w:val="Normal"/>
    <w:link w:val="CommentTextChar"/>
    <w:uiPriority w:val="99"/>
    <w:semiHidden/>
    <w:unhideWhenUsed/>
    <w:rsid w:val="00EE5847"/>
    <w:rPr>
      <w:sz w:val="20"/>
      <w:szCs w:val="20"/>
    </w:rPr>
  </w:style>
  <w:style w:type="character" w:customStyle="1" w:styleId="CommentTextChar">
    <w:name w:val="Comment Text Char"/>
    <w:basedOn w:val="DefaultParagraphFont"/>
    <w:link w:val="CommentText"/>
    <w:uiPriority w:val="99"/>
    <w:semiHidden/>
    <w:rsid w:val="00EE584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5847"/>
    <w:rPr>
      <w:b/>
      <w:bCs/>
    </w:rPr>
  </w:style>
  <w:style w:type="character" w:customStyle="1" w:styleId="CommentSubjectChar">
    <w:name w:val="Comment Subject Char"/>
    <w:basedOn w:val="CommentTextChar"/>
    <w:link w:val="CommentSubject"/>
    <w:uiPriority w:val="99"/>
    <w:semiHidden/>
    <w:rsid w:val="00EE5847"/>
    <w:rPr>
      <w:rFonts w:ascii="Times New Roman" w:eastAsia="Times New Roman" w:hAnsi="Times New Roman" w:cs="Times New Roman"/>
      <w:b/>
      <w:bCs/>
      <w:sz w:val="20"/>
      <w:szCs w:val="20"/>
      <w:lang w:eastAsia="en-GB"/>
    </w:rPr>
  </w:style>
  <w:style w:type="paragraph" w:styleId="Revision">
    <w:name w:val="Revision"/>
    <w:hidden/>
    <w:uiPriority w:val="99"/>
    <w:semiHidden/>
    <w:rsid w:val="003F71BD"/>
    <w:rPr>
      <w:rFonts w:ascii="Times New Roman" w:eastAsia="Times New Roman" w:hAnsi="Times New Roman" w:cs="Times New Roman"/>
      <w:lang w:eastAsia="en-GB"/>
    </w:rPr>
  </w:style>
  <w:style w:type="character" w:customStyle="1" w:styleId="label">
    <w:name w:val="label"/>
    <w:basedOn w:val="DefaultParagraphFont"/>
    <w:rsid w:val="007E2F4C"/>
  </w:style>
  <w:style w:type="paragraph" w:styleId="Header">
    <w:name w:val="header"/>
    <w:basedOn w:val="Normal"/>
    <w:link w:val="HeaderChar"/>
    <w:uiPriority w:val="99"/>
    <w:unhideWhenUsed/>
    <w:rsid w:val="0008270B"/>
    <w:pPr>
      <w:tabs>
        <w:tab w:val="center" w:pos="4680"/>
        <w:tab w:val="right" w:pos="9360"/>
      </w:tabs>
    </w:pPr>
  </w:style>
  <w:style w:type="character" w:customStyle="1" w:styleId="HeaderChar">
    <w:name w:val="Header Char"/>
    <w:basedOn w:val="DefaultParagraphFont"/>
    <w:link w:val="Header"/>
    <w:uiPriority w:val="99"/>
    <w:rsid w:val="0008270B"/>
    <w:rPr>
      <w:rFonts w:ascii="Times New Roman" w:eastAsia="Times New Roman" w:hAnsi="Times New Roman" w:cs="Times New Roman"/>
      <w:lang w:eastAsia="en-GB"/>
    </w:rPr>
  </w:style>
  <w:style w:type="paragraph" w:styleId="Footer">
    <w:name w:val="footer"/>
    <w:basedOn w:val="Normal"/>
    <w:link w:val="FooterChar"/>
    <w:uiPriority w:val="99"/>
    <w:unhideWhenUsed/>
    <w:rsid w:val="0008270B"/>
    <w:pPr>
      <w:tabs>
        <w:tab w:val="center" w:pos="4680"/>
        <w:tab w:val="right" w:pos="9360"/>
      </w:tabs>
    </w:pPr>
  </w:style>
  <w:style w:type="character" w:customStyle="1" w:styleId="FooterChar">
    <w:name w:val="Footer Char"/>
    <w:basedOn w:val="DefaultParagraphFont"/>
    <w:link w:val="Footer"/>
    <w:uiPriority w:val="99"/>
    <w:rsid w:val="0008270B"/>
    <w:rPr>
      <w:rFonts w:ascii="Times New Roman" w:eastAsia="Times New Roman" w:hAnsi="Times New Roman" w:cs="Times New Roman"/>
      <w:lang w:eastAsia="en-GB"/>
    </w:rPr>
  </w:style>
  <w:style w:type="paragraph" w:customStyle="1" w:styleId="xmsonormal">
    <w:name w:val="x_msonormal"/>
    <w:basedOn w:val="Normal"/>
    <w:rsid w:val="005E2F4A"/>
    <w:pPr>
      <w:spacing w:before="100" w:beforeAutospacing="1" w:after="100" w:afterAutospacing="1"/>
    </w:pPr>
  </w:style>
  <w:style w:type="table" w:customStyle="1" w:styleId="TableGridLight1">
    <w:name w:val="Table Grid Light1"/>
    <w:basedOn w:val="TableNormal"/>
    <w:uiPriority w:val="40"/>
    <w:rsid w:val="006522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C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6358">
      <w:bodyDiv w:val="1"/>
      <w:marLeft w:val="0"/>
      <w:marRight w:val="0"/>
      <w:marTop w:val="0"/>
      <w:marBottom w:val="0"/>
      <w:divBdr>
        <w:top w:val="none" w:sz="0" w:space="0" w:color="auto"/>
        <w:left w:val="none" w:sz="0" w:space="0" w:color="auto"/>
        <w:bottom w:val="none" w:sz="0" w:space="0" w:color="auto"/>
        <w:right w:val="none" w:sz="0" w:space="0" w:color="auto"/>
      </w:divBdr>
    </w:div>
    <w:div w:id="667752943">
      <w:bodyDiv w:val="1"/>
      <w:marLeft w:val="0"/>
      <w:marRight w:val="0"/>
      <w:marTop w:val="0"/>
      <w:marBottom w:val="0"/>
      <w:divBdr>
        <w:top w:val="none" w:sz="0" w:space="0" w:color="auto"/>
        <w:left w:val="none" w:sz="0" w:space="0" w:color="auto"/>
        <w:bottom w:val="none" w:sz="0" w:space="0" w:color="auto"/>
        <w:right w:val="none" w:sz="0" w:space="0" w:color="auto"/>
      </w:divBdr>
    </w:div>
    <w:div w:id="760839108">
      <w:bodyDiv w:val="1"/>
      <w:marLeft w:val="0"/>
      <w:marRight w:val="0"/>
      <w:marTop w:val="0"/>
      <w:marBottom w:val="0"/>
      <w:divBdr>
        <w:top w:val="none" w:sz="0" w:space="0" w:color="auto"/>
        <w:left w:val="none" w:sz="0" w:space="0" w:color="auto"/>
        <w:bottom w:val="none" w:sz="0" w:space="0" w:color="auto"/>
        <w:right w:val="none" w:sz="0" w:space="0" w:color="auto"/>
      </w:divBdr>
    </w:div>
    <w:div w:id="852764687">
      <w:bodyDiv w:val="1"/>
      <w:marLeft w:val="0"/>
      <w:marRight w:val="0"/>
      <w:marTop w:val="0"/>
      <w:marBottom w:val="0"/>
      <w:divBdr>
        <w:top w:val="none" w:sz="0" w:space="0" w:color="auto"/>
        <w:left w:val="none" w:sz="0" w:space="0" w:color="auto"/>
        <w:bottom w:val="none" w:sz="0" w:space="0" w:color="auto"/>
        <w:right w:val="none" w:sz="0" w:space="0" w:color="auto"/>
      </w:divBdr>
    </w:div>
    <w:div w:id="1042752886">
      <w:bodyDiv w:val="1"/>
      <w:marLeft w:val="0"/>
      <w:marRight w:val="0"/>
      <w:marTop w:val="0"/>
      <w:marBottom w:val="0"/>
      <w:divBdr>
        <w:top w:val="none" w:sz="0" w:space="0" w:color="auto"/>
        <w:left w:val="none" w:sz="0" w:space="0" w:color="auto"/>
        <w:bottom w:val="none" w:sz="0" w:space="0" w:color="auto"/>
        <w:right w:val="none" w:sz="0" w:space="0" w:color="auto"/>
      </w:divBdr>
    </w:div>
    <w:div w:id="1232152410">
      <w:bodyDiv w:val="1"/>
      <w:marLeft w:val="0"/>
      <w:marRight w:val="0"/>
      <w:marTop w:val="0"/>
      <w:marBottom w:val="0"/>
      <w:divBdr>
        <w:top w:val="none" w:sz="0" w:space="0" w:color="auto"/>
        <w:left w:val="none" w:sz="0" w:space="0" w:color="auto"/>
        <w:bottom w:val="none" w:sz="0" w:space="0" w:color="auto"/>
        <w:right w:val="none" w:sz="0" w:space="0" w:color="auto"/>
      </w:divBdr>
    </w:div>
    <w:div w:id="1531718793">
      <w:bodyDiv w:val="1"/>
      <w:marLeft w:val="0"/>
      <w:marRight w:val="0"/>
      <w:marTop w:val="0"/>
      <w:marBottom w:val="0"/>
      <w:divBdr>
        <w:top w:val="none" w:sz="0" w:space="0" w:color="auto"/>
        <w:left w:val="none" w:sz="0" w:space="0" w:color="auto"/>
        <w:bottom w:val="none" w:sz="0" w:space="0" w:color="auto"/>
        <w:right w:val="none" w:sz="0" w:space="0" w:color="auto"/>
      </w:divBdr>
    </w:div>
    <w:div w:id="1541431971">
      <w:bodyDiv w:val="1"/>
      <w:marLeft w:val="0"/>
      <w:marRight w:val="0"/>
      <w:marTop w:val="0"/>
      <w:marBottom w:val="0"/>
      <w:divBdr>
        <w:top w:val="none" w:sz="0" w:space="0" w:color="auto"/>
        <w:left w:val="none" w:sz="0" w:space="0" w:color="auto"/>
        <w:bottom w:val="none" w:sz="0" w:space="0" w:color="auto"/>
        <w:right w:val="none" w:sz="0" w:space="0" w:color="auto"/>
      </w:divBdr>
    </w:div>
    <w:div w:id="1932615519">
      <w:bodyDiv w:val="1"/>
      <w:marLeft w:val="0"/>
      <w:marRight w:val="0"/>
      <w:marTop w:val="0"/>
      <w:marBottom w:val="0"/>
      <w:divBdr>
        <w:top w:val="none" w:sz="0" w:space="0" w:color="auto"/>
        <w:left w:val="none" w:sz="0" w:space="0" w:color="auto"/>
        <w:bottom w:val="none" w:sz="0" w:space="0" w:color="auto"/>
        <w:right w:val="none" w:sz="0" w:space="0" w:color="auto"/>
      </w:divBdr>
    </w:div>
    <w:div w:id="2042320976">
      <w:bodyDiv w:val="1"/>
      <w:marLeft w:val="0"/>
      <w:marRight w:val="0"/>
      <w:marTop w:val="0"/>
      <w:marBottom w:val="0"/>
      <w:divBdr>
        <w:top w:val="none" w:sz="0" w:space="0" w:color="auto"/>
        <w:left w:val="none" w:sz="0" w:space="0" w:color="auto"/>
        <w:bottom w:val="none" w:sz="0" w:space="0" w:color="auto"/>
        <w:right w:val="none" w:sz="0" w:space="0" w:color="auto"/>
      </w:divBdr>
    </w:div>
    <w:div w:id="2047025524">
      <w:bodyDiv w:val="1"/>
      <w:marLeft w:val="0"/>
      <w:marRight w:val="0"/>
      <w:marTop w:val="0"/>
      <w:marBottom w:val="0"/>
      <w:divBdr>
        <w:top w:val="none" w:sz="0" w:space="0" w:color="auto"/>
        <w:left w:val="none" w:sz="0" w:space="0" w:color="auto"/>
        <w:bottom w:val="none" w:sz="0" w:space="0" w:color="auto"/>
        <w:right w:val="none" w:sz="0" w:space="0" w:color="auto"/>
      </w:divBdr>
      <w:divsChild>
        <w:div w:id="1618371780">
          <w:marLeft w:val="0"/>
          <w:marRight w:val="0"/>
          <w:marTop w:val="0"/>
          <w:marBottom w:val="0"/>
          <w:divBdr>
            <w:top w:val="none" w:sz="0" w:space="0" w:color="auto"/>
            <w:left w:val="none" w:sz="0" w:space="0" w:color="auto"/>
            <w:bottom w:val="none" w:sz="0" w:space="0" w:color="auto"/>
            <w:right w:val="none" w:sz="0" w:space="0" w:color="auto"/>
          </w:divBdr>
        </w:div>
        <w:div w:id="1716391814">
          <w:marLeft w:val="0"/>
          <w:marRight w:val="0"/>
          <w:marTop w:val="0"/>
          <w:marBottom w:val="0"/>
          <w:divBdr>
            <w:top w:val="none" w:sz="0" w:space="0" w:color="auto"/>
            <w:left w:val="none" w:sz="0" w:space="0" w:color="auto"/>
            <w:bottom w:val="none" w:sz="0" w:space="0" w:color="auto"/>
            <w:right w:val="none" w:sz="0" w:space="0" w:color="auto"/>
          </w:divBdr>
        </w:div>
        <w:div w:id="485516975">
          <w:marLeft w:val="0"/>
          <w:marRight w:val="0"/>
          <w:marTop w:val="0"/>
          <w:marBottom w:val="0"/>
          <w:divBdr>
            <w:top w:val="none" w:sz="0" w:space="0" w:color="auto"/>
            <w:left w:val="none" w:sz="0" w:space="0" w:color="auto"/>
            <w:bottom w:val="none" w:sz="0" w:space="0" w:color="auto"/>
            <w:right w:val="none" w:sz="0" w:space="0" w:color="auto"/>
          </w:divBdr>
        </w:div>
        <w:div w:id="1538277979">
          <w:marLeft w:val="0"/>
          <w:marRight w:val="0"/>
          <w:marTop w:val="0"/>
          <w:marBottom w:val="0"/>
          <w:divBdr>
            <w:top w:val="none" w:sz="0" w:space="0" w:color="auto"/>
            <w:left w:val="none" w:sz="0" w:space="0" w:color="auto"/>
            <w:bottom w:val="none" w:sz="0" w:space="0" w:color="auto"/>
            <w:right w:val="none" w:sz="0" w:space="0" w:color="auto"/>
          </w:divBdr>
        </w:div>
        <w:div w:id="664356494">
          <w:marLeft w:val="0"/>
          <w:marRight w:val="0"/>
          <w:marTop w:val="0"/>
          <w:marBottom w:val="0"/>
          <w:divBdr>
            <w:top w:val="none" w:sz="0" w:space="0" w:color="auto"/>
            <w:left w:val="none" w:sz="0" w:space="0" w:color="auto"/>
            <w:bottom w:val="none" w:sz="0" w:space="0" w:color="auto"/>
            <w:right w:val="none" w:sz="0" w:space="0" w:color="auto"/>
          </w:divBdr>
        </w:div>
        <w:div w:id="1622299790">
          <w:marLeft w:val="0"/>
          <w:marRight w:val="0"/>
          <w:marTop w:val="0"/>
          <w:marBottom w:val="0"/>
          <w:divBdr>
            <w:top w:val="none" w:sz="0" w:space="0" w:color="auto"/>
            <w:left w:val="none" w:sz="0" w:space="0" w:color="auto"/>
            <w:bottom w:val="none" w:sz="0" w:space="0" w:color="auto"/>
            <w:right w:val="none" w:sz="0" w:space="0" w:color="auto"/>
          </w:divBdr>
        </w:div>
        <w:div w:id="2142574764">
          <w:marLeft w:val="0"/>
          <w:marRight w:val="0"/>
          <w:marTop w:val="0"/>
          <w:marBottom w:val="0"/>
          <w:divBdr>
            <w:top w:val="none" w:sz="0" w:space="0" w:color="auto"/>
            <w:left w:val="none" w:sz="0" w:space="0" w:color="auto"/>
            <w:bottom w:val="none" w:sz="0" w:space="0" w:color="auto"/>
            <w:right w:val="none" w:sz="0" w:space="0" w:color="auto"/>
          </w:divBdr>
        </w:div>
        <w:div w:id="364985508">
          <w:marLeft w:val="0"/>
          <w:marRight w:val="0"/>
          <w:marTop w:val="0"/>
          <w:marBottom w:val="0"/>
          <w:divBdr>
            <w:top w:val="none" w:sz="0" w:space="0" w:color="auto"/>
            <w:left w:val="none" w:sz="0" w:space="0" w:color="auto"/>
            <w:bottom w:val="none" w:sz="0" w:space="0" w:color="auto"/>
            <w:right w:val="none" w:sz="0" w:space="0" w:color="auto"/>
          </w:divBdr>
        </w:div>
        <w:div w:id="202717900">
          <w:marLeft w:val="0"/>
          <w:marRight w:val="0"/>
          <w:marTop w:val="0"/>
          <w:marBottom w:val="0"/>
          <w:divBdr>
            <w:top w:val="none" w:sz="0" w:space="0" w:color="auto"/>
            <w:left w:val="none" w:sz="0" w:space="0" w:color="auto"/>
            <w:bottom w:val="none" w:sz="0" w:space="0" w:color="auto"/>
            <w:right w:val="none" w:sz="0" w:space="0" w:color="auto"/>
          </w:divBdr>
        </w:div>
        <w:div w:id="1227452333">
          <w:marLeft w:val="0"/>
          <w:marRight w:val="0"/>
          <w:marTop w:val="0"/>
          <w:marBottom w:val="0"/>
          <w:divBdr>
            <w:top w:val="none" w:sz="0" w:space="0" w:color="auto"/>
            <w:left w:val="none" w:sz="0" w:space="0" w:color="auto"/>
            <w:bottom w:val="none" w:sz="0" w:space="0" w:color="auto"/>
            <w:right w:val="none" w:sz="0" w:space="0" w:color="auto"/>
          </w:divBdr>
        </w:div>
        <w:div w:id="1938362087">
          <w:marLeft w:val="0"/>
          <w:marRight w:val="0"/>
          <w:marTop w:val="0"/>
          <w:marBottom w:val="0"/>
          <w:divBdr>
            <w:top w:val="none" w:sz="0" w:space="0" w:color="auto"/>
            <w:left w:val="none" w:sz="0" w:space="0" w:color="auto"/>
            <w:bottom w:val="none" w:sz="0" w:space="0" w:color="auto"/>
            <w:right w:val="none" w:sz="0" w:space="0" w:color="auto"/>
          </w:divBdr>
        </w:div>
        <w:div w:id="901672200">
          <w:marLeft w:val="0"/>
          <w:marRight w:val="0"/>
          <w:marTop w:val="0"/>
          <w:marBottom w:val="0"/>
          <w:divBdr>
            <w:top w:val="none" w:sz="0" w:space="0" w:color="auto"/>
            <w:left w:val="none" w:sz="0" w:space="0" w:color="auto"/>
            <w:bottom w:val="none" w:sz="0" w:space="0" w:color="auto"/>
            <w:right w:val="none" w:sz="0" w:space="0" w:color="auto"/>
          </w:divBdr>
        </w:div>
        <w:div w:id="1896354995">
          <w:marLeft w:val="0"/>
          <w:marRight w:val="0"/>
          <w:marTop w:val="0"/>
          <w:marBottom w:val="0"/>
          <w:divBdr>
            <w:top w:val="none" w:sz="0" w:space="0" w:color="auto"/>
            <w:left w:val="none" w:sz="0" w:space="0" w:color="auto"/>
            <w:bottom w:val="none" w:sz="0" w:space="0" w:color="auto"/>
            <w:right w:val="none" w:sz="0" w:space="0" w:color="auto"/>
          </w:divBdr>
        </w:div>
        <w:div w:id="629943760">
          <w:marLeft w:val="0"/>
          <w:marRight w:val="0"/>
          <w:marTop w:val="0"/>
          <w:marBottom w:val="0"/>
          <w:divBdr>
            <w:top w:val="none" w:sz="0" w:space="0" w:color="auto"/>
            <w:left w:val="none" w:sz="0" w:space="0" w:color="auto"/>
            <w:bottom w:val="none" w:sz="0" w:space="0" w:color="auto"/>
            <w:right w:val="none" w:sz="0" w:space="0" w:color="auto"/>
          </w:divBdr>
        </w:div>
        <w:div w:id="437481843">
          <w:marLeft w:val="0"/>
          <w:marRight w:val="0"/>
          <w:marTop w:val="0"/>
          <w:marBottom w:val="0"/>
          <w:divBdr>
            <w:top w:val="none" w:sz="0" w:space="0" w:color="auto"/>
            <w:left w:val="none" w:sz="0" w:space="0" w:color="auto"/>
            <w:bottom w:val="none" w:sz="0" w:space="0" w:color="auto"/>
            <w:right w:val="none" w:sz="0" w:space="0" w:color="auto"/>
          </w:divBdr>
        </w:div>
        <w:div w:id="1872306881">
          <w:marLeft w:val="0"/>
          <w:marRight w:val="0"/>
          <w:marTop w:val="0"/>
          <w:marBottom w:val="0"/>
          <w:divBdr>
            <w:top w:val="none" w:sz="0" w:space="0" w:color="auto"/>
            <w:left w:val="none" w:sz="0" w:space="0" w:color="auto"/>
            <w:bottom w:val="none" w:sz="0" w:space="0" w:color="auto"/>
            <w:right w:val="none" w:sz="0" w:space="0" w:color="auto"/>
          </w:divBdr>
        </w:div>
        <w:div w:id="1301574551">
          <w:marLeft w:val="0"/>
          <w:marRight w:val="0"/>
          <w:marTop w:val="0"/>
          <w:marBottom w:val="0"/>
          <w:divBdr>
            <w:top w:val="none" w:sz="0" w:space="0" w:color="auto"/>
            <w:left w:val="none" w:sz="0" w:space="0" w:color="auto"/>
            <w:bottom w:val="none" w:sz="0" w:space="0" w:color="auto"/>
            <w:right w:val="none" w:sz="0" w:space="0" w:color="auto"/>
          </w:divBdr>
        </w:div>
        <w:div w:id="57821845">
          <w:marLeft w:val="0"/>
          <w:marRight w:val="0"/>
          <w:marTop w:val="0"/>
          <w:marBottom w:val="0"/>
          <w:divBdr>
            <w:top w:val="none" w:sz="0" w:space="0" w:color="auto"/>
            <w:left w:val="none" w:sz="0" w:space="0" w:color="auto"/>
            <w:bottom w:val="none" w:sz="0" w:space="0" w:color="auto"/>
            <w:right w:val="none" w:sz="0" w:space="0" w:color="auto"/>
          </w:divBdr>
        </w:div>
        <w:div w:id="1706559713">
          <w:marLeft w:val="0"/>
          <w:marRight w:val="0"/>
          <w:marTop w:val="0"/>
          <w:marBottom w:val="0"/>
          <w:divBdr>
            <w:top w:val="none" w:sz="0" w:space="0" w:color="auto"/>
            <w:left w:val="none" w:sz="0" w:space="0" w:color="auto"/>
            <w:bottom w:val="none" w:sz="0" w:space="0" w:color="auto"/>
            <w:right w:val="none" w:sz="0" w:space="0" w:color="auto"/>
          </w:divBdr>
        </w:div>
        <w:div w:id="867639081">
          <w:marLeft w:val="0"/>
          <w:marRight w:val="0"/>
          <w:marTop w:val="0"/>
          <w:marBottom w:val="0"/>
          <w:divBdr>
            <w:top w:val="none" w:sz="0" w:space="0" w:color="auto"/>
            <w:left w:val="none" w:sz="0" w:space="0" w:color="auto"/>
            <w:bottom w:val="none" w:sz="0" w:space="0" w:color="auto"/>
            <w:right w:val="none" w:sz="0" w:space="0" w:color="auto"/>
          </w:divBdr>
        </w:div>
      </w:divsChild>
    </w:div>
    <w:div w:id="20565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sra@imperia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2891-EF17-7749-AF17-8ABC952C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Misra, Shivani</dc:creator>
  <cp:lastModifiedBy>Misra, Shivani</cp:lastModifiedBy>
  <cp:revision>6</cp:revision>
  <dcterms:created xsi:type="dcterms:W3CDTF">2020-10-17T10:41:00Z</dcterms:created>
  <dcterms:modified xsi:type="dcterms:W3CDTF">2020-10-17T10:56:00Z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http://www.zotero.org/styles/bmj</vt:lpwstr>
  </property>
  <property fmtid="{D5CDD505-2E9C-101B-9397-08002B2CF9AE}" pid="9" name="Mendeley Recent Style Name 3_1">
    <vt:lpwstr>BMJ</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http://www.zotero.org/styles/clinical-chemistry</vt:lpwstr>
  </property>
  <property fmtid="{D5CDD505-2E9C-101B-9397-08002B2CF9AE}" pid="13" name="Mendeley Recent Style Name 5_1">
    <vt:lpwstr>Clinical Chemistry</vt:lpwstr>
  </property>
  <property fmtid="{D5CDD505-2E9C-101B-9397-08002B2CF9AE}" pid="14" name="Mendeley Recent Style Id 6_1">
    <vt:lpwstr>http://www.zotero.org/styles/diabetes</vt:lpwstr>
  </property>
  <property fmtid="{D5CDD505-2E9C-101B-9397-08002B2CF9AE}" pid="15" name="Mendeley Recent Style Name 6_1">
    <vt:lpwstr>Diabetes</vt:lpwstr>
  </property>
  <property fmtid="{D5CDD505-2E9C-101B-9397-08002B2CF9AE}" pid="16" name="Mendeley Recent Style Id 7_1">
    <vt:lpwstr>http://www.zotero.org/styles/diabetes-care</vt:lpwstr>
  </property>
  <property fmtid="{D5CDD505-2E9C-101B-9397-08002B2CF9AE}" pid="17" name="Mendeley Recent Style Name 7_1">
    <vt:lpwstr>Diabetes Care</vt:lpwstr>
  </property>
  <property fmtid="{D5CDD505-2E9C-101B-9397-08002B2CF9AE}" pid="18" name="Mendeley Recent Style Id 8_1">
    <vt:lpwstr>http://www.zotero.org/styles/diabetologia</vt:lpwstr>
  </property>
  <property fmtid="{D5CDD505-2E9C-101B-9397-08002B2CF9AE}" pid="19" name="Mendeley Recent Style Name 8_1">
    <vt:lpwstr>Diabetologia</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y fmtid="{D5CDD505-2E9C-101B-9397-08002B2CF9AE}" pid="22" name="Mendeley Document_1">
    <vt:lpwstr>True</vt:lpwstr>
  </property>
  <property fmtid="{D5CDD505-2E9C-101B-9397-08002B2CF9AE}" pid="23" name="Mendeley Unique User Id_1">
    <vt:lpwstr>7294e0a7-19f5-39fa-84bc-bef5ff6a6817</vt:lpwstr>
  </property>
  <property fmtid="{D5CDD505-2E9C-101B-9397-08002B2CF9AE}" pid="24" name="Mendeley Citation Style_1">
    <vt:lpwstr>http://www.zotero.org/styles/diabetes</vt:lpwstr>
  </property>
</Properties>
</file>