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69EC4" w14:textId="5648D57C" w:rsidR="00424179" w:rsidRPr="004D3701" w:rsidRDefault="00A419F5" w:rsidP="00CF2643">
      <w:pPr>
        <w:jc w:val="both"/>
        <w:rPr>
          <w:b/>
          <w:bCs/>
        </w:rPr>
      </w:pPr>
      <w:r w:rsidRPr="004D3701">
        <w:rPr>
          <w:b/>
          <w:bCs/>
        </w:rPr>
        <w:t xml:space="preserve">Changes </w:t>
      </w:r>
      <w:r w:rsidR="0002013C" w:rsidRPr="004D3701">
        <w:rPr>
          <w:b/>
          <w:bCs/>
        </w:rPr>
        <w:t>in the hospital admission profile</w:t>
      </w:r>
      <w:r w:rsidRPr="004D3701">
        <w:rPr>
          <w:b/>
          <w:bCs/>
        </w:rPr>
        <w:t xml:space="preserve"> of COVID-19 positive patients at a central London trust</w:t>
      </w:r>
    </w:p>
    <w:p w14:paraId="4726E8F3" w14:textId="6AB4350E" w:rsidR="000421C3" w:rsidRPr="000421C3" w:rsidRDefault="000421C3" w:rsidP="00CF2643">
      <w:pPr>
        <w:contextualSpacing/>
        <w:jc w:val="both"/>
      </w:pPr>
      <w:r w:rsidRPr="000421C3">
        <w:t>James</w:t>
      </w:r>
      <w:r w:rsidR="00697632">
        <w:t xml:space="preserve"> R</w:t>
      </w:r>
      <w:r w:rsidRPr="000421C3">
        <w:t xml:space="preserve"> Barnacle</w:t>
      </w:r>
      <w:r w:rsidR="006B1341" w:rsidRPr="00D04D2A">
        <w:rPr>
          <w:rFonts w:cs="Times New Roman (Body CS)"/>
          <w:vertAlign w:val="superscript"/>
        </w:rPr>
        <w:t>1</w:t>
      </w:r>
      <w:r w:rsidRPr="000421C3">
        <w:t>, Gary Cairney</w:t>
      </w:r>
      <w:r w:rsidR="006B1341" w:rsidRPr="006D06E5">
        <w:rPr>
          <w:rFonts w:cs="Times New Roman (Body CS)"/>
          <w:vertAlign w:val="superscript"/>
        </w:rPr>
        <w:t>1</w:t>
      </w:r>
      <w:r w:rsidRPr="000421C3">
        <w:t>, James Rainsley</w:t>
      </w:r>
      <w:r w:rsidR="006B1341" w:rsidRPr="006D06E5">
        <w:rPr>
          <w:rFonts w:cs="Times New Roman (Body CS)"/>
          <w:vertAlign w:val="superscript"/>
        </w:rPr>
        <w:t>1</w:t>
      </w:r>
      <w:r w:rsidRPr="000421C3">
        <w:t>, Luca Mercuri</w:t>
      </w:r>
      <w:r w:rsidR="006B1341" w:rsidRPr="006D06E5">
        <w:rPr>
          <w:rFonts w:cs="Times New Roman (Body CS)"/>
          <w:vertAlign w:val="superscript"/>
        </w:rPr>
        <w:t>1</w:t>
      </w:r>
      <w:r w:rsidRPr="000421C3">
        <w:t>,</w:t>
      </w:r>
      <w:r w:rsidR="00CF2643">
        <w:t xml:space="preserve"> Malick M Gibani</w:t>
      </w:r>
      <w:r w:rsidR="006B1341" w:rsidRPr="006D06E5">
        <w:rPr>
          <w:rFonts w:cs="Times New Roman (Body CS)"/>
          <w:vertAlign w:val="superscript"/>
        </w:rPr>
        <w:t>1</w:t>
      </w:r>
      <w:r w:rsidR="006B1341" w:rsidRPr="004D679E">
        <w:rPr>
          <w:vertAlign w:val="superscript"/>
        </w:rPr>
        <w:t>,</w:t>
      </w:r>
      <w:r w:rsidR="006B1341" w:rsidRPr="00D04D2A">
        <w:rPr>
          <w:rFonts w:cs="Times New Roman (Body CS)"/>
          <w:vertAlign w:val="superscript"/>
        </w:rPr>
        <w:t>2</w:t>
      </w:r>
      <w:r w:rsidR="00CF2643">
        <w:t>,</w:t>
      </w:r>
      <w:r w:rsidRPr="000421C3">
        <w:t xml:space="preserve"> Graham </w:t>
      </w:r>
      <w:r w:rsidR="006B1341">
        <w:t xml:space="preserve">S </w:t>
      </w:r>
      <w:r w:rsidRPr="000421C3">
        <w:t>Cooke</w:t>
      </w:r>
      <w:r w:rsidR="006B1341" w:rsidRPr="006D06E5">
        <w:rPr>
          <w:rFonts w:cs="Times New Roman (Body CS)"/>
          <w:vertAlign w:val="superscript"/>
        </w:rPr>
        <w:t>1</w:t>
      </w:r>
      <w:r w:rsidR="006B1341" w:rsidRPr="004D679E">
        <w:rPr>
          <w:vertAlign w:val="superscript"/>
        </w:rPr>
        <w:t>,</w:t>
      </w:r>
      <w:r w:rsidR="006B1341" w:rsidRPr="00D04D2A">
        <w:rPr>
          <w:rFonts w:cs="Times New Roman (Body CS)"/>
          <w:vertAlign w:val="superscript"/>
        </w:rPr>
        <w:t>2</w:t>
      </w:r>
      <w:r w:rsidR="004D3701">
        <w:t xml:space="preserve">, </w:t>
      </w:r>
      <w:r w:rsidRPr="000421C3">
        <w:t>Stephen</w:t>
      </w:r>
      <w:r w:rsidR="00C5600D">
        <w:t xml:space="preserve"> J</w:t>
      </w:r>
      <w:r w:rsidRPr="000421C3">
        <w:t xml:space="preserve"> Brett</w:t>
      </w:r>
      <w:r w:rsidR="006B1341" w:rsidRPr="006D06E5">
        <w:rPr>
          <w:rFonts w:cs="Times New Roman (Body CS)"/>
          <w:vertAlign w:val="superscript"/>
        </w:rPr>
        <w:t>1</w:t>
      </w:r>
      <w:r w:rsidR="006B1341">
        <w:rPr>
          <w:rFonts w:cs="Times New Roman (Body CS)"/>
          <w:vertAlign w:val="superscript"/>
        </w:rPr>
        <w:t>,3</w:t>
      </w:r>
    </w:p>
    <w:p w14:paraId="6383D353" w14:textId="77777777" w:rsidR="00CF2643" w:rsidRDefault="00CF2643" w:rsidP="00CF2643">
      <w:pPr>
        <w:contextualSpacing/>
        <w:jc w:val="both"/>
      </w:pPr>
    </w:p>
    <w:p w14:paraId="55559394" w14:textId="67256071" w:rsidR="00424179" w:rsidRPr="00BE759F" w:rsidRDefault="006B1341" w:rsidP="00CF2643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 </w:t>
      </w:r>
      <w:r w:rsidR="000421C3" w:rsidRPr="00BE759F">
        <w:rPr>
          <w:sz w:val="16"/>
          <w:szCs w:val="16"/>
        </w:rPr>
        <w:t>Imperial College Healthcare NHS Trust</w:t>
      </w:r>
    </w:p>
    <w:p w14:paraId="23CDFB18" w14:textId="0216EB39" w:rsidR="00CF2643" w:rsidRDefault="006B1341" w:rsidP="00CF2643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 </w:t>
      </w:r>
      <w:r w:rsidR="00CF2643" w:rsidRPr="004F5E02">
        <w:rPr>
          <w:sz w:val="16"/>
          <w:szCs w:val="16"/>
        </w:rPr>
        <w:t>Department</w:t>
      </w:r>
      <w:r w:rsidR="00CF2643" w:rsidRPr="004F5E02" w:rsidDel="0000014D">
        <w:rPr>
          <w:sz w:val="16"/>
          <w:szCs w:val="16"/>
        </w:rPr>
        <w:t xml:space="preserve"> of</w:t>
      </w:r>
      <w:r w:rsidR="00CF2643" w:rsidRPr="004F5E02">
        <w:rPr>
          <w:sz w:val="16"/>
          <w:szCs w:val="16"/>
        </w:rPr>
        <w:t xml:space="preserve"> </w:t>
      </w:r>
      <w:r w:rsidR="00CF2643" w:rsidRPr="004F5E02" w:rsidDel="0000014D">
        <w:rPr>
          <w:sz w:val="16"/>
          <w:szCs w:val="16"/>
        </w:rPr>
        <w:t>Infectiou</w:t>
      </w:r>
      <w:r w:rsidR="00CF2643" w:rsidRPr="004F5E02">
        <w:rPr>
          <w:sz w:val="16"/>
          <w:szCs w:val="16"/>
        </w:rPr>
        <w:t>s</w:t>
      </w:r>
      <w:r w:rsidR="00CF2643" w:rsidRPr="004F5E02" w:rsidDel="0000014D">
        <w:rPr>
          <w:sz w:val="16"/>
          <w:szCs w:val="16"/>
        </w:rPr>
        <w:t xml:space="preserve"> Disease, Imperial C</w:t>
      </w:r>
      <w:r w:rsidR="00CF2643" w:rsidRPr="004F5E02">
        <w:rPr>
          <w:sz w:val="16"/>
          <w:szCs w:val="16"/>
        </w:rPr>
        <w:t>o</w:t>
      </w:r>
      <w:r w:rsidR="00CF2643" w:rsidRPr="004F5E02" w:rsidDel="0000014D">
        <w:rPr>
          <w:sz w:val="16"/>
          <w:szCs w:val="16"/>
        </w:rPr>
        <w:t>llege Lon</w:t>
      </w:r>
      <w:r w:rsidR="00CF2643" w:rsidRPr="004F5E02">
        <w:rPr>
          <w:sz w:val="16"/>
          <w:szCs w:val="16"/>
        </w:rPr>
        <w:t>d</w:t>
      </w:r>
      <w:r w:rsidR="00CF2643" w:rsidRPr="004F5E02" w:rsidDel="0000014D">
        <w:rPr>
          <w:sz w:val="16"/>
          <w:szCs w:val="16"/>
        </w:rPr>
        <w:t>on</w:t>
      </w:r>
      <w:r w:rsidR="00CF2643" w:rsidRPr="004F5E02">
        <w:rPr>
          <w:sz w:val="16"/>
          <w:szCs w:val="16"/>
        </w:rPr>
        <w:t>,</w:t>
      </w:r>
      <w:r w:rsidR="00CF2643" w:rsidRPr="004F5E02" w:rsidDel="0000014D">
        <w:rPr>
          <w:sz w:val="16"/>
          <w:szCs w:val="16"/>
        </w:rPr>
        <w:t xml:space="preserve"> United King</w:t>
      </w:r>
      <w:r w:rsidR="00CF2643" w:rsidRPr="004F5E02">
        <w:rPr>
          <w:sz w:val="16"/>
          <w:szCs w:val="16"/>
        </w:rPr>
        <w:t>d</w:t>
      </w:r>
      <w:r w:rsidR="00CF2643" w:rsidRPr="004F5E02" w:rsidDel="0000014D">
        <w:rPr>
          <w:sz w:val="16"/>
          <w:szCs w:val="16"/>
        </w:rPr>
        <w:t>om</w:t>
      </w:r>
    </w:p>
    <w:p w14:paraId="2B531A9A" w14:textId="4C43E1CF" w:rsidR="004D3701" w:rsidRDefault="006B1341" w:rsidP="00CF2643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r w:rsidR="0040102E" w:rsidRPr="004F5E02">
        <w:rPr>
          <w:sz w:val="16"/>
          <w:szCs w:val="16"/>
        </w:rPr>
        <w:t>Department</w:t>
      </w:r>
      <w:r w:rsidR="0040102E" w:rsidRPr="004F5E02" w:rsidDel="0000014D">
        <w:rPr>
          <w:sz w:val="16"/>
          <w:szCs w:val="16"/>
        </w:rPr>
        <w:t xml:space="preserve"> of</w:t>
      </w:r>
      <w:r w:rsidR="0040102E" w:rsidRPr="004F5E02">
        <w:rPr>
          <w:sz w:val="16"/>
          <w:szCs w:val="16"/>
        </w:rPr>
        <w:t xml:space="preserve"> </w:t>
      </w:r>
      <w:r w:rsidR="0040102E">
        <w:rPr>
          <w:sz w:val="16"/>
          <w:szCs w:val="16"/>
        </w:rPr>
        <w:t>Surgery and Cancer</w:t>
      </w:r>
      <w:r w:rsidR="0040102E" w:rsidRPr="004F5E02" w:rsidDel="0000014D">
        <w:rPr>
          <w:sz w:val="16"/>
          <w:szCs w:val="16"/>
        </w:rPr>
        <w:t>, Imperial C</w:t>
      </w:r>
      <w:r w:rsidR="0040102E" w:rsidRPr="004F5E02">
        <w:rPr>
          <w:sz w:val="16"/>
          <w:szCs w:val="16"/>
        </w:rPr>
        <w:t>o</w:t>
      </w:r>
      <w:r w:rsidR="0040102E" w:rsidRPr="004F5E02" w:rsidDel="0000014D">
        <w:rPr>
          <w:sz w:val="16"/>
          <w:szCs w:val="16"/>
        </w:rPr>
        <w:t>llege Lon</w:t>
      </w:r>
      <w:r w:rsidR="0040102E" w:rsidRPr="004F5E02">
        <w:rPr>
          <w:sz w:val="16"/>
          <w:szCs w:val="16"/>
        </w:rPr>
        <w:t>d</w:t>
      </w:r>
      <w:r w:rsidR="0040102E" w:rsidRPr="004F5E02" w:rsidDel="0000014D">
        <w:rPr>
          <w:sz w:val="16"/>
          <w:szCs w:val="16"/>
        </w:rPr>
        <w:t>on</w:t>
      </w:r>
      <w:r w:rsidR="0040102E" w:rsidRPr="004F5E02">
        <w:rPr>
          <w:sz w:val="16"/>
          <w:szCs w:val="16"/>
        </w:rPr>
        <w:t>,</w:t>
      </w:r>
      <w:r w:rsidR="0040102E" w:rsidRPr="004F5E02" w:rsidDel="0000014D">
        <w:rPr>
          <w:sz w:val="16"/>
          <w:szCs w:val="16"/>
        </w:rPr>
        <w:t xml:space="preserve"> United King</w:t>
      </w:r>
      <w:r w:rsidR="0040102E" w:rsidRPr="004F5E02">
        <w:rPr>
          <w:sz w:val="16"/>
          <w:szCs w:val="16"/>
        </w:rPr>
        <w:t>d</w:t>
      </w:r>
      <w:r w:rsidR="0040102E" w:rsidRPr="004F5E02" w:rsidDel="0000014D">
        <w:rPr>
          <w:sz w:val="16"/>
          <w:szCs w:val="16"/>
        </w:rPr>
        <w:t>om</w:t>
      </w:r>
    </w:p>
    <w:p w14:paraId="633AB00B" w14:textId="77777777" w:rsidR="00895928" w:rsidRPr="00895928" w:rsidRDefault="00895928" w:rsidP="00CF2643">
      <w:pPr>
        <w:contextualSpacing/>
        <w:jc w:val="both"/>
        <w:rPr>
          <w:sz w:val="16"/>
          <w:szCs w:val="16"/>
        </w:rPr>
      </w:pPr>
    </w:p>
    <w:p w14:paraId="6969EB68" w14:textId="77777777" w:rsidR="00001683" w:rsidRDefault="004A78D8" w:rsidP="00CF2643">
      <w:pPr>
        <w:jc w:val="both"/>
        <w:rPr>
          <w:i/>
          <w:iCs/>
        </w:rPr>
      </w:pPr>
      <w:r w:rsidRPr="004A78D8">
        <w:rPr>
          <w:i/>
          <w:iCs/>
        </w:rPr>
        <w:t>Dear</w:t>
      </w:r>
      <w:r w:rsidR="004C4A70" w:rsidRPr="004A78D8">
        <w:rPr>
          <w:i/>
          <w:iCs/>
        </w:rPr>
        <w:t xml:space="preserve"> </w:t>
      </w:r>
      <w:r w:rsidR="000A073A" w:rsidRPr="004A78D8">
        <w:rPr>
          <w:i/>
          <w:iCs/>
        </w:rPr>
        <w:t>E</w:t>
      </w:r>
      <w:r w:rsidR="004C4A70" w:rsidRPr="004A78D8">
        <w:rPr>
          <w:i/>
          <w:iCs/>
        </w:rPr>
        <w:t>ditor,</w:t>
      </w:r>
    </w:p>
    <w:p w14:paraId="33E5A033" w14:textId="39355247" w:rsidR="00B55307" w:rsidRDefault="00B55307" w:rsidP="00CF2643">
      <w:pPr>
        <w:jc w:val="both"/>
      </w:pPr>
      <w:r>
        <w:t>There is currently no WHO approved method for counting and coding deaths attributable to COVID-19. Since the start of the pandemic, Public Health England have counted all deaths from individuals who have tested positive for SARS-CoV-2 at any time as being attributable to COVID-19, which has resulted in recent debate.</w:t>
      </w:r>
      <w:r w:rsidRPr="00BB0B8C">
        <w:rPr>
          <w:vertAlign w:val="superscript"/>
        </w:rPr>
        <w:t>1</w:t>
      </w:r>
      <w:r>
        <w:t xml:space="preserve"> Experiences such as these highlight the ongoing challenges of coding and modelling the COVID-19 pandemic as we move past the initial peak and societal restrictions are relaxed. </w:t>
      </w:r>
    </w:p>
    <w:p w14:paraId="3EEF45EE" w14:textId="72E943CE" w:rsidR="002700D7" w:rsidRPr="00E9295A" w:rsidRDefault="00F0399C" w:rsidP="00CF2643">
      <w:pPr>
        <w:jc w:val="both"/>
      </w:pPr>
      <w:r>
        <w:t xml:space="preserve">Here we </w:t>
      </w:r>
      <w:r w:rsidR="006B1341">
        <w:t>describe</w:t>
      </w:r>
      <w:r w:rsidR="002815F9">
        <w:t xml:space="preserve"> </w:t>
      </w:r>
      <w:r>
        <w:t xml:space="preserve">the changing profile of </w:t>
      </w:r>
      <w:r w:rsidR="006B1341">
        <w:t xml:space="preserve">hospital </w:t>
      </w:r>
      <w:r>
        <w:t xml:space="preserve">admissions and readmissions, and its </w:t>
      </w:r>
      <w:r w:rsidR="00EE012B">
        <w:t xml:space="preserve">potential </w:t>
      </w:r>
      <w:r>
        <w:t>impact on modelling.</w:t>
      </w:r>
      <w:r w:rsidR="00001683">
        <w:t xml:space="preserve"> </w:t>
      </w:r>
      <w:r w:rsidR="00E07AF0">
        <w:t xml:space="preserve">In the UK, </w:t>
      </w:r>
      <w:r w:rsidR="006B1341">
        <w:t xml:space="preserve">both </w:t>
      </w:r>
      <w:r w:rsidR="00E07AF0">
        <w:t xml:space="preserve">the incidence and mortality </w:t>
      </w:r>
      <w:r w:rsidR="0040102E">
        <w:t xml:space="preserve">burden </w:t>
      </w:r>
      <w:r w:rsidR="00E07AF0">
        <w:t xml:space="preserve">associated with </w:t>
      </w:r>
      <w:r w:rsidR="00F34FFF">
        <w:t>COVID-19</w:t>
      </w:r>
      <w:r w:rsidR="00E07AF0">
        <w:t xml:space="preserve"> peaked in April </w:t>
      </w:r>
      <w:r w:rsidR="00F34FFF">
        <w:t xml:space="preserve">2020 </w:t>
      </w:r>
      <w:r w:rsidR="00E07AF0">
        <w:t>and</w:t>
      </w:r>
      <w:r w:rsidR="0029190B">
        <w:t xml:space="preserve"> have</w:t>
      </w:r>
      <w:r w:rsidR="00E07AF0">
        <w:t xml:space="preserve"> </w:t>
      </w:r>
      <w:r w:rsidR="00F34FFF">
        <w:t>subsequently</w:t>
      </w:r>
      <w:r w:rsidR="00E07AF0">
        <w:t xml:space="preserve"> decline</w:t>
      </w:r>
      <w:r w:rsidR="008C72CE">
        <w:t>d</w:t>
      </w:r>
      <w:r w:rsidR="00895928">
        <w:t>.</w:t>
      </w:r>
      <w:r w:rsidR="00895928" w:rsidRPr="00895928">
        <w:rPr>
          <w:vertAlign w:val="superscript"/>
        </w:rPr>
        <w:t>2</w:t>
      </w:r>
      <w:r w:rsidR="002700D7">
        <w:t xml:space="preserve"> </w:t>
      </w:r>
      <w:r w:rsidR="00F34FFF">
        <w:t xml:space="preserve">NHS trusts </w:t>
      </w:r>
      <w:r w:rsidR="0029190B">
        <w:t>are</w:t>
      </w:r>
      <w:r w:rsidR="002815F9">
        <w:t xml:space="preserve"> now</w:t>
      </w:r>
      <w:r w:rsidR="0029190B">
        <w:t xml:space="preserve"> facing </w:t>
      </w:r>
      <w:r w:rsidR="00F34FFF">
        <w:t xml:space="preserve">new challenges as the UK transitions to the next stage of </w:t>
      </w:r>
      <w:r w:rsidR="00663982">
        <w:t xml:space="preserve">the </w:t>
      </w:r>
      <w:r w:rsidR="00F34FFF">
        <w:t xml:space="preserve">pandemic. In particular, there is a pressing need to </w:t>
      </w:r>
      <w:r w:rsidR="002700D7">
        <w:t>re-</w:t>
      </w:r>
      <w:r w:rsidR="00F34FFF">
        <w:t>open</w:t>
      </w:r>
      <w:r w:rsidR="002700D7">
        <w:t xml:space="preserve"> non-COVID-19</w:t>
      </w:r>
      <w:r w:rsidR="00F34FFF">
        <w:t xml:space="preserve"> clinical</w:t>
      </w:r>
      <w:r w:rsidR="002700D7">
        <w:t xml:space="preserve"> services safely. </w:t>
      </w:r>
      <w:r w:rsidR="00F34FFF">
        <w:t xml:space="preserve">As national incidence falls, </w:t>
      </w:r>
      <w:r w:rsidR="008C72CE">
        <w:t>a</w:t>
      </w:r>
      <w:r w:rsidR="007951BF">
        <w:t xml:space="preserve"> clear</w:t>
      </w:r>
      <w:r w:rsidR="002700D7">
        <w:t xml:space="preserve"> understanding </w:t>
      </w:r>
      <w:r w:rsidR="007951BF">
        <w:t xml:space="preserve">of the profile of newly admitted </w:t>
      </w:r>
      <w:r w:rsidR="00663982">
        <w:t>SARS-CoV-2</w:t>
      </w:r>
      <w:r w:rsidR="007951BF">
        <w:t xml:space="preserve"> positive patients over time would help hospital</w:t>
      </w:r>
      <w:r w:rsidR="00F34FFF">
        <w:t xml:space="preserve"> trusts</w:t>
      </w:r>
      <w:r w:rsidR="007951BF">
        <w:t xml:space="preserve"> focus resources and plan for re-introduction of services.</w:t>
      </w:r>
    </w:p>
    <w:p w14:paraId="1BCFA205" w14:textId="37B7F22D" w:rsidR="00C5600D" w:rsidRDefault="007951BF" w:rsidP="00CF2643">
      <w:pPr>
        <w:contextualSpacing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Imperial College Healthcare NHS Trust (ICHT) is a large central London trust which</w:t>
      </w:r>
      <w:r w:rsidR="008C72CE">
        <w:rPr>
          <w:rFonts w:ascii="Calibri" w:hAnsi="Calibri" w:cs="Calibri"/>
          <w:color w:val="000000"/>
          <w:shd w:val="clear" w:color="auto" w:fill="FFFFFF"/>
        </w:rPr>
        <w:t xml:space="preserve">, by </w:t>
      </w:r>
      <w:r w:rsidR="0029190B">
        <w:rPr>
          <w:rFonts w:ascii="Calibri" w:hAnsi="Calibri" w:cs="Calibri"/>
          <w:color w:val="000000"/>
          <w:shd w:val="clear" w:color="auto" w:fill="FFFFFF"/>
        </w:rPr>
        <w:t>7</w:t>
      </w:r>
      <w:r w:rsidR="008C72CE" w:rsidRPr="008C72CE">
        <w:rPr>
          <w:rFonts w:ascii="Calibri" w:hAnsi="Calibri" w:cs="Calibri"/>
          <w:color w:val="000000"/>
          <w:shd w:val="clear" w:color="auto" w:fill="FFFFFF"/>
          <w:vertAlign w:val="superscript"/>
        </w:rPr>
        <w:t>th</w:t>
      </w:r>
      <w:r w:rsidR="008C72CE">
        <w:rPr>
          <w:rFonts w:ascii="Calibri" w:hAnsi="Calibri" w:cs="Calibri"/>
          <w:color w:val="000000"/>
          <w:shd w:val="clear" w:color="auto" w:fill="FFFFFF"/>
        </w:rPr>
        <w:t xml:space="preserve"> Ju</w:t>
      </w:r>
      <w:r w:rsidR="0029190B">
        <w:rPr>
          <w:rFonts w:ascii="Calibri" w:hAnsi="Calibri" w:cs="Calibri"/>
          <w:color w:val="000000"/>
          <w:shd w:val="clear" w:color="auto" w:fill="FFFFFF"/>
        </w:rPr>
        <w:t>ly</w:t>
      </w:r>
      <w:r w:rsidR="008C72CE">
        <w:rPr>
          <w:rFonts w:ascii="Calibri" w:hAnsi="Calibri" w:cs="Calibri"/>
          <w:color w:val="000000"/>
          <w:shd w:val="clear" w:color="auto" w:fill="FFFFFF"/>
        </w:rPr>
        <w:t>,</w:t>
      </w:r>
      <w:r>
        <w:rPr>
          <w:rFonts w:ascii="Calibri" w:hAnsi="Calibri" w:cs="Calibri"/>
          <w:color w:val="000000"/>
          <w:shd w:val="clear" w:color="auto" w:fill="FFFFFF"/>
        </w:rPr>
        <w:t xml:space="preserve"> ha</w:t>
      </w:r>
      <w:r w:rsidR="008C72CE">
        <w:rPr>
          <w:rFonts w:ascii="Calibri" w:hAnsi="Calibri" w:cs="Calibri"/>
          <w:color w:val="000000"/>
          <w:shd w:val="clear" w:color="auto" w:fill="FFFFFF"/>
        </w:rPr>
        <w:t>d</w:t>
      </w:r>
      <w:r w:rsidR="0042338E">
        <w:rPr>
          <w:rFonts w:ascii="Calibri" w:hAnsi="Calibri" w:cs="Calibri"/>
          <w:color w:val="000000"/>
          <w:shd w:val="clear" w:color="auto" w:fill="FFFFFF"/>
        </w:rPr>
        <w:t xml:space="preserve"> successfully discharged</w:t>
      </w:r>
      <w:r w:rsidR="008C72C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29190B">
        <w:rPr>
          <w:rFonts w:ascii="Calibri" w:hAnsi="Calibri" w:cs="Calibri"/>
          <w:color w:val="000000"/>
          <w:shd w:val="clear" w:color="auto" w:fill="FFFFFF"/>
        </w:rPr>
        <w:t>1283</w:t>
      </w:r>
      <w:r w:rsidR="008C72C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2338E">
        <w:rPr>
          <w:rFonts w:ascii="Calibri" w:hAnsi="Calibri" w:cs="Calibri"/>
          <w:color w:val="000000"/>
          <w:shd w:val="clear" w:color="auto" w:fill="FFFFFF"/>
        </w:rPr>
        <w:t xml:space="preserve">COVID-19 </w:t>
      </w:r>
      <w:r w:rsidR="008C72CE">
        <w:rPr>
          <w:rFonts w:ascii="Calibri" w:hAnsi="Calibri" w:cs="Calibri"/>
          <w:color w:val="000000"/>
          <w:shd w:val="clear" w:color="auto" w:fill="FFFFFF"/>
        </w:rPr>
        <w:t>patient</w:t>
      </w:r>
      <w:r w:rsidR="0042338E">
        <w:rPr>
          <w:rFonts w:ascii="Calibri" w:hAnsi="Calibri" w:cs="Calibri"/>
          <w:color w:val="000000"/>
          <w:shd w:val="clear" w:color="auto" w:fill="FFFFFF"/>
        </w:rPr>
        <w:t>s</w:t>
      </w:r>
      <w:r w:rsidR="008C72CE">
        <w:rPr>
          <w:rFonts w:ascii="Calibri" w:hAnsi="Calibri" w:cs="Calibri"/>
          <w:color w:val="000000"/>
          <w:shd w:val="clear" w:color="auto" w:fill="FFFFFF"/>
        </w:rPr>
        <w:t>, with 42</w:t>
      </w:r>
      <w:r w:rsidR="0029190B">
        <w:rPr>
          <w:rFonts w:ascii="Calibri" w:hAnsi="Calibri" w:cs="Calibri"/>
          <w:color w:val="000000"/>
          <w:shd w:val="clear" w:color="auto" w:fill="FFFFFF"/>
        </w:rPr>
        <w:t>7</w:t>
      </w:r>
      <w:r w:rsidR="008C72CE">
        <w:rPr>
          <w:rFonts w:ascii="Calibri" w:hAnsi="Calibri" w:cs="Calibri"/>
          <w:color w:val="000000"/>
          <w:shd w:val="clear" w:color="auto" w:fill="FFFFFF"/>
        </w:rPr>
        <w:t xml:space="preserve"> deaths</w:t>
      </w:r>
      <w:r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217FEC">
        <w:rPr>
          <w:rFonts w:ascii="Calibri" w:hAnsi="Calibri" w:cs="Calibri"/>
          <w:color w:val="000000"/>
          <w:shd w:val="clear" w:color="auto" w:fill="FFFFFF"/>
        </w:rPr>
        <w:t xml:space="preserve">At </w:t>
      </w:r>
      <w:r>
        <w:rPr>
          <w:rFonts w:ascii="Calibri" w:hAnsi="Calibri" w:cs="Calibri"/>
          <w:color w:val="000000"/>
          <w:shd w:val="clear" w:color="auto" w:fill="FFFFFF"/>
        </w:rPr>
        <w:t>ICHT</w:t>
      </w:r>
      <w:r w:rsidR="00217FEC">
        <w:rPr>
          <w:rFonts w:ascii="Calibri" w:hAnsi="Calibri" w:cs="Calibri"/>
          <w:color w:val="000000"/>
          <w:shd w:val="clear" w:color="auto" w:fill="FFFFFF"/>
        </w:rPr>
        <w:t>,</w:t>
      </w:r>
      <w:r w:rsidR="00F34FF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B55307">
        <w:rPr>
          <w:rFonts w:ascii="Calibri" w:hAnsi="Calibri" w:cs="Calibri"/>
          <w:color w:val="000000"/>
          <w:shd w:val="clear" w:color="auto" w:fill="FFFFFF"/>
        </w:rPr>
        <w:t xml:space="preserve">reported </w:t>
      </w:r>
      <w:r>
        <w:rPr>
          <w:rFonts w:ascii="Calibri" w:hAnsi="Calibri" w:cs="Calibri"/>
          <w:color w:val="000000"/>
          <w:shd w:val="clear" w:color="auto" w:fill="FFFFFF"/>
        </w:rPr>
        <w:t>COVID-19</w:t>
      </w:r>
      <w:r w:rsidR="002700D7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admission</w:t>
      </w:r>
      <w:r w:rsidR="0040102E">
        <w:rPr>
          <w:rFonts w:ascii="Calibri" w:hAnsi="Calibri" w:cs="Calibri"/>
          <w:color w:val="000000"/>
          <w:shd w:val="clear" w:color="auto" w:fill="FFFFFF"/>
        </w:rPr>
        <w:t xml:space="preserve"> numbers</w:t>
      </w:r>
      <w:r w:rsidR="00217FE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40102E">
        <w:rPr>
          <w:rFonts w:ascii="Calibri" w:hAnsi="Calibri" w:cs="Calibri"/>
          <w:color w:val="000000"/>
          <w:shd w:val="clear" w:color="auto" w:fill="FFFFFF"/>
        </w:rPr>
        <w:t>returned</w:t>
      </w:r>
      <w:r w:rsidR="007251EB">
        <w:rPr>
          <w:rFonts w:ascii="Calibri" w:hAnsi="Calibri" w:cs="Calibri"/>
          <w:color w:val="000000"/>
          <w:shd w:val="clear" w:color="auto" w:fill="FFFFFF"/>
        </w:rPr>
        <w:t xml:space="preserve"> as part of </w:t>
      </w:r>
      <w:r w:rsidR="0040102E">
        <w:rPr>
          <w:rFonts w:ascii="Calibri" w:hAnsi="Calibri" w:cs="Calibri"/>
          <w:color w:val="000000"/>
          <w:shd w:val="clear" w:color="auto" w:fill="FFFFFF"/>
        </w:rPr>
        <w:t>National Health Service situation report</w:t>
      </w:r>
      <w:r w:rsidR="00663982">
        <w:rPr>
          <w:rFonts w:ascii="Calibri" w:hAnsi="Calibri" w:cs="Calibri"/>
          <w:color w:val="000000"/>
          <w:shd w:val="clear" w:color="auto" w:fill="FFFFFF"/>
        </w:rPr>
        <w:t>ing</w:t>
      </w:r>
      <w:r w:rsidR="0040102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2700D7">
        <w:rPr>
          <w:rFonts w:ascii="Calibri" w:hAnsi="Calibri" w:cs="Calibri"/>
          <w:color w:val="000000"/>
          <w:shd w:val="clear" w:color="auto" w:fill="FFFFFF"/>
        </w:rPr>
        <w:t>remained</w:t>
      </w:r>
      <w:r w:rsidR="00217FEC">
        <w:rPr>
          <w:rFonts w:ascii="Calibri" w:hAnsi="Calibri" w:cs="Calibri"/>
          <w:color w:val="000000"/>
          <w:shd w:val="clear" w:color="auto" w:fill="FFFFFF"/>
        </w:rPr>
        <w:t xml:space="preserve"> high</w:t>
      </w:r>
      <w:r w:rsidR="00622CA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217FEC">
        <w:rPr>
          <w:rFonts w:ascii="Calibri" w:hAnsi="Calibri" w:cs="Calibri"/>
          <w:color w:val="000000"/>
          <w:shd w:val="clear" w:color="auto" w:fill="FFFFFF"/>
        </w:rPr>
        <w:t xml:space="preserve">despite </w:t>
      </w:r>
      <w:r w:rsidR="00F34FFF">
        <w:rPr>
          <w:rFonts w:ascii="Calibri" w:hAnsi="Calibri" w:cs="Calibri"/>
          <w:color w:val="000000"/>
          <w:shd w:val="clear" w:color="auto" w:fill="FFFFFF"/>
        </w:rPr>
        <w:t xml:space="preserve">anecdotal </w:t>
      </w:r>
      <w:r w:rsidR="00217FEC">
        <w:rPr>
          <w:rFonts w:ascii="Calibri" w:hAnsi="Calibri" w:cs="Calibri"/>
          <w:color w:val="000000"/>
          <w:shd w:val="clear" w:color="auto" w:fill="FFFFFF"/>
        </w:rPr>
        <w:t xml:space="preserve">clinical experience </w:t>
      </w:r>
      <w:r w:rsidR="00F34FFF">
        <w:rPr>
          <w:rFonts w:ascii="Calibri" w:hAnsi="Calibri" w:cs="Calibri"/>
          <w:color w:val="000000"/>
          <w:shd w:val="clear" w:color="auto" w:fill="FFFFFF"/>
        </w:rPr>
        <w:t>that</w:t>
      </w:r>
      <w:r w:rsidR="002700D7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217FEC">
        <w:rPr>
          <w:rFonts w:ascii="Calibri" w:hAnsi="Calibri" w:cs="Calibri"/>
          <w:color w:val="000000"/>
          <w:shd w:val="clear" w:color="auto" w:fill="FFFFFF"/>
        </w:rPr>
        <w:t xml:space="preserve">numbers </w:t>
      </w:r>
      <w:r w:rsidR="002700D7">
        <w:rPr>
          <w:rFonts w:ascii="Calibri" w:hAnsi="Calibri" w:cs="Calibri"/>
          <w:color w:val="000000"/>
          <w:shd w:val="clear" w:color="auto" w:fill="FFFFFF"/>
        </w:rPr>
        <w:t xml:space="preserve">of acute admissions </w:t>
      </w:r>
      <w:r w:rsidR="00217FEC">
        <w:rPr>
          <w:rFonts w:ascii="Calibri" w:hAnsi="Calibri" w:cs="Calibri"/>
          <w:color w:val="000000"/>
          <w:shd w:val="clear" w:color="auto" w:fill="FFFFFF"/>
        </w:rPr>
        <w:t>were falling.</w:t>
      </w:r>
      <w:r w:rsidR="002815F9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5600D">
        <w:rPr>
          <w:rFonts w:ascii="Calibri" w:hAnsi="Calibri" w:cs="Calibri"/>
          <w:color w:val="000000"/>
          <w:shd w:val="clear" w:color="auto" w:fill="FFFFFF"/>
        </w:rPr>
        <w:t>This</w:t>
      </w:r>
      <w:r w:rsidR="00F15559">
        <w:rPr>
          <w:rFonts w:ascii="Calibri" w:hAnsi="Calibri" w:cs="Calibri"/>
          <w:color w:val="000000"/>
          <w:shd w:val="clear" w:color="auto" w:fill="FFFFFF"/>
        </w:rPr>
        <w:t xml:space="preserve"> –</w:t>
      </w:r>
      <w:r w:rsidR="00C5600D">
        <w:rPr>
          <w:rFonts w:ascii="Calibri" w:hAnsi="Calibri" w:cs="Calibri"/>
          <w:color w:val="000000"/>
          <w:shd w:val="clear" w:color="auto" w:fill="FFFFFF"/>
        </w:rPr>
        <w:t xml:space="preserve"> and other possible anomalies in national level data available to one of the authors (SJB) </w:t>
      </w:r>
      <w:r w:rsidR="00F15559">
        <w:rPr>
          <w:rFonts w:ascii="Calibri" w:hAnsi="Calibri" w:cs="Calibri"/>
          <w:color w:val="000000"/>
          <w:shd w:val="clear" w:color="auto" w:fill="FFFFFF"/>
        </w:rPr>
        <w:t xml:space="preserve">– </w:t>
      </w:r>
      <w:r w:rsidR="00C5600D">
        <w:rPr>
          <w:rFonts w:ascii="Calibri" w:hAnsi="Calibri" w:cs="Calibri"/>
          <w:color w:val="000000"/>
          <w:shd w:val="clear" w:color="auto" w:fill="FFFFFF"/>
        </w:rPr>
        <w:t>led to an urgent public health request to examine ICHT data in detail</w:t>
      </w:r>
      <w:r w:rsidR="00622CAA">
        <w:rPr>
          <w:rFonts w:ascii="Calibri" w:hAnsi="Calibri" w:cs="Calibri"/>
          <w:color w:val="000000"/>
          <w:shd w:val="clear" w:color="auto" w:fill="FFFFFF"/>
        </w:rPr>
        <w:t>. T</w:t>
      </w:r>
      <w:r w:rsidR="00C5600D">
        <w:rPr>
          <w:rFonts w:ascii="Calibri" w:hAnsi="Calibri" w:cs="Calibri"/>
          <w:color w:val="000000"/>
          <w:shd w:val="clear" w:color="auto" w:fill="FFFFFF"/>
        </w:rPr>
        <w:t>his was approved by the Trust’s Chief Clinical Information Officer and Caldicott Guardian.</w:t>
      </w:r>
    </w:p>
    <w:p w14:paraId="7E787E1E" w14:textId="77777777" w:rsidR="00424179" w:rsidRDefault="00424179" w:rsidP="00CF2643">
      <w:pPr>
        <w:contextualSpacing/>
        <w:jc w:val="both"/>
      </w:pPr>
    </w:p>
    <w:p w14:paraId="0CB5E86F" w14:textId="586E7889" w:rsidR="00FE5AFF" w:rsidRDefault="00961A36" w:rsidP="00CF2643">
      <w:pPr>
        <w:contextualSpacing/>
        <w:jc w:val="both"/>
      </w:pPr>
      <w:r>
        <w:rPr>
          <w:rFonts w:ascii="Calibri" w:hAnsi="Calibri" w:cs="Calibri"/>
          <w:color w:val="000000"/>
          <w:shd w:val="clear" w:color="auto" w:fill="FFFFFF"/>
        </w:rPr>
        <w:t xml:space="preserve">We </w:t>
      </w:r>
      <w:r w:rsidR="0075700F">
        <w:rPr>
          <w:rFonts w:ascii="Calibri" w:hAnsi="Calibri" w:cs="Calibri"/>
          <w:color w:val="000000"/>
          <w:shd w:val="clear" w:color="auto" w:fill="FFFFFF"/>
        </w:rPr>
        <w:t>speculated</w:t>
      </w:r>
      <w:r>
        <w:rPr>
          <w:rFonts w:ascii="Calibri" w:hAnsi="Calibri" w:cs="Calibri"/>
          <w:color w:val="000000"/>
          <w:shd w:val="clear" w:color="auto" w:fill="FFFFFF"/>
        </w:rPr>
        <w:t xml:space="preserve"> that patients with historic, or incidental, infections were being included in daily admission figures</w:t>
      </w:r>
      <w:r w:rsidR="00EE012B">
        <w:rPr>
          <w:rFonts w:ascii="Calibri" w:hAnsi="Calibri" w:cs="Calibri"/>
          <w:color w:val="000000"/>
          <w:shd w:val="clear" w:color="auto" w:fill="FFFFFF"/>
        </w:rPr>
        <w:t xml:space="preserve"> by automated data feeds</w:t>
      </w:r>
      <w:r>
        <w:rPr>
          <w:rFonts w:ascii="Calibri" w:hAnsi="Calibri" w:cs="Calibri"/>
          <w:color w:val="000000"/>
          <w:shd w:val="clear" w:color="auto" w:fill="FFFFFF"/>
        </w:rPr>
        <w:t xml:space="preserve">, with a </w:t>
      </w:r>
      <w:r w:rsidR="00EE012B">
        <w:rPr>
          <w:rFonts w:ascii="Calibri" w:hAnsi="Calibri" w:cs="Calibri"/>
          <w:color w:val="000000"/>
          <w:shd w:val="clear" w:color="auto" w:fill="FFFFFF"/>
        </w:rPr>
        <w:t xml:space="preserve">consequent potential </w:t>
      </w:r>
      <w:r>
        <w:rPr>
          <w:rFonts w:ascii="Calibri" w:hAnsi="Calibri" w:cs="Calibri"/>
          <w:color w:val="000000"/>
          <w:shd w:val="clear" w:color="auto" w:fill="FFFFFF"/>
        </w:rPr>
        <w:t xml:space="preserve">impact on </w:t>
      </w:r>
      <w:r w:rsidR="007251EB">
        <w:rPr>
          <w:rFonts w:ascii="Calibri" w:hAnsi="Calibri" w:cs="Calibri"/>
          <w:color w:val="000000"/>
          <w:shd w:val="clear" w:color="auto" w:fill="FFFFFF"/>
        </w:rPr>
        <w:t xml:space="preserve">modelling </w:t>
      </w:r>
      <w:r>
        <w:rPr>
          <w:rFonts w:ascii="Calibri" w:hAnsi="Calibri" w:cs="Calibri"/>
          <w:color w:val="000000"/>
          <w:shd w:val="clear" w:color="auto" w:fill="FFFFFF"/>
        </w:rPr>
        <w:t>and service planning.</w:t>
      </w:r>
      <w:r>
        <w:t xml:space="preserve"> </w:t>
      </w:r>
      <w:r w:rsidR="007951BF">
        <w:t>We</w:t>
      </w:r>
      <w:r w:rsidR="00424179">
        <w:t xml:space="preserve"> compiled </w:t>
      </w:r>
      <w:r w:rsidR="007951BF">
        <w:t xml:space="preserve">a list </w:t>
      </w:r>
      <w:r w:rsidR="00424179">
        <w:t>of p</w:t>
      </w:r>
      <w:r w:rsidR="005B1791">
        <w:t xml:space="preserve">atients who had been reported </w:t>
      </w:r>
      <w:r w:rsidR="00424179">
        <w:t xml:space="preserve">under </w:t>
      </w:r>
      <w:r w:rsidR="00424179" w:rsidRPr="00424179">
        <w:rPr>
          <w:rFonts w:ascii="Calibri" w:hAnsi="Calibri" w:cs="Calibri"/>
          <w:color w:val="000000"/>
          <w:shd w:val="clear" w:color="auto" w:fill="FFFFFF"/>
        </w:rPr>
        <w:t>‘</w:t>
      </w:r>
      <w:r w:rsidR="00424179" w:rsidRPr="00424179">
        <w:t>Number of confirmed COVID-19 patients admitted with COVID-19 in last 24 hours (total)’</w:t>
      </w:r>
      <w:r w:rsidR="00FE5AFF" w:rsidRPr="00FE5AFF">
        <w:t xml:space="preserve"> </w:t>
      </w:r>
      <w:r w:rsidR="00FE5AFF">
        <w:t>in daily</w:t>
      </w:r>
      <w:r w:rsidR="00B95BE7">
        <w:t xml:space="preserve"> situation reports</w:t>
      </w:r>
      <w:r w:rsidR="00FE5AFF">
        <w:t xml:space="preserve"> </w:t>
      </w:r>
      <w:r w:rsidR="005B1791">
        <w:t xml:space="preserve">over a </w:t>
      </w:r>
      <w:r w:rsidR="000421C3">
        <w:t>6</w:t>
      </w:r>
      <w:r w:rsidR="005B1791">
        <w:t xml:space="preserve">-week period </w:t>
      </w:r>
      <w:r w:rsidR="006B1341">
        <w:t>following the peak of hospital admission (</w:t>
      </w:r>
      <w:r w:rsidR="000421C3">
        <w:t>8</w:t>
      </w:r>
      <w:r w:rsidR="000421C3" w:rsidRPr="000421C3">
        <w:rPr>
          <w:vertAlign w:val="superscript"/>
        </w:rPr>
        <w:t>th</w:t>
      </w:r>
      <w:r w:rsidR="005B1791">
        <w:t xml:space="preserve"> April</w:t>
      </w:r>
      <w:r w:rsidR="00FD72E1">
        <w:t xml:space="preserve"> to 19</w:t>
      </w:r>
      <w:r w:rsidR="00FD72E1" w:rsidRPr="005B1791">
        <w:rPr>
          <w:vertAlign w:val="superscript"/>
        </w:rPr>
        <w:t>th</w:t>
      </w:r>
      <w:r w:rsidR="00FD72E1">
        <w:t xml:space="preserve"> May 2020</w:t>
      </w:r>
      <w:r w:rsidR="006B1341">
        <w:t>)</w:t>
      </w:r>
      <w:r w:rsidR="00424179">
        <w:t xml:space="preserve">. </w:t>
      </w:r>
      <w:r w:rsidR="00AE601A">
        <w:t>This included</w:t>
      </w:r>
      <w:r w:rsidR="00E71DAC">
        <w:t xml:space="preserve"> </w:t>
      </w:r>
      <w:r w:rsidR="00AE601A">
        <w:t>patients who were admitted to hospital with a historic laboratory diagnosis of SARS-CoV-</w:t>
      </w:r>
      <w:r w:rsidR="00F15559">
        <w:t>2</w:t>
      </w:r>
      <w:r w:rsidR="00E71DAC">
        <w:t xml:space="preserve"> </w:t>
      </w:r>
      <w:r w:rsidR="00AE601A">
        <w:t xml:space="preserve">or were diagnosed within 24 hours of their hospital admission. </w:t>
      </w:r>
      <w:r w:rsidR="00BD732F">
        <w:t>E</w:t>
      </w:r>
      <w:r w:rsidR="00424179">
        <w:t xml:space="preserve">lectronic </w:t>
      </w:r>
      <w:r w:rsidR="0036578B">
        <w:t>records</w:t>
      </w:r>
      <w:r w:rsidR="000421C3">
        <w:t xml:space="preserve"> </w:t>
      </w:r>
      <w:r w:rsidR="0036578B">
        <w:t xml:space="preserve">were </w:t>
      </w:r>
      <w:r w:rsidR="006B1341">
        <w:t xml:space="preserve">reviewed </w:t>
      </w:r>
      <w:r w:rsidR="0036578B">
        <w:t>for</w:t>
      </w:r>
      <w:r w:rsidR="005B1791">
        <w:t xml:space="preserve"> date of relevant admission</w:t>
      </w:r>
      <w:r w:rsidR="009A5E96">
        <w:t xml:space="preserve"> and</w:t>
      </w:r>
      <w:r w:rsidR="0036578B">
        <w:t xml:space="preserve"> initial PCR diagnosis</w:t>
      </w:r>
      <w:r w:rsidR="005B1791">
        <w:t xml:space="preserve">. </w:t>
      </w:r>
      <w:r w:rsidR="00FD72E1">
        <w:t>We examined clinical</w:t>
      </w:r>
      <w:r w:rsidR="005B1791">
        <w:t xml:space="preserve"> notes to determine </w:t>
      </w:r>
      <w:r w:rsidR="00FE5AFF">
        <w:t xml:space="preserve">the </w:t>
      </w:r>
      <w:r w:rsidR="0036578B">
        <w:t>reason for admission, which was categorised into</w:t>
      </w:r>
      <w:r w:rsidR="00FE5AFF">
        <w:t xml:space="preserve"> six groups</w:t>
      </w:r>
      <w:r w:rsidR="0036578B">
        <w:t>:</w:t>
      </w:r>
      <w:r w:rsidR="00FE5AFF">
        <w:t xml:space="preserve"> a</w:t>
      </w:r>
      <w:r w:rsidR="0036578B">
        <w:t>cute COVID-19 infection</w:t>
      </w:r>
      <w:r w:rsidR="00B95BE7">
        <w:t xml:space="preserve">; </w:t>
      </w:r>
      <w:r w:rsidR="00F15559">
        <w:t xml:space="preserve">a </w:t>
      </w:r>
      <w:r w:rsidR="00FE5AFF">
        <w:t>c</w:t>
      </w:r>
      <w:r w:rsidR="0036578B">
        <w:t>omplication from previous COVID-19 infection</w:t>
      </w:r>
      <w:r w:rsidR="00FE5AFF">
        <w:t>; i</w:t>
      </w:r>
      <w:r w:rsidR="0036578B">
        <w:t xml:space="preserve">ncidental </w:t>
      </w:r>
      <w:r w:rsidR="00663982">
        <w:t>SARS-CoV-2</w:t>
      </w:r>
      <w:r w:rsidR="0036578B">
        <w:t xml:space="preserve"> diagnosis with unrelated presentation</w:t>
      </w:r>
      <w:r w:rsidR="00FE5AFF">
        <w:t>; p</w:t>
      </w:r>
      <w:r w:rsidR="0036578B">
        <w:t>revious COVID-19 diagnosis not related to current admission</w:t>
      </w:r>
      <w:r w:rsidR="00FE5AFF">
        <w:t>; t</w:t>
      </w:r>
      <w:r w:rsidR="0036578B">
        <w:t>ransfer into trust with pre-existing COVID-19 diagnosis</w:t>
      </w:r>
      <w:r w:rsidR="00FE5AFF">
        <w:t>; and n</w:t>
      </w:r>
      <w:r w:rsidR="0036578B">
        <w:t>o evidence of clinical or PCR diagnosis of COVID-19</w:t>
      </w:r>
      <w:r w:rsidR="00FE5AFF">
        <w:t>.</w:t>
      </w:r>
      <w:r w:rsidR="00B95BE7">
        <w:t xml:space="preserve"> </w:t>
      </w:r>
      <w:r w:rsidR="00FD72E1">
        <w:t>Categorisation</w:t>
      </w:r>
      <w:r w:rsidR="005B1791">
        <w:t xml:space="preserve"> was </w:t>
      </w:r>
      <w:r w:rsidR="00FD72E1">
        <w:t>determined</w:t>
      </w:r>
      <w:r w:rsidR="005B1791">
        <w:t xml:space="preserve"> based on presenting symptoms, imaging, blood results, and the medical notes.</w:t>
      </w:r>
      <w:r w:rsidR="00AC55C4">
        <w:t xml:space="preserve"> </w:t>
      </w:r>
      <w:r w:rsidR="00BD732F">
        <w:t>Fourteen miscategorised</w:t>
      </w:r>
      <w:r w:rsidR="00AC55C4">
        <w:t xml:space="preserve"> patients without</w:t>
      </w:r>
      <w:r w:rsidR="00BD732F">
        <w:t xml:space="preserve"> clinical or laboratory</w:t>
      </w:r>
      <w:r w:rsidR="00AC55C4">
        <w:t xml:space="preserve"> evidence of COVID-19 were removed from the </w:t>
      </w:r>
      <w:r w:rsidR="00FD72E1">
        <w:t>analysis</w:t>
      </w:r>
      <w:r w:rsidR="00AC55C4">
        <w:t>.</w:t>
      </w:r>
      <w:r w:rsidR="009357A2">
        <w:t xml:space="preserve"> </w:t>
      </w:r>
    </w:p>
    <w:p w14:paraId="2E9AF280" w14:textId="77777777" w:rsidR="00FE5AFF" w:rsidRDefault="00FE5AFF" w:rsidP="00CF2643">
      <w:pPr>
        <w:contextualSpacing/>
        <w:jc w:val="both"/>
      </w:pPr>
    </w:p>
    <w:p w14:paraId="74E8DC8E" w14:textId="7BE9F80C" w:rsidR="0036578B" w:rsidRDefault="008D492D" w:rsidP="00CF2643">
      <w:pPr>
        <w:contextualSpacing/>
        <w:jc w:val="both"/>
      </w:pPr>
      <w:r>
        <w:lastRenderedPageBreak/>
        <w:t xml:space="preserve">A total of </w:t>
      </w:r>
      <w:r w:rsidR="00845DF4">
        <w:t>3</w:t>
      </w:r>
      <w:r w:rsidR="00AE601A">
        <w:t>19</w:t>
      </w:r>
      <w:r>
        <w:t xml:space="preserve"> admissions comprising </w:t>
      </w:r>
      <w:r w:rsidR="000421C3">
        <w:t>3</w:t>
      </w:r>
      <w:r w:rsidR="00706A8A">
        <w:t>14</w:t>
      </w:r>
      <w:r w:rsidR="000421C3">
        <w:t xml:space="preserve"> </w:t>
      </w:r>
      <w:r>
        <w:t xml:space="preserve">individual </w:t>
      </w:r>
      <w:r w:rsidR="000421C3">
        <w:t xml:space="preserve">patients </w:t>
      </w:r>
      <w:r>
        <w:t>were included in the analysis</w:t>
      </w:r>
      <w:r w:rsidR="00D85D1F">
        <w:t xml:space="preserve"> (Figure 1)</w:t>
      </w:r>
      <w:r w:rsidR="000421C3">
        <w:t>.</w:t>
      </w:r>
      <w:r w:rsidR="00706A8A">
        <w:t xml:space="preserve"> </w:t>
      </w:r>
      <w:r w:rsidR="00FD72E1">
        <w:t xml:space="preserve">We observed </w:t>
      </w:r>
      <w:r w:rsidR="007B743F">
        <w:t>a</w:t>
      </w:r>
      <w:r w:rsidR="00C4642D">
        <w:t xml:space="preserve"> </w:t>
      </w:r>
      <w:r w:rsidR="007B743F">
        <w:t xml:space="preserve">drop in </w:t>
      </w:r>
      <w:r>
        <w:t xml:space="preserve">reported </w:t>
      </w:r>
      <w:r w:rsidR="007B743F">
        <w:t xml:space="preserve">weekly </w:t>
      </w:r>
      <w:r>
        <w:t xml:space="preserve">COVID-19 </w:t>
      </w:r>
      <w:r w:rsidR="007B743F">
        <w:t>admissions</w:t>
      </w:r>
      <w:r>
        <w:t xml:space="preserve"> from weeks 1 to 3</w:t>
      </w:r>
      <w:r w:rsidR="007B743F">
        <w:t xml:space="preserve">, </w:t>
      </w:r>
      <w:r>
        <w:t>followed by a stabilisation in weeks 4 to 6</w:t>
      </w:r>
      <w:r w:rsidR="007B743F">
        <w:t xml:space="preserve">. </w:t>
      </w:r>
      <w:r>
        <w:t xml:space="preserve">Notably, we observed </w:t>
      </w:r>
      <w:r w:rsidR="004D3701">
        <w:t>a clear change in admission profile over time.</w:t>
      </w:r>
      <w:r w:rsidR="00720CC9" w:rsidRPr="00720CC9">
        <w:t xml:space="preserve"> </w:t>
      </w:r>
      <w:r w:rsidR="00720CC9">
        <w:t>For the week of 13</w:t>
      </w:r>
      <w:r w:rsidR="00720CC9" w:rsidRPr="00720CC9">
        <w:rPr>
          <w:vertAlign w:val="superscript"/>
        </w:rPr>
        <w:t>th</w:t>
      </w:r>
      <w:r w:rsidR="00720CC9">
        <w:t>-19</w:t>
      </w:r>
      <w:r w:rsidR="00720CC9" w:rsidRPr="00720CC9">
        <w:rPr>
          <w:vertAlign w:val="superscript"/>
        </w:rPr>
        <w:t>th</w:t>
      </w:r>
      <w:r w:rsidR="00720CC9">
        <w:t xml:space="preserve"> May, </w:t>
      </w:r>
      <w:r>
        <w:t xml:space="preserve">the </w:t>
      </w:r>
      <w:r w:rsidR="00720CC9">
        <w:t xml:space="preserve">interval between diagnosis and admission </w:t>
      </w:r>
      <w:r>
        <w:t>was</w:t>
      </w:r>
      <w:r w:rsidR="00720CC9">
        <w:t xml:space="preserve"> 37</w:t>
      </w:r>
      <w:r>
        <w:t xml:space="preserve"> days</w:t>
      </w:r>
      <w:r w:rsidR="00720CC9">
        <w:t xml:space="preserve"> (18.5-49.3) days</w:t>
      </w:r>
      <w:r>
        <w:t xml:space="preserve"> (median, IQR)</w:t>
      </w:r>
      <w:r w:rsidR="00720CC9">
        <w:t>, compared with 0 (0-6) days for 8</w:t>
      </w:r>
      <w:r w:rsidR="00720CC9" w:rsidRPr="00720CC9">
        <w:rPr>
          <w:vertAlign w:val="superscript"/>
        </w:rPr>
        <w:t>th</w:t>
      </w:r>
      <w:r w:rsidR="00720CC9">
        <w:t>-14</w:t>
      </w:r>
      <w:r w:rsidR="00720CC9" w:rsidRPr="00720CC9">
        <w:rPr>
          <w:vertAlign w:val="superscript"/>
        </w:rPr>
        <w:t>th</w:t>
      </w:r>
      <w:r w:rsidR="00720CC9">
        <w:t xml:space="preserve"> April. </w:t>
      </w:r>
      <w:r w:rsidR="004D3701">
        <w:t>Th</w:t>
      </w:r>
      <w:r w:rsidR="00720CC9">
        <w:t>is was due to</w:t>
      </w:r>
      <w:r w:rsidR="004D3701">
        <w:t xml:space="preserve"> a </w:t>
      </w:r>
      <w:r w:rsidR="00C4642D">
        <w:t>fall</w:t>
      </w:r>
      <w:r w:rsidR="004D3701">
        <w:t xml:space="preserve"> in the number</w:t>
      </w:r>
      <w:r w:rsidR="00663982">
        <w:t>s</w:t>
      </w:r>
      <w:r w:rsidR="004D3701">
        <w:t xml:space="preserve"> of </w:t>
      </w:r>
      <w:r>
        <w:t xml:space="preserve">true </w:t>
      </w:r>
      <w:r w:rsidR="004D3701">
        <w:t>acute COVID-19 disease</w:t>
      </w:r>
      <w:r w:rsidR="004A78D8">
        <w:t>. However,</w:t>
      </w:r>
      <w:r w:rsidR="004D3701">
        <w:t xml:space="preserve"> </w:t>
      </w:r>
      <w:r>
        <w:t>admission figures appeared to be</w:t>
      </w:r>
      <w:r w:rsidR="004D3701">
        <w:t xml:space="preserve"> </w:t>
      </w:r>
      <w:r w:rsidR="00845DF4">
        <w:t>sustained</w:t>
      </w:r>
      <w:r w:rsidR="004D3701">
        <w:t xml:space="preserve"> by patients</w:t>
      </w:r>
      <w:r>
        <w:t xml:space="preserve"> miscoded as </w:t>
      </w:r>
      <w:r w:rsidRPr="00622CAA">
        <w:t>acute</w:t>
      </w:r>
      <w:r>
        <w:t xml:space="preserve"> COVID-19. These include</w:t>
      </w:r>
      <w:r w:rsidR="0040102E">
        <w:t>d</w:t>
      </w:r>
      <w:r>
        <w:t xml:space="preserve"> patients with a </w:t>
      </w:r>
      <w:r w:rsidR="004D3701">
        <w:t>historic diagnos</w:t>
      </w:r>
      <w:r w:rsidR="00663982">
        <w:t>i</w:t>
      </w:r>
      <w:r w:rsidR="004D3701">
        <w:t>s of COVID-19 readmitted with an unrelated condition</w:t>
      </w:r>
      <w:r>
        <w:t>;</w:t>
      </w:r>
      <w:r w:rsidR="004D3701">
        <w:t xml:space="preserve"> </w:t>
      </w:r>
      <w:r>
        <w:t xml:space="preserve">those </w:t>
      </w:r>
      <w:r w:rsidR="004D3701">
        <w:t xml:space="preserve">admitted with complications of COVID-19 </w:t>
      </w:r>
      <w:r>
        <w:t xml:space="preserve">(e.g. </w:t>
      </w:r>
      <w:r w:rsidR="004D3701">
        <w:t xml:space="preserve">venous </w:t>
      </w:r>
      <w:r w:rsidR="00B95BE7">
        <w:t>thromboembolism, deconditioning</w:t>
      </w:r>
      <w:r>
        <w:t>);</w:t>
      </w:r>
      <w:r w:rsidR="004D3701">
        <w:t xml:space="preserve"> repatriations or </w:t>
      </w:r>
      <w:r>
        <w:t xml:space="preserve">inter-hospital </w:t>
      </w:r>
      <w:r w:rsidR="004D3701">
        <w:t>transfers</w:t>
      </w:r>
      <w:r w:rsidR="00663982">
        <w:t>;</w:t>
      </w:r>
      <w:r w:rsidR="004D3701">
        <w:t xml:space="preserve"> or asymptomatic patients </w:t>
      </w:r>
      <w:r w:rsidR="00143CEC">
        <w:t xml:space="preserve">with an incidental finding of SARS-CoV-2 </w:t>
      </w:r>
      <w:r>
        <w:t xml:space="preserve">on </w:t>
      </w:r>
      <w:r w:rsidR="00143CEC">
        <w:t>naso-pharyngeal screening.</w:t>
      </w:r>
    </w:p>
    <w:p w14:paraId="47802ECA" w14:textId="19624EF8" w:rsidR="00F54C43" w:rsidRDefault="00F54C43" w:rsidP="00CF2643">
      <w:pPr>
        <w:contextualSpacing/>
        <w:jc w:val="both"/>
      </w:pPr>
    </w:p>
    <w:p w14:paraId="7FFD3C3E" w14:textId="7F781BA2" w:rsidR="00B10ED4" w:rsidRDefault="00B10ED4" w:rsidP="00B10ED4">
      <w:pPr>
        <w:contextualSpacing/>
        <w:jc w:val="both"/>
        <w:rPr>
          <w:u w:val="single"/>
        </w:rPr>
      </w:pPr>
      <w:r w:rsidRPr="005108C6">
        <w:rPr>
          <w:u w:val="single"/>
        </w:rPr>
        <w:t>Figure 1</w:t>
      </w:r>
      <w:r w:rsidR="00615837">
        <w:rPr>
          <w:u w:val="single"/>
        </w:rPr>
        <w:t>: Diagnostic categories of COVID-19 admissions to ICHT from 8</w:t>
      </w:r>
      <w:r w:rsidR="00615837" w:rsidRPr="00615837">
        <w:rPr>
          <w:u w:val="single"/>
          <w:vertAlign w:val="superscript"/>
        </w:rPr>
        <w:t>th</w:t>
      </w:r>
      <w:r w:rsidR="00615837">
        <w:rPr>
          <w:u w:val="single"/>
        </w:rPr>
        <w:t xml:space="preserve"> April – 19</w:t>
      </w:r>
      <w:r w:rsidR="00615837" w:rsidRPr="00615837">
        <w:rPr>
          <w:u w:val="single"/>
          <w:vertAlign w:val="superscript"/>
        </w:rPr>
        <w:t>th</w:t>
      </w:r>
      <w:r w:rsidR="00615837">
        <w:rPr>
          <w:u w:val="single"/>
        </w:rPr>
        <w:t xml:space="preserve"> May 2020</w:t>
      </w:r>
    </w:p>
    <w:p w14:paraId="30FD1501" w14:textId="77777777" w:rsidR="00B10ED4" w:rsidRDefault="00B10ED4" w:rsidP="00B10ED4">
      <w:pPr>
        <w:contextualSpacing/>
        <w:jc w:val="both"/>
      </w:pPr>
      <w:r>
        <w:rPr>
          <w:noProof/>
        </w:rPr>
        <w:drawing>
          <wp:inline distT="0" distB="0" distL="0" distR="0" wp14:anchorId="781B9237" wp14:editId="6B5AA265">
            <wp:extent cx="5689600" cy="3810000"/>
            <wp:effectExtent l="0" t="0" r="635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8D3A352-29C0-4FDB-B508-842972741B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55EBD57" w14:textId="77777777" w:rsidR="00B10ED4" w:rsidRDefault="00B10ED4" w:rsidP="00CF2643">
      <w:pPr>
        <w:contextualSpacing/>
        <w:jc w:val="both"/>
      </w:pPr>
    </w:p>
    <w:p w14:paraId="2CEB730F" w14:textId="1C236823" w:rsidR="006F0BDF" w:rsidRDefault="006F0BDF" w:rsidP="00CF2643">
      <w:pPr>
        <w:contextualSpacing/>
        <w:jc w:val="both"/>
      </w:pPr>
      <w:r>
        <w:t xml:space="preserve">The </w:t>
      </w:r>
      <w:r w:rsidR="0018747B">
        <w:t>majority</w:t>
      </w:r>
      <w:r>
        <w:t xml:space="preserve"> of readmissions with complications had ongoing respiratory symptoms</w:t>
      </w:r>
      <w:r w:rsidR="0018747B">
        <w:t xml:space="preserve"> in the absence of proven venous thromboembolism</w:t>
      </w:r>
      <w:r>
        <w:t xml:space="preserve"> (16/31; 52%)</w:t>
      </w:r>
      <w:r w:rsidR="00641D94">
        <w:t>.</w:t>
      </w:r>
      <w:r w:rsidRPr="006F0BDF">
        <w:t xml:space="preserve"> </w:t>
      </w:r>
      <w:r w:rsidR="00641D94">
        <w:t xml:space="preserve">This is similar to a recent letter in this Journal looking at readmissions </w:t>
      </w:r>
      <w:r w:rsidR="0018747B">
        <w:t>at a</w:t>
      </w:r>
      <w:r w:rsidR="00641D94">
        <w:t xml:space="preserve"> London</w:t>
      </w:r>
      <w:r w:rsidR="0018747B">
        <w:t xml:space="preserve"> trust</w:t>
      </w:r>
      <w:r w:rsidR="00895928" w:rsidRPr="00895928">
        <w:rPr>
          <w:vertAlign w:val="superscript"/>
        </w:rPr>
        <w:t>3</w:t>
      </w:r>
      <w:r w:rsidR="00641D94">
        <w:t xml:space="preserve"> and </w:t>
      </w:r>
      <w:r>
        <w:t>suggests that patients were being discharged optimistically from their primary admission</w:t>
      </w:r>
      <w:r w:rsidR="00641D94">
        <w:t>. Deconditioning in the elderly was the second commonest complication (8/31; 26%) and</w:t>
      </w:r>
      <w:r w:rsidR="0018747B">
        <w:t xml:space="preserve"> suggests</w:t>
      </w:r>
      <w:r w:rsidR="00641D94">
        <w:t xml:space="preserve"> that clinical and social care post-discharge was not able to meet expectations. </w:t>
      </w:r>
      <w:r w:rsidR="009A5E96">
        <w:t>Interest</w:t>
      </w:r>
      <w:r w:rsidR="003E2D8D">
        <w:t>ingly, t</w:t>
      </w:r>
      <w:r w:rsidR="00706A8A">
        <w:t>he number of incidental new diagnoses persist</w:t>
      </w:r>
      <w:r w:rsidR="00CF2643">
        <w:t>ed</w:t>
      </w:r>
      <w:r w:rsidR="00706A8A">
        <w:t xml:space="preserve"> beyond </w:t>
      </w:r>
      <w:r w:rsidR="003E2D8D">
        <w:t xml:space="preserve">the drop in acute admissions. This </w:t>
      </w:r>
      <w:r w:rsidR="00CF2643">
        <w:t>is likely due to</w:t>
      </w:r>
      <w:r w:rsidR="003E2D8D">
        <w:t xml:space="preserve"> an increase in screening</w:t>
      </w:r>
      <w:r w:rsidR="00C5600D">
        <w:t xml:space="preserve"> of asymptomatic patients</w:t>
      </w:r>
      <w:r w:rsidR="003E2D8D">
        <w:t>, or a reflection of prolonged PCR positivity following infection.</w:t>
      </w:r>
    </w:p>
    <w:p w14:paraId="10622756" w14:textId="77777777" w:rsidR="006F0BDF" w:rsidRDefault="006F0BDF" w:rsidP="00CF2643">
      <w:pPr>
        <w:contextualSpacing/>
        <w:jc w:val="both"/>
      </w:pPr>
    </w:p>
    <w:p w14:paraId="3B3B9AE8" w14:textId="5FA9CE74" w:rsidR="005108C6" w:rsidRPr="00DF57DD" w:rsidRDefault="00A40A11" w:rsidP="00CF2643">
      <w:pPr>
        <w:contextualSpacing/>
        <w:jc w:val="both"/>
      </w:pPr>
      <w:r>
        <w:t xml:space="preserve">We were concerned that some patients diagnosed over 24 hours after their admission would be missed. Indeed, </w:t>
      </w:r>
      <w:r w:rsidR="002815F9">
        <w:t xml:space="preserve">on examination of additional trust data, </w:t>
      </w:r>
      <w:r>
        <w:t xml:space="preserve">31 patients over the 6-week period were diagnosed </w:t>
      </w:r>
      <w:r w:rsidR="002815F9">
        <w:t>beyond 24 hours</w:t>
      </w:r>
      <w:r>
        <w:t xml:space="preserve"> and would not have appeared in our dataset. We expect most of these unaccounted patients to be acute diagnoses in April, which would amplify our findings rather than contradict them.</w:t>
      </w:r>
    </w:p>
    <w:p w14:paraId="5898F846" w14:textId="7F798691" w:rsidR="00F54C43" w:rsidRDefault="00F54C43" w:rsidP="00CF2643">
      <w:pPr>
        <w:contextualSpacing/>
        <w:jc w:val="both"/>
      </w:pPr>
    </w:p>
    <w:p w14:paraId="742C7384" w14:textId="3BBF9261" w:rsidR="00F54C43" w:rsidRDefault="001219A4" w:rsidP="00CF2643">
      <w:pPr>
        <w:contextualSpacing/>
        <w:jc w:val="both"/>
      </w:pPr>
      <w:r>
        <w:t>The</w:t>
      </w:r>
      <w:r w:rsidR="00540ED3">
        <w:t>se findings raise</w:t>
      </w:r>
      <w:r>
        <w:t xml:space="preserve"> two key points. Firstly,</w:t>
      </w:r>
      <w:r w:rsidR="00456640">
        <w:t xml:space="preserve"> </w:t>
      </w:r>
      <w:r w:rsidR="00540ED3">
        <w:t>the</w:t>
      </w:r>
      <w:r w:rsidR="00456640">
        <w:t xml:space="preserve"> </w:t>
      </w:r>
      <w:r w:rsidR="00EE012B">
        <w:t xml:space="preserve">potential </w:t>
      </w:r>
      <w:r w:rsidR="00456640">
        <w:t xml:space="preserve">impact on </w:t>
      </w:r>
      <w:r w:rsidR="00961A36">
        <w:t xml:space="preserve">epidemiology and disease </w:t>
      </w:r>
      <w:r w:rsidR="00456640">
        <w:t>modelling</w:t>
      </w:r>
      <w:r w:rsidR="00F07BA5">
        <w:t>.</w:t>
      </w:r>
      <w:r w:rsidR="00EE012B">
        <w:t xml:space="preserve"> </w:t>
      </w:r>
      <w:r w:rsidR="00F07BA5">
        <w:t>M</w:t>
      </w:r>
      <w:r>
        <w:t xml:space="preserve">iscategorisation of COVID-19 admission profiles may </w:t>
      </w:r>
      <w:r w:rsidR="00961A36">
        <w:t>cause</w:t>
      </w:r>
      <w:r>
        <w:t xml:space="preserve"> </w:t>
      </w:r>
      <w:r w:rsidR="00961A36">
        <w:t xml:space="preserve">an overestimate of </w:t>
      </w:r>
      <w:r>
        <w:t>acute disease and</w:t>
      </w:r>
      <w:r w:rsidR="00697632">
        <w:t xml:space="preserve"> </w:t>
      </w:r>
      <w:r w:rsidR="00F07BA5">
        <w:t xml:space="preserve">estimates of </w:t>
      </w:r>
      <w:r w:rsidR="00E71DAC">
        <w:t>community transmission</w:t>
      </w:r>
      <w:r>
        <w:t xml:space="preserve">. The </w:t>
      </w:r>
      <w:r w:rsidR="00E71DAC">
        <w:t>daily report studied</w:t>
      </w:r>
      <w:r>
        <w:t xml:space="preserve"> here was created by semi-automated data processing. </w:t>
      </w:r>
      <w:r w:rsidR="00961A36">
        <w:t xml:space="preserve">As the epidemic proceeded, the original logic underpinning the design of data systems became detached from subsequent requirements and expectations as central data requests </w:t>
      </w:r>
      <w:r w:rsidR="0075700F">
        <w:t>developed and strategies around testing evolved</w:t>
      </w:r>
      <w:r w:rsidR="00961A36">
        <w:t xml:space="preserve">. </w:t>
      </w:r>
      <w:r>
        <w:t>Trusts with higher levels of digital functioning may be more vulnerable to unidentified errors in coding, compared with smaller or less digitally advanced institutions.</w:t>
      </w:r>
      <w:r w:rsidR="00456640">
        <w:t xml:space="preserve"> </w:t>
      </w:r>
      <w:r w:rsidR="00CF2643">
        <w:t>Policymakers</w:t>
      </w:r>
      <w:r w:rsidR="00456640">
        <w:t xml:space="preserve"> must </w:t>
      </w:r>
      <w:r w:rsidR="00961A36">
        <w:t xml:space="preserve">repeatedly </w:t>
      </w:r>
      <w:r w:rsidR="00456640">
        <w:t>ensure clarity in definitions and guidance documents</w:t>
      </w:r>
      <w:r w:rsidR="00CF2643">
        <w:t xml:space="preserve"> and</w:t>
      </w:r>
      <w:r w:rsidR="00456640">
        <w:t xml:space="preserve"> trusts must </w:t>
      </w:r>
      <w:r w:rsidR="00C279AB">
        <w:t>regularly review</w:t>
      </w:r>
      <w:r w:rsidR="00456640">
        <w:t xml:space="preserve"> data collection </w:t>
      </w:r>
      <w:r w:rsidR="00C279AB">
        <w:t>routines</w:t>
      </w:r>
      <w:r w:rsidR="009A5E96">
        <w:t>.</w:t>
      </w:r>
    </w:p>
    <w:p w14:paraId="496BF4E0" w14:textId="4D9E1655" w:rsidR="001219A4" w:rsidRDefault="001219A4" w:rsidP="00CF2643">
      <w:pPr>
        <w:contextualSpacing/>
        <w:jc w:val="both"/>
      </w:pPr>
    </w:p>
    <w:p w14:paraId="472DCDD9" w14:textId="6E7C907A" w:rsidR="00F15559" w:rsidRDefault="001219A4" w:rsidP="00CF2643">
      <w:pPr>
        <w:contextualSpacing/>
        <w:jc w:val="both"/>
      </w:pPr>
      <w:r>
        <w:t xml:space="preserve">Secondly, </w:t>
      </w:r>
      <w:r w:rsidR="00456640">
        <w:t>the</w:t>
      </w:r>
      <w:r w:rsidR="00E71DAC">
        <w:t>se</w:t>
      </w:r>
      <w:r w:rsidR="00456640">
        <w:t xml:space="preserve"> </w:t>
      </w:r>
      <w:r w:rsidR="00E71DAC">
        <w:t>data are relevant to planning reconfigured services,</w:t>
      </w:r>
      <w:r w:rsidR="009A5E96">
        <w:t xml:space="preserve"> suggest</w:t>
      </w:r>
      <w:r w:rsidR="00E71DAC">
        <w:t xml:space="preserve">ing </w:t>
      </w:r>
      <w:r w:rsidR="009A5E96">
        <w:t xml:space="preserve">that even as acute COVID-19 admissions fall, there will be a constant flow of patients with previous diagnoses. </w:t>
      </w:r>
      <w:r w:rsidR="00456640">
        <w:t>Trusts must urgently develop clear pathways for readmissions and incidental diagnoses</w:t>
      </w:r>
      <w:r w:rsidR="00540ED3">
        <w:t xml:space="preserve"> a</w:t>
      </w:r>
      <w:r w:rsidR="009A5E96">
        <w:t>s</w:t>
      </w:r>
      <w:r w:rsidR="00540ED3">
        <w:t xml:space="preserve"> non-COVID-19 services are being reintroduced nationwide</w:t>
      </w:r>
      <w:r w:rsidR="00456640">
        <w:t xml:space="preserve">. </w:t>
      </w:r>
      <w:r w:rsidR="009A5E96">
        <w:t>Key</w:t>
      </w:r>
      <w:r w:rsidR="00456640">
        <w:t xml:space="preserve"> to this will be research </w:t>
      </w:r>
      <w:r w:rsidR="00115759">
        <w:t xml:space="preserve">on </w:t>
      </w:r>
      <w:r w:rsidR="00456640">
        <w:t>length of infectivity</w:t>
      </w:r>
      <w:r w:rsidR="00115759">
        <w:t>, given most patients with a previous diagnosis of COVID are now presenting over a month following their initially diagnosis, and</w:t>
      </w:r>
      <w:r w:rsidR="00540ED3">
        <w:t xml:space="preserve"> </w:t>
      </w:r>
      <w:r w:rsidR="009A5E96">
        <w:t xml:space="preserve">the risk of </w:t>
      </w:r>
      <w:r w:rsidR="00540ED3">
        <w:t>re-infection</w:t>
      </w:r>
      <w:r w:rsidR="00115759">
        <w:t>.</w:t>
      </w:r>
    </w:p>
    <w:p w14:paraId="05F566CA" w14:textId="77777777" w:rsidR="00622CAA" w:rsidRDefault="00622CAA" w:rsidP="00CF2643">
      <w:pPr>
        <w:contextualSpacing/>
        <w:jc w:val="both"/>
      </w:pPr>
    </w:p>
    <w:p w14:paraId="11A71BAF" w14:textId="6BA508D6" w:rsidR="00BD732F" w:rsidRPr="004A78D8" w:rsidRDefault="00BD732F" w:rsidP="00CF2643">
      <w:pPr>
        <w:jc w:val="both"/>
        <w:rPr>
          <w:u w:val="single"/>
        </w:rPr>
      </w:pPr>
      <w:r w:rsidRPr="004A78D8">
        <w:rPr>
          <w:u w:val="single"/>
        </w:rPr>
        <w:t>References</w:t>
      </w:r>
    </w:p>
    <w:p w14:paraId="620B767F" w14:textId="25483CB9" w:rsidR="00BB0B8C" w:rsidRDefault="00895928" w:rsidP="00895928">
      <w:pPr>
        <w:jc w:val="both"/>
      </w:pPr>
      <w:r>
        <w:t xml:space="preserve">1. </w:t>
      </w:r>
      <w:r w:rsidR="00BB0B8C">
        <w:t>Loke YK and Heneghan C. 2020. Why no-one can ever recover from COVID-19 in England – a statistical anomaly. Centre for Evidence Based Medicine. Accessed 18</w:t>
      </w:r>
      <w:r w:rsidR="00BB0B8C" w:rsidRPr="00895928">
        <w:rPr>
          <w:vertAlign w:val="superscript"/>
        </w:rPr>
        <w:t>th</w:t>
      </w:r>
      <w:r w:rsidR="00BB0B8C">
        <w:t xml:space="preserve"> July 2020. Available at </w:t>
      </w:r>
      <w:r w:rsidR="00BB0B8C" w:rsidRPr="00622CAA">
        <w:t>https://www.cebm.net/covid-19/why-no-one-can-ever-recover-from-covid-19-in-england-a-statistical-anomaly/</w:t>
      </w:r>
    </w:p>
    <w:p w14:paraId="3550F7C6" w14:textId="5AFD73E9" w:rsidR="004A78D8" w:rsidRDefault="00895928" w:rsidP="00001683">
      <w:r>
        <w:t xml:space="preserve">2. </w:t>
      </w:r>
      <w:r w:rsidR="004A78D8">
        <w:t>Public Health England. Coronavirus (COVID-19) in the UK. Data dashboard. Accessed 2</w:t>
      </w:r>
      <w:r w:rsidR="004A78D8" w:rsidRPr="004A78D8">
        <w:rPr>
          <w:vertAlign w:val="superscript"/>
        </w:rPr>
        <w:t>nd</w:t>
      </w:r>
      <w:r w:rsidR="004A78D8">
        <w:t xml:space="preserve"> June 2020. Available at </w:t>
      </w:r>
      <w:r w:rsidR="004A78D8" w:rsidRPr="00622CAA">
        <w:t>https://coronavirus.data.gov.uk/</w:t>
      </w:r>
    </w:p>
    <w:p w14:paraId="62F4FBBD" w14:textId="1A5422BA" w:rsidR="00F15559" w:rsidRDefault="00895928" w:rsidP="00622CAA">
      <w:r>
        <w:t xml:space="preserve">3. </w:t>
      </w:r>
      <w:r w:rsidR="00BB0B8C">
        <w:t>Rokadiya</w:t>
      </w:r>
      <w:r>
        <w:t xml:space="preserve"> S</w:t>
      </w:r>
      <w:r w:rsidR="00BB0B8C">
        <w:t>, Gil</w:t>
      </w:r>
      <w:r>
        <w:t xml:space="preserve"> E</w:t>
      </w:r>
      <w:r w:rsidR="00BB0B8C">
        <w:t>, Stubbs</w:t>
      </w:r>
      <w:r>
        <w:t xml:space="preserve"> C</w:t>
      </w:r>
      <w:r w:rsidR="00BB0B8C">
        <w:t>,</w:t>
      </w:r>
      <w:r>
        <w:t xml:space="preserve"> </w:t>
      </w:r>
      <w:r w:rsidR="00BB0B8C">
        <w:t>Bell</w:t>
      </w:r>
      <w:r>
        <w:t xml:space="preserve"> D</w:t>
      </w:r>
      <w:r w:rsidR="00BB0B8C">
        <w:t xml:space="preserve"> and Herbert</w:t>
      </w:r>
      <w:r>
        <w:t xml:space="preserve"> R</w:t>
      </w:r>
      <w:r w:rsidR="00BB0B8C">
        <w:t>. 2020. COVID-19: Outcomes of patients with confirmed COVID-19 re-admitted to hospital [Letter to the editor]. Journal of Infection. DOI: 10.1016/j.jinf.2020.07.007</w:t>
      </w:r>
    </w:p>
    <w:p w14:paraId="6D784A50" w14:textId="77777777" w:rsidR="00F15559" w:rsidRDefault="00F15559" w:rsidP="00CF2643">
      <w:pPr>
        <w:jc w:val="both"/>
      </w:pPr>
    </w:p>
    <w:sectPr w:rsidR="00F15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344C3"/>
    <w:multiLevelType w:val="hybridMultilevel"/>
    <w:tmpl w:val="57361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50767"/>
    <w:multiLevelType w:val="hybridMultilevel"/>
    <w:tmpl w:val="3702A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2EDE"/>
    <w:multiLevelType w:val="hybridMultilevel"/>
    <w:tmpl w:val="C128B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B388D"/>
    <w:multiLevelType w:val="hybridMultilevel"/>
    <w:tmpl w:val="4F02605A"/>
    <w:lvl w:ilvl="0" w:tplc="10086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66512"/>
    <w:multiLevelType w:val="hybridMultilevel"/>
    <w:tmpl w:val="5D1A37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79"/>
    <w:rsid w:val="00001683"/>
    <w:rsid w:val="0002013C"/>
    <w:rsid w:val="00037FC3"/>
    <w:rsid w:val="000421C3"/>
    <w:rsid w:val="000A073A"/>
    <w:rsid w:val="000B1A32"/>
    <w:rsid w:val="000D17DE"/>
    <w:rsid w:val="000D79BB"/>
    <w:rsid w:val="00115759"/>
    <w:rsid w:val="001219A4"/>
    <w:rsid w:val="00142F1F"/>
    <w:rsid w:val="00143CEC"/>
    <w:rsid w:val="0018747B"/>
    <w:rsid w:val="00217FEC"/>
    <w:rsid w:val="00246D9F"/>
    <w:rsid w:val="002700D7"/>
    <w:rsid w:val="002815F9"/>
    <w:rsid w:val="0029190B"/>
    <w:rsid w:val="002A6CCE"/>
    <w:rsid w:val="00353050"/>
    <w:rsid w:val="0036578B"/>
    <w:rsid w:val="00374D72"/>
    <w:rsid w:val="003B59F7"/>
    <w:rsid w:val="003E2D8D"/>
    <w:rsid w:val="0040102E"/>
    <w:rsid w:val="0042338E"/>
    <w:rsid w:val="00424179"/>
    <w:rsid w:val="004407E9"/>
    <w:rsid w:val="00441412"/>
    <w:rsid w:val="00456640"/>
    <w:rsid w:val="00461585"/>
    <w:rsid w:val="0049289E"/>
    <w:rsid w:val="004A78D8"/>
    <w:rsid w:val="004C4A70"/>
    <w:rsid w:val="004D3701"/>
    <w:rsid w:val="004D679E"/>
    <w:rsid w:val="004F4D86"/>
    <w:rsid w:val="005108C6"/>
    <w:rsid w:val="00540ED3"/>
    <w:rsid w:val="00550AA5"/>
    <w:rsid w:val="005B1791"/>
    <w:rsid w:val="00615837"/>
    <w:rsid w:val="00622CAA"/>
    <w:rsid w:val="00641D94"/>
    <w:rsid w:val="00663982"/>
    <w:rsid w:val="00697632"/>
    <w:rsid w:val="006B1341"/>
    <w:rsid w:val="006F0BDF"/>
    <w:rsid w:val="00706A8A"/>
    <w:rsid w:val="00720CC9"/>
    <w:rsid w:val="007251EB"/>
    <w:rsid w:val="0074502D"/>
    <w:rsid w:val="0075700F"/>
    <w:rsid w:val="0078664F"/>
    <w:rsid w:val="007930A2"/>
    <w:rsid w:val="007951BF"/>
    <w:rsid w:val="007B2586"/>
    <w:rsid w:val="007B2EE6"/>
    <w:rsid w:val="007B743F"/>
    <w:rsid w:val="007E1A5A"/>
    <w:rsid w:val="00806B57"/>
    <w:rsid w:val="00813D07"/>
    <w:rsid w:val="00845DF4"/>
    <w:rsid w:val="008954BA"/>
    <w:rsid w:val="00895928"/>
    <w:rsid w:val="008C72CE"/>
    <w:rsid w:val="008D492D"/>
    <w:rsid w:val="00923A9E"/>
    <w:rsid w:val="009357A2"/>
    <w:rsid w:val="00961A36"/>
    <w:rsid w:val="009A5E96"/>
    <w:rsid w:val="00A40A11"/>
    <w:rsid w:val="00A419F5"/>
    <w:rsid w:val="00A64B19"/>
    <w:rsid w:val="00A830A9"/>
    <w:rsid w:val="00AC55C4"/>
    <w:rsid w:val="00AE601A"/>
    <w:rsid w:val="00B10ED4"/>
    <w:rsid w:val="00B27925"/>
    <w:rsid w:val="00B55307"/>
    <w:rsid w:val="00B95BE7"/>
    <w:rsid w:val="00BB0B8C"/>
    <w:rsid w:val="00BD732F"/>
    <w:rsid w:val="00BE759F"/>
    <w:rsid w:val="00C279AB"/>
    <w:rsid w:val="00C4642D"/>
    <w:rsid w:val="00C5600D"/>
    <w:rsid w:val="00CB5928"/>
    <w:rsid w:val="00CD38FA"/>
    <w:rsid w:val="00CF2643"/>
    <w:rsid w:val="00CF3B1E"/>
    <w:rsid w:val="00D04D2A"/>
    <w:rsid w:val="00D05C2A"/>
    <w:rsid w:val="00D076A9"/>
    <w:rsid w:val="00D15B8D"/>
    <w:rsid w:val="00D85D1F"/>
    <w:rsid w:val="00DF57DD"/>
    <w:rsid w:val="00E07AF0"/>
    <w:rsid w:val="00E66316"/>
    <w:rsid w:val="00E71DAC"/>
    <w:rsid w:val="00E720D3"/>
    <w:rsid w:val="00E9295A"/>
    <w:rsid w:val="00ED1AB2"/>
    <w:rsid w:val="00EE012B"/>
    <w:rsid w:val="00F0399C"/>
    <w:rsid w:val="00F07BA5"/>
    <w:rsid w:val="00F15559"/>
    <w:rsid w:val="00F34FFF"/>
    <w:rsid w:val="00F36851"/>
    <w:rsid w:val="00F40B55"/>
    <w:rsid w:val="00F54C43"/>
    <w:rsid w:val="00FD72E1"/>
    <w:rsid w:val="00FE5AFF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E7B7"/>
  <w15:chartTrackingRefBased/>
  <w15:docId w15:val="{4126B74C-BB8D-4B8B-9947-F9ABDE0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7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8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4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F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F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F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07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_bar\Desktop\Sitrep%20report\Covid%20pts%20diagnosed%20within%2024hrs%20of%20admission%20final%20datas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'Stacked columns wo non-covid'!$A$2</c:f>
              <c:strCache>
                <c:ptCount val="1"/>
                <c:pt idx="0">
                  <c:v>Acute COVID infection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'Stacked columns wo non-covid'!$B$1:$G$1</c:f>
              <c:strCache>
                <c:ptCount val="6"/>
                <c:pt idx="0">
                  <c:v>8-14th April</c:v>
                </c:pt>
                <c:pt idx="1">
                  <c:v>15th-21st April</c:v>
                </c:pt>
                <c:pt idx="2">
                  <c:v>22nd-28th April</c:v>
                </c:pt>
                <c:pt idx="3">
                  <c:v>29th April-5th May</c:v>
                </c:pt>
                <c:pt idx="4">
                  <c:v>6-12th May</c:v>
                </c:pt>
                <c:pt idx="5">
                  <c:v>13-19th May</c:v>
                </c:pt>
              </c:strCache>
            </c:strRef>
          </c:cat>
          <c:val>
            <c:numRef>
              <c:f>'Stacked columns wo non-covid'!$B$2:$G$2</c:f>
              <c:numCache>
                <c:formatCode>General</c:formatCode>
                <c:ptCount val="6"/>
                <c:pt idx="0">
                  <c:v>68</c:v>
                </c:pt>
                <c:pt idx="1">
                  <c:v>30</c:v>
                </c:pt>
                <c:pt idx="2">
                  <c:v>15</c:v>
                </c:pt>
                <c:pt idx="3">
                  <c:v>9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15-4175-B1DF-027029944476}"/>
            </c:ext>
          </c:extLst>
        </c:ser>
        <c:ser>
          <c:idx val="1"/>
          <c:order val="1"/>
          <c:tx>
            <c:strRef>
              <c:f>'Stacked columns wo non-covid'!$A$3</c:f>
              <c:strCache>
                <c:ptCount val="1"/>
                <c:pt idx="0">
                  <c:v>Complication of previous COVID infection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'Stacked columns wo non-covid'!$B$1:$G$1</c:f>
              <c:strCache>
                <c:ptCount val="6"/>
                <c:pt idx="0">
                  <c:v>8-14th April</c:v>
                </c:pt>
                <c:pt idx="1">
                  <c:v>15th-21st April</c:v>
                </c:pt>
                <c:pt idx="2">
                  <c:v>22nd-28th April</c:v>
                </c:pt>
                <c:pt idx="3">
                  <c:v>29th April-5th May</c:v>
                </c:pt>
                <c:pt idx="4">
                  <c:v>6-12th May</c:v>
                </c:pt>
                <c:pt idx="5">
                  <c:v>13-19th May</c:v>
                </c:pt>
              </c:strCache>
            </c:strRef>
          </c:cat>
          <c:val>
            <c:numRef>
              <c:f>'Stacked columns wo non-covid'!$B$3:$G$3</c:f>
              <c:numCache>
                <c:formatCode>General</c:formatCode>
                <c:ptCount val="6"/>
                <c:pt idx="0">
                  <c:v>10</c:v>
                </c:pt>
                <c:pt idx="1">
                  <c:v>6</c:v>
                </c:pt>
                <c:pt idx="2">
                  <c:v>7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15-4175-B1DF-027029944476}"/>
            </c:ext>
          </c:extLst>
        </c:ser>
        <c:ser>
          <c:idx val="2"/>
          <c:order val="2"/>
          <c:tx>
            <c:strRef>
              <c:f>'Stacked columns wo non-covid'!$A$4</c:f>
              <c:strCache>
                <c:ptCount val="1"/>
                <c:pt idx="0">
                  <c:v>Incidental diagnosis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'Stacked columns wo non-covid'!$B$1:$G$1</c:f>
              <c:strCache>
                <c:ptCount val="6"/>
                <c:pt idx="0">
                  <c:v>8-14th April</c:v>
                </c:pt>
                <c:pt idx="1">
                  <c:v>15th-21st April</c:v>
                </c:pt>
                <c:pt idx="2">
                  <c:v>22nd-28th April</c:v>
                </c:pt>
                <c:pt idx="3">
                  <c:v>29th April-5th May</c:v>
                </c:pt>
                <c:pt idx="4">
                  <c:v>6-12th May</c:v>
                </c:pt>
                <c:pt idx="5">
                  <c:v>13-19th May</c:v>
                </c:pt>
              </c:strCache>
            </c:strRef>
          </c:cat>
          <c:val>
            <c:numRef>
              <c:f>'Stacked columns wo non-covid'!$B$4:$G$4</c:f>
              <c:numCache>
                <c:formatCode>General</c:formatCode>
                <c:ptCount val="6"/>
                <c:pt idx="0">
                  <c:v>7</c:v>
                </c:pt>
                <c:pt idx="1">
                  <c:v>2</c:v>
                </c:pt>
                <c:pt idx="2">
                  <c:v>3</c:v>
                </c:pt>
                <c:pt idx="3">
                  <c:v>11</c:v>
                </c:pt>
                <c:pt idx="4">
                  <c:v>14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C15-4175-B1DF-027029944476}"/>
            </c:ext>
          </c:extLst>
        </c:ser>
        <c:ser>
          <c:idx val="3"/>
          <c:order val="3"/>
          <c:tx>
            <c:strRef>
              <c:f>'Stacked columns wo non-covid'!$A$5</c:f>
              <c:strCache>
                <c:ptCount val="1"/>
                <c:pt idx="0">
                  <c:v>Previous diagnosis not related to current admission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'Stacked columns wo non-covid'!$B$1:$G$1</c:f>
              <c:strCache>
                <c:ptCount val="6"/>
                <c:pt idx="0">
                  <c:v>8-14th April</c:v>
                </c:pt>
                <c:pt idx="1">
                  <c:v>15th-21st April</c:v>
                </c:pt>
                <c:pt idx="2">
                  <c:v>22nd-28th April</c:v>
                </c:pt>
                <c:pt idx="3">
                  <c:v>29th April-5th May</c:v>
                </c:pt>
                <c:pt idx="4">
                  <c:v>6-12th May</c:v>
                </c:pt>
                <c:pt idx="5">
                  <c:v>13-19th May</c:v>
                </c:pt>
              </c:strCache>
            </c:strRef>
          </c:cat>
          <c:val>
            <c:numRef>
              <c:f>'Stacked columns wo non-covid'!$B$5:$G$5</c:f>
              <c:numCache>
                <c:formatCode>General</c:formatCode>
                <c:ptCount val="6"/>
                <c:pt idx="0">
                  <c:v>9</c:v>
                </c:pt>
                <c:pt idx="1">
                  <c:v>5</c:v>
                </c:pt>
                <c:pt idx="2">
                  <c:v>15</c:v>
                </c:pt>
                <c:pt idx="3">
                  <c:v>14</c:v>
                </c:pt>
                <c:pt idx="4">
                  <c:v>10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15-4175-B1DF-027029944476}"/>
            </c:ext>
          </c:extLst>
        </c:ser>
        <c:ser>
          <c:idx val="4"/>
          <c:order val="4"/>
          <c:tx>
            <c:strRef>
              <c:f>'Stacked columns wo non-covid'!$A$6</c:f>
              <c:strCache>
                <c:ptCount val="1"/>
                <c:pt idx="0">
                  <c:v>Transfer from outside trust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'Stacked columns wo non-covid'!$B$1:$G$1</c:f>
              <c:strCache>
                <c:ptCount val="6"/>
                <c:pt idx="0">
                  <c:v>8-14th April</c:v>
                </c:pt>
                <c:pt idx="1">
                  <c:v>15th-21st April</c:v>
                </c:pt>
                <c:pt idx="2">
                  <c:v>22nd-28th April</c:v>
                </c:pt>
                <c:pt idx="3">
                  <c:v>29th April-5th May</c:v>
                </c:pt>
                <c:pt idx="4">
                  <c:v>6-12th May</c:v>
                </c:pt>
                <c:pt idx="5">
                  <c:v>13-19th May</c:v>
                </c:pt>
              </c:strCache>
            </c:strRef>
          </c:cat>
          <c:val>
            <c:numRef>
              <c:f>'Stacked columns wo non-covid'!$B$6:$G$6</c:f>
              <c:numCache>
                <c:formatCode>General</c:formatCode>
                <c:ptCount val="6"/>
                <c:pt idx="0">
                  <c:v>11</c:v>
                </c:pt>
                <c:pt idx="1">
                  <c:v>9</c:v>
                </c:pt>
                <c:pt idx="2">
                  <c:v>6</c:v>
                </c:pt>
                <c:pt idx="3">
                  <c:v>2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C15-4175-B1DF-0270299444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21795992"/>
        <c:axId val="621792384"/>
      </c:barChart>
      <c:catAx>
        <c:axId val="621795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792384"/>
        <c:crosses val="autoZero"/>
        <c:auto val="1"/>
        <c:lblAlgn val="ctr"/>
        <c:lblOffset val="100"/>
        <c:noMultiLvlLbl val="0"/>
      </c:catAx>
      <c:valAx>
        <c:axId val="62179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795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E5E916-F2F9-DC43-8033-7C201D9C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6745</Characters>
  <Application>Microsoft Office Word</Application>
  <DocSecurity>0</DocSecurity>
  <Lines>129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 and Allergy Department</dc:creator>
  <cp:keywords/>
  <dc:description/>
  <cp:lastModifiedBy>Stephen Brett</cp:lastModifiedBy>
  <cp:revision>2</cp:revision>
  <dcterms:created xsi:type="dcterms:W3CDTF">2020-08-11T06:31:00Z</dcterms:created>
  <dcterms:modified xsi:type="dcterms:W3CDTF">2020-08-11T06:31:00Z</dcterms:modified>
</cp:coreProperties>
</file>